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1312" behindDoc="1" locked="1" layoutInCell="1" allowOverlap="1" wp14:anchorId="0AAA8477" wp14:editId="4AA87510">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9B487B"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Vanuatu</w:t>
      </w:r>
      <w:r w:rsidR="000D733F" w:rsidRPr="001227C3">
        <w:rPr>
          <w:noProof/>
          <w:color w:val="FFFFFF"/>
          <w:spacing w:val="0"/>
          <w:sz w:val="32"/>
          <w:szCs w:val="32"/>
          <w:lang w:val="en-US" w:eastAsia="en-US"/>
        </w:rPr>
        <w:t xml:space="preserve">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D243C3">
      <w:pPr>
        <w:pStyle w:val="Heading2"/>
        <w:spacing w:before="0"/>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596C14" w:rsidRDefault="0007177E" w:rsidP="00C171A8">
      <w:pPr>
        <w:pStyle w:val="BodyText"/>
      </w:pPr>
      <w:r>
        <w:t xml:space="preserve">This Aid Program Performance Report </w:t>
      </w:r>
      <w:r w:rsidR="00596C14">
        <w:t xml:space="preserve">(APPR) </w:t>
      </w:r>
      <w:r>
        <w:t>summarises the Australian aid program’s progress in Vanuatu from July 2013 to June 2014. Key findings include:</w:t>
      </w:r>
    </w:p>
    <w:p w:rsidR="00596C14" w:rsidRDefault="00596C14" w:rsidP="000D733F">
      <w:pPr>
        <w:pStyle w:val="ListBullet"/>
        <w:tabs>
          <w:tab w:val="clear" w:pos="284"/>
        </w:tabs>
      </w:pPr>
      <w:r>
        <w:t xml:space="preserve">Overall performance improved on the 2012-13 </w:t>
      </w:r>
      <w:r w:rsidR="00D60CA6">
        <w:t>APPR ratings</w:t>
      </w:r>
      <w:r w:rsidR="00B65C43">
        <w:t xml:space="preserve"> and the program is </w:t>
      </w:r>
      <w:r w:rsidR="00FC47D5">
        <w:t xml:space="preserve">helping create </w:t>
      </w:r>
      <w:r w:rsidR="00B65C43">
        <w:rPr>
          <w:lang w:eastAsia="en-US"/>
        </w:rPr>
        <w:t>the right conditions to reduce poverty and build economic opportunities for ni-Vanuatu.</w:t>
      </w:r>
      <w:r w:rsidR="00C819B2">
        <w:rPr>
          <w:lang w:eastAsia="en-US"/>
        </w:rPr>
        <w:t xml:space="preserve"> </w:t>
      </w:r>
      <w:r w:rsidR="00C819B2">
        <w:t>Ma</w:t>
      </w:r>
      <w:r w:rsidR="00716178">
        <w:t>jor investments in</w:t>
      </w:r>
      <w:r w:rsidR="00C819B2">
        <w:t xml:space="preserve"> skills development and improved economic governance </w:t>
      </w:r>
      <w:r w:rsidR="00C819B2">
        <w:rPr>
          <w:lang w:eastAsia="en-US"/>
        </w:rPr>
        <w:t xml:space="preserve">are showing good results. </w:t>
      </w:r>
      <w:r w:rsidR="00D60CA6">
        <w:t>However,</w:t>
      </w:r>
      <w:r w:rsidR="00691EE4">
        <w:t xml:space="preserve"> performance has been less than expected for</w:t>
      </w:r>
      <w:r w:rsidR="00C757ED">
        <w:t xml:space="preserve"> some infrastructure projects,</w:t>
      </w:r>
      <w:r w:rsidR="00D60CA6">
        <w:t xml:space="preserve"> basic education</w:t>
      </w:r>
      <w:r w:rsidR="00691EE4">
        <w:t xml:space="preserve"> and health</w:t>
      </w:r>
      <w:r w:rsidR="00D60CA6">
        <w:t xml:space="preserve">. </w:t>
      </w:r>
    </w:p>
    <w:p w:rsidR="000D733F" w:rsidRDefault="00C472A9" w:rsidP="000D733F">
      <w:pPr>
        <w:pStyle w:val="ListBullet"/>
        <w:tabs>
          <w:tab w:val="clear" w:pos="284"/>
        </w:tabs>
      </w:pPr>
      <w:r>
        <w:t xml:space="preserve">Investing </w:t>
      </w:r>
      <w:r w:rsidR="00AB53D2">
        <w:t xml:space="preserve">in </w:t>
      </w:r>
      <w:r>
        <w:t xml:space="preserve">assessing the capacity of </w:t>
      </w:r>
      <w:r w:rsidR="00B21C4B">
        <w:t>Vanuatu</w:t>
      </w:r>
      <w:r w:rsidR="00AB53D2">
        <w:t xml:space="preserve"> Government systems </w:t>
      </w:r>
      <w:r w:rsidR="00E30F27">
        <w:t xml:space="preserve">is </w:t>
      </w:r>
      <w:r w:rsidR="00AB53D2">
        <w:t>paying off with improved approach</w:t>
      </w:r>
      <w:r w:rsidR="0053289B">
        <w:t>es</w:t>
      </w:r>
      <w:r w:rsidR="00AB53D2">
        <w:t xml:space="preserve"> to </w:t>
      </w:r>
      <w:r w:rsidR="00B65C43">
        <w:t xml:space="preserve">risk mitigation. </w:t>
      </w:r>
      <w:r w:rsidR="00FC47D5">
        <w:t>N</w:t>
      </w:r>
      <w:r w:rsidR="00B21C4B">
        <w:t xml:space="preserve">ew delivery approaches </w:t>
      </w:r>
      <w:r w:rsidR="0056722F">
        <w:t>in key sectors such as education</w:t>
      </w:r>
      <w:r w:rsidR="00691EE4">
        <w:t xml:space="preserve"> </w:t>
      </w:r>
      <w:r w:rsidR="00FC47D5">
        <w:t xml:space="preserve">are </w:t>
      </w:r>
      <w:r w:rsidR="00691EE4">
        <w:t>showing promising signs</w:t>
      </w:r>
      <w:r w:rsidR="00716178">
        <w:t>.</w:t>
      </w:r>
    </w:p>
    <w:p w:rsidR="00B21C4B" w:rsidRDefault="00691EE4" w:rsidP="000D733F">
      <w:pPr>
        <w:pStyle w:val="ListBullet"/>
        <w:tabs>
          <w:tab w:val="clear" w:pos="284"/>
        </w:tabs>
      </w:pPr>
      <w:r>
        <w:t>O</w:t>
      </w:r>
      <w:r w:rsidR="0056722F">
        <w:t>pen and frank dialogue wit</w:t>
      </w:r>
      <w:r w:rsidR="00B65C43">
        <w:t xml:space="preserve">h the Vanuatu Government </w:t>
      </w:r>
      <w:r>
        <w:t xml:space="preserve">continues to be critical, </w:t>
      </w:r>
      <w:r w:rsidR="00716178">
        <w:t>as does our ability to</w:t>
      </w:r>
      <w:r>
        <w:t xml:space="preserve"> respond to opportunities as they emerge and manage challenges as they arise</w:t>
      </w:r>
      <w:r w:rsidR="00B65C43">
        <w:t>.</w:t>
      </w:r>
    </w:p>
    <w:p w:rsidR="002A149A" w:rsidRPr="00610DC4" w:rsidRDefault="00691EE4" w:rsidP="000D733F">
      <w:pPr>
        <w:pStyle w:val="ListBullet"/>
        <w:tabs>
          <w:tab w:val="clear" w:pos="284"/>
        </w:tabs>
      </w:pPr>
      <w:r>
        <w:t>The program is well positioned to deliver against the Australian Government</w:t>
      </w:r>
      <w:r w:rsidR="00716178">
        <w:t>’</w:t>
      </w:r>
      <w:r>
        <w:t>s economic diplomacy and development assistance priorities as articulated in its new aid policy</w:t>
      </w:r>
      <w:r w:rsidR="002A149A">
        <w:rPr>
          <w:rStyle w:val="EndnoteReference"/>
        </w:rPr>
        <w:endnoteReference w:id="1"/>
      </w:r>
      <w:r w:rsidR="002A149A">
        <w:rPr>
          <w:lang w:eastAsia="en-US"/>
        </w:rPr>
        <w:t xml:space="preserve">. </w:t>
      </w:r>
      <w:r w:rsidR="00EE238C">
        <w:rPr>
          <w:lang w:eastAsia="en-US"/>
        </w:rPr>
        <w:t>The Partnership for Development requires updating</w:t>
      </w:r>
      <w:r w:rsidR="002A149A">
        <w:rPr>
          <w:lang w:eastAsia="en-US"/>
        </w:rPr>
        <w:t>. More work is required to consolidate</w:t>
      </w:r>
      <w:r w:rsidR="00716178">
        <w:rPr>
          <w:lang w:eastAsia="en-US"/>
        </w:rPr>
        <w:t xml:space="preserve"> the program</w:t>
      </w:r>
      <w:r w:rsidR="002A149A">
        <w:rPr>
          <w:lang w:eastAsia="en-US"/>
        </w:rPr>
        <w:t>, engage with the private sector and improve gender ratings.</w:t>
      </w:r>
    </w:p>
    <w:p w:rsidR="002A149A" w:rsidRPr="00B43B60" w:rsidRDefault="002A149A"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2A149A" w:rsidRPr="00B43BF9" w:rsidRDefault="002A149A" w:rsidP="00355018">
      <w:pPr>
        <w:pStyle w:val="BodyText"/>
      </w:pPr>
      <w:r w:rsidRPr="00B43BF9">
        <w:t>Vanuatu has a small population</w:t>
      </w:r>
      <w:r>
        <w:t xml:space="preserve"> of </w:t>
      </w:r>
      <w:r w:rsidR="00FC47D5">
        <w:t xml:space="preserve">approximately </w:t>
      </w:r>
      <w:r>
        <w:t>2</w:t>
      </w:r>
      <w:r w:rsidR="00593264">
        <w:t>66</w:t>
      </w:r>
      <w:r>
        <w:t>,000</w:t>
      </w:r>
      <w:r w:rsidRPr="00B43BF9">
        <w:t>.</w:t>
      </w:r>
      <w:r>
        <w:t xml:space="preserve"> </w:t>
      </w:r>
      <w:r w:rsidRPr="00B43BF9">
        <w:t>Some 70 per cent of people live in rural areas across 6</w:t>
      </w:r>
      <w:r w:rsidR="00593264">
        <w:t>0</w:t>
      </w:r>
      <w:r w:rsidRPr="00B43BF9">
        <w:t xml:space="preserve"> of the country’s more than 80 islands. </w:t>
      </w:r>
    </w:p>
    <w:p w:rsidR="00355018" w:rsidRDefault="00FC47D5" w:rsidP="00355018">
      <w:pPr>
        <w:pStyle w:val="BodyText"/>
      </w:pPr>
      <w:r>
        <w:t xml:space="preserve">Relative to other countries in </w:t>
      </w:r>
      <w:r w:rsidR="002A149A">
        <w:t>the region,</w:t>
      </w:r>
      <w:r w:rsidR="002A149A" w:rsidRPr="00DD6947">
        <w:t xml:space="preserve"> </w:t>
      </w:r>
      <w:r w:rsidR="002A149A">
        <w:t xml:space="preserve">Vanuatu’s economy is </w:t>
      </w:r>
      <w:r w:rsidR="002A149A" w:rsidRPr="00DD6947">
        <w:t xml:space="preserve">stable and </w:t>
      </w:r>
      <w:r w:rsidR="002A149A">
        <w:t xml:space="preserve">there is </w:t>
      </w:r>
      <w:r w:rsidR="002A149A" w:rsidRPr="00DD6947">
        <w:t>potential for growth.</w:t>
      </w:r>
      <w:r w:rsidR="002A149A" w:rsidRPr="00C5718C">
        <w:rPr>
          <w:vertAlign w:val="superscript"/>
        </w:rPr>
        <w:endnoteReference w:id="2"/>
      </w:r>
      <w:r w:rsidR="002A149A" w:rsidRPr="00F3599F">
        <w:t xml:space="preserve"> </w:t>
      </w:r>
      <w:r w:rsidR="002A149A">
        <w:t xml:space="preserve">Gross domestic product growth </w:t>
      </w:r>
      <w:r w:rsidR="002A149A" w:rsidRPr="003820FA">
        <w:t xml:space="preserve">recovered </w:t>
      </w:r>
      <w:r w:rsidR="002A149A">
        <w:t xml:space="preserve">in 2012 to </w:t>
      </w:r>
      <w:r>
        <w:t xml:space="preserve">about </w:t>
      </w:r>
      <w:r w:rsidR="002A149A">
        <w:t>2 per cent, and is expected to reach 2.8 per cent in</w:t>
      </w:r>
      <w:r w:rsidR="002A149A" w:rsidRPr="003820FA">
        <w:t xml:space="preserve"> 2013</w:t>
      </w:r>
      <w:r w:rsidR="002A149A">
        <w:t>. Growth estimates for 2014 are as high as 3.5 per cent</w:t>
      </w:r>
      <w:r w:rsidR="00716178">
        <w:t>,</w:t>
      </w:r>
      <w:r w:rsidR="002A149A">
        <w:t xml:space="preserve"> </w:t>
      </w:r>
      <w:r w:rsidR="002A149A" w:rsidRPr="003820FA">
        <w:t>attribut</w:t>
      </w:r>
      <w:r w:rsidR="002A149A">
        <w:t>ed</w:t>
      </w:r>
      <w:r w:rsidR="002A149A" w:rsidRPr="003820FA">
        <w:t xml:space="preserve"> to </w:t>
      </w:r>
      <w:r w:rsidR="002A149A" w:rsidRPr="00DB721D">
        <w:t xml:space="preserve">continued growth in tourism and </w:t>
      </w:r>
      <w:r w:rsidR="002A149A">
        <w:t>a pick-up in</w:t>
      </w:r>
      <w:r w:rsidR="002A149A" w:rsidRPr="00DB721D">
        <w:t xml:space="preserve"> construction</w:t>
      </w:r>
      <w:r w:rsidR="002A149A">
        <w:t>.</w:t>
      </w:r>
      <w:r w:rsidR="002A149A">
        <w:rPr>
          <w:rStyle w:val="EndnoteReference"/>
        </w:rPr>
        <w:endnoteReference w:id="3"/>
      </w:r>
      <w:r w:rsidR="002A149A">
        <w:t xml:space="preserve"> </w:t>
      </w:r>
      <w:r w:rsidR="00286543">
        <w:t xml:space="preserve">While solid for the region and small island developing states, this level of growth is only marginally higher than population growth of around 2.5 per cent. </w:t>
      </w:r>
    </w:p>
    <w:p w:rsidR="00355018" w:rsidRDefault="00355018" w:rsidP="00355018">
      <w:pPr>
        <w:pStyle w:val="BodyText"/>
      </w:pPr>
      <w:r>
        <w:t>Australia’s commercial and trade interests in Vanuatu are limited</w:t>
      </w:r>
      <w:r w:rsidR="00C472A9">
        <w:t>.</w:t>
      </w:r>
      <w:r>
        <w:t xml:space="preserve"> Australian investment in Vanuatu is estimated at $177 million for 2013, primarily in services such </w:t>
      </w:r>
      <w:r w:rsidR="00593264">
        <w:t xml:space="preserve">as </w:t>
      </w:r>
      <w:r>
        <w:t xml:space="preserve">tourism and banking. Vanuatu also sources </w:t>
      </w:r>
      <w:r w:rsidR="00FC47D5">
        <w:t xml:space="preserve">ten </w:t>
      </w:r>
      <w:r>
        <w:t>per cent of its merc</w:t>
      </w:r>
      <w:r w:rsidR="00AE5415">
        <w:t xml:space="preserve">handise imports from Australia and </w:t>
      </w:r>
      <w:r w:rsidR="00286543" w:rsidRPr="00886AA7">
        <w:t>Australians account for two-thirds of all long</w:t>
      </w:r>
      <w:r w:rsidR="00286543">
        <w:t>-</w:t>
      </w:r>
      <w:r w:rsidR="00286543" w:rsidRPr="00886AA7">
        <w:t>stay tourist arrivals.</w:t>
      </w:r>
      <w:r w:rsidR="002A149A" w:rsidRPr="00886AA7">
        <w:rPr>
          <w:rStyle w:val="EndnoteReference"/>
        </w:rPr>
        <w:endnoteReference w:id="4"/>
      </w:r>
      <w:r w:rsidR="002A149A">
        <w:t xml:space="preserve"> </w:t>
      </w:r>
    </w:p>
    <w:p w:rsidR="002A149A" w:rsidRPr="00DD6947" w:rsidRDefault="00355018" w:rsidP="00355018">
      <w:pPr>
        <w:pStyle w:val="BodyText"/>
      </w:pPr>
      <w:r>
        <w:t>Vanuatu has a young, growing and rapidly urbanising population.</w:t>
      </w:r>
      <w:r w:rsidR="002A149A">
        <w:rPr>
          <w:rStyle w:val="EndnoteReference"/>
        </w:rPr>
        <w:endnoteReference w:id="5"/>
      </w:r>
      <w:r w:rsidR="002A149A">
        <w:t xml:space="preserve"> This creates pressure on already </w:t>
      </w:r>
      <w:r w:rsidR="00F00FE8">
        <w:t xml:space="preserve">strained </w:t>
      </w:r>
      <w:r w:rsidR="002A149A">
        <w:t>social and utilities services and public infrastructure. Activity in the financial aspects of the economy is limited for most people. This is particularly so in rural areas where there is significant poverty of opportunity.</w:t>
      </w:r>
      <w:r w:rsidR="002A149A" w:rsidRPr="008A2A1F">
        <w:rPr>
          <w:vertAlign w:val="superscript"/>
        </w:rPr>
        <w:t xml:space="preserve"> </w:t>
      </w:r>
      <w:r w:rsidR="002A149A">
        <w:rPr>
          <w:i/>
        </w:rPr>
        <w:t>K</w:t>
      </w:r>
      <w:r w:rsidR="002A149A">
        <w:rPr>
          <w:i/>
          <w:lang w:eastAsia="en-US"/>
        </w:rPr>
        <w:t>astom</w:t>
      </w:r>
      <w:r w:rsidR="002A149A">
        <w:rPr>
          <w:lang w:eastAsia="en-US"/>
        </w:rPr>
        <w:t xml:space="preserve"> institutions are central to Vanuatu life as is </w:t>
      </w:r>
      <w:r w:rsidR="002A149A">
        <w:t>a</w:t>
      </w:r>
      <w:r w:rsidR="002A149A" w:rsidRPr="00A1091E">
        <w:t>ccess to customary land and sub</w:t>
      </w:r>
      <w:r w:rsidR="002A149A">
        <w:t>sistence farming. T</w:t>
      </w:r>
      <w:r w:rsidR="002A149A">
        <w:rPr>
          <w:lang w:eastAsia="en-US"/>
        </w:rPr>
        <w:t xml:space="preserve">he reach of the state outside urban centres is, at times, limited. </w:t>
      </w:r>
    </w:p>
    <w:p w:rsidR="002A149A" w:rsidRDefault="002A149A" w:rsidP="008A2A1F">
      <w:pPr>
        <w:pStyle w:val="BodyText"/>
        <w:rPr>
          <w:lang w:eastAsia="en-US"/>
        </w:rPr>
      </w:pPr>
      <w:r>
        <w:t>Extreme (or food) poverty halved between 2006 and 2010</w:t>
      </w:r>
      <w:r>
        <w:rPr>
          <w:rStyle w:val="EndnoteReference"/>
        </w:rPr>
        <w:endnoteReference w:id="6"/>
      </w:r>
      <w:r>
        <w:t xml:space="preserve"> and financial inequality measures show that the gap between the least and most well-off shrank over the same time period.</w:t>
      </w:r>
      <w:r>
        <w:rPr>
          <w:rStyle w:val="EndnoteReference"/>
        </w:rPr>
        <w:endnoteReference w:id="7"/>
      </w:r>
      <w:r>
        <w:t xml:space="preserve"> However, n</w:t>
      </w:r>
      <w:r w:rsidRPr="00DD6947">
        <w:t>either basic needs poverty nor hardship has</w:t>
      </w:r>
      <w:r>
        <w:t xml:space="preserve"> </w:t>
      </w:r>
      <w:r w:rsidRPr="00DD6947">
        <w:t xml:space="preserve">been reduced to </w:t>
      </w:r>
      <w:r>
        <w:t>a</w:t>
      </w:r>
      <w:r w:rsidRPr="00DD6947">
        <w:t xml:space="preserve"> </w:t>
      </w:r>
      <w:r>
        <w:t xml:space="preserve">commensurate </w:t>
      </w:r>
      <w:r w:rsidRPr="00DD6947">
        <w:t>level</w:t>
      </w:r>
      <w:r>
        <w:t>.</w:t>
      </w:r>
      <w:r w:rsidRPr="004933B8">
        <w:rPr>
          <w:vertAlign w:val="superscript"/>
        </w:rPr>
        <w:endnoteReference w:id="8"/>
      </w:r>
      <w:r>
        <w:t xml:space="preserve">  </w:t>
      </w:r>
      <w:r w:rsidR="00F00FE8">
        <w:t xml:space="preserve">The number of women </w:t>
      </w:r>
      <w:r>
        <w:t>and men</w:t>
      </w:r>
      <w:r w:rsidRPr="00DD6947">
        <w:t xml:space="preserve"> living below the national poverty line decreased </w:t>
      </w:r>
      <w:r>
        <w:t xml:space="preserve">only marginally, </w:t>
      </w:r>
      <w:r w:rsidRPr="00DD6947">
        <w:t xml:space="preserve">from 13 per cent </w:t>
      </w:r>
      <w:r>
        <w:t xml:space="preserve">of the population </w:t>
      </w:r>
      <w:r w:rsidRPr="00DD6947">
        <w:t>in 2006 to 12.7 per cent in 2010</w:t>
      </w:r>
      <w:r w:rsidR="00F00FE8">
        <w:t>.</w:t>
      </w:r>
      <w:r w:rsidR="00F00FE8" w:rsidRPr="00DD6947">
        <w:t xml:space="preserve"> </w:t>
      </w:r>
      <w:r w:rsidR="00F00FE8">
        <w:t>A</w:t>
      </w:r>
      <w:r w:rsidRPr="00DD6947">
        <w:t xml:space="preserve">nother 20 </w:t>
      </w:r>
      <w:r w:rsidRPr="00DD6947">
        <w:lastRenderedPageBreak/>
        <w:t xml:space="preserve">per cent </w:t>
      </w:r>
      <w:r w:rsidR="00F00FE8">
        <w:t xml:space="preserve">are </w:t>
      </w:r>
      <w:r w:rsidRPr="00DD6947">
        <w:t xml:space="preserve">vulnerable to slipping below </w:t>
      </w:r>
      <w:r w:rsidR="00F00FE8" w:rsidRPr="00DD6947">
        <w:t>th</w:t>
      </w:r>
      <w:r w:rsidR="00F00FE8">
        <w:t>e</w:t>
      </w:r>
      <w:r w:rsidR="00F00FE8" w:rsidRPr="00DD6947">
        <w:t xml:space="preserve"> </w:t>
      </w:r>
      <w:r w:rsidRPr="00DD6947">
        <w:t>poverty line.</w:t>
      </w:r>
      <w:r w:rsidRPr="004933B8">
        <w:rPr>
          <w:vertAlign w:val="superscript"/>
        </w:rPr>
        <w:endnoteReference w:id="9"/>
      </w:r>
      <w:r>
        <w:t xml:space="preserve"> </w:t>
      </w:r>
      <w:r w:rsidR="00F00FE8">
        <w:t>P</w:t>
      </w:r>
      <w:r>
        <w:t>overty rates are proportionally highest</w:t>
      </w:r>
      <w:r w:rsidR="00F00FE8">
        <w:t xml:space="preserve"> in urban areas</w:t>
      </w:r>
      <w:r>
        <w:t>.</w:t>
      </w:r>
      <w:r>
        <w:rPr>
          <w:rStyle w:val="EndnoteReference"/>
        </w:rPr>
        <w:endnoteReference w:id="10"/>
      </w:r>
      <w:r>
        <w:t xml:space="preserve"> </w:t>
      </w:r>
    </w:p>
    <w:p w:rsidR="00355018" w:rsidRDefault="002A149A" w:rsidP="00355018">
      <w:pPr>
        <w:pStyle w:val="BodyText"/>
      </w:pPr>
      <w:r w:rsidRPr="00DD6947">
        <w:t xml:space="preserve">Vanuatu’s progress towards the Millennium Development Goals (MDGs) </w:t>
      </w:r>
      <w:r>
        <w:t>remains</w:t>
      </w:r>
      <w:r w:rsidRPr="00DD6947">
        <w:t xml:space="preserve"> mixed. The country is on</w:t>
      </w:r>
      <w:r>
        <w:t xml:space="preserve"> </w:t>
      </w:r>
      <w:r w:rsidRPr="00DD6947">
        <w:t>track to achieve MDG 4 (child mortality) and MDG 6 (HIV/AIDs, malaria and other diseases).</w:t>
      </w:r>
      <w:r w:rsidRPr="00A766E3">
        <w:rPr>
          <w:vertAlign w:val="superscript"/>
        </w:rPr>
        <w:endnoteReference w:id="11"/>
      </w:r>
      <w:r>
        <w:t xml:space="preserve"> </w:t>
      </w:r>
      <w:r w:rsidR="00355018" w:rsidRPr="002F5AF4">
        <w:t>However, the country has made uneven progress or is off</w:t>
      </w:r>
      <w:r w:rsidR="00355018">
        <w:t xml:space="preserve"> </w:t>
      </w:r>
      <w:r w:rsidR="00355018" w:rsidRPr="002F5AF4">
        <w:t>track on all other goals</w:t>
      </w:r>
      <w:r w:rsidR="00355018">
        <w:t xml:space="preserve">. </w:t>
      </w:r>
    </w:p>
    <w:p w:rsidR="00355018" w:rsidRDefault="00286543" w:rsidP="00355018">
      <w:pPr>
        <w:pStyle w:val="BodyText"/>
        <w:rPr>
          <w:lang w:eastAsia="en-US"/>
        </w:rPr>
      </w:pPr>
      <w:r>
        <w:rPr>
          <w:lang w:eastAsia="en-US"/>
        </w:rPr>
        <w:t>Consistent with previous years, t</w:t>
      </w:r>
      <w:r w:rsidR="00355018">
        <w:rPr>
          <w:lang w:eastAsia="en-US"/>
        </w:rPr>
        <w:t xml:space="preserve">he political context in Vanuatu </w:t>
      </w:r>
      <w:r w:rsidR="007B290F">
        <w:rPr>
          <w:lang w:eastAsia="en-US"/>
        </w:rPr>
        <w:t xml:space="preserve">was </w:t>
      </w:r>
      <w:r w:rsidR="00F00FE8">
        <w:rPr>
          <w:lang w:eastAsia="en-US"/>
        </w:rPr>
        <w:t xml:space="preserve">unpredictable </w:t>
      </w:r>
      <w:r w:rsidR="00716178">
        <w:rPr>
          <w:lang w:eastAsia="en-US"/>
        </w:rPr>
        <w:t>in 2013-14</w:t>
      </w:r>
      <w:r w:rsidR="00355018" w:rsidRPr="00C171A8">
        <w:rPr>
          <w:lang w:eastAsia="en-US"/>
        </w:rPr>
        <w:t>.</w:t>
      </w:r>
      <w:r w:rsidR="00365C33" w:rsidRPr="00C171A8">
        <w:rPr>
          <w:lang w:eastAsia="en-US"/>
        </w:rPr>
        <w:t xml:space="preserve"> In May 2014, a vote of no confidence against Prime Minister Carcasses was successful</w:t>
      </w:r>
      <w:r w:rsidR="00277F2F">
        <w:rPr>
          <w:lang w:eastAsia="en-US"/>
        </w:rPr>
        <w:t>,</w:t>
      </w:r>
      <w:r w:rsidR="00365C33" w:rsidRPr="00C171A8">
        <w:rPr>
          <w:lang w:eastAsia="en-US"/>
        </w:rPr>
        <w:t xml:space="preserve"> bring</w:t>
      </w:r>
      <w:r w:rsidR="00277F2F">
        <w:rPr>
          <w:lang w:eastAsia="en-US"/>
        </w:rPr>
        <w:t>ing</w:t>
      </w:r>
      <w:r w:rsidR="00365C33" w:rsidRPr="00C171A8">
        <w:rPr>
          <w:lang w:eastAsia="en-US"/>
        </w:rPr>
        <w:t xml:space="preserve"> to power a coalition under Prime Minister Joe Natuman. While in power the Carcasses Government pursued an ambitious growth strategy seeking out major loan financed infrastructure deals with China’s EXIM Bank as well as a new international airport project.</w:t>
      </w:r>
      <w:r w:rsidR="00365C33" w:rsidRPr="001532E3">
        <w:rPr>
          <w:lang w:eastAsia="en-US"/>
        </w:rPr>
        <w:t xml:space="preserve"> </w:t>
      </w:r>
      <w:r w:rsidR="002D5F50">
        <w:rPr>
          <w:lang w:eastAsia="en-US"/>
        </w:rPr>
        <w:t>Since taking office,</w:t>
      </w:r>
      <w:r w:rsidR="00277F2F">
        <w:rPr>
          <w:lang w:eastAsia="en-US"/>
        </w:rPr>
        <w:t xml:space="preserve"> Prime Minister Natuman has emphasised the importance of fiscal responsibility</w:t>
      </w:r>
      <w:r w:rsidR="004A3EE6">
        <w:rPr>
          <w:lang w:eastAsia="en-US"/>
        </w:rPr>
        <w:t xml:space="preserve"> and improved budget management as well as </w:t>
      </w:r>
      <w:r w:rsidR="002D5F50">
        <w:rPr>
          <w:lang w:eastAsia="en-US"/>
        </w:rPr>
        <w:t xml:space="preserve">the importance of </w:t>
      </w:r>
      <w:r w:rsidR="008A2A1F" w:rsidRPr="00FB2430">
        <w:rPr>
          <w:lang w:eastAsia="en-US"/>
        </w:rPr>
        <w:t>Vanuatu's customary and Christia</w:t>
      </w:r>
      <w:r w:rsidR="008A2A1F">
        <w:rPr>
          <w:lang w:eastAsia="en-US"/>
        </w:rPr>
        <w:t>n principles in decision making</w:t>
      </w:r>
      <w:r w:rsidR="002D5F50">
        <w:rPr>
          <w:lang w:eastAsia="en-US"/>
        </w:rPr>
        <w:t xml:space="preserve">. </w:t>
      </w:r>
    </w:p>
    <w:p w:rsidR="00FB2430" w:rsidRDefault="00355018" w:rsidP="00355018">
      <w:pPr>
        <w:pStyle w:val="BodyText"/>
        <w:rPr>
          <w:lang w:eastAsia="en-US"/>
        </w:rPr>
      </w:pPr>
      <w:r>
        <w:rPr>
          <w:lang w:eastAsia="en-US"/>
        </w:rPr>
        <w:t>Australia remains by far the largest donor to Vanuatu comprising more than 60</w:t>
      </w:r>
      <w:r w:rsidR="0026779A">
        <w:rPr>
          <w:lang w:eastAsia="en-US"/>
        </w:rPr>
        <w:t xml:space="preserve"> per cent</w:t>
      </w:r>
      <w:r>
        <w:rPr>
          <w:lang w:eastAsia="en-US"/>
        </w:rPr>
        <w:t xml:space="preserve"> of total ODA to Vanuatu (excluding China)</w:t>
      </w:r>
      <w:r w:rsidR="00F00FE8">
        <w:rPr>
          <w:lang w:eastAsia="en-US"/>
        </w:rPr>
        <w:t>. The quantum of our aid</w:t>
      </w:r>
      <w:r>
        <w:rPr>
          <w:lang w:eastAsia="en-US"/>
        </w:rPr>
        <w:t xml:space="preserve"> </w:t>
      </w:r>
      <w:r w:rsidR="00F00FE8">
        <w:rPr>
          <w:lang w:eastAsia="en-US"/>
        </w:rPr>
        <w:t xml:space="preserve">is </w:t>
      </w:r>
      <w:r w:rsidR="001532E3">
        <w:rPr>
          <w:lang w:eastAsia="en-US"/>
        </w:rPr>
        <w:t xml:space="preserve">equivalent to </w:t>
      </w:r>
      <w:r w:rsidR="00F00FE8">
        <w:rPr>
          <w:lang w:eastAsia="en-US"/>
        </w:rPr>
        <w:t xml:space="preserve">approximately </w:t>
      </w:r>
      <w:r>
        <w:rPr>
          <w:lang w:eastAsia="en-US"/>
        </w:rPr>
        <w:t>3</w:t>
      </w:r>
      <w:r w:rsidR="001532E3">
        <w:rPr>
          <w:lang w:eastAsia="en-US"/>
        </w:rPr>
        <w:t>5</w:t>
      </w:r>
      <w:r w:rsidR="0026779A">
        <w:rPr>
          <w:lang w:eastAsia="en-US"/>
        </w:rPr>
        <w:t xml:space="preserve"> per cent</w:t>
      </w:r>
      <w:r>
        <w:rPr>
          <w:lang w:eastAsia="en-US"/>
        </w:rPr>
        <w:t xml:space="preserve"> of total public spending. </w:t>
      </w:r>
      <w:r w:rsidR="00F00FE8">
        <w:rPr>
          <w:lang w:eastAsia="en-US"/>
        </w:rPr>
        <w:t xml:space="preserve">But this </w:t>
      </w:r>
      <w:r w:rsidR="00AE5415">
        <w:rPr>
          <w:lang w:eastAsia="en-US"/>
        </w:rPr>
        <w:t xml:space="preserve">is changing. </w:t>
      </w:r>
      <w:r>
        <w:rPr>
          <w:lang w:eastAsia="en-US"/>
        </w:rPr>
        <w:t>China’s profile</w:t>
      </w:r>
      <w:r w:rsidR="00F00FE8">
        <w:rPr>
          <w:lang w:eastAsia="en-US"/>
        </w:rPr>
        <w:t>,</w:t>
      </w:r>
      <w:r>
        <w:rPr>
          <w:lang w:eastAsia="en-US"/>
        </w:rPr>
        <w:t xml:space="preserve"> </w:t>
      </w:r>
      <w:r w:rsidR="00F00FE8">
        <w:rPr>
          <w:lang w:eastAsia="en-US"/>
        </w:rPr>
        <w:t xml:space="preserve">including </w:t>
      </w:r>
      <w:r>
        <w:rPr>
          <w:lang w:eastAsia="en-US"/>
        </w:rPr>
        <w:t>as a donor</w:t>
      </w:r>
      <w:r w:rsidR="00F00FE8">
        <w:rPr>
          <w:lang w:eastAsia="en-US"/>
        </w:rPr>
        <w:t>,</w:t>
      </w:r>
      <w:r>
        <w:rPr>
          <w:lang w:eastAsia="en-US"/>
        </w:rPr>
        <w:t xml:space="preserve"> is increasing. At the same time, the Global Fund </w:t>
      </w:r>
      <w:r w:rsidR="00365C33">
        <w:rPr>
          <w:lang w:eastAsia="en-US"/>
        </w:rPr>
        <w:t xml:space="preserve">will </w:t>
      </w:r>
      <w:r>
        <w:rPr>
          <w:lang w:eastAsia="en-US"/>
        </w:rPr>
        <w:t>decrease available funding for Vanuatu</w:t>
      </w:r>
      <w:r w:rsidR="00365C33">
        <w:rPr>
          <w:lang w:eastAsia="en-US"/>
        </w:rPr>
        <w:t xml:space="preserve"> from 2015</w:t>
      </w:r>
      <w:r>
        <w:rPr>
          <w:lang w:eastAsia="en-US"/>
        </w:rPr>
        <w:t xml:space="preserve"> because of changes to the way it calculates country allocations.</w:t>
      </w:r>
      <w:r w:rsidR="00FB2430">
        <w:rPr>
          <w:lang w:eastAsia="en-US"/>
        </w:rPr>
        <w:t xml:space="preserve"> </w:t>
      </w:r>
    </w:p>
    <w:p w:rsidR="00365C33" w:rsidRDefault="009036FF" w:rsidP="00355018">
      <w:pPr>
        <w:pStyle w:val="BodyText"/>
        <w:rPr>
          <w:lang w:eastAsia="en-US"/>
        </w:rPr>
      </w:pPr>
      <w:r>
        <w:rPr>
          <w:lang w:eastAsia="en-US"/>
        </w:rPr>
        <w:t>T</w:t>
      </w:r>
      <w:r w:rsidR="00355018">
        <w:rPr>
          <w:lang w:eastAsia="en-US"/>
        </w:rPr>
        <w:t xml:space="preserve">he focus of Australia’s aid program </w:t>
      </w:r>
      <w:r>
        <w:t>a</w:t>
      </w:r>
      <w:r>
        <w:rPr>
          <w:lang w:eastAsia="en-US"/>
        </w:rPr>
        <w:t>s articulated in the Partnership for Development is</w:t>
      </w:r>
      <w:r w:rsidR="00355018">
        <w:t>: education, health, infrastructure, economic governance and law and justice</w:t>
      </w:r>
      <w:r w:rsidR="00355018">
        <w:rPr>
          <w:lang w:eastAsia="en-US"/>
        </w:rPr>
        <w:t xml:space="preserve">. </w:t>
      </w:r>
      <w:r w:rsidR="00365C33" w:rsidRPr="00286543">
        <w:rPr>
          <w:lang w:eastAsia="en-US"/>
        </w:rPr>
        <w:t xml:space="preserve">Australia also </w:t>
      </w:r>
      <w:r w:rsidR="00F00FE8">
        <w:rPr>
          <w:lang w:eastAsia="en-US"/>
        </w:rPr>
        <w:t>helps</w:t>
      </w:r>
      <w:r w:rsidR="00F00FE8" w:rsidRPr="00286543">
        <w:rPr>
          <w:lang w:eastAsia="en-US"/>
        </w:rPr>
        <w:t xml:space="preserve"> </w:t>
      </w:r>
      <w:r w:rsidR="00365C33" w:rsidRPr="00286543">
        <w:rPr>
          <w:lang w:eastAsia="en-US"/>
        </w:rPr>
        <w:t xml:space="preserve">Vanuatu </w:t>
      </w:r>
      <w:r w:rsidR="00F00FE8">
        <w:rPr>
          <w:lang w:eastAsia="en-US"/>
        </w:rPr>
        <w:t xml:space="preserve">prepare for and </w:t>
      </w:r>
      <w:r w:rsidR="00365C33" w:rsidRPr="00286543">
        <w:rPr>
          <w:lang w:eastAsia="en-US"/>
        </w:rPr>
        <w:t>respond to natural disasters and emergencies</w:t>
      </w:r>
      <w:r>
        <w:rPr>
          <w:lang w:eastAsia="en-US"/>
        </w:rPr>
        <w:t>.</w:t>
      </w:r>
      <w:r w:rsidR="00365C33" w:rsidRPr="00286543">
        <w:rPr>
          <w:lang w:eastAsia="en-US"/>
        </w:rPr>
        <w:t xml:space="preserve"> </w:t>
      </w:r>
      <w:r>
        <w:rPr>
          <w:lang w:eastAsia="en-US"/>
        </w:rPr>
        <w:t>D</w:t>
      </w:r>
      <w:r w:rsidR="00365C33" w:rsidRPr="00286543">
        <w:rPr>
          <w:lang w:eastAsia="en-US"/>
        </w:rPr>
        <w:t xml:space="preserve">uring the reporting period </w:t>
      </w:r>
      <w:r w:rsidR="00F00FE8">
        <w:rPr>
          <w:lang w:eastAsia="en-US"/>
        </w:rPr>
        <w:t xml:space="preserve">these </w:t>
      </w:r>
      <w:r>
        <w:rPr>
          <w:lang w:eastAsia="en-US"/>
        </w:rPr>
        <w:t xml:space="preserve">included </w:t>
      </w:r>
      <w:r w:rsidR="00365C33" w:rsidRPr="00286543">
        <w:rPr>
          <w:lang w:eastAsia="en-US"/>
        </w:rPr>
        <w:t xml:space="preserve">a landslide on Paama island, a major dengue outbreak, </w:t>
      </w:r>
      <w:r w:rsidR="00365C33">
        <w:rPr>
          <w:lang w:eastAsia="en-US"/>
        </w:rPr>
        <w:t xml:space="preserve">and </w:t>
      </w:r>
      <w:r w:rsidR="00365C33" w:rsidRPr="00286543">
        <w:rPr>
          <w:lang w:eastAsia="en-US"/>
        </w:rPr>
        <w:t>Cyclone Lusi.</w:t>
      </w:r>
    </w:p>
    <w:p w:rsidR="002A149A" w:rsidRPr="00094CA6" w:rsidRDefault="00355018" w:rsidP="00094CA6">
      <w:pPr>
        <w:pStyle w:val="BodyText"/>
        <w:rPr>
          <w:lang w:eastAsia="en-US"/>
        </w:rPr>
      </w:pPr>
      <w:r>
        <w:rPr>
          <w:lang w:eastAsia="en-US"/>
        </w:rPr>
        <w:t xml:space="preserve">The Partnership for Development requires updating in light of progress against its objectives and </w:t>
      </w:r>
      <w:r w:rsidR="009036FF">
        <w:rPr>
          <w:lang w:eastAsia="en-US"/>
        </w:rPr>
        <w:t>the</w:t>
      </w:r>
      <w:r w:rsidR="008737C3">
        <w:rPr>
          <w:lang w:eastAsia="en-US"/>
        </w:rPr>
        <w:t xml:space="preserve"> </w:t>
      </w:r>
      <w:r>
        <w:rPr>
          <w:lang w:eastAsia="en-US"/>
        </w:rPr>
        <w:t xml:space="preserve">changing context. In January 2014 Australia’s Foreign Minister announced that the Australian Government would reduce the planned growth of the aid program and refocus it on the Indo-Pacific region in accordance with rigorous benchmarks. </w:t>
      </w:r>
      <w:r w:rsidR="00365C33">
        <w:rPr>
          <w:lang w:eastAsia="en-US"/>
        </w:rPr>
        <w:t>For Vanuatu, t</w:t>
      </w:r>
      <w:r>
        <w:rPr>
          <w:lang w:eastAsia="en-US"/>
        </w:rPr>
        <w:t xml:space="preserve">he immediate impact of this was a reduction in planned expenditure this financial year for some programs and decisions not to proceed with some </w:t>
      </w:r>
      <w:r w:rsidR="005345AF">
        <w:rPr>
          <w:lang w:eastAsia="en-US"/>
        </w:rPr>
        <w:t xml:space="preserve">proposed </w:t>
      </w:r>
      <w:r>
        <w:rPr>
          <w:lang w:eastAsia="en-US"/>
        </w:rPr>
        <w:t xml:space="preserve">investments. There is an opportunity over the next 12 months to recalibrate the partnership in line with both </w:t>
      </w:r>
      <w:r w:rsidR="009036FF">
        <w:rPr>
          <w:lang w:eastAsia="en-US"/>
        </w:rPr>
        <w:t>governments’</w:t>
      </w:r>
      <w:r>
        <w:rPr>
          <w:lang w:eastAsia="en-US"/>
        </w:rPr>
        <w:t xml:space="preserve"> priorities</w:t>
      </w:r>
      <w:r w:rsidR="00593264">
        <w:rPr>
          <w:lang w:eastAsia="en-US"/>
        </w:rPr>
        <w:t>, including Australia’s new aid policy,</w:t>
      </w:r>
      <w:r>
        <w:rPr>
          <w:lang w:eastAsia="en-US"/>
        </w:rPr>
        <w:t xml:space="preserve"> and put the aid relationship on a stronger setting providing certainty to partners</w:t>
      </w:r>
      <w:r w:rsidR="00DD03AF">
        <w:rPr>
          <w:lang w:eastAsia="en-US"/>
        </w:rPr>
        <w:t>.</w:t>
      </w:r>
      <w:r>
        <w:rPr>
          <w:lang w:eastAsia="en-US"/>
        </w:rPr>
        <w:t xml:space="preserve"> </w:t>
      </w:r>
    </w:p>
    <w:p w:rsidR="000D733F" w:rsidRPr="009E38C1" w:rsidRDefault="000D733F" w:rsidP="00355018">
      <w:pPr>
        <w:pStyle w:val="Heading2"/>
        <w:rPr>
          <w:sz w:val="28"/>
        </w:rPr>
      </w:pPr>
      <w:r w:rsidRPr="009E38C1">
        <w:rPr>
          <w:sz w:val="28"/>
        </w:rPr>
        <w:t>Expenditure</w:t>
      </w:r>
      <w:r w:rsidR="00286543">
        <w:rPr>
          <w:sz w:val="28"/>
        </w:rPr>
        <w:t xml:space="preserve"> </w:t>
      </w:r>
    </w:p>
    <w:p w:rsidR="000D733F" w:rsidRPr="00C57923" w:rsidRDefault="001C7D22" w:rsidP="001C7D22">
      <w:pPr>
        <w:pStyle w:val="ListBullet"/>
        <w:numPr>
          <w:ilvl w:val="0"/>
          <w:numId w:val="0"/>
        </w:numPr>
        <w:tabs>
          <w:tab w:val="clear" w:pos="284"/>
        </w:tabs>
      </w:pPr>
      <w:r>
        <w:t xml:space="preserve">Table </w:t>
      </w:r>
      <w:r w:rsidR="009036FF">
        <w:t xml:space="preserve">1 </w:t>
      </w:r>
      <w:r>
        <w:t xml:space="preserve">shows expenditure </w:t>
      </w:r>
      <w:r w:rsidR="000C5FD7" w:rsidRPr="000C5FD7">
        <w:t xml:space="preserve">from the bilateral program </w:t>
      </w:r>
      <w:r>
        <w:t>for financial year 2013-14 disaggregated by objective.</w:t>
      </w:r>
      <w:r w:rsidR="000C5FD7">
        <w:t xml:space="preserve"> </w:t>
      </w:r>
      <w:r w:rsidR="000C5FD7" w:rsidRPr="00C939DB">
        <w:rPr>
          <w:iCs/>
        </w:rPr>
        <w:t xml:space="preserve">Total ODA flows to Vanuatu include an estimated </w:t>
      </w:r>
      <w:r w:rsidR="001D72C5">
        <w:rPr>
          <w:iCs/>
        </w:rPr>
        <w:t>$17.8</w:t>
      </w:r>
      <w:r w:rsidR="00A07B81">
        <w:rPr>
          <w:iCs/>
        </w:rPr>
        <w:t xml:space="preserve"> million</w:t>
      </w:r>
      <w:r w:rsidR="000C5FD7" w:rsidRPr="00C939DB">
        <w:rPr>
          <w:iCs/>
        </w:rPr>
        <w:t xml:space="preserve"> </w:t>
      </w:r>
      <w:r w:rsidR="00A07B81">
        <w:rPr>
          <w:iCs/>
        </w:rPr>
        <w:t xml:space="preserve">from </w:t>
      </w:r>
      <w:r w:rsidR="000C5FD7" w:rsidRPr="00C939DB">
        <w:rPr>
          <w:iCs/>
        </w:rPr>
        <w:t>regional</w:t>
      </w:r>
      <w:r w:rsidR="000C5FD7">
        <w:rPr>
          <w:iCs/>
        </w:rPr>
        <w:t xml:space="preserve"> and</w:t>
      </w:r>
      <w:r w:rsidR="000C5FD7" w:rsidRPr="00C939DB">
        <w:rPr>
          <w:iCs/>
        </w:rPr>
        <w:t xml:space="preserve"> global </w:t>
      </w:r>
      <w:r w:rsidR="00A07B81">
        <w:rPr>
          <w:iCs/>
        </w:rPr>
        <w:t xml:space="preserve">sources </w:t>
      </w:r>
      <w:r w:rsidR="000C5FD7">
        <w:rPr>
          <w:iCs/>
        </w:rPr>
        <w:t xml:space="preserve">and </w:t>
      </w:r>
      <w:r w:rsidR="001D72C5">
        <w:rPr>
          <w:iCs/>
        </w:rPr>
        <w:t xml:space="preserve">$1.4 million from </w:t>
      </w:r>
      <w:r w:rsidR="000C5FD7">
        <w:rPr>
          <w:iCs/>
        </w:rPr>
        <w:t>other government department</w:t>
      </w:r>
      <w:r w:rsidR="00A07B81">
        <w:rPr>
          <w:iCs/>
        </w:rPr>
        <w:t>s</w:t>
      </w:r>
      <w:r w:rsidR="000C5FD7">
        <w:rPr>
          <w:iCs/>
        </w:rPr>
        <w:t>. Pacific regional funding</w:t>
      </w:r>
      <w:r w:rsidR="000C5FD7" w:rsidRPr="00C939DB">
        <w:rPr>
          <w:iCs/>
        </w:rPr>
        <w:t xml:space="preserve"> is reported on in </w:t>
      </w:r>
      <w:r w:rsidR="000C5FD7">
        <w:rPr>
          <w:iCs/>
        </w:rPr>
        <w:t xml:space="preserve">a </w:t>
      </w:r>
      <w:r w:rsidR="000C5FD7" w:rsidRPr="00C939DB">
        <w:rPr>
          <w:iCs/>
        </w:rPr>
        <w:t>separate APPR</w:t>
      </w:r>
      <w:r w:rsidR="000C5FD7">
        <w:t>. Australian Federal Police (AFP) policing activities</w:t>
      </w:r>
      <w:r w:rsidR="007540D1">
        <w:t xml:space="preserve"> in Vanuatu</w:t>
      </w:r>
      <w:r w:rsidR="000C5FD7">
        <w:t xml:space="preserve"> (see Objective 5) are funded through DFAT.</w:t>
      </w:r>
    </w:p>
    <w:p w:rsidR="007E2350" w:rsidRDefault="007E2350">
      <w:pPr>
        <w:spacing w:after="200" w:line="276" w:lineRule="auto"/>
        <w:rPr>
          <w:rFonts w:ascii="Franklin Gothic Book" w:eastAsia="Times New Roman" w:hAnsi="Franklin Gothic Book" w:cs="Arial"/>
          <w:szCs w:val="19"/>
        </w:rPr>
      </w:pPr>
      <w:bookmarkStart w:id="2" w:name="_Toc373853206"/>
      <w:r>
        <w:br w:type="page"/>
      </w:r>
    </w:p>
    <w:p w:rsidR="000D733F" w:rsidRDefault="000D733F" w:rsidP="000D733F">
      <w:pPr>
        <w:pStyle w:val="Caption"/>
      </w:pPr>
      <w:r>
        <w:t xml:space="preserve">Table </w:t>
      </w:r>
      <w:fldSimple w:instr=" SEQ Table \* ARABIC ">
        <w:r w:rsidR="00D8037A">
          <w:rPr>
            <w:noProof/>
          </w:rPr>
          <w:t>1</w:t>
        </w:r>
      </w:fldSimple>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0D733F"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180B19" w:rsidRDefault="000D733F" w:rsidP="000D733F">
            <w:pPr>
              <w:pStyle w:val="TableHeading1"/>
            </w:pPr>
            <w:r w:rsidRPr="00180B19">
              <w:t>Objective</w:t>
            </w:r>
          </w:p>
        </w:tc>
        <w:tc>
          <w:tcPr>
            <w:tcW w:w="990" w:type="dxa"/>
          </w:tcPr>
          <w:p w:rsidR="000D733F" w:rsidRPr="00180B19" w:rsidRDefault="000D733F" w:rsidP="000D733F">
            <w:pPr>
              <w:pStyle w:val="TableHeading1"/>
            </w:pPr>
            <w:r w:rsidRPr="00180B19">
              <w:t>A$ million</w:t>
            </w:r>
          </w:p>
        </w:tc>
        <w:tc>
          <w:tcPr>
            <w:tcW w:w="1464" w:type="dxa"/>
          </w:tcPr>
          <w:p w:rsidR="000D733F" w:rsidRPr="00180B19" w:rsidRDefault="0026779A" w:rsidP="000D733F">
            <w:pPr>
              <w:pStyle w:val="TableHeading1"/>
            </w:pPr>
            <w:r>
              <w:t xml:space="preserve"> per cent</w:t>
            </w:r>
            <w:r w:rsidR="000D733F" w:rsidRPr="00180B19">
              <w:t xml:space="preserve"> of bilateral program</w:t>
            </w:r>
          </w:p>
        </w:tc>
      </w:tr>
      <w:tr w:rsidR="00164A43"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164A43" w:rsidRPr="00C57923" w:rsidRDefault="00164A43" w:rsidP="00337C41">
            <w:pPr>
              <w:pStyle w:val="TableTextEntries"/>
            </w:pPr>
            <w:r>
              <w:t xml:space="preserve">Education </w:t>
            </w:r>
          </w:p>
        </w:tc>
        <w:tc>
          <w:tcPr>
            <w:tcW w:w="990" w:type="dxa"/>
          </w:tcPr>
          <w:p w:rsidR="00164A43" w:rsidRPr="00C57923" w:rsidRDefault="00164A43" w:rsidP="00164A43">
            <w:pPr>
              <w:pStyle w:val="TableTextEntries"/>
            </w:pPr>
            <w:r>
              <w:t>12.8</w:t>
            </w:r>
          </w:p>
        </w:tc>
        <w:tc>
          <w:tcPr>
            <w:tcW w:w="1464" w:type="dxa"/>
          </w:tcPr>
          <w:p w:rsidR="00164A43" w:rsidRPr="00C57923" w:rsidRDefault="00164A43" w:rsidP="00164A43">
            <w:pPr>
              <w:pStyle w:val="TableTextEntries"/>
            </w:pPr>
            <w:r>
              <w:t>31.4</w:t>
            </w:r>
          </w:p>
        </w:tc>
      </w:tr>
      <w:tr w:rsidR="00164A43"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164A43" w:rsidRPr="00C57923" w:rsidRDefault="00164A43" w:rsidP="00164A43">
            <w:pPr>
              <w:pStyle w:val="TableTextEntries"/>
            </w:pPr>
            <w:r>
              <w:t>Health</w:t>
            </w:r>
          </w:p>
        </w:tc>
        <w:tc>
          <w:tcPr>
            <w:tcW w:w="990" w:type="dxa"/>
          </w:tcPr>
          <w:p w:rsidR="00164A43" w:rsidRPr="00C57923" w:rsidRDefault="00164A43" w:rsidP="00164A43">
            <w:pPr>
              <w:pStyle w:val="TableTextEntries"/>
            </w:pPr>
            <w:r>
              <w:t>4.6</w:t>
            </w:r>
          </w:p>
        </w:tc>
        <w:tc>
          <w:tcPr>
            <w:tcW w:w="1464" w:type="dxa"/>
          </w:tcPr>
          <w:p w:rsidR="00164A43" w:rsidRPr="00C57923" w:rsidRDefault="00164A43" w:rsidP="00164A43">
            <w:pPr>
              <w:pStyle w:val="TableTextEntries"/>
            </w:pPr>
            <w:r>
              <w:t>11.2</w:t>
            </w:r>
          </w:p>
        </w:tc>
      </w:tr>
      <w:tr w:rsidR="00164A43"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164A43" w:rsidRPr="00C57923" w:rsidRDefault="00164A43" w:rsidP="00164A43">
            <w:pPr>
              <w:pStyle w:val="TableTextEntries"/>
            </w:pPr>
            <w:r>
              <w:t>Economic Governance</w:t>
            </w:r>
          </w:p>
        </w:tc>
        <w:tc>
          <w:tcPr>
            <w:tcW w:w="990" w:type="dxa"/>
          </w:tcPr>
          <w:p w:rsidR="00164A43" w:rsidRPr="00C57923" w:rsidRDefault="00164A43" w:rsidP="00164A43">
            <w:pPr>
              <w:pStyle w:val="TableTextEntries"/>
            </w:pPr>
            <w:r>
              <w:t>8.8</w:t>
            </w:r>
          </w:p>
        </w:tc>
        <w:tc>
          <w:tcPr>
            <w:tcW w:w="1464" w:type="dxa"/>
          </w:tcPr>
          <w:p w:rsidR="00164A43" w:rsidRPr="00C57923" w:rsidRDefault="00164A43" w:rsidP="00164A43">
            <w:pPr>
              <w:pStyle w:val="TableTextEntries"/>
            </w:pPr>
            <w:r>
              <w:t>21.6</w:t>
            </w:r>
          </w:p>
        </w:tc>
      </w:tr>
      <w:tr w:rsidR="00164A43"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164A43" w:rsidRDefault="00164A43" w:rsidP="00164A43">
            <w:pPr>
              <w:pStyle w:val="TableTextEntries"/>
            </w:pPr>
            <w:r>
              <w:t>Infrastructure</w:t>
            </w:r>
          </w:p>
        </w:tc>
        <w:tc>
          <w:tcPr>
            <w:tcW w:w="990" w:type="dxa"/>
          </w:tcPr>
          <w:p w:rsidR="00164A43" w:rsidRPr="00C57923" w:rsidRDefault="00164A43" w:rsidP="00164A43">
            <w:pPr>
              <w:pStyle w:val="TableTextEntries"/>
            </w:pPr>
            <w:r>
              <w:t>8.7</w:t>
            </w:r>
          </w:p>
        </w:tc>
        <w:tc>
          <w:tcPr>
            <w:tcW w:w="1464" w:type="dxa"/>
          </w:tcPr>
          <w:p w:rsidR="00164A43" w:rsidRPr="00C57923" w:rsidRDefault="00164A43" w:rsidP="00164A43">
            <w:pPr>
              <w:pStyle w:val="TableTextEntries"/>
            </w:pPr>
            <w:r>
              <w:t>21.4</w:t>
            </w:r>
          </w:p>
        </w:tc>
      </w:tr>
      <w:tr w:rsidR="00164A43"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164A43" w:rsidRDefault="00164A43" w:rsidP="00164A43">
            <w:pPr>
              <w:pStyle w:val="TableTextEntries"/>
            </w:pPr>
            <w:r>
              <w:t>Law and Justice</w:t>
            </w:r>
          </w:p>
        </w:tc>
        <w:tc>
          <w:tcPr>
            <w:tcW w:w="990" w:type="dxa"/>
          </w:tcPr>
          <w:p w:rsidR="00164A43" w:rsidRPr="00C57923" w:rsidRDefault="00164A43" w:rsidP="00164A43">
            <w:pPr>
              <w:pStyle w:val="TableTextEntries"/>
            </w:pPr>
            <w:r>
              <w:t>5.7</w:t>
            </w:r>
          </w:p>
        </w:tc>
        <w:tc>
          <w:tcPr>
            <w:tcW w:w="1464" w:type="dxa"/>
          </w:tcPr>
          <w:p w:rsidR="00164A43" w:rsidRPr="00C57923" w:rsidRDefault="00164A43" w:rsidP="00164A43">
            <w:pPr>
              <w:pStyle w:val="TableTextEntries"/>
            </w:pPr>
            <w:r>
              <w:t>14.14</w:t>
            </w:r>
          </w:p>
        </w:tc>
      </w:tr>
      <w:tr w:rsidR="00337C41" w:rsidRPr="00180B1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337C41" w:rsidRDefault="00337C41" w:rsidP="00337C41">
            <w:pPr>
              <w:pStyle w:val="TableTextEntries"/>
            </w:pPr>
            <w:r>
              <w:t>Disaster Response</w:t>
            </w:r>
          </w:p>
        </w:tc>
        <w:tc>
          <w:tcPr>
            <w:tcW w:w="990" w:type="dxa"/>
          </w:tcPr>
          <w:p w:rsidR="00337C41" w:rsidRDefault="00337C41" w:rsidP="00337C41">
            <w:pPr>
              <w:pStyle w:val="TableTextEntries"/>
            </w:pPr>
            <w:r>
              <w:t>0.04</w:t>
            </w:r>
          </w:p>
        </w:tc>
        <w:tc>
          <w:tcPr>
            <w:tcW w:w="1464" w:type="dxa"/>
          </w:tcPr>
          <w:p w:rsidR="00337C41" w:rsidRDefault="00337C41" w:rsidP="00337C41">
            <w:pPr>
              <w:pStyle w:val="TableTextEntries"/>
            </w:pPr>
            <w:r>
              <w:t>0.1</w:t>
            </w:r>
          </w:p>
        </w:tc>
      </w:tr>
      <w:tr w:rsidR="00C472A9" w:rsidRPr="00D75449" w:rsidTr="00164A43">
        <w:trPr>
          <w:cnfStyle w:val="000000010000" w:firstRow="0" w:lastRow="0" w:firstColumn="0" w:lastColumn="0" w:oddVBand="0" w:evenVBand="0" w:oddHBand="0" w:evenHBand="1" w:firstRowFirstColumn="0" w:firstRowLastColumn="0" w:lastRowFirstColumn="0" w:lastRowLastColumn="0"/>
        </w:trPr>
        <w:tc>
          <w:tcPr>
            <w:tcW w:w="6211" w:type="dxa"/>
          </w:tcPr>
          <w:p w:rsidR="00C472A9" w:rsidRPr="00D75449" w:rsidRDefault="00C472A9" w:rsidP="00337C41">
            <w:pPr>
              <w:pStyle w:val="TableTextEntries"/>
              <w:rPr>
                <w:b/>
              </w:rPr>
            </w:pPr>
            <w:r w:rsidRPr="00D75449">
              <w:rPr>
                <w:b/>
              </w:rPr>
              <w:t>Total bilateral ODA</w:t>
            </w:r>
          </w:p>
        </w:tc>
        <w:tc>
          <w:tcPr>
            <w:tcW w:w="990" w:type="dxa"/>
          </w:tcPr>
          <w:p w:rsidR="00C472A9" w:rsidRPr="00D75449" w:rsidRDefault="00C472A9" w:rsidP="00337C41">
            <w:pPr>
              <w:pStyle w:val="TableTextEntries"/>
              <w:rPr>
                <w:b/>
              </w:rPr>
            </w:pPr>
            <w:r w:rsidRPr="00D75449">
              <w:rPr>
                <w:b/>
              </w:rPr>
              <w:t>40.6</w:t>
            </w:r>
          </w:p>
        </w:tc>
        <w:tc>
          <w:tcPr>
            <w:tcW w:w="1464" w:type="dxa"/>
          </w:tcPr>
          <w:p w:rsidR="00C472A9" w:rsidRPr="00D75449" w:rsidRDefault="000C5FD7" w:rsidP="00337C41">
            <w:pPr>
              <w:pStyle w:val="TableTextEntries"/>
              <w:rPr>
                <w:b/>
              </w:rPr>
            </w:pPr>
            <w:r w:rsidRPr="00D75449">
              <w:rPr>
                <w:b/>
              </w:rPr>
              <w:t>100</w:t>
            </w:r>
          </w:p>
        </w:tc>
      </w:tr>
    </w:tbl>
    <w:p w:rsidR="000D733F" w:rsidRDefault="000D733F" w:rsidP="005C2C57">
      <w:pPr>
        <w:pStyle w:val="Note"/>
      </w:pPr>
      <w:r w:rsidRPr="00180B19">
        <w:t>Source:</w:t>
      </w:r>
      <w:r w:rsidR="00164A43">
        <w:t xml:space="preserve"> DFAT (expenditure as at July 2014</w:t>
      </w:r>
    </w:p>
    <w:p w:rsidR="004E2916" w:rsidRPr="00C57923" w:rsidRDefault="000D733F" w:rsidP="004E2916">
      <w:pPr>
        <w:pStyle w:val="Heading3"/>
      </w:pPr>
      <w:r w:rsidRPr="009E38C1">
        <w:rPr>
          <w:b w:val="0"/>
          <w:color w:val="007FAD"/>
          <w:sz w:val="28"/>
          <w:szCs w:val="28"/>
          <w:lang w:eastAsia="en-AU"/>
        </w:rPr>
        <w:t>Progress towards objectives</w:t>
      </w:r>
      <w:r>
        <w:rPr>
          <w:sz w:val="32"/>
          <w:szCs w:val="32"/>
        </w:rPr>
        <w:tab/>
      </w:r>
    </w:p>
    <w:p w:rsidR="001943B6" w:rsidRPr="00C57923" w:rsidRDefault="004E2916" w:rsidP="00703696">
      <w:pPr>
        <w:pStyle w:val="BodyText"/>
        <w:rPr>
          <w:lang w:eastAsia="en-US"/>
        </w:rPr>
      </w:pPr>
      <w:r>
        <w:rPr>
          <w:lang w:eastAsia="en-US"/>
        </w:rPr>
        <w:t xml:space="preserve">Table </w:t>
      </w:r>
      <w:r w:rsidR="007B290F">
        <w:rPr>
          <w:lang w:eastAsia="en-US"/>
        </w:rPr>
        <w:t xml:space="preserve">two </w:t>
      </w:r>
      <w:r>
        <w:rPr>
          <w:lang w:eastAsia="en-US"/>
        </w:rPr>
        <w:t>summarises progr</w:t>
      </w:r>
      <w:r w:rsidR="00703696">
        <w:rPr>
          <w:lang w:eastAsia="en-US"/>
        </w:rPr>
        <w:t>ess against Australia’s five objectives in Vanuatu as articulated in the Partnership for Development</w:t>
      </w:r>
      <w:r w:rsidR="007B290F">
        <w:rPr>
          <w:lang w:eastAsia="en-US"/>
        </w:rPr>
        <w:t>.</w:t>
      </w:r>
    </w:p>
    <w:p w:rsidR="000D733F" w:rsidRDefault="000D733F" w:rsidP="000D733F">
      <w:pPr>
        <w:pStyle w:val="Caption"/>
      </w:pPr>
      <w:r>
        <w:t xml:space="preserve">Table </w:t>
      </w:r>
      <w:fldSimple w:instr=" SEQ Table \* ARABIC ">
        <w:r w:rsidR="00D8037A">
          <w:rPr>
            <w:noProof/>
          </w:rPr>
          <w:t>2</w:t>
        </w:r>
      </w:fldSimple>
      <w:r>
        <w:t xml:space="preserve"> Rating of the program's progress towards Australia’s 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0D733F">
            <w:pPr>
              <w:pStyle w:val="TableTextColumnHeading"/>
            </w:pPr>
            <w:r w:rsidRPr="0019341B">
              <w:rPr>
                <w:noProof/>
                <w:lang w:eastAsia="en-AU"/>
              </w:rPr>
              <w:drawing>
                <wp:anchor distT="0" distB="0" distL="114300" distR="114300" simplePos="0" relativeHeight="251662336" behindDoc="0" locked="0" layoutInCell="1" allowOverlap="1" wp14:anchorId="3E96E7DA" wp14:editId="3E49773A">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0D733F" w:rsidP="000D733F">
            <w:pPr>
              <w:pStyle w:val="TableTextColumnHeading"/>
            </w:pPr>
            <w:r>
              <w:t>Current Rating</w:t>
            </w:r>
          </w:p>
        </w:tc>
        <w:tc>
          <w:tcPr>
            <w:tcW w:w="388" w:type="dxa"/>
          </w:tcPr>
          <w:p w:rsidR="000D733F" w:rsidRDefault="000D733F" w:rsidP="000D733F">
            <w:pPr>
              <w:pStyle w:val="TableTextColumnHeading"/>
            </w:pPr>
          </w:p>
        </w:tc>
        <w:tc>
          <w:tcPr>
            <w:tcW w:w="1021" w:type="dxa"/>
          </w:tcPr>
          <w:p w:rsidR="000D733F" w:rsidRPr="0019341B" w:rsidRDefault="000D733F" w:rsidP="000D733F">
            <w:pPr>
              <w:pStyle w:val="TableTextColumnHeading"/>
            </w:pPr>
            <w:r>
              <w:t>Previous Rating</w:t>
            </w:r>
          </w:p>
        </w:tc>
      </w:tr>
      <w:tr w:rsidR="000D733F" w:rsidRPr="009D53C4" w:rsidTr="001532E3">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8E380C" w:rsidP="000D733F">
            <w:pPr>
              <w:pStyle w:val="TableTextEntries"/>
            </w:pPr>
            <w:r w:rsidRPr="008E380C">
              <w:t>Support increased access to and quality of education for all boys and girls, and equip them with skills and knowledge</w:t>
            </w:r>
          </w:p>
        </w:tc>
        <w:tc>
          <w:tcPr>
            <w:tcW w:w="972" w:type="dxa"/>
            <w:shd w:val="clear" w:color="auto" w:fill="92D050"/>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r>
      <w:tr w:rsidR="000D733F" w:rsidRPr="009D53C4" w:rsidTr="008E380C">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8E380C" w:rsidP="000D733F">
            <w:pPr>
              <w:pStyle w:val="TableTextEntries"/>
            </w:pPr>
            <w:r w:rsidRPr="008E380C">
              <w:t>Strengthen health services and accelerate progress towards health MDGs</w:t>
            </w:r>
          </w:p>
        </w:tc>
        <w:tc>
          <w:tcPr>
            <w:tcW w:w="972"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themeFill="accent6" w:themeFillShade="BF"/>
            <w:noWrap/>
          </w:tcPr>
          <w:p w:rsidR="000D733F" w:rsidRPr="00443639" w:rsidRDefault="008E380C" w:rsidP="000D733F">
            <w:pPr>
              <w:pStyle w:val="TableTextEntries"/>
              <w:jc w:val="center"/>
              <w:rPr>
                <w:color w:val="FFFFFF" w:themeColor="background1"/>
              </w:rPr>
            </w:pPr>
            <w:r w:rsidRPr="00443639">
              <w:rPr>
                <w:color w:val="FFFFFF" w:themeColor="background1"/>
              </w:rPr>
              <w:t>Amber</w:t>
            </w:r>
          </w:p>
        </w:tc>
      </w:tr>
      <w:tr w:rsidR="000D733F" w:rsidRPr="009D53C4" w:rsidTr="00C171A8">
        <w:trPr>
          <w:cnfStyle w:val="000000010000" w:firstRow="0" w:lastRow="0" w:firstColumn="0" w:lastColumn="0" w:oddVBand="0" w:evenVBand="0" w:oddHBand="0" w:evenHBand="1" w:firstRowFirstColumn="0" w:firstRowLastColumn="0" w:lastRowFirstColumn="0" w:lastRowLastColumn="0"/>
        </w:trPr>
        <w:tc>
          <w:tcPr>
            <w:tcW w:w="6029" w:type="dxa"/>
          </w:tcPr>
          <w:p w:rsidR="000D733F" w:rsidRDefault="001153FA" w:rsidP="000D733F">
            <w:pPr>
              <w:pStyle w:val="TableTextEntries"/>
            </w:pPr>
            <w:r w:rsidRPr="001153FA">
              <w:t>Progress reform on economic governance issues</w:t>
            </w:r>
          </w:p>
        </w:tc>
        <w:tc>
          <w:tcPr>
            <w:tcW w:w="972" w:type="dxa"/>
            <w:shd w:val="clear" w:color="auto" w:fill="92D050"/>
            <w:noWrap/>
          </w:tcPr>
          <w:p w:rsidR="000D733F" w:rsidRPr="00443639" w:rsidRDefault="0041689A" w:rsidP="000D733F">
            <w:pPr>
              <w:pStyle w:val="TableTextEntries"/>
              <w:jc w:val="center"/>
              <w:rPr>
                <w:color w:val="FFFFFF" w:themeColor="background1"/>
              </w:rPr>
            </w:pPr>
            <w:r>
              <w:rPr>
                <w:color w:val="FFFFFF" w:themeColor="background1"/>
              </w:rPr>
              <w:t>Green</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92D050"/>
            <w:noWrap/>
          </w:tcPr>
          <w:p w:rsidR="000D733F" w:rsidRPr="00443639" w:rsidRDefault="003C7137" w:rsidP="000D733F">
            <w:pPr>
              <w:pStyle w:val="TableTextEntries"/>
              <w:jc w:val="center"/>
              <w:rPr>
                <w:color w:val="FFFFFF" w:themeColor="background1"/>
              </w:rPr>
            </w:pPr>
            <w:r>
              <w:rPr>
                <w:color w:val="FFFFFF" w:themeColor="background1"/>
              </w:rPr>
              <w:t>Green</w:t>
            </w:r>
          </w:p>
        </w:tc>
      </w:tr>
      <w:tr w:rsidR="001153FA" w:rsidRPr="009D53C4" w:rsidTr="001532E3">
        <w:trPr>
          <w:cnfStyle w:val="000000010000" w:firstRow="0" w:lastRow="0" w:firstColumn="0" w:lastColumn="0" w:oddVBand="0" w:evenVBand="0" w:oddHBand="0" w:evenHBand="1" w:firstRowFirstColumn="0" w:firstRowLastColumn="0" w:lastRowFirstColumn="0" w:lastRowLastColumn="0"/>
        </w:trPr>
        <w:tc>
          <w:tcPr>
            <w:tcW w:w="6029" w:type="dxa"/>
          </w:tcPr>
          <w:p w:rsidR="001153FA" w:rsidRPr="001153FA" w:rsidRDefault="001153FA" w:rsidP="000D733F">
            <w:pPr>
              <w:pStyle w:val="TableTextEntries"/>
            </w:pPr>
            <w:r w:rsidRPr="001153FA">
              <w:t>Develop essential infrastructure to support economic growth and service delivery</w:t>
            </w:r>
          </w:p>
        </w:tc>
        <w:tc>
          <w:tcPr>
            <w:tcW w:w="972" w:type="dxa"/>
            <w:shd w:val="clear" w:color="auto" w:fill="E36C0A" w:themeFill="accent6" w:themeFillShade="BF"/>
            <w:noWrap/>
          </w:tcPr>
          <w:p w:rsidR="001153FA" w:rsidRPr="00443639" w:rsidRDefault="001532E3" w:rsidP="000D733F">
            <w:pPr>
              <w:pStyle w:val="TableTextEntries"/>
              <w:jc w:val="center"/>
              <w:rPr>
                <w:color w:val="FFFFFF" w:themeColor="background1"/>
              </w:rPr>
            </w:pPr>
            <w:r>
              <w:rPr>
                <w:color w:val="FFFFFF" w:themeColor="background1"/>
              </w:rPr>
              <w:t>Amber</w:t>
            </w:r>
          </w:p>
        </w:tc>
        <w:tc>
          <w:tcPr>
            <w:tcW w:w="388" w:type="dxa"/>
          </w:tcPr>
          <w:p w:rsidR="001153FA" w:rsidRPr="00443639" w:rsidRDefault="001153FA" w:rsidP="000D733F">
            <w:pPr>
              <w:pStyle w:val="TableTextEntries"/>
              <w:jc w:val="center"/>
              <w:rPr>
                <w:color w:val="FFFFFF" w:themeColor="background1"/>
              </w:rPr>
            </w:pPr>
          </w:p>
        </w:tc>
        <w:tc>
          <w:tcPr>
            <w:tcW w:w="1021" w:type="dxa"/>
            <w:shd w:val="clear" w:color="auto" w:fill="92D050"/>
            <w:noWrap/>
          </w:tcPr>
          <w:p w:rsidR="001153FA" w:rsidRDefault="001153FA" w:rsidP="000D733F">
            <w:pPr>
              <w:pStyle w:val="TableTextEntries"/>
              <w:jc w:val="center"/>
              <w:rPr>
                <w:color w:val="FFFFFF" w:themeColor="background1"/>
              </w:rPr>
            </w:pPr>
            <w:r>
              <w:rPr>
                <w:color w:val="FFFFFF" w:themeColor="background1"/>
              </w:rPr>
              <w:t>Green</w:t>
            </w:r>
          </w:p>
        </w:tc>
      </w:tr>
      <w:tr w:rsidR="001153FA" w:rsidRPr="009D53C4" w:rsidTr="004D1D81">
        <w:trPr>
          <w:cnfStyle w:val="000000010000" w:firstRow="0" w:lastRow="0" w:firstColumn="0" w:lastColumn="0" w:oddVBand="0" w:evenVBand="0" w:oddHBand="0" w:evenHBand="1" w:firstRowFirstColumn="0" w:firstRowLastColumn="0" w:lastRowFirstColumn="0" w:lastRowLastColumn="0"/>
        </w:trPr>
        <w:tc>
          <w:tcPr>
            <w:tcW w:w="6029" w:type="dxa"/>
          </w:tcPr>
          <w:p w:rsidR="001153FA" w:rsidRPr="001153FA" w:rsidRDefault="004D1D81" w:rsidP="000D733F">
            <w:pPr>
              <w:pStyle w:val="TableTextEntries"/>
            </w:pPr>
            <w:r w:rsidRPr="004D1D81">
              <w:t>More effective legal institutions and improved police services</w:t>
            </w:r>
          </w:p>
        </w:tc>
        <w:tc>
          <w:tcPr>
            <w:tcW w:w="972" w:type="dxa"/>
            <w:shd w:val="clear" w:color="auto" w:fill="92D050"/>
            <w:noWrap/>
          </w:tcPr>
          <w:p w:rsidR="001153FA" w:rsidRPr="00443639" w:rsidRDefault="004D1D81" w:rsidP="000D733F">
            <w:pPr>
              <w:pStyle w:val="TableTextEntries"/>
              <w:jc w:val="center"/>
              <w:rPr>
                <w:color w:val="FFFFFF" w:themeColor="background1"/>
              </w:rPr>
            </w:pPr>
            <w:r>
              <w:rPr>
                <w:color w:val="FFFFFF" w:themeColor="background1"/>
              </w:rPr>
              <w:t>Green</w:t>
            </w:r>
          </w:p>
        </w:tc>
        <w:tc>
          <w:tcPr>
            <w:tcW w:w="388" w:type="dxa"/>
          </w:tcPr>
          <w:p w:rsidR="001153FA" w:rsidRPr="00443639" w:rsidRDefault="001153FA" w:rsidP="000D733F">
            <w:pPr>
              <w:pStyle w:val="TableTextEntries"/>
              <w:jc w:val="center"/>
              <w:rPr>
                <w:color w:val="FFFFFF" w:themeColor="background1"/>
              </w:rPr>
            </w:pPr>
          </w:p>
        </w:tc>
        <w:tc>
          <w:tcPr>
            <w:tcW w:w="1021" w:type="dxa"/>
            <w:shd w:val="clear" w:color="auto" w:fill="E36C0A" w:themeFill="accent6" w:themeFillShade="BF"/>
            <w:noWrap/>
          </w:tcPr>
          <w:p w:rsidR="001153FA" w:rsidRDefault="004D1D81" w:rsidP="000D733F">
            <w:pPr>
              <w:pStyle w:val="TableTextEntries"/>
              <w:jc w:val="center"/>
              <w:rPr>
                <w:color w:val="FFFFFF" w:themeColor="background1"/>
              </w:rPr>
            </w:pPr>
            <w:r>
              <w:rPr>
                <w:color w:val="FFFFFF" w:themeColor="background1"/>
              </w:rPr>
              <w:t>Amber</w:t>
            </w:r>
          </w:p>
        </w:tc>
      </w:tr>
    </w:tbl>
    <w:p w:rsidR="000D733F" w:rsidRPr="00180B19" w:rsidRDefault="000D733F" w:rsidP="005C2C57">
      <w:pPr>
        <w:pStyle w:val="Note"/>
      </w:pPr>
      <w:r w:rsidRPr="00180B19">
        <w:t xml:space="preserve">Note: </w:t>
      </w:r>
    </w:p>
    <w:p w:rsidR="000D733F" w:rsidRPr="00180B19" w:rsidRDefault="000D733F" w:rsidP="005C2C57">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5C2C57">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5C2C57">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1D6059" w:rsidRDefault="000D733F" w:rsidP="007E2350">
      <w:pPr>
        <w:pStyle w:val="Note"/>
      </w:pPr>
      <w:r>
        <w:t xml:space="preserve">Reporting period: </w:t>
      </w:r>
      <w:r w:rsidRPr="00180B19">
        <w:t xml:space="preserve"> </w:t>
      </w:r>
    </w:p>
    <w:p w:rsidR="00703696" w:rsidRPr="00703696" w:rsidRDefault="00703696" w:rsidP="00703696">
      <w:pPr>
        <w:numPr>
          <w:ilvl w:val="2"/>
          <w:numId w:val="0"/>
        </w:numPr>
        <w:spacing w:before="240" w:after="120"/>
        <w:outlineLvl w:val="2"/>
        <w:rPr>
          <w:rFonts w:ascii="Helvetica" w:eastAsia="Times New Roman" w:hAnsi="Helvetica" w:cs="Arial"/>
          <w:b/>
          <w:color w:val="124486"/>
          <w:kern w:val="28"/>
          <w:sz w:val="22"/>
          <w:szCs w:val="22"/>
          <w:lang w:eastAsia="zh-CN"/>
        </w:rPr>
      </w:pPr>
      <w:r w:rsidRPr="00703696">
        <w:rPr>
          <w:rFonts w:ascii="Helvetica" w:eastAsia="Times New Roman" w:hAnsi="Helvetica" w:cs="Arial"/>
          <w:b/>
          <w:color w:val="124486"/>
          <w:kern w:val="28"/>
          <w:sz w:val="22"/>
          <w:szCs w:val="22"/>
          <w:lang w:eastAsia="zh-CN"/>
        </w:rPr>
        <w:t>Objective 1: Support increased access to and quality of education for all boys and girls, and equip them with skills and knowledge</w:t>
      </w:r>
    </w:p>
    <w:p w:rsidR="00094CA6" w:rsidRDefault="00703696" w:rsidP="00703696">
      <w:pPr>
        <w:spacing w:after="160" w:line="280" w:lineRule="exact"/>
        <w:rPr>
          <w:rFonts w:ascii="Franklin Gothic Book" w:eastAsia="Times New Roman" w:hAnsi="Franklin Gothic Book"/>
          <w:sz w:val="21"/>
          <w:lang w:eastAsia="zh-CN"/>
        </w:rPr>
      </w:pPr>
      <w:r w:rsidRPr="00703696">
        <w:rPr>
          <w:rFonts w:ascii="Franklin Gothic Book" w:eastAsia="Times New Roman" w:hAnsi="Franklin Gothic Book"/>
          <w:sz w:val="21"/>
          <w:lang w:eastAsia="zh-CN"/>
        </w:rPr>
        <w:t xml:space="preserve">The objective </w:t>
      </w:r>
      <w:r w:rsidR="00A963A5">
        <w:rPr>
          <w:rFonts w:ascii="Franklin Gothic Book" w:eastAsia="Times New Roman" w:hAnsi="Franklin Gothic Book"/>
          <w:sz w:val="21"/>
          <w:lang w:eastAsia="zh-CN"/>
        </w:rPr>
        <w:t>is</w:t>
      </w:r>
      <w:r w:rsidRPr="00703696">
        <w:rPr>
          <w:rFonts w:ascii="Franklin Gothic Book" w:eastAsia="Times New Roman" w:hAnsi="Franklin Gothic Book"/>
          <w:sz w:val="21"/>
          <w:lang w:eastAsia="zh-CN"/>
        </w:rPr>
        <w:t xml:space="preserve"> rated green </w:t>
      </w:r>
      <w:r w:rsidR="00286543">
        <w:rPr>
          <w:rFonts w:ascii="Franklin Gothic Book" w:eastAsia="Times New Roman" w:hAnsi="Franklin Gothic Book"/>
          <w:sz w:val="21"/>
          <w:lang w:eastAsia="zh-CN"/>
        </w:rPr>
        <w:t xml:space="preserve">overall. Despite slow progress with the ending of </w:t>
      </w:r>
      <w:r w:rsidR="0041689A">
        <w:rPr>
          <w:rFonts w:ascii="Franklin Gothic Book" w:eastAsia="Times New Roman" w:hAnsi="Franklin Gothic Book"/>
          <w:sz w:val="21"/>
          <w:lang w:eastAsia="zh-CN"/>
        </w:rPr>
        <w:t xml:space="preserve">our </w:t>
      </w:r>
      <w:r w:rsidR="00286543">
        <w:rPr>
          <w:rFonts w:ascii="Franklin Gothic Book" w:eastAsia="Times New Roman" w:hAnsi="Franklin Gothic Book"/>
          <w:sz w:val="21"/>
          <w:lang w:eastAsia="zh-CN"/>
        </w:rPr>
        <w:t>Vanuatu Education Road Map (VERM)</w:t>
      </w:r>
      <w:r w:rsidR="0041689A">
        <w:rPr>
          <w:rFonts w:ascii="Franklin Gothic Book" w:eastAsia="Times New Roman" w:hAnsi="Franklin Gothic Book"/>
          <w:sz w:val="21"/>
          <w:lang w:eastAsia="zh-CN"/>
        </w:rPr>
        <w:t xml:space="preserve"> initiative</w:t>
      </w:r>
      <w:r w:rsidR="00286543">
        <w:rPr>
          <w:rFonts w:ascii="Franklin Gothic Book" w:eastAsia="Times New Roman" w:hAnsi="Franklin Gothic Book"/>
          <w:sz w:val="21"/>
          <w:lang w:eastAsia="zh-CN"/>
        </w:rPr>
        <w:t xml:space="preserve"> and </w:t>
      </w:r>
      <w:r w:rsidR="005345AF">
        <w:rPr>
          <w:rFonts w:ascii="Franklin Gothic Book" w:eastAsia="Times New Roman" w:hAnsi="Franklin Gothic Book"/>
          <w:sz w:val="21"/>
          <w:lang w:eastAsia="zh-CN"/>
        </w:rPr>
        <w:t xml:space="preserve">the commencement </w:t>
      </w:r>
      <w:r w:rsidR="00286543">
        <w:rPr>
          <w:rFonts w:ascii="Franklin Gothic Book" w:eastAsia="Times New Roman" w:hAnsi="Franklin Gothic Book"/>
          <w:sz w:val="21"/>
          <w:lang w:eastAsia="zh-CN"/>
        </w:rPr>
        <w:t xml:space="preserve">of the Vanuatu Education Support Program (VESP), progress with the </w:t>
      </w:r>
      <w:r w:rsidRPr="00703696">
        <w:rPr>
          <w:rFonts w:ascii="Franklin Gothic Book" w:eastAsia="Times New Roman" w:hAnsi="Franklin Gothic Book"/>
          <w:sz w:val="21"/>
          <w:lang w:eastAsia="zh-CN"/>
        </w:rPr>
        <w:t>T</w:t>
      </w:r>
      <w:r w:rsidR="00286543">
        <w:rPr>
          <w:rFonts w:ascii="Franklin Gothic Book" w:eastAsia="Times New Roman" w:hAnsi="Franklin Gothic Book"/>
          <w:sz w:val="21"/>
          <w:lang w:eastAsia="zh-CN"/>
        </w:rPr>
        <w:t xml:space="preserve">echnical and Vocational Education and </w:t>
      </w:r>
      <w:r w:rsidR="00DF671F">
        <w:rPr>
          <w:rFonts w:ascii="Franklin Gothic Book" w:eastAsia="Times New Roman" w:hAnsi="Franklin Gothic Book"/>
          <w:sz w:val="21"/>
          <w:lang w:eastAsia="zh-CN"/>
        </w:rPr>
        <w:t>Tra</w:t>
      </w:r>
      <w:r w:rsidR="003454BA">
        <w:rPr>
          <w:rFonts w:ascii="Franklin Gothic Book" w:eastAsia="Times New Roman" w:hAnsi="Franklin Gothic Book"/>
          <w:sz w:val="21"/>
          <w:lang w:eastAsia="zh-CN"/>
        </w:rPr>
        <w:t>i</w:t>
      </w:r>
      <w:r w:rsidR="00DF671F">
        <w:rPr>
          <w:rFonts w:ascii="Franklin Gothic Book" w:eastAsia="Times New Roman" w:hAnsi="Franklin Gothic Book"/>
          <w:sz w:val="21"/>
          <w:lang w:eastAsia="zh-CN"/>
        </w:rPr>
        <w:t xml:space="preserve">ning (TVET) program </w:t>
      </w:r>
      <w:r w:rsidRPr="00703696">
        <w:rPr>
          <w:rFonts w:ascii="Franklin Gothic Book" w:eastAsia="Times New Roman" w:hAnsi="Franklin Gothic Book"/>
          <w:sz w:val="21"/>
          <w:lang w:eastAsia="zh-CN"/>
        </w:rPr>
        <w:t xml:space="preserve">and scholarships </w:t>
      </w:r>
      <w:r w:rsidR="00DF671F">
        <w:rPr>
          <w:rFonts w:ascii="Franklin Gothic Book" w:eastAsia="Times New Roman" w:hAnsi="Franklin Gothic Book"/>
          <w:sz w:val="21"/>
          <w:lang w:eastAsia="zh-CN"/>
        </w:rPr>
        <w:t>was</w:t>
      </w:r>
      <w:r w:rsidRPr="00703696">
        <w:rPr>
          <w:rFonts w:ascii="Franklin Gothic Book" w:eastAsia="Times New Roman" w:hAnsi="Franklin Gothic Book"/>
          <w:sz w:val="21"/>
          <w:lang w:eastAsia="zh-CN"/>
        </w:rPr>
        <w:t xml:space="preserve"> better than expected.</w:t>
      </w:r>
    </w:p>
    <w:tbl>
      <w:tblPr>
        <w:tblStyle w:val="TableGrid1"/>
        <w:tblW w:w="0" w:type="auto"/>
        <w:shd w:val="clear" w:color="auto" w:fill="C7D5E6"/>
        <w:tblLook w:val="04A0" w:firstRow="1" w:lastRow="0" w:firstColumn="1" w:lastColumn="0" w:noHBand="0" w:noVBand="1"/>
      </w:tblPr>
      <w:tblGrid>
        <w:gridCol w:w="2943"/>
        <w:gridCol w:w="5551"/>
      </w:tblGrid>
      <w:tr w:rsidR="00703696" w:rsidRPr="00703696" w:rsidTr="00703696">
        <w:trPr>
          <w:trHeight w:val="922"/>
        </w:trPr>
        <w:tc>
          <w:tcPr>
            <w:tcW w:w="2943" w:type="dxa"/>
            <w:shd w:val="clear" w:color="auto" w:fill="C7D5E6"/>
          </w:tcPr>
          <w:p w:rsidR="00703696" w:rsidRPr="00703696" w:rsidRDefault="00703696" w:rsidP="00703696">
            <w:pPr>
              <w:spacing w:after="120"/>
              <w:rPr>
                <w:rFonts w:asciiTheme="minorHAnsi" w:eastAsia="Times New Roman" w:hAnsiTheme="minorHAnsi"/>
                <w:sz w:val="22"/>
                <w:szCs w:val="22"/>
              </w:rPr>
            </w:pPr>
            <w:r w:rsidRPr="00703696">
              <w:rPr>
                <w:rFonts w:asciiTheme="minorHAnsi" w:eastAsia="Times New Roman" w:hAnsiTheme="minorHAnsi"/>
                <w:sz w:val="22"/>
                <w:szCs w:val="22"/>
              </w:rPr>
              <w:t>Shared development outcome:</w:t>
            </w:r>
          </w:p>
        </w:tc>
        <w:tc>
          <w:tcPr>
            <w:tcW w:w="5551" w:type="dxa"/>
            <w:shd w:val="clear" w:color="auto" w:fill="C7D5E6"/>
          </w:tcPr>
          <w:p w:rsidR="00703696" w:rsidRPr="00703696" w:rsidRDefault="00703696" w:rsidP="00703696">
            <w:pPr>
              <w:rPr>
                <w:rFonts w:asciiTheme="minorHAnsi" w:eastAsia="Times New Roman" w:hAnsiTheme="minorHAnsi"/>
                <w:i/>
                <w:sz w:val="22"/>
                <w:szCs w:val="22"/>
              </w:rPr>
            </w:pPr>
            <w:r w:rsidRPr="00703696">
              <w:rPr>
                <w:rFonts w:asciiTheme="minorHAnsi" w:eastAsia="Times New Roman" w:hAnsiTheme="minorHAnsi"/>
                <w:i/>
                <w:sz w:val="22"/>
                <w:szCs w:val="22"/>
              </w:rPr>
              <w:t>Increased access and quality of education for all boys and girls</w:t>
            </w:r>
            <w:r w:rsidR="00716178">
              <w:rPr>
                <w:rFonts w:asciiTheme="minorHAnsi" w:eastAsia="Times New Roman" w:hAnsiTheme="minorHAnsi"/>
                <w:i/>
                <w:sz w:val="22"/>
                <w:szCs w:val="22"/>
              </w:rPr>
              <w:t>,</w:t>
            </w:r>
            <w:r w:rsidRPr="00703696">
              <w:rPr>
                <w:rFonts w:asciiTheme="minorHAnsi" w:eastAsia="Times New Roman" w:hAnsiTheme="minorHAnsi"/>
                <w:i/>
                <w:sz w:val="22"/>
                <w:szCs w:val="22"/>
              </w:rPr>
              <w:t xml:space="preserve"> and equip them with relevant skills and knowledge</w:t>
            </w:r>
          </w:p>
        </w:tc>
      </w:tr>
      <w:tr w:rsidR="00703696" w:rsidRPr="00703696" w:rsidTr="00703696">
        <w:tc>
          <w:tcPr>
            <w:tcW w:w="2943" w:type="dxa"/>
            <w:shd w:val="clear" w:color="auto" w:fill="C7D5E6"/>
          </w:tcPr>
          <w:p w:rsidR="00703696" w:rsidRPr="00703696" w:rsidRDefault="00703696" w:rsidP="00703696">
            <w:pPr>
              <w:spacing w:after="120"/>
              <w:rPr>
                <w:rFonts w:asciiTheme="minorHAnsi" w:eastAsia="Times New Roman" w:hAnsiTheme="minorHAnsi"/>
                <w:sz w:val="22"/>
                <w:szCs w:val="22"/>
              </w:rPr>
            </w:pPr>
            <w:r w:rsidRPr="00703696">
              <w:rPr>
                <w:rFonts w:asciiTheme="minorHAnsi" w:eastAsia="Times New Roman" w:hAnsiTheme="minorHAnsi"/>
                <w:sz w:val="22"/>
                <w:szCs w:val="22"/>
              </w:rPr>
              <w:t>Australia’s objective:</w:t>
            </w:r>
          </w:p>
        </w:tc>
        <w:tc>
          <w:tcPr>
            <w:tcW w:w="5551" w:type="dxa"/>
            <w:shd w:val="clear" w:color="auto" w:fill="C7D5E6"/>
          </w:tcPr>
          <w:p w:rsidR="00703696" w:rsidRPr="00703696" w:rsidRDefault="00703696" w:rsidP="00703696">
            <w:pPr>
              <w:rPr>
                <w:rFonts w:asciiTheme="minorHAnsi" w:eastAsia="Times New Roman" w:hAnsiTheme="minorHAnsi"/>
                <w:i/>
                <w:sz w:val="22"/>
                <w:szCs w:val="22"/>
              </w:rPr>
            </w:pPr>
            <w:r w:rsidRPr="00703696">
              <w:rPr>
                <w:rFonts w:asciiTheme="minorHAnsi" w:eastAsia="Times New Roman" w:hAnsiTheme="minorHAnsi"/>
                <w:i/>
                <w:sz w:val="22"/>
                <w:szCs w:val="22"/>
              </w:rPr>
              <w:t>Accelerating progress towards the MDG goal of universal primary education</w:t>
            </w:r>
          </w:p>
          <w:p w:rsidR="00703696" w:rsidRPr="00703696" w:rsidRDefault="00703696" w:rsidP="00703696">
            <w:pPr>
              <w:rPr>
                <w:rFonts w:asciiTheme="minorHAnsi" w:eastAsia="Times New Roman" w:hAnsiTheme="minorHAnsi"/>
                <w:i/>
                <w:sz w:val="22"/>
                <w:szCs w:val="22"/>
              </w:rPr>
            </w:pPr>
            <w:r w:rsidRPr="00703696">
              <w:rPr>
                <w:rFonts w:asciiTheme="minorHAnsi" w:eastAsia="Times New Roman" w:hAnsiTheme="minorHAnsi"/>
                <w:i/>
                <w:sz w:val="22"/>
                <w:szCs w:val="22"/>
              </w:rPr>
              <w:t>Improving the quality of education, through reforming the curriculum, upgrading school facilities and resources, and enhancing teacher training</w:t>
            </w:r>
          </w:p>
          <w:p w:rsidR="00703696" w:rsidRPr="00703696" w:rsidRDefault="00703696" w:rsidP="00703696">
            <w:pPr>
              <w:rPr>
                <w:rFonts w:asciiTheme="minorHAnsi" w:eastAsia="Times New Roman" w:hAnsiTheme="minorHAnsi"/>
                <w:i/>
                <w:sz w:val="22"/>
                <w:szCs w:val="22"/>
              </w:rPr>
            </w:pPr>
            <w:r w:rsidRPr="00703696">
              <w:rPr>
                <w:rFonts w:asciiTheme="minorHAnsi" w:eastAsia="Times New Roman" w:hAnsiTheme="minorHAnsi"/>
                <w:i/>
                <w:sz w:val="22"/>
                <w:szCs w:val="22"/>
              </w:rPr>
              <w:t>Ongoing support for the Government of Vanuatu education reform agenda</w:t>
            </w:r>
          </w:p>
          <w:p w:rsidR="00703696" w:rsidRPr="00703696" w:rsidRDefault="00703696" w:rsidP="00703696">
            <w:pPr>
              <w:rPr>
                <w:rFonts w:asciiTheme="minorHAnsi" w:eastAsia="Times New Roman" w:hAnsiTheme="minorHAnsi"/>
                <w:i/>
                <w:sz w:val="22"/>
                <w:szCs w:val="22"/>
              </w:rPr>
            </w:pPr>
            <w:r w:rsidRPr="00703696">
              <w:rPr>
                <w:rFonts w:asciiTheme="minorHAnsi" w:eastAsia="Times New Roman" w:hAnsiTheme="minorHAnsi"/>
                <w:i/>
                <w:sz w:val="22"/>
                <w:szCs w:val="22"/>
              </w:rPr>
              <w:t>Increasing training and employment opportunities through support for demand-driven vocational training services</w:t>
            </w:r>
          </w:p>
          <w:p w:rsidR="004A16E4" w:rsidRPr="00703696" w:rsidRDefault="00703696" w:rsidP="007E2350">
            <w:pPr>
              <w:rPr>
                <w:rFonts w:asciiTheme="minorHAnsi" w:eastAsia="Times New Roman" w:hAnsiTheme="minorHAnsi"/>
                <w:i/>
                <w:sz w:val="22"/>
                <w:szCs w:val="22"/>
              </w:rPr>
            </w:pPr>
            <w:r w:rsidRPr="00703696">
              <w:rPr>
                <w:rFonts w:asciiTheme="minorHAnsi" w:eastAsia="Times New Roman" w:hAnsiTheme="minorHAnsi"/>
                <w:i/>
                <w:sz w:val="22"/>
                <w:szCs w:val="22"/>
              </w:rPr>
              <w:t>Investing in scholarships to regional and Australian universities</w:t>
            </w:r>
          </w:p>
        </w:tc>
      </w:tr>
    </w:tbl>
    <w:p w:rsidR="002A149A" w:rsidRPr="00703696" w:rsidRDefault="00703696" w:rsidP="00703793">
      <w:pPr>
        <w:spacing w:before="120" w:after="160" w:line="280" w:lineRule="exact"/>
        <w:rPr>
          <w:rFonts w:ascii="Franklin Gothic Book" w:eastAsia="Times New Roman" w:hAnsi="Franklin Gothic Book"/>
          <w:sz w:val="21"/>
        </w:rPr>
      </w:pPr>
      <w:r w:rsidRPr="00703696">
        <w:rPr>
          <w:rFonts w:ascii="Franklin Gothic Book" w:eastAsia="Times New Roman" w:hAnsi="Franklin Gothic Book"/>
          <w:sz w:val="21"/>
        </w:rPr>
        <w:t>Vanuatu is unlikely to achieve universal completion of pr</w:t>
      </w:r>
      <w:r w:rsidR="008F26E3">
        <w:rPr>
          <w:rFonts w:ascii="Franklin Gothic Book" w:eastAsia="Times New Roman" w:hAnsi="Franklin Gothic Book"/>
          <w:sz w:val="21"/>
        </w:rPr>
        <w:t>imary education by 2015 (MDG</w:t>
      </w:r>
      <w:r w:rsidR="0026779A">
        <w:rPr>
          <w:rFonts w:ascii="Franklin Gothic Book" w:eastAsia="Times New Roman" w:hAnsi="Franklin Gothic Book"/>
          <w:sz w:val="21"/>
        </w:rPr>
        <w:t xml:space="preserve"> </w:t>
      </w:r>
      <w:r w:rsidR="008F26E3">
        <w:rPr>
          <w:rFonts w:ascii="Franklin Gothic Book" w:eastAsia="Times New Roman" w:hAnsi="Franklin Gothic Book"/>
          <w:sz w:val="21"/>
        </w:rPr>
        <w:t xml:space="preserve">2). Although </w:t>
      </w:r>
      <w:r w:rsidR="007B290F">
        <w:rPr>
          <w:rFonts w:ascii="Franklin Gothic Book" w:eastAsia="Times New Roman" w:hAnsi="Franklin Gothic Book"/>
          <w:sz w:val="21"/>
        </w:rPr>
        <w:t xml:space="preserve">the </w:t>
      </w:r>
      <w:r w:rsidRPr="00703696">
        <w:rPr>
          <w:rFonts w:ascii="Franklin Gothic Book" w:eastAsia="Times New Roman" w:hAnsi="Franklin Gothic Book"/>
          <w:sz w:val="21"/>
        </w:rPr>
        <w:t>net enrolment rate is stable at 87</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w:t>
      </w:r>
      <w:r w:rsidR="008F26E3">
        <w:rPr>
          <w:rFonts w:ascii="Franklin Gothic Book" w:eastAsia="Times New Roman" w:hAnsi="Franklin Gothic Book"/>
          <w:sz w:val="21"/>
        </w:rPr>
        <w:t xml:space="preserve">education quality is relatively poor. Only </w:t>
      </w:r>
      <w:r w:rsidRPr="00703696">
        <w:rPr>
          <w:rFonts w:ascii="Franklin Gothic Book" w:eastAsia="Times New Roman" w:hAnsi="Franklin Gothic Book"/>
          <w:sz w:val="21"/>
        </w:rPr>
        <w:t>20</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of Grade 3 students are able to read fluently or underst</w:t>
      </w:r>
      <w:r w:rsidR="008F26E3">
        <w:rPr>
          <w:rFonts w:ascii="Franklin Gothic Book" w:eastAsia="Times New Roman" w:hAnsi="Franklin Gothic Book"/>
          <w:sz w:val="21"/>
        </w:rPr>
        <w:t>and most of the text they read</w:t>
      </w:r>
      <w:r w:rsidR="00DA2694">
        <w:rPr>
          <w:rFonts w:ascii="Franklin Gothic Book" w:eastAsia="Times New Roman" w:hAnsi="Franklin Gothic Book"/>
          <w:sz w:val="21"/>
        </w:rPr>
        <w:t>.</w:t>
      </w:r>
      <w:r w:rsidR="002A149A">
        <w:rPr>
          <w:rStyle w:val="EndnoteReference"/>
          <w:rFonts w:eastAsia="Times New Roman"/>
        </w:rPr>
        <w:endnoteReference w:id="12"/>
      </w:r>
      <w:r w:rsidR="002A149A">
        <w:rPr>
          <w:rFonts w:ascii="Franklin Gothic Book" w:eastAsia="Times New Roman" w:hAnsi="Franklin Gothic Book"/>
          <w:sz w:val="21"/>
        </w:rPr>
        <w:t xml:space="preserve"> Vanuatu also has one of the lowest primary survival rates in the Pacific. </w:t>
      </w:r>
      <w:r w:rsidR="00891577">
        <w:rPr>
          <w:rFonts w:ascii="Franklin Gothic Book" w:eastAsia="Times New Roman" w:hAnsi="Franklin Gothic Book"/>
          <w:sz w:val="21"/>
        </w:rPr>
        <w:t xml:space="preserve">Twenty-seven </w:t>
      </w:r>
      <w:r w:rsidR="0026779A">
        <w:rPr>
          <w:rFonts w:ascii="Franklin Gothic Book" w:eastAsia="Times New Roman" w:hAnsi="Franklin Gothic Book"/>
          <w:sz w:val="21"/>
        </w:rPr>
        <w:t>per cent</w:t>
      </w:r>
      <w:r w:rsidR="002A149A" w:rsidRPr="00703696">
        <w:rPr>
          <w:rFonts w:ascii="Franklin Gothic Book" w:eastAsia="Times New Roman" w:hAnsi="Franklin Gothic Book"/>
          <w:sz w:val="21"/>
        </w:rPr>
        <w:t xml:space="preserve"> of children do not complete the full </w:t>
      </w:r>
      <w:r w:rsidR="00891577">
        <w:rPr>
          <w:rFonts w:ascii="Franklin Gothic Book" w:eastAsia="Times New Roman" w:hAnsi="Franklin Gothic Book"/>
          <w:sz w:val="21"/>
        </w:rPr>
        <w:t>six</w:t>
      </w:r>
      <w:r w:rsidR="00891577" w:rsidRPr="00703696">
        <w:rPr>
          <w:rFonts w:ascii="Franklin Gothic Book" w:eastAsia="Times New Roman" w:hAnsi="Franklin Gothic Book"/>
          <w:sz w:val="21"/>
        </w:rPr>
        <w:t xml:space="preserve"> </w:t>
      </w:r>
      <w:r w:rsidR="002A149A" w:rsidRPr="00703696">
        <w:rPr>
          <w:rFonts w:ascii="Franklin Gothic Book" w:eastAsia="Times New Roman" w:hAnsi="Franklin Gothic Book"/>
          <w:sz w:val="21"/>
        </w:rPr>
        <w:t>years of primary school.</w:t>
      </w:r>
      <w:r w:rsidR="002A149A">
        <w:rPr>
          <w:rStyle w:val="EndnoteReference"/>
          <w:rFonts w:eastAsia="Times New Roman"/>
        </w:rPr>
        <w:endnoteReference w:id="13"/>
      </w:r>
    </w:p>
    <w:p w:rsidR="00C96676" w:rsidRDefault="0026779A" w:rsidP="00C171A8">
      <w:pPr>
        <w:spacing w:after="160" w:line="280" w:lineRule="exact"/>
        <w:rPr>
          <w:rFonts w:ascii="Franklin Gothic Book" w:eastAsia="Times New Roman" w:hAnsi="Franklin Gothic Book"/>
          <w:sz w:val="21"/>
        </w:rPr>
      </w:pPr>
      <w:r>
        <w:rPr>
          <w:rFonts w:ascii="Franklin Gothic Book" w:eastAsia="Times New Roman" w:hAnsi="Franklin Gothic Book"/>
          <w:sz w:val="21"/>
        </w:rPr>
        <w:t>T</w:t>
      </w:r>
      <w:r w:rsidR="00703696" w:rsidRPr="00703696">
        <w:rPr>
          <w:rFonts w:ascii="Franklin Gothic Book" w:eastAsia="Times New Roman" w:hAnsi="Franklin Gothic Book"/>
          <w:sz w:val="21"/>
        </w:rPr>
        <w:t xml:space="preserve">he </w:t>
      </w:r>
      <w:r>
        <w:rPr>
          <w:rFonts w:ascii="Franklin Gothic Book" w:eastAsia="Times New Roman" w:hAnsi="Franklin Gothic Book"/>
          <w:sz w:val="21"/>
        </w:rPr>
        <w:t xml:space="preserve">Vanuatu Government’s </w:t>
      </w:r>
      <w:r w:rsidR="00703696" w:rsidRPr="00703696">
        <w:rPr>
          <w:rFonts w:ascii="Franklin Gothic Book" w:eastAsia="Times New Roman" w:hAnsi="Franklin Gothic Book"/>
          <w:sz w:val="21"/>
        </w:rPr>
        <w:t>recurrent budget allocation to education has steadily increased since 2010, with the 2014 budget allocation being 4</w:t>
      </w:r>
      <w:r>
        <w:rPr>
          <w:rFonts w:ascii="Franklin Gothic Book" w:eastAsia="Times New Roman" w:hAnsi="Franklin Gothic Book"/>
          <w:sz w:val="21"/>
        </w:rPr>
        <w:t xml:space="preserve"> per cent</w:t>
      </w:r>
      <w:r w:rsidR="00703696" w:rsidRPr="00703696">
        <w:rPr>
          <w:rFonts w:ascii="Franklin Gothic Book" w:eastAsia="Times New Roman" w:hAnsi="Franklin Gothic Book"/>
          <w:sz w:val="21"/>
        </w:rPr>
        <w:t xml:space="preserve"> above the 2013 level – representing more than 25</w:t>
      </w:r>
      <w:r>
        <w:rPr>
          <w:rFonts w:ascii="Franklin Gothic Book" w:eastAsia="Times New Roman" w:hAnsi="Franklin Gothic Book"/>
          <w:sz w:val="21"/>
        </w:rPr>
        <w:t xml:space="preserve"> per cent</w:t>
      </w:r>
      <w:r w:rsidR="00703696" w:rsidRPr="00703696">
        <w:rPr>
          <w:rFonts w:ascii="Franklin Gothic Book" w:eastAsia="Times New Roman" w:hAnsi="Franklin Gothic Book"/>
          <w:sz w:val="21"/>
        </w:rPr>
        <w:t xml:space="preserve"> of public recurrent expenditure</w:t>
      </w:r>
      <w:r>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w:t>
      </w:r>
      <w:r w:rsidR="00C96676">
        <w:rPr>
          <w:rFonts w:ascii="Franklin Gothic Book" w:eastAsia="Times New Roman" w:hAnsi="Franklin Gothic Book"/>
          <w:sz w:val="21"/>
        </w:rPr>
        <w:t>However, b</w:t>
      </w:r>
      <w:r w:rsidR="00703696" w:rsidRPr="00703696">
        <w:rPr>
          <w:rFonts w:ascii="Franklin Gothic Book" w:eastAsia="Times New Roman" w:hAnsi="Franklin Gothic Book"/>
          <w:sz w:val="21"/>
        </w:rPr>
        <w:t>ecause of ineffective disbursement, these funds were</w:t>
      </w:r>
      <w:r w:rsidR="00726615">
        <w:rPr>
          <w:rFonts w:ascii="Franklin Gothic Book" w:eastAsia="Times New Roman" w:hAnsi="Franklin Gothic Book"/>
          <w:sz w:val="21"/>
        </w:rPr>
        <w:t xml:space="preserve"> not</w:t>
      </w:r>
      <w:r w:rsidR="007B290F" w:rsidRPr="00703696">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always available for service delivery.</w:t>
      </w:r>
      <w:r w:rsidR="00C96676">
        <w:rPr>
          <w:rFonts w:ascii="Franklin Gothic Book" w:eastAsia="Times New Roman" w:hAnsi="Franklin Gothic Book"/>
          <w:sz w:val="21"/>
        </w:rPr>
        <w:t xml:space="preserve"> </w:t>
      </w:r>
      <w:r w:rsidR="002C1475">
        <w:rPr>
          <w:rFonts w:ascii="Franklin Gothic Book" w:eastAsia="Times New Roman" w:hAnsi="Franklin Gothic Book"/>
          <w:sz w:val="21"/>
        </w:rPr>
        <w:t>There is also a need to ensure the mix of expenditure across basic, secondary and tertiary is right.</w:t>
      </w:r>
    </w:p>
    <w:p w:rsidR="00703696" w:rsidRDefault="00C96676" w:rsidP="00C171A8">
      <w:pPr>
        <w:spacing w:after="160" w:line="280" w:lineRule="exact"/>
        <w:rPr>
          <w:rFonts w:ascii="Franklin Gothic Book" w:eastAsia="Times New Roman" w:hAnsi="Franklin Gothic Book"/>
          <w:sz w:val="21"/>
        </w:rPr>
      </w:pPr>
      <w:r>
        <w:rPr>
          <w:rFonts w:ascii="Franklin Gothic Book" w:eastAsia="Times New Roman" w:hAnsi="Franklin Gothic Book"/>
          <w:sz w:val="21"/>
        </w:rPr>
        <w:t>VERM supported the finalisation and approval of a</w:t>
      </w:r>
      <w:r w:rsidR="00703696" w:rsidRPr="00703696">
        <w:rPr>
          <w:rFonts w:ascii="Franklin Gothic Book" w:eastAsia="Times New Roman" w:hAnsi="Franklin Gothic Book"/>
          <w:sz w:val="21"/>
        </w:rPr>
        <w:t xml:space="preserve"> new curriculum for years 1 </w:t>
      </w:r>
      <w:r w:rsidR="005345AF">
        <w:rPr>
          <w:rFonts w:ascii="Franklin Gothic Book" w:eastAsia="Times New Roman" w:hAnsi="Franklin Gothic Book"/>
          <w:sz w:val="21"/>
        </w:rPr>
        <w:t xml:space="preserve">to </w:t>
      </w:r>
      <w:r w:rsidR="00BB6C7F">
        <w:rPr>
          <w:rFonts w:ascii="Franklin Gothic Book" w:eastAsia="Times New Roman" w:hAnsi="Franklin Gothic Book"/>
          <w:sz w:val="21"/>
        </w:rPr>
        <w:t>6</w:t>
      </w:r>
      <w:r w:rsidR="007B290F">
        <w:rPr>
          <w:rFonts w:ascii="Franklin Gothic Book" w:eastAsia="Times New Roman" w:hAnsi="Franklin Gothic Book"/>
          <w:sz w:val="21"/>
        </w:rPr>
        <w:t xml:space="preserve"> as well as continuing successful teacher training </w:t>
      </w:r>
      <w:r w:rsidR="005345AF">
        <w:rPr>
          <w:rFonts w:ascii="Franklin Gothic Book" w:eastAsia="Times New Roman" w:hAnsi="Franklin Gothic Book"/>
          <w:sz w:val="21"/>
        </w:rPr>
        <w:t>—</w:t>
      </w:r>
      <w:r w:rsidR="007B290F">
        <w:rPr>
          <w:rFonts w:ascii="Franklin Gothic Book" w:eastAsia="Times New Roman" w:hAnsi="Franklin Gothic Book"/>
          <w:sz w:val="21"/>
        </w:rPr>
        <w:t xml:space="preserve"> a</w:t>
      </w:r>
      <w:r w:rsidR="00703696" w:rsidRPr="00703696">
        <w:rPr>
          <w:rFonts w:ascii="Franklin Gothic Book" w:eastAsia="Times New Roman" w:hAnsi="Franklin Gothic Book"/>
          <w:sz w:val="21"/>
        </w:rPr>
        <w:t xml:space="preserve"> second cohort of 94 teachers </w:t>
      </w:r>
      <w:r>
        <w:rPr>
          <w:rFonts w:ascii="Franklin Gothic Book" w:eastAsia="Times New Roman" w:hAnsi="Franklin Gothic Book"/>
          <w:sz w:val="21"/>
        </w:rPr>
        <w:t>completed their training</w:t>
      </w:r>
      <w:r w:rsidR="007B290F">
        <w:rPr>
          <w:rFonts w:ascii="Franklin Gothic Book" w:eastAsia="Times New Roman" w:hAnsi="Franklin Gothic Book"/>
          <w:sz w:val="21"/>
        </w:rPr>
        <w:t xml:space="preserve"> during the reporting period</w:t>
      </w:r>
      <w:r>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w:t>
      </w:r>
      <w:r w:rsidR="00C4203F">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New courses directed at improving the quality of teaching were introduced</w:t>
      </w:r>
      <w:r>
        <w:rPr>
          <w:rFonts w:ascii="Franklin Gothic Book" w:eastAsia="Times New Roman" w:hAnsi="Franklin Gothic Book"/>
          <w:sz w:val="21"/>
        </w:rPr>
        <w:t xml:space="preserve"> such as s</w:t>
      </w:r>
      <w:r w:rsidR="00703696" w:rsidRPr="00703696">
        <w:rPr>
          <w:rFonts w:ascii="Franklin Gothic Book" w:eastAsia="Times New Roman" w:hAnsi="Franklin Gothic Book"/>
          <w:sz w:val="21"/>
        </w:rPr>
        <w:t xml:space="preserve">tudent </w:t>
      </w:r>
      <w:r w:rsidR="00DA2694" w:rsidRPr="00703696">
        <w:rPr>
          <w:rFonts w:ascii="Franklin Gothic Book" w:eastAsia="Times New Roman" w:hAnsi="Franklin Gothic Book"/>
          <w:sz w:val="21"/>
        </w:rPr>
        <w:t>centred</w:t>
      </w:r>
      <w:r w:rsidR="00703696" w:rsidRPr="00703696">
        <w:rPr>
          <w:rFonts w:ascii="Franklin Gothic Book" w:eastAsia="Times New Roman" w:hAnsi="Franklin Gothic Book"/>
          <w:sz w:val="21"/>
        </w:rPr>
        <w:t xml:space="preserve"> </w:t>
      </w:r>
      <w:r w:rsidR="00C739A9">
        <w:rPr>
          <w:rFonts w:ascii="Franklin Gothic Book" w:eastAsia="Times New Roman" w:hAnsi="Franklin Gothic Book"/>
          <w:sz w:val="21"/>
        </w:rPr>
        <w:t>learning and</w:t>
      </w:r>
      <w:r w:rsidR="00703696" w:rsidRPr="00703696">
        <w:rPr>
          <w:rFonts w:ascii="Franklin Gothic Book" w:eastAsia="Times New Roman" w:hAnsi="Franklin Gothic Book"/>
          <w:sz w:val="21"/>
        </w:rPr>
        <w:t xml:space="preserve"> multi-class teaching</w:t>
      </w:r>
      <w:r w:rsidR="00BB6C7F">
        <w:rPr>
          <w:rFonts w:ascii="Franklin Gothic Book" w:eastAsia="Times New Roman" w:hAnsi="Franklin Gothic Book"/>
          <w:sz w:val="21"/>
        </w:rPr>
        <w:t>.</w:t>
      </w:r>
      <w:r>
        <w:rPr>
          <w:rFonts w:ascii="Franklin Gothic Book" w:eastAsia="Times New Roman" w:hAnsi="Franklin Gothic Book"/>
          <w:sz w:val="21"/>
        </w:rPr>
        <w:t xml:space="preserve"> Curriculum and teacher training work incorporated disability inclusive education perspectives. </w:t>
      </w:r>
      <w:r w:rsidR="00C4203F">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The quality of teaching </w:t>
      </w:r>
      <w:r w:rsidR="00DA2694">
        <w:rPr>
          <w:rFonts w:ascii="Franklin Gothic Book" w:eastAsia="Times New Roman" w:hAnsi="Franklin Gothic Book"/>
          <w:sz w:val="21"/>
        </w:rPr>
        <w:t>is expected to be</w:t>
      </w:r>
      <w:r w:rsidR="00703696" w:rsidRPr="00703696">
        <w:rPr>
          <w:rFonts w:ascii="Franklin Gothic Book" w:eastAsia="Times New Roman" w:hAnsi="Franklin Gothic Book"/>
          <w:sz w:val="21"/>
        </w:rPr>
        <w:t xml:space="preserve"> enhanced </w:t>
      </w:r>
      <w:r w:rsidR="005345AF">
        <w:rPr>
          <w:rFonts w:ascii="Franklin Gothic Book" w:eastAsia="Times New Roman" w:hAnsi="Franklin Gothic Book"/>
          <w:sz w:val="21"/>
        </w:rPr>
        <w:t xml:space="preserve">further </w:t>
      </w:r>
      <w:r w:rsidR="00703696" w:rsidRPr="00703696">
        <w:rPr>
          <w:rFonts w:ascii="Franklin Gothic Book" w:eastAsia="Times New Roman" w:hAnsi="Franklin Gothic Book"/>
          <w:sz w:val="21"/>
        </w:rPr>
        <w:t xml:space="preserve">by the </w:t>
      </w:r>
      <w:r w:rsidR="00B828C0">
        <w:rPr>
          <w:rFonts w:ascii="Franklin Gothic Book" w:eastAsia="Times New Roman" w:hAnsi="Franklin Gothic Book"/>
          <w:sz w:val="21"/>
        </w:rPr>
        <w:t xml:space="preserve">new </w:t>
      </w:r>
      <w:r w:rsidR="00703696" w:rsidRPr="00703696">
        <w:rPr>
          <w:rFonts w:ascii="Franklin Gothic Book" w:eastAsia="Times New Roman" w:hAnsi="Franklin Gothic Book"/>
          <w:sz w:val="21"/>
        </w:rPr>
        <w:t>Teacher Service Commission Act</w:t>
      </w:r>
      <w:r w:rsidR="00B828C0">
        <w:rPr>
          <w:rFonts w:ascii="Franklin Gothic Book" w:eastAsia="Times New Roman" w:hAnsi="Franklin Gothic Book"/>
          <w:sz w:val="21"/>
        </w:rPr>
        <w:t>, which was passed by Parliament</w:t>
      </w:r>
      <w:r w:rsidR="00703696" w:rsidRPr="00703696">
        <w:rPr>
          <w:rFonts w:ascii="Franklin Gothic Book" w:eastAsia="Times New Roman" w:hAnsi="Franklin Gothic Book"/>
          <w:sz w:val="21"/>
        </w:rPr>
        <w:t xml:space="preserve"> in December 2013</w:t>
      </w:r>
      <w:r w:rsidR="000840D5">
        <w:rPr>
          <w:rFonts w:ascii="Franklin Gothic Book" w:eastAsia="Times New Roman" w:hAnsi="Franklin Gothic Book"/>
          <w:sz w:val="21"/>
        </w:rPr>
        <w:t xml:space="preserve"> and </w:t>
      </w:r>
      <w:r w:rsidR="00B828C0">
        <w:rPr>
          <w:rFonts w:ascii="Franklin Gothic Book" w:eastAsia="Times New Roman" w:hAnsi="Franklin Gothic Book"/>
          <w:sz w:val="21"/>
        </w:rPr>
        <w:t>will become</w:t>
      </w:r>
      <w:r w:rsidR="000840D5">
        <w:rPr>
          <w:rFonts w:ascii="Franklin Gothic Book" w:eastAsia="Times New Roman" w:hAnsi="Franklin Gothic Book"/>
          <w:sz w:val="21"/>
        </w:rPr>
        <w:t xml:space="preserve"> operational in March 2014.</w:t>
      </w:r>
      <w:r w:rsidR="00C4203F">
        <w:rPr>
          <w:rFonts w:ascii="Franklin Gothic Book" w:eastAsia="Times New Roman" w:hAnsi="Franklin Gothic Book"/>
          <w:sz w:val="21"/>
        </w:rPr>
        <w:t xml:space="preserve">  </w:t>
      </w:r>
      <w:r w:rsidR="00B828C0">
        <w:rPr>
          <w:rFonts w:ascii="Franklin Gothic Book" w:eastAsia="Times New Roman" w:hAnsi="Franklin Gothic Book"/>
          <w:sz w:val="21"/>
        </w:rPr>
        <w:t xml:space="preserve">VERM supported this significant achievement </w:t>
      </w:r>
      <w:r w:rsidR="00C4203F">
        <w:rPr>
          <w:rFonts w:ascii="Franklin Gothic Book" w:eastAsia="Times New Roman" w:hAnsi="Franklin Gothic Book"/>
          <w:sz w:val="21"/>
        </w:rPr>
        <w:t xml:space="preserve">through technical assistance to review </w:t>
      </w:r>
      <w:r w:rsidR="00B828C0">
        <w:rPr>
          <w:rFonts w:ascii="Franklin Gothic Book" w:eastAsia="Times New Roman" w:hAnsi="Franklin Gothic Book"/>
          <w:sz w:val="21"/>
        </w:rPr>
        <w:t xml:space="preserve">and replace </w:t>
      </w:r>
      <w:r w:rsidR="00C4203F">
        <w:rPr>
          <w:rFonts w:ascii="Franklin Gothic Book" w:eastAsia="Times New Roman" w:hAnsi="Franklin Gothic Book"/>
          <w:sz w:val="21"/>
        </w:rPr>
        <w:t>the</w:t>
      </w:r>
      <w:r w:rsidR="00B828C0">
        <w:rPr>
          <w:rFonts w:ascii="Franklin Gothic Book" w:eastAsia="Times New Roman" w:hAnsi="Franklin Gothic Book"/>
          <w:sz w:val="21"/>
        </w:rPr>
        <w:t xml:space="preserve"> Teaching Service Act of 1983, which had not been amended since its inception and had become irrelevant to the needs of the Vanuatu education administration.</w:t>
      </w:r>
      <w:r w:rsidR="00C4203F">
        <w:rPr>
          <w:rFonts w:ascii="Franklin Gothic Book" w:eastAsia="Times New Roman" w:hAnsi="Franklin Gothic Book"/>
          <w:sz w:val="21"/>
        </w:rPr>
        <w:t xml:space="preserve"> </w:t>
      </w:r>
      <w:r w:rsidR="00B828C0">
        <w:rPr>
          <w:rFonts w:ascii="Franklin Gothic Book" w:eastAsia="Times New Roman" w:hAnsi="Franklin Gothic Book"/>
          <w:sz w:val="21"/>
        </w:rPr>
        <w:t xml:space="preserve"> </w:t>
      </w:r>
    </w:p>
    <w:p w:rsidR="00703696" w:rsidRPr="00703696" w:rsidRDefault="00DA2694" w:rsidP="00C739A9">
      <w:pPr>
        <w:spacing w:after="160" w:line="280" w:lineRule="exact"/>
        <w:rPr>
          <w:rFonts w:ascii="Franklin Gothic Book" w:eastAsia="Times New Roman" w:hAnsi="Franklin Gothic Book"/>
          <w:sz w:val="21"/>
        </w:rPr>
      </w:pPr>
      <w:r>
        <w:rPr>
          <w:rFonts w:ascii="Franklin Gothic Book" w:eastAsia="Times New Roman" w:hAnsi="Franklin Gothic Book"/>
          <w:sz w:val="21"/>
        </w:rPr>
        <w:t xml:space="preserve">However, </w:t>
      </w:r>
      <w:r w:rsidR="00891577">
        <w:rPr>
          <w:rFonts w:ascii="Franklin Gothic Book" w:eastAsia="Times New Roman" w:hAnsi="Franklin Gothic Book"/>
          <w:sz w:val="21"/>
        </w:rPr>
        <w:t>despite these successes</w:t>
      </w:r>
      <w:r w:rsidR="00D422CB">
        <w:rPr>
          <w:rFonts w:ascii="Franklin Gothic Book" w:eastAsia="Times New Roman" w:hAnsi="Franklin Gothic Book"/>
          <w:sz w:val="21"/>
        </w:rPr>
        <w:t>,</w:t>
      </w:r>
      <w:r w:rsidR="00891577">
        <w:rPr>
          <w:rFonts w:ascii="Franklin Gothic Book" w:eastAsia="Times New Roman" w:hAnsi="Franklin Gothic Book"/>
          <w:sz w:val="21"/>
        </w:rPr>
        <w:t xml:space="preserve"> </w:t>
      </w:r>
      <w:r>
        <w:rPr>
          <w:rFonts w:ascii="Franklin Gothic Book" w:eastAsia="Times New Roman" w:hAnsi="Franklin Gothic Book"/>
          <w:sz w:val="21"/>
        </w:rPr>
        <w:t>r</w:t>
      </w:r>
      <w:r w:rsidR="00E61A82" w:rsidRPr="00703696">
        <w:rPr>
          <w:rFonts w:ascii="Franklin Gothic Book" w:eastAsia="Times New Roman" w:hAnsi="Franklin Gothic Book"/>
          <w:sz w:val="21"/>
        </w:rPr>
        <w:t>esults at the end of VERM</w:t>
      </w:r>
      <w:r>
        <w:rPr>
          <w:rFonts w:ascii="Franklin Gothic Book" w:eastAsia="Times New Roman" w:hAnsi="Franklin Gothic Book"/>
          <w:sz w:val="21"/>
        </w:rPr>
        <w:t>, which concluded in March 2014,</w:t>
      </w:r>
      <w:r w:rsidR="00E61A82" w:rsidRPr="00703696">
        <w:rPr>
          <w:rFonts w:ascii="Franklin Gothic Book" w:eastAsia="Times New Roman" w:hAnsi="Franklin Gothic Book"/>
          <w:sz w:val="21"/>
        </w:rPr>
        <w:t xml:space="preserve"> </w:t>
      </w:r>
      <w:r w:rsidR="00E61A82">
        <w:rPr>
          <w:rFonts w:ascii="Franklin Gothic Book" w:eastAsia="Times New Roman" w:hAnsi="Franklin Gothic Book"/>
          <w:sz w:val="21"/>
        </w:rPr>
        <w:t>were</w:t>
      </w:r>
      <w:r w:rsidR="00E61A82" w:rsidRPr="00703696">
        <w:rPr>
          <w:rFonts w:ascii="Franklin Gothic Book" w:eastAsia="Times New Roman" w:hAnsi="Franklin Gothic Book"/>
          <w:sz w:val="21"/>
        </w:rPr>
        <w:t xml:space="preserve"> disappointing </w:t>
      </w:r>
      <w:r>
        <w:rPr>
          <w:rFonts w:ascii="Franklin Gothic Book" w:eastAsia="Times New Roman" w:hAnsi="Franklin Gothic Book"/>
          <w:sz w:val="21"/>
        </w:rPr>
        <w:t xml:space="preserve">overall </w:t>
      </w:r>
      <w:r w:rsidR="00E61A82" w:rsidRPr="00703696">
        <w:rPr>
          <w:rFonts w:ascii="Franklin Gothic Book" w:eastAsia="Times New Roman" w:hAnsi="Franklin Gothic Book"/>
          <w:sz w:val="21"/>
        </w:rPr>
        <w:t xml:space="preserve">and not commensurate with the </w:t>
      </w:r>
      <w:r w:rsidR="00E61A82">
        <w:rPr>
          <w:rFonts w:ascii="Franklin Gothic Book" w:eastAsia="Times New Roman" w:hAnsi="Franklin Gothic Book"/>
          <w:sz w:val="21"/>
        </w:rPr>
        <w:t xml:space="preserve">level of </w:t>
      </w:r>
      <w:r w:rsidR="005345AF">
        <w:rPr>
          <w:rFonts w:ascii="Franklin Gothic Book" w:eastAsia="Times New Roman" w:hAnsi="Franklin Gothic Book"/>
          <w:sz w:val="21"/>
        </w:rPr>
        <w:t xml:space="preserve">Australian Government </w:t>
      </w:r>
      <w:r w:rsidR="00E61A82">
        <w:rPr>
          <w:rFonts w:ascii="Franklin Gothic Book" w:eastAsia="Times New Roman" w:hAnsi="Franklin Gothic Book"/>
          <w:sz w:val="21"/>
        </w:rPr>
        <w:t>investment</w:t>
      </w:r>
      <w:r>
        <w:rPr>
          <w:rFonts w:ascii="Franklin Gothic Book" w:eastAsia="Times New Roman" w:hAnsi="Franklin Gothic Book"/>
          <w:sz w:val="21"/>
        </w:rPr>
        <w:t xml:space="preserve">. </w:t>
      </w:r>
      <w:r w:rsidR="00891577">
        <w:rPr>
          <w:rFonts w:ascii="Franklin Gothic Book" w:eastAsia="Times New Roman" w:hAnsi="Franklin Gothic Book"/>
          <w:sz w:val="21"/>
        </w:rPr>
        <w:t>As a result, a new approach was developed in consultation with donor partners and the Vanuatu Government b</w:t>
      </w:r>
      <w:r w:rsidR="00A963A5" w:rsidRPr="00A963A5">
        <w:rPr>
          <w:rFonts w:ascii="Franklin Gothic Book" w:eastAsia="Times New Roman" w:hAnsi="Franklin Gothic Book"/>
          <w:sz w:val="21"/>
        </w:rPr>
        <w:t>uilding on lessons learned</w:t>
      </w:r>
      <w:r w:rsidR="00891577">
        <w:rPr>
          <w:rFonts w:ascii="Franklin Gothic Book" w:eastAsia="Times New Roman" w:hAnsi="Franklin Gothic Book"/>
          <w:sz w:val="21"/>
        </w:rPr>
        <w:t>.</w:t>
      </w:r>
      <w:r w:rsidR="00A963A5" w:rsidRPr="00A963A5">
        <w:rPr>
          <w:rFonts w:ascii="Franklin Gothic Book" w:eastAsia="Times New Roman" w:hAnsi="Franklin Gothic Book"/>
          <w:sz w:val="21"/>
        </w:rPr>
        <w:t xml:space="preserve"> </w:t>
      </w:r>
      <w:r w:rsidR="00891577">
        <w:rPr>
          <w:rFonts w:ascii="Franklin Gothic Book" w:eastAsia="Times New Roman" w:hAnsi="Franklin Gothic Book"/>
          <w:sz w:val="21"/>
        </w:rPr>
        <w:t>T</w:t>
      </w:r>
      <w:r w:rsidR="00A963A5" w:rsidRPr="00A963A5">
        <w:rPr>
          <w:rFonts w:ascii="Franklin Gothic Book" w:eastAsia="Times New Roman" w:hAnsi="Franklin Gothic Book"/>
          <w:sz w:val="21"/>
        </w:rPr>
        <w:t xml:space="preserve">he new program, VESP, </w:t>
      </w:r>
      <w:r w:rsidR="00C739A9">
        <w:rPr>
          <w:rFonts w:ascii="Franklin Gothic Book" w:eastAsia="Times New Roman" w:hAnsi="Franklin Gothic Book"/>
          <w:sz w:val="21"/>
        </w:rPr>
        <w:t>started in September 2013</w:t>
      </w:r>
      <w:r w:rsidR="0079281E">
        <w:rPr>
          <w:rFonts w:ascii="Franklin Gothic Book" w:eastAsia="Times New Roman" w:hAnsi="Franklin Gothic Book"/>
          <w:sz w:val="21"/>
        </w:rPr>
        <w:t xml:space="preserve"> and is funded </w:t>
      </w:r>
      <w:r w:rsidR="00D422CB">
        <w:rPr>
          <w:rFonts w:ascii="Franklin Gothic Book" w:eastAsia="Times New Roman" w:hAnsi="Franklin Gothic Book"/>
          <w:sz w:val="21"/>
        </w:rPr>
        <w:t xml:space="preserve">jointly </w:t>
      </w:r>
      <w:r w:rsidR="0079281E">
        <w:rPr>
          <w:rFonts w:ascii="Franklin Gothic Book" w:eastAsia="Times New Roman" w:hAnsi="Franklin Gothic Book"/>
          <w:sz w:val="21"/>
        </w:rPr>
        <w:t>with New Zealand</w:t>
      </w:r>
      <w:r w:rsidR="00891577">
        <w:rPr>
          <w:rFonts w:ascii="Franklin Gothic Book" w:eastAsia="Times New Roman" w:hAnsi="Franklin Gothic Book"/>
          <w:sz w:val="21"/>
        </w:rPr>
        <w:t>.</w:t>
      </w:r>
      <w:r w:rsidR="00C739A9">
        <w:rPr>
          <w:rFonts w:ascii="Franklin Gothic Book" w:eastAsia="Times New Roman" w:hAnsi="Franklin Gothic Book"/>
          <w:sz w:val="21"/>
        </w:rPr>
        <w:t xml:space="preserve"> </w:t>
      </w:r>
      <w:r w:rsidR="00891577">
        <w:rPr>
          <w:rFonts w:ascii="Franklin Gothic Book" w:eastAsia="Times New Roman" w:hAnsi="Franklin Gothic Book"/>
          <w:sz w:val="21"/>
        </w:rPr>
        <w:t>VESP</w:t>
      </w:r>
      <w:r w:rsidR="00C739A9">
        <w:rPr>
          <w:rFonts w:ascii="Franklin Gothic Book" w:eastAsia="Times New Roman" w:hAnsi="Franklin Gothic Book"/>
          <w:sz w:val="21"/>
        </w:rPr>
        <w:t xml:space="preserve"> </w:t>
      </w:r>
      <w:r w:rsidR="00C739A9" w:rsidRPr="00A963A5">
        <w:rPr>
          <w:rFonts w:ascii="Franklin Gothic Book" w:eastAsia="Times New Roman" w:hAnsi="Franklin Gothic Book"/>
          <w:sz w:val="21"/>
        </w:rPr>
        <w:t xml:space="preserve">focuses on improving education quality </w:t>
      </w:r>
      <w:r w:rsidR="00C739A9">
        <w:rPr>
          <w:rFonts w:ascii="Franklin Gothic Book" w:eastAsia="Times New Roman" w:hAnsi="Franklin Gothic Book"/>
          <w:sz w:val="21"/>
        </w:rPr>
        <w:t xml:space="preserve">in the early years of schooling </w:t>
      </w:r>
      <w:r w:rsidR="00C739A9" w:rsidRPr="00A963A5">
        <w:rPr>
          <w:rFonts w:ascii="Franklin Gothic Book" w:eastAsia="Times New Roman" w:hAnsi="Franklin Gothic Book"/>
          <w:sz w:val="21"/>
        </w:rPr>
        <w:t>(from early childhood to year 3)</w:t>
      </w:r>
      <w:r w:rsidR="00891577">
        <w:rPr>
          <w:rFonts w:ascii="Franklin Gothic Book" w:eastAsia="Times New Roman" w:hAnsi="Franklin Gothic Book"/>
          <w:sz w:val="21"/>
        </w:rPr>
        <w:t xml:space="preserve"> and has adopted a delivery approach blending use of government systems, contractors and community organisations</w:t>
      </w:r>
      <w:r w:rsidR="00C739A9" w:rsidRPr="00A963A5">
        <w:rPr>
          <w:rFonts w:ascii="Franklin Gothic Book" w:eastAsia="Times New Roman" w:hAnsi="Franklin Gothic Book"/>
          <w:sz w:val="21"/>
        </w:rPr>
        <w:t xml:space="preserve">. </w:t>
      </w:r>
      <w:r w:rsidR="00C739A9">
        <w:rPr>
          <w:rFonts w:ascii="Franklin Gothic Book" w:eastAsia="Times New Roman" w:hAnsi="Franklin Gothic Book"/>
          <w:sz w:val="21"/>
        </w:rPr>
        <w:t xml:space="preserve">Mobilisation of VESP was slower than hoped due to delays with the tender process, staffing issues with the </w:t>
      </w:r>
      <w:r w:rsidR="00891577">
        <w:rPr>
          <w:rFonts w:ascii="Franklin Gothic Book" w:eastAsia="Times New Roman" w:hAnsi="Franklin Gothic Book"/>
          <w:sz w:val="21"/>
        </w:rPr>
        <w:t xml:space="preserve">main </w:t>
      </w:r>
      <w:r w:rsidR="00D422CB">
        <w:rPr>
          <w:rFonts w:ascii="Franklin Gothic Book" w:eastAsia="Times New Roman" w:hAnsi="Franklin Gothic Book"/>
          <w:sz w:val="21"/>
        </w:rPr>
        <w:t>m</w:t>
      </w:r>
      <w:r w:rsidR="00C739A9">
        <w:rPr>
          <w:rFonts w:ascii="Franklin Gothic Book" w:eastAsia="Times New Roman" w:hAnsi="Franklin Gothic Book"/>
          <w:sz w:val="21"/>
        </w:rPr>
        <w:t xml:space="preserve">anaging </w:t>
      </w:r>
      <w:r w:rsidR="00D422CB">
        <w:rPr>
          <w:rFonts w:ascii="Franklin Gothic Book" w:eastAsia="Times New Roman" w:hAnsi="Franklin Gothic Book"/>
          <w:sz w:val="21"/>
        </w:rPr>
        <w:t>c</w:t>
      </w:r>
      <w:r w:rsidR="00C739A9">
        <w:rPr>
          <w:rFonts w:ascii="Franklin Gothic Book" w:eastAsia="Times New Roman" w:hAnsi="Franklin Gothic Book"/>
          <w:sz w:val="21"/>
        </w:rPr>
        <w:t>ontractor, and a slow Vanuatu Government transition from VERM, meaning that full program implementation will only occur from 2014</w:t>
      </w:r>
      <w:r w:rsidR="00593264">
        <w:rPr>
          <w:rFonts w:ascii="Franklin Gothic Book" w:eastAsia="Times New Roman" w:hAnsi="Franklin Gothic Book"/>
          <w:sz w:val="21"/>
        </w:rPr>
        <w:t>-</w:t>
      </w:r>
      <w:r w:rsidR="00C739A9">
        <w:rPr>
          <w:rFonts w:ascii="Franklin Gothic Book" w:eastAsia="Times New Roman" w:hAnsi="Franklin Gothic Book"/>
          <w:sz w:val="21"/>
        </w:rPr>
        <w:t>15 onwards.</w:t>
      </w:r>
      <w:r w:rsidR="00A963A5">
        <w:rPr>
          <w:rFonts w:ascii="Franklin Gothic Book" w:eastAsia="Times New Roman" w:hAnsi="Franklin Gothic Book"/>
          <w:sz w:val="21"/>
        </w:rPr>
        <w:t xml:space="preserve"> </w:t>
      </w:r>
    </w:p>
    <w:p w:rsidR="00703696" w:rsidRPr="00703696" w:rsidRDefault="00C739A9" w:rsidP="00703696">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w:t>
      </w:r>
      <w:r w:rsidRPr="00703696">
        <w:rPr>
          <w:rFonts w:ascii="Franklin Gothic Book" w:eastAsia="Times New Roman" w:hAnsi="Franklin Gothic Book"/>
          <w:sz w:val="21"/>
        </w:rPr>
        <w:t>TVET Sector Strengthening Program (phase 3)</w:t>
      </w:r>
      <w:r>
        <w:rPr>
          <w:rFonts w:ascii="Franklin Gothic Book" w:eastAsia="Times New Roman" w:hAnsi="Franklin Gothic Book"/>
          <w:sz w:val="21"/>
        </w:rPr>
        <w:t xml:space="preserve"> seeks to bridge the gap between rural areas and the formal economy through skills development, and </w:t>
      </w:r>
      <w:r w:rsidR="00891577">
        <w:rPr>
          <w:rFonts w:ascii="Franklin Gothic Book" w:eastAsia="Times New Roman" w:hAnsi="Franklin Gothic Book"/>
          <w:sz w:val="21"/>
        </w:rPr>
        <w:t xml:space="preserve">continued to </w:t>
      </w:r>
      <w:r w:rsidRPr="00703696">
        <w:rPr>
          <w:rFonts w:ascii="Franklin Gothic Book" w:eastAsia="Times New Roman" w:hAnsi="Franklin Gothic Book"/>
          <w:sz w:val="21"/>
        </w:rPr>
        <w:t>achieve impressive results</w:t>
      </w:r>
      <w:r>
        <w:rPr>
          <w:rFonts w:ascii="Franklin Gothic Book" w:eastAsia="Times New Roman" w:hAnsi="Franklin Gothic Book"/>
          <w:sz w:val="21"/>
        </w:rPr>
        <w:t xml:space="preserve"> i</w:t>
      </w:r>
      <w:r w:rsidRPr="00703696">
        <w:rPr>
          <w:rFonts w:ascii="Franklin Gothic Book" w:eastAsia="Times New Roman" w:hAnsi="Franklin Gothic Book"/>
          <w:sz w:val="21"/>
        </w:rPr>
        <w:t>n the reporting period</w:t>
      </w:r>
      <w:r>
        <w:rPr>
          <w:rFonts w:ascii="Franklin Gothic Book" w:eastAsia="Times New Roman" w:hAnsi="Franklin Gothic Book"/>
          <w:sz w:val="21"/>
        </w:rPr>
        <w:t>.</w:t>
      </w:r>
      <w:r w:rsidRPr="00703696">
        <w:rPr>
          <w:rFonts w:ascii="Franklin Gothic Book" w:eastAsia="Times New Roman" w:hAnsi="Franklin Gothic Book"/>
          <w:sz w:val="21"/>
        </w:rPr>
        <w:t xml:space="preserve"> </w:t>
      </w:r>
      <w:r w:rsidR="00152225">
        <w:rPr>
          <w:rFonts w:ascii="Franklin Gothic Book" w:eastAsia="Times New Roman" w:hAnsi="Franklin Gothic Book"/>
          <w:sz w:val="21"/>
        </w:rPr>
        <w:t xml:space="preserve">Increasing </w:t>
      </w:r>
      <w:r w:rsidR="004A589A">
        <w:rPr>
          <w:rFonts w:ascii="Franklin Gothic Book" w:eastAsia="Times New Roman" w:hAnsi="Franklin Gothic Book"/>
          <w:sz w:val="21"/>
        </w:rPr>
        <w:t xml:space="preserve">the prospects of </w:t>
      </w:r>
      <w:r w:rsidR="00152225">
        <w:rPr>
          <w:rFonts w:ascii="Franklin Gothic Book" w:eastAsia="Times New Roman" w:hAnsi="Franklin Gothic Book"/>
          <w:sz w:val="21"/>
        </w:rPr>
        <w:t>sustainability, t</w:t>
      </w:r>
      <w:r>
        <w:rPr>
          <w:rFonts w:ascii="Franklin Gothic Book" w:eastAsia="Times New Roman" w:hAnsi="Franklin Gothic Book"/>
          <w:sz w:val="21"/>
        </w:rPr>
        <w:t>he Vanuatu</w:t>
      </w:r>
      <w:r w:rsidRPr="00703696">
        <w:rPr>
          <w:rFonts w:ascii="Franklin Gothic Book" w:eastAsia="Times New Roman" w:hAnsi="Franklin Gothic Book"/>
          <w:sz w:val="21"/>
        </w:rPr>
        <w:t xml:space="preserve"> Government </w:t>
      </w:r>
      <w:r>
        <w:rPr>
          <w:rFonts w:ascii="Franklin Gothic Book" w:eastAsia="Times New Roman" w:hAnsi="Franklin Gothic Book"/>
          <w:sz w:val="21"/>
        </w:rPr>
        <w:t xml:space="preserve">has </w:t>
      </w:r>
      <w:r w:rsidRPr="00703696">
        <w:rPr>
          <w:rFonts w:ascii="Franklin Gothic Book" w:eastAsia="Times New Roman" w:hAnsi="Franklin Gothic Book"/>
          <w:sz w:val="21"/>
        </w:rPr>
        <w:t xml:space="preserve">adopted the TVET </w:t>
      </w:r>
      <w:r w:rsidR="00D422CB">
        <w:rPr>
          <w:rFonts w:ascii="Franklin Gothic Book" w:eastAsia="Times New Roman" w:hAnsi="Franklin Gothic Book"/>
          <w:sz w:val="21"/>
        </w:rPr>
        <w:t>c</w:t>
      </w:r>
      <w:r w:rsidRPr="00703696">
        <w:rPr>
          <w:rFonts w:ascii="Franklin Gothic Book" w:eastAsia="Times New Roman" w:hAnsi="Franklin Gothic Book"/>
          <w:sz w:val="21"/>
        </w:rPr>
        <w:t xml:space="preserve">entre </w:t>
      </w:r>
      <w:r w:rsidR="00D422CB">
        <w:rPr>
          <w:rFonts w:ascii="Franklin Gothic Book" w:eastAsia="Times New Roman" w:hAnsi="Franklin Gothic Book"/>
          <w:sz w:val="21"/>
        </w:rPr>
        <w:t>m</w:t>
      </w:r>
      <w:r w:rsidRPr="00703696">
        <w:rPr>
          <w:rFonts w:ascii="Franklin Gothic Book" w:eastAsia="Times New Roman" w:hAnsi="Franklin Gothic Book"/>
          <w:sz w:val="21"/>
        </w:rPr>
        <w:t xml:space="preserve">odel and </w:t>
      </w:r>
      <w:r>
        <w:rPr>
          <w:rFonts w:ascii="Franklin Gothic Book" w:eastAsia="Times New Roman" w:hAnsi="Franklin Gothic Book"/>
          <w:sz w:val="21"/>
        </w:rPr>
        <w:t>the Ministry</w:t>
      </w:r>
      <w:r w:rsidR="004513F4">
        <w:rPr>
          <w:rFonts w:ascii="Franklin Gothic Book" w:eastAsia="Times New Roman" w:hAnsi="Franklin Gothic Book"/>
          <w:sz w:val="21"/>
        </w:rPr>
        <w:t xml:space="preserve"> has </w:t>
      </w:r>
      <w:r w:rsidRPr="00703696">
        <w:rPr>
          <w:rFonts w:ascii="Franklin Gothic Book" w:eastAsia="Times New Roman" w:hAnsi="Franklin Gothic Book"/>
          <w:sz w:val="21"/>
        </w:rPr>
        <w:t xml:space="preserve">renamed itself the Ministry of Education and Training (MoET). </w:t>
      </w:r>
      <w:r w:rsidR="00152225">
        <w:rPr>
          <w:rFonts w:ascii="Franklin Gothic Book" w:eastAsia="Times New Roman" w:hAnsi="Franklin Gothic Book"/>
          <w:sz w:val="21"/>
        </w:rPr>
        <w:t>T</w:t>
      </w:r>
      <w:r w:rsidRPr="00703696">
        <w:rPr>
          <w:rFonts w:ascii="Franklin Gothic Book" w:eastAsia="Times New Roman" w:hAnsi="Franklin Gothic Book"/>
          <w:sz w:val="21"/>
        </w:rPr>
        <w:t xml:space="preserve">he Ministry </w:t>
      </w:r>
      <w:r>
        <w:rPr>
          <w:rFonts w:ascii="Franklin Gothic Book" w:eastAsia="Times New Roman" w:hAnsi="Franklin Gothic Book"/>
          <w:sz w:val="21"/>
        </w:rPr>
        <w:t xml:space="preserve">now </w:t>
      </w:r>
      <w:r w:rsidRPr="00703696">
        <w:rPr>
          <w:rFonts w:ascii="Franklin Gothic Book" w:eastAsia="Times New Roman" w:hAnsi="Franklin Gothic Book"/>
          <w:sz w:val="21"/>
        </w:rPr>
        <w:t>has a dedicated TVET</w:t>
      </w:r>
      <w:r>
        <w:rPr>
          <w:rFonts w:ascii="Franklin Gothic Book" w:eastAsia="Times New Roman" w:hAnsi="Franklin Gothic Book"/>
          <w:sz w:val="21"/>
        </w:rPr>
        <w:t xml:space="preserve"> Division, and has committed positions and budget to support the TVET program</w:t>
      </w:r>
      <w:r w:rsidRPr="00703696">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 xml:space="preserve">In the tourism sector, the TVET Program received national recognition by </w:t>
      </w:r>
      <w:r w:rsidR="00C739A9">
        <w:rPr>
          <w:rFonts w:ascii="Franklin Gothic Book" w:eastAsia="Times New Roman" w:hAnsi="Franklin Gothic Book"/>
          <w:sz w:val="21"/>
        </w:rPr>
        <w:t>the Vanuatu Government</w:t>
      </w:r>
      <w:r w:rsidR="00C739A9" w:rsidRPr="00703696">
        <w:rPr>
          <w:rFonts w:ascii="Franklin Gothic Book" w:eastAsia="Times New Roman" w:hAnsi="Franklin Gothic Book"/>
          <w:sz w:val="21"/>
        </w:rPr>
        <w:t xml:space="preserve"> </w:t>
      </w:r>
      <w:r w:rsidRPr="00703696">
        <w:rPr>
          <w:rFonts w:ascii="Franklin Gothic Book" w:eastAsia="Times New Roman" w:hAnsi="Franklin Gothic Book"/>
          <w:sz w:val="21"/>
        </w:rPr>
        <w:t xml:space="preserve">for its contribution to improving the quantity and quality of ni-Vanuatu tourism businesses.  </w:t>
      </w:r>
      <w:r w:rsidR="001532E3">
        <w:rPr>
          <w:rFonts w:ascii="Franklin Gothic Book" w:eastAsia="Times New Roman" w:hAnsi="Franklin Gothic Book"/>
          <w:sz w:val="21"/>
        </w:rPr>
        <w:t xml:space="preserve">For example, </w:t>
      </w:r>
      <w:r w:rsidR="005345AF">
        <w:rPr>
          <w:rFonts w:ascii="Franklin Gothic Book" w:eastAsia="Times New Roman" w:hAnsi="Franklin Gothic Book"/>
          <w:sz w:val="21"/>
        </w:rPr>
        <w:t>28</w:t>
      </w:r>
      <w:r w:rsidRPr="00703696">
        <w:rPr>
          <w:rFonts w:ascii="Franklin Gothic Book" w:eastAsia="Times New Roman" w:hAnsi="Franklin Gothic Book"/>
          <w:sz w:val="21"/>
        </w:rPr>
        <w:t xml:space="preserve"> ni-Vanuatu bungalow businesses in provinces with a TVET Centre now operate abo</w:t>
      </w:r>
      <w:r w:rsidR="00F547CE">
        <w:rPr>
          <w:rFonts w:ascii="Franklin Gothic Book" w:eastAsia="Times New Roman" w:hAnsi="Franklin Gothic Book"/>
          <w:sz w:val="21"/>
        </w:rPr>
        <w:t xml:space="preserve">ve national minimum standards. </w:t>
      </w:r>
      <w:r w:rsidRPr="00703696">
        <w:rPr>
          <w:rFonts w:ascii="Franklin Gothic Book" w:eastAsia="Times New Roman" w:hAnsi="Franklin Gothic Book"/>
          <w:sz w:val="21"/>
        </w:rPr>
        <w:t xml:space="preserve">Previously, </w:t>
      </w:r>
      <w:r w:rsidR="005345AF">
        <w:rPr>
          <w:rFonts w:ascii="Franklin Gothic Book" w:eastAsia="Times New Roman" w:hAnsi="Franklin Gothic Book"/>
          <w:sz w:val="21"/>
        </w:rPr>
        <w:t>none did</w:t>
      </w:r>
      <w:r w:rsidR="00A51693">
        <w:rPr>
          <w:rFonts w:ascii="Franklin Gothic Book" w:eastAsia="Times New Roman" w:hAnsi="Franklin Gothic Book"/>
          <w:sz w:val="21"/>
        </w:rPr>
        <w:t xml:space="preserve">.  </w:t>
      </w:r>
      <w:r w:rsidR="00C739A9" w:rsidRPr="00703696">
        <w:rPr>
          <w:rFonts w:ascii="Franklin Gothic Book" w:eastAsia="Times New Roman" w:hAnsi="Franklin Gothic Book"/>
          <w:sz w:val="21"/>
        </w:rPr>
        <w:t>The program has also attracted co-financing from other partners, including the private sector (</w:t>
      </w:r>
      <w:r w:rsidR="00C739A9" w:rsidRPr="00703696">
        <w:rPr>
          <w:rFonts w:ascii="Franklin Gothic Book" w:eastAsia="Times New Roman" w:hAnsi="Franklin Gothic Book"/>
          <w:i/>
          <w:sz w:val="21"/>
        </w:rPr>
        <w:t>e.g</w:t>
      </w:r>
      <w:r w:rsidR="00C739A9" w:rsidRPr="00703696">
        <w:rPr>
          <w:rFonts w:ascii="Franklin Gothic Book" w:eastAsia="Times New Roman" w:hAnsi="Franklin Gothic Book"/>
          <w:sz w:val="21"/>
        </w:rPr>
        <w:t>. Carnival</w:t>
      </w:r>
      <w:r w:rsidR="005345AF">
        <w:rPr>
          <w:rFonts w:ascii="Franklin Gothic Book" w:eastAsia="Times New Roman" w:hAnsi="Franklin Gothic Book"/>
          <w:sz w:val="21"/>
        </w:rPr>
        <w:t xml:space="preserve"> Australia</w:t>
      </w:r>
      <w:r w:rsidR="00C739A9" w:rsidRPr="00703696">
        <w:rPr>
          <w:rFonts w:ascii="Franklin Gothic Book" w:eastAsia="Times New Roman" w:hAnsi="Franklin Gothic Book"/>
          <w:sz w:val="21"/>
        </w:rPr>
        <w:t>)</w:t>
      </w:r>
      <w:r w:rsidR="00726615">
        <w:rPr>
          <w:rFonts w:ascii="Franklin Gothic Book" w:eastAsia="Times New Roman" w:hAnsi="Franklin Gothic Book"/>
          <w:sz w:val="21"/>
        </w:rPr>
        <w:t>.</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 xml:space="preserve">In addition to </w:t>
      </w:r>
      <w:r w:rsidR="00A51693">
        <w:rPr>
          <w:rFonts w:ascii="Franklin Gothic Book" w:eastAsia="Times New Roman" w:hAnsi="Franklin Gothic Book"/>
          <w:sz w:val="21"/>
        </w:rPr>
        <w:t xml:space="preserve">accredited </w:t>
      </w:r>
      <w:r w:rsidRPr="00703696">
        <w:rPr>
          <w:rFonts w:ascii="Franklin Gothic Book" w:eastAsia="Times New Roman" w:hAnsi="Franklin Gothic Book"/>
          <w:sz w:val="21"/>
        </w:rPr>
        <w:t xml:space="preserve">technical </w:t>
      </w:r>
      <w:r w:rsidR="00A51693">
        <w:rPr>
          <w:rFonts w:ascii="Franklin Gothic Book" w:eastAsia="Times New Roman" w:hAnsi="Franklin Gothic Book"/>
          <w:sz w:val="21"/>
        </w:rPr>
        <w:t>training courses</w:t>
      </w:r>
      <w:r w:rsidRPr="00703696">
        <w:rPr>
          <w:rFonts w:ascii="Franklin Gothic Book" w:eastAsia="Times New Roman" w:hAnsi="Franklin Gothic Book"/>
          <w:sz w:val="21"/>
        </w:rPr>
        <w:t xml:space="preserve">, TVET </w:t>
      </w:r>
      <w:r w:rsidR="00D422CB">
        <w:rPr>
          <w:rFonts w:ascii="Franklin Gothic Book" w:eastAsia="Times New Roman" w:hAnsi="Franklin Gothic Book"/>
          <w:sz w:val="21"/>
        </w:rPr>
        <w:t>c</w:t>
      </w:r>
      <w:r w:rsidR="00A51693">
        <w:rPr>
          <w:rFonts w:ascii="Franklin Gothic Book" w:eastAsia="Times New Roman" w:hAnsi="Franklin Gothic Book"/>
          <w:sz w:val="21"/>
        </w:rPr>
        <w:t xml:space="preserve">entres </w:t>
      </w:r>
      <w:r w:rsidRPr="00703696">
        <w:rPr>
          <w:rFonts w:ascii="Franklin Gothic Book" w:eastAsia="Times New Roman" w:hAnsi="Franklin Gothic Book"/>
          <w:sz w:val="21"/>
        </w:rPr>
        <w:t xml:space="preserve">provide business development services. In 2013, 35 </w:t>
      </w:r>
      <w:r w:rsidR="00A51693">
        <w:rPr>
          <w:rFonts w:ascii="Franklin Gothic Book" w:eastAsia="Times New Roman" w:hAnsi="Franklin Gothic Book"/>
          <w:sz w:val="21"/>
        </w:rPr>
        <w:t xml:space="preserve">different </w:t>
      </w:r>
      <w:r w:rsidRPr="00703696">
        <w:rPr>
          <w:rFonts w:ascii="Franklin Gothic Book" w:eastAsia="Times New Roman" w:hAnsi="Franklin Gothic Book"/>
          <w:sz w:val="21"/>
        </w:rPr>
        <w:t xml:space="preserve">accredited courses and 50 business development workshops </w:t>
      </w:r>
      <w:r w:rsidR="00A51693">
        <w:rPr>
          <w:rFonts w:ascii="Franklin Gothic Book" w:eastAsia="Times New Roman" w:hAnsi="Franklin Gothic Book"/>
          <w:sz w:val="21"/>
        </w:rPr>
        <w:t xml:space="preserve">were facilitated </w:t>
      </w:r>
      <w:r w:rsidRPr="00703696">
        <w:rPr>
          <w:rFonts w:ascii="Franklin Gothic Book" w:eastAsia="Times New Roman" w:hAnsi="Franklin Gothic Book"/>
          <w:sz w:val="21"/>
        </w:rPr>
        <w:t>for 852 participants (29</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women, 4</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w:t>
      </w:r>
      <w:r w:rsidR="00C739A9">
        <w:rPr>
          <w:rFonts w:ascii="Franklin Gothic Book" w:eastAsia="Times New Roman" w:hAnsi="Franklin Gothic Book"/>
          <w:sz w:val="21"/>
        </w:rPr>
        <w:t>people with a disability</w:t>
      </w:r>
      <w:r w:rsidRPr="00703696">
        <w:rPr>
          <w:rFonts w:ascii="Franklin Gothic Book" w:eastAsia="Times New Roman" w:hAnsi="Franklin Gothic Book"/>
          <w:sz w:val="21"/>
        </w:rPr>
        <w:t xml:space="preserve">).  </w:t>
      </w:r>
      <w:r w:rsidR="004513F4">
        <w:rPr>
          <w:rFonts w:ascii="Franklin Gothic Book" w:eastAsia="Times New Roman" w:hAnsi="Franklin Gothic Book"/>
          <w:sz w:val="21"/>
        </w:rPr>
        <w:t>M</w:t>
      </w:r>
      <w:r w:rsidRPr="00703696">
        <w:rPr>
          <w:rFonts w:ascii="Franklin Gothic Book" w:eastAsia="Times New Roman" w:hAnsi="Franklin Gothic Book"/>
          <w:sz w:val="21"/>
        </w:rPr>
        <w:t>onitoring conducted by the program indicates 91</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of participants rated their activity as “excellent”.  </w:t>
      </w:r>
      <w:r w:rsidR="0079281E" w:rsidRPr="0079281E">
        <w:rPr>
          <w:rFonts w:ascii="Franklin Gothic Book" w:eastAsia="Times New Roman" w:hAnsi="Franklin Gothic Book"/>
          <w:sz w:val="21"/>
        </w:rPr>
        <w:t>A 2012 study showed an increase in participant household incomes by an average of 26 per cent.</w:t>
      </w:r>
      <w:r w:rsidR="0079281E" w:rsidRPr="0079281E">
        <w:rPr>
          <w:rStyle w:val="EndnoteReference"/>
          <w:rFonts w:eastAsia="Times New Roman"/>
        </w:rPr>
        <w:t xml:space="preserve"> </w:t>
      </w:r>
      <w:r w:rsidR="0079281E">
        <w:rPr>
          <w:rStyle w:val="EndnoteReference"/>
          <w:rFonts w:eastAsia="Times New Roman"/>
        </w:rPr>
        <w:endnoteReference w:id="14"/>
      </w:r>
      <w:r w:rsidR="0079281E" w:rsidRPr="0079281E">
        <w:rPr>
          <w:rFonts w:ascii="Franklin Gothic Book" w:eastAsia="Times New Roman" w:hAnsi="Franklin Gothic Book"/>
          <w:sz w:val="21"/>
        </w:rPr>
        <w:t xml:space="preserve"> The impact of TVET program activities during this reporting period is likely to be similar. The Vanuatu Government’s next household survey is planned for 2016.</w:t>
      </w:r>
      <w:r w:rsidR="0079281E" w:rsidRPr="0079281E" w:rsidDel="0079281E">
        <w:rPr>
          <w:rFonts w:ascii="Franklin Gothic Book" w:eastAsia="Times New Roman" w:hAnsi="Franklin Gothic Book"/>
          <w:sz w:val="21"/>
        </w:rPr>
        <w:t xml:space="preserve"> </w:t>
      </w:r>
    </w:p>
    <w:p w:rsidR="0020335A" w:rsidRPr="00703696" w:rsidRDefault="0020335A" w:rsidP="00703696">
      <w:pPr>
        <w:spacing w:after="120" w:line="280" w:lineRule="exact"/>
        <w:rPr>
          <w:rFonts w:ascii="Franklin Gothic Book" w:eastAsia="Times New Roman" w:hAnsi="Franklin Gothic Book"/>
          <w:sz w:val="21"/>
        </w:rPr>
      </w:pPr>
      <w:r w:rsidRPr="0020335A">
        <w:rPr>
          <w:rFonts w:ascii="Franklin Gothic Book" w:eastAsia="Times New Roman" w:hAnsi="Franklin Gothic Book"/>
          <w:sz w:val="21"/>
        </w:rPr>
        <w:t>The Australia-Pacific Technical College</w:t>
      </w:r>
      <w:r w:rsidR="00726615">
        <w:rPr>
          <w:rFonts w:ascii="Franklin Gothic Book" w:eastAsia="Times New Roman" w:hAnsi="Franklin Gothic Book"/>
          <w:sz w:val="21"/>
        </w:rPr>
        <w:t xml:space="preserve"> (APTC)</w:t>
      </w:r>
      <w:r w:rsidRPr="0020335A">
        <w:rPr>
          <w:rFonts w:ascii="Franklin Gothic Book" w:eastAsia="Times New Roman" w:hAnsi="Franklin Gothic Book"/>
          <w:sz w:val="21"/>
        </w:rPr>
        <w:t xml:space="preserve"> delivers internationally-recognised qualifications in targeted industry sectors.  </w:t>
      </w:r>
      <w:r w:rsidR="005345AF">
        <w:rPr>
          <w:rFonts w:ascii="Franklin Gothic Book" w:eastAsia="Times New Roman" w:hAnsi="Franklin Gothic Book"/>
          <w:sz w:val="21"/>
        </w:rPr>
        <w:t>During</w:t>
      </w:r>
      <w:r w:rsidR="005345AF" w:rsidRPr="0020335A">
        <w:rPr>
          <w:rFonts w:ascii="Franklin Gothic Book" w:eastAsia="Times New Roman" w:hAnsi="Franklin Gothic Book"/>
          <w:sz w:val="21"/>
        </w:rPr>
        <w:t xml:space="preserve"> </w:t>
      </w:r>
      <w:r w:rsidR="00A51693">
        <w:rPr>
          <w:rFonts w:ascii="Franklin Gothic Book" w:eastAsia="Times New Roman" w:hAnsi="Franklin Gothic Book"/>
          <w:sz w:val="21"/>
        </w:rPr>
        <w:t>the reporting period</w:t>
      </w:r>
      <w:r w:rsidRPr="0020335A">
        <w:rPr>
          <w:rFonts w:ascii="Franklin Gothic Book" w:eastAsia="Times New Roman" w:hAnsi="Franklin Gothic Book"/>
          <w:sz w:val="21"/>
        </w:rPr>
        <w:t xml:space="preserve">, 141 ni-Vanuatu (55 per cent women) graduated from </w:t>
      </w:r>
      <w:r w:rsidR="00726615">
        <w:rPr>
          <w:rFonts w:ascii="Franklin Gothic Book" w:eastAsia="Times New Roman" w:hAnsi="Franklin Gothic Book"/>
          <w:sz w:val="21"/>
        </w:rPr>
        <w:t xml:space="preserve">APTC’s </w:t>
      </w:r>
      <w:r w:rsidRPr="0020335A">
        <w:rPr>
          <w:rFonts w:ascii="Franklin Gothic Book" w:eastAsia="Times New Roman" w:hAnsi="Franklin Gothic Book"/>
          <w:sz w:val="21"/>
        </w:rPr>
        <w:t xml:space="preserve">Port Vila campus with internationally-recognised qualifications, bringing the total number of ni-Vanuatu graduates to 4,919 since 2007.  </w:t>
      </w:r>
    </w:p>
    <w:p w:rsidR="00703696" w:rsidRDefault="00703696" w:rsidP="004513F4">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 xml:space="preserve">There are </w:t>
      </w:r>
      <w:r w:rsidR="00470CDB">
        <w:rPr>
          <w:rFonts w:ascii="Franklin Gothic Book" w:eastAsia="Times New Roman" w:hAnsi="Franklin Gothic Book"/>
          <w:sz w:val="21"/>
        </w:rPr>
        <w:t xml:space="preserve">also </w:t>
      </w:r>
      <w:r w:rsidRPr="00703696">
        <w:rPr>
          <w:rFonts w:ascii="Franklin Gothic Book" w:eastAsia="Times New Roman" w:hAnsi="Franklin Gothic Book"/>
          <w:sz w:val="21"/>
        </w:rPr>
        <w:t xml:space="preserve">currently 228 </w:t>
      </w:r>
      <w:r w:rsidR="00470CDB">
        <w:rPr>
          <w:rFonts w:ascii="Franklin Gothic Book" w:eastAsia="Times New Roman" w:hAnsi="Franklin Gothic Book"/>
          <w:sz w:val="21"/>
        </w:rPr>
        <w:t xml:space="preserve">scholarship </w:t>
      </w:r>
      <w:r w:rsidRPr="00703696">
        <w:rPr>
          <w:rFonts w:ascii="Franklin Gothic Book" w:eastAsia="Times New Roman" w:hAnsi="Franklin Gothic Book"/>
          <w:sz w:val="21"/>
        </w:rPr>
        <w:t>students on award</w:t>
      </w:r>
      <w:r w:rsidR="007E2350">
        <w:rPr>
          <w:rFonts w:ascii="Franklin Gothic Book" w:eastAsia="Times New Roman" w:hAnsi="Franklin Gothic Book"/>
          <w:sz w:val="21"/>
        </w:rPr>
        <w:t xml:space="preserve">; 56 in Australia </w:t>
      </w:r>
      <w:r w:rsidRPr="00703696">
        <w:rPr>
          <w:rFonts w:ascii="Franklin Gothic Book" w:eastAsia="Times New Roman" w:hAnsi="Franklin Gothic Book"/>
          <w:sz w:val="21"/>
        </w:rPr>
        <w:t xml:space="preserve">and </w:t>
      </w:r>
      <w:r w:rsidR="007E2350">
        <w:rPr>
          <w:rFonts w:ascii="Franklin Gothic Book" w:eastAsia="Times New Roman" w:hAnsi="Franklin Gothic Book"/>
          <w:sz w:val="21"/>
        </w:rPr>
        <w:t xml:space="preserve">172 </w:t>
      </w:r>
      <w:r w:rsidRPr="00703696">
        <w:rPr>
          <w:rFonts w:ascii="Franklin Gothic Book" w:eastAsia="Times New Roman" w:hAnsi="Franklin Gothic Book"/>
          <w:sz w:val="21"/>
        </w:rPr>
        <w:t xml:space="preserve">in the region. All </w:t>
      </w:r>
      <w:r w:rsidR="009A472C">
        <w:rPr>
          <w:rFonts w:ascii="Franklin Gothic Book" w:eastAsia="Times New Roman" w:hAnsi="Franklin Gothic Book"/>
          <w:sz w:val="21"/>
        </w:rPr>
        <w:t xml:space="preserve">11 </w:t>
      </w:r>
      <w:r w:rsidR="004513F4">
        <w:rPr>
          <w:rFonts w:ascii="Franklin Gothic Book" w:eastAsia="Times New Roman" w:hAnsi="Franklin Gothic Book"/>
          <w:sz w:val="21"/>
        </w:rPr>
        <w:t xml:space="preserve">returning </w:t>
      </w:r>
      <w:r w:rsidR="009A472C">
        <w:rPr>
          <w:rFonts w:ascii="Franklin Gothic Book" w:eastAsia="Times New Roman" w:hAnsi="Franklin Gothic Book"/>
          <w:sz w:val="21"/>
        </w:rPr>
        <w:t xml:space="preserve">2013 </w:t>
      </w:r>
      <w:r w:rsidR="004513F4">
        <w:rPr>
          <w:rFonts w:ascii="Franklin Gothic Book" w:eastAsia="Times New Roman" w:hAnsi="Franklin Gothic Book"/>
          <w:sz w:val="21"/>
        </w:rPr>
        <w:t>gra</w:t>
      </w:r>
      <w:r w:rsidR="009A472C">
        <w:rPr>
          <w:rFonts w:ascii="Franklin Gothic Book" w:eastAsia="Times New Roman" w:hAnsi="Franklin Gothic Book"/>
          <w:sz w:val="21"/>
        </w:rPr>
        <w:t xml:space="preserve">duates </w:t>
      </w:r>
      <w:r w:rsidRPr="00703696">
        <w:rPr>
          <w:rFonts w:ascii="Franklin Gothic Book" w:eastAsia="Times New Roman" w:hAnsi="Franklin Gothic Book"/>
          <w:sz w:val="21"/>
        </w:rPr>
        <w:t xml:space="preserve">either returned to their jobs or found employment relevant to their field of study.  </w:t>
      </w:r>
      <w:r w:rsidR="00065440">
        <w:rPr>
          <w:rFonts w:ascii="Franklin Gothic Book" w:eastAsia="Times New Roman" w:hAnsi="Franklin Gothic Book"/>
          <w:sz w:val="21"/>
        </w:rPr>
        <w:t xml:space="preserve">2013 also saw the first disabled scholarship recipient from Vanuatu graduate.  </w:t>
      </w:r>
    </w:p>
    <w:p w:rsidR="00703696" w:rsidRPr="00703696" w:rsidRDefault="00703696" w:rsidP="00703696">
      <w:pPr>
        <w:numPr>
          <w:ilvl w:val="2"/>
          <w:numId w:val="0"/>
        </w:numPr>
        <w:spacing w:before="240" w:after="120"/>
        <w:outlineLvl w:val="2"/>
        <w:rPr>
          <w:rFonts w:ascii="Helvetica" w:eastAsia="Times New Roman" w:hAnsi="Helvetica" w:cs="Arial"/>
          <w:b/>
          <w:color w:val="124486"/>
          <w:kern w:val="28"/>
          <w:sz w:val="22"/>
          <w:szCs w:val="22"/>
          <w:lang w:eastAsia="zh-CN"/>
        </w:rPr>
      </w:pPr>
      <w:r w:rsidRPr="00703696">
        <w:rPr>
          <w:rFonts w:ascii="Helvetica" w:eastAsia="Times New Roman" w:hAnsi="Helvetica" w:cs="Arial"/>
          <w:b/>
          <w:color w:val="124486"/>
          <w:kern w:val="28"/>
          <w:sz w:val="22"/>
          <w:szCs w:val="22"/>
          <w:lang w:eastAsia="zh-CN"/>
        </w:rPr>
        <w:t>Objective 2</w:t>
      </w:r>
      <w:r w:rsidR="00A51693">
        <w:rPr>
          <w:rFonts w:ascii="Helvetica" w:eastAsia="Times New Roman" w:hAnsi="Helvetica" w:cs="Arial"/>
          <w:b/>
          <w:color w:val="124486"/>
          <w:kern w:val="28"/>
          <w:sz w:val="22"/>
          <w:szCs w:val="22"/>
          <w:lang w:eastAsia="zh-CN"/>
        </w:rPr>
        <w:t>:</w:t>
      </w:r>
      <w:r w:rsidRPr="00703696">
        <w:rPr>
          <w:rFonts w:ascii="Helvetica" w:eastAsia="Times New Roman" w:hAnsi="Helvetica" w:cs="Arial"/>
          <w:b/>
          <w:color w:val="124486"/>
          <w:kern w:val="28"/>
          <w:sz w:val="22"/>
          <w:szCs w:val="22"/>
          <w:lang w:eastAsia="zh-CN"/>
        </w:rPr>
        <w:t xml:space="preserve"> Strengthen health services and accelerate progress towards health MDGs</w:t>
      </w:r>
    </w:p>
    <w:p w:rsidR="00703696" w:rsidRPr="00703696" w:rsidRDefault="00703696" w:rsidP="00703696">
      <w:pPr>
        <w:spacing w:after="160" w:line="280" w:lineRule="exact"/>
        <w:rPr>
          <w:rFonts w:ascii="Franklin Gothic Book" w:eastAsia="Times New Roman" w:hAnsi="Franklin Gothic Book"/>
          <w:sz w:val="21"/>
          <w:lang w:eastAsia="zh-CN"/>
        </w:rPr>
      </w:pPr>
      <w:r w:rsidRPr="00703696">
        <w:rPr>
          <w:rFonts w:ascii="Franklin Gothic Book" w:eastAsia="Times New Roman" w:hAnsi="Franklin Gothic Book"/>
          <w:sz w:val="21"/>
          <w:lang w:eastAsia="zh-CN"/>
        </w:rPr>
        <w:t xml:space="preserve">The objective </w:t>
      </w:r>
      <w:r w:rsidR="008F26E3">
        <w:rPr>
          <w:rFonts w:ascii="Franklin Gothic Book" w:eastAsia="Times New Roman" w:hAnsi="Franklin Gothic Book"/>
          <w:sz w:val="21"/>
          <w:lang w:eastAsia="zh-CN"/>
        </w:rPr>
        <w:t>is</w:t>
      </w:r>
      <w:r w:rsidRPr="00703696">
        <w:rPr>
          <w:rFonts w:ascii="Franklin Gothic Book" w:eastAsia="Times New Roman" w:hAnsi="Franklin Gothic Book"/>
          <w:sz w:val="21"/>
          <w:lang w:eastAsia="zh-CN"/>
        </w:rPr>
        <w:t xml:space="preserve"> rated amber because </w:t>
      </w:r>
      <w:r w:rsidR="001532E3">
        <w:rPr>
          <w:rFonts w:ascii="Franklin Gothic Book" w:eastAsia="Times New Roman" w:hAnsi="Franklin Gothic Book"/>
          <w:sz w:val="21"/>
          <w:lang w:eastAsia="zh-CN"/>
        </w:rPr>
        <w:t xml:space="preserve">while </w:t>
      </w:r>
      <w:r w:rsidR="00A51693">
        <w:rPr>
          <w:rFonts w:ascii="Franklin Gothic Book" w:eastAsia="Times New Roman" w:hAnsi="Franklin Gothic Book"/>
          <w:sz w:val="21"/>
          <w:lang w:eastAsia="zh-CN"/>
        </w:rPr>
        <w:t xml:space="preserve">there were </w:t>
      </w:r>
      <w:r w:rsidR="001532E3">
        <w:rPr>
          <w:rFonts w:ascii="Franklin Gothic Book" w:eastAsia="Times New Roman" w:hAnsi="Franklin Gothic Book"/>
          <w:sz w:val="21"/>
          <w:lang w:eastAsia="zh-CN"/>
        </w:rPr>
        <w:t xml:space="preserve">some good achievements, we were unable to progress a key element of our program, </w:t>
      </w:r>
      <w:r w:rsidR="00443B08">
        <w:rPr>
          <w:rFonts w:ascii="Franklin Gothic Book" w:eastAsia="Times New Roman" w:hAnsi="Franklin Gothic Book"/>
          <w:sz w:val="21"/>
          <w:lang w:eastAsia="zh-CN"/>
        </w:rPr>
        <w:t xml:space="preserve">human resources </w:t>
      </w:r>
      <w:r w:rsidR="001532E3">
        <w:rPr>
          <w:rFonts w:ascii="Franklin Gothic Book" w:eastAsia="Times New Roman" w:hAnsi="Franklin Gothic Book"/>
          <w:sz w:val="21"/>
          <w:lang w:eastAsia="zh-CN"/>
        </w:rPr>
        <w:t>support, due to an inability to engage with the Vanuatu Government on this sensitive issue</w:t>
      </w:r>
      <w:r w:rsidRPr="00703696">
        <w:rPr>
          <w:rFonts w:ascii="Franklin Gothic Book" w:eastAsia="Times New Roman" w:hAnsi="Franklin Gothic Book"/>
          <w:sz w:val="21"/>
          <w:lang w:eastAsia="zh-CN"/>
        </w:rPr>
        <w:t>.</w:t>
      </w:r>
      <w:r w:rsidR="00470CDB">
        <w:rPr>
          <w:rFonts w:ascii="Franklin Gothic Book" w:eastAsia="Times New Roman" w:hAnsi="Franklin Gothic Book"/>
          <w:sz w:val="21"/>
          <w:lang w:eastAsia="zh-CN"/>
        </w:rPr>
        <w:t xml:space="preserve"> </w:t>
      </w:r>
    </w:p>
    <w:tbl>
      <w:tblPr>
        <w:tblStyle w:val="TableGrid2"/>
        <w:tblW w:w="0" w:type="auto"/>
        <w:shd w:val="clear" w:color="auto" w:fill="C7D5E6"/>
        <w:tblLook w:val="04A0" w:firstRow="1" w:lastRow="0" w:firstColumn="1" w:lastColumn="0" w:noHBand="0" w:noVBand="1"/>
      </w:tblPr>
      <w:tblGrid>
        <w:gridCol w:w="2943"/>
        <w:gridCol w:w="5551"/>
      </w:tblGrid>
      <w:tr w:rsidR="00703696" w:rsidRPr="00703696" w:rsidTr="00703696">
        <w:trPr>
          <w:trHeight w:val="922"/>
        </w:trPr>
        <w:tc>
          <w:tcPr>
            <w:tcW w:w="2943" w:type="dxa"/>
            <w:shd w:val="clear" w:color="auto" w:fill="C7D5E6"/>
          </w:tcPr>
          <w:p w:rsidR="00703696" w:rsidRPr="00703696" w:rsidRDefault="00703696" w:rsidP="00593264">
            <w:pPr>
              <w:spacing w:after="160" w:line="280" w:lineRule="exact"/>
              <w:rPr>
                <w:rFonts w:asciiTheme="minorHAnsi" w:eastAsia="Times New Roman" w:hAnsiTheme="minorHAnsi"/>
                <w:sz w:val="22"/>
                <w:szCs w:val="22"/>
              </w:rPr>
            </w:pPr>
            <w:r w:rsidRPr="00703696">
              <w:rPr>
                <w:rFonts w:asciiTheme="minorHAnsi" w:eastAsia="Times New Roman" w:hAnsiTheme="minorHAnsi"/>
                <w:sz w:val="22"/>
                <w:szCs w:val="22"/>
              </w:rPr>
              <w:t>Shared development outcome:</w:t>
            </w:r>
          </w:p>
        </w:tc>
        <w:tc>
          <w:tcPr>
            <w:tcW w:w="5551" w:type="dxa"/>
            <w:shd w:val="clear" w:color="auto" w:fill="C7D5E6"/>
          </w:tcPr>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Enhanced access to and quality of rural health care services</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Controlling and progressively eliminating malaria</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Improved budgeting, financial and expenditure management</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Strengthened health information systems</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Reduced child mortality</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Improved maternal health</w:t>
            </w:r>
          </w:p>
          <w:p w:rsid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 xml:space="preserve">Combat HIV/AIDs and other diseases  </w:t>
            </w:r>
          </w:p>
          <w:p w:rsidR="004A16E4" w:rsidRPr="00703696" w:rsidRDefault="004A16E4" w:rsidP="00703696">
            <w:pPr>
              <w:spacing w:line="280" w:lineRule="exact"/>
              <w:rPr>
                <w:rFonts w:asciiTheme="minorHAnsi" w:eastAsia="Times New Roman" w:hAnsiTheme="minorHAnsi"/>
                <w:i/>
                <w:sz w:val="22"/>
                <w:szCs w:val="22"/>
              </w:rPr>
            </w:pPr>
          </w:p>
        </w:tc>
      </w:tr>
      <w:tr w:rsidR="00703696" w:rsidRPr="00703696" w:rsidTr="00703696">
        <w:tc>
          <w:tcPr>
            <w:tcW w:w="2943" w:type="dxa"/>
            <w:shd w:val="clear" w:color="auto" w:fill="C7D5E6"/>
          </w:tcPr>
          <w:p w:rsidR="00703696" w:rsidRPr="00703696" w:rsidRDefault="00703696" w:rsidP="00703696">
            <w:pPr>
              <w:spacing w:after="160" w:line="280" w:lineRule="exact"/>
              <w:rPr>
                <w:rFonts w:asciiTheme="minorHAnsi" w:eastAsia="Times New Roman" w:hAnsiTheme="minorHAnsi"/>
                <w:sz w:val="22"/>
                <w:szCs w:val="22"/>
              </w:rPr>
            </w:pPr>
            <w:r w:rsidRPr="00703696">
              <w:rPr>
                <w:rFonts w:asciiTheme="minorHAnsi" w:eastAsia="Times New Roman" w:hAnsiTheme="minorHAnsi"/>
                <w:sz w:val="22"/>
                <w:szCs w:val="22"/>
              </w:rPr>
              <w:t>Australia’s objective:</w:t>
            </w:r>
          </w:p>
        </w:tc>
        <w:tc>
          <w:tcPr>
            <w:tcW w:w="5551" w:type="dxa"/>
            <w:shd w:val="clear" w:color="auto" w:fill="C7D5E6"/>
          </w:tcPr>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Public financial management strengthening including procurement and assets management</w:t>
            </w:r>
          </w:p>
          <w:p w:rsidR="00703696"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Support for costed, evidence-based workforce planning and management</w:t>
            </w:r>
          </w:p>
          <w:p w:rsidR="004A16E4" w:rsidRPr="00703696" w:rsidRDefault="00703696" w:rsidP="0070369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 xml:space="preserve">Assistance to strengthen provincial service delivery, effectively bolstering primary care provision   </w:t>
            </w:r>
          </w:p>
        </w:tc>
      </w:tr>
    </w:tbl>
    <w:p w:rsidR="00703696" w:rsidRPr="00703696" w:rsidRDefault="00703696" w:rsidP="00703793">
      <w:pPr>
        <w:spacing w:before="120" w:after="120" w:line="280" w:lineRule="exact"/>
        <w:rPr>
          <w:rFonts w:ascii="Franklin Gothic Book" w:eastAsia="Times New Roman" w:hAnsi="Franklin Gothic Book"/>
          <w:sz w:val="21"/>
        </w:rPr>
      </w:pPr>
      <w:r w:rsidRPr="00703696">
        <w:rPr>
          <w:rFonts w:ascii="Franklin Gothic Book" w:eastAsia="Times New Roman" w:hAnsi="Franklin Gothic Book"/>
          <w:sz w:val="21"/>
        </w:rPr>
        <w:t>Vanuatu has one of the lowest ratios of health workers and doctors per head of population amongst all Pacific countries (2.3 doctors for every 10,000 people). Under-five mortality is estimated by the UN to have increased from 13.2 deaths per 1</w:t>
      </w:r>
      <w:r w:rsidR="00A51693">
        <w:rPr>
          <w:rFonts w:ascii="Franklin Gothic Book" w:eastAsia="Times New Roman" w:hAnsi="Franklin Gothic Book"/>
          <w:sz w:val="21"/>
        </w:rPr>
        <w:t>,</w:t>
      </w:r>
      <w:r w:rsidRPr="00703696">
        <w:rPr>
          <w:rFonts w:ascii="Franklin Gothic Book" w:eastAsia="Times New Roman" w:hAnsi="Franklin Gothic Book"/>
          <w:sz w:val="21"/>
        </w:rPr>
        <w:t>000 live births in 2011 to 17.9 deaths in 2012. Up to 26</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of children under five are stunted and routine immunisations rates are unacceptably low (only 33</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of children are fully immunised at 3 years old).</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Australia continues to be the largest and lead donor in the sector and supports malaria control, village health workers, health information systems</w:t>
      </w:r>
      <w:r w:rsidR="0051208F">
        <w:rPr>
          <w:rFonts w:ascii="Franklin Gothic Book" w:eastAsia="Times New Roman" w:hAnsi="Franklin Gothic Book"/>
          <w:sz w:val="21"/>
        </w:rPr>
        <w:t>,</w:t>
      </w:r>
      <w:r w:rsidRPr="00703696">
        <w:rPr>
          <w:rFonts w:ascii="Franklin Gothic Book" w:eastAsia="Times New Roman" w:hAnsi="Franklin Gothic Book"/>
          <w:sz w:val="21"/>
        </w:rPr>
        <w:t xml:space="preserve"> some provincial health infrastructure improvements</w:t>
      </w:r>
      <w:r w:rsidR="0051208F">
        <w:rPr>
          <w:rFonts w:ascii="Franklin Gothic Book" w:eastAsia="Times New Roman" w:hAnsi="Franklin Gothic Book"/>
          <w:sz w:val="21"/>
        </w:rPr>
        <w:t xml:space="preserve"> and </w:t>
      </w:r>
      <w:r w:rsidR="0051208F" w:rsidRPr="00703696">
        <w:rPr>
          <w:rFonts w:ascii="Franklin Gothic Book" w:eastAsia="Times New Roman" w:hAnsi="Franklin Gothic Book"/>
          <w:sz w:val="21"/>
        </w:rPr>
        <w:t xml:space="preserve">placing medical specialists in </w:t>
      </w:r>
      <w:r w:rsidR="0051208F">
        <w:rPr>
          <w:rFonts w:ascii="Franklin Gothic Book" w:eastAsia="Times New Roman" w:hAnsi="Franklin Gothic Book"/>
          <w:sz w:val="21"/>
        </w:rPr>
        <w:t>h</w:t>
      </w:r>
      <w:r w:rsidR="0051208F" w:rsidRPr="00703696">
        <w:rPr>
          <w:rFonts w:ascii="Franklin Gothic Book" w:eastAsia="Times New Roman" w:hAnsi="Franklin Gothic Book"/>
          <w:sz w:val="21"/>
        </w:rPr>
        <w:t>ospital</w:t>
      </w:r>
      <w:r w:rsidR="0051208F">
        <w:rPr>
          <w:rFonts w:ascii="Franklin Gothic Book" w:eastAsia="Times New Roman" w:hAnsi="Franklin Gothic Book"/>
          <w:sz w:val="21"/>
        </w:rPr>
        <w:t>s</w:t>
      </w:r>
      <w:r w:rsidRPr="00703696">
        <w:rPr>
          <w:rFonts w:ascii="Franklin Gothic Book" w:eastAsia="Times New Roman" w:hAnsi="Franklin Gothic Book"/>
          <w:sz w:val="21"/>
        </w:rPr>
        <w:t xml:space="preserve">. </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 xml:space="preserve">This </w:t>
      </w:r>
      <w:r w:rsidR="00734FCA">
        <w:rPr>
          <w:rFonts w:ascii="Franklin Gothic Book" w:eastAsia="Times New Roman" w:hAnsi="Franklin Gothic Book"/>
          <w:sz w:val="21"/>
        </w:rPr>
        <w:t>was</w:t>
      </w:r>
      <w:r w:rsidR="00734FCA" w:rsidRPr="00703696">
        <w:rPr>
          <w:rFonts w:ascii="Franklin Gothic Book" w:eastAsia="Times New Roman" w:hAnsi="Franklin Gothic Book"/>
          <w:sz w:val="21"/>
        </w:rPr>
        <w:t xml:space="preserve"> </w:t>
      </w:r>
      <w:r w:rsidRPr="00703696">
        <w:rPr>
          <w:rFonts w:ascii="Franklin Gothic Book" w:eastAsia="Times New Roman" w:hAnsi="Franklin Gothic Book"/>
          <w:sz w:val="21"/>
        </w:rPr>
        <w:t xml:space="preserve">the first year implementing </w:t>
      </w:r>
      <w:r w:rsidR="003E604D">
        <w:rPr>
          <w:rFonts w:ascii="Franklin Gothic Book" w:eastAsia="Times New Roman" w:hAnsi="Franklin Gothic Book"/>
          <w:sz w:val="21"/>
        </w:rPr>
        <w:t>a</w:t>
      </w:r>
      <w:r w:rsidRPr="00703696">
        <w:rPr>
          <w:rFonts w:ascii="Franklin Gothic Book" w:eastAsia="Times New Roman" w:hAnsi="Franklin Gothic Book"/>
          <w:sz w:val="21"/>
        </w:rPr>
        <w:t xml:space="preserve"> re-focused program</w:t>
      </w:r>
      <w:r w:rsidR="0051208F">
        <w:rPr>
          <w:rFonts w:ascii="Franklin Gothic Book" w:eastAsia="Times New Roman" w:hAnsi="Franklin Gothic Book"/>
          <w:sz w:val="21"/>
        </w:rPr>
        <w:t>, which aimed to shift support</w:t>
      </w:r>
      <w:r w:rsidRPr="00703696">
        <w:rPr>
          <w:rFonts w:ascii="Franklin Gothic Book" w:eastAsia="Times New Roman" w:hAnsi="Franklin Gothic Book"/>
          <w:sz w:val="21"/>
        </w:rPr>
        <w:t xml:space="preserve"> </w:t>
      </w:r>
      <w:r w:rsidR="007E7C29">
        <w:rPr>
          <w:rFonts w:ascii="Franklin Gothic Book" w:eastAsia="Times New Roman" w:hAnsi="Franklin Gothic Book"/>
          <w:sz w:val="21"/>
        </w:rPr>
        <w:t>towards</w:t>
      </w:r>
      <w:r w:rsidRPr="00703696">
        <w:rPr>
          <w:rFonts w:ascii="Franklin Gothic Book" w:eastAsia="Times New Roman" w:hAnsi="Franklin Gothic Book"/>
          <w:sz w:val="21"/>
        </w:rPr>
        <w:t xml:space="preserve"> government-led change in key areas of weakness in health service delivery</w:t>
      </w:r>
      <w:r w:rsidR="007E7C29">
        <w:rPr>
          <w:rFonts w:ascii="Franklin Gothic Book" w:eastAsia="Times New Roman" w:hAnsi="Franklin Gothic Book"/>
          <w:sz w:val="21"/>
        </w:rPr>
        <w:t>, to achieve more sustainable long-term impacts on high level targets</w:t>
      </w:r>
      <w:r w:rsidRPr="00703696">
        <w:rPr>
          <w:rFonts w:ascii="Franklin Gothic Book" w:eastAsia="Times New Roman" w:hAnsi="Franklin Gothic Book"/>
          <w:sz w:val="21"/>
        </w:rPr>
        <w:t>.</w:t>
      </w:r>
    </w:p>
    <w:p w:rsidR="00703696" w:rsidRPr="00703696" w:rsidRDefault="00443B08" w:rsidP="00703696">
      <w:pPr>
        <w:spacing w:after="120" w:line="280" w:lineRule="exact"/>
        <w:rPr>
          <w:rFonts w:ascii="Franklin Gothic Book" w:eastAsia="Times New Roman" w:hAnsi="Franklin Gothic Book"/>
          <w:sz w:val="21"/>
        </w:rPr>
      </w:pPr>
      <w:r>
        <w:rPr>
          <w:rFonts w:ascii="Franklin Gothic Book" w:eastAsia="Times New Roman" w:hAnsi="Franklin Gothic Book"/>
          <w:sz w:val="21"/>
        </w:rPr>
        <w:t>Health</w:t>
      </w:r>
      <w:r w:rsidR="007E7C29">
        <w:rPr>
          <w:rFonts w:ascii="Franklin Gothic Book" w:eastAsia="Times New Roman" w:hAnsi="Franklin Gothic Book"/>
          <w:sz w:val="21"/>
        </w:rPr>
        <w:t xml:space="preserve"> s</w:t>
      </w:r>
      <w:r w:rsidR="00703696" w:rsidRPr="00703696">
        <w:rPr>
          <w:rFonts w:ascii="Franklin Gothic Book" w:eastAsia="Times New Roman" w:hAnsi="Franklin Gothic Book"/>
          <w:sz w:val="21"/>
        </w:rPr>
        <w:t xml:space="preserve">ervice delivery was constrained in 2013 because of uncertainty </w:t>
      </w:r>
      <w:r w:rsidR="00D422CB">
        <w:rPr>
          <w:rFonts w:ascii="Franklin Gothic Book" w:eastAsia="Times New Roman" w:hAnsi="Franklin Gothic Book"/>
          <w:sz w:val="21"/>
        </w:rPr>
        <w:t>surrounding</w:t>
      </w:r>
      <w:r w:rsidR="00D422CB" w:rsidRPr="00703696">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the </w:t>
      </w:r>
      <w:r>
        <w:rPr>
          <w:rFonts w:ascii="Franklin Gothic Book" w:eastAsia="Times New Roman" w:hAnsi="Franklin Gothic Book"/>
          <w:sz w:val="21"/>
        </w:rPr>
        <w:t xml:space="preserve">Vanuatu Government’s </w:t>
      </w:r>
      <w:r w:rsidR="00703696" w:rsidRPr="00703696">
        <w:rPr>
          <w:rFonts w:ascii="Franklin Gothic Book" w:eastAsia="Times New Roman" w:hAnsi="Franklin Gothic Book"/>
          <w:sz w:val="21"/>
        </w:rPr>
        <w:t xml:space="preserve">implementation of a decentralised </w:t>
      </w:r>
      <w:r w:rsidR="00785DB9">
        <w:rPr>
          <w:rFonts w:ascii="Franklin Gothic Book" w:eastAsia="Times New Roman" w:hAnsi="Franklin Gothic Book"/>
          <w:sz w:val="21"/>
        </w:rPr>
        <w:t>governance</w:t>
      </w:r>
      <w:r w:rsidR="00703696" w:rsidRPr="00703696">
        <w:rPr>
          <w:rFonts w:ascii="Franklin Gothic Book" w:eastAsia="Times New Roman" w:hAnsi="Franklin Gothic Book"/>
          <w:sz w:val="21"/>
        </w:rPr>
        <w:t xml:space="preserve"> structure. </w:t>
      </w:r>
      <w:r w:rsidR="00EA0471" w:rsidRPr="00703696">
        <w:rPr>
          <w:rFonts w:ascii="Franklin Gothic Book" w:eastAsia="Times New Roman" w:hAnsi="Franklin Gothic Book"/>
          <w:sz w:val="21"/>
        </w:rPr>
        <w:t>Most affected was support to workforce planning and management</w:t>
      </w:r>
      <w:r w:rsidR="00EA0471">
        <w:rPr>
          <w:rFonts w:ascii="Franklin Gothic Book" w:eastAsia="Times New Roman" w:hAnsi="Franklin Gothic Book"/>
          <w:sz w:val="21"/>
        </w:rPr>
        <w:t xml:space="preserve"> where there were no appropriate counterparts in the Ministry of Health</w:t>
      </w:r>
      <w:r w:rsidR="00EA0471" w:rsidRPr="00703696">
        <w:rPr>
          <w:rFonts w:ascii="Franklin Gothic Book" w:eastAsia="Times New Roman" w:hAnsi="Franklin Gothic Book"/>
          <w:sz w:val="21"/>
        </w:rPr>
        <w:t>.</w:t>
      </w:r>
      <w:r w:rsidR="00470CDB">
        <w:rPr>
          <w:rFonts w:ascii="Franklin Gothic Book" w:eastAsia="Times New Roman" w:hAnsi="Franklin Gothic Book"/>
          <w:sz w:val="21"/>
        </w:rPr>
        <w:t xml:space="preserve"> This limited the progress of </w:t>
      </w:r>
      <w:r w:rsidR="00AF270C">
        <w:rPr>
          <w:rFonts w:ascii="Franklin Gothic Book" w:eastAsia="Times New Roman" w:hAnsi="Franklin Gothic Book"/>
          <w:sz w:val="21"/>
        </w:rPr>
        <w:t xml:space="preserve">a key element of </w:t>
      </w:r>
      <w:r w:rsidR="00470CDB">
        <w:rPr>
          <w:rFonts w:ascii="Franklin Gothic Book" w:eastAsia="Times New Roman" w:hAnsi="Franklin Gothic Book"/>
          <w:sz w:val="21"/>
        </w:rPr>
        <w:t>our investment</w:t>
      </w:r>
      <w:r w:rsidR="0074640F">
        <w:rPr>
          <w:rFonts w:ascii="Franklin Gothic Book" w:eastAsia="Times New Roman" w:hAnsi="Franklin Gothic Book"/>
          <w:sz w:val="21"/>
        </w:rPr>
        <w:t xml:space="preserve"> and is the major reason for the amber rating. The program will need to work with the Vanuatu Government and consider options in this context, while maintaining progress in other key areas.</w:t>
      </w:r>
    </w:p>
    <w:p w:rsidR="00443B08" w:rsidRDefault="00094CA6" w:rsidP="00703696">
      <w:pPr>
        <w:spacing w:after="120" w:line="280" w:lineRule="exact"/>
        <w:rPr>
          <w:rFonts w:ascii="Franklin Gothic Book" w:eastAsia="Times New Roman" w:hAnsi="Franklin Gothic Book"/>
          <w:sz w:val="21"/>
        </w:rPr>
      </w:pPr>
      <w:r w:rsidRPr="003E604D">
        <w:rPr>
          <w:rFonts w:ascii="Franklin Gothic Book" w:eastAsia="Times New Roman" w:hAnsi="Franklin Gothic Book"/>
          <w:noProof/>
          <w:sz w:val="21"/>
        </w:rPr>
        <mc:AlternateContent>
          <mc:Choice Requires="wps">
            <w:drawing>
              <wp:anchor distT="0" distB="0" distL="114300" distR="114300" simplePos="0" relativeHeight="251677696" behindDoc="1" locked="0" layoutInCell="1" allowOverlap="1" wp14:anchorId="236FCE87" wp14:editId="1352DE72">
                <wp:simplePos x="0" y="0"/>
                <wp:positionH relativeFrom="column">
                  <wp:posOffset>1905</wp:posOffset>
                </wp:positionH>
                <wp:positionV relativeFrom="paragraph">
                  <wp:posOffset>1506220</wp:posOffset>
                </wp:positionV>
                <wp:extent cx="3219450" cy="3193415"/>
                <wp:effectExtent l="0" t="0" r="19050" b="26035"/>
                <wp:wrapThrough wrapText="bothSides">
                  <wp:wrapPolygon edited="0">
                    <wp:start x="0" y="0"/>
                    <wp:lineTo x="0" y="21647"/>
                    <wp:lineTo x="21600" y="21647"/>
                    <wp:lineTo x="2160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193415"/>
                        </a:xfrm>
                        <a:prstGeom prst="rect">
                          <a:avLst/>
                        </a:prstGeom>
                        <a:solidFill>
                          <a:srgbClr val="FFFFFF"/>
                        </a:solidFill>
                        <a:ln w="9525">
                          <a:solidFill>
                            <a:srgbClr val="000000"/>
                          </a:solidFill>
                          <a:miter lim="800000"/>
                          <a:headEnd/>
                          <a:tailEnd/>
                        </a:ln>
                      </wps:spPr>
                      <wps:txbx>
                        <w:txbxContent>
                          <w:p w:rsidR="00F86835" w:rsidRPr="003E604D" w:rsidRDefault="00F86835" w:rsidP="003E604D">
                            <w:pPr>
                              <w:spacing w:after="120" w:line="280" w:lineRule="exact"/>
                              <w:rPr>
                                <w:rFonts w:ascii="Arial Narrow" w:eastAsia="Times New Roman" w:hAnsi="Arial Narrow"/>
                                <w:b/>
                                <w:szCs w:val="20"/>
                              </w:rPr>
                            </w:pPr>
                            <w:r>
                              <w:rPr>
                                <w:rFonts w:ascii="Arial Narrow" w:eastAsia="Times New Roman" w:hAnsi="Arial Narrow"/>
                                <w:b/>
                                <w:szCs w:val="20"/>
                              </w:rPr>
                              <w:t xml:space="preserve">Box 1 – </w:t>
                            </w:r>
                            <w:r w:rsidRPr="003E604D">
                              <w:rPr>
                                <w:rFonts w:ascii="Arial Narrow" w:eastAsia="Times New Roman" w:hAnsi="Arial Narrow"/>
                                <w:b/>
                                <w:szCs w:val="20"/>
                              </w:rPr>
                              <w:t>More</w:t>
                            </w:r>
                            <w:r>
                              <w:rPr>
                                <w:rFonts w:ascii="Arial Narrow" w:eastAsia="Times New Roman" w:hAnsi="Arial Narrow"/>
                                <w:b/>
                                <w:szCs w:val="20"/>
                              </w:rPr>
                              <w:t xml:space="preserve"> </w:t>
                            </w:r>
                            <w:r w:rsidRPr="003E604D">
                              <w:rPr>
                                <w:rFonts w:ascii="Arial Narrow" w:eastAsia="Times New Roman" w:hAnsi="Arial Narrow"/>
                                <w:b/>
                                <w:szCs w:val="20"/>
                              </w:rPr>
                              <w:t>efficient medical supplies procurement</w:t>
                            </w:r>
                          </w:p>
                          <w:p w:rsidR="00F86835" w:rsidRDefault="00F86835" w:rsidP="00155B05">
                            <w:pPr>
                              <w:rPr>
                                <w:rFonts w:ascii="Arial Narrow" w:hAnsi="Arial Narrow"/>
                              </w:rPr>
                            </w:pPr>
                            <w:r w:rsidRPr="00155B05">
                              <w:rPr>
                                <w:rFonts w:ascii="Arial Narrow" w:hAnsi="Arial Narrow"/>
                              </w:rPr>
                              <w:t xml:space="preserve">Australia’s strategy in the health sector is to focus on government-led change as the best means to sustainably improve the service delivery outcomes for the Vanuatu people. An area of focus is public financial management including procurement reform. This has leveraged assistance provided by Australia through the Governance for Growth program </w:t>
                            </w:r>
                            <w:r>
                              <w:rPr>
                                <w:rFonts w:ascii="Arial Narrow" w:hAnsi="Arial Narrow"/>
                              </w:rPr>
                              <w:t xml:space="preserve">(see Objective 3) </w:t>
                            </w:r>
                            <w:r w:rsidRPr="00155B05">
                              <w:rPr>
                                <w:rFonts w:ascii="Arial Narrow" w:hAnsi="Arial Narrow"/>
                              </w:rPr>
                              <w:t>which supported development of standard contract and tender documents for use across the Vanuatu Government.</w:t>
                            </w:r>
                          </w:p>
                          <w:p w:rsidR="00F86835" w:rsidRPr="00155B05" w:rsidRDefault="00F86835" w:rsidP="00155B05">
                            <w:pPr>
                              <w:rPr>
                                <w:rFonts w:ascii="Arial Narrow" w:hAnsi="Arial Narrow"/>
                              </w:rPr>
                            </w:pPr>
                          </w:p>
                          <w:p w:rsidR="00F86835" w:rsidRDefault="00F86835" w:rsidP="00155B05">
                            <w:pPr>
                              <w:rPr>
                                <w:rFonts w:ascii="Arial Narrow" w:hAnsi="Arial Narrow"/>
                              </w:rPr>
                            </w:pPr>
                            <w:r w:rsidRPr="00155B05">
                              <w:rPr>
                                <w:rFonts w:ascii="Arial Narrow" w:hAnsi="Arial Narrow"/>
                              </w:rPr>
                              <w:t xml:space="preserve">The use of standard documents saw a dramatic drop in the time taken to procure essential medical supplies from an average of </w:t>
                            </w:r>
                            <w:r w:rsidR="007E2350">
                              <w:rPr>
                                <w:rFonts w:ascii="Arial Narrow" w:hAnsi="Arial Narrow"/>
                              </w:rPr>
                              <w:t>six</w:t>
                            </w:r>
                            <w:r w:rsidRPr="00155B05">
                              <w:rPr>
                                <w:rFonts w:ascii="Arial Narrow" w:hAnsi="Arial Narrow"/>
                              </w:rPr>
                              <w:t xml:space="preserve"> months </w:t>
                            </w:r>
                            <w:r w:rsidR="007E2350">
                              <w:rPr>
                                <w:rFonts w:ascii="Arial Narrow" w:hAnsi="Arial Narrow"/>
                              </w:rPr>
                              <w:t>to three months</w:t>
                            </w:r>
                            <w:r w:rsidRPr="00155B05">
                              <w:rPr>
                                <w:rFonts w:ascii="Arial Narrow" w:hAnsi="Arial Narrow"/>
                              </w:rPr>
                              <w:t>. Further assistance is expected to achieve an overall process of eight weeks.</w:t>
                            </w:r>
                          </w:p>
                          <w:p w:rsidR="00F86835" w:rsidRPr="00155B05" w:rsidRDefault="00F86835" w:rsidP="00155B05">
                            <w:pPr>
                              <w:rPr>
                                <w:rFonts w:ascii="Arial Narrow" w:hAnsi="Arial Narrow"/>
                              </w:rPr>
                            </w:pPr>
                          </w:p>
                          <w:p w:rsidR="00F86835" w:rsidRPr="00155B05" w:rsidRDefault="00F86835">
                            <w:pPr>
                              <w:rPr>
                                <w:rFonts w:ascii="Arial Narrow" w:hAnsi="Arial Narrow"/>
                              </w:rPr>
                            </w:pPr>
                            <w:r w:rsidRPr="00155B05">
                              <w:rPr>
                                <w:rFonts w:ascii="Arial Narrow" w:hAnsi="Arial Narrow"/>
                              </w:rPr>
                              <w:t>Australia’s support for procurement capacity and process improvements in the Ministry of Health has also driven cost savings, for instance, bringing drug expenditure into line with available budget and increas</w:t>
                            </w:r>
                            <w:r>
                              <w:rPr>
                                <w:rFonts w:ascii="Arial Narrow" w:hAnsi="Arial Narrow"/>
                              </w:rPr>
                              <w:t>ing</w:t>
                            </w:r>
                            <w:r w:rsidRPr="00155B05">
                              <w:rPr>
                                <w:rFonts w:ascii="Arial Narrow" w:hAnsi="Arial Narrow"/>
                              </w:rPr>
                              <w:t xml:space="preserve"> the range and quality of pharmaceutical suppliers.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18.6pt;width:253.5pt;height:25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">
                <v:textbox>
                  <w:txbxContent>
                    <w:p w:rsidR="00F86835" w:rsidRPr="003E604D" w:rsidRDefault="00F86835" w:rsidP="003E604D">
                      <w:pPr>
                        <w:spacing w:after="120" w:line="280" w:lineRule="exact"/>
                        <w:rPr>
                          <w:rFonts w:ascii="Arial Narrow" w:eastAsia="Times New Roman" w:hAnsi="Arial Narrow"/>
                          <w:b/>
                          <w:szCs w:val="20"/>
                        </w:rPr>
                      </w:pPr>
                      <w:r>
                        <w:rPr>
                          <w:rFonts w:ascii="Arial Narrow" w:eastAsia="Times New Roman" w:hAnsi="Arial Narrow"/>
                          <w:b/>
                          <w:szCs w:val="20"/>
                        </w:rPr>
                        <w:t xml:space="preserve">Box 1 – </w:t>
                      </w:r>
                      <w:r w:rsidRPr="003E604D">
                        <w:rPr>
                          <w:rFonts w:ascii="Arial Narrow" w:eastAsia="Times New Roman" w:hAnsi="Arial Narrow"/>
                          <w:b/>
                          <w:szCs w:val="20"/>
                        </w:rPr>
                        <w:t>More</w:t>
                      </w:r>
                      <w:r>
                        <w:rPr>
                          <w:rFonts w:ascii="Arial Narrow" w:eastAsia="Times New Roman" w:hAnsi="Arial Narrow"/>
                          <w:b/>
                          <w:szCs w:val="20"/>
                        </w:rPr>
                        <w:t xml:space="preserve"> </w:t>
                      </w:r>
                      <w:r w:rsidRPr="003E604D">
                        <w:rPr>
                          <w:rFonts w:ascii="Arial Narrow" w:eastAsia="Times New Roman" w:hAnsi="Arial Narrow"/>
                          <w:b/>
                          <w:szCs w:val="20"/>
                        </w:rPr>
                        <w:t>efficient medical supplies procurement</w:t>
                      </w:r>
                    </w:p>
                    <w:p w:rsidR="00F86835" w:rsidRDefault="00F86835" w:rsidP="00155B05">
                      <w:pPr>
                        <w:rPr>
                          <w:rFonts w:ascii="Arial Narrow" w:hAnsi="Arial Narrow"/>
                        </w:rPr>
                      </w:pPr>
                      <w:r w:rsidRPr="00155B05">
                        <w:rPr>
                          <w:rFonts w:ascii="Arial Narrow" w:hAnsi="Arial Narrow"/>
                        </w:rPr>
                        <w:t xml:space="preserve">Australia’s strategy in the health sector is to focus on government-led change as the best means to sustainably improve the service delivery outcomes for the Vanuatu people. An area of focus is public financial management including procurement reform. This has leveraged assistance provided by Australia through the Governance for Growth program </w:t>
                      </w:r>
                      <w:r>
                        <w:rPr>
                          <w:rFonts w:ascii="Arial Narrow" w:hAnsi="Arial Narrow"/>
                        </w:rPr>
                        <w:t xml:space="preserve">(see Objective 3) </w:t>
                      </w:r>
                      <w:r w:rsidRPr="00155B05">
                        <w:rPr>
                          <w:rFonts w:ascii="Arial Narrow" w:hAnsi="Arial Narrow"/>
                        </w:rPr>
                        <w:t>which supported development of standard contract and tender documents for use across the Vanuatu Government.</w:t>
                      </w:r>
                    </w:p>
                    <w:p w:rsidR="00F86835" w:rsidRPr="00155B05" w:rsidRDefault="00F86835" w:rsidP="00155B05">
                      <w:pPr>
                        <w:rPr>
                          <w:rFonts w:ascii="Arial Narrow" w:hAnsi="Arial Narrow"/>
                        </w:rPr>
                      </w:pPr>
                    </w:p>
                    <w:p w:rsidR="00F86835" w:rsidRDefault="00F86835" w:rsidP="00155B05">
                      <w:pPr>
                        <w:rPr>
                          <w:rFonts w:ascii="Arial Narrow" w:hAnsi="Arial Narrow"/>
                        </w:rPr>
                      </w:pPr>
                      <w:r w:rsidRPr="00155B05">
                        <w:rPr>
                          <w:rFonts w:ascii="Arial Narrow" w:hAnsi="Arial Narrow"/>
                        </w:rPr>
                        <w:t xml:space="preserve">The use of standard documents saw a dramatic drop in the time taken to procure essential medical supplies from an average of </w:t>
                      </w:r>
                      <w:r w:rsidR="007E2350">
                        <w:rPr>
                          <w:rFonts w:ascii="Arial Narrow" w:hAnsi="Arial Narrow"/>
                        </w:rPr>
                        <w:t>six</w:t>
                      </w:r>
                      <w:r w:rsidRPr="00155B05">
                        <w:rPr>
                          <w:rFonts w:ascii="Arial Narrow" w:hAnsi="Arial Narrow"/>
                        </w:rPr>
                        <w:t xml:space="preserve"> months </w:t>
                      </w:r>
                      <w:r w:rsidR="007E2350">
                        <w:rPr>
                          <w:rFonts w:ascii="Arial Narrow" w:hAnsi="Arial Narrow"/>
                        </w:rPr>
                        <w:t>to three months</w:t>
                      </w:r>
                      <w:r w:rsidRPr="00155B05">
                        <w:rPr>
                          <w:rFonts w:ascii="Arial Narrow" w:hAnsi="Arial Narrow"/>
                        </w:rPr>
                        <w:t>. Further assistance is expected to achieve an overall process of eight weeks.</w:t>
                      </w:r>
                    </w:p>
                    <w:p w:rsidR="00F86835" w:rsidRPr="00155B05" w:rsidRDefault="00F86835" w:rsidP="00155B05">
                      <w:pPr>
                        <w:rPr>
                          <w:rFonts w:ascii="Arial Narrow" w:hAnsi="Arial Narrow"/>
                        </w:rPr>
                      </w:pPr>
                    </w:p>
                    <w:p w:rsidR="00F86835" w:rsidRPr="00155B05" w:rsidRDefault="00F86835">
                      <w:pPr>
                        <w:rPr>
                          <w:rFonts w:ascii="Arial Narrow" w:hAnsi="Arial Narrow"/>
                        </w:rPr>
                      </w:pPr>
                      <w:r w:rsidRPr="00155B05">
                        <w:rPr>
                          <w:rFonts w:ascii="Arial Narrow" w:hAnsi="Arial Narrow"/>
                        </w:rPr>
                        <w:t>Australia’s support for procurement capacity and process improvements in the Ministry of Health has also driven cost savings, for instance, bringing drug expenditure into line with available budget and increas</w:t>
                      </w:r>
                      <w:r>
                        <w:rPr>
                          <w:rFonts w:ascii="Arial Narrow" w:hAnsi="Arial Narrow"/>
                        </w:rPr>
                        <w:t>ing</w:t>
                      </w:r>
                      <w:r w:rsidRPr="00155B05">
                        <w:rPr>
                          <w:rFonts w:ascii="Arial Narrow" w:hAnsi="Arial Narrow"/>
                        </w:rPr>
                        <w:t xml:space="preserve"> the range and quality of pharmaceutical suppliers.  </w:t>
                      </w:r>
                    </w:p>
                  </w:txbxContent>
                </v:textbox>
                <w10:wrap type="through"/>
              </v:shape>
            </w:pict>
          </mc:Fallback>
        </mc:AlternateContent>
      </w:r>
      <w:r w:rsidR="007629E0" w:rsidRPr="00C171A8">
        <w:rPr>
          <w:rFonts w:ascii="Franklin Gothic Book" w:eastAsia="Times New Roman" w:hAnsi="Franklin Gothic Book"/>
          <w:sz w:val="21"/>
        </w:rPr>
        <w:t xml:space="preserve">Malaria incidence </w:t>
      </w:r>
      <w:r w:rsidR="007629E0">
        <w:rPr>
          <w:rFonts w:ascii="Franklin Gothic Book" w:eastAsia="Times New Roman" w:hAnsi="Franklin Gothic Book"/>
          <w:sz w:val="21"/>
        </w:rPr>
        <w:t xml:space="preserve">was </w:t>
      </w:r>
      <w:r w:rsidR="007629E0" w:rsidRPr="00C171A8">
        <w:rPr>
          <w:rFonts w:ascii="Franklin Gothic Book" w:eastAsia="Times New Roman" w:hAnsi="Franklin Gothic Book"/>
          <w:sz w:val="21"/>
        </w:rPr>
        <w:t>reduced from 7</w:t>
      </w:r>
      <w:r w:rsidR="0026779A">
        <w:rPr>
          <w:rFonts w:ascii="Franklin Gothic Book" w:eastAsia="Times New Roman" w:hAnsi="Franklin Gothic Book"/>
          <w:sz w:val="21"/>
        </w:rPr>
        <w:t xml:space="preserve"> per cent</w:t>
      </w:r>
      <w:r w:rsidR="007629E0" w:rsidRPr="00C171A8">
        <w:rPr>
          <w:rFonts w:ascii="Franklin Gothic Book" w:eastAsia="Times New Roman" w:hAnsi="Franklin Gothic Book"/>
          <w:sz w:val="21"/>
        </w:rPr>
        <w:t xml:space="preserve"> to 1</w:t>
      </w:r>
      <w:r w:rsidR="0026779A">
        <w:rPr>
          <w:rFonts w:ascii="Franklin Gothic Book" w:eastAsia="Times New Roman" w:hAnsi="Franklin Gothic Book"/>
          <w:sz w:val="21"/>
        </w:rPr>
        <w:t xml:space="preserve"> per cent</w:t>
      </w:r>
      <w:r w:rsidR="007629E0" w:rsidRPr="00C171A8">
        <w:rPr>
          <w:rFonts w:ascii="Franklin Gothic Book" w:eastAsia="Times New Roman" w:hAnsi="Franklin Gothic Book"/>
          <w:sz w:val="21"/>
        </w:rPr>
        <w:t xml:space="preserve"> between 2003 and 2013</w:t>
      </w:r>
      <w:r w:rsidR="002A149A">
        <w:rPr>
          <w:rStyle w:val="EndnoteReference"/>
          <w:rFonts w:eastAsia="Times New Roman"/>
        </w:rPr>
        <w:endnoteReference w:id="15"/>
      </w:r>
      <w:r w:rsidR="002A149A" w:rsidRPr="00703696">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In Tafea and Torba provinces malaria has almost been eliminated – Tafea is a declared elimination </w:t>
      </w:r>
      <w:r w:rsidR="00443B08">
        <w:rPr>
          <w:rFonts w:ascii="Franklin Gothic Book" w:eastAsia="Times New Roman" w:hAnsi="Franklin Gothic Book"/>
          <w:sz w:val="21"/>
        </w:rPr>
        <w:t>p</w:t>
      </w:r>
      <w:r w:rsidR="00443B08" w:rsidRPr="00703696">
        <w:rPr>
          <w:rFonts w:ascii="Franklin Gothic Book" w:eastAsia="Times New Roman" w:hAnsi="Franklin Gothic Book"/>
          <w:sz w:val="21"/>
        </w:rPr>
        <w:t xml:space="preserve">rovince </w:t>
      </w:r>
      <w:r w:rsidR="00703696" w:rsidRPr="00703696">
        <w:rPr>
          <w:rFonts w:ascii="Franklin Gothic Book" w:eastAsia="Times New Roman" w:hAnsi="Franklin Gothic Book"/>
          <w:sz w:val="21"/>
        </w:rPr>
        <w:t>with less than 1</w:t>
      </w:r>
      <w:r w:rsidR="0026779A">
        <w:rPr>
          <w:rFonts w:ascii="Franklin Gothic Book" w:eastAsia="Times New Roman" w:hAnsi="Franklin Gothic Book"/>
          <w:sz w:val="21"/>
        </w:rPr>
        <w:t xml:space="preserve"> per cent</w:t>
      </w:r>
      <w:r w:rsidR="00703696" w:rsidRPr="00703696">
        <w:rPr>
          <w:rFonts w:ascii="Franklin Gothic Book" w:eastAsia="Times New Roman" w:hAnsi="Franklin Gothic Book"/>
          <w:sz w:val="21"/>
        </w:rPr>
        <w:t xml:space="preserve"> incidence. </w:t>
      </w:r>
      <w:r w:rsidR="00DA503F">
        <w:rPr>
          <w:rFonts w:ascii="Franklin Gothic Book" w:eastAsia="Times New Roman" w:hAnsi="Franklin Gothic Book"/>
          <w:sz w:val="21"/>
        </w:rPr>
        <w:t xml:space="preserve">There were no deaths from malaria in 2013.  </w:t>
      </w:r>
      <w:r w:rsidR="00703696" w:rsidRPr="00703696">
        <w:rPr>
          <w:rFonts w:ascii="Franklin Gothic Book" w:eastAsia="Times New Roman" w:hAnsi="Franklin Gothic Book"/>
          <w:sz w:val="21"/>
        </w:rPr>
        <w:t>A significant reduction in</w:t>
      </w:r>
      <w:r w:rsidR="00DA503F">
        <w:rPr>
          <w:rFonts w:ascii="Franklin Gothic Book" w:eastAsia="Times New Roman" w:hAnsi="Franklin Gothic Book"/>
          <w:sz w:val="21"/>
        </w:rPr>
        <w:t xml:space="preserve"> future</w:t>
      </w:r>
      <w:r w:rsidR="00703696" w:rsidRPr="00703696">
        <w:rPr>
          <w:rFonts w:ascii="Franklin Gothic Book" w:eastAsia="Times New Roman" w:hAnsi="Franklin Gothic Book"/>
          <w:sz w:val="21"/>
        </w:rPr>
        <w:t xml:space="preserve"> Global Fund allocations to Vanuatu for malaria control</w:t>
      </w:r>
      <w:r w:rsidR="00AF270C">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announced in March 2014, will slow progress towards elimination although maintenance of existing incidence and control levels should be possible.</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The Village Health Worker Program supported by Australia enabled delivery and use of improved medical supply kits to over 150 remote villages throughout Vanuatu and renovated or constructed seven aid posts.</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Support for improved asset management in the Ministry of Health achieved some clear results demonstrating that targeted assistance can leverage much larger impact on revenue generation and service delivery</w:t>
      </w:r>
      <w:r w:rsidR="001C7D22">
        <w:rPr>
          <w:rFonts w:ascii="Franklin Gothic Book" w:eastAsia="Times New Roman" w:hAnsi="Franklin Gothic Book"/>
          <w:sz w:val="21"/>
        </w:rPr>
        <w:t xml:space="preserve"> (</w:t>
      </w:r>
      <w:r w:rsidR="001153FA">
        <w:rPr>
          <w:rFonts w:ascii="Franklin Gothic Book" w:eastAsia="Times New Roman" w:hAnsi="Franklin Gothic Book"/>
          <w:sz w:val="21"/>
        </w:rPr>
        <w:t xml:space="preserve">see </w:t>
      </w:r>
      <w:r w:rsidR="003E604D">
        <w:rPr>
          <w:rFonts w:ascii="Franklin Gothic Book" w:eastAsia="Times New Roman" w:hAnsi="Franklin Gothic Book"/>
          <w:sz w:val="21"/>
        </w:rPr>
        <w:t>B</w:t>
      </w:r>
      <w:r w:rsidR="001153FA">
        <w:rPr>
          <w:rFonts w:ascii="Franklin Gothic Book" w:eastAsia="Times New Roman" w:hAnsi="Franklin Gothic Book"/>
          <w:sz w:val="21"/>
        </w:rPr>
        <w:t xml:space="preserve">ox </w:t>
      </w:r>
      <w:r w:rsidR="003E604D">
        <w:rPr>
          <w:rFonts w:ascii="Franklin Gothic Book" w:eastAsia="Times New Roman" w:hAnsi="Franklin Gothic Book"/>
          <w:sz w:val="21"/>
        </w:rPr>
        <w:t>1</w:t>
      </w:r>
      <w:r w:rsidR="001153FA">
        <w:rPr>
          <w:rFonts w:ascii="Franklin Gothic Book" w:eastAsia="Times New Roman" w:hAnsi="Franklin Gothic Book"/>
          <w:sz w:val="21"/>
        </w:rPr>
        <w:t>)</w:t>
      </w:r>
      <w:r w:rsidR="00A51693">
        <w:rPr>
          <w:rFonts w:ascii="Franklin Gothic Book" w:eastAsia="Times New Roman" w:hAnsi="Franklin Gothic Book"/>
          <w:sz w:val="21"/>
        </w:rPr>
        <w:t>.  In 2013-</w:t>
      </w:r>
      <w:r w:rsidRPr="00703696">
        <w:rPr>
          <w:rFonts w:ascii="Franklin Gothic Book" w:eastAsia="Times New Roman" w:hAnsi="Franklin Gothic Book"/>
          <w:sz w:val="21"/>
        </w:rPr>
        <w:t>14 Australia supported the Vanuatu Government to construct and install two oxygen plants in main referral hospitals for northern and southern provinces. The plants make the hospitals self-sufficient in the production of medical gases</w:t>
      </w:r>
      <w:r w:rsidR="00DA503F">
        <w:rPr>
          <w:rFonts w:ascii="Franklin Gothic Book" w:eastAsia="Times New Roman" w:hAnsi="Franklin Gothic Book"/>
          <w:sz w:val="21"/>
        </w:rPr>
        <w:t>, saving lives</w:t>
      </w:r>
      <w:r w:rsidRPr="00703696">
        <w:rPr>
          <w:rFonts w:ascii="Franklin Gothic Book" w:eastAsia="Times New Roman" w:hAnsi="Franklin Gothic Book"/>
          <w:sz w:val="21"/>
        </w:rPr>
        <w:t xml:space="preserve"> and free</w:t>
      </w:r>
      <w:r w:rsidR="00DA503F">
        <w:rPr>
          <w:rFonts w:ascii="Franklin Gothic Book" w:eastAsia="Times New Roman" w:hAnsi="Franklin Gothic Book"/>
          <w:sz w:val="21"/>
        </w:rPr>
        <w:t>ing</w:t>
      </w:r>
      <w:r w:rsidRPr="00703696">
        <w:rPr>
          <w:rFonts w:ascii="Franklin Gothic Book" w:eastAsia="Times New Roman" w:hAnsi="Franklin Gothic Book"/>
          <w:sz w:val="21"/>
        </w:rPr>
        <w:t xml:space="preserve"> </w:t>
      </w:r>
      <w:r w:rsidR="00F547CE">
        <w:rPr>
          <w:rFonts w:ascii="Franklin Gothic Book" w:eastAsia="Times New Roman" w:hAnsi="Franklin Gothic Book"/>
          <w:sz w:val="21"/>
        </w:rPr>
        <w:t xml:space="preserve">up </w:t>
      </w:r>
      <w:r w:rsidRPr="00703696">
        <w:rPr>
          <w:rFonts w:ascii="Franklin Gothic Book" w:eastAsia="Times New Roman" w:hAnsi="Franklin Gothic Book"/>
          <w:sz w:val="21"/>
        </w:rPr>
        <w:t>the costs of purchasing these inputs – around $200,000 annually</w:t>
      </w:r>
      <w:r w:rsidR="00AF270C">
        <w:rPr>
          <w:rFonts w:ascii="Franklin Gothic Book" w:eastAsia="Times New Roman" w:hAnsi="Franklin Gothic Book"/>
          <w:sz w:val="21"/>
        </w:rPr>
        <w:t>.</w:t>
      </w:r>
      <w:r w:rsidRPr="00703696">
        <w:rPr>
          <w:rFonts w:ascii="Franklin Gothic Book" w:eastAsia="Times New Roman" w:hAnsi="Franklin Gothic Book"/>
          <w:sz w:val="21"/>
        </w:rPr>
        <w:t xml:space="preserve"> </w:t>
      </w:r>
    </w:p>
    <w:p w:rsidR="00703696" w:rsidRPr="00703696" w:rsidRDefault="00443B08" w:rsidP="00703696">
      <w:pPr>
        <w:spacing w:after="120" w:line="280" w:lineRule="exact"/>
        <w:rPr>
          <w:rFonts w:ascii="Franklin Gothic Book" w:eastAsia="Times New Roman" w:hAnsi="Franklin Gothic Book"/>
          <w:sz w:val="21"/>
        </w:rPr>
      </w:pPr>
      <w:r>
        <w:rPr>
          <w:rFonts w:ascii="Franklin Gothic Book" w:eastAsia="Times New Roman" w:hAnsi="Franklin Gothic Book"/>
          <w:sz w:val="21"/>
        </w:rPr>
        <w:t>Cooperation</w:t>
      </w:r>
      <w:r w:rsidRPr="00703696">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with other donors improved significantly during </w:t>
      </w:r>
      <w:r w:rsidR="00F547CE">
        <w:rPr>
          <w:rFonts w:ascii="Franklin Gothic Book" w:eastAsia="Times New Roman" w:hAnsi="Franklin Gothic Book"/>
          <w:sz w:val="21"/>
        </w:rPr>
        <w:t>the reporting period</w:t>
      </w:r>
      <w:r w:rsidR="00703696" w:rsidRPr="00703696">
        <w:rPr>
          <w:rFonts w:ascii="Franklin Gothic Book" w:eastAsia="Times New Roman" w:hAnsi="Franklin Gothic Book"/>
          <w:sz w:val="21"/>
        </w:rPr>
        <w:t>. With the World Bank</w:t>
      </w:r>
      <w:r w:rsidR="00AF270C">
        <w:rPr>
          <w:rFonts w:ascii="Franklin Gothic Book" w:eastAsia="Times New Roman" w:hAnsi="Franklin Gothic Book"/>
          <w:sz w:val="21"/>
        </w:rPr>
        <w:t>,</w:t>
      </w:r>
      <w:r w:rsidR="00703696" w:rsidRPr="00703696">
        <w:rPr>
          <w:rFonts w:ascii="Franklin Gothic Book" w:eastAsia="Times New Roman" w:hAnsi="Franklin Gothic Book"/>
          <w:sz w:val="21"/>
        </w:rPr>
        <w:t xml:space="preserve"> Australia supported improved financial planning oversight and budgeting processes. With the assistance of </w:t>
      </w:r>
      <w:r>
        <w:rPr>
          <w:rFonts w:ascii="Franklin Gothic Book" w:eastAsia="Times New Roman" w:hAnsi="Franklin Gothic Book"/>
          <w:sz w:val="21"/>
        </w:rPr>
        <w:t>Australia</w:t>
      </w:r>
      <w:r w:rsidRPr="00703696">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through </w:t>
      </w:r>
      <w:r w:rsidR="00A51693">
        <w:rPr>
          <w:rFonts w:ascii="Franklin Gothic Book" w:eastAsia="Times New Roman" w:hAnsi="Franklin Gothic Book"/>
          <w:sz w:val="21"/>
        </w:rPr>
        <w:t>the World Health Organization (WHO)</w:t>
      </w:r>
      <w:r w:rsidR="00703696" w:rsidRPr="00703696">
        <w:rPr>
          <w:rFonts w:ascii="Franklin Gothic Book" w:eastAsia="Times New Roman" w:hAnsi="Franklin Gothic Book"/>
          <w:sz w:val="21"/>
        </w:rPr>
        <w:t xml:space="preserve">, the Ministry of Health implemented a new database system that </w:t>
      </w:r>
      <w:r w:rsidR="00E10D8B">
        <w:rPr>
          <w:rFonts w:ascii="Franklin Gothic Book" w:eastAsia="Times New Roman" w:hAnsi="Franklin Gothic Book"/>
          <w:sz w:val="21"/>
        </w:rPr>
        <w:t>has the potential to</w:t>
      </w:r>
      <w:r w:rsidR="00703696" w:rsidRPr="00703696">
        <w:rPr>
          <w:rFonts w:ascii="Franklin Gothic Book" w:eastAsia="Times New Roman" w:hAnsi="Franklin Gothic Book"/>
          <w:sz w:val="21"/>
        </w:rPr>
        <w:t xml:space="preserve"> improve </w:t>
      </w:r>
      <w:r w:rsidR="00DA503F">
        <w:rPr>
          <w:rFonts w:ascii="Franklin Gothic Book" w:eastAsia="Times New Roman" w:hAnsi="Franklin Gothic Book"/>
          <w:sz w:val="21"/>
        </w:rPr>
        <w:t>health information system</w:t>
      </w:r>
      <w:r w:rsidR="00DA503F" w:rsidRPr="00703696">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quality and reporting rates throughout the country. </w:t>
      </w:r>
      <w:r w:rsidR="00A51693">
        <w:rPr>
          <w:rFonts w:ascii="Franklin Gothic Book" w:eastAsia="Times New Roman" w:hAnsi="Franklin Gothic Book"/>
          <w:sz w:val="21"/>
        </w:rPr>
        <w:t>The United Nations Children Fund (UNICEF)</w:t>
      </w:r>
      <w:r w:rsidR="00703696" w:rsidRPr="00703696">
        <w:rPr>
          <w:rFonts w:ascii="Franklin Gothic Book" w:eastAsia="Times New Roman" w:hAnsi="Franklin Gothic Book"/>
          <w:sz w:val="21"/>
        </w:rPr>
        <w:t xml:space="preserve"> will in 2014</w:t>
      </w:r>
      <w:r w:rsidR="00DA503F">
        <w:rPr>
          <w:rFonts w:ascii="Franklin Gothic Book" w:eastAsia="Times New Roman" w:hAnsi="Franklin Gothic Book"/>
          <w:sz w:val="21"/>
        </w:rPr>
        <w:t>-</w:t>
      </w:r>
      <w:r w:rsidR="00703696" w:rsidRPr="00703696">
        <w:rPr>
          <w:rFonts w:ascii="Franklin Gothic Book" w:eastAsia="Times New Roman" w:hAnsi="Franklin Gothic Book"/>
          <w:sz w:val="21"/>
        </w:rPr>
        <w:t xml:space="preserve">15 run an additional immunisation outreach program to boost immunisation rates. </w:t>
      </w:r>
      <w:r w:rsidR="00E10D8B">
        <w:rPr>
          <w:rFonts w:ascii="Franklin Gothic Book" w:eastAsia="Times New Roman" w:hAnsi="Franklin Gothic Book"/>
          <w:sz w:val="21"/>
        </w:rPr>
        <w:t xml:space="preserve">A single joint </w:t>
      </w:r>
      <w:r w:rsidR="00D25717">
        <w:rPr>
          <w:rFonts w:ascii="Franklin Gothic Book" w:eastAsia="Times New Roman" w:hAnsi="Franklin Gothic Book"/>
          <w:sz w:val="21"/>
        </w:rPr>
        <w:t xml:space="preserve">donor </w:t>
      </w:r>
      <w:r w:rsidR="00E10D8B">
        <w:rPr>
          <w:rFonts w:ascii="Franklin Gothic Book" w:eastAsia="Times New Roman" w:hAnsi="Franklin Gothic Book"/>
          <w:sz w:val="21"/>
        </w:rPr>
        <w:t>audit proc</w:t>
      </w:r>
      <w:r w:rsidR="00A51693">
        <w:rPr>
          <w:rFonts w:ascii="Franklin Gothic Book" w:eastAsia="Times New Roman" w:hAnsi="Franklin Gothic Book"/>
          <w:sz w:val="21"/>
        </w:rPr>
        <w:t>ess was also agreed to replace</w:t>
      </w:r>
      <w:r w:rsidR="00E10D8B">
        <w:rPr>
          <w:rFonts w:ascii="Franklin Gothic Book" w:eastAsia="Times New Roman" w:hAnsi="Franklin Gothic Book"/>
          <w:sz w:val="21"/>
        </w:rPr>
        <w:t xml:space="preserve"> </w:t>
      </w:r>
      <w:r w:rsidR="00703696" w:rsidRPr="00703696">
        <w:rPr>
          <w:rFonts w:ascii="Franklin Gothic Book" w:eastAsia="Times New Roman" w:hAnsi="Franklin Gothic Book"/>
          <w:sz w:val="21"/>
        </w:rPr>
        <w:t xml:space="preserve">what had previously been multiple audit processes. </w:t>
      </w:r>
    </w:p>
    <w:p w:rsidR="00703696" w:rsidRPr="00703696" w:rsidRDefault="00703696" w:rsidP="00703696">
      <w:pPr>
        <w:spacing w:after="120" w:line="280" w:lineRule="exact"/>
        <w:rPr>
          <w:rFonts w:ascii="Franklin Gothic Book" w:eastAsia="Times New Roman" w:hAnsi="Franklin Gothic Book"/>
          <w:sz w:val="21"/>
        </w:rPr>
      </w:pPr>
      <w:r w:rsidRPr="00703696">
        <w:rPr>
          <w:rFonts w:ascii="Franklin Gothic Book" w:eastAsia="Times New Roman" w:hAnsi="Franklin Gothic Book"/>
          <w:sz w:val="21"/>
        </w:rPr>
        <w:t>2013/14</w:t>
      </w:r>
      <w:r w:rsidR="00D25717">
        <w:rPr>
          <w:rFonts w:ascii="Franklin Gothic Book" w:eastAsia="Times New Roman" w:hAnsi="Franklin Gothic Book"/>
          <w:sz w:val="21"/>
        </w:rPr>
        <w:t xml:space="preserve"> also</w:t>
      </w:r>
      <w:r w:rsidRPr="00703696">
        <w:rPr>
          <w:rFonts w:ascii="Franklin Gothic Book" w:eastAsia="Times New Roman" w:hAnsi="Franklin Gothic Book"/>
          <w:sz w:val="21"/>
        </w:rPr>
        <w:t xml:space="preserve"> demonstrated the value </w:t>
      </w:r>
      <w:r w:rsidR="00443B08">
        <w:rPr>
          <w:rFonts w:ascii="Franklin Gothic Book" w:eastAsia="Times New Roman" w:hAnsi="Franklin Gothic Book"/>
          <w:sz w:val="21"/>
        </w:rPr>
        <w:t>of</w:t>
      </w:r>
      <w:r w:rsidR="00443B08" w:rsidRPr="00703696">
        <w:rPr>
          <w:rFonts w:ascii="Franklin Gothic Book" w:eastAsia="Times New Roman" w:hAnsi="Franklin Gothic Book"/>
          <w:sz w:val="21"/>
        </w:rPr>
        <w:t xml:space="preserve"> </w:t>
      </w:r>
      <w:r w:rsidRPr="00703696">
        <w:rPr>
          <w:rFonts w:ascii="Franklin Gothic Book" w:eastAsia="Times New Roman" w:hAnsi="Franklin Gothic Book"/>
          <w:sz w:val="21"/>
        </w:rPr>
        <w:t xml:space="preserve">working through government systems </w:t>
      </w:r>
      <w:r w:rsidR="00734FCA">
        <w:rPr>
          <w:rFonts w:ascii="Franklin Gothic Book" w:eastAsia="Times New Roman" w:hAnsi="Franklin Gothic Book"/>
          <w:sz w:val="21"/>
        </w:rPr>
        <w:t>and</w:t>
      </w:r>
      <w:r w:rsidR="00443B08">
        <w:rPr>
          <w:rFonts w:ascii="Franklin Gothic Book" w:eastAsia="Times New Roman" w:hAnsi="Franklin Gothic Book"/>
          <w:sz w:val="21"/>
        </w:rPr>
        <w:t xml:space="preserve"> developing</w:t>
      </w:r>
      <w:r w:rsidR="00734FCA">
        <w:rPr>
          <w:rFonts w:ascii="Franklin Gothic Book" w:eastAsia="Times New Roman" w:hAnsi="Franklin Gothic Book"/>
          <w:sz w:val="21"/>
        </w:rPr>
        <w:t xml:space="preserve"> </w:t>
      </w:r>
      <w:r w:rsidR="00D25717" w:rsidRPr="00703696">
        <w:rPr>
          <w:rFonts w:ascii="Franklin Gothic Book" w:eastAsia="Times New Roman" w:hAnsi="Franklin Gothic Book"/>
          <w:sz w:val="21"/>
        </w:rPr>
        <w:t>strong relationships with the Ministry of Health</w:t>
      </w:r>
      <w:r w:rsidRPr="00703696">
        <w:rPr>
          <w:rFonts w:ascii="Franklin Gothic Book" w:eastAsia="Times New Roman" w:hAnsi="Franklin Gothic Book"/>
          <w:sz w:val="21"/>
        </w:rPr>
        <w:t xml:space="preserve">. </w:t>
      </w:r>
      <w:r w:rsidR="00AF270C">
        <w:rPr>
          <w:rFonts w:ascii="Franklin Gothic Book" w:eastAsia="Times New Roman" w:hAnsi="Franklin Gothic Book"/>
          <w:sz w:val="21"/>
        </w:rPr>
        <w:t>While t</w:t>
      </w:r>
      <w:r w:rsidRPr="00703696">
        <w:rPr>
          <w:rFonts w:ascii="Franklin Gothic Book" w:eastAsia="Times New Roman" w:hAnsi="Franklin Gothic Book"/>
          <w:sz w:val="21"/>
        </w:rPr>
        <w:t>here was significant uncertainty on both the Australian and Vanuatu side</w:t>
      </w:r>
      <w:r w:rsidR="00443B08">
        <w:rPr>
          <w:rFonts w:ascii="Franklin Gothic Book" w:eastAsia="Times New Roman" w:hAnsi="Franklin Gothic Book"/>
          <w:sz w:val="21"/>
        </w:rPr>
        <w:t>s</w:t>
      </w:r>
      <w:r w:rsidR="00734FCA">
        <w:rPr>
          <w:rFonts w:ascii="Franklin Gothic Book" w:eastAsia="Times New Roman" w:hAnsi="Franklin Gothic Book"/>
          <w:sz w:val="21"/>
        </w:rPr>
        <w:t xml:space="preserve"> during the reporting period</w:t>
      </w:r>
      <w:r w:rsidR="00AF270C">
        <w:rPr>
          <w:rFonts w:ascii="Franklin Gothic Book" w:eastAsia="Times New Roman" w:hAnsi="Franklin Gothic Book"/>
          <w:sz w:val="21"/>
        </w:rPr>
        <w:t xml:space="preserve">, </w:t>
      </w:r>
      <w:r w:rsidRPr="00703696">
        <w:rPr>
          <w:rFonts w:ascii="Franklin Gothic Book" w:eastAsia="Times New Roman" w:hAnsi="Franklin Gothic Book"/>
          <w:sz w:val="21"/>
        </w:rPr>
        <w:t>continued dialogue</w:t>
      </w:r>
      <w:r w:rsidR="00AF270C">
        <w:rPr>
          <w:rFonts w:ascii="Franklin Gothic Book" w:eastAsia="Times New Roman" w:hAnsi="Franklin Gothic Book"/>
          <w:sz w:val="21"/>
        </w:rPr>
        <w:t xml:space="preserve"> was</w:t>
      </w:r>
      <w:r w:rsidRPr="00703696">
        <w:rPr>
          <w:rFonts w:ascii="Franklin Gothic Book" w:eastAsia="Times New Roman" w:hAnsi="Franklin Gothic Book"/>
          <w:sz w:val="21"/>
        </w:rPr>
        <w:t xml:space="preserve"> possible because of our long-standing relationship and commitment</w:t>
      </w:r>
      <w:r w:rsidR="00AF270C">
        <w:rPr>
          <w:rFonts w:ascii="Franklin Gothic Book" w:eastAsia="Times New Roman" w:hAnsi="Franklin Gothic Book"/>
          <w:sz w:val="21"/>
        </w:rPr>
        <w:t xml:space="preserve">. </w:t>
      </w:r>
      <w:r w:rsidRPr="00703696">
        <w:rPr>
          <w:rFonts w:ascii="Franklin Gothic Book" w:eastAsia="Times New Roman" w:hAnsi="Franklin Gothic Book"/>
          <w:sz w:val="21"/>
        </w:rPr>
        <w:t xml:space="preserve"> </w:t>
      </w:r>
      <w:r w:rsidR="00905D91">
        <w:rPr>
          <w:rFonts w:ascii="Franklin Gothic Book" w:eastAsia="Times New Roman" w:hAnsi="Franklin Gothic Book"/>
          <w:sz w:val="21"/>
        </w:rPr>
        <w:t>A</w:t>
      </w:r>
      <w:r w:rsidRPr="00703696">
        <w:rPr>
          <w:rFonts w:ascii="Franklin Gothic Book" w:eastAsia="Times New Roman" w:hAnsi="Franklin Gothic Book"/>
          <w:sz w:val="21"/>
        </w:rPr>
        <w:t>s well as ongoing work to improve budget and management efficiency</w:t>
      </w:r>
      <w:r w:rsidR="00AF270C">
        <w:rPr>
          <w:rFonts w:ascii="Franklin Gothic Book" w:eastAsia="Times New Roman" w:hAnsi="Franklin Gothic Book"/>
          <w:sz w:val="21"/>
        </w:rPr>
        <w:t>,</w:t>
      </w:r>
      <w:r w:rsidR="00734FCA">
        <w:rPr>
          <w:rFonts w:ascii="Franklin Gothic Book" w:eastAsia="Times New Roman" w:hAnsi="Franklin Gothic Book"/>
          <w:sz w:val="21"/>
        </w:rPr>
        <w:t xml:space="preserve"> </w:t>
      </w:r>
      <w:r w:rsidR="00734FCA" w:rsidRPr="00703696">
        <w:rPr>
          <w:rFonts w:ascii="Franklin Gothic Book" w:eastAsia="Times New Roman" w:hAnsi="Franklin Gothic Book"/>
          <w:sz w:val="21"/>
        </w:rPr>
        <w:t>Australia disburse</w:t>
      </w:r>
      <w:r w:rsidR="00734FCA">
        <w:rPr>
          <w:rFonts w:ascii="Franklin Gothic Book" w:eastAsia="Times New Roman" w:hAnsi="Franklin Gothic Book"/>
          <w:sz w:val="21"/>
        </w:rPr>
        <w:t>d</w:t>
      </w:r>
      <w:r w:rsidR="00734FCA" w:rsidRPr="00703696">
        <w:rPr>
          <w:rFonts w:ascii="Franklin Gothic Book" w:eastAsia="Times New Roman" w:hAnsi="Franklin Gothic Book"/>
          <w:sz w:val="21"/>
        </w:rPr>
        <w:t xml:space="preserve"> its full allocation to the Ministry for the first time</w:t>
      </w:r>
      <w:r w:rsidR="00734FCA">
        <w:rPr>
          <w:rFonts w:ascii="Franklin Gothic Book" w:eastAsia="Times New Roman" w:hAnsi="Franklin Gothic Book"/>
          <w:sz w:val="21"/>
        </w:rPr>
        <w:t xml:space="preserve"> since the program commenced in 2010</w:t>
      </w:r>
      <w:r w:rsidR="00734FCA" w:rsidRPr="00703696">
        <w:rPr>
          <w:rFonts w:ascii="Franklin Gothic Book" w:eastAsia="Times New Roman" w:hAnsi="Franklin Gothic Book"/>
          <w:sz w:val="21"/>
        </w:rPr>
        <w:t xml:space="preserve">. </w:t>
      </w:r>
    </w:p>
    <w:p w:rsidR="00703696" w:rsidRPr="00703696" w:rsidRDefault="00703696" w:rsidP="00703696">
      <w:pPr>
        <w:spacing w:after="120" w:line="280" w:lineRule="exact"/>
        <w:rPr>
          <w:rFonts w:ascii="Franklin Gothic Book" w:eastAsia="Times New Roman" w:hAnsi="Franklin Gothic Book"/>
          <w:sz w:val="21"/>
          <w:u w:val="single"/>
        </w:rPr>
      </w:pPr>
      <w:r w:rsidRPr="00703696">
        <w:rPr>
          <w:rFonts w:ascii="Franklin Gothic Book" w:eastAsia="Times New Roman" w:hAnsi="Franklin Gothic Book"/>
          <w:sz w:val="21"/>
        </w:rPr>
        <w:t xml:space="preserve">Because of the growing urban needs in Vanuatu, the DFAT partnership with </w:t>
      </w:r>
      <w:r w:rsidRPr="007D4A68">
        <w:rPr>
          <w:rFonts w:ascii="Franklin Gothic Book" w:eastAsia="Times New Roman" w:hAnsi="Franklin Gothic Book"/>
          <w:i/>
          <w:sz w:val="21"/>
        </w:rPr>
        <w:t>W</w:t>
      </w:r>
      <w:r w:rsidR="00781F9A" w:rsidRPr="007D4A68">
        <w:rPr>
          <w:rFonts w:ascii="Franklin Gothic Book" w:eastAsia="Times New Roman" w:hAnsi="Franklin Gothic Book"/>
          <w:i/>
          <w:sz w:val="21"/>
        </w:rPr>
        <w:t>a</w:t>
      </w:r>
      <w:r w:rsidR="003E604D" w:rsidRPr="007D4A68">
        <w:rPr>
          <w:rFonts w:ascii="Franklin Gothic Book" w:eastAsia="Times New Roman" w:hAnsi="Franklin Gothic Book"/>
          <w:i/>
          <w:sz w:val="21"/>
        </w:rPr>
        <w:t xml:space="preserve">n </w:t>
      </w:r>
      <w:r w:rsidRPr="007D4A68">
        <w:rPr>
          <w:rFonts w:ascii="Franklin Gothic Book" w:eastAsia="Times New Roman" w:hAnsi="Franklin Gothic Book"/>
          <w:i/>
          <w:sz w:val="21"/>
        </w:rPr>
        <w:t>S</w:t>
      </w:r>
      <w:r w:rsidR="003E604D" w:rsidRPr="007D4A68">
        <w:rPr>
          <w:rFonts w:ascii="Franklin Gothic Book" w:eastAsia="Times New Roman" w:hAnsi="Franklin Gothic Book"/>
          <w:i/>
          <w:sz w:val="21"/>
        </w:rPr>
        <w:t>mol</w:t>
      </w:r>
      <w:r w:rsidR="00781F9A" w:rsidRPr="007D4A68">
        <w:rPr>
          <w:rFonts w:ascii="Franklin Gothic Book" w:eastAsia="Times New Roman" w:hAnsi="Franklin Gothic Book"/>
          <w:i/>
          <w:sz w:val="21"/>
        </w:rPr>
        <w:t>b</w:t>
      </w:r>
      <w:r w:rsidR="003E604D" w:rsidRPr="007D4A68">
        <w:rPr>
          <w:rFonts w:ascii="Franklin Gothic Book" w:eastAsia="Times New Roman" w:hAnsi="Franklin Gothic Book"/>
          <w:i/>
          <w:sz w:val="21"/>
        </w:rPr>
        <w:t>ag</w:t>
      </w:r>
      <w:r w:rsidR="003E604D">
        <w:rPr>
          <w:rFonts w:ascii="Franklin Gothic Book" w:eastAsia="Times New Roman" w:hAnsi="Franklin Gothic Book"/>
          <w:sz w:val="21"/>
        </w:rPr>
        <w:t xml:space="preserve"> </w:t>
      </w:r>
      <w:r w:rsidRPr="00703696">
        <w:rPr>
          <w:rFonts w:ascii="Franklin Gothic Book" w:eastAsia="Times New Roman" w:hAnsi="Franklin Gothic Book"/>
          <w:sz w:val="21"/>
        </w:rPr>
        <w:t xml:space="preserve">focuses on delivering primary health services to the peri-urban poor through two reproductive health clinics (Port Vila and Luganville, on the island of Santo).  8,407 patients accessed the clinics </w:t>
      </w:r>
      <w:r w:rsidR="004A16E4">
        <w:rPr>
          <w:rFonts w:ascii="Franklin Gothic Book" w:eastAsia="Times New Roman" w:hAnsi="Franklin Gothic Book"/>
          <w:sz w:val="21"/>
        </w:rPr>
        <w:t xml:space="preserve">in 2013 </w:t>
      </w:r>
      <w:r w:rsidRPr="00703696">
        <w:rPr>
          <w:rFonts w:ascii="Franklin Gothic Book" w:eastAsia="Times New Roman" w:hAnsi="Franklin Gothic Book"/>
          <w:sz w:val="21"/>
        </w:rPr>
        <w:t>(79</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female and 21</w:t>
      </w:r>
      <w:r w:rsidR="0026779A">
        <w:rPr>
          <w:rFonts w:ascii="Franklin Gothic Book" w:eastAsia="Times New Roman" w:hAnsi="Franklin Gothic Book"/>
          <w:sz w:val="21"/>
        </w:rPr>
        <w:t xml:space="preserve"> per cent</w:t>
      </w:r>
      <w:r w:rsidRPr="00703696">
        <w:rPr>
          <w:rFonts w:ascii="Franklin Gothic Book" w:eastAsia="Times New Roman" w:hAnsi="Franklin Gothic Book"/>
          <w:sz w:val="21"/>
        </w:rPr>
        <w:t xml:space="preserve"> male).  In routine monitoring, clients report being very satisfied with the services offered. </w:t>
      </w:r>
    </w:p>
    <w:p w:rsidR="00D16F22" w:rsidRPr="00D16F22" w:rsidRDefault="00D16F22" w:rsidP="00D16F22">
      <w:pPr>
        <w:numPr>
          <w:ilvl w:val="2"/>
          <w:numId w:val="0"/>
        </w:numPr>
        <w:spacing w:before="240" w:after="120"/>
        <w:outlineLvl w:val="2"/>
        <w:rPr>
          <w:rFonts w:ascii="Helvetica" w:eastAsia="Times New Roman" w:hAnsi="Helvetica" w:cs="Arial"/>
          <w:b/>
          <w:color w:val="124486"/>
          <w:kern w:val="28"/>
          <w:sz w:val="22"/>
          <w:szCs w:val="22"/>
          <w:lang w:eastAsia="zh-CN"/>
        </w:rPr>
      </w:pPr>
      <w:r w:rsidRPr="00D16F22">
        <w:rPr>
          <w:rFonts w:ascii="Helvetica" w:eastAsia="Times New Roman" w:hAnsi="Helvetica" w:cs="Arial"/>
          <w:b/>
          <w:color w:val="124486"/>
          <w:kern w:val="28"/>
          <w:sz w:val="22"/>
          <w:szCs w:val="22"/>
          <w:lang w:eastAsia="zh-CN"/>
        </w:rPr>
        <w:t xml:space="preserve">Objective </w:t>
      </w:r>
      <w:r w:rsidR="001153FA">
        <w:rPr>
          <w:rFonts w:ascii="Helvetica" w:eastAsia="Times New Roman" w:hAnsi="Helvetica" w:cs="Arial"/>
          <w:b/>
          <w:color w:val="124486"/>
          <w:kern w:val="28"/>
          <w:sz w:val="22"/>
          <w:szCs w:val="22"/>
          <w:lang w:eastAsia="zh-CN"/>
        </w:rPr>
        <w:t>3</w:t>
      </w:r>
      <w:r w:rsidRPr="00D16F22">
        <w:rPr>
          <w:rFonts w:ascii="Helvetica" w:eastAsia="Times New Roman" w:hAnsi="Helvetica" w:cs="Arial"/>
          <w:b/>
          <w:color w:val="124486"/>
          <w:kern w:val="28"/>
          <w:sz w:val="22"/>
          <w:szCs w:val="22"/>
          <w:lang w:eastAsia="zh-CN"/>
        </w:rPr>
        <w:t>: Progress reform on economic governance issues</w:t>
      </w:r>
    </w:p>
    <w:p w:rsidR="00D16F22" w:rsidRPr="00D16F22" w:rsidRDefault="00D16F22" w:rsidP="00D16F22">
      <w:pPr>
        <w:spacing w:after="160" w:line="280" w:lineRule="exact"/>
        <w:rPr>
          <w:rFonts w:ascii="Franklin Gothic Book" w:eastAsia="Times New Roman" w:hAnsi="Franklin Gothic Book"/>
          <w:sz w:val="21"/>
          <w:lang w:eastAsia="zh-CN"/>
        </w:rPr>
      </w:pPr>
      <w:r w:rsidRPr="00D16F22">
        <w:rPr>
          <w:rFonts w:ascii="Franklin Gothic Book" w:eastAsia="Times New Roman" w:hAnsi="Franklin Gothic Book"/>
          <w:sz w:val="21"/>
          <w:lang w:eastAsia="zh-CN"/>
        </w:rPr>
        <w:t xml:space="preserve">The objective </w:t>
      </w:r>
      <w:r w:rsidR="003E604D">
        <w:rPr>
          <w:rFonts w:ascii="Franklin Gothic Book" w:eastAsia="Times New Roman" w:hAnsi="Franklin Gothic Book"/>
          <w:sz w:val="21"/>
          <w:lang w:eastAsia="zh-CN"/>
        </w:rPr>
        <w:t>is</w:t>
      </w:r>
      <w:r w:rsidRPr="00D16F22">
        <w:rPr>
          <w:rFonts w:ascii="Franklin Gothic Book" w:eastAsia="Times New Roman" w:hAnsi="Franklin Gothic Book"/>
          <w:sz w:val="21"/>
          <w:lang w:eastAsia="zh-CN"/>
        </w:rPr>
        <w:t xml:space="preserve"> rated </w:t>
      </w:r>
      <w:r w:rsidR="00734FCA">
        <w:rPr>
          <w:rFonts w:ascii="Franklin Gothic Book" w:eastAsia="Times New Roman" w:hAnsi="Franklin Gothic Book"/>
          <w:sz w:val="21"/>
          <w:lang w:eastAsia="zh-CN"/>
        </w:rPr>
        <w:t>green</w:t>
      </w:r>
      <w:r w:rsidR="00734FCA" w:rsidRPr="00D16F22">
        <w:rPr>
          <w:rFonts w:ascii="Franklin Gothic Book" w:eastAsia="Times New Roman" w:hAnsi="Franklin Gothic Book"/>
          <w:sz w:val="21"/>
          <w:lang w:eastAsia="zh-CN"/>
        </w:rPr>
        <w:t xml:space="preserve"> </w:t>
      </w:r>
      <w:r w:rsidRPr="00D16F22">
        <w:rPr>
          <w:rFonts w:ascii="Franklin Gothic Book" w:eastAsia="Times New Roman" w:hAnsi="Franklin Gothic Book"/>
          <w:sz w:val="21"/>
          <w:lang w:eastAsia="zh-CN"/>
        </w:rPr>
        <w:t xml:space="preserve">because </w:t>
      </w:r>
      <w:r w:rsidR="00734FCA">
        <w:rPr>
          <w:rFonts w:ascii="Franklin Gothic Book" w:eastAsia="Times New Roman" w:hAnsi="Franklin Gothic Book"/>
          <w:sz w:val="21"/>
          <w:lang w:eastAsia="zh-CN"/>
        </w:rPr>
        <w:t xml:space="preserve">progress </w:t>
      </w:r>
      <w:r w:rsidR="00776E00">
        <w:rPr>
          <w:rFonts w:ascii="Franklin Gothic Book" w:eastAsia="Times New Roman" w:hAnsi="Franklin Gothic Book"/>
          <w:sz w:val="21"/>
          <w:lang w:eastAsia="zh-CN"/>
        </w:rPr>
        <w:t>met expectations</w:t>
      </w:r>
      <w:r w:rsidR="00734FCA">
        <w:rPr>
          <w:rFonts w:ascii="Franklin Gothic Book" w:eastAsia="Times New Roman" w:hAnsi="Franklin Gothic Book"/>
          <w:sz w:val="21"/>
          <w:lang w:eastAsia="zh-CN"/>
        </w:rPr>
        <w:t xml:space="preserve"> for the reporting period. </w:t>
      </w:r>
    </w:p>
    <w:tbl>
      <w:tblPr>
        <w:tblStyle w:val="TableGrid3"/>
        <w:tblW w:w="0" w:type="auto"/>
        <w:shd w:val="clear" w:color="auto" w:fill="C7D5E6"/>
        <w:tblLook w:val="04A0" w:firstRow="1" w:lastRow="0" w:firstColumn="1" w:lastColumn="0" w:noHBand="0" w:noVBand="1"/>
      </w:tblPr>
      <w:tblGrid>
        <w:gridCol w:w="2943"/>
        <w:gridCol w:w="5551"/>
      </w:tblGrid>
      <w:tr w:rsidR="00D16F22" w:rsidRPr="00D16F22" w:rsidTr="001153FA">
        <w:trPr>
          <w:trHeight w:val="922"/>
        </w:trPr>
        <w:tc>
          <w:tcPr>
            <w:tcW w:w="2943" w:type="dxa"/>
            <w:tcBorders>
              <w:top w:val="single" w:sz="4" w:space="0" w:color="auto"/>
              <w:left w:val="single" w:sz="4" w:space="0" w:color="auto"/>
              <w:bottom w:val="single" w:sz="4" w:space="0" w:color="auto"/>
              <w:right w:val="single" w:sz="4" w:space="0" w:color="auto"/>
            </w:tcBorders>
            <w:shd w:val="clear" w:color="auto" w:fill="C7D5E6"/>
            <w:hideMark/>
          </w:tcPr>
          <w:p w:rsidR="00D16F22" w:rsidRPr="00D16F22" w:rsidRDefault="00D16F22" w:rsidP="00D16F22">
            <w:pPr>
              <w:spacing w:after="120"/>
              <w:rPr>
                <w:rFonts w:asciiTheme="minorHAnsi" w:eastAsia="Times New Roman" w:hAnsiTheme="minorHAnsi"/>
                <w:sz w:val="22"/>
                <w:szCs w:val="22"/>
              </w:rPr>
            </w:pPr>
            <w:r w:rsidRPr="00D16F22">
              <w:rPr>
                <w:rFonts w:asciiTheme="minorHAnsi" w:eastAsia="Times New Roman" w:hAnsiTheme="minorHAnsi"/>
                <w:sz w:val="22"/>
                <w:szCs w:val="22"/>
              </w:rPr>
              <w:t>Shared development outcome:</w:t>
            </w:r>
          </w:p>
        </w:tc>
        <w:tc>
          <w:tcPr>
            <w:tcW w:w="5551" w:type="dxa"/>
            <w:tcBorders>
              <w:top w:val="single" w:sz="4" w:space="0" w:color="auto"/>
              <w:left w:val="single" w:sz="4" w:space="0" w:color="auto"/>
              <w:bottom w:val="single" w:sz="4" w:space="0" w:color="auto"/>
              <w:right w:val="single" w:sz="4" w:space="0" w:color="auto"/>
            </w:tcBorders>
            <w:shd w:val="clear" w:color="auto" w:fill="C7D5E6"/>
          </w:tcPr>
          <w:p w:rsidR="00D16F22" w:rsidRPr="00D16F22" w:rsidRDefault="00D16F22" w:rsidP="00D16F22">
            <w:pPr>
              <w:rPr>
                <w:rFonts w:asciiTheme="minorHAnsi" w:eastAsia="Times New Roman" w:hAnsiTheme="minorHAnsi"/>
                <w:i/>
                <w:sz w:val="22"/>
                <w:szCs w:val="22"/>
              </w:rPr>
            </w:pPr>
            <w:r w:rsidRPr="00D16F22">
              <w:rPr>
                <w:rFonts w:asciiTheme="minorHAnsi" w:eastAsia="Times New Roman" w:hAnsiTheme="minorHAnsi"/>
                <w:i/>
                <w:sz w:val="22"/>
                <w:szCs w:val="22"/>
              </w:rPr>
              <w:t>Promote economic growth and improved service delivery through good governance</w:t>
            </w:r>
          </w:p>
        </w:tc>
      </w:tr>
      <w:tr w:rsidR="00D16F22" w:rsidRPr="00D16F22" w:rsidTr="001153FA">
        <w:tc>
          <w:tcPr>
            <w:tcW w:w="2943" w:type="dxa"/>
            <w:tcBorders>
              <w:top w:val="single" w:sz="4" w:space="0" w:color="auto"/>
              <w:left w:val="single" w:sz="4" w:space="0" w:color="auto"/>
              <w:bottom w:val="single" w:sz="4" w:space="0" w:color="auto"/>
              <w:right w:val="single" w:sz="4" w:space="0" w:color="auto"/>
            </w:tcBorders>
            <w:shd w:val="clear" w:color="auto" w:fill="C7D5E6"/>
            <w:hideMark/>
          </w:tcPr>
          <w:p w:rsidR="00D16F22" w:rsidRPr="00D16F22" w:rsidRDefault="00D16F22" w:rsidP="00D16F22">
            <w:pPr>
              <w:spacing w:after="120"/>
              <w:rPr>
                <w:rFonts w:asciiTheme="minorHAnsi" w:eastAsia="Times New Roman" w:hAnsiTheme="minorHAnsi"/>
                <w:sz w:val="22"/>
                <w:szCs w:val="22"/>
              </w:rPr>
            </w:pPr>
            <w:r w:rsidRPr="00D16F22">
              <w:rPr>
                <w:rFonts w:asciiTheme="minorHAnsi" w:eastAsia="Times New Roman" w:hAnsiTheme="minorHAnsi"/>
                <w:sz w:val="22"/>
                <w:szCs w:val="22"/>
              </w:rPr>
              <w:t>Australia’s objective:</w:t>
            </w:r>
          </w:p>
        </w:tc>
        <w:tc>
          <w:tcPr>
            <w:tcW w:w="5551" w:type="dxa"/>
            <w:tcBorders>
              <w:top w:val="single" w:sz="4" w:space="0" w:color="auto"/>
              <w:left w:val="single" w:sz="4" w:space="0" w:color="auto"/>
              <w:bottom w:val="single" w:sz="4" w:space="0" w:color="auto"/>
              <w:right w:val="single" w:sz="4" w:space="0" w:color="auto"/>
            </w:tcBorders>
            <w:shd w:val="clear" w:color="auto" w:fill="C7D5E6"/>
            <w:hideMark/>
          </w:tcPr>
          <w:p w:rsidR="00D16F22" w:rsidRPr="00D16F22" w:rsidRDefault="00D16F22" w:rsidP="00D16F22">
            <w:pPr>
              <w:rPr>
                <w:rFonts w:asciiTheme="minorHAnsi" w:eastAsia="Times New Roman" w:hAnsiTheme="minorHAnsi"/>
                <w:i/>
                <w:sz w:val="22"/>
                <w:szCs w:val="22"/>
              </w:rPr>
            </w:pPr>
            <w:r w:rsidRPr="00D16F22">
              <w:rPr>
                <w:rFonts w:asciiTheme="minorHAnsi" w:eastAsia="Times New Roman" w:hAnsiTheme="minorHAnsi"/>
                <w:i/>
                <w:sz w:val="22"/>
                <w:szCs w:val="22"/>
              </w:rPr>
              <w:t>Vanuatu’s policy framework is more supportive of durable, equitable and broad-based growth</w:t>
            </w:r>
          </w:p>
          <w:p w:rsidR="00D16F22" w:rsidRDefault="00D16F22" w:rsidP="00D16F22">
            <w:pPr>
              <w:rPr>
                <w:rFonts w:asciiTheme="minorHAnsi" w:eastAsia="Times New Roman" w:hAnsiTheme="minorHAnsi"/>
                <w:i/>
                <w:sz w:val="22"/>
                <w:szCs w:val="22"/>
              </w:rPr>
            </w:pPr>
            <w:r w:rsidRPr="00D16F22">
              <w:rPr>
                <w:rFonts w:asciiTheme="minorHAnsi" w:eastAsia="Times New Roman" w:hAnsiTheme="minorHAnsi"/>
                <w:i/>
                <w:sz w:val="22"/>
                <w:szCs w:val="22"/>
              </w:rPr>
              <w:t>The quality of Vanuatu’s public expenditure and its management is improved</w:t>
            </w:r>
          </w:p>
          <w:p w:rsidR="004A16E4" w:rsidRPr="00D16F22" w:rsidRDefault="004A16E4" w:rsidP="00D16F22">
            <w:pPr>
              <w:rPr>
                <w:rFonts w:asciiTheme="minorHAnsi" w:eastAsia="Times New Roman" w:hAnsiTheme="minorHAnsi"/>
                <w:i/>
                <w:sz w:val="22"/>
                <w:szCs w:val="22"/>
              </w:rPr>
            </w:pPr>
          </w:p>
        </w:tc>
      </w:tr>
    </w:tbl>
    <w:p w:rsidR="00D16F22" w:rsidRPr="00D16F22" w:rsidRDefault="00776E00" w:rsidP="00703793">
      <w:pPr>
        <w:spacing w:before="120"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 xml:space="preserve">Recognising the importance of regulatory reform and improved public expenditure management </w:t>
      </w:r>
      <w:r w:rsidR="00905D91">
        <w:rPr>
          <w:rFonts w:ascii="Franklin Gothic Book" w:eastAsia="Times New Roman" w:hAnsi="Franklin Gothic Book"/>
          <w:sz w:val="21"/>
          <w:lang w:eastAsia="zh-CN"/>
        </w:rPr>
        <w:t xml:space="preserve">to </w:t>
      </w:r>
      <w:r>
        <w:rPr>
          <w:rFonts w:ascii="Franklin Gothic Book" w:eastAsia="Times New Roman" w:hAnsi="Franklin Gothic Book"/>
          <w:sz w:val="21"/>
          <w:lang w:eastAsia="zh-CN"/>
        </w:rPr>
        <w:t>economic growth and service</w:t>
      </w:r>
      <w:r w:rsidR="00905D91">
        <w:rPr>
          <w:rFonts w:ascii="Franklin Gothic Book" w:eastAsia="Times New Roman" w:hAnsi="Franklin Gothic Book"/>
          <w:sz w:val="21"/>
          <w:lang w:eastAsia="zh-CN"/>
        </w:rPr>
        <w:t xml:space="preserve"> delivery</w:t>
      </w:r>
      <w:r>
        <w:rPr>
          <w:rFonts w:ascii="Franklin Gothic Book" w:eastAsia="Times New Roman" w:hAnsi="Franklin Gothic Book"/>
          <w:sz w:val="21"/>
          <w:lang w:eastAsia="zh-CN"/>
        </w:rPr>
        <w:t>, t</w:t>
      </w:r>
      <w:r w:rsidR="00D16F22" w:rsidRPr="00D16F22">
        <w:rPr>
          <w:rFonts w:ascii="Franklin Gothic Book" w:eastAsia="Times New Roman" w:hAnsi="Franklin Gothic Book"/>
          <w:sz w:val="21"/>
          <w:lang w:eastAsia="zh-CN"/>
        </w:rPr>
        <w:t>he Vanuatu Governance for Growth Program (GfG) was established as an adviser, facilitator and broker</w:t>
      </w:r>
      <w:r w:rsidR="001532E3">
        <w:rPr>
          <w:rFonts w:ascii="Franklin Gothic Book" w:eastAsia="Times New Roman" w:hAnsi="Franklin Gothic Book"/>
          <w:sz w:val="21"/>
          <w:lang w:eastAsia="zh-CN"/>
        </w:rPr>
        <w:t xml:space="preserve"> of reform</w:t>
      </w:r>
      <w:r>
        <w:rPr>
          <w:rFonts w:ascii="Franklin Gothic Book" w:eastAsia="Times New Roman" w:hAnsi="Franklin Gothic Book"/>
          <w:sz w:val="21"/>
          <w:lang w:eastAsia="zh-CN"/>
        </w:rPr>
        <w:t>.</w:t>
      </w:r>
      <w:r w:rsidR="00D16F22" w:rsidRPr="00D16F22">
        <w:rPr>
          <w:rFonts w:ascii="Franklin Gothic Book" w:eastAsia="Times New Roman" w:hAnsi="Franklin Gothic Book"/>
          <w:sz w:val="21"/>
          <w:lang w:eastAsia="zh-CN"/>
        </w:rPr>
        <w:t xml:space="preserve"> The</w:t>
      </w:r>
      <w:r>
        <w:rPr>
          <w:rFonts w:ascii="Franklin Gothic Book" w:eastAsia="Times New Roman" w:hAnsi="Franklin Gothic Book"/>
          <w:sz w:val="21"/>
          <w:lang w:eastAsia="zh-CN"/>
        </w:rPr>
        <w:t xml:space="preserve"> program</w:t>
      </w:r>
      <w:r w:rsidR="00B87E81">
        <w:rPr>
          <w:rFonts w:ascii="Franklin Gothic Book" w:eastAsia="Times New Roman" w:hAnsi="Franklin Gothic Book"/>
          <w:sz w:val="21"/>
          <w:lang w:eastAsia="zh-CN"/>
        </w:rPr>
        <w:t>’</w:t>
      </w:r>
      <w:r>
        <w:rPr>
          <w:rFonts w:ascii="Franklin Gothic Book" w:eastAsia="Times New Roman" w:hAnsi="Franklin Gothic Book"/>
          <w:sz w:val="21"/>
          <w:lang w:eastAsia="zh-CN"/>
        </w:rPr>
        <w:t>s success</w:t>
      </w:r>
      <w:r w:rsidR="00D16F22" w:rsidRPr="00D16F22">
        <w:rPr>
          <w:rFonts w:ascii="Franklin Gothic Book" w:eastAsia="Times New Roman" w:hAnsi="Franklin Gothic Book"/>
          <w:sz w:val="21"/>
          <w:lang w:eastAsia="zh-CN"/>
        </w:rPr>
        <w:t xml:space="preserve"> depend</w:t>
      </w:r>
      <w:r>
        <w:rPr>
          <w:rFonts w:ascii="Franklin Gothic Book" w:eastAsia="Times New Roman" w:hAnsi="Franklin Gothic Book"/>
          <w:sz w:val="21"/>
          <w:lang w:eastAsia="zh-CN"/>
        </w:rPr>
        <w:t>s</w:t>
      </w:r>
      <w:r w:rsidR="00D16F22" w:rsidRPr="00D16F22">
        <w:rPr>
          <w:rFonts w:ascii="Franklin Gothic Book" w:eastAsia="Times New Roman" w:hAnsi="Franklin Gothic Book"/>
          <w:sz w:val="21"/>
          <w:lang w:eastAsia="zh-CN"/>
        </w:rPr>
        <w:t xml:space="preserve"> on a mix of informal engagement, flexible results-based funding and formal process</w:t>
      </w:r>
      <w:r w:rsidR="00905D91">
        <w:rPr>
          <w:rFonts w:ascii="Franklin Gothic Book" w:eastAsia="Times New Roman" w:hAnsi="Franklin Gothic Book"/>
          <w:sz w:val="21"/>
          <w:lang w:eastAsia="zh-CN"/>
        </w:rPr>
        <w:t>es</w:t>
      </w:r>
      <w:r w:rsidR="00D16F22" w:rsidRPr="00D16F22">
        <w:rPr>
          <w:rFonts w:ascii="Franklin Gothic Book" w:eastAsia="Times New Roman" w:hAnsi="Franklin Gothic Book"/>
          <w:sz w:val="21"/>
          <w:lang w:eastAsia="zh-CN"/>
        </w:rPr>
        <w:t xml:space="preserve">.  </w:t>
      </w:r>
    </w:p>
    <w:p w:rsidR="00D16F22" w:rsidRPr="00D16F22" w:rsidRDefault="00D16F22" w:rsidP="00D16F22">
      <w:pPr>
        <w:spacing w:after="160" w:line="280" w:lineRule="exact"/>
        <w:rPr>
          <w:rFonts w:ascii="Franklin Gothic Book" w:eastAsia="Times New Roman" w:hAnsi="Franklin Gothic Book"/>
          <w:sz w:val="21"/>
          <w:lang w:eastAsia="zh-CN"/>
        </w:rPr>
      </w:pPr>
      <w:r w:rsidRPr="00D16F22">
        <w:rPr>
          <w:rFonts w:ascii="Franklin Gothic Book" w:eastAsia="Times New Roman" w:hAnsi="Franklin Gothic Book"/>
          <w:sz w:val="21"/>
          <w:lang w:eastAsia="zh-CN"/>
        </w:rPr>
        <w:t xml:space="preserve">Revenue for public services and capital for public investment is a structural challenge for small island developing states such as Vanuatu.  GfG works with </w:t>
      </w:r>
      <w:r w:rsidR="007E2350">
        <w:rPr>
          <w:rFonts w:ascii="Franklin Gothic Book" w:eastAsia="Times New Roman" w:hAnsi="Franklin Gothic Book"/>
          <w:sz w:val="21"/>
          <w:lang w:eastAsia="zh-CN"/>
        </w:rPr>
        <w:t>the Ministry of Finance and Economic Management (</w:t>
      </w:r>
      <w:r w:rsidRPr="00D16F22">
        <w:rPr>
          <w:rFonts w:ascii="Franklin Gothic Book" w:eastAsia="Times New Roman" w:hAnsi="Franklin Gothic Book"/>
          <w:sz w:val="21"/>
          <w:lang w:eastAsia="zh-CN"/>
        </w:rPr>
        <w:t>MFEM</w:t>
      </w:r>
      <w:r w:rsidR="007E2350">
        <w:rPr>
          <w:rFonts w:ascii="Franklin Gothic Book" w:eastAsia="Times New Roman" w:hAnsi="Franklin Gothic Book"/>
          <w:sz w:val="21"/>
          <w:lang w:eastAsia="zh-CN"/>
        </w:rPr>
        <w:t>)</w:t>
      </w:r>
      <w:r w:rsidRPr="00D16F22">
        <w:rPr>
          <w:rFonts w:ascii="Franklin Gothic Book" w:eastAsia="Times New Roman" w:hAnsi="Franklin Gothic Book"/>
          <w:sz w:val="21"/>
          <w:lang w:eastAsia="zh-CN"/>
        </w:rPr>
        <w:t xml:space="preserve"> to strengthen revenue administration and effectively target expenditure.  For example, support to VAT collection systems resulted in 105</w:t>
      </w:r>
      <w:r w:rsidR="0026779A">
        <w:rPr>
          <w:rFonts w:ascii="Franklin Gothic Book" w:eastAsia="Times New Roman" w:hAnsi="Franklin Gothic Book"/>
          <w:sz w:val="21"/>
          <w:lang w:eastAsia="zh-CN"/>
        </w:rPr>
        <w:t xml:space="preserve"> per cent</w:t>
      </w:r>
      <w:r w:rsidRPr="00D16F22">
        <w:rPr>
          <w:rFonts w:ascii="Franklin Gothic Book" w:eastAsia="Times New Roman" w:hAnsi="Franklin Gothic Book"/>
          <w:sz w:val="21"/>
          <w:lang w:eastAsia="zh-CN"/>
        </w:rPr>
        <w:t xml:space="preserve"> of the 2013 revenue target being collected, despite lower than forecast GDP growth.  The profile of the Department of Customs and Inland Revenue lifted significantly as a result of key targeted technical support, with a number of VAT related crack down operations successfully completed in 2013.</w:t>
      </w:r>
    </w:p>
    <w:p w:rsidR="00D25717" w:rsidRDefault="00D25717" w:rsidP="00D16F22">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S</w:t>
      </w:r>
      <w:r w:rsidR="00D16F22" w:rsidRPr="00D16F22">
        <w:rPr>
          <w:rFonts w:ascii="Franklin Gothic Book" w:eastAsia="Times New Roman" w:hAnsi="Franklin Gothic Book"/>
          <w:sz w:val="21"/>
          <w:lang w:eastAsia="zh-CN"/>
        </w:rPr>
        <w:t xml:space="preserve">upport to the Central Tenders Board </w:t>
      </w:r>
      <w:r w:rsidR="003E604D">
        <w:rPr>
          <w:rFonts w:ascii="Franklin Gothic Book" w:eastAsia="Times New Roman" w:hAnsi="Franklin Gothic Book"/>
          <w:sz w:val="21"/>
          <w:lang w:eastAsia="zh-CN"/>
        </w:rPr>
        <w:t xml:space="preserve">(CTB) </w:t>
      </w:r>
      <w:r w:rsidR="00D16F22" w:rsidRPr="00D16F22">
        <w:rPr>
          <w:rFonts w:ascii="Franklin Gothic Book" w:eastAsia="Times New Roman" w:hAnsi="Franklin Gothic Book"/>
          <w:sz w:val="21"/>
          <w:lang w:eastAsia="zh-CN"/>
        </w:rPr>
        <w:t xml:space="preserve">as it rolled out standardised procurement documentation and contracting templates increased use of the CTB both through donor partners and government (with increased use by Ministry of Health, Office of the Government Chief Information Officer and the Public Works Department).  </w:t>
      </w:r>
      <w:r w:rsidR="00D422CB">
        <w:rPr>
          <w:rFonts w:ascii="Franklin Gothic Book" w:eastAsia="Times New Roman" w:hAnsi="Franklin Gothic Book"/>
          <w:sz w:val="21"/>
          <w:lang w:eastAsia="zh-CN"/>
        </w:rPr>
        <w:t>As a result, g</w:t>
      </w:r>
      <w:r w:rsidR="001A5A7B">
        <w:rPr>
          <w:rFonts w:ascii="Franklin Gothic Book" w:eastAsia="Times New Roman" w:hAnsi="Franklin Gothic Book"/>
          <w:sz w:val="21"/>
          <w:lang w:eastAsia="zh-CN"/>
        </w:rPr>
        <w:t xml:space="preserve">overnment agencies had </w:t>
      </w:r>
      <w:r w:rsidR="001D72C5">
        <w:rPr>
          <w:rFonts w:ascii="Franklin Gothic Book" w:eastAsia="Times New Roman" w:hAnsi="Franklin Gothic Book"/>
          <w:sz w:val="21"/>
          <w:lang w:eastAsia="zh-CN"/>
        </w:rPr>
        <w:t xml:space="preserve">improved awareness of the requirements under the regulations. </w:t>
      </w:r>
    </w:p>
    <w:p w:rsidR="00D16F22" w:rsidRPr="00D16F22" w:rsidRDefault="001D72C5" w:rsidP="00D16F22">
      <w:pPr>
        <w:spacing w:after="160" w:line="280" w:lineRule="exact"/>
        <w:rPr>
          <w:rFonts w:ascii="Franklin Gothic Book" w:eastAsia="Times New Roman" w:hAnsi="Franklin Gothic Book"/>
          <w:sz w:val="21"/>
          <w:lang w:eastAsia="zh-CN"/>
        </w:rPr>
      </w:pPr>
      <w:r w:rsidRPr="00D16F22">
        <w:rPr>
          <w:rFonts w:ascii="Franklin Gothic Book" w:hAnsi="Franklin Gothic Book"/>
          <w:noProof/>
          <w:sz w:val="21"/>
          <w:szCs w:val="21"/>
        </w:rPr>
        <mc:AlternateContent>
          <mc:Choice Requires="wps">
            <w:drawing>
              <wp:anchor distT="0" distB="0" distL="114300" distR="114300" simplePos="0" relativeHeight="251671552" behindDoc="0" locked="0" layoutInCell="1" allowOverlap="1" wp14:anchorId="6D2C873D" wp14:editId="604D2878">
                <wp:simplePos x="0" y="0"/>
                <wp:positionH relativeFrom="column">
                  <wp:posOffset>-3810</wp:posOffset>
                </wp:positionH>
                <wp:positionV relativeFrom="paragraph">
                  <wp:posOffset>880110</wp:posOffset>
                </wp:positionV>
                <wp:extent cx="3581400" cy="36957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695700"/>
                        </a:xfrm>
                        <a:prstGeom prst="rect">
                          <a:avLst/>
                        </a:prstGeom>
                        <a:solidFill>
                          <a:srgbClr val="FFFFFF"/>
                        </a:solidFill>
                        <a:ln w="9525">
                          <a:solidFill>
                            <a:srgbClr val="000000"/>
                          </a:solidFill>
                          <a:miter lim="800000"/>
                          <a:headEnd/>
                          <a:tailEnd/>
                        </a:ln>
                      </wps:spPr>
                      <wps:txbx>
                        <w:txbxContent>
                          <w:p w:rsidR="00F86835" w:rsidRPr="00CD215A" w:rsidRDefault="00F86835" w:rsidP="00D16F22">
                            <w:pPr>
                              <w:spacing w:after="120"/>
                              <w:rPr>
                                <w:rFonts w:ascii="Arial Narrow" w:hAnsi="Arial Narrow"/>
                                <w:b/>
                              </w:rPr>
                            </w:pPr>
                            <w:r w:rsidRPr="00CD215A">
                              <w:rPr>
                                <w:rFonts w:ascii="Arial Narrow" w:hAnsi="Arial Narrow"/>
                                <w:b/>
                              </w:rPr>
                              <w:t>B</w:t>
                            </w:r>
                            <w:r>
                              <w:rPr>
                                <w:rFonts w:ascii="Arial Narrow" w:hAnsi="Arial Narrow"/>
                                <w:b/>
                              </w:rPr>
                              <w:t>ox 2</w:t>
                            </w:r>
                            <w:r w:rsidRPr="00CD215A">
                              <w:rPr>
                                <w:rFonts w:ascii="Arial Narrow" w:hAnsi="Arial Narrow"/>
                                <w:b/>
                              </w:rPr>
                              <w:t xml:space="preserve"> – </w:t>
                            </w:r>
                            <w:r>
                              <w:rPr>
                                <w:rFonts w:ascii="Arial Narrow" w:hAnsi="Arial Narrow"/>
                                <w:b/>
                              </w:rPr>
                              <w:t>Financial inclusion and roads support private sector</w:t>
                            </w:r>
                          </w:p>
                          <w:p w:rsidR="00F86835" w:rsidRDefault="00F86835" w:rsidP="00D16F22">
                            <w:pPr>
                              <w:rPr>
                                <w:rFonts w:ascii="Arial Narrow" w:hAnsi="Arial Narrow"/>
                              </w:rPr>
                            </w:pPr>
                            <w:r>
                              <w:rPr>
                                <w:rFonts w:ascii="Arial Narrow" w:hAnsi="Arial Narrow"/>
                              </w:rPr>
                              <w:t>GfG works with National Bank of Vanuatu to implement a financial inclusion program.  175 financial literacy workshops were attended by approximately 4,000 women and 5,000 men.  In some locations exposure to financial services has stimulated private sector activity.  For example, on Tanna 500-600 women who had attended the workshops supported by GfG formed cooperative business groups.</w:t>
                            </w:r>
                          </w:p>
                          <w:p w:rsidR="00F86835" w:rsidRPr="00A078BF" w:rsidRDefault="00F86835" w:rsidP="00D16F22">
                            <w:pPr>
                              <w:rPr>
                                <w:rFonts w:ascii="Arial Narrow" w:hAnsi="Arial Narrow"/>
                                <w:sz w:val="16"/>
                                <w:szCs w:val="16"/>
                              </w:rPr>
                            </w:pPr>
                          </w:p>
                          <w:p w:rsidR="00F86835" w:rsidRDefault="00F86835" w:rsidP="00D16F22">
                            <w:pPr>
                              <w:rPr>
                                <w:rFonts w:ascii="Arial Narrow" w:hAnsi="Arial Narrow"/>
                              </w:rPr>
                            </w:pPr>
                            <w:r>
                              <w:rPr>
                                <w:rFonts w:ascii="Arial Narrow" w:hAnsi="Arial Narrow"/>
                              </w:rPr>
                              <w:t xml:space="preserve">By supporting transport and logistics, GfG enables NBV staff to provide financial services in remote areas and deliver financial literacy training throughout Vanuatu.  With GfG support, staff from the bank travel to remote villages to collect deposits, help account holders make transactions and provide advice.  In 2013 this resulted in </w:t>
                            </w:r>
                            <w:r w:rsidRPr="00A078BF">
                              <w:rPr>
                                <w:rFonts w:ascii="Arial Narrow" w:hAnsi="Arial Narrow"/>
                              </w:rPr>
                              <w:t>2 new ATM</w:t>
                            </w:r>
                            <w:r>
                              <w:rPr>
                                <w:rFonts w:ascii="Arial Narrow" w:hAnsi="Arial Narrow"/>
                              </w:rPr>
                              <w:t>s</w:t>
                            </w:r>
                            <w:r w:rsidRPr="00A078BF">
                              <w:rPr>
                                <w:rFonts w:ascii="Arial Narrow" w:hAnsi="Arial Narrow"/>
                              </w:rPr>
                              <w:t xml:space="preserve"> on Malekula and Tanna; 600 new micro</w:t>
                            </w:r>
                            <w:r>
                              <w:rPr>
                                <w:rFonts w:ascii="Arial Narrow" w:hAnsi="Arial Narrow"/>
                              </w:rPr>
                              <w:t>-</w:t>
                            </w:r>
                            <w:r w:rsidRPr="00A078BF">
                              <w:rPr>
                                <w:rFonts w:ascii="Arial Narrow" w:hAnsi="Arial Narrow"/>
                              </w:rPr>
                              <w:t xml:space="preserve">loans totalling VT160m; </w:t>
                            </w:r>
                            <w:r>
                              <w:rPr>
                                <w:rFonts w:ascii="Arial Narrow" w:hAnsi="Arial Narrow"/>
                              </w:rPr>
                              <w:t>and 15,</w:t>
                            </w:r>
                            <w:r w:rsidRPr="00A078BF">
                              <w:rPr>
                                <w:rFonts w:ascii="Arial Narrow" w:hAnsi="Arial Narrow"/>
                              </w:rPr>
                              <w:t>000 new rural based savings account with a value of VT420m in deposits</w:t>
                            </w:r>
                            <w:r>
                              <w:rPr>
                                <w:rFonts w:ascii="Arial Narrow" w:hAnsi="Arial Narrow"/>
                              </w:rPr>
                              <w:t>.</w:t>
                            </w:r>
                          </w:p>
                          <w:p w:rsidR="00F86835" w:rsidRPr="001E53C8" w:rsidRDefault="00F86835" w:rsidP="00D16F22">
                            <w:pPr>
                              <w:rPr>
                                <w:rFonts w:ascii="Arial Narrow" w:hAnsi="Arial Narrow"/>
                                <w:sz w:val="16"/>
                                <w:szCs w:val="16"/>
                              </w:rPr>
                            </w:pPr>
                          </w:p>
                          <w:p w:rsidR="00F86835" w:rsidRPr="00CD215A" w:rsidRDefault="00F86835" w:rsidP="00D16F22">
                            <w:pPr>
                              <w:rPr>
                                <w:rFonts w:ascii="Arial Narrow" w:hAnsi="Arial Narrow"/>
                              </w:rPr>
                            </w:pPr>
                            <w:r>
                              <w:rPr>
                                <w:rFonts w:ascii="Arial Narrow" w:hAnsi="Arial Narrow"/>
                              </w:rPr>
                              <w:t>DFAT investment in Roads for Development and Women’s Economic Empowerment, complemented by GfG investments in better connectivity and financial literacy training, led to increased economic activity on Tanna and Malekula.  This was made possible in part because the National Bank of Vanuatu now has 27 branches nation-wide, of which 14 are on-line.  This enabling environment has resulted from several years of effort, diverse but complementary investments and a partnership between GfG and the private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69.3pt;width:282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">
                <v:textbox>
                  <w:txbxContent>
                    <w:p w:rsidR="00F86835" w:rsidRPr="00CD215A" w:rsidRDefault="00F86835" w:rsidP="00D16F22">
                      <w:pPr>
                        <w:spacing w:after="120"/>
                        <w:rPr>
                          <w:rFonts w:ascii="Arial Narrow" w:hAnsi="Arial Narrow"/>
                          <w:b/>
                        </w:rPr>
                      </w:pPr>
                      <w:r w:rsidRPr="00CD215A">
                        <w:rPr>
                          <w:rFonts w:ascii="Arial Narrow" w:hAnsi="Arial Narrow"/>
                          <w:b/>
                        </w:rPr>
                        <w:t>B</w:t>
                      </w:r>
                      <w:r>
                        <w:rPr>
                          <w:rFonts w:ascii="Arial Narrow" w:hAnsi="Arial Narrow"/>
                          <w:b/>
                        </w:rPr>
                        <w:t>ox 2</w:t>
                      </w:r>
                      <w:r w:rsidRPr="00CD215A">
                        <w:rPr>
                          <w:rFonts w:ascii="Arial Narrow" w:hAnsi="Arial Narrow"/>
                          <w:b/>
                        </w:rPr>
                        <w:t xml:space="preserve"> – </w:t>
                      </w:r>
                      <w:r>
                        <w:rPr>
                          <w:rFonts w:ascii="Arial Narrow" w:hAnsi="Arial Narrow"/>
                          <w:b/>
                        </w:rPr>
                        <w:t>Financial inclusion and roads support private sector</w:t>
                      </w:r>
                    </w:p>
                    <w:p w:rsidR="00F86835" w:rsidRDefault="00F86835" w:rsidP="00D16F22">
                      <w:pPr>
                        <w:rPr>
                          <w:rFonts w:ascii="Arial Narrow" w:hAnsi="Arial Narrow"/>
                        </w:rPr>
                      </w:pPr>
                      <w:r>
                        <w:rPr>
                          <w:rFonts w:ascii="Arial Narrow" w:hAnsi="Arial Narrow"/>
                        </w:rPr>
                        <w:t>GfG works with National Bank of Vanuatu to implement a financial inclusion program.  175 financial literacy workshops were attended by approximately 4,000 women and 5,000 men.  In some locations exposure to financial services has stimulated private sector activity.  For example, on Tanna 500-600 women who had attended the workshops supported by GfG formed cooperative business groups.</w:t>
                      </w:r>
                    </w:p>
                    <w:p w:rsidR="00F86835" w:rsidRPr="00A078BF" w:rsidRDefault="00F86835" w:rsidP="00D16F22">
                      <w:pPr>
                        <w:rPr>
                          <w:rFonts w:ascii="Arial Narrow" w:hAnsi="Arial Narrow"/>
                          <w:sz w:val="16"/>
                          <w:szCs w:val="16"/>
                        </w:rPr>
                      </w:pPr>
                    </w:p>
                    <w:p w:rsidR="00F86835" w:rsidRDefault="00F86835" w:rsidP="00D16F22">
                      <w:pPr>
                        <w:rPr>
                          <w:rFonts w:ascii="Arial Narrow" w:hAnsi="Arial Narrow"/>
                        </w:rPr>
                      </w:pPr>
                      <w:r>
                        <w:rPr>
                          <w:rFonts w:ascii="Arial Narrow" w:hAnsi="Arial Narrow"/>
                        </w:rPr>
                        <w:t xml:space="preserve">By supporting transport and logistics, GfG enables NBV staff to provide financial services in remote areas and deliver financial literacy training throughout Vanuatu.  With GfG support, staff from the bank travel to remote villages to collect deposits, help account holders make transactions and provide advice.  In 2013 this resulted in </w:t>
                      </w:r>
                      <w:r w:rsidRPr="00A078BF">
                        <w:rPr>
                          <w:rFonts w:ascii="Arial Narrow" w:hAnsi="Arial Narrow"/>
                        </w:rPr>
                        <w:t>2 new ATM</w:t>
                      </w:r>
                      <w:r>
                        <w:rPr>
                          <w:rFonts w:ascii="Arial Narrow" w:hAnsi="Arial Narrow"/>
                        </w:rPr>
                        <w:t>s</w:t>
                      </w:r>
                      <w:r w:rsidRPr="00A078BF">
                        <w:rPr>
                          <w:rFonts w:ascii="Arial Narrow" w:hAnsi="Arial Narrow"/>
                        </w:rPr>
                        <w:t xml:space="preserve"> on Malekula and Tanna; 600 new micro</w:t>
                      </w:r>
                      <w:r>
                        <w:rPr>
                          <w:rFonts w:ascii="Arial Narrow" w:hAnsi="Arial Narrow"/>
                        </w:rPr>
                        <w:t>-</w:t>
                      </w:r>
                      <w:r w:rsidRPr="00A078BF">
                        <w:rPr>
                          <w:rFonts w:ascii="Arial Narrow" w:hAnsi="Arial Narrow"/>
                        </w:rPr>
                        <w:t xml:space="preserve">loans totalling VT160m; </w:t>
                      </w:r>
                      <w:r>
                        <w:rPr>
                          <w:rFonts w:ascii="Arial Narrow" w:hAnsi="Arial Narrow"/>
                        </w:rPr>
                        <w:t>and 15,</w:t>
                      </w:r>
                      <w:r w:rsidRPr="00A078BF">
                        <w:rPr>
                          <w:rFonts w:ascii="Arial Narrow" w:hAnsi="Arial Narrow"/>
                        </w:rPr>
                        <w:t>000 new rural based savings account with a value of VT420m in deposits</w:t>
                      </w:r>
                      <w:r>
                        <w:rPr>
                          <w:rFonts w:ascii="Arial Narrow" w:hAnsi="Arial Narrow"/>
                        </w:rPr>
                        <w:t>.</w:t>
                      </w:r>
                    </w:p>
                    <w:p w:rsidR="00F86835" w:rsidRPr="001E53C8" w:rsidRDefault="00F86835" w:rsidP="00D16F22">
                      <w:pPr>
                        <w:rPr>
                          <w:rFonts w:ascii="Arial Narrow" w:hAnsi="Arial Narrow"/>
                          <w:sz w:val="16"/>
                          <w:szCs w:val="16"/>
                        </w:rPr>
                      </w:pPr>
                    </w:p>
                    <w:p w:rsidR="00F86835" w:rsidRPr="00CD215A" w:rsidRDefault="00F86835" w:rsidP="00D16F22">
                      <w:pPr>
                        <w:rPr>
                          <w:rFonts w:ascii="Arial Narrow" w:hAnsi="Arial Narrow"/>
                        </w:rPr>
                      </w:pPr>
                      <w:r>
                        <w:rPr>
                          <w:rFonts w:ascii="Arial Narrow" w:hAnsi="Arial Narrow"/>
                        </w:rPr>
                        <w:t>DFAT investment in Roads for Development and Women’s Economic Empowerment, complemented by GfG investments in better connectivity and financial literacy training, led to increased economic activity on Tanna and Malekula.  This was made possible in part because the National Bank of Vanuatu now has 27 branches nation-wide, of which 14 are on-line.  This enabling environment has resulted from several years of effort, diverse but complementary investments and a partnership between GfG and the private sector.</w:t>
                      </w:r>
                    </w:p>
                  </w:txbxContent>
                </v:textbox>
                <w10:wrap type="square"/>
              </v:shape>
            </w:pict>
          </mc:Fallback>
        </mc:AlternateContent>
      </w:r>
      <w:r w:rsidR="00D16F22" w:rsidRPr="00D16F22">
        <w:rPr>
          <w:rFonts w:ascii="Franklin Gothic Book" w:eastAsia="Times New Roman" w:hAnsi="Franklin Gothic Book"/>
          <w:sz w:val="21"/>
          <w:lang w:eastAsia="zh-CN"/>
        </w:rPr>
        <w:t xml:space="preserve">Efficient service delivery relies on </w:t>
      </w:r>
      <w:r w:rsidR="008073BC">
        <w:rPr>
          <w:rFonts w:ascii="Franklin Gothic Book" w:eastAsia="Times New Roman" w:hAnsi="Franklin Gothic Book"/>
          <w:sz w:val="21"/>
          <w:lang w:eastAsia="zh-CN"/>
        </w:rPr>
        <w:t xml:space="preserve">a system to </w:t>
      </w:r>
      <w:r w:rsidR="00044866">
        <w:rPr>
          <w:rFonts w:ascii="Franklin Gothic Book" w:eastAsia="Times New Roman" w:hAnsi="Franklin Gothic Book"/>
          <w:sz w:val="21"/>
          <w:lang w:eastAsia="zh-CN"/>
        </w:rPr>
        <w:t>ensure</w:t>
      </w:r>
      <w:r w:rsidR="008073BC">
        <w:rPr>
          <w:rFonts w:ascii="Franklin Gothic Book" w:eastAsia="Times New Roman" w:hAnsi="Franklin Gothic Book"/>
          <w:sz w:val="21"/>
          <w:lang w:eastAsia="zh-CN"/>
        </w:rPr>
        <w:t xml:space="preserve"> funds</w:t>
      </w:r>
      <w:r w:rsidR="00D16F22" w:rsidRPr="00D16F22">
        <w:rPr>
          <w:rFonts w:ascii="Franklin Gothic Book" w:eastAsia="Times New Roman" w:hAnsi="Franklin Gothic Book"/>
          <w:sz w:val="21"/>
          <w:lang w:eastAsia="zh-CN"/>
        </w:rPr>
        <w:t xml:space="preserve"> </w:t>
      </w:r>
      <w:r w:rsidR="00044866">
        <w:rPr>
          <w:rFonts w:ascii="Franklin Gothic Book" w:eastAsia="Times New Roman" w:hAnsi="Franklin Gothic Book"/>
          <w:sz w:val="21"/>
          <w:lang w:eastAsia="zh-CN"/>
        </w:rPr>
        <w:t>reach service providers outside urban centres</w:t>
      </w:r>
      <w:r w:rsidR="00D16F22" w:rsidRPr="00D16F22">
        <w:rPr>
          <w:rFonts w:ascii="Franklin Gothic Book" w:eastAsia="Times New Roman" w:hAnsi="Franklin Gothic Book"/>
          <w:sz w:val="21"/>
          <w:lang w:eastAsia="zh-CN"/>
        </w:rPr>
        <w:t xml:space="preserve">.  In 2013, all provincially located Finance Service </w:t>
      </w:r>
      <w:r w:rsidR="00733377" w:rsidRPr="00D16F22">
        <w:rPr>
          <w:rFonts w:ascii="Franklin Gothic Book" w:eastAsia="Times New Roman" w:hAnsi="Franklin Gothic Book"/>
          <w:sz w:val="21"/>
          <w:lang w:eastAsia="zh-CN"/>
        </w:rPr>
        <w:t>Bureaus</w:t>
      </w:r>
      <w:r w:rsidR="00D16F22" w:rsidRPr="00D16F22">
        <w:rPr>
          <w:rFonts w:ascii="Franklin Gothic Book" w:eastAsia="Times New Roman" w:hAnsi="Franklin Gothic Book"/>
          <w:sz w:val="21"/>
          <w:lang w:eastAsia="zh-CN"/>
        </w:rPr>
        <w:t xml:space="preserve"> were opened with GfG support and are now operational, with access to the Government of Vanuatu Financial Management Information System over the GfG-supported Government Broadband Network. This means tha</w:t>
      </w:r>
      <w:r w:rsidR="00094CA6">
        <w:rPr>
          <w:rFonts w:ascii="Franklin Gothic Book" w:eastAsia="Times New Roman" w:hAnsi="Franklin Gothic Book"/>
          <w:sz w:val="21"/>
          <w:lang w:eastAsia="zh-CN"/>
        </w:rPr>
        <w:t>t commitment of purchase orders</w:t>
      </w:r>
      <w:r w:rsidR="00D16F22" w:rsidRPr="00D16F22">
        <w:rPr>
          <w:rFonts w:ascii="Franklin Gothic Book" w:eastAsia="Times New Roman" w:hAnsi="Franklin Gothic Book"/>
          <w:sz w:val="21"/>
          <w:lang w:eastAsia="zh-CN"/>
        </w:rPr>
        <w:t xml:space="preserve"> and some payments to suppliers can be made at provincial centres, and public sector salaries can be processed outside the central hub.  Changes to the CTB and Finance Service Bureau have resulted in more private sector engagement in public tenders during 2013 – as payment is quicker and more transparent.</w:t>
      </w:r>
    </w:p>
    <w:p w:rsidR="00D16F22" w:rsidRPr="00D16F22" w:rsidRDefault="00D16F22" w:rsidP="00D16F22">
      <w:pPr>
        <w:spacing w:after="160" w:line="280" w:lineRule="exact"/>
        <w:rPr>
          <w:rFonts w:ascii="Franklin Gothic Book" w:eastAsia="Times New Roman" w:hAnsi="Franklin Gothic Book"/>
          <w:sz w:val="21"/>
          <w:lang w:eastAsia="zh-CN"/>
        </w:rPr>
      </w:pPr>
      <w:r w:rsidRPr="00D16F22">
        <w:rPr>
          <w:rFonts w:ascii="Franklin Gothic Book" w:eastAsia="Times New Roman" w:hAnsi="Franklin Gothic Book"/>
          <w:sz w:val="21"/>
          <w:lang w:eastAsia="zh-CN"/>
        </w:rPr>
        <w:t xml:space="preserve">Accountability of public expenditure is supported through the Office of the Auditor-General, which has now cleared the backlog of government audits (allowing cross year comparisons of government budgets back from 2011).  From 2011 to 2012, 28 audits were completed, with an additional </w:t>
      </w:r>
      <w:r w:rsidR="00443B08">
        <w:rPr>
          <w:rFonts w:ascii="Franklin Gothic Book" w:eastAsia="Times New Roman" w:hAnsi="Franklin Gothic Book"/>
          <w:sz w:val="21"/>
          <w:lang w:eastAsia="zh-CN"/>
        </w:rPr>
        <w:t>six</w:t>
      </w:r>
      <w:r w:rsidR="00443B08" w:rsidRPr="00D16F22">
        <w:rPr>
          <w:rFonts w:ascii="Franklin Gothic Book" w:eastAsia="Times New Roman" w:hAnsi="Franklin Gothic Book"/>
          <w:sz w:val="21"/>
          <w:lang w:eastAsia="zh-CN"/>
        </w:rPr>
        <w:t xml:space="preserve"> </w:t>
      </w:r>
      <w:r w:rsidR="007F2CC8">
        <w:rPr>
          <w:rFonts w:ascii="Franklin Gothic Book" w:eastAsia="Times New Roman" w:hAnsi="Franklin Gothic Book"/>
          <w:sz w:val="21"/>
          <w:lang w:eastAsia="zh-CN"/>
        </w:rPr>
        <w:t xml:space="preserve">government audits plus audits of </w:t>
      </w:r>
      <w:r w:rsidR="00443B08">
        <w:rPr>
          <w:rFonts w:ascii="Franklin Gothic Book" w:eastAsia="Times New Roman" w:hAnsi="Franklin Gothic Book"/>
          <w:sz w:val="21"/>
          <w:lang w:eastAsia="zh-CN"/>
        </w:rPr>
        <w:t xml:space="preserve">three </w:t>
      </w:r>
      <w:r w:rsidR="007F2CC8">
        <w:rPr>
          <w:rFonts w:ascii="Franklin Gothic Book" w:eastAsia="Times New Roman" w:hAnsi="Franklin Gothic Book"/>
          <w:sz w:val="21"/>
          <w:lang w:eastAsia="zh-CN"/>
        </w:rPr>
        <w:t xml:space="preserve">DFAT grants completed </w:t>
      </w:r>
      <w:r w:rsidRPr="00D16F22">
        <w:rPr>
          <w:rFonts w:ascii="Franklin Gothic Book" w:eastAsia="Times New Roman" w:hAnsi="Franklin Gothic Book"/>
          <w:sz w:val="21"/>
          <w:lang w:eastAsia="zh-CN"/>
        </w:rPr>
        <w:t>in 2013</w:t>
      </w:r>
      <w:r w:rsidR="00B87E81">
        <w:rPr>
          <w:rFonts w:ascii="Franklin Gothic Book" w:eastAsia="Times New Roman" w:hAnsi="Franklin Gothic Book"/>
          <w:sz w:val="21"/>
          <w:lang w:eastAsia="zh-CN"/>
        </w:rPr>
        <w:t xml:space="preserve">. </w:t>
      </w:r>
      <w:r w:rsidR="007F2CC8">
        <w:rPr>
          <w:rFonts w:ascii="Franklin Gothic Book" w:eastAsia="Times New Roman" w:hAnsi="Franklin Gothic Book"/>
          <w:sz w:val="21"/>
          <w:lang w:eastAsia="zh-CN"/>
        </w:rPr>
        <w:t xml:space="preserve"> </w:t>
      </w:r>
      <w:r w:rsidR="00B87E81">
        <w:rPr>
          <w:rFonts w:ascii="Franklin Gothic Book" w:eastAsia="Times New Roman" w:hAnsi="Franklin Gothic Book"/>
          <w:sz w:val="21"/>
          <w:lang w:eastAsia="zh-CN"/>
        </w:rPr>
        <w:t xml:space="preserve">This </w:t>
      </w:r>
      <w:r w:rsidRPr="00D16F22">
        <w:rPr>
          <w:rFonts w:ascii="Franklin Gothic Book" w:eastAsia="Times New Roman" w:hAnsi="Franklin Gothic Book"/>
          <w:sz w:val="21"/>
          <w:lang w:eastAsia="zh-CN"/>
        </w:rPr>
        <w:t>compare</w:t>
      </w:r>
      <w:r w:rsidR="00B87E81">
        <w:rPr>
          <w:rFonts w:ascii="Franklin Gothic Book" w:eastAsia="Times New Roman" w:hAnsi="Franklin Gothic Book"/>
          <w:sz w:val="21"/>
          <w:lang w:eastAsia="zh-CN"/>
        </w:rPr>
        <w:t>s</w:t>
      </w:r>
      <w:r w:rsidRPr="00D16F22">
        <w:rPr>
          <w:rFonts w:ascii="Franklin Gothic Book" w:eastAsia="Times New Roman" w:hAnsi="Franklin Gothic Book"/>
          <w:sz w:val="21"/>
          <w:lang w:eastAsia="zh-CN"/>
        </w:rPr>
        <w:t xml:space="preserve"> with </w:t>
      </w:r>
      <w:r w:rsidR="00776E00">
        <w:rPr>
          <w:rFonts w:ascii="Franklin Gothic Book" w:eastAsia="Times New Roman" w:hAnsi="Franklin Gothic Book"/>
          <w:sz w:val="21"/>
          <w:lang w:eastAsia="zh-CN"/>
        </w:rPr>
        <w:t>one</w:t>
      </w:r>
      <w:r w:rsidR="00776E00" w:rsidRPr="00D16F22">
        <w:rPr>
          <w:rFonts w:ascii="Franklin Gothic Book" w:eastAsia="Times New Roman" w:hAnsi="Franklin Gothic Book"/>
          <w:sz w:val="21"/>
          <w:lang w:eastAsia="zh-CN"/>
        </w:rPr>
        <w:t xml:space="preserve"> </w:t>
      </w:r>
      <w:r w:rsidR="007F2CC8">
        <w:rPr>
          <w:rFonts w:ascii="Franklin Gothic Book" w:eastAsia="Times New Roman" w:hAnsi="Franklin Gothic Book"/>
          <w:sz w:val="21"/>
          <w:lang w:eastAsia="zh-CN"/>
        </w:rPr>
        <w:t xml:space="preserve">completed audit </w:t>
      </w:r>
      <w:r w:rsidRPr="00D16F22">
        <w:rPr>
          <w:rFonts w:ascii="Franklin Gothic Book" w:eastAsia="Times New Roman" w:hAnsi="Franklin Gothic Book"/>
          <w:sz w:val="21"/>
          <w:lang w:eastAsia="zh-CN"/>
        </w:rPr>
        <w:t>between 2007 and 2010.</w:t>
      </w:r>
    </w:p>
    <w:p w:rsidR="00D16F22" w:rsidRPr="00D16F22" w:rsidRDefault="00D16F22" w:rsidP="00D16F22">
      <w:pPr>
        <w:spacing w:after="160" w:line="280" w:lineRule="exact"/>
        <w:rPr>
          <w:rFonts w:ascii="Franklin Gothic Book" w:eastAsia="Times New Roman" w:hAnsi="Franklin Gothic Book"/>
          <w:sz w:val="21"/>
          <w:lang w:eastAsia="zh-CN"/>
        </w:rPr>
      </w:pPr>
      <w:r w:rsidRPr="00D16F22">
        <w:rPr>
          <w:rFonts w:ascii="Franklin Gothic Book" w:eastAsia="Times New Roman" w:hAnsi="Franklin Gothic Book"/>
          <w:sz w:val="21"/>
          <w:lang w:eastAsia="zh-CN"/>
        </w:rPr>
        <w:t xml:space="preserve">GfG </w:t>
      </w:r>
      <w:r w:rsidR="00443B08">
        <w:rPr>
          <w:rFonts w:ascii="Franklin Gothic Book" w:eastAsia="Times New Roman" w:hAnsi="Franklin Gothic Book"/>
          <w:sz w:val="21"/>
          <w:lang w:eastAsia="zh-CN"/>
        </w:rPr>
        <w:t>contributes</w:t>
      </w:r>
      <w:r w:rsidRPr="00D16F22">
        <w:rPr>
          <w:rFonts w:ascii="Franklin Gothic Book" w:eastAsia="Times New Roman" w:hAnsi="Franklin Gothic Book"/>
          <w:sz w:val="21"/>
          <w:lang w:eastAsia="zh-CN"/>
        </w:rPr>
        <w:t xml:space="preserve"> to strengthening the business environment in Vanuatu – supporting telecommunications competition, utilities regulation and access to financial services</w:t>
      </w:r>
      <w:r w:rsidR="00B87E81">
        <w:rPr>
          <w:rFonts w:ascii="Franklin Gothic Book" w:eastAsia="Times New Roman" w:hAnsi="Franklin Gothic Book"/>
          <w:sz w:val="21"/>
          <w:lang w:eastAsia="zh-CN"/>
        </w:rPr>
        <w:t xml:space="preserve"> (see Box 2)</w:t>
      </w:r>
      <w:r w:rsidRPr="00D16F22">
        <w:rPr>
          <w:rFonts w:ascii="Franklin Gothic Book" w:eastAsia="Times New Roman" w:hAnsi="Franklin Gothic Book"/>
          <w:sz w:val="21"/>
          <w:lang w:eastAsia="zh-CN"/>
        </w:rPr>
        <w:t xml:space="preserve">.  </w:t>
      </w:r>
      <w:r w:rsidR="00D25717">
        <w:rPr>
          <w:rFonts w:ascii="Franklin Gothic Book" w:eastAsia="Times New Roman" w:hAnsi="Franklin Gothic Book"/>
          <w:sz w:val="21"/>
          <w:lang w:eastAsia="zh-CN"/>
        </w:rPr>
        <w:t>S</w:t>
      </w:r>
      <w:r w:rsidRPr="00D16F22">
        <w:rPr>
          <w:rFonts w:ascii="Franklin Gothic Book" w:eastAsia="Times New Roman" w:hAnsi="Franklin Gothic Book"/>
          <w:sz w:val="21"/>
          <w:lang w:eastAsia="zh-CN"/>
        </w:rPr>
        <w:t xml:space="preserve">upport </w:t>
      </w:r>
      <w:r w:rsidR="00443B08">
        <w:rPr>
          <w:rFonts w:ascii="Franklin Gothic Book" w:eastAsia="Times New Roman" w:hAnsi="Franklin Gothic Book"/>
          <w:sz w:val="21"/>
          <w:lang w:eastAsia="zh-CN"/>
        </w:rPr>
        <w:t>for</w:t>
      </w:r>
      <w:r w:rsidR="00443B08" w:rsidRPr="00D16F22">
        <w:rPr>
          <w:rFonts w:ascii="Franklin Gothic Book" w:eastAsia="Times New Roman" w:hAnsi="Franklin Gothic Book"/>
          <w:sz w:val="21"/>
          <w:lang w:eastAsia="zh-CN"/>
        </w:rPr>
        <w:t xml:space="preserve"> </w:t>
      </w:r>
      <w:r w:rsidRPr="00D16F22">
        <w:rPr>
          <w:rFonts w:ascii="Franklin Gothic Book" w:eastAsia="Times New Roman" w:hAnsi="Franklin Gothic Book"/>
          <w:sz w:val="21"/>
          <w:lang w:eastAsia="zh-CN"/>
        </w:rPr>
        <w:t>regulatory reforms in energy and telecommunications has seen continued improvement in the affordability and reliability in these two sectors.  A tariff review conducted by the Utilities Regulatory Authority, supported by GfG, resulted in a 15</w:t>
      </w:r>
      <w:r w:rsidR="0026779A">
        <w:rPr>
          <w:rFonts w:ascii="Franklin Gothic Book" w:eastAsia="Times New Roman" w:hAnsi="Franklin Gothic Book"/>
          <w:sz w:val="21"/>
          <w:lang w:eastAsia="zh-CN"/>
        </w:rPr>
        <w:t xml:space="preserve"> per cent</w:t>
      </w:r>
      <w:r w:rsidRPr="00D16F22">
        <w:rPr>
          <w:rFonts w:ascii="Franklin Gothic Book" w:eastAsia="Times New Roman" w:hAnsi="Franklin Gothic Book"/>
          <w:sz w:val="21"/>
          <w:lang w:eastAsia="zh-CN"/>
        </w:rPr>
        <w:t xml:space="preserve"> reduction in average energy costs in Luganville, the second largest economic centre in Vanuatu.  </w:t>
      </w:r>
      <w:r w:rsidR="00781F9A">
        <w:rPr>
          <w:rFonts w:ascii="Franklin Gothic Book" w:eastAsia="Times New Roman" w:hAnsi="Franklin Gothic Book"/>
          <w:sz w:val="21"/>
          <w:lang w:eastAsia="zh-CN"/>
        </w:rPr>
        <w:t>Australia’s</w:t>
      </w:r>
      <w:r w:rsidRPr="00D16F22">
        <w:rPr>
          <w:rFonts w:ascii="Franklin Gothic Book" w:eastAsia="Times New Roman" w:hAnsi="Franklin Gothic Book"/>
          <w:sz w:val="21"/>
          <w:lang w:eastAsia="zh-CN"/>
        </w:rPr>
        <w:t xml:space="preserve"> support extended to improving policy making in these sectors, for example with feed-in tariffs for off-grid generation and use of pre-paid </w:t>
      </w:r>
      <w:r w:rsidR="00443B08">
        <w:rPr>
          <w:rFonts w:ascii="Franklin Gothic Book" w:eastAsia="Times New Roman" w:hAnsi="Franklin Gothic Book"/>
          <w:sz w:val="21"/>
          <w:lang w:eastAsia="zh-CN"/>
        </w:rPr>
        <w:t>meters</w:t>
      </w:r>
      <w:r w:rsidR="00443B08" w:rsidRPr="00D16F22">
        <w:rPr>
          <w:rFonts w:ascii="Franklin Gothic Book" w:eastAsia="Times New Roman" w:hAnsi="Franklin Gothic Book"/>
          <w:sz w:val="21"/>
          <w:lang w:eastAsia="zh-CN"/>
        </w:rPr>
        <w:t xml:space="preserve"> </w:t>
      </w:r>
      <w:r w:rsidRPr="00D16F22">
        <w:rPr>
          <w:rFonts w:ascii="Franklin Gothic Book" w:eastAsia="Times New Roman" w:hAnsi="Franklin Gothic Book"/>
          <w:sz w:val="21"/>
          <w:lang w:eastAsia="zh-CN"/>
        </w:rPr>
        <w:t>for poor households in peri-urban areas.</w:t>
      </w:r>
      <w:r w:rsidR="00B87E81">
        <w:rPr>
          <w:rFonts w:ascii="Franklin Gothic Book" w:eastAsia="Times New Roman" w:hAnsi="Franklin Gothic Book"/>
          <w:sz w:val="21"/>
          <w:lang w:eastAsia="zh-CN"/>
        </w:rPr>
        <w:t xml:space="preserve"> </w:t>
      </w:r>
    </w:p>
    <w:p w:rsidR="00D16F22" w:rsidRPr="00D16F22" w:rsidRDefault="00D16F22" w:rsidP="00D16F22">
      <w:pPr>
        <w:spacing w:after="160" w:line="280" w:lineRule="exact"/>
        <w:rPr>
          <w:rFonts w:ascii="Franklin Gothic Book" w:eastAsia="Times New Roman" w:hAnsi="Franklin Gothic Book"/>
          <w:sz w:val="21"/>
          <w:lang w:eastAsia="zh-CN"/>
        </w:rPr>
      </w:pPr>
      <w:r w:rsidRPr="00D16F22">
        <w:rPr>
          <w:rFonts w:ascii="Franklin Gothic Book" w:eastAsia="Times New Roman" w:hAnsi="Franklin Gothic Book"/>
          <w:sz w:val="21"/>
          <w:lang w:eastAsia="zh-CN"/>
        </w:rPr>
        <w:t xml:space="preserve">Land is a complex factor in the Vanuatu economy.  Australia supported dialogue and engagement between the Minister and Department of </w:t>
      </w:r>
      <w:r w:rsidR="00781F9A">
        <w:rPr>
          <w:rFonts w:ascii="Franklin Gothic Book" w:eastAsia="Times New Roman" w:hAnsi="Franklin Gothic Book"/>
          <w:sz w:val="21"/>
          <w:lang w:eastAsia="zh-CN"/>
        </w:rPr>
        <w:t>L</w:t>
      </w:r>
      <w:r w:rsidRPr="00D16F22">
        <w:rPr>
          <w:rFonts w:ascii="Franklin Gothic Book" w:eastAsia="Times New Roman" w:hAnsi="Franklin Gothic Book"/>
          <w:sz w:val="21"/>
          <w:lang w:eastAsia="zh-CN"/>
        </w:rPr>
        <w:t xml:space="preserve">and officers across Vanuatu, which </w:t>
      </w:r>
      <w:r w:rsidR="00443B08">
        <w:rPr>
          <w:rFonts w:ascii="Franklin Gothic Book" w:eastAsia="Times New Roman" w:hAnsi="Franklin Gothic Book"/>
          <w:sz w:val="21"/>
          <w:lang w:eastAsia="zh-CN"/>
        </w:rPr>
        <w:t>helped</w:t>
      </w:r>
      <w:r w:rsidR="00443B08" w:rsidRPr="00D16F22">
        <w:rPr>
          <w:rFonts w:ascii="Franklin Gothic Book" w:eastAsia="Times New Roman" w:hAnsi="Franklin Gothic Book"/>
          <w:sz w:val="21"/>
          <w:lang w:eastAsia="zh-CN"/>
        </w:rPr>
        <w:t xml:space="preserve"> </w:t>
      </w:r>
      <w:r w:rsidRPr="00D16F22">
        <w:rPr>
          <w:rFonts w:ascii="Franklin Gothic Book" w:eastAsia="Times New Roman" w:hAnsi="Franklin Gothic Book"/>
          <w:sz w:val="21"/>
          <w:lang w:eastAsia="zh-CN"/>
        </w:rPr>
        <w:t xml:space="preserve">the Minister to negotiate changes to the constitution (November 2013), </w:t>
      </w:r>
      <w:r w:rsidR="00443B08">
        <w:rPr>
          <w:rFonts w:ascii="Franklin Gothic Book" w:eastAsia="Times New Roman" w:hAnsi="Franklin Gothic Book"/>
          <w:sz w:val="21"/>
          <w:lang w:eastAsia="zh-CN"/>
        </w:rPr>
        <w:t xml:space="preserve">introduce </w:t>
      </w:r>
      <w:r w:rsidRPr="00D16F22">
        <w:rPr>
          <w:rFonts w:ascii="Franklin Gothic Book" w:eastAsia="Times New Roman" w:hAnsi="Franklin Gothic Book"/>
          <w:sz w:val="21"/>
          <w:lang w:eastAsia="zh-CN"/>
        </w:rPr>
        <w:t xml:space="preserve">new laws (December 2013) and appoint </w:t>
      </w:r>
      <w:r w:rsidR="00781F9A">
        <w:rPr>
          <w:rFonts w:ascii="Franklin Gothic Book" w:eastAsia="Times New Roman" w:hAnsi="Franklin Gothic Book"/>
          <w:sz w:val="21"/>
          <w:lang w:eastAsia="zh-CN"/>
        </w:rPr>
        <w:t>six</w:t>
      </w:r>
      <w:r w:rsidRPr="00D16F22">
        <w:rPr>
          <w:rFonts w:ascii="Franklin Gothic Book" w:eastAsia="Times New Roman" w:hAnsi="Franklin Gothic Book"/>
          <w:sz w:val="21"/>
          <w:lang w:eastAsia="zh-CN"/>
        </w:rPr>
        <w:t xml:space="preserve"> Provincial Customary Land Officers to facilitate negotiations to resolve land disputes.  These reforms are complemented by Australian support to land administration, with more than 10,500 leases registered, a digital cadastral database 90</w:t>
      </w:r>
      <w:r w:rsidR="0026779A">
        <w:rPr>
          <w:rFonts w:ascii="Franklin Gothic Book" w:eastAsia="Times New Roman" w:hAnsi="Franklin Gothic Book"/>
          <w:sz w:val="21"/>
          <w:lang w:eastAsia="zh-CN"/>
        </w:rPr>
        <w:t xml:space="preserve"> per cent</w:t>
      </w:r>
      <w:r w:rsidRPr="00D16F22">
        <w:rPr>
          <w:rFonts w:ascii="Franklin Gothic Book" w:eastAsia="Times New Roman" w:hAnsi="Franklin Gothic Book"/>
          <w:sz w:val="21"/>
          <w:lang w:eastAsia="zh-CN"/>
        </w:rPr>
        <w:t xml:space="preserve"> complete and 3,859 new strata titles issued.  </w:t>
      </w:r>
    </w:p>
    <w:p w:rsidR="00D16F22" w:rsidRPr="00D16F22" w:rsidRDefault="00D25717" w:rsidP="00D16F22">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rPr>
        <w:t xml:space="preserve">DFAT also </w:t>
      </w:r>
      <w:r w:rsidR="00443B08">
        <w:rPr>
          <w:rFonts w:ascii="Franklin Gothic Book" w:eastAsia="Times New Roman" w:hAnsi="Franklin Gothic Book"/>
          <w:sz w:val="21"/>
        </w:rPr>
        <w:t xml:space="preserve">helped </w:t>
      </w:r>
      <w:r w:rsidR="004A16E4" w:rsidRPr="007D4A68">
        <w:rPr>
          <w:rFonts w:ascii="Franklin Gothic Book" w:eastAsia="Times New Roman" w:hAnsi="Franklin Gothic Book"/>
          <w:i/>
          <w:sz w:val="21"/>
        </w:rPr>
        <w:t>Wan Smolbag</w:t>
      </w:r>
      <w:r w:rsidR="001A71DC">
        <w:rPr>
          <w:rFonts w:ascii="Franklin Gothic Book" w:eastAsia="Times New Roman" w:hAnsi="Franklin Gothic Book"/>
          <w:sz w:val="21"/>
        </w:rPr>
        <w:t xml:space="preserve"> </w:t>
      </w:r>
      <w:r w:rsidR="00D16F22" w:rsidRPr="00D16F22">
        <w:rPr>
          <w:rFonts w:ascii="Franklin Gothic Book" w:eastAsia="Times New Roman" w:hAnsi="Franklin Gothic Book"/>
          <w:sz w:val="21"/>
        </w:rPr>
        <w:t xml:space="preserve">engage with peri-urban youth to enable them to be active in the formal economy.  In 2013 </w:t>
      </w:r>
      <w:r w:rsidR="008073BC" w:rsidRPr="007D4A68">
        <w:rPr>
          <w:rFonts w:ascii="Franklin Gothic Book" w:eastAsia="Times New Roman" w:hAnsi="Franklin Gothic Book"/>
          <w:i/>
          <w:sz w:val="21"/>
        </w:rPr>
        <w:t>Wan Smolbag’s</w:t>
      </w:r>
      <w:r w:rsidR="008073BC" w:rsidRPr="00D16F22">
        <w:rPr>
          <w:rFonts w:ascii="Franklin Gothic Book" w:eastAsia="Times New Roman" w:hAnsi="Franklin Gothic Book"/>
          <w:sz w:val="21"/>
        </w:rPr>
        <w:t xml:space="preserve"> </w:t>
      </w:r>
      <w:r w:rsidR="00D16F22" w:rsidRPr="00D16F22">
        <w:rPr>
          <w:rFonts w:ascii="Franklin Gothic Book" w:eastAsia="Times New Roman" w:hAnsi="Franklin Gothic Book"/>
          <w:sz w:val="21"/>
        </w:rPr>
        <w:t>Youth Centre services reached 1,804 registered youth (45</w:t>
      </w:r>
      <w:r w:rsidR="0026779A">
        <w:rPr>
          <w:rFonts w:ascii="Franklin Gothic Book" w:eastAsia="Times New Roman" w:hAnsi="Franklin Gothic Book"/>
          <w:sz w:val="21"/>
        </w:rPr>
        <w:t xml:space="preserve"> per cent</w:t>
      </w:r>
      <w:r w:rsidR="00D16F22" w:rsidRPr="00D16F22">
        <w:rPr>
          <w:rFonts w:ascii="Franklin Gothic Book" w:eastAsia="Times New Roman" w:hAnsi="Franklin Gothic Book"/>
          <w:sz w:val="21"/>
        </w:rPr>
        <w:t xml:space="preserve"> female, 55</w:t>
      </w:r>
      <w:r w:rsidR="0026779A">
        <w:rPr>
          <w:rFonts w:ascii="Franklin Gothic Book" w:eastAsia="Times New Roman" w:hAnsi="Franklin Gothic Book"/>
          <w:sz w:val="21"/>
        </w:rPr>
        <w:t xml:space="preserve"> per cent</w:t>
      </w:r>
      <w:r w:rsidR="00D16F22" w:rsidRPr="00D16F22">
        <w:rPr>
          <w:rFonts w:ascii="Franklin Gothic Book" w:eastAsia="Times New Roman" w:hAnsi="Franklin Gothic Book"/>
          <w:sz w:val="21"/>
        </w:rPr>
        <w:t xml:space="preserve"> male) and included </w:t>
      </w:r>
      <w:r w:rsidR="00443B08">
        <w:rPr>
          <w:rFonts w:ascii="Franklin Gothic Book" w:eastAsia="Times New Roman" w:hAnsi="Franklin Gothic Book"/>
          <w:sz w:val="21"/>
        </w:rPr>
        <w:t xml:space="preserve">training in </w:t>
      </w:r>
      <w:r w:rsidR="00D16F22" w:rsidRPr="00D16F22">
        <w:rPr>
          <w:rFonts w:ascii="Franklin Gothic Book" w:eastAsia="Times New Roman" w:hAnsi="Franklin Gothic Book"/>
          <w:sz w:val="21"/>
        </w:rPr>
        <w:t>literacy, computing, agriculture, ceramics, mechanics and nutrition</w:t>
      </w:r>
      <w:r w:rsidR="00556FBE">
        <w:rPr>
          <w:rFonts w:ascii="Franklin Gothic Book" w:eastAsia="Times New Roman" w:hAnsi="Franklin Gothic Book"/>
          <w:sz w:val="21"/>
        </w:rPr>
        <w:t>.</w:t>
      </w:r>
      <w:r w:rsidR="00D16F22" w:rsidRPr="00D16F22">
        <w:rPr>
          <w:rFonts w:ascii="Franklin Gothic Book" w:eastAsia="Times New Roman" w:hAnsi="Franklin Gothic Book"/>
          <w:sz w:val="21"/>
        </w:rPr>
        <w:t xml:space="preserve">  Partnerships with Vanuatu </w:t>
      </w:r>
      <w:r w:rsidR="00443B08">
        <w:rPr>
          <w:rFonts w:ascii="Franklin Gothic Book" w:eastAsia="Times New Roman" w:hAnsi="Franklin Gothic Book"/>
          <w:sz w:val="21"/>
        </w:rPr>
        <w:t xml:space="preserve">Government </w:t>
      </w:r>
      <w:r w:rsidR="00D16F22" w:rsidRPr="00D16F22">
        <w:rPr>
          <w:rFonts w:ascii="Franklin Gothic Book" w:eastAsia="Times New Roman" w:hAnsi="Franklin Gothic Book"/>
          <w:sz w:val="21"/>
        </w:rPr>
        <w:t xml:space="preserve">departments, APTC and various schools supported service delivery. </w:t>
      </w:r>
    </w:p>
    <w:p w:rsidR="00D16F22" w:rsidRDefault="0020335A" w:rsidP="00C171A8">
      <w:pPr>
        <w:spacing w:after="160" w:line="280" w:lineRule="exact"/>
        <w:rPr>
          <w:rFonts w:ascii="Franklin Gothic Book" w:eastAsia="Times New Roman" w:hAnsi="Franklin Gothic Book"/>
          <w:sz w:val="21"/>
        </w:rPr>
      </w:pPr>
      <w:r w:rsidRPr="0020335A">
        <w:rPr>
          <w:rFonts w:ascii="Franklin Gothic Book" w:eastAsia="Times New Roman" w:hAnsi="Franklin Gothic Book"/>
          <w:sz w:val="21"/>
        </w:rPr>
        <w:t xml:space="preserve">Through its economic diplomacy, Australia focused on promoting a positive business, investment and jobs environment.  </w:t>
      </w:r>
      <w:r w:rsidR="00D25717">
        <w:rPr>
          <w:rFonts w:ascii="Franklin Gothic Book" w:eastAsia="Times New Roman" w:hAnsi="Franklin Gothic Book"/>
          <w:sz w:val="21"/>
        </w:rPr>
        <w:t>S</w:t>
      </w:r>
      <w:r w:rsidRPr="0020335A">
        <w:rPr>
          <w:rFonts w:ascii="Franklin Gothic Book" w:eastAsia="Times New Roman" w:hAnsi="Franklin Gothic Book"/>
          <w:sz w:val="21"/>
        </w:rPr>
        <w:t>upporting</w:t>
      </w:r>
      <w:r w:rsidR="00776E00">
        <w:rPr>
          <w:rFonts w:ascii="Franklin Gothic Book" w:eastAsia="Times New Roman" w:hAnsi="Franklin Gothic Book"/>
          <w:sz w:val="21"/>
        </w:rPr>
        <w:t xml:space="preserve"> </w:t>
      </w:r>
      <w:r w:rsidRPr="0020335A">
        <w:rPr>
          <w:rFonts w:ascii="Franklin Gothic Book" w:eastAsia="Times New Roman" w:hAnsi="Franklin Gothic Book"/>
          <w:sz w:val="21"/>
        </w:rPr>
        <w:t>the completion of PACER Plus trade negotiations and Vanuatu’s participation in the Seasonal Worker Program</w:t>
      </w:r>
      <w:r w:rsidR="00776E00">
        <w:rPr>
          <w:rFonts w:ascii="Franklin Gothic Book" w:eastAsia="Times New Roman" w:hAnsi="Franklin Gothic Book"/>
          <w:sz w:val="21"/>
        </w:rPr>
        <w:t xml:space="preserve"> (SWP)</w:t>
      </w:r>
      <w:r w:rsidR="00D25717">
        <w:rPr>
          <w:rFonts w:ascii="Franklin Gothic Book" w:eastAsia="Times New Roman" w:hAnsi="Franklin Gothic Book"/>
          <w:sz w:val="21"/>
        </w:rPr>
        <w:t xml:space="preserve"> will g</w:t>
      </w:r>
      <w:r w:rsidR="00D25717" w:rsidRPr="0020335A">
        <w:rPr>
          <w:rFonts w:ascii="Franklin Gothic Book" w:eastAsia="Times New Roman" w:hAnsi="Franklin Gothic Book"/>
          <w:sz w:val="21"/>
        </w:rPr>
        <w:t>enerat</w:t>
      </w:r>
      <w:r w:rsidR="00D25717">
        <w:rPr>
          <w:rFonts w:ascii="Franklin Gothic Book" w:eastAsia="Times New Roman" w:hAnsi="Franklin Gothic Book"/>
          <w:sz w:val="21"/>
        </w:rPr>
        <w:t>e</w:t>
      </w:r>
      <w:r w:rsidR="00D25717" w:rsidRPr="0020335A">
        <w:rPr>
          <w:rFonts w:ascii="Franklin Gothic Book" w:eastAsia="Times New Roman" w:hAnsi="Franklin Gothic Book"/>
          <w:sz w:val="21"/>
        </w:rPr>
        <w:t xml:space="preserve"> economic opportunities for ni-Vanuatu</w:t>
      </w:r>
      <w:r w:rsidR="00776E00" w:rsidRPr="00D16F22">
        <w:rPr>
          <w:rFonts w:ascii="Franklin Gothic Book" w:eastAsia="Times New Roman" w:hAnsi="Franklin Gothic Book"/>
          <w:sz w:val="21"/>
        </w:rPr>
        <w:t>.  In 20</w:t>
      </w:r>
      <w:r w:rsidR="00776E00">
        <w:rPr>
          <w:rFonts w:ascii="Franklin Gothic Book" w:eastAsia="Times New Roman" w:hAnsi="Franklin Gothic Book"/>
          <w:sz w:val="21"/>
        </w:rPr>
        <w:t>13-14</w:t>
      </w:r>
      <w:r w:rsidR="00776E00" w:rsidRPr="00D16F22">
        <w:rPr>
          <w:rFonts w:ascii="Franklin Gothic Book" w:eastAsia="Times New Roman" w:hAnsi="Franklin Gothic Book"/>
          <w:sz w:val="21"/>
        </w:rPr>
        <w:t xml:space="preserve">, </w:t>
      </w:r>
      <w:r w:rsidR="00776E00">
        <w:rPr>
          <w:rFonts w:ascii="Franklin Gothic Book" w:eastAsia="Times New Roman" w:hAnsi="Franklin Gothic Book"/>
          <w:sz w:val="21"/>
        </w:rPr>
        <w:t xml:space="preserve">205 ni-Vanuatu participated in </w:t>
      </w:r>
      <w:r w:rsidR="00D25717">
        <w:rPr>
          <w:rFonts w:ascii="Franklin Gothic Book" w:eastAsia="Times New Roman" w:hAnsi="Franklin Gothic Book"/>
          <w:sz w:val="21"/>
        </w:rPr>
        <w:t>SWP</w:t>
      </w:r>
      <w:r w:rsidR="00776E00">
        <w:rPr>
          <w:rFonts w:ascii="Franklin Gothic Book" w:eastAsia="Times New Roman" w:hAnsi="Franklin Gothic Book"/>
          <w:sz w:val="21"/>
        </w:rPr>
        <w:t xml:space="preserve">. </w:t>
      </w:r>
      <w:r w:rsidR="00D16F22" w:rsidRPr="00D16F22">
        <w:rPr>
          <w:rFonts w:ascii="Franklin Gothic Book" w:eastAsia="Times New Roman" w:hAnsi="Franklin Gothic Book"/>
          <w:sz w:val="21"/>
        </w:rPr>
        <w:t xml:space="preserve">The Pacific Horticultural and Agricultural Market Access Program </w:t>
      </w:r>
      <w:r w:rsidR="00776E00">
        <w:rPr>
          <w:rFonts w:ascii="Franklin Gothic Book" w:eastAsia="Times New Roman" w:hAnsi="Franklin Gothic Book"/>
          <w:sz w:val="21"/>
        </w:rPr>
        <w:t xml:space="preserve">also </w:t>
      </w:r>
      <w:r w:rsidR="00D16F22" w:rsidRPr="00D16F22">
        <w:rPr>
          <w:rFonts w:ascii="Franklin Gothic Book" w:eastAsia="Times New Roman" w:hAnsi="Franklin Gothic Book"/>
          <w:sz w:val="21"/>
        </w:rPr>
        <w:t xml:space="preserve">worked with </w:t>
      </w:r>
      <w:r w:rsidR="001E2542">
        <w:rPr>
          <w:rFonts w:ascii="Franklin Gothic Book" w:eastAsia="Times New Roman" w:hAnsi="Franklin Gothic Book"/>
          <w:sz w:val="21"/>
        </w:rPr>
        <w:t>the Vanuatu Government</w:t>
      </w:r>
      <w:r w:rsidR="00D16F22" w:rsidRPr="00D16F22">
        <w:rPr>
          <w:rFonts w:ascii="Franklin Gothic Book" w:eastAsia="Times New Roman" w:hAnsi="Franklin Gothic Book"/>
          <w:sz w:val="21"/>
        </w:rPr>
        <w:t xml:space="preserve"> to maintain the country’s export accreditation for its beef industry, which represents more than half of Vanuatu agricultural exports.</w:t>
      </w:r>
    </w:p>
    <w:p w:rsidR="001153FA" w:rsidRPr="001153FA" w:rsidRDefault="001153FA" w:rsidP="004424B1">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1153FA">
        <w:rPr>
          <w:rFonts w:ascii="Helvetica" w:eastAsia="Times New Roman" w:hAnsi="Helvetica" w:cs="Arial"/>
          <w:b/>
          <w:color w:val="124486"/>
          <w:kern w:val="28"/>
          <w:sz w:val="22"/>
          <w:szCs w:val="22"/>
          <w:lang w:eastAsia="zh-CN"/>
        </w:rPr>
        <w:t xml:space="preserve">Objective </w:t>
      </w:r>
      <w:r w:rsidR="004D1D81">
        <w:rPr>
          <w:rFonts w:ascii="Helvetica" w:eastAsia="Times New Roman" w:hAnsi="Helvetica" w:cs="Arial"/>
          <w:b/>
          <w:color w:val="124486"/>
          <w:kern w:val="28"/>
          <w:sz w:val="22"/>
          <w:szCs w:val="22"/>
          <w:lang w:eastAsia="zh-CN"/>
        </w:rPr>
        <w:t>4</w:t>
      </w:r>
      <w:r w:rsidR="004A16E4">
        <w:rPr>
          <w:rFonts w:ascii="Helvetica" w:eastAsia="Times New Roman" w:hAnsi="Helvetica" w:cs="Arial"/>
          <w:b/>
          <w:color w:val="124486"/>
          <w:kern w:val="28"/>
          <w:sz w:val="22"/>
          <w:szCs w:val="22"/>
          <w:lang w:eastAsia="zh-CN"/>
        </w:rPr>
        <w:t>:</w:t>
      </w:r>
      <w:r w:rsidRPr="001153FA">
        <w:rPr>
          <w:rFonts w:ascii="Helvetica" w:eastAsia="Times New Roman" w:hAnsi="Helvetica" w:cs="Arial"/>
          <w:b/>
          <w:color w:val="124486"/>
          <w:kern w:val="28"/>
          <w:sz w:val="22"/>
          <w:szCs w:val="22"/>
          <w:lang w:eastAsia="zh-CN"/>
        </w:rPr>
        <w:t xml:space="preserve"> Develop essential infrastructure to support economic growth and service delivery</w:t>
      </w:r>
    </w:p>
    <w:p w:rsidR="001153FA" w:rsidRPr="001153FA" w:rsidRDefault="001153FA" w:rsidP="004424B1">
      <w:pPr>
        <w:keepNext/>
        <w:spacing w:after="160" w:line="280" w:lineRule="exact"/>
        <w:rPr>
          <w:rFonts w:ascii="Franklin Gothic Book" w:eastAsia="Times New Roman" w:hAnsi="Franklin Gothic Book"/>
          <w:sz w:val="21"/>
          <w:lang w:eastAsia="zh-CN"/>
        </w:rPr>
      </w:pPr>
      <w:r w:rsidRPr="001153FA">
        <w:rPr>
          <w:rFonts w:ascii="Franklin Gothic Book" w:eastAsia="Times New Roman" w:hAnsi="Franklin Gothic Book"/>
          <w:sz w:val="21"/>
          <w:lang w:eastAsia="zh-CN"/>
        </w:rPr>
        <w:t xml:space="preserve">The objective was rated </w:t>
      </w:r>
      <w:r w:rsidR="00556FBE">
        <w:rPr>
          <w:rFonts w:ascii="Franklin Gothic Book" w:eastAsia="Times New Roman" w:hAnsi="Franklin Gothic Book"/>
          <w:sz w:val="21"/>
          <w:lang w:eastAsia="zh-CN"/>
        </w:rPr>
        <w:t>amber</w:t>
      </w:r>
      <w:r w:rsidRPr="001153FA">
        <w:rPr>
          <w:rFonts w:ascii="Franklin Gothic Book" w:eastAsia="Times New Roman" w:hAnsi="Franklin Gothic Book"/>
          <w:sz w:val="21"/>
          <w:lang w:eastAsia="zh-CN"/>
        </w:rPr>
        <w:t xml:space="preserve"> because </w:t>
      </w:r>
      <w:r w:rsidR="00EC45DB">
        <w:rPr>
          <w:rFonts w:ascii="Franklin Gothic Book" w:eastAsia="Times New Roman" w:hAnsi="Franklin Gothic Book"/>
          <w:sz w:val="21"/>
          <w:lang w:eastAsia="zh-CN"/>
        </w:rPr>
        <w:t>progress</w:t>
      </w:r>
      <w:r w:rsidR="00F13146">
        <w:rPr>
          <w:rFonts w:ascii="Franklin Gothic Book" w:eastAsia="Times New Roman" w:hAnsi="Franklin Gothic Book"/>
          <w:sz w:val="21"/>
          <w:lang w:eastAsia="zh-CN"/>
        </w:rPr>
        <w:t xml:space="preserve"> in some areas</w:t>
      </w:r>
      <w:r w:rsidR="00EC45DB" w:rsidRPr="001153FA">
        <w:rPr>
          <w:rFonts w:ascii="Franklin Gothic Book" w:eastAsia="Times New Roman" w:hAnsi="Franklin Gothic Book"/>
          <w:sz w:val="21"/>
          <w:lang w:eastAsia="zh-CN"/>
        </w:rPr>
        <w:t xml:space="preserve"> </w:t>
      </w:r>
      <w:r w:rsidR="00F13146">
        <w:rPr>
          <w:rFonts w:ascii="Franklin Gothic Book" w:eastAsia="Times New Roman" w:hAnsi="Franklin Gothic Book"/>
          <w:sz w:val="21"/>
          <w:lang w:eastAsia="zh-CN"/>
        </w:rPr>
        <w:t>was slower than</w:t>
      </w:r>
      <w:r w:rsidRPr="001153FA">
        <w:rPr>
          <w:rFonts w:ascii="Franklin Gothic Book" w:eastAsia="Times New Roman" w:hAnsi="Franklin Gothic Book"/>
          <w:sz w:val="21"/>
          <w:lang w:eastAsia="zh-CN"/>
        </w:rPr>
        <w:t xml:space="preserve"> expect</w:t>
      </w:r>
      <w:r w:rsidR="00F13146">
        <w:rPr>
          <w:rFonts w:ascii="Franklin Gothic Book" w:eastAsia="Times New Roman" w:hAnsi="Franklin Gothic Book"/>
          <w:sz w:val="21"/>
          <w:lang w:eastAsia="zh-CN"/>
        </w:rPr>
        <w:t>ed</w:t>
      </w:r>
      <w:r w:rsidRPr="001153FA">
        <w:rPr>
          <w:rFonts w:ascii="Franklin Gothic Book" w:eastAsia="Times New Roman" w:hAnsi="Franklin Gothic Book"/>
          <w:sz w:val="21"/>
          <w:lang w:eastAsia="zh-CN"/>
        </w:rPr>
        <w:t xml:space="preserve"> for the reporting period.</w:t>
      </w:r>
    </w:p>
    <w:tbl>
      <w:tblPr>
        <w:tblStyle w:val="TableGrid4"/>
        <w:tblW w:w="0" w:type="auto"/>
        <w:shd w:val="clear" w:color="auto" w:fill="C7D5E6"/>
        <w:tblLook w:val="04A0" w:firstRow="1" w:lastRow="0" w:firstColumn="1" w:lastColumn="0" w:noHBand="0" w:noVBand="1"/>
      </w:tblPr>
      <w:tblGrid>
        <w:gridCol w:w="2943"/>
        <w:gridCol w:w="5551"/>
      </w:tblGrid>
      <w:tr w:rsidR="001153FA" w:rsidRPr="001153FA" w:rsidTr="001153FA">
        <w:trPr>
          <w:trHeight w:val="922"/>
        </w:trPr>
        <w:tc>
          <w:tcPr>
            <w:tcW w:w="2943" w:type="dxa"/>
            <w:shd w:val="clear" w:color="auto" w:fill="C7D5E6"/>
          </w:tcPr>
          <w:p w:rsidR="001153FA" w:rsidRPr="001153FA" w:rsidRDefault="001153FA" w:rsidP="001153FA">
            <w:pPr>
              <w:spacing w:after="160" w:line="280" w:lineRule="exact"/>
              <w:rPr>
                <w:rFonts w:asciiTheme="minorHAnsi" w:eastAsia="Times New Roman" w:hAnsiTheme="minorHAnsi"/>
                <w:sz w:val="22"/>
                <w:szCs w:val="22"/>
              </w:rPr>
            </w:pPr>
            <w:r w:rsidRPr="001153FA">
              <w:rPr>
                <w:rFonts w:asciiTheme="minorHAnsi" w:eastAsia="Times New Roman" w:hAnsiTheme="minorHAnsi"/>
                <w:sz w:val="22"/>
                <w:szCs w:val="22"/>
              </w:rPr>
              <w:t>Shared development outcome:</w:t>
            </w:r>
          </w:p>
        </w:tc>
        <w:tc>
          <w:tcPr>
            <w:tcW w:w="5551" w:type="dxa"/>
            <w:shd w:val="clear" w:color="auto" w:fill="C7D5E6"/>
          </w:tcPr>
          <w:p w:rsidR="001153FA" w:rsidRPr="001153FA" w:rsidRDefault="001153FA" w:rsidP="001153FA">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Rehabilitation and improved maintenance of high priority rural roads</w:t>
            </w:r>
          </w:p>
          <w:p w:rsidR="004A16E4" w:rsidRPr="001153FA" w:rsidRDefault="001153FA" w:rsidP="001153FA">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Contribute to sustainable urban development in Port Vila through improved road, drainage and sanitation infrastructure and services</w:t>
            </w:r>
          </w:p>
        </w:tc>
      </w:tr>
      <w:tr w:rsidR="001153FA" w:rsidRPr="001153FA" w:rsidTr="001153FA">
        <w:tc>
          <w:tcPr>
            <w:tcW w:w="2943" w:type="dxa"/>
            <w:shd w:val="clear" w:color="auto" w:fill="C7D5E6"/>
          </w:tcPr>
          <w:p w:rsidR="001153FA" w:rsidRPr="001153FA" w:rsidRDefault="001153FA" w:rsidP="001153FA">
            <w:pPr>
              <w:spacing w:after="160" w:line="280" w:lineRule="exact"/>
              <w:rPr>
                <w:rFonts w:asciiTheme="minorHAnsi" w:eastAsia="Times New Roman" w:hAnsiTheme="minorHAnsi"/>
                <w:sz w:val="22"/>
                <w:szCs w:val="22"/>
              </w:rPr>
            </w:pPr>
            <w:r w:rsidRPr="001153FA">
              <w:rPr>
                <w:rFonts w:asciiTheme="minorHAnsi" w:eastAsia="Times New Roman" w:hAnsiTheme="minorHAnsi"/>
                <w:sz w:val="22"/>
                <w:szCs w:val="22"/>
              </w:rPr>
              <w:t>Australia’s objective:</w:t>
            </w:r>
          </w:p>
        </w:tc>
        <w:tc>
          <w:tcPr>
            <w:tcW w:w="5551" w:type="dxa"/>
            <w:shd w:val="clear" w:color="auto" w:fill="C7D5E6"/>
          </w:tcPr>
          <w:p w:rsidR="001153FA" w:rsidRPr="001153FA" w:rsidRDefault="001153FA" w:rsidP="001153FA">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Support the Vanuatu Government build the skills, systems and resources to manage its core national road network</w:t>
            </w:r>
          </w:p>
          <w:p w:rsidR="001153FA" w:rsidRPr="001153FA" w:rsidRDefault="001153FA" w:rsidP="001153FA">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Support the Provincial Works Department maintain key rad infrastructure on Ambae, Malekula, Tanna and Pentecost</w:t>
            </w:r>
          </w:p>
          <w:p w:rsidR="001153FA" w:rsidRDefault="001153FA" w:rsidP="001153FA">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Improved road network and drainage system in greater Port Vila; improved treatment of septic waste; provision of multipurpose sanitation areas in target areas</w:t>
            </w:r>
          </w:p>
          <w:p w:rsidR="004A16E4" w:rsidRPr="001153FA" w:rsidRDefault="004A16E4" w:rsidP="001153FA">
            <w:pPr>
              <w:spacing w:line="280" w:lineRule="exact"/>
              <w:rPr>
                <w:rFonts w:asciiTheme="minorHAnsi" w:eastAsia="Times New Roman" w:hAnsiTheme="minorHAnsi"/>
                <w:i/>
                <w:sz w:val="22"/>
                <w:szCs w:val="22"/>
              </w:rPr>
            </w:pPr>
          </w:p>
        </w:tc>
      </w:tr>
    </w:tbl>
    <w:p w:rsidR="001153FA" w:rsidRPr="001153FA" w:rsidRDefault="00EE1DA8" w:rsidP="00703793">
      <w:pPr>
        <w:spacing w:before="120" w:after="120" w:line="280" w:lineRule="exact"/>
        <w:rPr>
          <w:rFonts w:ascii="Franklin Gothic Book" w:eastAsia="Times New Roman" w:hAnsi="Franklin Gothic Book"/>
          <w:sz w:val="21"/>
        </w:rPr>
      </w:pPr>
      <w:r>
        <w:rPr>
          <w:rFonts w:ascii="Franklin Gothic Book" w:eastAsia="Times New Roman" w:hAnsi="Franklin Gothic Book"/>
          <w:sz w:val="21"/>
        </w:rPr>
        <w:t>I</w:t>
      </w:r>
      <w:r w:rsidR="001153FA" w:rsidRPr="001153FA">
        <w:rPr>
          <w:rFonts w:ascii="Franklin Gothic Book" w:eastAsia="Times New Roman" w:hAnsi="Franklin Gothic Book"/>
          <w:sz w:val="21"/>
        </w:rPr>
        <w:t>n December 201</w:t>
      </w:r>
      <w:r w:rsidR="007E2350">
        <w:rPr>
          <w:rFonts w:ascii="Franklin Gothic Book" w:eastAsia="Times New Roman" w:hAnsi="Franklin Gothic Book"/>
          <w:sz w:val="21"/>
        </w:rPr>
        <w:t>3 Australia’s Foreign Minister</w:t>
      </w:r>
      <w:r w:rsidR="001153FA" w:rsidRPr="001153FA">
        <w:rPr>
          <w:rFonts w:ascii="Franklin Gothic Book" w:eastAsia="Times New Roman" w:hAnsi="Franklin Gothic Book"/>
          <w:sz w:val="21"/>
        </w:rPr>
        <w:t xml:space="preserve"> launched the second phase of the Roads for Development Program in Port Vila, </w:t>
      </w:r>
      <w:r w:rsidR="00675F14" w:rsidRPr="00675F14">
        <w:rPr>
          <w:rFonts w:ascii="Franklin Gothic Book" w:eastAsia="Times New Roman" w:hAnsi="Franklin Gothic Book"/>
          <w:sz w:val="21"/>
        </w:rPr>
        <w:t>which over the life of the program aims to help the Government rehabil</w:t>
      </w:r>
      <w:r w:rsidR="00675F14">
        <w:rPr>
          <w:rFonts w:ascii="Franklin Gothic Book" w:eastAsia="Times New Roman" w:hAnsi="Franklin Gothic Book"/>
          <w:sz w:val="21"/>
        </w:rPr>
        <w:t>it</w:t>
      </w:r>
      <w:r w:rsidR="00675F14" w:rsidRPr="00675F14">
        <w:rPr>
          <w:rFonts w:ascii="Franklin Gothic Book" w:eastAsia="Times New Roman" w:hAnsi="Franklin Gothic Book"/>
          <w:sz w:val="21"/>
        </w:rPr>
        <w:t>ate and maintain priority roads in good condition, and fix black spots on other main roads to keep them open year round.</w:t>
      </w:r>
      <w:r w:rsidR="007E2350">
        <w:rPr>
          <w:rFonts w:ascii="Franklin Gothic Book" w:eastAsia="Times New Roman" w:hAnsi="Franklin Gothic Book"/>
          <w:sz w:val="21"/>
        </w:rPr>
        <w:t xml:space="preserve"> In total</w:t>
      </w:r>
      <w:r w:rsidR="00675F14" w:rsidRPr="00675F14">
        <w:rPr>
          <w:rFonts w:ascii="Franklin Gothic Book" w:eastAsia="Times New Roman" w:hAnsi="Franklin Gothic Book"/>
          <w:sz w:val="21"/>
        </w:rPr>
        <w:t xml:space="preserve">, </w:t>
      </w:r>
      <w:r w:rsidR="00DC58EB">
        <w:rPr>
          <w:rFonts w:ascii="Franklin Gothic Book" w:eastAsia="Times New Roman" w:hAnsi="Franklin Gothic Book"/>
          <w:sz w:val="21"/>
        </w:rPr>
        <w:t xml:space="preserve">Australia’s investment will cover </w:t>
      </w:r>
      <w:r w:rsidR="00675F14" w:rsidRPr="00675F14">
        <w:rPr>
          <w:rFonts w:ascii="Franklin Gothic Book" w:eastAsia="Times New Roman" w:hAnsi="Franklin Gothic Book"/>
          <w:sz w:val="21"/>
        </w:rPr>
        <w:t>350km (16 per cent) of the rural road network.</w:t>
      </w:r>
    </w:p>
    <w:p w:rsidR="00D84762"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 xml:space="preserve">The second phase mobilised in July 2013 with the first tranche payment delivered to Government in January 2014.  </w:t>
      </w:r>
      <w:r w:rsidR="00CD052A">
        <w:rPr>
          <w:rFonts w:ascii="Franklin Gothic Book" w:eastAsia="Times New Roman" w:hAnsi="Franklin Gothic Book"/>
          <w:sz w:val="21"/>
        </w:rPr>
        <w:t xml:space="preserve">The delays mobilising the program and delivering the first tranche </w:t>
      </w:r>
      <w:r w:rsidR="00EB04E2">
        <w:rPr>
          <w:rFonts w:ascii="Franklin Gothic Book" w:eastAsia="Times New Roman" w:hAnsi="Franklin Gothic Book"/>
          <w:sz w:val="21"/>
        </w:rPr>
        <w:t>slowed</w:t>
      </w:r>
      <w:r w:rsidR="00CD052A">
        <w:rPr>
          <w:rFonts w:ascii="Franklin Gothic Book" w:eastAsia="Times New Roman" w:hAnsi="Franklin Gothic Book"/>
          <w:sz w:val="21"/>
        </w:rPr>
        <w:t xml:space="preserve"> program progress. Despite this, the program was able to </w:t>
      </w:r>
      <w:r w:rsidR="00D422CB">
        <w:rPr>
          <w:rFonts w:ascii="Franklin Gothic Book" w:eastAsia="Times New Roman" w:hAnsi="Franklin Gothic Book"/>
          <w:sz w:val="21"/>
        </w:rPr>
        <w:t>help</w:t>
      </w:r>
      <w:r w:rsidR="00CD052A">
        <w:rPr>
          <w:rFonts w:ascii="Franklin Gothic Book" w:eastAsia="Times New Roman" w:hAnsi="Franklin Gothic Book"/>
          <w:sz w:val="21"/>
        </w:rPr>
        <w:t xml:space="preserve"> the </w:t>
      </w:r>
      <w:r w:rsidRPr="001153FA">
        <w:rPr>
          <w:rFonts w:ascii="Franklin Gothic Book" w:eastAsia="Times New Roman" w:hAnsi="Franklin Gothic Book"/>
          <w:sz w:val="21"/>
        </w:rPr>
        <w:t>P</w:t>
      </w:r>
      <w:r w:rsidR="00F13146">
        <w:rPr>
          <w:rFonts w:ascii="Franklin Gothic Book" w:eastAsia="Times New Roman" w:hAnsi="Franklin Gothic Book"/>
          <w:sz w:val="21"/>
        </w:rPr>
        <w:t>ublic</w:t>
      </w:r>
      <w:r w:rsidRPr="001153FA">
        <w:rPr>
          <w:rFonts w:ascii="Franklin Gothic Book" w:eastAsia="Times New Roman" w:hAnsi="Franklin Gothic Book"/>
          <w:sz w:val="21"/>
        </w:rPr>
        <w:t xml:space="preserve"> Works Department</w:t>
      </w:r>
      <w:r w:rsidR="00E273B4">
        <w:rPr>
          <w:rFonts w:ascii="Franklin Gothic Book" w:eastAsia="Times New Roman" w:hAnsi="Franklin Gothic Book"/>
          <w:sz w:val="21"/>
        </w:rPr>
        <w:t xml:space="preserve"> (PWD)</w:t>
      </w:r>
      <w:r w:rsidRPr="001153FA">
        <w:rPr>
          <w:rFonts w:ascii="Franklin Gothic Book" w:eastAsia="Times New Roman" w:hAnsi="Franklin Gothic Book"/>
          <w:sz w:val="21"/>
        </w:rPr>
        <w:t xml:space="preserve"> </w:t>
      </w:r>
      <w:r w:rsidR="00CD052A">
        <w:rPr>
          <w:rFonts w:ascii="Franklin Gothic Book" w:eastAsia="Times New Roman" w:hAnsi="Franklin Gothic Book"/>
          <w:sz w:val="21"/>
        </w:rPr>
        <w:t>deliver</w:t>
      </w:r>
      <w:r w:rsidRPr="001153FA">
        <w:rPr>
          <w:rFonts w:ascii="Franklin Gothic Book" w:eastAsia="Times New Roman" w:hAnsi="Franklin Gothic Book"/>
          <w:sz w:val="21"/>
        </w:rPr>
        <w:t xml:space="preserve"> 128km of routine maintenance across the network.  The </w:t>
      </w:r>
      <w:r w:rsidR="00044866">
        <w:rPr>
          <w:rFonts w:ascii="Franklin Gothic Book" w:eastAsia="Times New Roman" w:hAnsi="Franklin Gothic Book"/>
          <w:sz w:val="21"/>
        </w:rPr>
        <w:t>efficient management</w:t>
      </w:r>
      <w:r w:rsidRPr="001153FA">
        <w:rPr>
          <w:rFonts w:ascii="Franklin Gothic Book" w:eastAsia="Times New Roman" w:hAnsi="Franklin Gothic Book"/>
          <w:sz w:val="21"/>
        </w:rPr>
        <w:t xml:space="preserve"> by PWD and the </w:t>
      </w:r>
      <w:r w:rsidR="00DA503F" w:rsidRPr="001153FA">
        <w:rPr>
          <w:rFonts w:ascii="Franklin Gothic Book" w:eastAsia="Times New Roman" w:hAnsi="Franklin Gothic Book"/>
          <w:sz w:val="21"/>
        </w:rPr>
        <w:t>respons</w:t>
      </w:r>
      <w:r w:rsidR="00DA503F">
        <w:rPr>
          <w:rFonts w:ascii="Franklin Gothic Book" w:eastAsia="Times New Roman" w:hAnsi="Franklin Gothic Book"/>
          <w:sz w:val="21"/>
        </w:rPr>
        <w:t>iveness</w:t>
      </w:r>
      <w:r w:rsidR="00DA503F"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 xml:space="preserve">of the private sector through island-based contractors demonstrate the success of the first phase of the program in building a sustainable contractor base. </w:t>
      </w:r>
      <w:r w:rsidR="00321551">
        <w:rPr>
          <w:rFonts w:ascii="Franklin Gothic Book" w:eastAsia="Times New Roman" w:hAnsi="Franklin Gothic Book"/>
          <w:sz w:val="21"/>
        </w:rPr>
        <w:t xml:space="preserve"> </w:t>
      </w:r>
      <w:r w:rsidR="00CD052A">
        <w:rPr>
          <w:rFonts w:ascii="Franklin Gothic Book" w:eastAsia="Times New Roman" w:hAnsi="Franklin Gothic Book"/>
          <w:sz w:val="21"/>
        </w:rPr>
        <w:t xml:space="preserve">It </w:t>
      </w:r>
      <w:r w:rsidR="00F13146">
        <w:rPr>
          <w:rFonts w:ascii="Franklin Gothic Book" w:eastAsia="Times New Roman" w:hAnsi="Franklin Gothic Book"/>
          <w:sz w:val="21"/>
        </w:rPr>
        <w:t>also demonstrate</w:t>
      </w:r>
      <w:r w:rsidR="00CD052A">
        <w:rPr>
          <w:rFonts w:ascii="Franklin Gothic Book" w:eastAsia="Times New Roman" w:hAnsi="Franklin Gothic Book"/>
          <w:sz w:val="21"/>
        </w:rPr>
        <w:t>s</w:t>
      </w:r>
      <w:r w:rsidR="00321551" w:rsidRPr="001153FA">
        <w:rPr>
          <w:rFonts w:ascii="Franklin Gothic Book" w:eastAsia="Times New Roman" w:hAnsi="Franklin Gothic Book"/>
          <w:sz w:val="21"/>
        </w:rPr>
        <w:t xml:space="preserve"> </w:t>
      </w:r>
      <w:r w:rsidR="00D84762">
        <w:rPr>
          <w:rFonts w:ascii="Franklin Gothic Book" w:eastAsia="Times New Roman" w:hAnsi="Franklin Gothic Book"/>
          <w:sz w:val="21"/>
        </w:rPr>
        <w:t xml:space="preserve">the success of the </w:t>
      </w:r>
      <w:r w:rsidR="00321551" w:rsidRPr="001153FA">
        <w:rPr>
          <w:rFonts w:ascii="Franklin Gothic Book" w:eastAsia="Times New Roman" w:hAnsi="Franklin Gothic Book"/>
          <w:sz w:val="21"/>
        </w:rPr>
        <w:t xml:space="preserve">complementary </w:t>
      </w:r>
      <w:r w:rsidR="00D84762">
        <w:rPr>
          <w:rFonts w:ascii="Franklin Gothic Book" w:eastAsia="Times New Roman" w:hAnsi="Franklin Gothic Book"/>
          <w:sz w:val="21"/>
        </w:rPr>
        <w:t xml:space="preserve">business development </w:t>
      </w:r>
      <w:r w:rsidR="00321551" w:rsidRPr="001153FA">
        <w:rPr>
          <w:rFonts w:ascii="Franklin Gothic Book" w:eastAsia="Times New Roman" w:hAnsi="Franklin Gothic Book"/>
          <w:sz w:val="21"/>
        </w:rPr>
        <w:t>support provided by the Australian-funded TVET program (see Objective 1).</w:t>
      </w:r>
      <w:r w:rsidRPr="001153FA">
        <w:rPr>
          <w:rFonts w:ascii="Franklin Gothic Book" w:eastAsia="Times New Roman" w:hAnsi="Franklin Gothic Book"/>
          <w:sz w:val="21"/>
        </w:rPr>
        <w:t xml:space="preserve"> </w:t>
      </w:r>
      <w:r w:rsidR="004A16E4">
        <w:rPr>
          <w:rFonts w:ascii="Franklin Gothic Book" w:eastAsia="Times New Roman" w:hAnsi="Franklin Gothic Book"/>
          <w:sz w:val="21"/>
        </w:rPr>
        <w:t xml:space="preserve"> </w:t>
      </w:r>
      <w:r w:rsidR="00D84762">
        <w:rPr>
          <w:rFonts w:ascii="Franklin Gothic Book" w:eastAsia="Times New Roman" w:hAnsi="Franklin Gothic Book"/>
          <w:sz w:val="21"/>
        </w:rPr>
        <w:t xml:space="preserve">The maintenance </w:t>
      </w:r>
      <w:r w:rsidRPr="001153FA">
        <w:rPr>
          <w:rFonts w:ascii="Franklin Gothic Book" w:eastAsia="Times New Roman" w:hAnsi="Franklin Gothic Book"/>
          <w:sz w:val="21"/>
        </w:rPr>
        <w:t>involved 2</w:t>
      </w:r>
      <w:r w:rsidR="004A16E4">
        <w:rPr>
          <w:rFonts w:ascii="Franklin Gothic Book" w:eastAsia="Times New Roman" w:hAnsi="Franklin Gothic Book"/>
          <w:sz w:val="21"/>
        </w:rPr>
        <w:t>,</w:t>
      </w:r>
      <w:r w:rsidRPr="001153FA">
        <w:rPr>
          <w:rFonts w:ascii="Franklin Gothic Book" w:eastAsia="Times New Roman" w:hAnsi="Franklin Gothic Book"/>
          <w:sz w:val="21"/>
        </w:rPr>
        <w:t>616 days of work for women and 8</w:t>
      </w:r>
      <w:r w:rsidR="004A16E4">
        <w:rPr>
          <w:rFonts w:ascii="Franklin Gothic Book" w:eastAsia="Times New Roman" w:hAnsi="Franklin Gothic Book"/>
          <w:sz w:val="21"/>
        </w:rPr>
        <w:t>,</w:t>
      </w:r>
      <w:r w:rsidRPr="001153FA">
        <w:rPr>
          <w:rFonts w:ascii="Franklin Gothic Book" w:eastAsia="Times New Roman" w:hAnsi="Franklin Gothic Book"/>
          <w:sz w:val="21"/>
        </w:rPr>
        <w:t>301 days of work for men</w:t>
      </w:r>
      <w:r w:rsidR="00F13146">
        <w:rPr>
          <w:rFonts w:ascii="Franklin Gothic Book" w:eastAsia="Times New Roman" w:hAnsi="Franklin Gothic Book"/>
          <w:sz w:val="21"/>
        </w:rPr>
        <w:t>.</w:t>
      </w:r>
      <w:r w:rsidRPr="001153FA">
        <w:rPr>
          <w:rFonts w:ascii="Franklin Gothic Book" w:eastAsia="Times New Roman" w:hAnsi="Franklin Gothic Book"/>
          <w:sz w:val="21"/>
        </w:rPr>
        <w:t xml:space="preserve">  </w:t>
      </w:r>
      <w:r w:rsidR="00CD052A">
        <w:rPr>
          <w:rFonts w:ascii="Franklin Gothic Book" w:eastAsia="Times New Roman" w:hAnsi="Franklin Gothic Book"/>
          <w:sz w:val="21"/>
        </w:rPr>
        <w:t xml:space="preserve">These hard investments will provide the opportunity for ongoing policy dialogue </w:t>
      </w:r>
      <w:r w:rsidR="00D422CB">
        <w:rPr>
          <w:rFonts w:ascii="Franklin Gothic Book" w:eastAsia="Times New Roman" w:hAnsi="Franklin Gothic Book"/>
          <w:sz w:val="21"/>
        </w:rPr>
        <w:t>on</w:t>
      </w:r>
      <w:r w:rsidR="00CD052A">
        <w:rPr>
          <w:rFonts w:ascii="Franklin Gothic Book" w:eastAsia="Times New Roman" w:hAnsi="Franklin Gothic Book"/>
          <w:sz w:val="21"/>
        </w:rPr>
        <w:t xml:space="preserve"> PWD capacity and Vanuatu Government infrastructure </w:t>
      </w:r>
      <w:r w:rsidR="00675F14">
        <w:rPr>
          <w:rFonts w:ascii="Franklin Gothic Book" w:eastAsia="Times New Roman" w:hAnsi="Franklin Gothic Book"/>
          <w:sz w:val="21"/>
        </w:rPr>
        <w:t>management</w:t>
      </w:r>
      <w:r w:rsidR="00CD052A">
        <w:rPr>
          <w:rFonts w:ascii="Franklin Gothic Book" w:eastAsia="Times New Roman" w:hAnsi="Franklin Gothic Book"/>
          <w:sz w:val="21"/>
        </w:rPr>
        <w:t>.</w:t>
      </w:r>
    </w:p>
    <w:p w:rsidR="001153FA"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 xml:space="preserve">The program </w:t>
      </w:r>
      <w:r w:rsidR="00CD052A">
        <w:rPr>
          <w:rFonts w:ascii="Franklin Gothic Book" w:eastAsia="Times New Roman" w:hAnsi="Franklin Gothic Book"/>
          <w:sz w:val="21"/>
        </w:rPr>
        <w:t>successfully</w:t>
      </w:r>
      <w:r w:rsidR="00CD052A"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supported</w:t>
      </w:r>
      <w:r w:rsidR="00CD052A">
        <w:rPr>
          <w:rFonts w:ascii="Franklin Gothic Book" w:eastAsia="Times New Roman" w:hAnsi="Franklin Gothic Book"/>
          <w:sz w:val="21"/>
        </w:rPr>
        <w:t xml:space="preserve"> some</w:t>
      </w:r>
      <w:r w:rsidRPr="001153FA">
        <w:rPr>
          <w:rFonts w:ascii="Franklin Gothic Book" w:eastAsia="Times New Roman" w:hAnsi="Franklin Gothic Book"/>
          <w:sz w:val="21"/>
        </w:rPr>
        <w:t xml:space="preserve"> PWD capacity improvements</w:t>
      </w:r>
      <w:r w:rsidR="00CD052A">
        <w:rPr>
          <w:rFonts w:ascii="Franklin Gothic Book" w:eastAsia="Times New Roman" w:hAnsi="Franklin Gothic Book"/>
          <w:sz w:val="21"/>
        </w:rPr>
        <w:t xml:space="preserve"> in 2013-14</w:t>
      </w:r>
      <w:r w:rsidRPr="001153FA">
        <w:rPr>
          <w:rFonts w:ascii="Franklin Gothic Book" w:eastAsia="Times New Roman" w:hAnsi="Franklin Gothic Book"/>
          <w:sz w:val="21"/>
        </w:rPr>
        <w:t xml:space="preserve">.  Personnel vacancies </w:t>
      </w:r>
      <w:r w:rsidR="00E273B4">
        <w:rPr>
          <w:rFonts w:ascii="Franklin Gothic Book" w:eastAsia="Times New Roman" w:hAnsi="Franklin Gothic Book"/>
          <w:sz w:val="21"/>
        </w:rPr>
        <w:t xml:space="preserve">in PWD </w:t>
      </w:r>
      <w:r w:rsidRPr="001153FA">
        <w:rPr>
          <w:rFonts w:ascii="Franklin Gothic Book" w:eastAsia="Times New Roman" w:hAnsi="Franklin Gothic Book"/>
          <w:sz w:val="21"/>
        </w:rPr>
        <w:t xml:space="preserve">were reduced from 26 per cent in November 2012 to 13 per cent in May </w:t>
      </w:r>
      <w:r w:rsidR="00781F9A">
        <w:rPr>
          <w:rFonts w:ascii="Franklin Gothic Book" w:eastAsia="Times New Roman" w:hAnsi="Franklin Gothic Book"/>
          <w:sz w:val="21"/>
        </w:rPr>
        <w:t>2014</w:t>
      </w:r>
      <w:r w:rsidR="00044866">
        <w:rPr>
          <w:rFonts w:ascii="Franklin Gothic Book" w:eastAsia="Times New Roman" w:hAnsi="Franklin Gothic Book"/>
          <w:sz w:val="21"/>
        </w:rPr>
        <w:t>,</w:t>
      </w:r>
      <w:r w:rsidRPr="001153FA">
        <w:rPr>
          <w:rFonts w:ascii="Franklin Gothic Book" w:eastAsia="Times New Roman" w:hAnsi="Franklin Gothic Book"/>
          <w:sz w:val="21"/>
        </w:rPr>
        <w:t xml:space="preserve"> a significant impact on a major capacity constraint.  Efficiencies are also expected in procurement</w:t>
      </w:r>
      <w:r w:rsidR="00044866">
        <w:rPr>
          <w:rFonts w:ascii="Franklin Gothic Book" w:eastAsia="Times New Roman" w:hAnsi="Franklin Gothic Book"/>
          <w:sz w:val="21"/>
        </w:rPr>
        <w:t>.</w:t>
      </w:r>
      <w:r w:rsidRPr="001153FA">
        <w:rPr>
          <w:rFonts w:ascii="Franklin Gothic Book" w:eastAsia="Times New Roman" w:hAnsi="Franklin Gothic Book"/>
          <w:sz w:val="21"/>
        </w:rPr>
        <w:t xml:space="preserve"> </w:t>
      </w:r>
      <w:r w:rsidR="00044866">
        <w:rPr>
          <w:rFonts w:ascii="Franklin Gothic Book" w:eastAsia="Times New Roman" w:hAnsi="Franklin Gothic Book"/>
          <w:sz w:val="21"/>
        </w:rPr>
        <w:t>A</w:t>
      </w:r>
      <w:r w:rsidRPr="001153FA">
        <w:rPr>
          <w:rFonts w:ascii="Franklin Gothic Book" w:eastAsia="Times New Roman" w:hAnsi="Franklin Gothic Book"/>
          <w:sz w:val="21"/>
        </w:rPr>
        <w:t xml:space="preserve"> new comprehensive procurement manual with improved standard forms and processes will support improved value for money</w:t>
      </w:r>
      <w:r w:rsidRPr="001153FA">
        <w:rPr>
          <w:rFonts w:ascii="Franklin Gothic Book" w:eastAsia="Times New Roman" w:hAnsi="Franklin Gothic Book"/>
          <w:sz w:val="21"/>
        </w:rPr>
        <w:noBreakHyphen/>
        <w:t xml:space="preserve">based decision making.  Increased use by PWD of the new Financial Services Bureaus (supported by </w:t>
      </w:r>
      <w:r w:rsidR="00321551">
        <w:rPr>
          <w:rFonts w:ascii="Franklin Gothic Book" w:eastAsia="Times New Roman" w:hAnsi="Franklin Gothic Book"/>
          <w:sz w:val="21"/>
        </w:rPr>
        <w:t>GfG</w:t>
      </w:r>
      <w:r w:rsidR="004A16E4">
        <w:rPr>
          <w:rFonts w:ascii="Franklin Gothic Book" w:eastAsia="Times New Roman" w:hAnsi="Franklin Gothic Book"/>
          <w:sz w:val="21"/>
        </w:rPr>
        <w:t xml:space="preserve">) in each province will reduce </w:t>
      </w:r>
      <w:r w:rsidRPr="001153FA">
        <w:rPr>
          <w:rFonts w:ascii="Franklin Gothic Book" w:eastAsia="Times New Roman" w:hAnsi="Franklin Gothic Book"/>
          <w:sz w:val="21"/>
        </w:rPr>
        <w:t>fiduciary risk and streamline financial management.</w:t>
      </w:r>
    </w:p>
    <w:p w:rsidR="00112AAA" w:rsidRPr="00C171A8" w:rsidRDefault="00112AAA" w:rsidP="00112AAA">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program has actively worked to consider and address disability issues. The program has </w:t>
      </w:r>
      <w:r w:rsidR="00044866">
        <w:rPr>
          <w:rFonts w:ascii="Franklin Gothic Book" w:eastAsia="Times New Roman" w:hAnsi="Franklin Gothic Book"/>
          <w:sz w:val="21"/>
        </w:rPr>
        <w:t xml:space="preserve">assisted </w:t>
      </w:r>
      <w:r>
        <w:rPr>
          <w:rFonts w:ascii="Franklin Gothic Book" w:eastAsia="Times New Roman" w:hAnsi="Franklin Gothic Book"/>
          <w:sz w:val="21"/>
        </w:rPr>
        <w:t>the Ministry of Infrastructure and Public Utilities to</w:t>
      </w:r>
      <w:r w:rsidRPr="00112AAA">
        <w:rPr>
          <w:rFonts w:ascii="Franklin Gothic Book" w:eastAsia="Times New Roman" w:hAnsi="Franklin Gothic Book"/>
          <w:sz w:val="21"/>
        </w:rPr>
        <w:t>:</w:t>
      </w:r>
      <w:r>
        <w:rPr>
          <w:rFonts w:ascii="Franklin Gothic Book" w:eastAsia="Times New Roman" w:hAnsi="Franklin Gothic Book"/>
          <w:sz w:val="21"/>
        </w:rPr>
        <w:t xml:space="preserve"> d</w:t>
      </w:r>
      <w:r w:rsidRPr="00C171A8">
        <w:rPr>
          <w:rFonts w:ascii="Franklin Gothic Book" w:eastAsia="Times New Roman" w:hAnsi="Franklin Gothic Book"/>
          <w:sz w:val="21"/>
        </w:rPr>
        <w:t xml:space="preserve">evelop an </w:t>
      </w:r>
      <w:r w:rsidR="00044866">
        <w:rPr>
          <w:rFonts w:ascii="Franklin Gothic Book" w:eastAsia="Times New Roman" w:hAnsi="Franklin Gothic Book"/>
          <w:sz w:val="21"/>
        </w:rPr>
        <w:t>i</w:t>
      </w:r>
      <w:r w:rsidR="00044866" w:rsidRPr="00C171A8">
        <w:rPr>
          <w:rFonts w:ascii="Franklin Gothic Book" w:eastAsia="Times New Roman" w:hAnsi="Franklin Gothic Book"/>
          <w:sz w:val="21"/>
        </w:rPr>
        <w:t xml:space="preserve">nclusivity </w:t>
      </w:r>
      <w:r w:rsidR="00044866">
        <w:rPr>
          <w:rFonts w:ascii="Franklin Gothic Book" w:eastAsia="Times New Roman" w:hAnsi="Franklin Gothic Book"/>
          <w:sz w:val="21"/>
        </w:rPr>
        <w:t>p</w:t>
      </w:r>
      <w:r w:rsidR="00044866" w:rsidRPr="00C171A8">
        <w:rPr>
          <w:rFonts w:ascii="Franklin Gothic Book" w:eastAsia="Times New Roman" w:hAnsi="Franklin Gothic Book"/>
          <w:sz w:val="21"/>
        </w:rPr>
        <w:t>olicy</w:t>
      </w:r>
      <w:r>
        <w:rPr>
          <w:rFonts w:ascii="Franklin Gothic Book" w:eastAsia="Times New Roman" w:hAnsi="Franklin Gothic Book"/>
          <w:sz w:val="21"/>
        </w:rPr>
        <w:t>; r</w:t>
      </w:r>
      <w:r w:rsidRPr="00C171A8">
        <w:rPr>
          <w:rFonts w:ascii="Franklin Gothic Book" w:eastAsia="Times New Roman" w:hAnsi="Franklin Gothic Book"/>
          <w:sz w:val="21"/>
        </w:rPr>
        <w:t>ecruit a female disable</w:t>
      </w:r>
      <w:r w:rsidR="00D84762">
        <w:rPr>
          <w:rFonts w:ascii="Franklin Gothic Book" w:eastAsia="Times New Roman" w:hAnsi="Franklin Gothic Book"/>
          <w:sz w:val="21"/>
        </w:rPr>
        <w:t>d</w:t>
      </w:r>
      <w:r w:rsidRPr="00C171A8">
        <w:rPr>
          <w:rFonts w:ascii="Franklin Gothic Book" w:eastAsia="Times New Roman" w:hAnsi="Franklin Gothic Book"/>
          <w:sz w:val="21"/>
        </w:rPr>
        <w:t xml:space="preserve"> person as its front desk officer</w:t>
      </w:r>
      <w:r>
        <w:rPr>
          <w:rFonts w:ascii="Franklin Gothic Book" w:eastAsia="Times New Roman" w:hAnsi="Franklin Gothic Book"/>
          <w:sz w:val="21"/>
        </w:rPr>
        <w:t>; e</w:t>
      </w:r>
      <w:r w:rsidRPr="00C171A8">
        <w:rPr>
          <w:rFonts w:ascii="Franklin Gothic Book" w:eastAsia="Times New Roman" w:hAnsi="Franklin Gothic Book"/>
          <w:sz w:val="21"/>
        </w:rPr>
        <w:t>nsur</w:t>
      </w:r>
      <w:r>
        <w:rPr>
          <w:rFonts w:ascii="Franklin Gothic Book" w:eastAsia="Times New Roman" w:hAnsi="Franklin Gothic Book"/>
          <w:sz w:val="21"/>
        </w:rPr>
        <w:t>e</w:t>
      </w:r>
      <w:r w:rsidRPr="00C171A8">
        <w:rPr>
          <w:rFonts w:ascii="Franklin Gothic Book" w:eastAsia="Times New Roman" w:hAnsi="Franklin Gothic Book"/>
          <w:sz w:val="21"/>
        </w:rPr>
        <w:t xml:space="preserve"> the Minis</w:t>
      </w:r>
      <w:r w:rsidR="004A16E4">
        <w:rPr>
          <w:rFonts w:ascii="Franklin Gothic Book" w:eastAsia="Times New Roman" w:hAnsi="Franklin Gothic Book"/>
          <w:sz w:val="21"/>
        </w:rPr>
        <w:t xml:space="preserve">try’s buildings have disability </w:t>
      </w:r>
      <w:r w:rsidRPr="00C171A8">
        <w:rPr>
          <w:rFonts w:ascii="Franklin Gothic Book" w:eastAsia="Times New Roman" w:hAnsi="Franklin Gothic Book"/>
          <w:sz w:val="21"/>
        </w:rPr>
        <w:t>acc</w:t>
      </w:r>
      <w:r w:rsidRPr="00112AAA">
        <w:rPr>
          <w:rFonts w:ascii="Franklin Gothic Book" w:eastAsia="Times New Roman" w:hAnsi="Franklin Gothic Book"/>
          <w:sz w:val="21"/>
        </w:rPr>
        <w:t>ess</w:t>
      </w:r>
      <w:r>
        <w:rPr>
          <w:rFonts w:ascii="Franklin Gothic Book" w:eastAsia="Times New Roman" w:hAnsi="Franklin Gothic Book"/>
          <w:sz w:val="21"/>
        </w:rPr>
        <w:t xml:space="preserve">; </w:t>
      </w:r>
      <w:r w:rsidR="00D84762">
        <w:rPr>
          <w:rFonts w:ascii="Franklin Gothic Book" w:eastAsia="Times New Roman" w:hAnsi="Franklin Gothic Book"/>
          <w:sz w:val="21"/>
        </w:rPr>
        <w:t xml:space="preserve">and </w:t>
      </w:r>
      <w:r w:rsidRPr="00C171A8">
        <w:rPr>
          <w:rFonts w:ascii="Franklin Gothic Book" w:eastAsia="Times New Roman" w:hAnsi="Franklin Gothic Book"/>
          <w:sz w:val="21"/>
        </w:rPr>
        <w:t>promote social inclusion through its media releases</w:t>
      </w:r>
      <w:r>
        <w:rPr>
          <w:rFonts w:ascii="Franklin Gothic Book" w:eastAsia="Times New Roman" w:hAnsi="Franklin Gothic Book"/>
          <w:sz w:val="21"/>
        </w:rPr>
        <w:t>.</w:t>
      </w:r>
    </w:p>
    <w:p w:rsidR="001153FA" w:rsidRPr="001153FA"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 xml:space="preserve">The roads program has developed a comprehensive </w:t>
      </w:r>
      <w:r w:rsidR="007E2350">
        <w:rPr>
          <w:rFonts w:ascii="Franklin Gothic Book" w:eastAsia="Times New Roman" w:hAnsi="Franklin Gothic Book"/>
          <w:sz w:val="21"/>
        </w:rPr>
        <w:t>performance management</w:t>
      </w:r>
      <w:r w:rsidRPr="001153FA">
        <w:rPr>
          <w:rFonts w:ascii="Franklin Gothic Book" w:eastAsia="Times New Roman" w:hAnsi="Franklin Gothic Book"/>
          <w:sz w:val="21"/>
        </w:rPr>
        <w:t xml:space="preserve"> approach which is supporting improved data collect</w:t>
      </w:r>
      <w:r w:rsidR="004A16E4">
        <w:rPr>
          <w:rFonts w:ascii="Franklin Gothic Book" w:eastAsia="Times New Roman" w:hAnsi="Franklin Gothic Book"/>
          <w:sz w:val="21"/>
        </w:rPr>
        <w:t xml:space="preserve">ion and evidence-based decision </w:t>
      </w:r>
      <w:r w:rsidRPr="001153FA">
        <w:rPr>
          <w:rFonts w:ascii="Franklin Gothic Book" w:eastAsia="Times New Roman" w:hAnsi="Franklin Gothic Book"/>
          <w:sz w:val="21"/>
        </w:rPr>
        <w:t>making.  The preliminary results of a 2013 socioeconomic impact study</w:t>
      </w:r>
      <w:r w:rsidR="00044866">
        <w:rPr>
          <w:rFonts w:ascii="Franklin Gothic Book" w:eastAsia="Times New Roman" w:hAnsi="Franklin Gothic Book"/>
          <w:sz w:val="21"/>
        </w:rPr>
        <w:t>, conducted over the course of phase one of the roads program,</w:t>
      </w:r>
      <w:r w:rsidRPr="001153FA">
        <w:rPr>
          <w:rFonts w:ascii="Franklin Gothic Book" w:eastAsia="Times New Roman" w:hAnsi="Franklin Gothic Book"/>
          <w:sz w:val="21"/>
        </w:rPr>
        <w:t xml:space="preserve"> showed: an increase in the number of vehicles </w:t>
      </w:r>
      <w:r w:rsidR="00044866">
        <w:rPr>
          <w:rFonts w:ascii="Franklin Gothic Book" w:eastAsia="Times New Roman" w:hAnsi="Franklin Gothic Book"/>
          <w:sz w:val="21"/>
        </w:rPr>
        <w:t>on</w:t>
      </w:r>
      <w:r w:rsidR="00044866"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the islands targeted; reduced vehicle maintenance costs; reduced transport repair and operational costs; and increased accessibility and reliab</w:t>
      </w:r>
      <w:r w:rsidR="00F13146">
        <w:rPr>
          <w:rFonts w:ascii="Franklin Gothic Book" w:eastAsia="Times New Roman" w:hAnsi="Franklin Gothic Book"/>
          <w:sz w:val="21"/>
        </w:rPr>
        <w:t>ility of</w:t>
      </w:r>
      <w:r w:rsidRPr="001153FA">
        <w:rPr>
          <w:rFonts w:ascii="Franklin Gothic Book" w:eastAsia="Times New Roman" w:hAnsi="Franklin Gothic Book"/>
          <w:sz w:val="21"/>
        </w:rPr>
        <w:t xml:space="preserve"> transport.  However, the study also highlighted the need for an improved regulatory and policy framework to mitigate potential negative impacts of road </w:t>
      </w:r>
      <w:r w:rsidR="00F13146">
        <w:rPr>
          <w:rFonts w:ascii="Franklin Gothic Book" w:eastAsia="Times New Roman" w:hAnsi="Franklin Gothic Book"/>
          <w:sz w:val="21"/>
        </w:rPr>
        <w:t xml:space="preserve">improvement </w:t>
      </w:r>
      <w:r w:rsidRPr="001153FA">
        <w:rPr>
          <w:rFonts w:ascii="Franklin Gothic Book" w:eastAsia="Times New Roman" w:hAnsi="Franklin Gothic Book"/>
          <w:sz w:val="21"/>
        </w:rPr>
        <w:t xml:space="preserve">such as safety issues.  </w:t>
      </w:r>
    </w:p>
    <w:p w:rsidR="001153FA" w:rsidRPr="001153FA"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With Australian support</w:t>
      </w:r>
      <w:r w:rsidR="00044866">
        <w:rPr>
          <w:rFonts w:ascii="Franklin Gothic Book" w:eastAsia="Times New Roman" w:hAnsi="Franklin Gothic Book"/>
          <w:sz w:val="21"/>
        </w:rPr>
        <w:t>,</w:t>
      </w:r>
      <w:r w:rsidRPr="001153FA">
        <w:rPr>
          <w:rFonts w:ascii="Franklin Gothic Book" w:eastAsia="Times New Roman" w:hAnsi="Franklin Gothic Book"/>
          <w:sz w:val="21"/>
        </w:rPr>
        <w:t xml:space="preserve"> the Vanuatu Government has taken steps to address some of these issues</w:t>
      </w:r>
      <w:r w:rsidR="004A16E4">
        <w:rPr>
          <w:rFonts w:ascii="Franklin Gothic Book" w:eastAsia="Times New Roman" w:hAnsi="Franklin Gothic Book"/>
          <w:sz w:val="21"/>
        </w:rPr>
        <w:t>,</w:t>
      </w:r>
      <w:r w:rsidRPr="001153FA">
        <w:rPr>
          <w:rFonts w:ascii="Franklin Gothic Book" w:eastAsia="Times New Roman" w:hAnsi="Franklin Gothic Book"/>
          <w:sz w:val="21"/>
        </w:rPr>
        <w:t xml:space="preserve"> successfully updating and legislating the Public Roads Act and Building Act. </w:t>
      </w:r>
      <w:r w:rsidR="004A16E4">
        <w:rPr>
          <w:rFonts w:ascii="Franklin Gothic Book" w:eastAsia="Times New Roman" w:hAnsi="Franklin Gothic Book"/>
          <w:sz w:val="21"/>
        </w:rPr>
        <w:t xml:space="preserve"> </w:t>
      </w:r>
      <w:r w:rsidR="00EE1DA8">
        <w:rPr>
          <w:rFonts w:ascii="Franklin Gothic Book" w:eastAsia="Times New Roman" w:hAnsi="Franklin Gothic Book"/>
          <w:sz w:val="21"/>
        </w:rPr>
        <w:t xml:space="preserve">Australia supported the inclusion of disability access considerations in this new legislation. </w:t>
      </w:r>
      <w:r w:rsidRPr="001153FA">
        <w:rPr>
          <w:rFonts w:ascii="Franklin Gothic Book" w:eastAsia="Times New Roman" w:hAnsi="Franklin Gothic Book"/>
          <w:sz w:val="21"/>
        </w:rPr>
        <w:t xml:space="preserve"> A Road Traffic Bill is also well developed and expected to be tabled in Parliament in the near future.  This legislation places much clearer </w:t>
      </w:r>
      <w:r w:rsidR="00044866" w:rsidRPr="001153FA">
        <w:rPr>
          <w:rFonts w:ascii="Franklin Gothic Book" w:eastAsia="Times New Roman" w:hAnsi="Franklin Gothic Book"/>
          <w:sz w:val="21"/>
        </w:rPr>
        <w:t>accountabilit</w:t>
      </w:r>
      <w:r w:rsidR="00044866">
        <w:rPr>
          <w:rFonts w:ascii="Franklin Gothic Book" w:eastAsia="Times New Roman" w:hAnsi="Franklin Gothic Book"/>
          <w:sz w:val="21"/>
        </w:rPr>
        <w:t>y</w:t>
      </w:r>
      <w:r w:rsidR="00044866"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on Government agencies and provides a stronger framework to implement design standards and safety measures</w:t>
      </w:r>
      <w:r w:rsidR="00D84762">
        <w:rPr>
          <w:rFonts w:ascii="Franklin Gothic Book" w:eastAsia="Times New Roman" w:hAnsi="Franklin Gothic Book"/>
          <w:sz w:val="21"/>
        </w:rPr>
        <w:t xml:space="preserve">. </w:t>
      </w:r>
      <w:r w:rsidRPr="001153FA">
        <w:rPr>
          <w:rFonts w:ascii="Franklin Gothic Book" w:eastAsia="Times New Roman" w:hAnsi="Franklin Gothic Book"/>
          <w:sz w:val="21"/>
        </w:rPr>
        <w:t>The work on improved design and construction standards has also been supported through a climate change resilience activity funded through the Australian Department of Environment.</w:t>
      </w:r>
    </w:p>
    <w:p w:rsidR="001153FA" w:rsidRPr="001153FA"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 xml:space="preserve">The Port Vila Urban Development Project (PVUDP) suffered some significant delays in the reporting period.  </w:t>
      </w:r>
      <w:r w:rsidR="00F13146">
        <w:rPr>
          <w:rFonts w:ascii="Franklin Gothic Book" w:eastAsia="Times New Roman" w:hAnsi="Franklin Gothic Book"/>
          <w:sz w:val="21"/>
        </w:rPr>
        <w:t xml:space="preserve">However </w:t>
      </w:r>
      <w:r w:rsidRPr="001153FA">
        <w:rPr>
          <w:rFonts w:ascii="Franklin Gothic Book" w:eastAsia="Times New Roman" w:hAnsi="Franklin Gothic Book"/>
          <w:sz w:val="21"/>
        </w:rPr>
        <w:t>there has</w:t>
      </w:r>
      <w:r w:rsidR="00F13146">
        <w:rPr>
          <w:rFonts w:ascii="Franklin Gothic Book" w:eastAsia="Times New Roman" w:hAnsi="Franklin Gothic Book"/>
          <w:sz w:val="21"/>
        </w:rPr>
        <w:t xml:space="preserve"> also</w:t>
      </w:r>
      <w:r w:rsidRPr="001153FA">
        <w:rPr>
          <w:rFonts w:ascii="Franklin Gothic Book" w:eastAsia="Times New Roman" w:hAnsi="Franklin Gothic Book"/>
          <w:sz w:val="21"/>
        </w:rPr>
        <w:t xml:space="preserve"> been </w:t>
      </w:r>
      <w:r w:rsidR="00F13146">
        <w:rPr>
          <w:rFonts w:ascii="Franklin Gothic Book" w:eastAsia="Times New Roman" w:hAnsi="Franklin Gothic Book"/>
          <w:sz w:val="21"/>
        </w:rPr>
        <w:t xml:space="preserve">some </w:t>
      </w:r>
      <w:r w:rsidRPr="001153FA">
        <w:rPr>
          <w:rFonts w:ascii="Franklin Gothic Book" w:eastAsia="Times New Roman" w:hAnsi="Franklin Gothic Book"/>
          <w:sz w:val="21"/>
        </w:rPr>
        <w:t>good progress</w:t>
      </w:r>
      <w:r w:rsidR="00F13146">
        <w:rPr>
          <w:rFonts w:ascii="Franklin Gothic Book" w:eastAsia="Times New Roman" w:hAnsi="Franklin Gothic Book"/>
          <w:sz w:val="21"/>
        </w:rPr>
        <w:t>,</w:t>
      </w:r>
      <w:r w:rsidRPr="001153FA">
        <w:rPr>
          <w:rFonts w:ascii="Franklin Gothic Book" w:eastAsia="Times New Roman" w:hAnsi="Franklin Gothic Book"/>
          <w:sz w:val="21"/>
        </w:rPr>
        <w:t xml:space="preserve"> with the implement</w:t>
      </w:r>
      <w:r w:rsidR="005C2C57">
        <w:rPr>
          <w:rFonts w:ascii="Franklin Gothic Book" w:eastAsia="Times New Roman" w:hAnsi="Franklin Gothic Book"/>
          <w:sz w:val="21"/>
        </w:rPr>
        <w:t>ing</w:t>
      </w:r>
      <w:r w:rsidRPr="001153FA">
        <w:rPr>
          <w:rFonts w:ascii="Franklin Gothic Book" w:eastAsia="Times New Roman" w:hAnsi="Franklin Gothic Book"/>
          <w:sz w:val="21"/>
        </w:rPr>
        <w:t xml:space="preserve"> contractor mobilised, an inception mission completed and key foundation pieces of legislation delivered by the Vanuatu Government.  The program, which is </w:t>
      </w:r>
      <w:r w:rsidR="005939E1">
        <w:rPr>
          <w:rFonts w:ascii="Franklin Gothic Book" w:eastAsia="Times New Roman" w:hAnsi="Franklin Gothic Book"/>
          <w:sz w:val="21"/>
        </w:rPr>
        <w:t xml:space="preserve">predominantly </w:t>
      </w:r>
      <w:r w:rsidRPr="001153FA">
        <w:rPr>
          <w:rFonts w:ascii="Franklin Gothic Book" w:eastAsia="Times New Roman" w:hAnsi="Franklin Gothic Book"/>
          <w:sz w:val="21"/>
        </w:rPr>
        <w:t xml:space="preserve">Australian funded and </w:t>
      </w:r>
      <w:r w:rsidR="004A16E4">
        <w:rPr>
          <w:rFonts w:ascii="Franklin Gothic Book" w:eastAsia="Times New Roman" w:hAnsi="Franklin Gothic Book"/>
          <w:sz w:val="21"/>
        </w:rPr>
        <w:t>Asian Development Bank</w:t>
      </w:r>
      <w:r w:rsidRPr="001153FA">
        <w:rPr>
          <w:rFonts w:ascii="Franklin Gothic Book" w:eastAsia="Times New Roman" w:hAnsi="Franklin Gothic Book"/>
          <w:sz w:val="21"/>
        </w:rPr>
        <w:t xml:space="preserve"> executed, is complex and </w:t>
      </w:r>
      <w:r w:rsidR="00044866">
        <w:rPr>
          <w:rFonts w:ascii="Franklin Gothic Book" w:eastAsia="Times New Roman" w:hAnsi="Franklin Gothic Book"/>
          <w:sz w:val="21"/>
        </w:rPr>
        <w:t>involves</w:t>
      </w:r>
      <w:r w:rsidR="00044866"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 xml:space="preserve">risks </w:t>
      </w:r>
      <w:r w:rsidR="00044866">
        <w:rPr>
          <w:rFonts w:ascii="Franklin Gothic Book" w:eastAsia="Times New Roman" w:hAnsi="Franklin Gothic Book"/>
          <w:sz w:val="21"/>
        </w:rPr>
        <w:t>in relation to</w:t>
      </w:r>
      <w:r w:rsidRPr="001153FA">
        <w:rPr>
          <w:rFonts w:ascii="Franklin Gothic Book" w:eastAsia="Times New Roman" w:hAnsi="Franklin Gothic Book"/>
          <w:sz w:val="21"/>
        </w:rPr>
        <w:t xml:space="preserve"> </w:t>
      </w:r>
      <w:r w:rsidR="00044866">
        <w:rPr>
          <w:rFonts w:ascii="Franklin Gothic Book" w:eastAsia="Times New Roman" w:hAnsi="Franklin Gothic Book"/>
          <w:sz w:val="21"/>
        </w:rPr>
        <w:t xml:space="preserve">the </w:t>
      </w:r>
      <w:r w:rsidRPr="001153FA">
        <w:rPr>
          <w:rFonts w:ascii="Franklin Gothic Book" w:eastAsia="Times New Roman" w:hAnsi="Franklin Gothic Book"/>
          <w:sz w:val="21"/>
        </w:rPr>
        <w:t xml:space="preserve">budget, community awareness, environmental factors and gender and socio-cultural issues.  </w:t>
      </w:r>
      <w:r w:rsidR="00F15116">
        <w:rPr>
          <w:rFonts w:ascii="Franklin Gothic Book" w:eastAsia="Times New Roman" w:hAnsi="Franklin Gothic Book"/>
          <w:sz w:val="21"/>
        </w:rPr>
        <w:t xml:space="preserve">It also provides </w:t>
      </w:r>
      <w:r w:rsidR="00EE1DA8">
        <w:rPr>
          <w:rFonts w:ascii="Franklin Gothic Book" w:eastAsia="Times New Roman" w:hAnsi="Franklin Gothic Book"/>
          <w:sz w:val="21"/>
        </w:rPr>
        <w:t>opportunities</w:t>
      </w:r>
      <w:r w:rsidR="00F15116">
        <w:rPr>
          <w:rFonts w:ascii="Franklin Gothic Book" w:eastAsia="Times New Roman" w:hAnsi="Franklin Gothic Book"/>
          <w:sz w:val="21"/>
        </w:rPr>
        <w:t xml:space="preserve"> to focus on improving </w:t>
      </w:r>
      <w:r w:rsidR="00F13146">
        <w:rPr>
          <w:rFonts w:ascii="Franklin Gothic Book" w:eastAsia="Times New Roman" w:hAnsi="Franklin Gothic Book"/>
          <w:sz w:val="21"/>
        </w:rPr>
        <w:t xml:space="preserve">accessibility for </w:t>
      </w:r>
      <w:r w:rsidR="00D35E02">
        <w:rPr>
          <w:rFonts w:ascii="Franklin Gothic Book" w:eastAsia="Times New Roman" w:hAnsi="Franklin Gothic Book"/>
          <w:sz w:val="21"/>
        </w:rPr>
        <w:t>people with disability.</w:t>
      </w:r>
      <w:r w:rsidR="00112AAA">
        <w:rPr>
          <w:rFonts w:ascii="Franklin Gothic Book" w:eastAsia="Times New Roman" w:hAnsi="Franklin Gothic Book"/>
          <w:sz w:val="21"/>
        </w:rPr>
        <w:t xml:space="preserve"> </w:t>
      </w:r>
      <w:r w:rsidR="004A16E4">
        <w:rPr>
          <w:rFonts w:ascii="Franklin Gothic Book" w:eastAsia="Times New Roman" w:hAnsi="Franklin Gothic Book"/>
          <w:sz w:val="21"/>
        </w:rPr>
        <w:t xml:space="preserve"> </w:t>
      </w:r>
      <w:r w:rsidRPr="001153FA">
        <w:rPr>
          <w:rFonts w:ascii="Franklin Gothic Book" w:eastAsia="Times New Roman" w:hAnsi="Franklin Gothic Book"/>
          <w:sz w:val="21"/>
        </w:rPr>
        <w:t xml:space="preserve">The increasing effectiveness of the </w:t>
      </w:r>
      <w:r w:rsidR="00F15116">
        <w:rPr>
          <w:rFonts w:ascii="Franklin Gothic Book" w:eastAsia="Times New Roman" w:hAnsi="Franklin Gothic Book"/>
          <w:sz w:val="21"/>
        </w:rPr>
        <w:t>V</w:t>
      </w:r>
      <w:r w:rsidR="00EE1DA8">
        <w:rPr>
          <w:rFonts w:ascii="Franklin Gothic Book" w:eastAsia="Times New Roman" w:hAnsi="Franklin Gothic Book"/>
          <w:sz w:val="21"/>
        </w:rPr>
        <w:t xml:space="preserve">anuatu </w:t>
      </w:r>
      <w:r w:rsidR="00F15116">
        <w:rPr>
          <w:rFonts w:ascii="Franklin Gothic Book" w:eastAsia="Times New Roman" w:hAnsi="Franklin Gothic Book"/>
          <w:sz w:val="21"/>
        </w:rPr>
        <w:t>P</w:t>
      </w:r>
      <w:r w:rsidR="00EE1DA8">
        <w:rPr>
          <w:rFonts w:ascii="Franklin Gothic Book" w:eastAsia="Times New Roman" w:hAnsi="Franklin Gothic Book"/>
          <w:sz w:val="21"/>
        </w:rPr>
        <w:t>roject Management Unit</w:t>
      </w:r>
      <w:r w:rsidR="004A16E4">
        <w:rPr>
          <w:rFonts w:ascii="Franklin Gothic Book" w:eastAsia="Times New Roman" w:hAnsi="Franklin Gothic Book"/>
          <w:sz w:val="21"/>
        </w:rPr>
        <w:t xml:space="preserve"> (VPMU)</w:t>
      </w:r>
      <w:r w:rsidR="00EE1DA8">
        <w:rPr>
          <w:rFonts w:ascii="Franklin Gothic Book" w:eastAsia="Times New Roman" w:hAnsi="Franklin Gothic Book"/>
          <w:sz w:val="21"/>
        </w:rPr>
        <w:t xml:space="preserve">, </w:t>
      </w:r>
      <w:r w:rsidR="00D84762">
        <w:rPr>
          <w:rFonts w:ascii="Franklin Gothic Book" w:eastAsia="Times New Roman" w:hAnsi="Franklin Gothic Book"/>
          <w:sz w:val="21"/>
        </w:rPr>
        <w:t xml:space="preserve">the establishment of which was </w:t>
      </w:r>
      <w:r w:rsidR="00EE1DA8">
        <w:rPr>
          <w:rFonts w:ascii="Franklin Gothic Book" w:eastAsia="Times New Roman" w:hAnsi="Franklin Gothic Book"/>
          <w:sz w:val="21"/>
        </w:rPr>
        <w:t>supported by GfG,</w:t>
      </w:r>
      <w:r w:rsidRPr="001153FA">
        <w:rPr>
          <w:rFonts w:ascii="Franklin Gothic Book" w:eastAsia="Times New Roman" w:hAnsi="Franklin Gothic Book"/>
          <w:sz w:val="21"/>
        </w:rPr>
        <w:t xml:space="preserve"> is a</w:t>
      </w:r>
      <w:r w:rsidR="00D84762">
        <w:rPr>
          <w:rFonts w:ascii="Franklin Gothic Book" w:eastAsia="Times New Roman" w:hAnsi="Franklin Gothic Book"/>
          <w:sz w:val="21"/>
        </w:rPr>
        <w:t>nother</w:t>
      </w:r>
      <w:r w:rsidRPr="001153FA">
        <w:rPr>
          <w:rFonts w:ascii="Franklin Gothic Book" w:eastAsia="Times New Roman" w:hAnsi="Franklin Gothic Book"/>
          <w:sz w:val="21"/>
        </w:rPr>
        <w:t xml:space="preserve"> important milestone this year.  The </w:t>
      </w:r>
      <w:r w:rsidR="00DA503F">
        <w:rPr>
          <w:rFonts w:ascii="Franklin Gothic Book" w:eastAsia="Times New Roman" w:hAnsi="Franklin Gothic Book"/>
          <w:sz w:val="21"/>
        </w:rPr>
        <w:t>V</w:t>
      </w:r>
      <w:r w:rsidR="00F15116">
        <w:rPr>
          <w:rFonts w:ascii="Franklin Gothic Book" w:eastAsia="Times New Roman" w:hAnsi="Franklin Gothic Book"/>
          <w:sz w:val="21"/>
        </w:rPr>
        <w:t>PMU</w:t>
      </w:r>
      <w:r w:rsidR="005939E1">
        <w:rPr>
          <w:rFonts w:ascii="Franklin Gothic Book" w:eastAsia="Times New Roman" w:hAnsi="Franklin Gothic Book"/>
          <w:sz w:val="21"/>
        </w:rPr>
        <w:t xml:space="preserve"> </w:t>
      </w:r>
      <w:r w:rsidR="00DA503F">
        <w:rPr>
          <w:rFonts w:ascii="Franklin Gothic Book" w:eastAsia="Times New Roman" w:hAnsi="Franklin Gothic Book"/>
          <w:sz w:val="21"/>
        </w:rPr>
        <w:t>S</w:t>
      </w:r>
      <w:r w:rsidR="005939E1">
        <w:rPr>
          <w:rFonts w:ascii="Franklin Gothic Book" w:eastAsia="Times New Roman" w:hAnsi="Franklin Gothic Book"/>
          <w:sz w:val="21"/>
        </w:rPr>
        <w:t xml:space="preserve">teering </w:t>
      </w:r>
      <w:r w:rsidR="00DA503F">
        <w:rPr>
          <w:rFonts w:ascii="Franklin Gothic Book" w:eastAsia="Times New Roman" w:hAnsi="Franklin Gothic Book"/>
          <w:sz w:val="21"/>
        </w:rPr>
        <w:t>C</w:t>
      </w:r>
      <w:r w:rsidR="005939E1">
        <w:rPr>
          <w:rFonts w:ascii="Franklin Gothic Book" w:eastAsia="Times New Roman" w:hAnsi="Franklin Gothic Book"/>
          <w:sz w:val="21"/>
        </w:rPr>
        <w:t>ommittee</w:t>
      </w:r>
      <w:r w:rsidR="00DA503F" w:rsidRPr="001153FA">
        <w:rPr>
          <w:rFonts w:ascii="Franklin Gothic Book" w:eastAsia="Times New Roman" w:hAnsi="Franklin Gothic Book"/>
          <w:sz w:val="21"/>
        </w:rPr>
        <w:t xml:space="preserve"> </w:t>
      </w:r>
      <w:r w:rsidRPr="001153FA">
        <w:rPr>
          <w:rFonts w:ascii="Franklin Gothic Book" w:eastAsia="Times New Roman" w:hAnsi="Franklin Gothic Book"/>
          <w:sz w:val="21"/>
        </w:rPr>
        <w:t xml:space="preserve">meets more frequently, </w:t>
      </w:r>
      <w:r w:rsidR="00112AAA">
        <w:rPr>
          <w:rFonts w:ascii="Franklin Gothic Book" w:eastAsia="Times New Roman" w:hAnsi="Franklin Gothic Book"/>
          <w:sz w:val="21"/>
        </w:rPr>
        <w:t xml:space="preserve">and is </w:t>
      </w:r>
      <w:r w:rsidRPr="001153FA">
        <w:rPr>
          <w:rFonts w:ascii="Franklin Gothic Book" w:eastAsia="Times New Roman" w:hAnsi="Franklin Gothic Book"/>
          <w:sz w:val="21"/>
        </w:rPr>
        <w:t>being used as an effective decision</w:t>
      </w:r>
      <w:r w:rsidR="004A16E4">
        <w:rPr>
          <w:rFonts w:ascii="Franklin Gothic Book" w:eastAsia="Times New Roman" w:hAnsi="Franklin Gothic Book"/>
          <w:sz w:val="21"/>
        </w:rPr>
        <w:t xml:space="preserve"> </w:t>
      </w:r>
      <w:r w:rsidRPr="001153FA">
        <w:rPr>
          <w:rFonts w:ascii="Franklin Gothic Book" w:eastAsia="Times New Roman" w:hAnsi="Franklin Gothic Book"/>
          <w:sz w:val="21"/>
        </w:rPr>
        <w:t>making body by stakeholder agencies</w:t>
      </w:r>
      <w:r w:rsidR="00EE1DA8">
        <w:rPr>
          <w:rFonts w:ascii="Franklin Gothic Book" w:eastAsia="Times New Roman" w:hAnsi="Franklin Gothic Book"/>
          <w:sz w:val="21"/>
        </w:rPr>
        <w:t>.</w:t>
      </w:r>
    </w:p>
    <w:p w:rsidR="001153FA" w:rsidRPr="001153FA" w:rsidRDefault="001153FA" w:rsidP="001153FA">
      <w:pPr>
        <w:spacing w:after="120" w:line="280" w:lineRule="exact"/>
        <w:rPr>
          <w:rFonts w:ascii="Franklin Gothic Book" w:eastAsia="Times New Roman" w:hAnsi="Franklin Gothic Book"/>
          <w:sz w:val="21"/>
        </w:rPr>
      </w:pPr>
      <w:r w:rsidRPr="001153FA">
        <w:rPr>
          <w:rFonts w:ascii="Franklin Gothic Book" w:eastAsia="Times New Roman" w:hAnsi="Franklin Gothic Book"/>
          <w:sz w:val="21"/>
        </w:rPr>
        <w:t xml:space="preserve">Vanuatu </w:t>
      </w:r>
      <w:r w:rsidR="00044866">
        <w:rPr>
          <w:rFonts w:ascii="Franklin Gothic Book" w:eastAsia="Times New Roman" w:hAnsi="Franklin Gothic Book"/>
          <w:sz w:val="21"/>
        </w:rPr>
        <w:t xml:space="preserve">Government </w:t>
      </w:r>
      <w:r w:rsidRPr="001153FA">
        <w:rPr>
          <w:rFonts w:ascii="Franklin Gothic Book" w:eastAsia="Times New Roman" w:hAnsi="Franklin Gothic Book"/>
          <w:sz w:val="21"/>
        </w:rPr>
        <w:t>funding for basic maintenance remains significantly less than need</w:t>
      </w:r>
      <w:r w:rsidR="00D35E02">
        <w:rPr>
          <w:rFonts w:ascii="Franklin Gothic Book" w:eastAsia="Times New Roman" w:hAnsi="Franklin Gothic Book"/>
          <w:sz w:val="21"/>
        </w:rPr>
        <w:t>ed</w:t>
      </w:r>
      <w:r w:rsidRPr="001153FA">
        <w:rPr>
          <w:rFonts w:ascii="Franklin Gothic Book" w:eastAsia="Times New Roman" w:hAnsi="Franklin Gothic Book"/>
          <w:sz w:val="21"/>
        </w:rPr>
        <w:t>.  This continues to present a fungibility risk</w:t>
      </w:r>
      <w:r w:rsidR="00E273B4">
        <w:rPr>
          <w:rFonts w:ascii="Franklin Gothic Book" w:eastAsia="Times New Roman" w:hAnsi="Franklin Gothic Book"/>
          <w:sz w:val="21"/>
        </w:rPr>
        <w:t xml:space="preserve"> for Australia</w:t>
      </w:r>
      <w:r w:rsidRPr="001153FA">
        <w:rPr>
          <w:rFonts w:ascii="Franklin Gothic Book" w:eastAsia="Times New Roman" w:hAnsi="Franklin Gothic Book"/>
          <w:sz w:val="21"/>
        </w:rPr>
        <w:t xml:space="preserve">.  </w:t>
      </w:r>
      <w:r w:rsidR="004D1D81">
        <w:rPr>
          <w:rFonts w:ascii="Franklin Gothic Book" w:eastAsia="Times New Roman" w:hAnsi="Franklin Gothic Book"/>
          <w:sz w:val="21"/>
        </w:rPr>
        <w:t>Only</w:t>
      </w:r>
      <w:r w:rsidRPr="001153FA">
        <w:rPr>
          <w:rFonts w:ascii="Franklin Gothic Book" w:eastAsia="Times New Roman" w:hAnsi="Franklin Gothic Book"/>
          <w:sz w:val="21"/>
        </w:rPr>
        <w:t xml:space="preserve"> 16.8</w:t>
      </w:r>
      <w:r w:rsidR="0026779A">
        <w:rPr>
          <w:rFonts w:ascii="Franklin Gothic Book" w:eastAsia="Times New Roman" w:hAnsi="Franklin Gothic Book"/>
          <w:sz w:val="21"/>
        </w:rPr>
        <w:t xml:space="preserve"> per cent</w:t>
      </w:r>
      <w:r w:rsidRPr="001153FA">
        <w:rPr>
          <w:rFonts w:ascii="Franklin Gothic Book" w:eastAsia="Times New Roman" w:hAnsi="Franklin Gothic Book"/>
          <w:sz w:val="21"/>
        </w:rPr>
        <w:t xml:space="preserve"> of the Vanuatu Government</w:t>
      </w:r>
      <w:r w:rsidR="004D1D81">
        <w:rPr>
          <w:rFonts w:ascii="Franklin Gothic Book" w:eastAsia="Times New Roman" w:hAnsi="Franklin Gothic Book"/>
          <w:sz w:val="21"/>
        </w:rPr>
        <w:t>’s</w:t>
      </w:r>
      <w:r w:rsidRPr="001153FA">
        <w:rPr>
          <w:rFonts w:ascii="Franklin Gothic Book" w:eastAsia="Times New Roman" w:hAnsi="Franklin Gothic Book"/>
          <w:sz w:val="21"/>
        </w:rPr>
        <w:t xml:space="preserve"> infrastructure budget is directed towards maintenance</w:t>
      </w:r>
      <w:r w:rsidR="004D1D81">
        <w:rPr>
          <w:rFonts w:ascii="Franklin Gothic Book" w:eastAsia="Times New Roman" w:hAnsi="Franklin Gothic Book"/>
          <w:sz w:val="21"/>
        </w:rPr>
        <w:t>, and of this only half is directed towards road maintenance.</w:t>
      </w:r>
      <w:r w:rsidRPr="001153FA">
        <w:rPr>
          <w:rFonts w:ascii="Franklin Gothic Book" w:eastAsia="Times New Roman" w:hAnsi="Franklin Gothic Book"/>
          <w:sz w:val="21"/>
        </w:rPr>
        <w:t xml:space="preserve">  Additional capital is coming into the sector</w:t>
      </w:r>
      <w:r w:rsidR="004A16E4">
        <w:rPr>
          <w:rFonts w:ascii="Franklin Gothic Book" w:eastAsia="Times New Roman" w:hAnsi="Franklin Gothic Book"/>
          <w:sz w:val="21"/>
        </w:rPr>
        <w:t>,</w:t>
      </w:r>
      <w:r w:rsidRPr="001153FA">
        <w:rPr>
          <w:rFonts w:ascii="Franklin Gothic Book" w:eastAsia="Times New Roman" w:hAnsi="Franklin Gothic Book"/>
          <w:sz w:val="21"/>
        </w:rPr>
        <w:t xml:space="preserve"> funded through loans from China’s EXIM Bank, which will add to the Government’s maintenance obligations and will further stretch the implementation capacity of PWD.  This year has shown that through mechanisms such as the </w:t>
      </w:r>
      <w:r w:rsidR="0083210F" w:rsidRPr="001153FA">
        <w:rPr>
          <w:rFonts w:ascii="Franklin Gothic Book" w:eastAsia="Times New Roman" w:hAnsi="Franklin Gothic Book"/>
          <w:sz w:val="21"/>
        </w:rPr>
        <w:t>V</w:t>
      </w:r>
      <w:r w:rsidR="00EE1DA8">
        <w:rPr>
          <w:rFonts w:ascii="Franklin Gothic Book" w:eastAsia="Times New Roman" w:hAnsi="Franklin Gothic Book"/>
          <w:sz w:val="21"/>
        </w:rPr>
        <w:t>PM</w:t>
      </w:r>
      <w:r w:rsidR="0083210F" w:rsidRPr="001153FA">
        <w:rPr>
          <w:rFonts w:ascii="Franklin Gothic Book" w:eastAsia="Times New Roman" w:hAnsi="Franklin Gothic Book"/>
          <w:sz w:val="21"/>
        </w:rPr>
        <w:t xml:space="preserve">U </w:t>
      </w:r>
      <w:r w:rsidRPr="001153FA">
        <w:rPr>
          <w:rFonts w:ascii="Franklin Gothic Book" w:eastAsia="Times New Roman" w:hAnsi="Franklin Gothic Book"/>
          <w:sz w:val="21"/>
        </w:rPr>
        <w:t>it is possible to support whole of sector consideration of these challenges</w:t>
      </w:r>
      <w:r w:rsidR="004A16E4">
        <w:rPr>
          <w:rFonts w:ascii="Franklin Gothic Book" w:eastAsia="Times New Roman" w:hAnsi="Franklin Gothic Book"/>
          <w:sz w:val="21"/>
        </w:rPr>
        <w:t>,</w:t>
      </w:r>
      <w:r w:rsidRPr="001153FA">
        <w:rPr>
          <w:rFonts w:ascii="Franklin Gothic Book" w:eastAsia="Times New Roman" w:hAnsi="Franklin Gothic Book"/>
          <w:sz w:val="21"/>
        </w:rPr>
        <w:t xml:space="preserve"> which will be essential in future years.  </w:t>
      </w:r>
    </w:p>
    <w:p w:rsidR="001153FA" w:rsidRPr="001153FA" w:rsidRDefault="004D1D81" w:rsidP="001153FA">
      <w:pPr>
        <w:spacing w:after="120" w:line="280" w:lineRule="exact"/>
        <w:rPr>
          <w:rFonts w:ascii="Franklin Gothic Book" w:eastAsia="Times New Roman" w:hAnsi="Franklin Gothic Book"/>
          <w:sz w:val="21"/>
        </w:rPr>
      </w:pPr>
      <w:r>
        <w:rPr>
          <w:rFonts w:ascii="Franklin Gothic Book" w:eastAsia="Times New Roman" w:hAnsi="Franklin Gothic Book"/>
          <w:sz w:val="21"/>
        </w:rPr>
        <w:t>The reporting period</w:t>
      </w:r>
      <w:r w:rsidR="001153FA" w:rsidRPr="001153FA">
        <w:rPr>
          <w:rFonts w:ascii="Franklin Gothic Book" w:eastAsia="Times New Roman" w:hAnsi="Franklin Gothic Book"/>
          <w:sz w:val="21"/>
        </w:rPr>
        <w:t xml:space="preserve"> saw the completion of construction and </w:t>
      </w:r>
      <w:r w:rsidR="00D84762">
        <w:rPr>
          <w:rFonts w:ascii="Franklin Gothic Book" w:eastAsia="Times New Roman" w:hAnsi="Franklin Gothic Book"/>
          <w:sz w:val="21"/>
        </w:rPr>
        <w:t xml:space="preserve">the </w:t>
      </w:r>
      <w:r w:rsidR="001153FA" w:rsidRPr="001153FA">
        <w:rPr>
          <w:rFonts w:ascii="Franklin Gothic Book" w:eastAsia="Times New Roman" w:hAnsi="Franklin Gothic Book"/>
          <w:sz w:val="21"/>
        </w:rPr>
        <w:t>opening of the National Library and Archives Building.  The building is a dedicated archive to protecting and displaying the cultural and historical records of Vanuatu and was a gift to Vanuatu from Australia</w:t>
      </w:r>
      <w:r w:rsidR="004A16E4">
        <w:rPr>
          <w:rFonts w:ascii="Franklin Gothic Book" w:eastAsia="Times New Roman" w:hAnsi="Franklin Gothic Book"/>
          <w:sz w:val="21"/>
        </w:rPr>
        <w:t>,</w:t>
      </w:r>
      <w:r w:rsidR="001153FA" w:rsidRPr="001153FA">
        <w:rPr>
          <w:rFonts w:ascii="Franklin Gothic Book" w:eastAsia="Times New Roman" w:hAnsi="Franklin Gothic Book"/>
          <w:sz w:val="21"/>
        </w:rPr>
        <w:t xml:space="preserve"> celebrating Vanuatu’s 30</w:t>
      </w:r>
      <w:r w:rsidR="001153FA" w:rsidRPr="001153FA">
        <w:rPr>
          <w:rFonts w:ascii="Franklin Gothic Book" w:eastAsia="Times New Roman" w:hAnsi="Franklin Gothic Book"/>
          <w:sz w:val="21"/>
          <w:vertAlign w:val="superscript"/>
        </w:rPr>
        <w:t>th</w:t>
      </w:r>
      <w:r w:rsidR="001153FA" w:rsidRPr="001153FA">
        <w:rPr>
          <w:rFonts w:ascii="Franklin Gothic Book" w:eastAsia="Times New Roman" w:hAnsi="Franklin Gothic Book"/>
          <w:sz w:val="21"/>
        </w:rPr>
        <w:t xml:space="preserve"> Anniversary of Independence.  Since opening in late 2013 </w:t>
      </w:r>
      <w:r w:rsidR="00AF3483">
        <w:rPr>
          <w:rFonts w:ascii="Franklin Gothic Book" w:eastAsia="Times New Roman" w:hAnsi="Franklin Gothic Book"/>
          <w:sz w:val="21"/>
        </w:rPr>
        <w:t xml:space="preserve">over </w:t>
      </w:r>
      <w:r w:rsidR="001153FA" w:rsidRPr="001153FA">
        <w:rPr>
          <w:rFonts w:ascii="Franklin Gothic Book" w:eastAsia="Times New Roman" w:hAnsi="Franklin Gothic Book"/>
          <w:sz w:val="21"/>
        </w:rPr>
        <w:t xml:space="preserve">2500 </w:t>
      </w:r>
      <w:r w:rsidR="00D35E02">
        <w:rPr>
          <w:rFonts w:ascii="Franklin Gothic Book" w:eastAsia="Times New Roman" w:hAnsi="Franklin Gothic Book"/>
          <w:sz w:val="21"/>
        </w:rPr>
        <w:t>people have signed the visitor’s book</w:t>
      </w:r>
      <w:r w:rsidR="00AF3483">
        <w:rPr>
          <w:rFonts w:ascii="Franklin Gothic Book" w:eastAsia="Times New Roman" w:hAnsi="Franklin Gothic Book"/>
          <w:sz w:val="21"/>
        </w:rPr>
        <w:t>.</w:t>
      </w:r>
    </w:p>
    <w:p w:rsidR="004D1D81" w:rsidRPr="004D1D81" w:rsidRDefault="004D1D81" w:rsidP="004D1D81">
      <w:pPr>
        <w:numPr>
          <w:ilvl w:val="2"/>
          <w:numId w:val="0"/>
        </w:numPr>
        <w:spacing w:before="240" w:after="120"/>
        <w:outlineLvl w:val="2"/>
        <w:rPr>
          <w:rFonts w:ascii="Helvetica" w:eastAsia="Times New Roman" w:hAnsi="Helvetica" w:cs="Arial"/>
          <w:b/>
          <w:color w:val="124486"/>
          <w:kern w:val="28"/>
          <w:sz w:val="22"/>
          <w:szCs w:val="22"/>
          <w:lang w:eastAsia="zh-CN"/>
        </w:rPr>
      </w:pPr>
      <w:r w:rsidRPr="004D1D81">
        <w:rPr>
          <w:rFonts w:ascii="Helvetica" w:eastAsia="Times New Roman" w:hAnsi="Helvetica" w:cs="Arial"/>
          <w:b/>
          <w:color w:val="124486"/>
          <w:kern w:val="28"/>
          <w:sz w:val="22"/>
          <w:szCs w:val="22"/>
          <w:lang w:eastAsia="zh-CN"/>
        </w:rPr>
        <w:t xml:space="preserve">Objective </w:t>
      </w:r>
      <w:r>
        <w:rPr>
          <w:rFonts w:ascii="Helvetica" w:eastAsia="Times New Roman" w:hAnsi="Helvetica" w:cs="Arial"/>
          <w:b/>
          <w:color w:val="124486"/>
          <w:kern w:val="28"/>
          <w:sz w:val="22"/>
          <w:szCs w:val="22"/>
          <w:lang w:eastAsia="zh-CN"/>
        </w:rPr>
        <w:t>5</w:t>
      </w:r>
      <w:r w:rsidR="004A16E4">
        <w:rPr>
          <w:rFonts w:ascii="Helvetica" w:eastAsia="Times New Roman" w:hAnsi="Helvetica" w:cs="Arial"/>
          <w:b/>
          <w:color w:val="124486"/>
          <w:kern w:val="28"/>
          <w:sz w:val="22"/>
          <w:szCs w:val="22"/>
          <w:lang w:eastAsia="zh-CN"/>
        </w:rPr>
        <w:t>:</w:t>
      </w:r>
      <w:r w:rsidRPr="004D1D81">
        <w:rPr>
          <w:rFonts w:ascii="Helvetica" w:eastAsia="Times New Roman" w:hAnsi="Helvetica" w:cs="Arial"/>
          <w:b/>
          <w:color w:val="124486"/>
          <w:kern w:val="28"/>
          <w:sz w:val="22"/>
          <w:szCs w:val="22"/>
          <w:lang w:eastAsia="zh-CN"/>
        </w:rPr>
        <w:t xml:space="preserve"> More effective legal institutions and improved police services</w:t>
      </w:r>
    </w:p>
    <w:p w:rsidR="004D1D81" w:rsidRPr="004D1D81" w:rsidRDefault="004D1D81" w:rsidP="004D1D81">
      <w:pPr>
        <w:spacing w:after="160" w:line="280" w:lineRule="exact"/>
        <w:rPr>
          <w:rFonts w:ascii="Franklin Gothic Book" w:eastAsia="Times New Roman" w:hAnsi="Franklin Gothic Book"/>
          <w:sz w:val="21"/>
          <w:lang w:eastAsia="zh-CN"/>
        </w:rPr>
      </w:pPr>
      <w:r w:rsidRPr="004D1D81">
        <w:rPr>
          <w:rFonts w:ascii="Franklin Gothic Book" w:eastAsia="Times New Roman" w:hAnsi="Franklin Gothic Book"/>
          <w:sz w:val="21"/>
          <w:lang w:eastAsia="zh-CN"/>
        </w:rPr>
        <w:t>The objective was rated green because progress met expectations for the reporting period.</w:t>
      </w:r>
    </w:p>
    <w:tbl>
      <w:tblPr>
        <w:tblStyle w:val="TableGrid5"/>
        <w:tblW w:w="0" w:type="auto"/>
        <w:shd w:val="clear" w:color="auto" w:fill="C7D5E6"/>
        <w:tblLook w:val="04A0" w:firstRow="1" w:lastRow="0" w:firstColumn="1" w:lastColumn="0" w:noHBand="0" w:noVBand="1"/>
      </w:tblPr>
      <w:tblGrid>
        <w:gridCol w:w="2943"/>
        <w:gridCol w:w="5551"/>
      </w:tblGrid>
      <w:tr w:rsidR="004D1D81" w:rsidRPr="004D1D81" w:rsidTr="005A4267">
        <w:trPr>
          <w:trHeight w:val="922"/>
        </w:trPr>
        <w:tc>
          <w:tcPr>
            <w:tcW w:w="2943" w:type="dxa"/>
            <w:shd w:val="clear" w:color="auto" w:fill="C7D5E6"/>
          </w:tcPr>
          <w:p w:rsidR="004D1D81" w:rsidRPr="004D1D81" w:rsidRDefault="004D1D81" w:rsidP="004D1D81">
            <w:pPr>
              <w:spacing w:after="160" w:line="280" w:lineRule="exact"/>
              <w:rPr>
                <w:rFonts w:asciiTheme="minorHAnsi" w:eastAsia="Times New Roman" w:hAnsiTheme="minorHAnsi"/>
                <w:sz w:val="22"/>
                <w:szCs w:val="22"/>
              </w:rPr>
            </w:pPr>
            <w:r w:rsidRPr="004D1D81">
              <w:rPr>
                <w:rFonts w:asciiTheme="minorHAnsi" w:eastAsia="Times New Roman" w:hAnsiTheme="minorHAnsi"/>
                <w:sz w:val="22"/>
                <w:szCs w:val="22"/>
              </w:rPr>
              <w:t>Shared development outcome:</w:t>
            </w:r>
          </w:p>
        </w:tc>
        <w:tc>
          <w:tcPr>
            <w:tcW w:w="5551" w:type="dxa"/>
            <w:shd w:val="clear" w:color="auto" w:fill="C7D5E6"/>
          </w:tcPr>
          <w:p w:rsidR="004D1D81" w:rsidRPr="004D1D81" w:rsidRDefault="004D1D81" w:rsidP="004D1D81">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For all justice services to promote and provide fair and equitable services to meet the needs of the community, the rule of law and the protection of human rights</w:t>
            </w:r>
          </w:p>
          <w:p w:rsidR="004D1D81" w:rsidRPr="004D1D81" w:rsidRDefault="004D1D81" w:rsidP="004D1D81">
            <w:pPr>
              <w:spacing w:line="280" w:lineRule="exact"/>
              <w:rPr>
                <w:rFonts w:asciiTheme="minorHAnsi" w:eastAsia="Times New Roman" w:hAnsiTheme="minorHAnsi"/>
                <w:i/>
                <w:sz w:val="22"/>
                <w:szCs w:val="22"/>
              </w:rPr>
            </w:pPr>
          </w:p>
        </w:tc>
      </w:tr>
      <w:tr w:rsidR="004D1D81" w:rsidRPr="004D1D81" w:rsidTr="005A4267">
        <w:tc>
          <w:tcPr>
            <w:tcW w:w="2943" w:type="dxa"/>
            <w:shd w:val="clear" w:color="auto" w:fill="C7D5E6"/>
          </w:tcPr>
          <w:p w:rsidR="004D1D81" w:rsidRPr="004D1D81" w:rsidRDefault="004D1D81" w:rsidP="004D1D81">
            <w:pPr>
              <w:spacing w:after="160" w:line="280" w:lineRule="exact"/>
              <w:rPr>
                <w:rFonts w:asciiTheme="minorHAnsi" w:eastAsia="Times New Roman" w:hAnsiTheme="minorHAnsi"/>
                <w:sz w:val="22"/>
                <w:szCs w:val="22"/>
              </w:rPr>
            </w:pPr>
            <w:r w:rsidRPr="004D1D81">
              <w:rPr>
                <w:rFonts w:asciiTheme="minorHAnsi" w:eastAsia="Times New Roman" w:hAnsiTheme="minorHAnsi"/>
                <w:sz w:val="22"/>
                <w:szCs w:val="22"/>
              </w:rPr>
              <w:t>Australia’s objective:</w:t>
            </w:r>
          </w:p>
        </w:tc>
        <w:tc>
          <w:tcPr>
            <w:tcW w:w="5551" w:type="dxa"/>
            <w:shd w:val="clear" w:color="auto" w:fill="C7D5E6"/>
          </w:tcPr>
          <w:p w:rsidR="004D1D81" w:rsidRPr="004D1D81" w:rsidRDefault="004D1D81" w:rsidP="004D1D81">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Improved law and justice sector coordination, capacity development and evidence-based policy development</w:t>
            </w:r>
          </w:p>
          <w:p w:rsidR="004D1D81" w:rsidRPr="004D1D81" w:rsidRDefault="004D1D81" w:rsidP="004D1D81">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Contribute to the provision of excellent policing services and strong police/community relations</w:t>
            </w:r>
          </w:p>
          <w:p w:rsidR="004D1D81" w:rsidRDefault="004D1D81" w:rsidP="004D1D81">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Improved prevention and response to violence against women and children</w:t>
            </w:r>
          </w:p>
          <w:p w:rsidR="004A16E4" w:rsidRPr="004D1D81" w:rsidRDefault="004A16E4" w:rsidP="004D1D81">
            <w:pPr>
              <w:spacing w:line="280" w:lineRule="exact"/>
              <w:rPr>
                <w:rFonts w:asciiTheme="minorHAnsi" w:eastAsia="Times New Roman" w:hAnsiTheme="minorHAnsi"/>
                <w:i/>
                <w:sz w:val="22"/>
                <w:szCs w:val="22"/>
              </w:rPr>
            </w:pPr>
          </w:p>
        </w:tc>
      </w:tr>
    </w:tbl>
    <w:p w:rsidR="004D1D81" w:rsidRPr="004D1D81" w:rsidRDefault="0054442F" w:rsidP="00703793">
      <w:pPr>
        <w:spacing w:before="120" w:after="160" w:line="280" w:lineRule="exact"/>
        <w:rPr>
          <w:rFonts w:ascii="Franklin Gothic Book" w:eastAsia="Times New Roman" w:hAnsi="Franklin Gothic Book"/>
          <w:sz w:val="21"/>
        </w:rPr>
      </w:pPr>
      <w:r>
        <w:rPr>
          <w:rFonts w:ascii="Franklin Gothic Book" w:eastAsia="Times New Roman" w:hAnsi="Franklin Gothic Book"/>
          <w:sz w:val="21"/>
        </w:rPr>
        <w:t xml:space="preserve">Equitable access to </w:t>
      </w:r>
      <w:r w:rsidR="00FD073D" w:rsidRPr="004D1D81">
        <w:rPr>
          <w:rFonts w:ascii="Franklin Gothic Book" w:eastAsia="Times New Roman" w:hAnsi="Franklin Gothic Book"/>
          <w:sz w:val="21"/>
        </w:rPr>
        <w:t xml:space="preserve">law and justice </w:t>
      </w:r>
      <w:r>
        <w:rPr>
          <w:rFonts w:ascii="Franklin Gothic Book" w:eastAsia="Times New Roman" w:hAnsi="Franklin Gothic Book"/>
          <w:sz w:val="21"/>
        </w:rPr>
        <w:t xml:space="preserve">is a human right and </w:t>
      </w:r>
      <w:r w:rsidR="00612117">
        <w:rPr>
          <w:rFonts w:ascii="Franklin Gothic Book" w:eastAsia="Times New Roman" w:hAnsi="Franklin Gothic Book"/>
          <w:sz w:val="21"/>
        </w:rPr>
        <w:t xml:space="preserve">also </w:t>
      </w:r>
      <w:r>
        <w:rPr>
          <w:rFonts w:ascii="Franklin Gothic Book" w:eastAsia="Times New Roman" w:hAnsi="Franklin Gothic Book"/>
          <w:sz w:val="21"/>
        </w:rPr>
        <w:t xml:space="preserve">critical to </w:t>
      </w:r>
      <w:r w:rsidR="00FD073D" w:rsidRPr="004D1D81">
        <w:rPr>
          <w:rFonts w:ascii="Franklin Gothic Book" w:eastAsia="Times New Roman" w:hAnsi="Franklin Gothic Book"/>
          <w:sz w:val="21"/>
        </w:rPr>
        <w:t>developing an enabling environment for private sector led growth.</w:t>
      </w:r>
      <w:r w:rsidR="00FD073D">
        <w:rPr>
          <w:rFonts w:ascii="Franklin Gothic Book" w:eastAsia="Times New Roman" w:hAnsi="Franklin Gothic Book"/>
          <w:sz w:val="21"/>
        </w:rPr>
        <w:t xml:space="preserve"> </w:t>
      </w:r>
      <w:r w:rsidR="00005AC1">
        <w:rPr>
          <w:rFonts w:ascii="Franklin Gothic Book" w:eastAsia="Times New Roman" w:hAnsi="Franklin Gothic Book"/>
          <w:sz w:val="21"/>
        </w:rPr>
        <w:t>The major crime issue in Vanuatu is v</w:t>
      </w:r>
      <w:r w:rsidR="00005AC1" w:rsidRPr="004D1D81">
        <w:rPr>
          <w:rFonts w:ascii="Franklin Gothic Book" w:eastAsia="Times New Roman" w:hAnsi="Franklin Gothic Book"/>
          <w:sz w:val="21"/>
        </w:rPr>
        <w:t>iolence against women and children</w:t>
      </w:r>
      <w:r w:rsidR="00005AC1">
        <w:rPr>
          <w:rFonts w:ascii="Franklin Gothic Book" w:eastAsia="Times New Roman" w:hAnsi="Franklin Gothic Book"/>
          <w:sz w:val="21"/>
        </w:rPr>
        <w:t>.</w:t>
      </w:r>
      <w:r w:rsidR="00005AC1">
        <w:rPr>
          <w:rStyle w:val="EndnoteReference"/>
          <w:rFonts w:eastAsia="Times New Roman"/>
        </w:rPr>
        <w:endnoteReference w:id="16"/>
      </w:r>
      <w:r w:rsidR="00FD073D" w:rsidRPr="004D1D81">
        <w:rPr>
          <w:rFonts w:ascii="Franklin Gothic Book" w:eastAsia="Times New Roman" w:hAnsi="Franklin Gothic Book"/>
          <w:sz w:val="21"/>
        </w:rPr>
        <w:t xml:space="preserve"> </w:t>
      </w:r>
      <w:r w:rsidR="004D1D81" w:rsidRPr="004D1D81">
        <w:rPr>
          <w:rFonts w:ascii="Franklin Gothic Book" w:eastAsia="Times New Roman" w:hAnsi="Franklin Gothic Book"/>
          <w:sz w:val="21"/>
        </w:rPr>
        <w:t>Australia’s law and justice support comprises: policing assistance in partnership with the Australian Federal Police (AFP)</w:t>
      </w:r>
      <w:r w:rsidR="00044866">
        <w:rPr>
          <w:rFonts w:ascii="Franklin Gothic Book" w:eastAsia="Times New Roman" w:hAnsi="Franklin Gothic Book"/>
          <w:sz w:val="21"/>
        </w:rPr>
        <w:t>;</w:t>
      </w:r>
      <w:r w:rsidR="004D1D81" w:rsidRPr="004D1D81">
        <w:rPr>
          <w:rFonts w:ascii="Franklin Gothic Book" w:eastAsia="Times New Roman" w:hAnsi="Franklin Gothic Book"/>
          <w:sz w:val="21"/>
        </w:rPr>
        <w:t xml:space="preserve"> strengthening key legal institutions, including support provided by the Federal Court of Australia; and core funding to the Vanuatu Women’s Centre. </w:t>
      </w:r>
    </w:p>
    <w:p w:rsidR="004D1D81" w:rsidRPr="004D1D81" w:rsidRDefault="004D1D81" w:rsidP="004D1D81">
      <w:pPr>
        <w:spacing w:after="120" w:line="280" w:lineRule="exact"/>
        <w:rPr>
          <w:rFonts w:ascii="Franklin Gothic Book" w:eastAsia="Times New Roman" w:hAnsi="Franklin Gothic Book"/>
          <w:sz w:val="21"/>
        </w:rPr>
      </w:pPr>
      <w:r w:rsidRPr="004D1D81">
        <w:rPr>
          <w:rFonts w:ascii="Franklin Gothic Book" w:eastAsia="Times New Roman" w:hAnsi="Franklin Gothic Book"/>
          <w:sz w:val="21"/>
        </w:rPr>
        <w:t xml:space="preserve">Recently, there has been major political and bureaucratic change in the law and justice sector. These shifts have had inevitable impacts on the effectiveness of service delivery and progress in some key areas. Despite the challenging context, Australia’s support has </w:t>
      </w:r>
      <w:r w:rsidR="00044866">
        <w:rPr>
          <w:rFonts w:ascii="Franklin Gothic Book" w:eastAsia="Times New Roman" w:hAnsi="Franklin Gothic Book"/>
          <w:sz w:val="21"/>
        </w:rPr>
        <w:t>achieved</w:t>
      </w:r>
      <w:r w:rsidR="00044866" w:rsidRPr="004D1D81">
        <w:rPr>
          <w:rFonts w:ascii="Franklin Gothic Book" w:eastAsia="Times New Roman" w:hAnsi="Franklin Gothic Book"/>
          <w:sz w:val="21"/>
        </w:rPr>
        <w:t xml:space="preserve"> </w:t>
      </w:r>
      <w:r w:rsidRPr="004D1D81">
        <w:rPr>
          <w:rFonts w:ascii="Franklin Gothic Book" w:eastAsia="Times New Roman" w:hAnsi="Franklin Gothic Book"/>
          <w:sz w:val="21"/>
        </w:rPr>
        <w:t>results.</w:t>
      </w:r>
    </w:p>
    <w:p w:rsidR="004D1D81" w:rsidRPr="004D1D81" w:rsidRDefault="00D84762" w:rsidP="004D1D81">
      <w:pPr>
        <w:spacing w:after="160" w:line="280" w:lineRule="exact"/>
        <w:rPr>
          <w:rFonts w:ascii="Franklin Gothic Book" w:eastAsia="Times New Roman" w:hAnsi="Franklin Gothic Book"/>
          <w:sz w:val="21"/>
        </w:rPr>
      </w:pPr>
      <w:r>
        <w:rPr>
          <w:rFonts w:ascii="Franklin Gothic Book" w:eastAsia="Times New Roman" w:hAnsi="Franklin Gothic Book"/>
          <w:sz w:val="21"/>
        </w:rPr>
        <w:t>T</w:t>
      </w:r>
      <w:r w:rsidR="004D1D81" w:rsidRPr="004D1D81">
        <w:rPr>
          <w:rFonts w:ascii="Franklin Gothic Book" w:eastAsia="Times New Roman" w:hAnsi="Franklin Gothic Book"/>
          <w:sz w:val="21"/>
        </w:rPr>
        <w:t xml:space="preserve">he Vanuatu-Australia Police Project </w:t>
      </w:r>
      <w:r>
        <w:rPr>
          <w:rFonts w:ascii="Franklin Gothic Book" w:eastAsia="Times New Roman" w:hAnsi="Franklin Gothic Book"/>
          <w:sz w:val="21"/>
        </w:rPr>
        <w:t>operated under an</w:t>
      </w:r>
      <w:r w:rsidR="004D1D81" w:rsidRPr="004D1D81">
        <w:rPr>
          <w:rFonts w:ascii="Franklin Gothic Book" w:eastAsia="Times New Roman" w:hAnsi="Franklin Gothic Book"/>
          <w:sz w:val="21"/>
        </w:rPr>
        <w:t xml:space="preserve"> interim phase</w:t>
      </w:r>
      <w:r>
        <w:rPr>
          <w:rFonts w:ascii="Franklin Gothic Book" w:eastAsia="Times New Roman" w:hAnsi="Franklin Gothic Book"/>
          <w:sz w:val="21"/>
        </w:rPr>
        <w:t xml:space="preserve"> following </w:t>
      </w:r>
      <w:r w:rsidR="00044866">
        <w:rPr>
          <w:rFonts w:ascii="Franklin Gothic Book" w:eastAsia="Times New Roman" w:hAnsi="Franklin Gothic Book"/>
          <w:sz w:val="21"/>
        </w:rPr>
        <w:t xml:space="preserve">its </w:t>
      </w:r>
      <w:r>
        <w:rPr>
          <w:rFonts w:ascii="Franklin Gothic Book" w:eastAsia="Times New Roman" w:hAnsi="Franklin Gothic Book"/>
          <w:sz w:val="21"/>
        </w:rPr>
        <w:t>re-establishment in early 2013.</w:t>
      </w:r>
      <w:r w:rsidR="004D1D81" w:rsidRPr="004D1D81">
        <w:rPr>
          <w:rFonts w:ascii="Franklin Gothic Book" w:eastAsia="Times New Roman" w:hAnsi="Franklin Gothic Book"/>
          <w:sz w:val="21"/>
        </w:rPr>
        <w:t xml:space="preserve"> </w:t>
      </w:r>
      <w:r>
        <w:rPr>
          <w:rFonts w:ascii="Franklin Gothic Book" w:eastAsia="Times New Roman" w:hAnsi="Franklin Gothic Book"/>
          <w:sz w:val="21"/>
        </w:rPr>
        <w:t>T</w:t>
      </w:r>
      <w:r w:rsidR="004D1D81" w:rsidRPr="004D1D81">
        <w:rPr>
          <w:rFonts w:ascii="Franklin Gothic Book" w:eastAsia="Times New Roman" w:hAnsi="Franklin Gothic Book"/>
          <w:sz w:val="21"/>
        </w:rPr>
        <w:t>he program had a clearly defined set of ou</w:t>
      </w:r>
      <w:r w:rsidR="004D1D81">
        <w:rPr>
          <w:rFonts w:ascii="Franklin Gothic Book" w:eastAsia="Times New Roman" w:hAnsi="Franklin Gothic Book"/>
          <w:sz w:val="21"/>
        </w:rPr>
        <w:t>t</w:t>
      </w:r>
      <w:r w:rsidR="004D1D81" w:rsidRPr="004D1D81">
        <w:rPr>
          <w:rFonts w:ascii="Franklin Gothic Book" w:eastAsia="Times New Roman" w:hAnsi="Franklin Gothic Book"/>
          <w:sz w:val="21"/>
        </w:rPr>
        <w:t xml:space="preserve">put-level objectives, which were for the most part achieved. Key results include: opening of three remote police stations/posts; retirement of 11 police officers to free salary for a new round of police recruitment with reserved places for female officers – </w:t>
      </w:r>
      <w:r w:rsidR="00044866">
        <w:rPr>
          <w:rFonts w:ascii="Franklin Gothic Book" w:eastAsia="Times New Roman" w:hAnsi="Franklin Gothic Book"/>
          <w:sz w:val="21"/>
        </w:rPr>
        <w:t xml:space="preserve">recruitment of </w:t>
      </w:r>
      <w:r w:rsidR="004D1D81" w:rsidRPr="004D1D81">
        <w:rPr>
          <w:rFonts w:ascii="Franklin Gothic Book" w:eastAsia="Times New Roman" w:hAnsi="Franklin Gothic Book"/>
          <w:sz w:val="21"/>
        </w:rPr>
        <w:t>20 men and 13 women; training for Provincial Firearms Licensing Officers; putting the RVS Turoroa police vessel into operation with increased visibility of police in the northern islands; and a new professional standards policy to tackle lack of internal discipline in the force.</w:t>
      </w:r>
    </w:p>
    <w:p w:rsidR="004D1D81" w:rsidRPr="004D1D81" w:rsidRDefault="004D1D81" w:rsidP="004D1D81">
      <w:pPr>
        <w:spacing w:after="160" w:line="280" w:lineRule="exact"/>
        <w:rPr>
          <w:rFonts w:ascii="Franklin Gothic Book" w:eastAsia="Times New Roman" w:hAnsi="Franklin Gothic Book"/>
          <w:sz w:val="21"/>
        </w:rPr>
      </w:pPr>
      <w:r w:rsidRPr="004D1D81">
        <w:rPr>
          <w:rFonts w:ascii="Franklin Gothic Book" w:eastAsia="Times New Roman" w:hAnsi="Franklin Gothic Book"/>
          <w:sz w:val="21"/>
        </w:rPr>
        <w:t xml:space="preserve">Under the </w:t>
      </w:r>
      <w:r w:rsidRPr="00C171A8">
        <w:rPr>
          <w:rFonts w:ascii="Franklin Gothic Book" w:eastAsia="Times New Roman" w:hAnsi="Franklin Gothic Book"/>
          <w:i/>
          <w:sz w:val="21"/>
        </w:rPr>
        <w:t>Stretem Rod Blong Justis</w:t>
      </w:r>
      <w:r w:rsidRPr="004D1D81">
        <w:rPr>
          <w:rFonts w:ascii="Franklin Gothic Book" w:eastAsia="Times New Roman" w:hAnsi="Franklin Gothic Book"/>
          <w:sz w:val="21"/>
        </w:rPr>
        <w:t xml:space="preserve"> Program assistance is provided through the Ministry of Justice and Community Services, with advisory support to the Ministry, the Public Solicitor’s Office, the State Prosecutor</w:t>
      </w:r>
      <w:r w:rsidR="00F72142">
        <w:rPr>
          <w:rFonts w:ascii="Franklin Gothic Book" w:eastAsia="Times New Roman" w:hAnsi="Franklin Gothic Book"/>
          <w:sz w:val="21"/>
        </w:rPr>
        <w:t>’</w:t>
      </w:r>
      <w:r w:rsidRPr="004D1D81">
        <w:rPr>
          <w:rFonts w:ascii="Franklin Gothic Book" w:eastAsia="Times New Roman" w:hAnsi="Franklin Gothic Book"/>
          <w:sz w:val="21"/>
        </w:rPr>
        <w:t xml:space="preserve">s Office, and the Supreme Court, in partnership with the Federal Court of Australia. Key achievements over the last year include: a reduction of case backlog in the Courts and prosecution offices; improvements in police criminal record management (see </w:t>
      </w:r>
      <w:r w:rsidR="005C2C57">
        <w:rPr>
          <w:rFonts w:ascii="Franklin Gothic Book" w:eastAsia="Times New Roman" w:hAnsi="Franklin Gothic Book"/>
          <w:sz w:val="21"/>
        </w:rPr>
        <w:t>B</w:t>
      </w:r>
      <w:r>
        <w:rPr>
          <w:rFonts w:ascii="Franklin Gothic Book" w:eastAsia="Times New Roman" w:hAnsi="Franklin Gothic Book"/>
          <w:sz w:val="21"/>
        </w:rPr>
        <w:t>ox</w:t>
      </w:r>
      <w:r w:rsidRPr="004D1D81">
        <w:rPr>
          <w:rFonts w:ascii="Franklin Gothic Book" w:eastAsia="Times New Roman" w:hAnsi="Franklin Gothic Book"/>
          <w:sz w:val="21"/>
        </w:rPr>
        <w:t xml:space="preserve"> </w:t>
      </w:r>
      <w:r w:rsidR="00C939DB">
        <w:rPr>
          <w:rFonts w:ascii="Franklin Gothic Book" w:eastAsia="Times New Roman" w:hAnsi="Franklin Gothic Book"/>
          <w:sz w:val="21"/>
        </w:rPr>
        <w:t>3</w:t>
      </w:r>
      <w:r w:rsidRPr="004D1D81">
        <w:rPr>
          <w:rFonts w:ascii="Franklin Gothic Book" w:eastAsia="Times New Roman" w:hAnsi="Franklin Gothic Book"/>
          <w:sz w:val="21"/>
        </w:rPr>
        <w:t>); 16 law students placed with public legal offices and agencies as part of an internship program with University of the South Pacific; the Vanuatu Law Commission</w:t>
      </w:r>
      <w:r w:rsidR="00F72142">
        <w:rPr>
          <w:rFonts w:ascii="Franklin Gothic Book" w:eastAsia="Times New Roman" w:hAnsi="Franklin Gothic Book"/>
          <w:sz w:val="21"/>
        </w:rPr>
        <w:t>’s</w:t>
      </w:r>
      <w:r w:rsidRPr="004D1D81">
        <w:rPr>
          <w:rFonts w:ascii="Franklin Gothic Book" w:eastAsia="Times New Roman" w:hAnsi="Franklin Gothic Book"/>
          <w:sz w:val="21"/>
        </w:rPr>
        <w:t xml:space="preserve"> production of its first three reference documents on Public Health, Dangerous Drugs and Water Supply; development of the State Prosecutor</w:t>
      </w:r>
      <w:r w:rsidR="00F72142">
        <w:rPr>
          <w:rFonts w:ascii="Franklin Gothic Book" w:eastAsia="Times New Roman" w:hAnsi="Franklin Gothic Book"/>
          <w:sz w:val="21"/>
        </w:rPr>
        <w:t>’</w:t>
      </w:r>
      <w:r w:rsidRPr="004D1D81">
        <w:rPr>
          <w:rFonts w:ascii="Franklin Gothic Book" w:eastAsia="Times New Roman" w:hAnsi="Franklin Gothic Book"/>
          <w:sz w:val="21"/>
        </w:rPr>
        <w:t>s Handbook and an update to the Public Solicitor’s Lawyers Manual; and piloting of a community-based child protection program in 43 rural communities.</w:t>
      </w:r>
      <w:r w:rsidR="00945E46">
        <w:rPr>
          <w:rFonts w:ascii="Franklin Gothic Book" w:eastAsia="Times New Roman" w:hAnsi="Franklin Gothic Book"/>
          <w:sz w:val="21"/>
        </w:rPr>
        <w:t xml:space="preserve"> The program also provide</w:t>
      </w:r>
      <w:r w:rsidR="00D84762">
        <w:rPr>
          <w:rFonts w:ascii="Franklin Gothic Book" w:eastAsia="Times New Roman" w:hAnsi="Franklin Gothic Book"/>
          <w:sz w:val="21"/>
        </w:rPr>
        <w:t>d</w:t>
      </w:r>
      <w:r w:rsidR="00945E46">
        <w:rPr>
          <w:rFonts w:ascii="Franklin Gothic Book" w:eastAsia="Times New Roman" w:hAnsi="Franklin Gothic Book"/>
          <w:sz w:val="21"/>
        </w:rPr>
        <w:t xml:space="preserve"> support to the disability desk of the Ministry of Justice and Community Services</w:t>
      </w:r>
      <w:r w:rsidR="009D0430">
        <w:rPr>
          <w:rFonts w:ascii="Franklin Gothic Book" w:eastAsia="Times New Roman" w:hAnsi="Franklin Gothic Book"/>
          <w:sz w:val="21"/>
        </w:rPr>
        <w:t>.</w:t>
      </w:r>
    </w:p>
    <w:p w:rsidR="004D1D81" w:rsidRPr="004D1D81" w:rsidRDefault="004B116E" w:rsidP="004D1D81">
      <w:pPr>
        <w:spacing w:after="160" w:line="280" w:lineRule="exact"/>
        <w:rPr>
          <w:rFonts w:ascii="Franklin Gothic Book" w:eastAsia="Times New Roman" w:hAnsi="Franklin Gothic Book"/>
          <w:sz w:val="21"/>
        </w:rPr>
      </w:pPr>
      <w:r w:rsidRPr="005C2C57">
        <w:rPr>
          <w:rFonts w:ascii="Franklin Gothic Book" w:eastAsia="Times New Roman" w:hAnsi="Franklin Gothic Book"/>
          <w:noProof/>
          <w:sz w:val="21"/>
        </w:rPr>
        <mc:AlternateContent>
          <mc:Choice Requires="wps">
            <w:drawing>
              <wp:anchor distT="0" distB="0" distL="114300" distR="114300" simplePos="0" relativeHeight="251681792" behindDoc="1" locked="0" layoutInCell="1" allowOverlap="1" wp14:anchorId="0B16606F" wp14:editId="747E37D2">
                <wp:simplePos x="0" y="0"/>
                <wp:positionH relativeFrom="column">
                  <wp:posOffset>12065</wp:posOffset>
                </wp:positionH>
                <wp:positionV relativeFrom="paragraph">
                  <wp:posOffset>619125</wp:posOffset>
                </wp:positionV>
                <wp:extent cx="3526790" cy="3181985"/>
                <wp:effectExtent l="0" t="0" r="16510" b="18415"/>
                <wp:wrapThrough wrapText="bothSides">
                  <wp:wrapPolygon edited="0">
                    <wp:start x="0" y="0"/>
                    <wp:lineTo x="0" y="21596"/>
                    <wp:lineTo x="21584" y="21596"/>
                    <wp:lineTo x="21584"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3181985"/>
                        </a:xfrm>
                        <a:prstGeom prst="rect">
                          <a:avLst/>
                        </a:prstGeom>
                        <a:solidFill>
                          <a:srgbClr val="FFFFFF"/>
                        </a:solidFill>
                        <a:ln w="9525">
                          <a:solidFill>
                            <a:srgbClr val="000000"/>
                          </a:solidFill>
                          <a:miter lim="800000"/>
                          <a:headEnd/>
                          <a:tailEnd/>
                        </a:ln>
                      </wps:spPr>
                      <wps:txbx>
                        <w:txbxContent>
                          <w:p w:rsidR="00F86835" w:rsidRPr="005C2C57" w:rsidRDefault="00F86835" w:rsidP="005C2C57">
                            <w:pPr>
                              <w:rPr>
                                <w:rFonts w:ascii="Arial Narrow" w:hAnsi="Arial Narrow"/>
                                <w:b/>
                              </w:rPr>
                            </w:pPr>
                            <w:r w:rsidRPr="005C2C57">
                              <w:rPr>
                                <w:rFonts w:ascii="Arial Narrow" w:hAnsi="Arial Narrow"/>
                                <w:b/>
                              </w:rPr>
                              <w:t xml:space="preserve">Box </w:t>
                            </w:r>
                            <w:r w:rsidR="00C939DB">
                              <w:rPr>
                                <w:rFonts w:ascii="Arial Narrow" w:hAnsi="Arial Narrow"/>
                                <w:b/>
                              </w:rPr>
                              <w:t>3</w:t>
                            </w:r>
                            <w:r>
                              <w:rPr>
                                <w:rFonts w:ascii="Arial Narrow" w:hAnsi="Arial Narrow"/>
                                <w:b/>
                              </w:rPr>
                              <w:t xml:space="preserve"> –</w:t>
                            </w:r>
                            <w:r w:rsidRPr="005C2C57">
                              <w:rPr>
                                <w:rFonts w:ascii="Arial Narrow" w:hAnsi="Arial Narrow"/>
                                <w:b/>
                              </w:rPr>
                              <w:t xml:space="preserve"> Investments</w:t>
                            </w:r>
                            <w:r>
                              <w:rPr>
                                <w:rFonts w:ascii="Arial Narrow" w:hAnsi="Arial Narrow"/>
                                <w:b/>
                              </w:rPr>
                              <w:t xml:space="preserve"> </w:t>
                            </w:r>
                            <w:r w:rsidRPr="005C2C57">
                              <w:rPr>
                                <w:rFonts w:ascii="Arial Narrow" w:hAnsi="Arial Narrow"/>
                                <w:b/>
                              </w:rPr>
                              <w:t>in Government IT benefit the law and justice sector</w:t>
                            </w:r>
                          </w:p>
                          <w:p w:rsidR="00F86835" w:rsidRPr="005C2C57" w:rsidRDefault="00F86835" w:rsidP="005C2C57">
                            <w:pPr>
                              <w:rPr>
                                <w:rFonts w:ascii="Arial Narrow" w:hAnsi="Arial Narrow"/>
                              </w:rPr>
                            </w:pPr>
                          </w:p>
                          <w:p w:rsidR="00F86835" w:rsidRDefault="00F86835" w:rsidP="005C2C57">
                            <w:pPr>
                              <w:rPr>
                                <w:rFonts w:ascii="Arial Narrow" w:hAnsi="Arial Narrow"/>
                              </w:rPr>
                            </w:pPr>
                            <w:r w:rsidRPr="005C2C57">
                              <w:rPr>
                                <w:rFonts w:ascii="Arial Narrow" w:hAnsi="Arial Narrow"/>
                              </w:rPr>
                              <w:t>Through a grant administered by the Governance for Growth program, Australia has provided support to the Vanuatu Office of the Government Chief Information Officer (OGCIO). Australia’s law and justice program has leveraged this support to improve the case and data management systems used by Vanuatu justice agencies.</w:t>
                            </w:r>
                          </w:p>
                          <w:p w:rsidR="00F86835" w:rsidRPr="005C2C57" w:rsidRDefault="00F86835" w:rsidP="005C2C57">
                            <w:pPr>
                              <w:rPr>
                                <w:rFonts w:ascii="Arial Narrow" w:hAnsi="Arial Narrow"/>
                              </w:rPr>
                            </w:pPr>
                          </w:p>
                          <w:p w:rsidR="00F86835" w:rsidRDefault="00F86835" w:rsidP="005C2C57">
                            <w:pPr>
                              <w:rPr>
                                <w:rFonts w:ascii="Arial Narrow" w:hAnsi="Arial Narrow"/>
                              </w:rPr>
                            </w:pPr>
                            <w:r w:rsidRPr="005C2C57">
                              <w:rPr>
                                <w:rFonts w:ascii="Arial Narrow" w:hAnsi="Arial Narrow"/>
                              </w:rPr>
                              <w:t xml:space="preserve">For instance, the </w:t>
                            </w:r>
                            <w:r w:rsidR="007E2350">
                              <w:rPr>
                                <w:rFonts w:ascii="Arial Narrow" w:hAnsi="Arial Narrow"/>
                              </w:rPr>
                              <w:t>Vanuatu Police Force (</w:t>
                            </w:r>
                            <w:r w:rsidRPr="005C2C57">
                              <w:rPr>
                                <w:rFonts w:ascii="Arial Narrow" w:hAnsi="Arial Narrow"/>
                              </w:rPr>
                              <w:t>VPF</w:t>
                            </w:r>
                            <w:r w:rsidR="007E2350">
                              <w:rPr>
                                <w:rFonts w:ascii="Arial Narrow" w:hAnsi="Arial Narrow"/>
                              </w:rPr>
                              <w:t>)</w:t>
                            </w:r>
                            <w:r w:rsidRPr="005C2C57">
                              <w:rPr>
                                <w:rFonts w:ascii="Arial Narrow" w:hAnsi="Arial Narrow"/>
                              </w:rPr>
                              <w:t xml:space="preserve"> criminal records information management system (CRIMS) was not working effectively or efficiently. VPF was using </w:t>
                            </w:r>
                            <w:r>
                              <w:rPr>
                                <w:rFonts w:ascii="Arial Narrow" w:hAnsi="Arial Narrow"/>
                              </w:rPr>
                              <w:t xml:space="preserve">a </w:t>
                            </w:r>
                            <w:r w:rsidRPr="005C2C57">
                              <w:rPr>
                                <w:rFonts w:ascii="Arial Narrow" w:hAnsi="Arial Narrow"/>
                              </w:rPr>
                              <w:t>system that operated primarily as data repository. Provincial centres had no access to the system nor were they sending in accurate reports to Port Vila. In addition the software was running on a stand-alone server in Port Vila.</w:t>
                            </w:r>
                          </w:p>
                          <w:p w:rsidR="00F86835" w:rsidRPr="005C2C57" w:rsidRDefault="00F86835" w:rsidP="005C2C57">
                            <w:pPr>
                              <w:rPr>
                                <w:rFonts w:ascii="Arial Narrow" w:hAnsi="Arial Narrow"/>
                              </w:rPr>
                            </w:pPr>
                          </w:p>
                          <w:p w:rsidR="00F86835" w:rsidRDefault="00F86835">
                            <w:r w:rsidRPr="005C2C57">
                              <w:rPr>
                                <w:rFonts w:ascii="Arial Narrow" w:hAnsi="Arial Narrow"/>
                              </w:rPr>
                              <w:t xml:space="preserve">OGCIO assisted VPF </w:t>
                            </w:r>
                            <w:r>
                              <w:rPr>
                                <w:rFonts w:ascii="Arial Narrow" w:hAnsi="Arial Narrow"/>
                              </w:rPr>
                              <w:t xml:space="preserve">to </w:t>
                            </w:r>
                            <w:r w:rsidRPr="005C2C57">
                              <w:rPr>
                                <w:rFonts w:ascii="Arial Narrow" w:hAnsi="Arial Narrow"/>
                              </w:rPr>
                              <w:t>install CRIMS onto the eGovernment network and then assisted the six provincial headquarters access the database. Staff in the provincial centres were then trained in the use of the database and real time input of data is now possible</w:t>
                            </w:r>
                            <w:r>
                              <w:rPr>
                                <w:rFonts w:ascii="Arial Narrow" w:hAnsi="Arial Narrow"/>
                              </w:rPr>
                              <w:t>,</w:t>
                            </w:r>
                            <w:r w:rsidRPr="005C2C57">
                              <w:rPr>
                                <w:rFonts w:ascii="Arial Narrow" w:hAnsi="Arial Narrow"/>
                              </w:rPr>
                              <w:t xml:space="preserve"> improving data management and assessment of crime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5pt;margin-top:48.75pt;width:277.7pt;height:250.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Jw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">
                <v:textbox>
                  <w:txbxContent>
                    <w:p w:rsidR="00F86835" w:rsidRPr="005C2C57" w:rsidRDefault="00F86835" w:rsidP="005C2C57">
                      <w:pPr>
                        <w:rPr>
                          <w:rFonts w:ascii="Arial Narrow" w:hAnsi="Arial Narrow"/>
                          <w:b/>
                        </w:rPr>
                      </w:pPr>
                      <w:r w:rsidRPr="005C2C57">
                        <w:rPr>
                          <w:rFonts w:ascii="Arial Narrow" w:hAnsi="Arial Narrow"/>
                          <w:b/>
                        </w:rPr>
                        <w:t xml:space="preserve">Box </w:t>
                      </w:r>
                      <w:r w:rsidR="00C939DB">
                        <w:rPr>
                          <w:rFonts w:ascii="Arial Narrow" w:hAnsi="Arial Narrow"/>
                          <w:b/>
                        </w:rPr>
                        <w:t>3</w:t>
                      </w:r>
                      <w:r>
                        <w:rPr>
                          <w:rFonts w:ascii="Arial Narrow" w:hAnsi="Arial Narrow"/>
                          <w:b/>
                        </w:rPr>
                        <w:t xml:space="preserve"> –</w:t>
                      </w:r>
                      <w:r w:rsidRPr="005C2C57">
                        <w:rPr>
                          <w:rFonts w:ascii="Arial Narrow" w:hAnsi="Arial Narrow"/>
                          <w:b/>
                        </w:rPr>
                        <w:t xml:space="preserve"> Investments</w:t>
                      </w:r>
                      <w:r>
                        <w:rPr>
                          <w:rFonts w:ascii="Arial Narrow" w:hAnsi="Arial Narrow"/>
                          <w:b/>
                        </w:rPr>
                        <w:t xml:space="preserve"> </w:t>
                      </w:r>
                      <w:r w:rsidRPr="005C2C57">
                        <w:rPr>
                          <w:rFonts w:ascii="Arial Narrow" w:hAnsi="Arial Narrow"/>
                          <w:b/>
                        </w:rPr>
                        <w:t>in Government IT benefit the law and justice sector</w:t>
                      </w:r>
                    </w:p>
                    <w:p w:rsidR="00F86835" w:rsidRPr="005C2C57" w:rsidRDefault="00F86835" w:rsidP="005C2C57">
                      <w:pPr>
                        <w:rPr>
                          <w:rFonts w:ascii="Arial Narrow" w:hAnsi="Arial Narrow"/>
                        </w:rPr>
                      </w:pPr>
                    </w:p>
                    <w:p w:rsidR="00F86835" w:rsidRDefault="00F86835" w:rsidP="005C2C57">
                      <w:pPr>
                        <w:rPr>
                          <w:rFonts w:ascii="Arial Narrow" w:hAnsi="Arial Narrow"/>
                        </w:rPr>
                      </w:pPr>
                      <w:r w:rsidRPr="005C2C57">
                        <w:rPr>
                          <w:rFonts w:ascii="Arial Narrow" w:hAnsi="Arial Narrow"/>
                        </w:rPr>
                        <w:t>Through a grant administered by the Governance for Growth program, Australia has provided support to the Vanuatu Office of the Government Chief Information Officer (OGCIO). Australia’s law and justice program has leveraged this support to improve the case and data management systems used by Vanuatu justice agencies.</w:t>
                      </w:r>
                    </w:p>
                    <w:p w:rsidR="00F86835" w:rsidRPr="005C2C57" w:rsidRDefault="00F86835" w:rsidP="005C2C57">
                      <w:pPr>
                        <w:rPr>
                          <w:rFonts w:ascii="Arial Narrow" w:hAnsi="Arial Narrow"/>
                        </w:rPr>
                      </w:pPr>
                    </w:p>
                    <w:p w:rsidR="00F86835" w:rsidRDefault="00F86835" w:rsidP="005C2C57">
                      <w:pPr>
                        <w:rPr>
                          <w:rFonts w:ascii="Arial Narrow" w:hAnsi="Arial Narrow"/>
                        </w:rPr>
                      </w:pPr>
                      <w:r w:rsidRPr="005C2C57">
                        <w:rPr>
                          <w:rFonts w:ascii="Arial Narrow" w:hAnsi="Arial Narrow"/>
                        </w:rPr>
                        <w:t xml:space="preserve">For instance, the </w:t>
                      </w:r>
                      <w:r w:rsidR="007E2350">
                        <w:rPr>
                          <w:rFonts w:ascii="Arial Narrow" w:hAnsi="Arial Narrow"/>
                        </w:rPr>
                        <w:t>Vanuatu Police Force (</w:t>
                      </w:r>
                      <w:r w:rsidRPr="005C2C57">
                        <w:rPr>
                          <w:rFonts w:ascii="Arial Narrow" w:hAnsi="Arial Narrow"/>
                        </w:rPr>
                        <w:t>VPF</w:t>
                      </w:r>
                      <w:r w:rsidR="007E2350">
                        <w:rPr>
                          <w:rFonts w:ascii="Arial Narrow" w:hAnsi="Arial Narrow"/>
                        </w:rPr>
                        <w:t>)</w:t>
                      </w:r>
                      <w:r w:rsidRPr="005C2C57">
                        <w:rPr>
                          <w:rFonts w:ascii="Arial Narrow" w:hAnsi="Arial Narrow"/>
                        </w:rPr>
                        <w:t xml:space="preserve"> criminal records information management system (CRIMS) was not working effectively or efficiently. VPF was using </w:t>
                      </w:r>
                      <w:r>
                        <w:rPr>
                          <w:rFonts w:ascii="Arial Narrow" w:hAnsi="Arial Narrow"/>
                        </w:rPr>
                        <w:t xml:space="preserve">a </w:t>
                      </w:r>
                      <w:r w:rsidRPr="005C2C57">
                        <w:rPr>
                          <w:rFonts w:ascii="Arial Narrow" w:hAnsi="Arial Narrow"/>
                        </w:rPr>
                        <w:t>system that operated primarily as data repository. Provincial centres had no access to the system nor were they sending in accurate reports to Port Vila. In addition the software was running on a stand-alone server in Port Vila.</w:t>
                      </w:r>
                    </w:p>
                    <w:p w:rsidR="00F86835" w:rsidRPr="005C2C57" w:rsidRDefault="00F86835" w:rsidP="005C2C57">
                      <w:pPr>
                        <w:rPr>
                          <w:rFonts w:ascii="Arial Narrow" w:hAnsi="Arial Narrow"/>
                        </w:rPr>
                      </w:pPr>
                    </w:p>
                    <w:p w:rsidR="00F86835" w:rsidRDefault="00F86835">
                      <w:r w:rsidRPr="005C2C57">
                        <w:rPr>
                          <w:rFonts w:ascii="Arial Narrow" w:hAnsi="Arial Narrow"/>
                        </w:rPr>
                        <w:t xml:space="preserve">OGCIO assisted VPF </w:t>
                      </w:r>
                      <w:r>
                        <w:rPr>
                          <w:rFonts w:ascii="Arial Narrow" w:hAnsi="Arial Narrow"/>
                        </w:rPr>
                        <w:t xml:space="preserve">to </w:t>
                      </w:r>
                      <w:r w:rsidRPr="005C2C57">
                        <w:rPr>
                          <w:rFonts w:ascii="Arial Narrow" w:hAnsi="Arial Narrow"/>
                        </w:rPr>
                        <w:t>install CRIMS onto the eGovernment network and then assisted the six provincial headquarters access the database. Staff in the provincial centres were then trained in the use of the database and real time input of data is now possible</w:t>
                      </w:r>
                      <w:r>
                        <w:rPr>
                          <w:rFonts w:ascii="Arial Narrow" w:hAnsi="Arial Narrow"/>
                        </w:rPr>
                        <w:t>,</w:t>
                      </w:r>
                      <w:r w:rsidRPr="005C2C57">
                        <w:rPr>
                          <w:rFonts w:ascii="Arial Narrow" w:hAnsi="Arial Narrow"/>
                        </w:rPr>
                        <w:t xml:space="preserve"> improving data management and assessment of crime trends.</w:t>
                      </w:r>
                    </w:p>
                  </w:txbxContent>
                </v:textbox>
                <w10:wrap type="through"/>
              </v:shape>
            </w:pict>
          </mc:Fallback>
        </mc:AlternateContent>
      </w:r>
      <w:r w:rsidR="004D1D81" w:rsidRPr="004D1D81">
        <w:rPr>
          <w:rFonts w:ascii="Franklin Gothic Book" w:eastAsia="Times New Roman" w:hAnsi="Franklin Gothic Book"/>
          <w:sz w:val="21"/>
        </w:rPr>
        <w:t xml:space="preserve">Australia continued its long-running support for the </w:t>
      </w:r>
      <w:r w:rsidR="00F72142">
        <w:rPr>
          <w:rFonts w:ascii="Franklin Gothic Book" w:eastAsia="Times New Roman" w:hAnsi="Franklin Gothic Book"/>
          <w:sz w:val="21"/>
        </w:rPr>
        <w:t>Vanuatu Women’s Centre</w:t>
      </w:r>
      <w:r w:rsidR="004D1D81" w:rsidRPr="004D1D81">
        <w:rPr>
          <w:rFonts w:ascii="Franklin Gothic Book" w:eastAsia="Times New Roman" w:hAnsi="Franklin Gothic Book"/>
          <w:sz w:val="21"/>
        </w:rPr>
        <w:t xml:space="preserve">. The centre provides counselling, support and legal services to survivors of violence. It is the only organisation of its kind in Vanuatu and is responding to the urgent and severe challenge of family and sexual violence. In 2012–13, the </w:t>
      </w:r>
      <w:r w:rsidR="00F72142">
        <w:rPr>
          <w:rFonts w:ascii="Franklin Gothic Book" w:eastAsia="Times New Roman" w:hAnsi="Franklin Gothic Book"/>
          <w:sz w:val="21"/>
        </w:rPr>
        <w:t>Vanuatu Women’s Centre</w:t>
      </w:r>
      <w:r w:rsidR="00F72142" w:rsidRPr="004D1D81">
        <w:rPr>
          <w:rFonts w:ascii="Franklin Gothic Book" w:eastAsia="Times New Roman" w:hAnsi="Franklin Gothic Book"/>
          <w:sz w:val="21"/>
        </w:rPr>
        <w:t xml:space="preserve"> </w:t>
      </w:r>
      <w:r w:rsidR="004D1D81" w:rsidRPr="004D1D81">
        <w:rPr>
          <w:rFonts w:ascii="Franklin Gothic Book" w:eastAsia="Times New Roman" w:hAnsi="Franklin Gothic Book"/>
          <w:sz w:val="21"/>
        </w:rPr>
        <w:t>provided 4267 people with counselling and support services across all six provinces – 46</w:t>
      </w:r>
      <w:r w:rsidR="0026779A">
        <w:rPr>
          <w:rFonts w:ascii="Franklin Gothic Book" w:eastAsia="Times New Roman" w:hAnsi="Franklin Gothic Book"/>
          <w:sz w:val="21"/>
        </w:rPr>
        <w:t xml:space="preserve"> per cent</w:t>
      </w:r>
      <w:r w:rsidR="004D1D81" w:rsidRPr="004D1D81">
        <w:rPr>
          <w:rFonts w:ascii="Franklin Gothic Book" w:eastAsia="Times New Roman" w:hAnsi="Franklin Gothic Book"/>
          <w:sz w:val="21"/>
        </w:rPr>
        <w:t xml:space="preserve"> of clients were in rural locations outside of Port Vila and Luganville. Follow-on surveys (limited to Port Vila at this stage) suggest 95</w:t>
      </w:r>
      <w:r w:rsidR="0026779A">
        <w:rPr>
          <w:rFonts w:ascii="Franklin Gothic Book" w:eastAsia="Times New Roman" w:hAnsi="Franklin Gothic Book"/>
          <w:sz w:val="21"/>
        </w:rPr>
        <w:t xml:space="preserve"> per cent</w:t>
      </w:r>
      <w:r w:rsidR="004D1D81" w:rsidRPr="004D1D81">
        <w:rPr>
          <w:rFonts w:ascii="Franklin Gothic Book" w:eastAsia="Times New Roman" w:hAnsi="Franklin Gothic Book"/>
          <w:sz w:val="21"/>
        </w:rPr>
        <w:t xml:space="preserve"> of clients were satisfied with the counselling received. 280 at-risk women were also </w:t>
      </w:r>
      <w:r w:rsidR="005075A4">
        <w:rPr>
          <w:rFonts w:ascii="Franklin Gothic Book" w:eastAsia="Times New Roman" w:hAnsi="Franklin Gothic Book"/>
          <w:sz w:val="21"/>
        </w:rPr>
        <w:t>assisted</w:t>
      </w:r>
      <w:r w:rsidR="004D1D81" w:rsidRPr="004D1D81">
        <w:rPr>
          <w:rFonts w:ascii="Franklin Gothic Book" w:eastAsia="Times New Roman" w:hAnsi="Franklin Gothic Book"/>
          <w:sz w:val="21"/>
        </w:rPr>
        <w:t xml:space="preserve"> to obtain Family Protection (restraining) Orders. A significant achievement for the reporting period was the establishment of a partnership between the Port Vila Central Hospital and Ministry of Health. The partnership provides counselling training for nursing staff, a designated treatment area for victims of sexual violence and streamlined referral processes to either </w:t>
      </w:r>
      <w:r w:rsidR="005075A4">
        <w:rPr>
          <w:rFonts w:ascii="Franklin Gothic Book" w:eastAsia="Times New Roman" w:hAnsi="Franklin Gothic Book"/>
          <w:sz w:val="21"/>
        </w:rPr>
        <w:t xml:space="preserve">the </w:t>
      </w:r>
      <w:r w:rsidR="00F72142">
        <w:rPr>
          <w:rFonts w:ascii="Franklin Gothic Book" w:eastAsia="Times New Roman" w:hAnsi="Franklin Gothic Book"/>
          <w:sz w:val="21"/>
        </w:rPr>
        <w:t>Vanuatu Women’s Centre</w:t>
      </w:r>
      <w:r w:rsidR="00F72142" w:rsidRPr="004D1D81">
        <w:rPr>
          <w:rFonts w:ascii="Franklin Gothic Book" w:eastAsia="Times New Roman" w:hAnsi="Franklin Gothic Book"/>
          <w:sz w:val="21"/>
        </w:rPr>
        <w:t xml:space="preserve"> </w:t>
      </w:r>
      <w:r w:rsidR="004D1D81" w:rsidRPr="004D1D81">
        <w:rPr>
          <w:rFonts w:ascii="Franklin Gothic Book" w:eastAsia="Times New Roman" w:hAnsi="Franklin Gothic Book"/>
          <w:sz w:val="21"/>
        </w:rPr>
        <w:t>or the police.</w:t>
      </w:r>
    </w:p>
    <w:p w:rsidR="004D1D81" w:rsidRPr="004D1D81" w:rsidRDefault="004D1D81" w:rsidP="004D1D81">
      <w:pPr>
        <w:spacing w:after="120" w:line="280" w:lineRule="exact"/>
        <w:rPr>
          <w:rFonts w:ascii="Franklin Gothic Book" w:eastAsia="Times New Roman" w:hAnsi="Franklin Gothic Book"/>
          <w:sz w:val="21"/>
        </w:rPr>
      </w:pPr>
      <w:r w:rsidRPr="004D1D81">
        <w:rPr>
          <w:rFonts w:ascii="Franklin Gothic Book" w:eastAsia="Times New Roman" w:hAnsi="Franklin Gothic Book"/>
          <w:sz w:val="21"/>
        </w:rPr>
        <w:t>While each program met expectations there is a need to adjust Australia’s strategy to better align assistance towards the core challenges of limited access and equity of justice, particularly for women, youth and children. During the reporting period the design of an integrated program that draws together the efforts of the justice and policing aspects of Australia’s support was completed</w:t>
      </w:r>
      <w:r w:rsidR="00A3101B">
        <w:rPr>
          <w:rFonts w:ascii="Franklin Gothic Book" w:eastAsia="Times New Roman" w:hAnsi="Franklin Gothic Book"/>
          <w:sz w:val="21"/>
        </w:rPr>
        <w:t xml:space="preserve"> to achieve this</w:t>
      </w:r>
      <w:r w:rsidRPr="004D1D81">
        <w:rPr>
          <w:rFonts w:ascii="Franklin Gothic Book" w:eastAsia="Times New Roman" w:hAnsi="Franklin Gothic Book"/>
          <w:sz w:val="21"/>
        </w:rPr>
        <w:t xml:space="preserve">. </w:t>
      </w:r>
    </w:p>
    <w:p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p>
    <w:p w:rsidR="000E55E6" w:rsidRDefault="000E55E6" w:rsidP="001153FA">
      <w:pPr>
        <w:pStyle w:val="ListBullet"/>
        <w:numPr>
          <w:ilvl w:val="0"/>
          <w:numId w:val="0"/>
        </w:numPr>
      </w:pPr>
      <w:r>
        <w:t xml:space="preserve">In February 2013, the Vanuatu Government updated its </w:t>
      </w:r>
      <w:r w:rsidR="005075A4">
        <w:t xml:space="preserve">national </w:t>
      </w:r>
      <w:r>
        <w:t>development plan, the Priorities and Action Agenda</w:t>
      </w:r>
      <w:r w:rsidR="007E2350">
        <w:t xml:space="preserve"> (PAA)</w:t>
      </w:r>
      <w:r>
        <w:t xml:space="preserve">. This update confirmed </w:t>
      </w:r>
      <w:r w:rsidR="009B3891">
        <w:t>Vanuat</w:t>
      </w:r>
      <w:r w:rsidR="00B00521">
        <w:t>u’s core development priority as sustaining and broadening economic growth through continued reform. This aligns well with Australia’s interests and priorities</w:t>
      </w:r>
      <w:r w:rsidR="005956DA">
        <w:t xml:space="preserve">. </w:t>
      </w:r>
      <w:r>
        <w:t xml:space="preserve">Implementation of the </w:t>
      </w:r>
      <w:r w:rsidR="007A1967">
        <w:t>PAA</w:t>
      </w:r>
      <w:r>
        <w:t xml:space="preserve"> </w:t>
      </w:r>
      <w:r w:rsidR="00B00521">
        <w:t xml:space="preserve">at the sector level </w:t>
      </w:r>
      <w:r>
        <w:t xml:space="preserve">has been varied. Some sectors, such as law and justice, have been </w:t>
      </w:r>
      <w:r w:rsidR="005075A4">
        <w:t xml:space="preserve">afflicted </w:t>
      </w:r>
      <w:r>
        <w:t>by political and bureaucratic instability. Other sectors</w:t>
      </w:r>
      <w:r w:rsidR="00B00521">
        <w:t>, for example health, have been</w:t>
      </w:r>
      <w:r>
        <w:t xml:space="preserve"> grappling with contested reform proposals</w:t>
      </w:r>
      <w:r w:rsidR="005075A4">
        <w:t>. The resulting uncertainty has hindered implementation</w:t>
      </w:r>
      <w:r>
        <w:t xml:space="preserve">.  </w:t>
      </w:r>
    </w:p>
    <w:p w:rsidR="000E55E6" w:rsidRDefault="000E55E6" w:rsidP="001153FA">
      <w:pPr>
        <w:pStyle w:val="ListBullet"/>
        <w:numPr>
          <w:ilvl w:val="0"/>
          <w:numId w:val="0"/>
        </w:numPr>
      </w:pPr>
      <w:r>
        <w:t xml:space="preserve">Where specific obligations were set for the reporting period, the Vanuatu Government met </w:t>
      </w:r>
      <w:r w:rsidR="005075A4">
        <w:t>them</w:t>
      </w:r>
      <w:r>
        <w:t xml:space="preserve">. For instance, in the education sector the Vanuatu Government met its target expenditure for school grants. However, there is a need to re-set Australian and Vanuatu Government commitments as those in the Partnership for Development have now </w:t>
      </w:r>
      <w:r w:rsidR="007A1967">
        <w:t xml:space="preserve">for the most part </w:t>
      </w:r>
      <w:r>
        <w:t xml:space="preserve">been superseded through program or sector changes.  </w:t>
      </w:r>
      <w:r w:rsidR="00B00521">
        <w:t>Australia and Vanuatu will need to negotiate mutual obligations that catalyse and facilitate Vanuatu’s reform objectives in support of economic growth.</w:t>
      </w:r>
    </w:p>
    <w:p w:rsidR="000D733F" w:rsidRPr="001375E3" w:rsidRDefault="000D733F" w:rsidP="000D733F">
      <w:pPr>
        <w:pStyle w:val="Heading3"/>
        <w:rPr>
          <w:b w:val="0"/>
          <w:sz w:val="32"/>
          <w:szCs w:val="32"/>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r>
        <w:tab/>
      </w:r>
    </w:p>
    <w:p w:rsidR="008737C3" w:rsidRDefault="00AA27D4" w:rsidP="008737C3">
      <w:pPr>
        <w:pStyle w:val="BodyText"/>
        <w:rPr>
          <w:lang w:eastAsia="en-US"/>
        </w:rPr>
      </w:pPr>
      <w:r>
        <w:t xml:space="preserve">The Vanuatu program is making effective use of performance information. </w:t>
      </w:r>
      <w:r>
        <w:rPr>
          <w:lang w:eastAsia="en-US"/>
        </w:rPr>
        <w:t xml:space="preserve"> </w:t>
      </w:r>
      <w:r w:rsidR="00712759">
        <w:rPr>
          <w:lang w:eastAsia="en-US"/>
        </w:rPr>
        <w:t xml:space="preserve">For example, </w:t>
      </w:r>
      <w:r w:rsidR="00F72142">
        <w:rPr>
          <w:lang w:eastAsia="en-US"/>
        </w:rPr>
        <w:t xml:space="preserve">performance monitoring </w:t>
      </w:r>
      <w:r w:rsidRPr="00FD073D">
        <w:rPr>
          <w:lang w:eastAsia="en-US"/>
        </w:rPr>
        <w:t xml:space="preserve">of the Vanuatu Education Road Map (VERM) and </w:t>
      </w:r>
      <w:r w:rsidR="00F72142">
        <w:rPr>
          <w:lang w:eastAsia="en-US"/>
        </w:rPr>
        <w:t xml:space="preserve">an independent evaluation </w:t>
      </w:r>
      <w:r w:rsidR="00F72142" w:rsidRPr="00FD073D">
        <w:rPr>
          <w:lang w:eastAsia="en-US"/>
        </w:rPr>
        <w:t xml:space="preserve">of </w:t>
      </w:r>
      <w:r w:rsidRPr="00FD073D">
        <w:rPr>
          <w:lang w:eastAsia="en-US"/>
        </w:rPr>
        <w:t>the Village Health Worker (VHW) Program informed changes in the choice of modality and strategic focus.</w:t>
      </w:r>
      <w:r w:rsidR="008737C3">
        <w:rPr>
          <w:lang w:eastAsia="en-US"/>
        </w:rPr>
        <w:t xml:space="preserve"> </w:t>
      </w:r>
    </w:p>
    <w:p w:rsidR="00A05C63" w:rsidRPr="00A05C63" w:rsidRDefault="00703793" w:rsidP="00C171A8">
      <w:pPr>
        <w:pStyle w:val="BodyText"/>
      </w:pPr>
      <w:r>
        <w:rPr>
          <w:noProof/>
        </w:rPr>
        <w:drawing>
          <wp:anchor distT="0" distB="0" distL="114300" distR="114300" simplePos="0" relativeHeight="251675648" behindDoc="1" locked="0" layoutInCell="1" allowOverlap="1" wp14:anchorId="293067A8" wp14:editId="41054EF4">
            <wp:simplePos x="0" y="0"/>
            <wp:positionH relativeFrom="column">
              <wp:posOffset>-71755</wp:posOffset>
            </wp:positionH>
            <wp:positionV relativeFrom="paragraph">
              <wp:posOffset>200660</wp:posOffset>
            </wp:positionV>
            <wp:extent cx="3118485" cy="1891665"/>
            <wp:effectExtent l="0" t="0" r="5715" b="0"/>
            <wp:wrapThrough wrapText="bothSides">
              <wp:wrapPolygon edited="0">
                <wp:start x="0" y="0"/>
                <wp:lineTo x="0" y="21317"/>
                <wp:lineTo x="21508" y="21317"/>
                <wp:lineTo x="2150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8485" cy="1891665"/>
                    </a:xfrm>
                    <a:prstGeom prst="rect">
                      <a:avLst/>
                    </a:prstGeom>
                    <a:noFill/>
                  </pic:spPr>
                </pic:pic>
              </a:graphicData>
            </a:graphic>
            <wp14:sizeRelH relativeFrom="page">
              <wp14:pctWidth>0</wp14:pctWidth>
            </wp14:sizeRelH>
            <wp14:sizeRelV relativeFrom="page">
              <wp14:pctHeight>0</wp14:pctHeight>
            </wp14:sizeRelV>
          </wp:anchor>
        </w:drawing>
      </w:r>
      <w:r w:rsidR="008737C3">
        <w:rPr>
          <w:lang w:eastAsia="en-US"/>
        </w:rPr>
        <w:t xml:space="preserve">The aid program has also continued to address fragmentation </w:t>
      </w:r>
      <w:r w:rsidR="00FD073D">
        <w:rPr>
          <w:lang w:eastAsia="en-US"/>
        </w:rPr>
        <w:t xml:space="preserve">(see chart) </w:t>
      </w:r>
      <w:r w:rsidR="008737C3">
        <w:rPr>
          <w:lang w:eastAsia="en-US"/>
        </w:rPr>
        <w:t>in an effort to better target resources and limit transaction costs for the Vanuatu Government.</w:t>
      </w:r>
    </w:p>
    <w:p w:rsidR="00A05C63" w:rsidRPr="00A05C63" w:rsidRDefault="00A05C63" w:rsidP="00A05C63">
      <w:pPr>
        <w:tabs>
          <w:tab w:val="left" w:pos="284"/>
        </w:tabs>
        <w:spacing w:after="120" w:line="280" w:lineRule="exact"/>
        <w:rPr>
          <w:rFonts w:ascii="Franklin Gothic Book" w:eastAsia="Times New Roman" w:hAnsi="Franklin Gothic Book"/>
          <w:sz w:val="21"/>
        </w:rPr>
      </w:pPr>
      <w:r w:rsidRPr="00A05C63">
        <w:rPr>
          <w:rFonts w:ascii="Franklin Gothic Book" w:eastAsia="Times New Roman" w:hAnsi="Franklin Gothic Book"/>
          <w:sz w:val="21"/>
        </w:rPr>
        <w:t xml:space="preserve">The Vanuatu program </w:t>
      </w:r>
      <w:r w:rsidR="00FD073D">
        <w:rPr>
          <w:rFonts w:ascii="Franklin Gothic Book" w:eastAsia="Times New Roman" w:hAnsi="Franklin Gothic Book"/>
          <w:sz w:val="21"/>
        </w:rPr>
        <w:t xml:space="preserve">currently </w:t>
      </w:r>
      <w:r w:rsidRPr="00A05C63">
        <w:rPr>
          <w:rFonts w:ascii="Franklin Gothic Book" w:eastAsia="Times New Roman" w:hAnsi="Franklin Gothic Book"/>
          <w:sz w:val="21"/>
        </w:rPr>
        <w:t xml:space="preserve">uses the priority outcomes and targets in the Partnership for Development to frame performance assessment.  During the coming year, a performance assessment framework will be prepared as part of </w:t>
      </w:r>
      <w:r w:rsidR="00712759">
        <w:rPr>
          <w:rFonts w:ascii="Franklin Gothic Book" w:eastAsia="Times New Roman" w:hAnsi="Franklin Gothic Book"/>
          <w:sz w:val="21"/>
        </w:rPr>
        <w:t>agreeing a new Aid Investment Plan with Vanuatu</w:t>
      </w:r>
      <w:r w:rsidRPr="00A05C63">
        <w:rPr>
          <w:rFonts w:ascii="Franklin Gothic Book" w:eastAsia="Times New Roman" w:hAnsi="Franklin Gothic Book"/>
          <w:sz w:val="21"/>
        </w:rPr>
        <w:t>.</w:t>
      </w:r>
    </w:p>
    <w:p w:rsidR="007A1967" w:rsidRDefault="007A1967" w:rsidP="005C2C57">
      <w:pPr>
        <w:tabs>
          <w:tab w:val="left" w:pos="284"/>
        </w:tabs>
        <w:spacing w:after="120" w:line="280" w:lineRule="exact"/>
        <w:rPr>
          <w:rFonts w:ascii="Helvetica" w:eastAsia="Times New Roman" w:hAnsi="Helvetica" w:cs="Arial"/>
          <w:b/>
          <w:color w:val="124486"/>
          <w:kern w:val="28"/>
          <w:sz w:val="22"/>
          <w:szCs w:val="22"/>
          <w:lang w:eastAsia="zh-CN"/>
        </w:rPr>
      </w:pPr>
      <w:r>
        <w:rPr>
          <w:rFonts w:ascii="Franklin Gothic Book" w:eastAsia="Times New Roman" w:hAnsi="Franklin Gothic Book"/>
          <w:sz w:val="21"/>
        </w:rPr>
        <w:t>A table of completed and planned evaluations is included in Annex C</w:t>
      </w:r>
    </w:p>
    <w:p w:rsidR="00A05C63" w:rsidRPr="00A05C63" w:rsidRDefault="00A05C63" w:rsidP="004424B1">
      <w:pPr>
        <w:numPr>
          <w:ilvl w:val="2"/>
          <w:numId w:val="0"/>
        </w:numPr>
        <w:spacing w:before="240" w:after="120"/>
        <w:outlineLvl w:val="2"/>
        <w:rPr>
          <w:rFonts w:ascii="Helvetica" w:eastAsia="Times New Roman" w:hAnsi="Helvetica" w:cs="Arial"/>
          <w:b/>
          <w:color w:val="124486"/>
          <w:kern w:val="28"/>
          <w:sz w:val="22"/>
          <w:szCs w:val="22"/>
          <w:lang w:eastAsia="zh-CN"/>
        </w:rPr>
      </w:pPr>
      <w:r w:rsidRPr="00A05C63">
        <w:rPr>
          <w:rFonts w:ascii="Helvetica" w:eastAsia="Times New Roman" w:hAnsi="Helvetica" w:cs="Arial"/>
          <w:b/>
          <w:color w:val="124486"/>
          <w:kern w:val="28"/>
          <w:sz w:val="22"/>
          <w:szCs w:val="22"/>
          <w:lang w:eastAsia="zh-CN"/>
        </w:rPr>
        <w:t xml:space="preserve">Analysis of Quality at Implementation </w:t>
      </w:r>
      <w:r w:rsidR="007E2350">
        <w:rPr>
          <w:rFonts w:ascii="Helvetica" w:eastAsia="Times New Roman" w:hAnsi="Helvetica" w:cs="Arial"/>
          <w:b/>
          <w:color w:val="124486"/>
          <w:kern w:val="28"/>
          <w:sz w:val="22"/>
          <w:szCs w:val="22"/>
          <w:lang w:eastAsia="zh-CN"/>
        </w:rPr>
        <w:t xml:space="preserve">(QAI) </w:t>
      </w:r>
      <w:r w:rsidRPr="00A05C63">
        <w:rPr>
          <w:rFonts w:ascii="Helvetica" w:eastAsia="Times New Roman" w:hAnsi="Helvetica" w:cs="Arial"/>
          <w:b/>
          <w:color w:val="124486"/>
          <w:kern w:val="28"/>
          <w:sz w:val="22"/>
          <w:szCs w:val="22"/>
          <w:lang w:eastAsia="zh-CN"/>
        </w:rPr>
        <w:t xml:space="preserve">Reports </w:t>
      </w:r>
    </w:p>
    <w:p w:rsidR="00A05C63" w:rsidRPr="00A05C63" w:rsidRDefault="00A05C63" w:rsidP="00A05C63">
      <w:pPr>
        <w:spacing w:after="120" w:line="280" w:lineRule="exact"/>
        <w:rPr>
          <w:rFonts w:ascii="Franklin Gothic Book" w:eastAsia="Times New Roman" w:hAnsi="Franklin Gothic Book"/>
          <w:sz w:val="21"/>
        </w:rPr>
      </w:pPr>
      <w:r w:rsidRPr="00A05C63">
        <w:rPr>
          <w:rFonts w:ascii="Franklin Gothic Book" w:eastAsia="Times New Roman" w:hAnsi="Franklin Gothic Book"/>
          <w:sz w:val="21"/>
        </w:rPr>
        <w:t xml:space="preserve">QAI ratings across the Vanuatu portfolio show relatively high quality for relevance and effectiveness and adequate quality for other criteria.  Performance and quality management is rated adequate because program managers are </w:t>
      </w:r>
      <w:r w:rsidR="00F72142">
        <w:rPr>
          <w:rFonts w:ascii="Franklin Gothic Book" w:eastAsia="Times New Roman" w:hAnsi="Franklin Gothic Book"/>
          <w:sz w:val="21"/>
        </w:rPr>
        <w:t xml:space="preserve">now </w:t>
      </w:r>
      <w:r w:rsidRPr="00A05C63">
        <w:rPr>
          <w:rFonts w:ascii="Franklin Gothic Book" w:eastAsia="Times New Roman" w:hAnsi="Franklin Gothic Book"/>
          <w:sz w:val="21"/>
        </w:rPr>
        <w:t>more critical</w:t>
      </w:r>
      <w:r w:rsidR="001532E3">
        <w:rPr>
          <w:rFonts w:ascii="Franklin Gothic Book" w:eastAsia="Times New Roman" w:hAnsi="Franklin Gothic Book"/>
          <w:sz w:val="21"/>
        </w:rPr>
        <w:t xml:space="preserve"> than </w:t>
      </w:r>
      <w:r w:rsidR="001A5BE4">
        <w:rPr>
          <w:rFonts w:ascii="Franklin Gothic Book" w:eastAsia="Times New Roman" w:hAnsi="Franklin Gothic Book"/>
          <w:sz w:val="21"/>
        </w:rPr>
        <w:t xml:space="preserve">they were previously </w:t>
      </w:r>
      <w:r w:rsidR="001532E3">
        <w:rPr>
          <w:rFonts w:ascii="Franklin Gothic Book" w:eastAsia="Times New Roman" w:hAnsi="Franklin Gothic Book"/>
          <w:sz w:val="21"/>
        </w:rPr>
        <w:t>when</w:t>
      </w:r>
      <w:r w:rsidRPr="00A05C63">
        <w:rPr>
          <w:rFonts w:ascii="Franklin Gothic Book" w:eastAsia="Times New Roman" w:hAnsi="Franklin Gothic Book"/>
          <w:sz w:val="21"/>
        </w:rPr>
        <w:t xml:space="preserve"> assessing the quality of progress reports and evaluation outputs.  Gender</w:t>
      </w:r>
      <w:r w:rsidR="001A5BE4">
        <w:rPr>
          <w:rFonts w:ascii="Franklin Gothic Book" w:eastAsia="Times New Roman" w:hAnsi="Franklin Gothic Book"/>
          <w:sz w:val="21"/>
        </w:rPr>
        <w:t xml:space="preserve"> performance</w:t>
      </w:r>
      <w:r w:rsidRPr="00A05C63">
        <w:rPr>
          <w:rFonts w:ascii="Franklin Gothic Book" w:eastAsia="Times New Roman" w:hAnsi="Franklin Gothic Book"/>
          <w:sz w:val="21"/>
        </w:rPr>
        <w:t xml:space="preserve"> is mixed across the program and is a theme that requires further work in 2014/15.  A table of QAI ratings is included in Annex B.</w:t>
      </w:r>
      <w:r w:rsidR="00712759">
        <w:rPr>
          <w:rFonts w:ascii="Franklin Gothic Book" w:eastAsia="Times New Roman" w:hAnsi="Franklin Gothic Book"/>
          <w:sz w:val="21"/>
        </w:rPr>
        <w:t xml:space="preserve"> </w:t>
      </w:r>
      <w:r w:rsidRPr="00A05C63">
        <w:rPr>
          <w:rFonts w:ascii="Franklin Gothic Book" w:eastAsia="Times New Roman" w:hAnsi="Franklin Gothic Book"/>
          <w:sz w:val="21"/>
        </w:rPr>
        <w:t xml:space="preserve">There are no </w:t>
      </w:r>
      <w:r w:rsidR="00AA27D4">
        <w:rPr>
          <w:rFonts w:ascii="Franklin Gothic Book" w:eastAsia="Times New Roman" w:hAnsi="Franklin Gothic Book"/>
          <w:sz w:val="21"/>
        </w:rPr>
        <w:t>I</w:t>
      </w:r>
      <w:r w:rsidRPr="00A05C63">
        <w:rPr>
          <w:rFonts w:ascii="Franklin Gothic Book" w:eastAsia="Times New Roman" w:hAnsi="Franklin Gothic Book"/>
          <w:sz w:val="21"/>
        </w:rPr>
        <w:t xml:space="preserve">nvestments </w:t>
      </w:r>
      <w:r w:rsidR="00AA27D4">
        <w:rPr>
          <w:rFonts w:ascii="Franklin Gothic Book" w:eastAsia="Times New Roman" w:hAnsi="Franklin Gothic Book"/>
          <w:sz w:val="21"/>
        </w:rPr>
        <w:t>R</w:t>
      </w:r>
      <w:r w:rsidRPr="00A05C63">
        <w:rPr>
          <w:rFonts w:ascii="Franklin Gothic Book" w:eastAsia="Times New Roman" w:hAnsi="Franklin Gothic Book"/>
          <w:sz w:val="21"/>
        </w:rPr>
        <w:t xml:space="preserve">equiring </w:t>
      </w:r>
      <w:r w:rsidR="00AA27D4">
        <w:rPr>
          <w:rFonts w:ascii="Franklin Gothic Book" w:eastAsia="Times New Roman" w:hAnsi="Franklin Gothic Book"/>
          <w:sz w:val="21"/>
        </w:rPr>
        <w:t>I</w:t>
      </w:r>
      <w:r w:rsidRPr="00A05C63">
        <w:rPr>
          <w:rFonts w:ascii="Franklin Gothic Book" w:eastAsia="Times New Roman" w:hAnsi="Franklin Gothic Book"/>
          <w:sz w:val="21"/>
        </w:rPr>
        <w:t>mprovement.</w:t>
      </w:r>
    </w:p>
    <w:p w:rsidR="00A05C63" w:rsidRPr="00A05C63" w:rsidRDefault="00A05C63" w:rsidP="00A05C63">
      <w:pPr>
        <w:numPr>
          <w:ilvl w:val="2"/>
          <w:numId w:val="0"/>
        </w:numPr>
        <w:spacing w:before="240" w:after="120"/>
        <w:outlineLvl w:val="2"/>
        <w:rPr>
          <w:rFonts w:ascii="Helvetica" w:eastAsia="Times New Roman" w:hAnsi="Helvetica" w:cs="Arial"/>
          <w:b/>
          <w:color w:val="124486"/>
          <w:kern w:val="28"/>
          <w:sz w:val="22"/>
          <w:szCs w:val="22"/>
          <w:lang w:eastAsia="zh-CN"/>
        </w:rPr>
      </w:pPr>
      <w:r w:rsidRPr="00A05C63">
        <w:rPr>
          <w:rFonts w:ascii="Helvetica" w:eastAsia="Times New Roman" w:hAnsi="Helvetica" w:cs="Arial"/>
          <w:b/>
          <w:color w:val="124486"/>
          <w:kern w:val="28"/>
          <w:sz w:val="22"/>
          <w:szCs w:val="22"/>
          <w:lang w:eastAsia="zh-CN"/>
        </w:rPr>
        <w:t xml:space="preserve">Performance </w:t>
      </w:r>
      <w:r w:rsidR="00DC58EB">
        <w:rPr>
          <w:rFonts w:ascii="Helvetica" w:eastAsia="Times New Roman" w:hAnsi="Helvetica" w:cs="Arial"/>
          <w:b/>
          <w:color w:val="124486"/>
          <w:kern w:val="28"/>
          <w:sz w:val="22"/>
          <w:szCs w:val="22"/>
          <w:lang w:eastAsia="zh-CN"/>
        </w:rPr>
        <w:t>of key delivery partners</w:t>
      </w:r>
    </w:p>
    <w:p w:rsidR="00A05C63" w:rsidRPr="00A05C63" w:rsidRDefault="00712759" w:rsidP="00A05C63">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Depending on the context, t</w:t>
      </w:r>
      <w:r w:rsidR="00A05C63" w:rsidRPr="00A05C63">
        <w:rPr>
          <w:rFonts w:ascii="Franklin Gothic Book" w:eastAsia="Times New Roman" w:hAnsi="Franklin Gothic Book"/>
          <w:sz w:val="21"/>
        </w:rPr>
        <w:t xml:space="preserve">he Vanuatu program </w:t>
      </w:r>
      <w:r w:rsidR="00AF3483">
        <w:rPr>
          <w:rFonts w:ascii="Franklin Gothic Book" w:eastAsia="Times New Roman" w:hAnsi="Franklin Gothic Book"/>
          <w:sz w:val="21"/>
        </w:rPr>
        <w:t>works</w:t>
      </w:r>
      <w:r w:rsidRPr="00A05C63">
        <w:rPr>
          <w:rFonts w:ascii="Franklin Gothic Book" w:eastAsia="Times New Roman" w:hAnsi="Franklin Gothic Book"/>
          <w:sz w:val="21"/>
        </w:rPr>
        <w:t xml:space="preserve"> </w:t>
      </w:r>
      <w:r w:rsidR="00A05C63" w:rsidRPr="00A05C63">
        <w:rPr>
          <w:rFonts w:ascii="Franklin Gothic Book" w:eastAsia="Times New Roman" w:hAnsi="Franklin Gothic Book"/>
          <w:sz w:val="21"/>
        </w:rPr>
        <w:t>through government systems (</w:t>
      </w:r>
      <w:r w:rsidR="00A05C63" w:rsidRPr="00A05C63">
        <w:rPr>
          <w:rFonts w:ascii="Franklin Gothic Book" w:eastAsia="Times New Roman" w:hAnsi="Franklin Gothic Book"/>
          <w:i/>
          <w:sz w:val="21"/>
        </w:rPr>
        <w:t>e.g</w:t>
      </w:r>
      <w:r w:rsidR="00A05C63" w:rsidRPr="00A05C63">
        <w:rPr>
          <w:rFonts w:ascii="Franklin Gothic Book" w:eastAsia="Times New Roman" w:hAnsi="Franklin Gothic Book"/>
          <w:sz w:val="21"/>
        </w:rPr>
        <w:t>. in health and education), through managing contractors (</w:t>
      </w:r>
      <w:r w:rsidR="00A05C63" w:rsidRPr="00A05C63">
        <w:rPr>
          <w:rFonts w:ascii="Franklin Gothic Book" w:eastAsia="Times New Roman" w:hAnsi="Franklin Gothic Book"/>
          <w:i/>
          <w:sz w:val="21"/>
        </w:rPr>
        <w:t>e.g</w:t>
      </w:r>
      <w:r w:rsidR="00A05C63" w:rsidRPr="00A05C63">
        <w:rPr>
          <w:rFonts w:ascii="Franklin Gothic Book" w:eastAsia="Times New Roman" w:hAnsi="Franklin Gothic Book"/>
          <w:sz w:val="21"/>
        </w:rPr>
        <w:t>. in law and justice, TVET and infrastructure) and through civil society partners (</w:t>
      </w:r>
      <w:r w:rsidR="00A05C63" w:rsidRPr="00A05C63">
        <w:rPr>
          <w:rFonts w:ascii="Franklin Gothic Book" w:eastAsia="Times New Roman" w:hAnsi="Franklin Gothic Book"/>
          <w:i/>
          <w:sz w:val="21"/>
        </w:rPr>
        <w:t>e.g</w:t>
      </w:r>
      <w:r w:rsidR="00F72142">
        <w:rPr>
          <w:rFonts w:ascii="Franklin Gothic Book" w:eastAsia="Times New Roman" w:hAnsi="Franklin Gothic Book"/>
          <w:sz w:val="21"/>
        </w:rPr>
        <w:t>. in health and g</w:t>
      </w:r>
      <w:r w:rsidR="00A05C63" w:rsidRPr="00A05C63">
        <w:rPr>
          <w:rFonts w:ascii="Franklin Gothic Book" w:eastAsia="Times New Roman" w:hAnsi="Franklin Gothic Book"/>
          <w:sz w:val="21"/>
        </w:rPr>
        <w:t xml:space="preserve">overnance).  </w:t>
      </w:r>
    </w:p>
    <w:p w:rsidR="00A05C63" w:rsidRPr="00A05C63" w:rsidRDefault="00AA27D4" w:rsidP="00A05C63">
      <w:pPr>
        <w:tabs>
          <w:tab w:val="left" w:pos="284"/>
        </w:tabs>
        <w:spacing w:after="120" w:line="280" w:lineRule="exact"/>
        <w:rPr>
          <w:rFonts w:ascii="Franklin Gothic Book" w:eastAsia="Times New Roman" w:hAnsi="Franklin Gothic Book"/>
          <w:sz w:val="21"/>
        </w:rPr>
      </w:pPr>
      <w:r w:rsidRPr="00AA27D4">
        <w:rPr>
          <w:rFonts w:ascii="Franklin Gothic Book" w:eastAsia="Times New Roman" w:hAnsi="Franklin Gothic Book"/>
          <w:sz w:val="21"/>
        </w:rPr>
        <w:t>Australia has invested heavily with the Vanuatu Government in understanding the strengths and weaknesses of the government’s public financial management systems</w:t>
      </w:r>
      <w:r w:rsidR="00712759">
        <w:rPr>
          <w:rFonts w:ascii="Franklin Gothic Book" w:eastAsia="Times New Roman" w:hAnsi="Franklin Gothic Book"/>
          <w:sz w:val="21"/>
        </w:rPr>
        <w:t xml:space="preserve"> and shaped its approaches and risk mitigation strategies accordingly</w:t>
      </w:r>
      <w:r>
        <w:rPr>
          <w:rFonts w:ascii="Franklin Gothic Book" w:eastAsia="Times New Roman" w:hAnsi="Franklin Gothic Book"/>
          <w:sz w:val="21"/>
        </w:rPr>
        <w:t>.</w:t>
      </w:r>
      <w:r w:rsidRPr="00AA27D4">
        <w:rPr>
          <w:rFonts w:ascii="Franklin Gothic Book" w:eastAsia="Times New Roman" w:hAnsi="Franklin Gothic Book"/>
          <w:sz w:val="21"/>
        </w:rPr>
        <w:t xml:space="preserve"> </w:t>
      </w:r>
      <w:r w:rsidR="0069713A">
        <w:rPr>
          <w:rFonts w:ascii="Franklin Gothic Book" w:eastAsia="Times New Roman" w:hAnsi="Franklin Gothic Book"/>
          <w:sz w:val="21"/>
        </w:rPr>
        <w:t xml:space="preserve">An assessment of national systems was completed in 2013 and fiduciary risk assessments have been completed for all sectors receiving funding through government systems. </w:t>
      </w:r>
    </w:p>
    <w:p w:rsidR="00A05C63" w:rsidRPr="00A05C63" w:rsidRDefault="00AE78E3" w:rsidP="00A05C63">
      <w:pPr>
        <w:spacing w:after="120" w:line="280" w:lineRule="exact"/>
        <w:rPr>
          <w:rFonts w:ascii="Franklin Gothic Book" w:eastAsia="Times New Roman" w:hAnsi="Franklin Gothic Book"/>
          <w:sz w:val="21"/>
        </w:rPr>
      </w:pPr>
      <w:r>
        <w:rPr>
          <w:rFonts w:ascii="Franklin Gothic Book" w:eastAsia="Times New Roman" w:hAnsi="Franklin Gothic Book"/>
          <w:sz w:val="21"/>
        </w:rPr>
        <w:t>The A</w:t>
      </w:r>
      <w:r w:rsidR="007E2350">
        <w:rPr>
          <w:rFonts w:ascii="Franklin Gothic Book" w:eastAsia="Times New Roman" w:hAnsi="Franklin Gothic Book"/>
          <w:sz w:val="21"/>
        </w:rPr>
        <w:t>sian Development Bank (A</w:t>
      </w:r>
      <w:r>
        <w:rPr>
          <w:rFonts w:ascii="Franklin Gothic Book" w:eastAsia="Times New Roman" w:hAnsi="Franklin Gothic Book"/>
          <w:sz w:val="21"/>
        </w:rPr>
        <w:t>DB</w:t>
      </w:r>
      <w:r w:rsidR="007E2350">
        <w:rPr>
          <w:rFonts w:ascii="Franklin Gothic Book" w:eastAsia="Times New Roman" w:hAnsi="Franklin Gothic Book"/>
          <w:sz w:val="21"/>
        </w:rPr>
        <w:t>)</w:t>
      </w:r>
      <w:r>
        <w:rPr>
          <w:rFonts w:ascii="Franklin Gothic Book" w:eastAsia="Times New Roman" w:hAnsi="Franklin Gothic Book"/>
          <w:sz w:val="21"/>
        </w:rPr>
        <w:t xml:space="preserve"> continues to be the program’s major multilateral partner </w:t>
      </w:r>
      <w:r w:rsidR="005956DA">
        <w:rPr>
          <w:rFonts w:ascii="Franklin Gothic Book" w:eastAsia="Times New Roman" w:hAnsi="Franklin Gothic Book"/>
          <w:sz w:val="21"/>
        </w:rPr>
        <w:t>(</w:t>
      </w:r>
      <w:r>
        <w:rPr>
          <w:rFonts w:ascii="Franklin Gothic Book" w:eastAsia="Times New Roman" w:hAnsi="Franklin Gothic Book"/>
          <w:sz w:val="21"/>
        </w:rPr>
        <w:t>implementing PVUDP</w:t>
      </w:r>
      <w:r w:rsidR="005956DA">
        <w:rPr>
          <w:rFonts w:ascii="Franklin Gothic Book" w:eastAsia="Times New Roman" w:hAnsi="Franklin Gothic Book"/>
          <w:sz w:val="21"/>
        </w:rPr>
        <w:t>)</w:t>
      </w:r>
      <w:r>
        <w:rPr>
          <w:rFonts w:ascii="Franklin Gothic Book" w:eastAsia="Times New Roman" w:hAnsi="Franklin Gothic Book"/>
          <w:sz w:val="21"/>
        </w:rPr>
        <w:t xml:space="preserve">. </w:t>
      </w:r>
      <w:r w:rsidR="00CD052A">
        <w:rPr>
          <w:rFonts w:ascii="Franklin Gothic Book" w:eastAsia="Times New Roman" w:hAnsi="Franklin Gothic Book"/>
          <w:sz w:val="21"/>
        </w:rPr>
        <w:t xml:space="preserve"> </w:t>
      </w:r>
      <w:r w:rsidR="00675F14" w:rsidRPr="00675F14">
        <w:t xml:space="preserve"> </w:t>
      </w:r>
      <w:r w:rsidR="00675F14">
        <w:rPr>
          <w:rFonts w:ascii="Franklin Gothic Book" w:eastAsia="Times New Roman" w:hAnsi="Franklin Gothic Book"/>
          <w:sz w:val="21"/>
        </w:rPr>
        <w:t>D</w:t>
      </w:r>
      <w:r w:rsidR="00675F14" w:rsidRPr="00675F14">
        <w:rPr>
          <w:rFonts w:ascii="Franklin Gothic Book" w:eastAsia="Times New Roman" w:hAnsi="Franklin Gothic Book"/>
          <w:sz w:val="21"/>
        </w:rPr>
        <w:t>etailed design and engineering is several months behind schedule and</w:t>
      </w:r>
      <w:r w:rsidR="00675F14">
        <w:rPr>
          <w:rFonts w:ascii="Franklin Gothic Book" w:eastAsia="Times New Roman" w:hAnsi="Franklin Gothic Book"/>
          <w:sz w:val="21"/>
        </w:rPr>
        <w:t>, as noted under Objective 4,</w:t>
      </w:r>
      <w:r w:rsidR="00675F14" w:rsidRPr="00675F14">
        <w:rPr>
          <w:rFonts w:ascii="Franklin Gothic Book" w:eastAsia="Times New Roman" w:hAnsi="Franklin Gothic Book"/>
          <w:sz w:val="21"/>
        </w:rPr>
        <w:t xml:space="preserve"> PVUDP carries significant construction risks. The ADB has agreed to more intense project supervision in close partnership with DFAT.</w:t>
      </w:r>
      <w:r>
        <w:rPr>
          <w:rFonts w:ascii="Franklin Gothic Book" w:eastAsia="Times New Roman" w:hAnsi="Franklin Gothic Book"/>
          <w:sz w:val="21"/>
        </w:rPr>
        <w:t xml:space="preserve"> </w:t>
      </w:r>
      <w:r w:rsidR="00A05C63" w:rsidRPr="00A05C63">
        <w:rPr>
          <w:rFonts w:ascii="Franklin Gothic Book" w:eastAsia="Times New Roman" w:hAnsi="Franklin Gothic Book"/>
          <w:sz w:val="21"/>
        </w:rPr>
        <w:t xml:space="preserve">The Vanuatu Program </w:t>
      </w:r>
      <w:r>
        <w:rPr>
          <w:rFonts w:ascii="Franklin Gothic Book" w:eastAsia="Times New Roman" w:hAnsi="Franklin Gothic Book"/>
          <w:sz w:val="21"/>
        </w:rPr>
        <w:t xml:space="preserve">also </w:t>
      </w:r>
      <w:r w:rsidR="00A05C63" w:rsidRPr="00A05C63">
        <w:rPr>
          <w:rFonts w:ascii="Franklin Gothic Book" w:eastAsia="Times New Roman" w:hAnsi="Franklin Gothic Book"/>
          <w:sz w:val="21"/>
        </w:rPr>
        <w:t xml:space="preserve">engages with multilateral partners through initiatives financed by </w:t>
      </w:r>
      <w:r w:rsidR="00F72142">
        <w:rPr>
          <w:rFonts w:ascii="Franklin Gothic Book" w:eastAsia="Times New Roman" w:hAnsi="Franklin Gothic Book"/>
          <w:sz w:val="21"/>
        </w:rPr>
        <w:t>DFAT’s Pacific regional p</w:t>
      </w:r>
      <w:r w:rsidR="00A05C63" w:rsidRPr="00A05C63">
        <w:rPr>
          <w:rFonts w:ascii="Franklin Gothic Book" w:eastAsia="Times New Roman" w:hAnsi="Franklin Gothic Book"/>
          <w:sz w:val="21"/>
        </w:rPr>
        <w:t xml:space="preserve">rogram and targeted trust fund activities.  An effective relationship with the World Bank </w:t>
      </w:r>
      <w:r w:rsidR="001A5BE4">
        <w:rPr>
          <w:rFonts w:ascii="Franklin Gothic Book" w:eastAsia="Times New Roman" w:hAnsi="Franklin Gothic Book"/>
          <w:sz w:val="21"/>
        </w:rPr>
        <w:t xml:space="preserve">assisted </w:t>
      </w:r>
      <w:r w:rsidR="00A05C63" w:rsidRPr="00A05C63">
        <w:rPr>
          <w:rFonts w:ascii="Franklin Gothic Book" w:eastAsia="Times New Roman" w:hAnsi="Franklin Gothic Book"/>
          <w:sz w:val="21"/>
        </w:rPr>
        <w:t xml:space="preserve">the Vanuatu National Statistics Office to produce updated poverty maps for Vanuatu. </w:t>
      </w:r>
      <w:r w:rsidR="002C1475" w:rsidRPr="002C1475">
        <w:rPr>
          <w:rFonts w:ascii="Franklin Gothic Book" w:eastAsia="Times New Roman" w:hAnsi="Franklin Gothic Book"/>
          <w:sz w:val="21"/>
        </w:rPr>
        <w:t>DFAT continues to work with multiple partners in the health sector. The joint partner working group is evolving into a useful forum for coordination</w:t>
      </w:r>
      <w:r w:rsidR="00DC58EB">
        <w:rPr>
          <w:rFonts w:ascii="Franklin Gothic Book" w:eastAsia="Times New Roman" w:hAnsi="Franklin Gothic Book"/>
          <w:sz w:val="21"/>
        </w:rPr>
        <w:t>.</w:t>
      </w:r>
    </w:p>
    <w:p w:rsidR="00A05C63" w:rsidRPr="00A05C63" w:rsidRDefault="00A05C63" w:rsidP="007A1967">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A05C63">
        <w:rPr>
          <w:rFonts w:ascii="Helvetica" w:eastAsia="Times New Roman" w:hAnsi="Helvetica" w:cs="Arial"/>
          <w:b/>
          <w:color w:val="124486"/>
          <w:kern w:val="28"/>
          <w:sz w:val="22"/>
          <w:szCs w:val="22"/>
          <w:lang w:eastAsia="zh-CN"/>
        </w:rPr>
        <w:t>Risks</w:t>
      </w:r>
    </w:p>
    <w:p w:rsidR="00A05C63" w:rsidRDefault="00A05C63" w:rsidP="007A1967">
      <w:pPr>
        <w:pStyle w:val="Caption"/>
        <w:rPr>
          <w:rFonts w:cs="Times New Roman"/>
          <w:sz w:val="21"/>
          <w:szCs w:val="24"/>
        </w:rPr>
      </w:pPr>
      <w:r w:rsidRPr="00A05C63">
        <w:rPr>
          <w:rFonts w:cs="Times New Roman"/>
          <w:sz w:val="21"/>
          <w:szCs w:val="24"/>
        </w:rPr>
        <w:t>Key risks managed by the Vanuatu Program are presented in Table 3.  A rating of the risk management monitoring maturity in the Vanuatu program is presented in Table 4.</w:t>
      </w:r>
    </w:p>
    <w:p w:rsidR="000D733F" w:rsidRDefault="000D733F" w:rsidP="00A05C63">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A05C63">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p>
        </w:tc>
        <w:tc>
          <w:tcPr>
            <w:tcW w:w="3124" w:type="dxa"/>
          </w:tcPr>
          <w:p w:rsidR="000D733F" w:rsidRPr="005023D9" w:rsidRDefault="000D733F" w:rsidP="000D733F">
            <w:pPr>
              <w:pStyle w:val="TableTextColumnHeading"/>
            </w:pPr>
            <w:r w:rsidRPr="005023D9">
              <w:t>What further actions will be taken to manage the risks in the coming year</w:t>
            </w:r>
          </w:p>
        </w:tc>
      </w:tr>
      <w:tr w:rsidR="00A05C63" w:rsidRPr="00180B19" w:rsidTr="00A05C63">
        <w:tc>
          <w:tcPr>
            <w:tcW w:w="2487" w:type="dxa"/>
            <w:vAlign w:val="center"/>
            <w:hideMark/>
          </w:tcPr>
          <w:p w:rsidR="00A05C63" w:rsidRPr="00D730A4" w:rsidRDefault="00A05C63" w:rsidP="001153FA">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Political and bureaucratic instability</w:t>
            </w:r>
            <w:r w:rsidRPr="00EB647D">
              <w:rPr>
                <w:rFonts w:ascii="Franklin Gothic Book" w:eastAsia="Times New Roman" w:hAnsi="Franklin Gothic Book"/>
                <w:sz w:val="17"/>
                <w:szCs w:val="17"/>
                <w:lang w:eastAsia="en-US"/>
              </w:rPr>
              <w:t xml:space="preserve"> delays program implementati</w:t>
            </w:r>
            <w:r>
              <w:rPr>
                <w:rFonts w:ascii="Franklin Gothic Book" w:eastAsia="Times New Roman" w:hAnsi="Franklin Gothic Book"/>
                <w:sz w:val="17"/>
                <w:szCs w:val="17"/>
                <w:lang w:eastAsia="en-US"/>
              </w:rPr>
              <w:t>on or changes policy priorities</w:t>
            </w:r>
          </w:p>
        </w:tc>
        <w:tc>
          <w:tcPr>
            <w:tcW w:w="3054" w:type="dxa"/>
            <w:vAlign w:val="center"/>
          </w:tcPr>
          <w:p w:rsidR="00A05C63" w:rsidRPr="00D730A4" w:rsidRDefault="00A05C63" w:rsidP="00712759">
            <w:pPr>
              <w:keepLines/>
              <w:spacing w:before="40" w:after="40" w:line="200" w:lineRule="atLeast"/>
              <w:rPr>
                <w:rFonts w:ascii="Franklin Gothic Book" w:eastAsia="Times New Roman" w:hAnsi="Franklin Gothic Book"/>
                <w:sz w:val="17"/>
                <w:szCs w:val="17"/>
                <w:lang w:eastAsia="en-US"/>
              </w:rPr>
            </w:pPr>
            <w:r w:rsidRPr="00EB647D">
              <w:rPr>
                <w:rFonts w:ascii="Franklin Gothic Book" w:eastAsia="Times New Roman" w:hAnsi="Franklin Gothic Book"/>
                <w:sz w:val="17"/>
                <w:szCs w:val="17"/>
                <w:lang w:eastAsia="en-US"/>
              </w:rPr>
              <w:t>Close monitoring in Port Vila; regular high-level meetings to assess ongoing relevance and performance of aid program</w:t>
            </w:r>
          </w:p>
        </w:tc>
        <w:tc>
          <w:tcPr>
            <w:tcW w:w="3124" w:type="dxa"/>
            <w:vAlign w:val="center"/>
          </w:tcPr>
          <w:p w:rsidR="00A05C63" w:rsidRPr="00DA6070" w:rsidRDefault="00A05C63" w:rsidP="00712759">
            <w:pPr>
              <w:keepLines/>
              <w:spacing w:before="40" w:after="40" w:line="200" w:lineRule="atLeast"/>
              <w:rPr>
                <w:rFonts w:ascii="Franklin Gothic Book" w:eastAsia="Times New Roman" w:hAnsi="Franklin Gothic Book"/>
                <w:sz w:val="17"/>
                <w:szCs w:val="17"/>
                <w:lang w:eastAsia="en-US"/>
              </w:rPr>
            </w:pPr>
            <w:r w:rsidRPr="00EB647D">
              <w:rPr>
                <w:rFonts w:ascii="Franklin Gothic Book" w:eastAsia="Times New Roman" w:hAnsi="Franklin Gothic Book"/>
                <w:sz w:val="17"/>
                <w:szCs w:val="17"/>
                <w:lang w:eastAsia="en-US"/>
              </w:rPr>
              <w:t xml:space="preserve">Close monitoring in Port Vila; regular high-level meetings to assess ongoing relevance and performance of aid program; </w:t>
            </w:r>
            <w:r>
              <w:rPr>
                <w:rFonts w:ascii="Franklin Gothic Book" w:eastAsia="Times New Roman" w:hAnsi="Franklin Gothic Book"/>
                <w:sz w:val="17"/>
                <w:szCs w:val="17"/>
                <w:lang w:eastAsia="en-US"/>
              </w:rPr>
              <w:t xml:space="preserve">negotiate a </w:t>
            </w:r>
            <w:r w:rsidR="00712759">
              <w:rPr>
                <w:rFonts w:ascii="Franklin Gothic Book" w:eastAsia="Times New Roman" w:hAnsi="Franklin Gothic Book"/>
                <w:sz w:val="17"/>
                <w:szCs w:val="17"/>
                <w:lang w:eastAsia="en-US"/>
              </w:rPr>
              <w:t xml:space="preserve">new </w:t>
            </w:r>
            <w:r>
              <w:rPr>
                <w:rFonts w:ascii="Franklin Gothic Book" w:eastAsia="Times New Roman" w:hAnsi="Franklin Gothic Book"/>
                <w:sz w:val="17"/>
                <w:szCs w:val="17"/>
                <w:lang w:eastAsia="en-US"/>
              </w:rPr>
              <w:t xml:space="preserve">mutually agreed </w:t>
            </w:r>
            <w:r w:rsidR="00712759">
              <w:rPr>
                <w:rFonts w:ascii="Franklin Gothic Book" w:eastAsia="Times New Roman" w:hAnsi="Franklin Gothic Book"/>
                <w:sz w:val="17"/>
                <w:szCs w:val="17"/>
                <w:lang w:eastAsia="en-US"/>
              </w:rPr>
              <w:t>aid arrangement</w:t>
            </w:r>
          </w:p>
        </w:tc>
      </w:tr>
      <w:tr w:rsidR="00A05C63" w:rsidRPr="00180B19" w:rsidTr="00A05C63">
        <w:tc>
          <w:tcPr>
            <w:tcW w:w="2487" w:type="dxa"/>
            <w:hideMark/>
          </w:tcPr>
          <w:p w:rsidR="00A05C63" w:rsidRPr="00D730A4" w:rsidRDefault="00A05C63" w:rsidP="001153FA">
            <w:pPr>
              <w:keepLines/>
              <w:spacing w:before="40" w:after="40" w:line="200" w:lineRule="atLeast"/>
              <w:rPr>
                <w:rFonts w:ascii="Franklin Gothic Book" w:eastAsia="Times New Roman" w:hAnsi="Franklin Gothic Book"/>
                <w:sz w:val="17"/>
                <w:szCs w:val="17"/>
                <w:lang w:eastAsia="en-US"/>
              </w:rPr>
            </w:pPr>
            <w:r w:rsidRPr="00EB647D">
              <w:rPr>
                <w:rFonts w:ascii="Franklin Gothic Book" w:eastAsia="Times New Roman" w:hAnsi="Franklin Gothic Book"/>
                <w:sz w:val="17"/>
                <w:szCs w:val="17"/>
                <w:lang w:eastAsia="en-US"/>
              </w:rPr>
              <w:t xml:space="preserve">Quality of Vanuatu public expenditure diminishes returns on Australian funds (if they substitute for Vanuatu Government funds for key health and education services, and road maintenance, </w:t>
            </w:r>
            <w:r>
              <w:rPr>
                <w:rFonts w:ascii="Franklin Gothic Book" w:eastAsia="Times New Roman" w:hAnsi="Franklin Gothic Book"/>
                <w:sz w:val="17"/>
                <w:szCs w:val="17"/>
                <w:lang w:eastAsia="en-US"/>
              </w:rPr>
              <w:t>or are inefficiently disbursed)</w:t>
            </w:r>
          </w:p>
        </w:tc>
        <w:tc>
          <w:tcPr>
            <w:tcW w:w="3054" w:type="dxa"/>
            <w:vAlign w:val="center"/>
          </w:tcPr>
          <w:p w:rsidR="00A05C63" w:rsidRPr="00D730A4" w:rsidRDefault="00A05C63" w:rsidP="001153FA">
            <w:pPr>
              <w:keepLines/>
              <w:spacing w:before="40" w:after="40" w:line="200" w:lineRule="atLeast"/>
              <w:rPr>
                <w:rFonts w:ascii="Franklin Gothic Book" w:eastAsia="Times New Roman" w:hAnsi="Franklin Gothic Book"/>
                <w:sz w:val="17"/>
                <w:szCs w:val="17"/>
                <w:lang w:eastAsia="en-US"/>
              </w:rPr>
            </w:pPr>
            <w:r w:rsidRPr="00EB647D">
              <w:rPr>
                <w:rFonts w:ascii="Franklin Gothic Book" w:eastAsia="Times New Roman" w:hAnsi="Franklin Gothic Book"/>
                <w:sz w:val="17"/>
                <w:szCs w:val="17"/>
                <w:lang w:eastAsia="en-US"/>
              </w:rPr>
              <w:t>Ongoing assessment of risks, together with support to strengthen public financial man</w:t>
            </w:r>
            <w:r>
              <w:rPr>
                <w:rFonts w:ascii="Franklin Gothic Book" w:eastAsia="Times New Roman" w:hAnsi="Franklin Gothic Book"/>
                <w:sz w:val="17"/>
                <w:szCs w:val="17"/>
                <w:lang w:eastAsia="en-US"/>
              </w:rPr>
              <w:t>agement in key line ministries</w:t>
            </w:r>
            <w:r w:rsidR="001A5BE4">
              <w:rPr>
                <w:rFonts w:ascii="Franklin Gothic Book" w:eastAsia="Times New Roman" w:hAnsi="Franklin Gothic Book"/>
                <w:sz w:val="17"/>
                <w:szCs w:val="17"/>
                <w:lang w:eastAsia="en-US"/>
              </w:rPr>
              <w:t>. Ongoing policy dialogue through both sector programs and the GFG program</w:t>
            </w:r>
          </w:p>
        </w:tc>
        <w:tc>
          <w:tcPr>
            <w:tcW w:w="3124" w:type="dxa"/>
            <w:vAlign w:val="center"/>
          </w:tcPr>
          <w:p w:rsidR="00A05C63" w:rsidRPr="00DA6070" w:rsidRDefault="003F2894" w:rsidP="00712759">
            <w:pPr>
              <w:keepLines/>
              <w:spacing w:before="40" w:after="40" w:line="200" w:lineRule="atLeast"/>
              <w:rPr>
                <w:rFonts w:ascii="Franklin Gothic Book" w:eastAsia="Times New Roman" w:hAnsi="Franklin Gothic Book"/>
                <w:sz w:val="17"/>
                <w:szCs w:val="17"/>
                <w:lang w:eastAsia="en-US"/>
              </w:rPr>
            </w:pPr>
            <w:r w:rsidRPr="003F2894">
              <w:rPr>
                <w:rFonts w:ascii="Franklin Gothic Book" w:eastAsia="Times New Roman" w:hAnsi="Franklin Gothic Book"/>
                <w:sz w:val="17"/>
                <w:szCs w:val="17"/>
                <w:lang w:eastAsia="en-US"/>
              </w:rPr>
              <w:t xml:space="preserve">Updated </w:t>
            </w:r>
            <w:r w:rsidR="00712759">
              <w:rPr>
                <w:rFonts w:ascii="Franklin Gothic Book" w:eastAsia="Times New Roman" w:hAnsi="Franklin Gothic Book"/>
                <w:sz w:val="17"/>
                <w:szCs w:val="17"/>
                <w:lang w:eastAsia="en-US"/>
              </w:rPr>
              <w:t>aid arrangement</w:t>
            </w:r>
            <w:r w:rsidRPr="003F2894">
              <w:rPr>
                <w:rFonts w:ascii="Franklin Gothic Book" w:eastAsia="Times New Roman" w:hAnsi="Franklin Gothic Book"/>
                <w:sz w:val="17"/>
                <w:szCs w:val="17"/>
                <w:lang w:eastAsia="en-US"/>
              </w:rPr>
              <w:t xml:space="preserve"> will provide clearly agreed targets and incentives for funding of shared recurrent costs. </w:t>
            </w:r>
            <w:r w:rsidR="00A05C63">
              <w:rPr>
                <w:rFonts w:ascii="Franklin Gothic Book" w:eastAsia="Times New Roman" w:hAnsi="Franklin Gothic Book"/>
                <w:sz w:val="17"/>
                <w:szCs w:val="17"/>
                <w:lang w:eastAsia="en-US"/>
              </w:rPr>
              <w:t xml:space="preserve">Negotiate output-based aid approaches for new investments </w:t>
            </w:r>
          </w:p>
        </w:tc>
      </w:tr>
      <w:tr w:rsidR="00A05C63" w:rsidRPr="00180B19" w:rsidTr="00A05C63">
        <w:tc>
          <w:tcPr>
            <w:tcW w:w="2487" w:type="dxa"/>
          </w:tcPr>
          <w:p w:rsidR="00A05C63" w:rsidRPr="00D730A4" w:rsidRDefault="00A05C63" w:rsidP="001153FA">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Effectiveness of Australian aid is compromised by its fragmentation and administrative burden on all partners</w:t>
            </w:r>
          </w:p>
        </w:tc>
        <w:tc>
          <w:tcPr>
            <w:tcW w:w="3054" w:type="dxa"/>
            <w:vAlign w:val="center"/>
          </w:tcPr>
          <w:p w:rsidR="00A05C63" w:rsidRPr="00D730A4" w:rsidRDefault="00A05C63" w:rsidP="001153FA">
            <w:pPr>
              <w:keepLines/>
              <w:spacing w:before="40" w:after="40" w:line="200" w:lineRule="atLeast"/>
              <w:rPr>
                <w:rFonts w:ascii="Franklin Gothic Book" w:eastAsia="Times New Roman" w:hAnsi="Franklin Gothic Book"/>
                <w:sz w:val="17"/>
                <w:szCs w:val="17"/>
                <w:lang w:eastAsia="en-US"/>
              </w:rPr>
            </w:pPr>
            <w:r w:rsidRPr="00D730A4">
              <w:rPr>
                <w:rFonts w:ascii="Franklin Gothic Book" w:eastAsia="Times New Roman" w:hAnsi="Franklin Gothic Book"/>
                <w:sz w:val="17"/>
                <w:szCs w:val="17"/>
                <w:lang w:eastAsia="en-US"/>
              </w:rPr>
              <w:t>Continue</w:t>
            </w:r>
            <w:r w:rsidR="000419EE">
              <w:rPr>
                <w:rFonts w:ascii="Franklin Gothic Book" w:eastAsia="Times New Roman" w:hAnsi="Franklin Gothic Book"/>
                <w:sz w:val="17"/>
                <w:szCs w:val="17"/>
                <w:lang w:eastAsia="en-US"/>
              </w:rPr>
              <w:t>d</w:t>
            </w:r>
            <w:r w:rsidRPr="00D730A4">
              <w:rPr>
                <w:rFonts w:ascii="Franklin Gothic Book" w:eastAsia="Times New Roman" w:hAnsi="Franklin Gothic Book"/>
                <w:sz w:val="17"/>
                <w:szCs w:val="17"/>
                <w:lang w:eastAsia="en-US"/>
              </w:rPr>
              <w:t xml:space="preserve"> transition to a more manageable portfolio</w:t>
            </w:r>
            <w:r>
              <w:rPr>
                <w:rFonts w:ascii="Franklin Gothic Book" w:eastAsia="Times New Roman" w:hAnsi="Franklin Gothic Book"/>
                <w:sz w:val="17"/>
                <w:szCs w:val="17"/>
                <w:lang w:eastAsia="en-US"/>
              </w:rPr>
              <w:t>;</w:t>
            </w:r>
            <w:r w:rsidRPr="00D730A4">
              <w:rPr>
                <w:rFonts w:ascii="Franklin Gothic Book" w:eastAsia="Times New Roman" w:hAnsi="Franklin Gothic Book"/>
                <w:sz w:val="17"/>
                <w:szCs w:val="17"/>
                <w:lang w:eastAsia="en-US"/>
              </w:rPr>
              <w:t xml:space="preserve"> </w:t>
            </w:r>
            <w:r>
              <w:rPr>
                <w:rFonts w:ascii="Franklin Gothic Book" w:eastAsia="Times New Roman" w:hAnsi="Franklin Gothic Book"/>
                <w:sz w:val="17"/>
                <w:szCs w:val="17"/>
                <w:lang w:eastAsia="en-US"/>
              </w:rPr>
              <w:t>c</w:t>
            </w:r>
            <w:r w:rsidRPr="00D730A4">
              <w:rPr>
                <w:rFonts w:ascii="Franklin Gothic Book" w:eastAsia="Times New Roman" w:hAnsi="Franklin Gothic Book"/>
                <w:sz w:val="17"/>
                <w:szCs w:val="17"/>
                <w:lang w:eastAsia="en-US"/>
              </w:rPr>
              <w:t xml:space="preserve">ontinue to strengthen </w:t>
            </w:r>
            <w:r>
              <w:rPr>
                <w:rFonts w:ascii="Franklin Gothic Book" w:eastAsia="Times New Roman" w:hAnsi="Franklin Gothic Book"/>
                <w:sz w:val="17"/>
                <w:szCs w:val="17"/>
                <w:lang w:eastAsia="en-US"/>
              </w:rPr>
              <w:t xml:space="preserve">and resource </w:t>
            </w:r>
            <w:r w:rsidRPr="00D730A4">
              <w:rPr>
                <w:rFonts w:ascii="Franklin Gothic Book" w:eastAsia="Times New Roman" w:hAnsi="Franklin Gothic Book"/>
                <w:sz w:val="17"/>
                <w:szCs w:val="17"/>
                <w:lang w:eastAsia="en-US"/>
              </w:rPr>
              <w:t>performance management</w:t>
            </w:r>
          </w:p>
        </w:tc>
        <w:tc>
          <w:tcPr>
            <w:tcW w:w="3124" w:type="dxa"/>
            <w:vAlign w:val="center"/>
          </w:tcPr>
          <w:p w:rsidR="00A05C63" w:rsidRPr="00DA6070" w:rsidRDefault="00A05C63" w:rsidP="00F72142">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 xml:space="preserve">Maintain focused and consolidated portfolio; continue use of transparent standards to </w:t>
            </w:r>
            <w:r w:rsidR="000419EE">
              <w:rPr>
                <w:rFonts w:ascii="Franklin Gothic Book" w:eastAsia="Times New Roman" w:hAnsi="Franklin Gothic Book"/>
                <w:sz w:val="17"/>
                <w:szCs w:val="17"/>
                <w:lang w:eastAsia="en-US"/>
              </w:rPr>
              <w:t xml:space="preserve">monitor </w:t>
            </w:r>
            <w:r>
              <w:rPr>
                <w:rFonts w:ascii="Franklin Gothic Book" w:eastAsia="Times New Roman" w:hAnsi="Franklin Gothic Book"/>
                <w:sz w:val="17"/>
                <w:szCs w:val="17"/>
                <w:lang w:eastAsia="en-US"/>
              </w:rPr>
              <w:t>performance management and quality</w:t>
            </w:r>
          </w:p>
        </w:tc>
      </w:tr>
    </w:tbl>
    <w:p w:rsidR="000D733F" w:rsidRDefault="000D733F" w:rsidP="000D733F">
      <w:pPr>
        <w:pStyle w:val="Caption"/>
      </w:pPr>
      <w:r>
        <w:t>Table 4 Rating of the program's risk management monitoring maturity</w:t>
      </w:r>
    </w:p>
    <w:tbl>
      <w:tblPr>
        <w:tblStyle w:val="APPR"/>
        <w:tblW w:w="3644" w:type="pct"/>
        <w:tblLook w:val="0000" w:firstRow="0" w:lastRow="0" w:firstColumn="0" w:lastColumn="0" w:noHBand="0" w:noVBand="0"/>
      </w:tblPr>
      <w:tblGrid>
        <w:gridCol w:w="4651"/>
        <w:gridCol w:w="1746"/>
      </w:tblGrid>
      <w:tr w:rsidR="000D733F" w:rsidRPr="0019341B" w:rsidTr="00C939DB">
        <w:trPr>
          <w:cnfStyle w:val="000000010000" w:firstRow="0" w:lastRow="0" w:firstColumn="0" w:lastColumn="0" w:oddVBand="0" w:evenVBand="0" w:oddHBand="0" w:evenHBand="1" w:firstRowFirstColumn="0" w:firstRowLastColumn="0" w:lastRowFirstColumn="0" w:lastRowLastColumn="0"/>
          <w:trHeight w:val="384"/>
        </w:trPr>
        <w:tc>
          <w:tcPr>
            <w:tcW w:w="4609" w:type="dxa"/>
          </w:tcPr>
          <w:p w:rsidR="000D733F"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03B2C5F4" wp14:editId="7C60D6E9">
                  <wp:simplePos x="0" y="0"/>
                  <wp:positionH relativeFrom="column">
                    <wp:posOffset>0</wp:posOffset>
                  </wp:positionH>
                  <wp:positionV relativeFrom="paragraph">
                    <wp:posOffset>0</wp:posOffset>
                  </wp:positionV>
                  <wp:extent cx="1857375" cy="228600"/>
                  <wp:effectExtent l="0" t="0" r="9525" b="0"/>
                  <wp:wrapNone/>
                  <wp:docPr id="13" name="Picture 1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Risk Accountability Level</w:t>
            </w:r>
          </w:p>
        </w:tc>
        <w:tc>
          <w:tcPr>
            <w:tcW w:w="1704" w:type="dxa"/>
          </w:tcPr>
          <w:p w:rsidR="000D733F" w:rsidRPr="0019341B" w:rsidRDefault="000D733F" w:rsidP="000D733F">
            <w:pPr>
              <w:pStyle w:val="TableTextColumnHeading"/>
            </w:pPr>
            <w:r>
              <w:t>Current Rating</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sz w:val="17"/>
                <w:szCs w:val="17"/>
                <w:lang w:eastAsia="en-US"/>
              </w:rPr>
              <w:t>Overall rating for the program</w:t>
            </w:r>
          </w:p>
        </w:tc>
        <w:tc>
          <w:tcPr>
            <w:tcW w:w="1704" w:type="dxa"/>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color w:val="FFFFFF" w:themeColor="background1"/>
                <w:sz w:val="17"/>
                <w:szCs w:val="17"/>
                <w:lang w:eastAsia="en-US"/>
              </w:rPr>
            </w:pPr>
            <w:r>
              <w:rPr>
                <w:rFonts w:ascii="Franklin Gothic Book" w:eastAsia="Times New Roman" w:hAnsi="Franklin Gothic Book"/>
                <w:sz w:val="17"/>
                <w:szCs w:val="17"/>
                <w:lang w:eastAsia="en-US"/>
              </w:rPr>
              <w:t>Objective</w:t>
            </w:r>
            <w:r w:rsidRPr="00DA6070">
              <w:rPr>
                <w:rFonts w:ascii="Franklin Gothic Book" w:eastAsia="Times New Roman" w:hAnsi="Franklin Gothic Book"/>
                <w:sz w:val="17"/>
                <w:szCs w:val="17"/>
                <w:lang w:eastAsia="en-US"/>
              </w:rPr>
              <w:t xml:space="preserve"> 1</w:t>
            </w:r>
            <w:r>
              <w:rPr>
                <w:rFonts w:ascii="Franklin Gothic Book" w:eastAsia="Times New Roman" w:hAnsi="Franklin Gothic Book"/>
                <w:sz w:val="17"/>
                <w:szCs w:val="17"/>
                <w:lang w:eastAsia="en-US"/>
              </w:rPr>
              <w:t>: Education</w:t>
            </w:r>
          </w:p>
        </w:tc>
        <w:tc>
          <w:tcPr>
            <w:tcW w:w="1704" w:type="dxa"/>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Objective 2: Health</w:t>
            </w:r>
          </w:p>
        </w:tc>
        <w:tc>
          <w:tcPr>
            <w:tcW w:w="1704" w:type="dxa"/>
            <w:tcBorders>
              <w:bottom w:val="none" w:sz="0" w:space="0" w:color="auto"/>
            </w:tcBorders>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Objective 3: Infrastructure</w:t>
            </w:r>
          </w:p>
        </w:tc>
        <w:tc>
          <w:tcPr>
            <w:tcW w:w="1704" w:type="dxa"/>
            <w:tcBorders>
              <w:bottom w:val="none" w:sz="0" w:space="0" w:color="auto"/>
            </w:tcBorders>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Objective 4: Economic Governance</w:t>
            </w:r>
          </w:p>
        </w:tc>
        <w:tc>
          <w:tcPr>
            <w:tcW w:w="1704" w:type="dxa"/>
            <w:tcBorders>
              <w:bottom w:val="none" w:sz="0" w:space="0" w:color="auto"/>
            </w:tcBorders>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r w:rsidR="00A05C63" w:rsidRPr="009D53C4" w:rsidTr="00A05C63">
        <w:trPr>
          <w:cnfStyle w:val="000000010000" w:firstRow="0" w:lastRow="0" w:firstColumn="0" w:lastColumn="0" w:oddVBand="0" w:evenVBand="0" w:oddHBand="0" w:evenHBand="1" w:firstRowFirstColumn="0" w:firstRowLastColumn="0" w:lastRowFirstColumn="0" w:lastRowLastColumn="0"/>
        </w:trPr>
        <w:tc>
          <w:tcPr>
            <w:tcW w:w="4609" w:type="dxa"/>
          </w:tcPr>
          <w:p w:rsidR="00A05C63" w:rsidRPr="00DA6070" w:rsidRDefault="00A05C63" w:rsidP="001153FA">
            <w:pPr>
              <w:keepLines/>
              <w:spacing w:before="40" w:after="40" w:line="200" w:lineRule="atLeast"/>
              <w:rPr>
                <w:rFonts w:ascii="Franklin Gothic Book" w:eastAsia="Times New Roman" w:hAnsi="Franklin Gothic Book"/>
                <w:color w:val="FFFFFF" w:themeColor="background1"/>
                <w:sz w:val="17"/>
                <w:szCs w:val="17"/>
                <w:lang w:eastAsia="en-US"/>
              </w:rPr>
            </w:pPr>
            <w:r>
              <w:rPr>
                <w:rFonts w:ascii="Franklin Gothic Book" w:eastAsia="Times New Roman" w:hAnsi="Franklin Gothic Book"/>
                <w:sz w:val="17"/>
                <w:szCs w:val="17"/>
                <w:lang w:eastAsia="en-US"/>
              </w:rPr>
              <w:t>Objective 5: Law and Justice</w:t>
            </w:r>
          </w:p>
        </w:tc>
        <w:tc>
          <w:tcPr>
            <w:tcW w:w="1704" w:type="dxa"/>
            <w:tcBorders>
              <w:bottom w:val="single" w:sz="12" w:space="0" w:color="000000" w:themeColor="text1"/>
            </w:tcBorders>
            <w:shd w:val="clear" w:color="auto" w:fill="92D050"/>
            <w:noWrap/>
          </w:tcPr>
          <w:p w:rsidR="00A05C63" w:rsidRPr="00DA6070" w:rsidRDefault="00A05C63" w:rsidP="001153FA">
            <w:pPr>
              <w:keepLines/>
              <w:spacing w:before="40" w:after="40" w:line="200" w:lineRule="atLeast"/>
              <w:jc w:val="center"/>
              <w:rPr>
                <w:rFonts w:ascii="Franklin Gothic Book" w:eastAsia="Times New Roman" w:hAnsi="Franklin Gothic Book"/>
                <w:color w:val="FFFFFF" w:themeColor="background1"/>
                <w:sz w:val="17"/>
                <w:szCs w:val="17"/>
                <w:lang w:eastAsia="en-US"/>
              </w:rPr>
            </w:pPr>
            <w:r w:rsidRPr="00DA6070">
              <w:rPr>
                <w:rFonts w:ascii="Franklin Gothic Book" w:eastAsia="Times New Roman" w:hAnsi="Franklin Gothic Book"/>
                <w:color w:val="FFFFFF" w:themeColor="background1"/>
                <w:sz w:val="17"/>
                <w:szCs w:val="17"/>
                <w:lang w:eastAsia="en-US"/>
              </w:rPr>
              <w:t>Mature</w:t>
            </w:r>
          </w:p>
        </w:tc>
      </w:tr>
    </w:tbl>
    <w:p w:rsidR="000D733F" w:rsidRPr="00180B19" w:rsidRDefault="000D733F" w:rsidP="005C2C57">
      <w:pPr>
        <w:pStyle w:val="Note"/>
      </w:pPr>
      <w:r w:rsidRPr="00180B19">
        <w:t xml:space="preserve">Note: </w:t>
      </w:r>
    </w:p>
    <w:p w:rsidR="008E29AB" w:rsidRDefault="008E29AB" w:rsidP="007E2350">
      <w:pPr>
        <w:spacing w:before="20" w:after="20" w:line="180" w:lineRule="atLeast"/>
        <w:rPr>
          <w:rFonts w:ascii="Franklin Gothic Book" w:hAnsi="Franklin Gothic Book"/>
          <w:sz w:val="14"/>
          <w:szCs w:val="14"/>
        </w:rPr>
      </w:pPr>
      <w:r>
        <w:rPr>
          <w:rFonts w:ascii="Webdings" w:hAnsi="Webdings"/>
          <w:color w:val="92D050"/>
          <w:sz w:val="14"/>
          <w:szCs w:val="14"/>
        </w:rPr>
        <w:t></w:t>
      </w:r>
      <w:r>
        <w:rPr>
          <w:rFonts w:ascii="Franklin Gothic Book" w:hAnsi="Franklin Gothic Book"/>
          <w:sz w:val="14"/>
          <w:szCs w:val="14"/>
        </w:rPr>
        <w:t> </w:t>
      </w:r>
      <w:r>
        <w:rPr>
          <w:rFonts w:ascii="Franklin Gothic Book" w:hAnsi="Franklin Gothic Book"/>
          <w:sz w:val="14"/>
          <w:szCs w:val="14"/>
        </w:rPr>
        <w:t xml:space="preserve"> Mature. Overall program: country/regional senior managers have discussions about risk at least monthly and update country risk register at least quarterly.  Sectors: sector management team has discussions about risk at least monthly and update risk register at least quarterly.  </w:t>
      </w:r>
    </w:p>
    <w:p w:rsidR="008E29AB" w:rsidRDefault="008E29AB" w:rsidP="007E2350">
      <w:pPr>
        <w:spacing w:before="20" w:after="20" w:line="180" w:lineRule="atLeast"/>
        <w:rPr>
          <w:rFonts w:ascii="Franklin Gothic Book" w:hAnsi="Franklin Gothic Book"/>
          <w:sz w:val="14"/>
          <w:szCs w:val="14"/>
        </w:rPr>
      </w:pPr>
      <w:r>
        <w:rPr>
          <w:rFonts w:ascii="Webdings" w:hAnsi="Webdings"/>
          <w:color w:val="F79646"/>
          <w:sz w:val="14"/>
          <w:szCs w:val="14"/>
        </w:rPr>
        <w:t></w:t>
      </w:r>
      <w:r>
        <w:rPr>
          <w:rFonts w:ascii="Franklin Gothic Book" w:hAnsi="Franklin Gothic Book"/>
          <w:sz w:val="14"/>
          <w:szCs w:val="14"/>
        </w:rPr>
        <w:t> </w:t>
      </w:r>
      <w:r>
        <w:rPr>
          <w:rFonts w:ascii="Franklin Gothic Book" w:hAnsi="Franklin Gothic Book"/>
          <w:sz w:val="14"/>
          <w:szCs w:val="14"/>
        </w:rPr>
        <w:t xml:space="preserve"> Intermediate. Overall program: country/regional senior managers have discussions about risk at least annually and update country risk register at least annually.  Sectors: sector management team has discussions about risk at least monthly and update risk register at least annually. </w:t>
      </w:r>
    </w:p>
    <w:p w:rsidR="008E29AB" w:rsidRDefault="008E29AB" w:rsidP="007E2350">
      <w:pPr>
        <w:spacing w:before="20" w:after="20" w:line="180" w:lineRule="atLeast"/>
        <w:rPr>
          <w:rFonts w:ascii="Franklin Gothic Book" w:hAnsi="Franklin Gothic Book"/>
          <w:sz w:val="14"/>
          <w:szCs w:val="14"/>
        </w:rPr>
      </w:pPr>
      <w:r>
        <w:rPr>
          <w:rFonts w:ascii="Webdings" w:hAnsi="Webdings"/>
          <w:color w:val="FF0000"/>
          <w:sz w:val="14"/>
          <w:szCs w:val="14"/>
        </w:rPr>
        <w:t></w:t>
      </w:r>
      <w:r>
        <w:rPr>
          <w:rFonts w:ascii="Franklin Gothic Book" w:hAnsi="Franklin Gothic Book"/>
          <w:sz w:val="14"/>
          <w:szCs w:val="14"/>
        </w:rPr>
        <w:t> </w:t>
      </w:r>
      <w:r>
        <w:rPr>
          <w:rFonts w:ascii="Franklin Gothic Book" w:hAnsi="Franklin Gothic Book"/>
          <w:sz w:val="14"/>
          <w:szCs w:val="14"/>
        </w:rPr>
        <w:t xml:space="preserve"> Basic.  Overall program: country/regional senior managers have discussions about risk less than annually and update country risk register less than annually.  Sectors: sector management team has discussions about risk less than annually and update risk register less than annually.</w:t>
      </w:r>
    </w:p>
    <w:p w:rsidR="000D733F" w:rsidRPr="003275D0" w:rsidRDefault="000D733F" w:rsidP="007E2350">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4F3AA2" w:rsidRDefault="009B3891" w:rsidP="007E2350">
      <w:pPr>
        <w:pStyle w:val="ListBullet"/>
        <w:numPr>
          <w:ilvl w:val="0"/>
          <w:numId w:val="0"/>
        </w:numPr>
        <w:tabs>
          <w:tab w:val="clear" w:pos="284"/>
        </w:tabs>
        <w:ind w:left="360" w:hanging="360"/>
      </w:pPr>
      <w:r>
        <w:rPr>
          <w:b/>
        </w:rPr>
        <w:t>New aid partnership</w:t>
      </w:r>
    </w:p>
    <w:p w:rsidR="009B3891" w:rsidRDefault="009B3891" w:rsidP="005C2C57">
      <w:pPr>
        <w:keepNext/>
        <w:tabs>
          <w:tab w:val="left" w:pos="284"/>
        </w:tabs>
        <w:spacing w:after="120" w:line="280" w:lineRule="exact"/>
        <w:rPr>
          <w:rFonts w:ascii="Franklin Gothic Book" w:eastAsia="Times New Roman" w:hAnsi="Franklin Gothic Book"/>
          <w:sz w:val="21"/>
        </w:rPr>
      </w:pPr>
      <w:r w:rsidRPr="009B3891">
        <w:rPr>
          <w:rFonts w:ascii="Franklin Gothic Book" w:eastAsia="Times New Roman" w:hAnsi="Franklin Gothic Book"/>
          <w:sz w:val="21"/>
        </w:rPr>
        <w:t>The current Partnership for Development was signed in 2009. Although the document and its underlying principles remain broadly relevant</w:t>
      </w:r>
      <w:r w:rsidR="000419EE">
        <w:rPr>
          <w:rFonts w:ascii="Franklin Gothic Book" w:eastAsia="Times New Roman" w:hAnsi="Franklin Gothic Book"/>
          <w:sz w:val="21"/>
        </w:rPr>
        <w:t>,</w:t>
      </w:r>
      <w:r w:rsidRPr="009B3891">
        <w:rPr>
          <w:rFonts w:ascii="Franklin Gothic Book" w:eastAsia="Times New Roman" w:hAnsi="Franklin Gothic Book"/>
          <w:sz w:val="21"/>
        </w:rPr>
        <w:t xml:space="preserve"> </w:t>
      </w:r>
      <w:r>
        <w:rPr>
          <w:rFonts w:ascii="Franklin Gothic Book" w:eastAsia="Times New Roman" w:hAnsi="Franklin Gothic Book"/>
          <w:sz w:val="21"/>
        </w:rPr>
        <w:t>there are many aspects requiring</w:t>
      </w:r>
      <w:r w:rsidRPr="009B3891">
        <w:rPr>
          <w:rFonts w:ascii="Franklin Gothic Book" w:eastAsia="Times New Roman" w:hAnsi="Franklin Gothic Book"/>
          <w:sz w:val="21"/>
        </w:rPr>
        <w:t xml:space="preserve"> updating.</w:t>
      </w:r>
      <w:r>
        <w:rPr>
          <w:rFonts w:ascii="Franklin Gothic Book" w:eastAsia="Times New Roman" w:hAnsi="Franklin Gothic Book"/>
          <w:sz w:val="21"/>
        </w:rPr>
        <w:t xml:space="preserve"> Some targets have been met or superseded and in some sectors the implementation context has changed significantly.</w:t>
      </w:r>
    </w:p>
    <w:p w:rsidR="009B3891" w:rsidRDefault="009B3891" w:rsidP="009B3891">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On 18 June 2014, the Australian Government released a new aid policy and</w:t>
      </w:r>
      <w:r w:rsidR="005C2C57">
        <w:rPr>
          <w:rFonts w:ascii="Franklin Gothic Book" w:eastAsia="Times New Roman" w:hAnsi="Franklin Gothic Book"/>
          <w:sz w:val="21"/>
        </w:rPr>
        <w:t xml:space="preserve"> a</w:t>
      </w:r>
      <w:r>
        <w:rPr>
          <w:rFonts w:ascii="Franklin Gothic Book" w:eastAsia="Times New Roman" w:hAnsi="Franklin Gothic Book"/>
          <w:sz w:val="21"/>
        </w:rPr>
        <w:t xml:space="preserve"> framework for </w:t>
      </w:r>
      <w:r w:rsidR="005C2C57">
        <w:rPr>
          <w:rFonts w:ascii="Franklin Gothic Book" w:eastAsia="Times New Roman" w:hAnsi="Franklin Gothic Book"/>
          <w:sz w:val="21"/>
        </w:rPr>
        <w:t>performance management</w:t>
      </w:r>
      <w:r>
        <w:rPr>
          <w:rFonts w:ascii="Franklin Gothic Book" w:eastAsia="Times New Roman" w:hAnsi="Franklin Gothic Book"/>
          <w:sz w:val="21"/>
        </w:rPr>
        <w:t xml:space="preserve">. This policy and the </w:t>
      </w:r>
      <w:r w:rsidR="005C2C57">
        <w:rPr>
          <w:rFonts w:ascii="Franklin Gothic Book" w:eastAsia="Times New Roman" w:hAnsi="Franklin Gothic Book"/>
          <w:sz w:val="21"/>
        </w:rPr>
        <w:t xml:space="preserve">establishment of a </w:t>
      </w:r>
      <w:r>
        <w:rPr>
          <w:rFonts w:ascii="Franklin Gothic Book" w:eastAsia="Times New Roman" w:hAnsi="Franklin Gothic Book"/>
          <w:sz w:val="21"/>
        </w:rPr>
        <w:t xml:space="preserve">new Vanuatu Government provide an </w:t>
      </w:r>
      <w:r w:rsidR="006604F7">
        <w:rPr>
          <w:rFonts w:ascii="Franklin Gothic Book" w:eastAsia="Times New Roman" w:hAnsi="Franklin Gothic Book"/>
          <w:sz w:val="21"/>
        </w:rPr>
        <w:t>opportunity</w:t>
      </w:r>
      <w:r>
        <w:rPr>
          <w:rFonts w:ascii="Franklin Gothic Book" w:eastAsia="Times New Roman" w:hAnsi="Franklin Gothic Book"/>
          <w:sz w:val="21"/>
        </w:rPr>
        <w:t xml:space="preserve"> for Australia and Vanuatu to revisit their</w:t>
      </w:r>
      <w:r w:rsidR="006604F7">
        <w:rPr>
          <w:rFonts w:ascii="Franklin Gothic Book" w:eastAsia="Times New Roman" w:hAnsi="Franklin Gothic Book"/>
          <w:sz w:val="21"/>
        </w:rPr>
        <w:t xml:space="preserve"> aid arrangement</w:t>
      </w:r>
      <w:r>
        <w:rPr>
          <w:rFonts w:ascii="Franklin Gothic Book" w:eastAsia="Times New Roman" w:hAnsi="Franklin Gothic Book"/>
          <w:sz w:val="21"/>
        </w:rPr>
        <w:t xml:space="preserve"> and agree a </w:t>
      </w:r>
      <w:r w:rsidR="000419EE">
        <w:rPr>
          <w:rFonts w:ascii="Franklin Gothic Book" w:eastAsia="Times New Roman" w:hAnsi="Franklin Gothic Book"/>
          <w:sz w:val="21"/>
        </w:rPr>
        <w:t xml:space="preserve">new </w:t>
      </w:r>
      <w:r>
        <w:rPr>
          <w:rFonts w:ascii="Franklin Gothic Book" w:eastAsia="Times New Roman" w:hAnsi="Franklin Gothic Book"/>
          <w:sz w:val="21"/>
        </w:rPr>
        <w:t xml:space="preserve">set of </w:t>
      </w:r>
      <w:r w:rsidR="005C2C57">
        <w:rPr>
          <w:rFonts w:ascii="Franklin Gothic Book" w:eastAsia="Times New Roman" w:hAnsi="Franklin Gothic Book"/>
          <w:sz w:val="21"/>
        </w:rPr>
        <w:t>objectives</w:t>
      </w:r>
      <w:r w:rsidR="000419EE">
        <w:rPr>
          <w:rFonts w:ascii="Franklin Gothic Book" w:eastAsia="Times New Roman" w:hAnsi="Franklin Gothic Book"/>
          <w:sz w:val="21"/>
        </w:rPr>
        <w:t>.</w:t>
      </w:r>
    </w:p>
    <w:p w:rsidR="00422BD8" w:rsidRDefault="009B3891" w:rsidP="009B3891">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The new aid arrangement will need</w:t>
      </w:r>
      <w:r w:rsidR="00422BD8">
        <w:rPr>
          <w:rFonts w:ascii="Franklin Gothic Book" w:eastAsia="Times New Roman" w:hAnsi="Franklin Gothic Book"/>
          <w:sz w:val="21"/>
        </w:rPr>
        <w:t xml:space="preserve"> to articulate clear focus areas, performance benchmarks and mutual obligations. It will also need to</w:t>
      </w:r>
      <w:r>
        <w:rPr>
          <w:rFonts w:ascii="Franklin Gothic Book" w:eastAsia="Times New Roman" w:hAnsi="Franklin Gothic Book"/>
          <w:sz w:val="21"/>
        </w:rPr>
        <w:t xml:space="preserve"> </w:t>
      </w:r>
      <w:r w:rsidR="00422BD8">
        <w:rPr>
          <w:rFonts w:ascii="Franklin Gothic Book" w:eastAsia="Times New Roman" w:hAnsi="Franklin Gothic Book"/>
          <w:sz w:val="21"/>
        </w:rPr>
        <w:t>better consider the role of the private sector and civil society.</w:t>
      </w:r>
      <w:r w:rsidR="00AA27D4">
        <w:rPr>
          <w:rFonts w:ascii="Franklin Gothic Book" w:eastAsia="Times New Roman" w:hAnsi="Franklin Gothic Book"/>
          <w:sz w:val="21"/>
        </w:rPr>
        <w:t xml:space="preserve"> </w:t>
      </w:r>
    </w:p>
    <w:p w:rsidR="00422BD8" w:rsidRDefault="006604F7" w:rsidP="009B3891">
      <w:pPr>
        <w:tabs>
          <w:tab w:val="left" w:pos="284"/>
        </w:tabs>
        <w:spacing w:after="120" w:line="280" w:lineRule="exact"/>
        <w:rPr>
          <w:rFonts w:ascii="Franklin Gothic Book" w:eastAsia="Times New Roman" w:hAnsi="Franklin Gothic Book"/>
          <w:b/>
          <w:sz w:val="21"/>
        </w:rPr>
      </w:pPr>
      <w:r>
        <w:rPr>
          <w:rFonts w:ascii="Franklin Gothic Book" w:eastAsia="Times New Roman" w:hAnsi="Franklin Gothic Book"/>
          <w:b/>
          <w:sz w:val="21"/>
        </w:rPr>
        <w:t>C</w:t>
      </w:r>
      <w:r w:rsidR="00422BD8">
        <w:rPr>
          <w:rFonts w:ascii="Franklin Gothic Book" w:eastAsia="Times New Roman" w:hAnsi="Franklin Gothic Book"/>
          <w:b/>
          <w:sz w:val="21"/>
        </w:rPr>
        <w:t>onsolidation and efficiency improvements</w:t>
      </w:r>
    </w:p>
    <w:p w:rsidR="00422BD8" w:rsidRDefault="00422BD8" w:rsidP="009B3891">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Although there has been some progress </w:t>
      </w:r>
      <w:r w:rsidR="00F72142">
        <w:rPr>
          <w:rFonts w:ascii="Franklin Gothic Book" w:eastAsia="Times New Roman" w:hAnsi="Franklin Gothic Book"/>
          <w:sz w:val="21"/>
        </w:rPr>
        <w:t xml:space="preserve">in </w:t>
      </w:r>
      <w:r>
        <w:rPr>
          <w:rFonts w:ascii="Franklin Gothic Book" w:eastAsia="Times New Roman" w:hAnsi="Franklin Gothic Book"/>
          <w:sz w:val="21"/>
        </w:rPr>
        <w:t>consolidating the program, there remains a need to further consider options to improve the efficienc</w:t>
      </w:r>
      <w:r w:rsidR="005C2C57">
        <w:rPr>
          <w:rFonts w:ascii="Franklin Gothic Book" w:eastAsia="Times New Roman" w:hAnsi="Franklin Gothic Book"/>
          <w:sz w:val="21"/>
        </w:rPr>
        <w:t>y</w:t>
      </w:r>
      <w:r>
        <w:rPr>
          <w:rFonts w:ascii="Franklin Gothic Book" w:eastAsia="Times New Roman" w:hAnsi="Franklin Gothic Book"/>
          <w:sz w:val="21"/>
        </w:rPr>
        <w:t xml:space="preserve"> of agreement management and modality choice.</w:t>
      </w:r>
      <w:r w:rsidR="00487ED1">
        <w:rPr>
          <w:rFonts w:ascii="Franklin Gothic Book" w:eastAsia="Times New Roman" w:hAnsi="Franklin Gothic Book"/>
          <w:sz w:val="21"/>
        </w:rPr>
        <w:t xml:space="preserve"> </w:t>
      </w:r>
      <w:r>
        <w:rPr>
          <w:rFonts w:ascii="Franklin Gothic Book" w:eastAsia="Times New Roman" w:hAnsi="Franklin Gothic Book"/>
          <w:sz w:val="21"/>
        </w:rPr>
        <w:t>The program needs to continue ongoing assessment of the value for money of its investments and look at approaches that ensure effective implementation with reduced human resources and that will support better overall budget management.</w:t>
      </w:r>
      <w:r w:rsidR="00621F6F">
        <w:rPr>
          <w:rFonts w:ascii="Franklin Gothic Book" w:eastAsia="Times New Roman" w:hAnsi="Franklin Gothic Book"/>
          <w:sz w:val="21"/>
        </w:rPr>
        <w:t xml:space="preserve"> </w:t>
      </w:r>
      <w:r w:rsidR="00F86835" w:rsidRPr="00F86835">
        <w:rPr>
          <w:rFonts w:ascii="Franklin Gothic Book" w:eastAsia="Times New Roman" w:hAnsi="Franklin Gothic Book"/>
          <w:sz w:val="21"/>
        </w:rPr>
        <w:t>This will also help ensure we are better positioned to manage delays in our infrastructure investments.</w:t>
      </w:r>
    </w:p>
    <w:p w:rsidR="00422BD8" w:rsidRDefault="00F15116" w:rsidP="009B3891">
      <w:pPr>
        <w:tabs>
          <w:tab w:val="left" w:pos="284"/>
        </w:tabs>
        <w:spacing w:after="120" w:line="280" w:lineRule="exact"/>
        <w:rPr>
          <w:rFonts w:ascii="Franklin Gothic Book" w:eastAsia="Times New Roman" w:hAnsi="Franklin Gothic Book"/>
          <w:b/>
          <w:sz w:val="21"/>
        </w:rPr>
      </w:pPr>
      <w:r>
        <w:rPr>
          <w:rFonts w:ascii="Franklin Gothic Book" w:eastAsia="Times New Roman" w:hAnsi="Franklin Gothic Book"/>
          <w:b/>
          <w:sz w:val="21"/>
        </w:rPr>
        <w:t>A partnership approach to managing financial risks through</w:t>
      </w:r>
      <w:r w:rsidR="00422BD8">
        <w:rPr>
          <w:rFonts w:ascii="Franklin Gothic Book" w:eastAsia="Times New Roman" w:hAnsi="Franklin Gothic Book"/>
          <w:b/>
          <w:sz w:val="21"/>
        </w:rPr>
        <w:t xml:space="preserve"> public sector reform</w:t>
      </w:r>
    </w:p>
    <w:p w:rsidR="00422BD8" w:rsidRDefault="00422BD8" w:rsidP="009B3891">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The program has completed fiduciary risk assessments across all sectors. This has led to improved risk</w:t>
      </w:r>
      <w:r w:rsidR="001A5BE4">
        <w:rPr>
          <w:rFonts w:ascii="Franklin Gothic Book" w:eastAsia="Times New Roman" w:hAnsi="Franklin Gothic Book"/>
          <w:sz w:val="21"/>
        </w:rPr>
        <w:t>-</w:t>
      </w:r>
      <w:r>
        <w:rPr>
          <w:rFonts w:ascii="Franklin Gothic Book" w:eastAsia="Times New Roman" w:hAnsi="Franklin Gothic Book"/>
          <w:sz w:val="21"/>
        </w:rPr>
        <w:t>mitigation approaches for using government systems and the development of new grant arrangements with key government partners.</w:t>
      </w:r>
      <w:r w:rsidR="00716178">
        <w:rPr>
          <w:rFonts w:ascii="Franklin Gothic Book" w:eastAsia="Times New Roman" w:hAnsi="Franklin Gothic Book"/>
          <w:sz w:val="21"/>
        </w:rPr>
        <w:t xml:space="preserve"> </w:t>
      </w:r>
      <w:r>
        <w:rPr>
          <w:rFonts w:ascii="Franklin Gothic Book" w:eastAsia="Times New Roman" w:hAnsi="Franklin Gothic Book"/>
          <w:sz w:val="21"/>
        </w:rPr>
        <w:t xml:space="preserve">There is an opportunity to build on this understanding </w:t>
      </w:r>
      <w:r w:rsidR="006604F7">
        <w:rPr>
          <w:rFonts w:ascii="Franklin Gothic Book" w:eastAsia="Times New Roman" w:hAnsi="Franklin Gothic Book"/>
          <w:sz w:val="21"/>
        </w:rPr>
        <w:t xml:space="preserve">and move beyond </w:t>
      </w:r>
      <w:r w:rsidR="001A5BE4">
        <w:rPr>
          <w:rFonts w:ascii="Franklin Gothic Book" w:eastAsia="Times New Roman" w:hAnsi="Franklin Gothic Book"/>
          <w:sz w:val="21"/>
        </w:rPr>
        <w:t xml:space="preserve">just </w:t>
      </w:r>
      <w:r w:rsidR="006604F7">
        <w:rPr>
          <w:rFonts w:ascii="Franklin Gothic Book" w:eastAsia="Times New Roman" w:hAnsi="Franklin Gothic Book"/>
          <w:sz w:val="21"/>
        </w:rPr>
        <w:t>protection of Australian fund</w:t>
      </w:r>
      <w:r w:rsidR="001A5BE4">
        <w:rPr>
          <w:rFonts w:ascii="Franklin Gothic Book" w:eastAsia="Times New Roman" w:hAnsi="Franklin Gothic Book"/>
          <w:sz w:val="21"/>
        </w:rPr>
        <w:t>s</w:t>
      </w:r>
      <w:r w:rsidR="006604F7">
        <w:rPr>
          <w:rFonts w:ascii="Franklin Gothic Book" w:eastAsia="Times New Roman" w:hAnsi="Franklin Gothic Book"/>
          <w:sz w:val="21"/>
        </w:rPr>
        <w:t xml:space="preserve"> to supporting the Vanuatu government </w:t>
      </w:r>
      <w:r w:rsidR="001A5BE4">
        <w:rPr>
          <w:rFonts w:ascii="Franklin Gothic Book" w:eastAsia="Times New Roman" w:hAnsi="Franklin Gothic Book"/>
          <w:sz w:val="21"/>
        </w:rPr>
        <w:t xml:space="preserve">to </w:t>
      </w:r>
      <w:r w:rsidR="006604F7">
        <w:rPr>
          <w:rFonts w:ascii="Franklin Gothic Book" w:eastAsia="Times New Roman" w:hAnsi="Franklin Gothic Book"/>
          <w:sz w:val="21"/>
        </w:rPr>
        <w:t xml:space="preserve">implement system wide improvements that will improve the effectiveness of </w:t>
      </w:r>
      <w:r w:rsidR="001A5BE4">
        <w:rPr>
          <w:rFonts w:ascii="Franklin Gothic Book" w:eastAsia="Times New Roman" w:hAnsi="Franklin Gothic Book"/>
          <w:sz w:val="21"/>
        </w:rPr>
        <w:t>overall public spending</w:t>
      </w:r>
      <w:r w:rsidR="006604F7">
        <w:rPr>
          <w:rFonts w:ascii="Franklin Gothic Book" w:eastAsia="Times New Roman" w:hAnsi="Franklin Gothic Book"/>
          <w:sz w:val="21"/>
        </w:rPr>
        <w:t xml:space="preserve">. </w:t>
      </w:r>
      <w:r w:rsidR="00D45A71">
        <w:rPr>
          <w:rFonts w:ascii="Franklin Gothic Book" w:eastAsia="Times New Roman" w:hAnsi="Franklin Gothic Book"/>
          <w:sz w:val="21"/>
        </w:rPr>
        <w:t xml:space="preserve"> These improvements would </w:t>
      </w:r>
      <w:r w:rsidR="0005008A">
        <w:rPr>
          <w:rFonts w:ascii="Franklin Gothic Book" w:eastAsia="Times New Roman" w:hAnsi="Franklin Gothic Book"/>
          <w:sz w:val="21"/>
        </w:rPr>
        <w:t>help</w:t>
      </w:r>
      <w:r w:rsidR="00D45A71">
        <w:rPr>
          <w:rFonts w:ascii="Franklin Gothic Book" w:eastAsia="Times New Roman" w:hAnsi="Franklin Gothic Book"/>
          <w:sz w:val="21"/>
        </w:rPr>
        <w:t xml:space="preserve"> Vanuatu address, for instance, </w:t>
      </w:r>
      <w:r w:rsidR="00621F6F">
        <w:rPr>
          <w:rFonts w:ascii="Franklin Gothic Book" w:eastAsia="Times New Roman" w:hAnsi="Franklin Gothic Book"/>
          <w:sz w:val="21"/>
        </w:rPr>
        <w:t xml:space="preserve">workforce planning </w:t>
      </w:r>
      <w:r w:rsidR="00D45A71">
        <w:rPr>
          <w:rFonts w:ascii="Franklin Gothic Book" w:eastAsia="Times New Roman" w:hAnsi="Franklin Gothic Book"/>
          <w:sz w:val="21"/>
        </w:rPr>
        <w:t>challenges in the health sector</w:t>
      </w:r>
      <w:r w:rsidR="00621F6F">
        <w:rPr>
          <w:rFonts w:ascii="Franklin Gothic Book" w:eastAsia="Times New Roman" w:hAnsi="Franklin Gothic Book"/>
          <w:sz w:val="21"/>
        </w:rPr>
        <w:t xml:space="preserve"> and ensuring the right mix of expenditure </w:t>
      </w:r>
      <w:r w:rsidR="00C812EA">
        <w:rPr>
          <w:rFonts w:ascii="Franklin Gothic Book" w:eastAsia="Times New Roman" w:hAnsi="Franklin Gothic Book"/>
          <w:sz w:val="21"/>
        </w:rPr>
        <w:t xml:space="preserve">across </w:t>
      </w:r>
      <w:r w:rsidR="00621F6F">
        <w:rPr>
          <w:rFonts w:ascii="Franklin Gothic Book" w:eastAsia="Times New Roman" w:hAnsi="Franklin Gothic Book"/>
          <w:sz w:val="21"/>
        </w:rPr>
        <w:t>education</w:t>
      </w:r>
      <w:r w:rsidR="00C812EA">
        <w:rPr>
          <w:rFonts w:ascii="Franklin Gothic Book" w:eastAsia="Times New Roman" w:hAnsi="Franklin Gothic Book"/>
          <w:sz w:val="21"/>
        </w:rPr>
        <w:t xml:space="preserve"> sub-sectors.</w:t>
      </w:r>
    </w:p>
    <w:p w:rsidR="006604F7" w:rsidRDefault="006604F7" w:rsidP="009B3891">
      <w:pPr>
        <w:tabs>
          <w:tab w:val="left" w:pos="284"/>
        </w:tabs>
        <w:spacing w:after="120" w:line="280" w:lineRule="exact"/>
        <w:rPr>
          <w:rFonts w:ascii="Franklin Gothic Book" w:eastAsia="Times New Roman" w:hAnsi="Franklin Gothic Book"/>
          <w:b/>
          <w:sz w:val="21"/>
        </w:rPr>
      </w:pPr>
      <w:r>
        <w:rPr>
          <w:rFonts w:ascii="Franklin Gothic Book" w:eastAsia="Times New Roman" w:hAnsi="Franklin Gothic Book"/>
          <w:b/>
          <w:sz w:val="21"/>
        </w:rPr>
        <w:t>Ensure effective implementation following Department of Foreign Affairs and Trade integration</w:t>
      </w:r>
    </w:p>
    <w:p w:rsidR="00487ED1" w:rsidRPr="00C171A8" w:rsidRDefault="006604F7" w:rsidP="000B00A7">
      <w:pPr>
        <w:tabs>
          <w:tab w:val="left" w:pos="284"/>
        </w:tabs>
        <w:spacing w:after="120" w:line="280" w:lineRule="exact"/>
        <w:rPr>
          <w:rFonts w:ascii="Franklin Gothic Book" w:eastAsia="Times New Roman" w:hAnsi="Franklin Gothic Book"/>
          <w:b/>
          <w:sz w:val="21"/>
        </w:rPr>
      </w:pPr>
      <w:r>
        <w:rPr>
          <w:rFonts w:ascii="Franklin Gothic Book" w:eastAsia="Times New Roman" w:hAnsi="Franklin Gothic Book"/>
          <w:sz w:val="21"/>
        </w:rPr>
        <w:t xml:space="preserve">Following the integration of AusAID </w:t>
      </w:r>
      <w:r w:rsidR="001A5BE4">
        <w:rPr>
          <w:rFonts w:ascii="Franklin Gothic Book" w:eastAsia="Times New Roman" w:hAnsi="Franklin Gothic Book"/>
          <w:sz w:val="21"/>
        </w:rPr>
        <w:t xml:space="preserve">and </w:t>
      </w:r>
      <w:r>
        <w:rPr>
          <w:rFonts w:ascii="Franklin Gothic Book" w:eastAsia="Times New Roman" w:hAnsi="Franklin Gothic Book"/>
          <w:sz w:val="21"/>
        </w:rPr>
        <w:t>the Department of Foreign Affairs and Trade, there will be a need to continue to ensure there is adequate management oversight of the program</w:t>
      </w:r>
      <w:r w:rsidR="005A4267">
        <w:rPr>
          <w:rFonts w:ascii="Franklin Gothic Book" w:eastAsia="Times New Roman" w:hAnsi="Franklin Gothic Book"/>
          <w:sz w:val="21"/>
        </w:rPr>
        <w:t xml:space="preserve"> at </w:t>
      </w:r>
      <w:r w:rsidR="00F72142">
        <w:rPr>
          <w:rFonts w:ascii="Franklin Gothic Book" w:eastAsia="Times New Roman" w:hAnsi="Franklin Gothic Book"/>
          <w:sz w:val="21"/>
        </w:rPr>
        <w:t xml:space="preserve">Port Vila </w:t>
      </w:r>
      <w:r w:rsidR="005A4267">
        <w:rPr>
          <w:rFonts w:ascii="Franklin Gothic Book" w:eastAsia="Times New Roman" w:hAnsi="Franklin Gothic Book"/>
          <w:sz w:val="21"/>
        </w:rPr>
        <w:t xml:space="preserve">post and in Canberra. </w:t>
      </w:r>
      <w:r w:rsidR="001A5BE4">
        <w:rPr>
          <w:rFonts w:ascii="Franklin Gothic Book" w:eastAsia="Times New Roman" w:hAnsi="Franklin Gothic Book"/>
          <w:sz w:val="21"/>
        </w:rPr>
        <w:t>We</w:t>
      </w:r>
      <w:r w:rsidR="005A4267">
        <w:rPr>
          <w:rFonts w:ascii="Franklin Gothic Book" w:eastAsia="Times New Roman" w:hAnsi="Franklin Gothic Book"/>
          <w:sz w:val="21"/>
        </w:rPr>
        <w:t xml:space="preserve"> will need to </w:t>
      </w:r>
      <w:r w:rsidR="001A5BE4">
        <w:rPr>
          <w:rFonts w:ascii="Franklin Gothic Book" w:eastAsia="Times New Roman" w:hAnsi="Franklin Gothic Book"/>
          <w:sz w:val="21"/>
        </w:rPr>
        <w:t xml:space="preserve">monitor </w:t>
      </w:r>
      <w:r w:rsidR="005A4267">
        <w:rPr>
          <w:rFonts w:ascii="Franklin Gothic Book" w:eastAsia="Times New Roman" w:hAnsi="Franklin Gothic Book"/>
          <w:sz w:val="21"/>
        </w:rPr>
        <w:t>w</w:t>
      </w:r>
      <w:r w:rsidR="008003BA">
        <w:rPr>
          <w:rFonts w:ascii="Franklin Gothic Book" w:eastAsia="Times New Roman" w:hAnsi="Franklin Gothic Book"/>
          <w:sz w:val="21"/>
        </w:rPr>
        <w:t>h</w:t>
      </w:r>
      <w:r w:rsidR="005A4267">
        <w:rPr>
          <w:rFonts w:ascii="Franklin Gothic Book" w:eastAsia="Times New Roman" w:hAnsi="Franklin Gothic Book"/>
          <w:sz w:val="21"/>
        </w:rPr>
        <w:t>ether current staffing structures and roles are placing resources where they most need to be.</w:t>
      </w:r>
    </w:p>
    <w:p w:rsidR="000D733F" w:rsidRDefault="00673F77" w:rsidP="00C171A8">
      <w:pPr>
        <w:tabs>
          <w:tab w:val="left" w:pos="284"/>
        </w:tabs>
        <w:spacing w:after="120" w:line="280" w:lineRule="exact"/>
        <w:rPr>
          <w:b/>
        </w:rPr>
      </w:pPr>
      <w:r>
        <w:rPr>
          <w:rFonts w:ascii="Franklin Gothic Book" w:eastAsia="Times New Roman" w:hAnsi="Franklin Gothic Book"/>
          <w:b/>
          <w:sz w:val="21"/>
        </w:rPr>
        <w:t xml:space="preserve">Program </w:t>
      </w:r>
      <w:r w:rsidR="00C171A8">
        <w:rPr>
          <w:rFonts w:ascii="Franklin Gothic Book" w:eastAsia="Times New Roman" w:hAnsi="Franklin Gothic Book"/>
          <w:b/>
          <w:sz w:val="21"/>
        </w:rPr>
        <w:t>i</w:t>
      </w:r>
      <w:r>
        <w:rPr>
          <w:rFonts w:ascii="Franklin Gothic Book" w:eastAsia="Times New Roman" w:hAnsi="Franklin Gothic Book"/>
          <w:b/>
          <w:sz w:val="21"/>
        </w:rPr>
        <w:t>mprovements on gender and private sector engagement</w:t>
      </w:r>
    </w:p>
    <w:p w:rsidR="00673F77" w:rsidRPr="00673F77" w:rsidRDefault="00673F77" w:rsidP="00C171A8">
      <w:pPr>
        <w:tabs>
          <w:tab w:val="left" w:pos="284"/>
        </w:tabs>
        <w:spacing w:after="120" w:line="280" w:lineRule="exact"/>
      </w:pPr>
      <w:r>
        <w:rPr>
          <w:rFonts w:ascii="Franklin Gothic Book" w:eastAsia="Times New Roman" w:hAnsi="Franklin Gothic Book"/>
          <w:sz w:val="21"/>
        </w:rPr>
        <w:t>Based on results from QAI reporting and in response to the new aid policy</w:t>
      </w:r>
      <w:r w:rsidR="00F72142">
        <w:rPr>
          <w:rFonts w:ascii="Franklin Gothic Book" w:eastAsia="Times New Roman" w:hAnsi="Franklin Gothic Book"/>
          <w:sz w:val="21"/>
        </w:rPr>
        <w:t>,</w:t>
      </w:r>
      <w:r>
        <w:rPr>
          <w:rFonts w:ascii="Franklin Gothic Book" w:eastAsia="Times New Roman" w:hAnsi="Franklin Gothic Book"/>
          <w:sz w:val="21"/>
        </w:rPr>
        <w:t xml:space="preserve"> </w:t>
      </w:r>
      <w:r w:rsidR="001A5BE4">
        <w:rPr>
          <w:rFonts w:ascii="Franklin Gothic Book" w:eastAsia="Times New Roman" w:hAnsi="Franklin Gothic Book"/>
          <w:sz w:val="21"/>
        </w:rPr>
        <w:t>we</w:t>
      </w:r>
      <w:r>
        <w:rPr>
          <w:rFonts w:ascii="Franklin Gothic Book" w:eastAsia="Times New Roman" w:hAnsi="Franklin Gothic Book"/>
          <w:sz w:val="21"/>
        </w:rPr>
        <w:t xml:space="preserve"> need to </w:t>
      </w:r>
      <w:r w:rsidR="001A5BE4">
        <w:rPr>
          <w:rFonts w:ascii="Franklin Gothic Book" w:eastAsia="Times New Roman" w:hAnsi="Franklin Gothic Book"/>
          <w:sz w:val="21"/>
        </w:rPr>
        <w:t xml:space="preserve">examine </w:t>
      </w:r>
      <w:r w:rsidR="00AE78E3">
        <w:rPr>
          <w:rFonts w:ascii="Franklin Gothic Book" w:eastAsia="Times New Roman" w:hAnsi="Franklin Gothic Book"/>
          <w:sz w:val="21"/>
        </w:rPr>
        <w:t>pragmatic</w:t>
      </w:r>
      <w:r>
        <w:rPr>
          <w:rFonts w:ascii="Franklin Gothic Book" w:eastAsia="Times New Roman" w:hAnsi="Franklin Gothic Book"/>
          <w:sz w:val="21"/>
        </w:rPr>
        <w:t xml:space="preserve"> ways to improve </w:t>
      </w:r>
      <w:r w:rsidR="001A5BE4">
        <w:rPr>
          <w:rFonts w:ascii="Franklin Gothic Book" w:eastAsia="Times New Roman" w:hAnsi="Franklin Gothic Book"/>
          <w:sz w:val="21"/>
        </w:rPr>
        <w:t xml:space="preserve">the treatment </w:t>
      </w:r>
      <w:r>
        <w:rPr>
          <w:rFonts w:ascii="Franklin Gothic Book" w:eastAsia="Times New Roman" w:hAnsi="Franklin Gothic Book"/>
          <w:sz w:val="21"/>
        </w:rPr>
        <w:t>of gender issues and expand engagement with the private sector.</w:t>
      </w:r>
    </w:p>
    <w:p w:rsidR="00BF304F" w:rsidRPr="00C171A8" w:rsidRDefault="00BF304F" w:rsidP="00C171A8">
      <w:pPr>
        <w:tabs>
          <w:tab w:val="left" w:pos="284"/>
        </w:tabs>
        <w:spacing w:after="120" w:line="280" w:lineRule="exact"/>
        <w:rPr>
          <w:rFonts w:ascii="Franklin Gothic Book" w:hAnsi="Franklin Gothic Book"/>
          <w:sz w:val="21"/>
        </w:rPr>
        <w:sectPr w:rsidR="00BF304F" w:rsidRPr="00C171A8" w:rsidSect="001F7991">
          <w:headerReference w:type="default" r:id="rId18"/>
          <w:type w:val="continuous"/>
          <w:pgSz w:w="11907" w:h="16840" w:code="9"/>
          <w:pgMar w:top="2269" w:right="1701" w:bottom="907" w:left="1701" w:header="850" w:footer="567" w:gutter="0"/>
          <w:pgNumType w:start="1"/>
          <w:cols w:space="720"/>
          <w:docGrid w:linePitch="326"/>
        </w:sectPr>
      </w:pPr>
    </w:p>
    <w:p w:rsidR="000D733F" w:rsidRPr="009E38C1" w:rsidRDefault="000D733F" w:rsidP="000D733F">
      <w:pPr>
        <w:pStyle w:val="Heading2"/>
        <w:rPr>
          <w:sz w:val="28"/>
        </w:rPr>
      </w:pPr>
      <w:r w:rsidRPr="009E38C1">
        <w:rPr>
          <w:sz w:val="28"/>
        </w:rPr>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191"/>
        <w:gridCol w:w="954"/>
        <w:gridCol w:w="6591"/>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0D733F" w:rsidRPr="00180B19" w:rsidTr="004F3AA2">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4F3AA2" w:rsidP="000D733F">
            <w:pPr>
              <w:pStyle w:val="TableTextEntries"/>
            </w:pPr>
            <w:r>
              <w:t>Update the Partnership for Development</w:t>
            </w:r>
          </w:p>
        </w:tc>
        <w:tc>
          <w:tcPr>
            <w:tcW w:w="964" w:type="dxa"/>
            <w:shd w:val="clear" w:color="auto" w:fill="FF0000"/>
          </w:tcPr>
          <w:p w:rsidR="000D733F" w:rsidRPr="00443639" w:rsidRDefault="004F3AA2" w:rsidP="004F3AA2">
            <w:pPr>
              <w:pStyle w:val="TableTextEntries"/>
              <w:jc w:val="center"/>
              <w:rPr>
                <w:color w:val="FFFFFF" w:themeColor="background1"/>
              </w:rPr>
            </w:pPr>
            <w:r>
              <w:rPr>
                <w:color w:val="FFFFFF" w:themeColor="background1"/>
              </w:rPr>
              <w:t>Not a</w:t>
            </w:r>
            <w:r w:rsidR="000D733F">
              <w:rPr>
                <w:color w:val="FFFFFF" w:themeColor="background1"/>
              </w:rPr>
              <w:t>chieved</w:t>
            </w:r>
          </w:p>
        </w:tc>
        <w:tc>
          <w:tcPr>
            <w:tcW w:w="6896" w:type="dxa"/>
          </w:tcPr>
          <w:p w:rsidR="000D733F" w:rsidRPr="00B30E77" w:rsidRDefault="001A5BE4" w:rsidP="001A5BE4">
            <w:pPr>
              <w:pStyle w:val="TableTextEntries"/>
              <w:rPr>
                <w:color w:val="92D050"/>
              </w:rPr>
            </w:pPr>
            <w:r>
              <w:t>Work was deferred owing to</w:t>
            </w:r>
            <w:r w:rsidR="004F3AA2" w:rsidRPr="004F3AA2">
              <w:t xml:space="preserve"> the change of </w:t>
            </w:r>
            <w:r>
              <w:t xml:space="preserve">government in </w:t>
            </w:r>
            <w:r w:rsidR="004F3AA2" w:rsidRPr="004F3AA2">
              <w:t>Australia, integration of DFAT and AusAID and the need to reconsider program priorities pending the release of the Australian Government’s aid policy</w:t>
            </w:r>
          </w:p>
        </w:tc>
      </w:tr>
      <w:tr w:rsidR="000D733F" w:rsidRPr="00180B19" w:rsidTr="00AA317D">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4F3AA2" w:rsidP="000D733F">
            <w:pPr>
              <w:pStyle w:val="TableTextEntries"/>
            </w:pPr>
            <w:r>
              <w:t>Manage financial risks</w:t>
            </w:r>
          </w:p>
        </w:tc>
        <w:tc>
          <w:tcPr>
            <w:tcW w:w="964" w:type="dxa"/>
            <w:shd w:val="clear" w:color="auto" w:fill="E36C0A" w:themeFill="accent6" w:themeFillShade="BF"/>
          </w:tcPr>
          <w:p w:rsidR="000D733F" w:rsidRPr="00443639" w:rsidRDefault="00AA317D" w:rsidP="000D733F">
            <w:pPr>
              <w:pStyle w:val="TableTextEntries"/>
              <w:jc w:val="center"/>
              <w:rPr>
                <w:color w:val="FFFFFF" w:themeColor="background1"/>
              </w:rPr>
            </w:pPr>
            <w:r>
              <w:rPr>
                <w:color w:val="FFFFFF" w:themeColor="background1"/>
              </w:rPr>
              <w:t xml:space="preserve">Partially </w:t>
            </w:r>
            <w:r w:rsidR="000D733F">
              <w:rPr>
                <w:color w:val="FFFFFF" w:themeColor="background1"/>
              </w:rPr>
              <w:t>Achieved</w:t>
            </w:r>
            <w:r w:rsidR="000D733F" w:rsidRPr="00443639">
              <w:rPr>
                <w:color w:val="FFFFFF" w:themeColor="background1"/>
              </w:rPr>
              <w:fldChar w:fldCharType="begin"/>
            </w:r>
            <w:r w:rsidR="000D733F" w:rsidRPr="00443639">
              <w:rPr>
                <w:color w:val="FFFFFF" w:themeColor="background1"/>
              </w:rPr>
              <w:instrText xml:space="preserve"> AUTOTEXTLIST  \s "Rating bullet"\t "Right click to choose a rating" \* MERGEFORMAT </w:instrText>
            </w:r>
            <w:r w:rsidR="000D733F" w:rsidRPr="00443639">
              <w:rPr>
                <w:color w:val="FFFFFF" w:themeColor="background1"/>
              </w:rPr>
              <w:fldChar w:fldCharType="end"/>
            </w:r>
          </w:p>
        </w:tc>
        <w:tc>
          <w:tcPr>
            <w:tcW w:w="6896" w:type="dxa"/>
          </w:tcPr>
          <w:p w:rsidR="000D733F" w:rsidRPr="00AA317D" w:rsidRDefault="00AA317D" w:rsidP="000D733F">
            <w:pPr>
              <w:pStyle w:val="TableTextEntries"/>
            </w:pPr>
            <w:r>
              <w:t>The program implemented stringent controls to manage Australian funding following a series of fiduciary risk assessments, updating grant agreements where necessary. The program, with the Vanuatu Government, also commenced a new reporting regime to ensure better shared understanding of the expenditure. There was limited progress investigating alternative financing options to incentivise better quality expenditure.</w:t>
            </w:r>
          </w:p>
        </w:tc>
      </w:tr>
      <w:tr w:rsidR="000D733F" w:rsidRPr="00180B19" w:rsidTr="00AA317D">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AA317D" w:rsidP="000D733F">
            <w:pPr>
              <w:pStyle w:val="TableTextEntries"/>
            </w:pPr>
            <w:r>
              <w:t>Ensure the program benefits the most vulnerable</w:t>
            </w:r>
          </w:p>
        </w:tc>
        <w:tc>
          <w:tcPr>
            <w:tcW w:w="964" w:type="dxa"/>
            <w:shd w:val="clear" w:color="auto" w:fill="E36C0A" w:themeFill="accent6" w:themeFillShade="BF"/>
          </w:tcPr>
          <w:p w:rsidR="000D733F" w:rsidRPr="00443639" w:rsidRDefault="00AA317D" w:rsidP="000D733F">
            <w:pPr>
              <w:pStyle w:val="TableTextEntries"/>
              <w:jc w:val="center"/>
              <w:rPr>
                <w:color w:val="FFFFFF" w:themeColor="background1"/>
              </w:rPr>
            </w:pPr>
            <w:r>
              <w:rPr>
                <w:color w:val="FFFFFF" w:themeColor="background1"/>
              </w:rPr>
              <w:t xml:space="preserve">Partially </w:t>
            </w:r>
            <w:r w:rsidR="000D733F">
              <w:rPr>
                <w:color w:val="FFFFFF" w:themeColor="background1"/>
              </w:rPr>
              <w:t>Achieved</w:t>
            </w:r>
          </w:p>
        </w:tc>
        <w:tc>
          <w:tcPr>
            <w:tcW w:w="6896" w:type="dxa"/>
          </w:tcPr>
          <w:p w:rsidR="000D733F" w:rsidRPr="00AA317D" w:rsidRDefault="00AA317D" w:rsidP="00AA317D">
            <w:pPr>
              <w:pStyle w:val="TableTextEntries"/>
            </w:pPr>
            <w:r>
              <w:t>The program invested in assessing the impact of investments on the most vulnerable. New designs in law and justice will also trial innovative approaches at the community level to ensure assistance reaches those who need it most.  More work is required to ensure the results of the poverty mapping exercise are translated into a monitoring framework for assessing program impact and influencing program decision-making.</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AA317D" w:rsidP="000D733F">
            <w:pPr>
              <w:pStyle w:val="TableTextEntries"/>
            </w:pPr>
            <w:r>
              <w:t>Consolidate the program</w:t>
            </w:r>
          </w:p>
        </w:tc>
        <w:tc>
          <w:tcPr>
            <w:tcW w:w="964" w:type="dxa"/>
            <w:shd w:val="clear" w:color="auto" w:fill="E36C0A"/>
          </w:tcPr>
          <w:p w:rsidR="000D733F" w:rsidRPr="00443639" w:rsidRDefault="00F72142" w:rsidP="000D733F">
            <w:pPr>
              <w:pStyle w:val="TableTextEntries"/>
              <w:jc w:val="center"/>
              <w:rPr>
                <w:color w:val="FFFFFF" w:themeColor="background1"/>
              </w:rPr>
            </w:pPr>
            <w:r>
              <w:rPr>
                <w:color w:val="FFFFFF" w:themeColor="background1"/>
              </w:rPr>
              <w:t>Partially</w:t>
            </w:r>
            <w:r w:rsidR="000D733F">
              <w:rPr>
                <w:color w:val="FFFFFF" w:themeColor="background1"/>
              </w:rPr>
              <w:t xml:space="preserve"> achieved</w:t>
            </w:r>
          </w:p>
        </w:tc>
        <w:tc>
          <w:tcPr>
            <w:tcW w:w="6896" w:type="dxa"/>
          </w:tcPr>
          <w:p w:rsidR="000D733F" w:rsidRPr="00AA317D" w:rsidRDefault="00AA317D" w:rsidP="000D733F">
            <w:pPr>
              <w:pStyle w:val="TableTextEntries"/>
            </w:pPr>
            <w:r>
              <w:t>While there has been progress consolidating the program, as demonstrated by the reduction in initiatives over the last four years, the efficiency of agreement management remains a challenge and more work is required.</w:t>
            </w:r>
          </w:p>
        </w:tc>
      </w:tr>
      <w:tr w:rsidR="000D733F" w:rsidRPr="00180B19" w:rsidTr="00AA317D">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AA317D" w:rsidP="000D733F">
            <w:pPr>
              <w:pStyle w:val="TableTextEntries"/>
            </w:pPr>
            <w:r>
              <w:t>Continue to strengthen and resource performance management</w:t>
            </w:r>
          </w:p>
        </w:tc>
        <w:tc>
          <w:tcPr>
            <w:tcW w:w="964" w:type="dxa"/>
            <w:shd w:val="clear" w:color="auto" w:fill="92D050"/>
          </w:tcPr>
          <w:p w:rsidR="000D733F" w:rsidRPr="00443639" w:rsidRDefault="00AA317D" w:rsidP="000D733F">
            <w:pPr>
              <w:pStyle w:val="TableTextEntries"/>
              <w:jc w:val="center"/>
              <w:rPr>
                <w:color w:val="FFFFFF" w:themeColor="background1"/>
              </w:rPr>
            </w:pPr>
            <w:r>
              <w:rPr>
                <w:color w:val="FFFFFF" w:themeColor="background1"/>
              </w:rPr>
              <w:t>A</w:t>
            </w:r>
            <w:r w:rsidR="000D733F">
              <w:rPr>
                <w:color w:val="FFFFFF" w:themeColor="background1"/>
              </w:rPr>
              <w:t>chieved</w:t>
            </w:r>
          </w:p>
        </w:tc>
        <w:tc>
          <w:tcPr>
            <w:tcW w:w="6896" w:type="dxa"/>
          </w:tcPr>
          <w:p w:rsidR="000D733F" w:rsidRPr="00AA317D" w:rsidRDefault="00AA317D" w:rsidP="000D733F">
            <w:pPr>
              <w:pStyle w:val="TableTextEntries"/>
            </w:pPr>
            <w:r>
              <w:t>Performance manag</w:t>
            </w:r>
            <w:r w:rsidR="009B3891">
              <w:t>ement was strengthened and well-</w:t>
            </w:r>
            <w:r>
              <w:t>resourced during the reporting period (see Program Quality and Management section above). A program performance assessment framework will need to be developed once a new aid arrangement with Vanuatu is finalised.</w:t>
            </w:r>
          </w:p>
        </w:tc>
      </w:tr>
    </w:tbl>
    <w:p w:rsidR="000D733F" w:rsidRPr="00FE4491" w:rsidRDefault="000D733F" w:rsidP="005C2C57">
      <w:pPr>
        <w:pStyle w:val="Note"/>
      </w:pPr>
      <w:r w:rsidRPr="00FE4491">
        <w:t xml:space="preserve">Note: </w:t>
      </w:r>
    </w:p>
    <w:p w:rsidR="000D733F" w:rsidRPr="00671434" w:rsidRDefault="000D733F" w:rsidP="005C2C57">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5C2C57">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5C2C57">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E44F51" w:rsidRDefault="00E44F51" w:rsidP="000D733F">
      <w:pPr>
        <w:spacing w:after="200" w:line="276" w:lineRule="auto"/>
        <w:rPr>
          <w:rFonts w:ascii="Franklin Gothic Book" w:hAnsi="Franklin Gothic Book"/>
          <w:sz w:val="21"/>
        </w:rPr>
        <w:sectPr w:rsidR="00E44F51" w:rsidSect="00E44F51">
          <w:headerReference w:type="even" r:id="rId19"/>
          <w:footerReference w:type="first" r:id="rId20"/>
          <w:pgSz w:w="16838" w:h="11906" w:orient="landscape" w:code="9"/>
          <w:pgMar w:top="1814" w:right="1814" w:bottom="851" w:left="1560" w:header="709" w:footer="425" w:gutter="0"/>
          <w:cols w:space="708"/>
          <w:docGrid w:linePitch="360"/>
        </w:sectPr>
      </w:pPr>
    </w:p>
    <w:p w:rsidR="000D733F" w:rsidRDefault="000D733F" w:rsidP="000D733F">
      <w:pPr>
        <w:spacing w:after="200" w:line="276" w:lineRule="auto"/>
        <w:rPr>
          <w:rFonts w:ascii="Franklin Gothic Book" w:hAnsi="Franklin Gothic Book"/>
          <w:sz w:val="21"/>
        </w:rPr>
      </w:pPr>
    </w:p>
    <w:p w:rsidR="000D733F" w:rsidRPr="009E38C1" w:rsidRDefault="000D733F" w:rsidP="000D733F">
      <w:pPr>
        <w:pStyle w:val="Heading2"/>
        <w:tabs>
          <w:tab w:val="left" w:pos="1560"/>
        </w:tabs>
        <w:rPr>
          <w:sz w:val="28"/>
        </w:rPr>
      </w:pPr>
      <w:r w:rsidRPr="009E38C1">
        <w:rPr>
          <w:sz w:val="28"/>
        </w:rPr>
        <w:t xml:space="preserve">Annex B </w:t>
      </w:r>
      <w:r w:rsidRPr="009E38C1">
        <w:rPr>
          <w:sz w:val="28"/>
        </w:rPr>
        <w:tab/>
      </w:r>
    </w:p>
    <w:p w:rsidR="000D733F" w:rsidRPr="009E38C1" w:rsidRDefault="000D733F" w:rsidP="000D733F">
      <w:pPr>
        <w:pStyle w:val="Heading2"/>
        <w:rPr>
          <w:sz w:val="28"/>
        </w:rPr>
      </w:pPr>
      <w:r w:rsidRPr="009E38C1">
        <w:rPr>
          <w:sz w:val="28"/>
        </w:rPr>
        <w:t>Quality at Implementation ratings</w:t>
      </w:r>
      <w:r w:rsidR="004373F8">
        <w:rPr>
          <w:sz w:val="28"/>
        </w:rPr>
        <w:t xml:space="preserve"> </w:t>
      </w:r>
    </w:p>
    <w:tbl>
      <w:tblPr>
        <w:tblStyle w:val="APPR"/>
        <w:tblW w:w="3974" w:type="pct"/>
        <w:tblLayout w:type="fixed"/>
        <w:tblLook w:val="0000" w:firstRow="0" w:lastRow="0" w:firstColumn="0" w:lastColumn="0" w:noHBand="0" w:noVBand="0"/>
      </w:tblPr>
      <w:tblGrid>
        <w:gridCol w:w="1494"/>
        <w:gridCol w:w="1326"/>
        <w:gridCol w:w="797"/>
        <w:gridCol w:w="219"/>
        <w:gridCol w:w="595"/>
        <w:gridCol w:w="615"/>
        <w:gridCol w:w="613"/>
        <w:gridCol w:w="672"/>
        <w:gridCol w:w="608"/>
        <w:gridCol w:w="622"/>
      </w:tblGrid>
      <w:tr w:rsidR="009B63DA" w:rsidRPr="009D53C4" w:rsidTr="009B63DA">
        <w:trPr>
          <w:cnfStyle w:val="000000010000" w:firstRow="0" w:lastRow="0" w:firstColumn="0" w:lastColumn="0" w:oddVBand="0" w:evenVBand="0" w:oddHBand="0" w:evenHBand="1" w:firstRowFirstColumn="0" w:firstRowLastColumn="0" w:lastRowFirstColumn="0" w:lastRowLastColumn="0"/>
          <w:trHeight w:val="1413"/>
        </w:trPr>
        <w:tc>
          <w:tcPr>
            <w:tcW w:w="963" w:type="pct"/>
          </w:tcPr>
          <w:p w:rsidR="000D733F" w:rsidRPr="00FE4491" w:rsidRDefault="000D733F" w:rsidP="000D733F">
            <w:pPr>
              <w:pStyle w:val="TableTextColumnHeading"/>
            </w:pPr>
            <w:r w:rsidRPr="00FE4491">
              <w:rPr>
                <w:noProof/>
                <w:lang w:eastAsia="en-AU"/>
              </w:rPr>
              <w:drawing>
                <wp:anchor distT="0" distB="0" distL="114300" distR="114300" simplePos="0" relativeHeight="251664384" behindDoc="0" locked="0" layoutInCell="1" allowOverlap="1" wp14:anchorId="5298C701" wp14:editId="4A17649A">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862" w:type="pct"/>
            <w:textDirection w:val="btLr"/>
          </w:tcPr>
          <w:p w:rsidR="000D733F" w:rsidRPr="00FE4491" w:rsidRDefault="000D733F" w:rsidP="000D733F">
            <w:pPr>
              <w:pStyle w:val="TableTextColumnHeading"/>
            </w:pPr>
            <w:r w:rsidRPr="00FE4491">
              <w:t>Approved budget and duration</w:t>
            </w:r>
          </w:p>
        </w:tc>
        <w:tc>
          <w:tcPr>
            <w:tcW w:w="637" w:type="pct"/>
            <w:gridSpan w:val="2"/>
            <w:textDirection w:val="btLr"/>
          </w:tcPr>
          <w:p w:rsidR="000D733F" w:rsidRPr="00FE4491" w:rsidRDefault="000D733F" w:rsidP="000D733F">
            <w:pPr>
              <w:pStyle w:val="TableTextColumnHeading"/>
            </w:pPr>
            <w:r w:rsidRPr="00FE4491">
              <w:t>QaI year</w:t>
            </w:r>
          </w:p>
        </w:tc>
        <w:tc>
          <w:tcPr>
            <w:tcW w:w="377" w:type="pct"/>
            <w:textDirection w:val="btLr"/>
          </w:tcPr>
          <w:p w:rsidR="000D733F" w:rsidRPr="00FE4491" w:rsidRDefault="000D733F" w:rsidP="000D733F">
            <w:pPr>
              <w:pStyle w:val="TableTextColumnHeading"/>
            </w:pPr>
            <w:r w:rsidRPr="00FE4491">
              <w:t>Relevance</w:t>
            </w:r>
          </w:p>
        </w:tc>
        <w:tc>
          <w:tcPr>
            <w:tcW w:w="390" w:type="pct"/>
            <w:textDirection w:val="btLr"/>
          </w:tcPr>
          <w:p w:rsidR="000D733F" w:rsidRPr="00FE4491" w:rsidRDefault="000D733F" w:rsidP="000D733F">
            <w:pPr>
              <w:pStyle w:val="TableTextColumnHeading"/>
            </w:pPr>
            <w:r w:rsidRPr="00FE4491">
              <w:t>Effectiveness</w:t>
            </w:r>
          </w:p>
        </w:tc>
        <w:tc>
          <w:tcPr>
            <w:tcW w:w="388" w:type="pct"/>
            <w:textDirection w:val="btLr"/>
          </w:tcPr>
          <w:p w:rsidR="000D733F" w:rsidRPr="00FE4491" w:rsidRDefault="000D733F" w:rsidP="000D733F">
            <w:pPr>
              <w:pStyle w:val="TableTextColumnHeading"/>
            </w:pPr>
            <w:r w:rsidRPr="00FE4491">
              <w:t>Efficiency</w:t>
            </w:r>
          </w:p>
        </w:tc>
        <w:tc>
          <w:tcPr>
            <w:tcW w:w="428" w:type="pct"/>
            <w:textDirection w:val="btLr"/>
          </w:tcPr>
          <w:p w:rsidR="000D733F" w:rsidRPr="00FE4491" w:rsidRDefault="000D733F" w:rsidP="000D733F">
            <w:pPr>
              <w:pStyle w:val="TableTextColumnHeading"/>
            </w:pPr>
            <w:r w:rsidRPr="00FE4491">
              <w:t>Monitoring and Evaluation</w:t>
            </w:r>
          </w:p>
        </w:tc>
        <w:tc>
          <w:tcPr>
            <w:tcW w:w="385" w:type="pct"/>
            <w:textDirection w:val="btLr"/>
          </w:tcPr>
          <w:p w:rsidR="000D733F" w:rsidRPr="00FE4491" w:rsidRDefault="000D733F" w:rsidP="000D733F">
            <w:pPr>
              <w:pStyle w:val="TableTextColumnHeading"/>
            </w:pPr>
            <w:r w:rsidRPr="00FE4491">
              <w:t>Sustainability</w:t>
            </w:r>
          </w:p>
        </w:tc>
        <w:tc>
          <w:tcPr>
            <w:tcW w:w="385" w:type="pct"/>
            <w:textDirection w:val="btLr"/>
          </w:tcPr>
          <w:p w:rsidR="000D733F" w:rsidRPr="00FE4491" w:rsidRDefault="000D733F" w:rsidP="000D733F">
            <w:pPr>
              <w:pStyle w:val="TableTextColumnHeading"/>
            </w:pPr>
            <w:r w:rsidRPr="00FE4491">
              <w:t>Gender equality</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D733F" w:rsidRPr="00FE4491" w:rsidRDefault="000B2E73" w:rsidP="000D733F">
            <w:pPr>
              <w:pStyle w:val="TableTextEntries"/>
            </w:pPr>
            <w:r>
              <w:t>Governance for Growth Program</w:t>
            </w:r>
          </w:p>
        </w:tc>
        <w:tc>
          <w:tcPr>
            <w:tcW w:w="862" w:type="pct"/>
            <w:vMerge w:val="restart"/>
          </w:tcPr>
          <w:p w:rsidR="000D733F" w:rsidRPr="00FE4491" w:rsidRDefault="000B2E73" w:rsidP="000D733F">
            <w:pPr>
              <w:pStyle w:val="TableTextEntries"/>
            </w:pPr>
            <w:r>
              <w:t>$23,043,696</w:t>
            </w:r>
            <w:r w:rsidR="00D74DFF">
              <w:br/>
              <w:t>2012-2016</w:t>
            </w:r>
          </w:p>
        </w:tc>
        <w:tc>
          <w:tcPr>
            <w:tcW w:w="510" w:type="pct"/>
          </w:tcPr>
          <w:p w:rsidR="000D733F" w:rsidRPr="00FE4491" w:rsidRDefault="000D733F" w:rsidP="009B63DA">
            <w:pPr>
              <w:pStyle w:val="TableTextEntries"/>
            </w:pPr>
            <w:r w:rsidRPr="00FE4491">
              <w:t>2</w:t>
            </w:r>
            <w:r w:rsidR="009B63DA">
              <w:t>013</w:t>
            </w:r>
          </w:p>
        </w:tc>
        <w:tc>
          <w:tcPr>
            <w:tcW w:w="504" w:type="pct"/>
            <w:gridSpan w:val="2"/>
            <w:shd w:val="clear" w:color="auto" w:fill="92D050"/>
            <w:noWrap/>
          </w:tcPr>
          <w:p w:rsidR="000D733F" w:rsidRPr="00FE4491" w:rsidRDefault="000D733F" w:rsidP="000D733F">
            <w:pPr>
              <w:pStyle w:val="TableTextEntries"/>
              <w:jc w:val="center"/>
            </w:pPr>
            <w:r w:rsidRPr="00FE4491">
              <w:t>5</w:t>
            </w:r>
          </w:p>
        </w:tc>
        <w:tc>
          <w:tcPr>
            <w:tcW w:w="390" w:type="pct"/>
            <w:shd w:val="clear" w:color="auto" w:fill="FFFF00"/>
            <w:noWrap/>
          </w:tcPr>
          <w:p w:rsidR="000D733F" w:rsidRPr="00FE4491" w:rsidRDefault="000B2E73" w:rsidP="000D733F">
            <w:pPr>
              <w:pStyle w:val="TableTextEntries"/>
              <w:jc w:val="center"/>
            </w:pPr>
            <w:r>
              <w:t>4</w:t>
            </w:r>
          </w:p>
        </w:tc>
        <w:tc>
          <w:tcPr>
            <w:tcW w:w="388" w:type="pct"/>
            <w:shd w:val="clear" w:color="auto" w:fill="FFFF00"/>
            <w:noWrap/>
          </w:tcPr>
          <w:p w:rsidR="000D733F" w:rsidRPr="00FE4491" w:rsidRDefault="000D733F" w:rsidP="000D733F">
            <w:pPr>
              <w:pStyle w:val="TableTextEntries"/>
              <w:jc w:val="center"/>
            </w:pPr>
            <w:r w:rsidRPr="00FE4491">
              <w:t>4</w:t>
            </w:r>
          </w:p>
        </w:tc>
        <w:tc>
          <w:tcPr>
            <w:tcW w:w="428" w:type="pct"/>
            <w:shd w:val="clear" w:color="auto" w:fill="E36C0A" w:themeFill="accent6" w:themeFillShade="BF"/>
            <w:noWrap/>
          </w:tcPr>
          <w:p w:rsidR="000D733F" w:rsidRPr="00FE4491" w:rsidRDefault="000B2E73" w:rsidP="000B2E73">
            <w:pPr>
              <w:pStyle w:val="TableTextEntries"/>
              <w:jc w:val="center"/>
            </w:pPr>
            <w:r>
              <w:t>3</w:t>
            </w:r>
          </w:p>
        </w:tc>
        <w:tc>
          <w:tcPr>
            <w:tcW w:w="385" w:type="pct"/>
            <w:shd w:val="clear" w:color="auto" w:fill="FFFF00"/>
            <w:noWrap/>
          </w:tcPr>
          <w:p w:rsidR="000D733F" w:rsidRPr="00FE4491" w:rsidRDefault="000B2E73" w:rsidP="000D733F">
            <w:pPr>
              <w:pStyle w:val="TableTextEntries"/>
              <w:jc w:val="center"/>
            </w:pPr>
            <w:r>
              <w:t>4</w:t>
            </w:r>
          </w:p>
        </w:tc>
        <w:tc>
          <w:tcPr>
            <w:tcW w:w="385" w:type="pct"/>
            <w:shd w:val="clear" w:color="auto" w:fill="E36C0A" w:themeFill="accent6" w:themeFillShade="BF"/>
            <w:noWrap/>
          </w:tcPr>
          <w:p w:rsidR="000D733F" w:rsidRPr="00FE4491" w:rsidRDefault="000B2E73" w:rsidP="000D733F">
            <w:pPr>
              <w:pStyle w:val="TableTextEntries"/>
              <w:jc w:val="center"/>
            </w:pPr>
            <w:r>
              <w:t>3</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D733F" w:rsidRPr="00FE4491" w:rsidRDefault="000D733F" w:rsidP="000D733F">
            <w:pPr>
              <w:pStyle w:val="TableTextEntries"/>
            </w:pPr>
          </w:p>
        </w:tc>
        <w:tc>
          <w:tcPr>
            <w:tcW w:w="862" w:type="pct"/>
            <w:vMerge/>
          </w:tcPr>
          <w:p w:rsidR="000D733F" w:rsidRPr="00FE4491" w:rsidRDefault="000D733F" w:rsidP="000D733F">
            <w:pPr>
              <w:pStyle w:val="TableTextEntries"/>
            </w:pPr>
          </w:p>
        </w:tc>
        <w:tc>
          <w:tcPr>
            <w:tcW w:w="510" w:type="pct"/>
          </w:tcPr>
          <w:p w:rsidR="000D733F" w:rsidRPr="00FE4491" w:rsidRDefault="000D733F" w:rsidP="000D733F">
            <w:pPr>
              <w:pStyle w:val="TableTextEntries"/>
            </w:pPr>
            <w:r w:rsidRPr="00FE4491">
              <w:t>201</w:t>
            </w:r>
            <w:r>
              <w:t>2</w:t>
            </w:r>
          </w:p>
        </w:tc>
        <w:tc>
          <w:tcPr>
            <w:tcW w:w="504" w:type="pct"/>
            <w:gridSpan w:val="2"/>
            <w:shd w:val="clear" w:color="auto" w:fill="92D050"/>
            <w:noWrap/>
          </w:tcPr>
          <w:p w:rsidR="000D733F" w:rsidRPr="00FE4491" w:rsidRDefault="000B2E73" w:rsidP="000D733F">
            <w:pPr>
              <w:pStyle w:val="TableTextEntries"/>
              <w:jc w:val="center"/>
            </w:pPr>
            <w:r>
              <w:t>5</w:t>
            </w:r>
          </w:p>
        </w:tc>
        <w:tc>
          <w:tcPr>
            <w:tcW w:w="390" w:type="pct"/>
            <w:shd w:val="clear" w:color="auto" w:fill="FFFF00"/>
            <w:noWrap/>
          </w:tcPr>
          <w:p w:rsidR="000D733F" w:rsidRPr="00FE4491" w:rsidRDefault="000B2E73" w:rsidP="000D733F">
            <w:pPr>
              <w:pStyle w:val="TableTextEntries"/>
              <w:jc w:val="center"/>
            </w:pPr>
            <w:r>
              <w:t>4</w:t>
            </w:r>
          </w:p>
        </w:tc>
        <w:tc>
          <w:tcPr>
            <w:tcW w:w="388" w:type="pct"/>
            <w:shd w:val="clear" w:color="auto" w:fill="FFFF00"/>
            <w:noWrap/>
          </w:tcPr>
          <w:p w:rsidR="000D733F" w:rsidRPr="00FE4491" w:rsidRDefault="000B2E73" w:rsidP="000D733F">
            <w:pPr>
              <w:pStyle w:val="TableTextEntries"/>
              <w:jc w:val="center"/>
            </w:pPr>
            <w:r>
              <w:t>4</w:t>
            </w:r>
          </w:p>
        </w:tc>
        <w:tc>
          <w:tcPr>
            <w:tcW w:w="428" w:type="pct"/>
            <w:shd w:val="clear" w:color="auto" w:fill="E36C0A" w:themeFill="accent6" w:themeFillShade="BF"/>
            <w:noWrap/>
          </w:tcPr>
          <w:p w:rsidR="000D733F" w:rsidRPr="00FE4491" w:rsidRDefault="000B2E73" w:rsidP="000D733F">
            <w:pPr>
              <w:pStyle w:val="TableTextEntries"/>
              <w:jc w:val="center"/>
            </w:pPr>
            <w:r>
              <w:t>3</w:t>
            </w:r>
          </w:p>
        </w:tc>
        <w:tc>
          <w:tcPr>
            <w:tcW w:w="385" w:type="pct"/>
            <w:shd w:val="clear" w:color="auto" w:fill="E36C0A" w:themeFill="accent6" w:themeFillShade="BF"/>
            <w:noWrap/>
          </w:tcPr>
          <w:p w:rsidR="000D733F" w:rsidRPr="00FE4491" w:rsidRDefault="000B2E73" w:rsidP="000D733F">
            <w:pPr>
              <w:pStyle w:val="TableTextEntries"/>
              <w:jc w:val="center"/>
            </w:pPr>
            <w:r>
              <w:t>3</w:t>
            </w:r>
          </w:p>
        </w:tc>
        <w:tc>
          <w:tcPr>
            <w:tcW w:w="385" w:type="pct"/>
            <w:shd w:val="clear" w:color="auto" w:fill="FFFF00"/>
            <w:noWrap/>
          </w:tcPr>
          <w:p w:rsidR="000D733F" w:rsidRPr="00FE4491" w:rsidRDefault="000B2E73"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D733F" w:rsidRPr="00E15AB9" w:rsidRDefault="00F72142" w:rsidP="00F72142">
            <w:pPr>
              <w:pStyle w:val="TableTextEntries"/>
            </w:pPr>
            <w:r w:rsidRPr="00C939DB">
              <w:t>Australia Awards</w:t>
            </w:r>
          </w:p>
        </w:tc>
        <w:tc>
          <w:tcPr>
            <w:tcW w:w="862" w:type="pct"/>
            <w:vMerge w:val="restart"/>
          </w:tcPr>
          <w:p w:rsidR="000D733F" w:rsidRPr="00FE4491" w:rsidRDefault="000B2E73" w:rsidP="000D733F">
            <w:pPr>
              <w:pStyle w:val="TableTextEntries"/>
            </w:pPr>
            <w:r>
              <w:t>$10,056,300</w:t>
            </w:r>
            <w:r w:rsidR="00D74DFF">
              <w:br/>
              <w:t>2007-2017</w:t>
            </w:r>
          </w:p>
        </w:tc>
        <w:tc>
          <w:tcPr>
            <w:tcW w:w="510" w:type="pct"/>
          </w:tcPr>
          <w:p w:rsidR="000D733F" w:rsidRPr="00FE4491" w:rsidRDefault="000D733F" w:rsidP="000D733F">
            <w:pPr>
              <w:pStyle w:val="TableTextEntries"/>
            </w:pPr>
            <w:r w:rsidRPr="00FE4491">
              <w:t>201</w:t>
            </w:r>
            <w:r>
              <w:t>3</w:t>
            </w:r>
          </w:p>
        </w:tc>
        <w:tc>
          <w:tcPr>
            <w:tcW w:w="504" w:type="pct"/>
            <w:gridSpan w:val="2"/>
            <w:shd w:val="clear" w:color="auto" w:fill="92D050"/>
            <w:noWrap/>
          </w:tcPr>
          <w:p w:rsidR="000D733F" w:rsidRPr="00FE4491" w:rsidRDefault="000B2E73" w:rsidP="000D733F">
            <w:pPr>
              <w:pStyle w:val="TableTextEntries"/>
              <w:jc w:val="center"/>
            </w:pPr>
            <w:r>
              <w:t>5</w:t>
            </w:r>
          </w:p>
        </w:tc>
        <w:tc>
          <w:tcPr>
            <w:tcW w:w="390" w:type="pct"/>
            <w:shd w:val="clear" w:color="auto" w:fill="92D050"/>
            <w:noWrap/>
          </w:tcPr>
          <w:p w:rsidR="000D733F" w:rsidRPr="00FE4491" w:rsidRDefault="00D74DFF" w:rsidP="000D733F">
            <w:pPr>
              <w:pStyle w:val="TableTextEntries"/>
              <w:jc w:val="center"/>
            </w:pPr>
            <w:r>
              <w:t>5</w:t>
            </w:r>
          </w:p>
        </w:tc>
        <w:tc>
          <w:tcPr>
            <w:tcW w:w="388" w:type="pct"/>
            <w:shd w:val="clear" w:color="auto" w:fill="FFFF00"/>
            <w:noWrap/>
          </w:tcPr>
          <w:p w:rsidR="000D733F" w:rsidRPr="00FE4491" w:rsidRDefault="000B2E73" w:rsidP="000D733F">
            <w:pPr>
              <w:pStyle w:val="TableTextEntries"/>
              <w:jc w:val="center"/>
            </w:pPr>
            <w:r>
              <w:t>4</w:t>
            </w:r>
          </w:p>
        </w:tc>
        <w:tc>
          <w:tcPr>
            <w:tcW w:w="428" w:type="pct"/>
            <w:shd w:val="clear" w:color="auto" w:fill="FFFF00"/>
            <w:noWrap/>
          </w:tcPr>
          <w:p w:rsidR="000D733F" w:rsidRPr="00FE4491" w:rsidRDefault="00D74DFF" w:rsidP="000D733F">
            <w:pPr>
              <w:pStyle w:val="TableTextEntries"/>
              <w:jc w:val="center"/>
            </w:pPr>
            <w:r>
              <w:t>4</w:t>
            </w:r>
          </w:p>
        </w:tc>
        <w:tc>
          <w:tcPr>
            <w:tcW w:w="385" w:type="pct"/>
            <w:shd w:val="clear" w:color="auto" w:fill="FFFF00"/>
            <w:noWrap/>
          </w:tcPr>
          <w:p w:rsidR="000D733F" w:rsidRPr="00FE4491" w:rsidRDefault="000B2E73" w:rsidP="000D733F">
            <w:pPr>
              <w:pStyle w:val="TableTextEntries"/>
              <w:jc w:val="center"/>
            </w:pPr>
            <w:r>
              <w:t>4</w:t>
            </w:r>
          </w:p>
        </w:tc>
        <w:tc>
          <w:tcPr>
            <w:tcW w:w="385" w:type="pct"/>
            <w:shd w:val="clear" w:color="auto" w:fill="92D050"/>
            <w:noWrap/>
          </w:tcPr>
          <w:p w:rsidR="000D733F" w:rsidRPr="00FE4491" w:rsidRDefault="000B2E73" w:rsidP="000D733F">
            <w:pPr>
              <w:pStyle w:val="TableTextEntries"/>
              <w:jc w:val="center"/>
            </w:pPr>
            <w:r>
              <w:t>5</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D733F" w:rsidRPr="00FE4491" w:rsidRDefault="000D733F" w:rsidP="000D733F">
            <w:pPr>
              <w:pStyle w:val="TableTextEntries"/>
            </w:pPr>
          </w:p>
        </w:tc>
        <w:tc>
          <w:tcPr>
            <w:tcW w:w="862" w:type="pct"/>
            <w:vMerge/>
          </w:tcPr>
          <w:p w:rsidR="000D733F" w:rsidRPr="00FE4491" w:rsidRDefault="000D733F" w:rsidP="000D733F">
            <w:pPr>
              <w:pStyle w:val="TableTextEntries"/>
            </w:pPr>
          </w:p>
        </w:tc>
        <w:tc>
          <w:tcPr>
            <w:tcW w:w="510" w:type="pct"/>
          </w:tcPr>
          <w:p w:rsidR="000D733F" w:rsidRPr="00FE4491" w:rsidRDefault="000D733F" w:rsidP="000D733F">
            <w:pPr>
              <w:pStyle w:val="TableTextEntries"/>
            </w:pPr>
            <w:r w:rsidRPr="00FE4491">
              <w:t>201</w:t>
            </w:r>
            <w:r>
              <w:t>2</w:t>
            </w:r>
          </w:p>
        </w:tc>
        <w:tc>
          <w:tcPr>
            <w:tcW w:w="504" w:type="pct"/>
            <w:gridSpan w:val="2"/>
            <w:shd w:val="clear" w:color="auto" w:fill="92D050"/>
            <w:noWrap/>
          </w:tcPr>
          <w:p w:rsidR="000D733F" w:rsidRPr="00FE4491" w:rsidRDefault="000B2E73" w:rsidP="000D733F">
            <w:pPr>
              <w:pStyle w:val="TableTextEntries"/>
              <w:jc w:val="center"/>
            </w:pPr>
            <w:r>
              <w:t>5</w:t>
            </w:r>
          </w:p>
        </w:tc>
        <w:tc>
          <w:tcPr>
            <w:tcW w:w="390" w:type="pct"/>
            <w:shd w:val="clear" w:color="auto" w:fill="92D050"/>
            <w:noWrap/>
          </w:tcPr>
          <w:p w:rsidR="000D733F" w:rsidRPr="00FE4491" w:rsidRDefault="000B2E73" w:rsidP="000D733F">
            <w:pPr>
              <w:pStyle w:val="TableTextEntries"/>
              <w:jc w:val="center"/>
            </w:pPr>
            <w:r>
              <w:t>5</w:t>
            </w:r>
          </w:p>
        </w:tc>
        <w:tc>
          <w:tcPr>
            <w:tcW w:w="388" w:type="pct"/>
            <w:shd w:val="clear" w:color="auto" w:fill="FFFF00"/>
            <w:noWrap/>
          </w:tcPr>
          <w:p w:rsidR="000D733F" w:rsidRPr="00FE4491" w:rsidRDefault="000B2E73" w:rsidP="000D733F">
            <w:pPr>
              <w:pStyle w:val="TableTextEntries"/>
              <w:jc w:val="center"/>
            </w:pPr>
            <w:r>
              <w:t>4</w:t>
            </w:r>
          </w:p>
        </w:tc>
        <w:tc>
          <w:tcPr>
            <w:tcW w:w="428" w:type="pct"/>
            <w:shd w:val="clear" w:color="auto" w:fill="E36C0A" w:themeFill="accent6" w:themeFillShade="BF"/>
            <w:noWrap/>
          </w:tcPr>
          <w:p w:rsidR="000D733F" w:rsidRPr="00FE4491" w:rsidRDefault="000B2E73" w:rsidP="000D733F">
            <w:pPr>
              <w:pStyle w:val="TableTextEntries"/>
              <w:jc w:val="center"/>
            </w:pPr>
            <w:r>
              <w:t>3</w:t>
            </w:r>
          </w:p>
        </w:tc>
        <w:tc>
          <w:tcPr>
            <w:tcW w:w="385" w:type="pct"/>
            <w:shd w:val="clear" w:color="auto" w:fill="FFFF00"/>
            <w:noWrap/>
          </w:tcPr>
          <w:p w:rsidR="000D733F" w:rsidRPr="00FE4491" w:rsidRDefault="000B2E73" w:rsidP="000D733F">
            <w:pPr>
              <w:pStyle w:val="TableTextEntries"/>
              <w:jc w:val="center"/>
            </w:pPr>
            <w:r>
              <w:t>4</w:t>
            </w:r>
          </w:p>
        </w:tc>
        <w:tc>
          <w:tcPr>
            <w:tcW w:w="385" w:type="pct"/>
            <w:shd w:val="clear" w:color="auto" w:fill="92D050"/>
            <w:noWrap/>
          </w:tcPr>
          <w:p w:rsidR="000D733F" w:rsidRPr="00FE4491" w:rsidRDefault="000B2E73" w:rsidP="000D733F">
            <w:pPr>
              <w:pStyle w:val="TableTextEntries"/>
              <w:jc w:val="center"/>
            </w:pPr>
            <w:r>
              <w:t>5</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Vanuatu Church Partnership Program</w:t>
            </w:r>
          </w:p>
        </w:tc>
        <w:tc>
          <w:tcPr>
            <w:tcW w:w="862" w:type="pct"/>
            <w:vMerge w:val="restart"/>
          </w:tcPr>
          <w:p w:rsidR="000B2E73" w:rsidRPr="00FE4491" w:rsidRDefault="00D74DFF" w:rsidP="000D733F">
            <w:pPr>
              <w:pStyle w:val="TableTextEntries"/>
            </w:pPr>
            <w:r>
              <w:t>$5,794,519</w:t>
            </w:r>
            <w:r>
              <w:br/>
              <w:t>2009-2014</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FFFF00"/>
            <w:noWrap/>
          </w:tcPr>
          <w:p w:rsidR="000B2E73" w:rsidRDefault="00D74DFF" w:rsidP="000D733F">
            <w:pPr>
              <w:pStyle w:val="TableTextEntries"/>
              <w:jc w:val="center"/>
            </w:pPr>
            <w:r>
              <w:t>4</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E36C0A" w:themeFill="accent6" w:themeFillShade="BF"/>
            <w:noWrap/>
          </w:tcPr>
          <w:p w:rsidR="000B2E73" w:rsidRDefault="00D74DFF" w:rsidP="000D733F">
            <w:pPr>
              <w:pStyle w:val="TableTextEntries"/>
              <w:jc w:val="center"/>
            </w:pPr>
            <w:r>
              <w:t>3</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FFFF00"/>
            <w:noWrap/>
          </w:tcPr>
          <w:p w:rsidR="000B2E73" w:rsidRDefault="00D74DFF" w:rsidP="000D733F">
            <w:pPr>
              <w:pStyle w:val="TableTextEntries"/>
              <w:jc w:val="center"/>
            </w:pPr>
            <w:r>
              <w:t>4</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E36C0A" w:themeFill="accent6" w:themeFillShade="BF"/>
            <w:noWrap/>
          </w:tcPr>
          <w:p w:rsidR="000B2E73" w:rsidRDefault="00D74DFF" w:rsidP="000D733F">
            <w:pPr>
              <w:pStyle w:val="TableTextEntries"/>
              <w:jc w:val="center"/>
            </w:pPr>
            <w:r>
              <w:t>3</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E36C0A" w:themeFill="accent6" w:themeFillShade="BF"/>
            <w:noWrap/>
          </w:tcPr>
          <w:p w:rsidR="000B2E73" w:rsidRDefault="00D74DFF" w:rsidP="000D733F">
            <w:pPr>
              <w:pStyle w:val="TableTextEntries"/>
              <w:jc w:val="center"/>
            </w:pPr>
            <w:r>
              <w:t>3</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Vanuatu Land Program</w:t>
            </w:r>
          </w:p>
        </w:tc>
        <w:tc>
          <w:tcPr>
            <w:tcW w:w="862" w:type="pct"/>
            <w:vMerge w:val="restart"/>
          </w:tcPr>
          <w:p w:rsidR="000B2E73" w:rsidRPr="00FE4491" w:rsidRDefault="00D74DFF" w:rsidP="000D733F">
            <w:pPr>
              <w:pStyle w:val="TableTextEntries"/>
            </w:pPr>
            <w:r>
              <w:t>$12,027,233</w:t>
            </w:r>
            <w:r>
              <w:br/>
              <w:t>2009-2015</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FFFF00"/>
            <w:noWrap/>
          </w:tcPr>
          <w:p w:rsidR="000B2E73" w:rsidRDefault="00D74DFF" w:rsidP="000D733F">
            <w:pPr>
              <w:pStyle w:val="TableTextEntries"/>
              <w:jc w:val="center"/>
            </w:pPr>
            <w:r>
              <w:t>4</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E36C0A" w:themeFill="accent6" w:themeFillShade="BF"/>
            <w:noWrap/>
          </w:tcPr>
          <w:p w:rsidR="000B2E73" w:rsidRDefault="00D74DFF" w:rsidP="000D733F">
            <w:pPr>
              <w:pStyle w:val="TableTextEntries"/>
              <w:jc w:val="center"/>
            </w:pPr>
            <w:r>
              <w:t>3</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FFFF00"/>
            <w:noWrap/>
          </w:tcPr>
          <w:p w:rsidR="000B2E73" w:rsidRDefault="00D74DFF" w:rsidP="000D733F">
            <w:pPr>
              <w:pStyle w:val="TableTextEntries"/>
              <w:jc w:val="center"/>
            </w:pPr>
            <w:r>
              <w:t>4</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0000"/>
            <w:noWrap/>
          </w:tcPr>
          <w:p w:rsidR="000B2E73" w:rsidRDefault="00D74DFF" w:rsidP="000D733F">
            <w:pPr>
              <w:pStyle w:val="TableTextEntries"/>
              <w:jc w:val="center"/>
            </w:pPr>
            <w:r>
              <w:t>2</w:t>
            </w:r>
          </w:p>
        </w:tc>
        <w:tc>
          <w:tcPr>
            <w:tcW w:w="385" w:type="pct"/>
            <w:shd w:val="clear" w:color="auto" w:fill="FFFF00"/>
            <w:noWrap/>
          </w:tcPr>
          <w:p w:rsidR="000B2E73" w:rsidRDefault="00D74DFF"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Wan Smolbag</w:t>
            </w:r>
          </w:p>
        </w:tc>
        <w:tc>
          <w:tcPr>
            <w:tcW w:w="862" w:type="pct"/>
            <w:vMerge w:val="restart"/>
          </w:tcPr>
          <w:p w:rsidR="000B2E73" w:rsidRPr="00FE4491" w:rsidRDefault="00D74DFF" w:rsidP="000D733F">
            <w:pPr>
              <w:pStyle w:val="TableTextEntries"/>
            </w:pPr>
            <w:r>
              <w:t>$8,941,555</w:t>
            </w:r>
            <w:r>
              <w:br/>
              <w:t>2010-2014</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D74DFF" w:rsidP="000D733F">
            <w:pPr>
              <w:pStyle w:val="TableTextEntries"/>
              <w:jc w:val="center"/>
            </w:pPr>
            <w:r>
              <w:t>5</w:t>
            </w:r>
          </w:p>
        </w:tc>
        <w:tc>
          <w:tcPr>
            <w:tcW w:w="390" w:type="pct"/>
            <w:shd w:val="clear" w:color="auto" w:fill="92D050"/>
            <w:noWrap/>
          </w:tcPr>
          <w:p w:rsidR="000B2E73" w:rsidRDefault="00D74DFF" w:rsidP="000D733F">
            <w:pPr>
              <w:pStyle w:val="TableTextEntries"/>
              <w:jc w:val="center"/>
            </w:pPr>
            <w:r>
              <w:t>5</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92D050"/>
            <w:noWrap/>
          </w:tcPr>
          <w:p w:rsidR="000B2E73" w:rsidRDefault="00D74DFF" w:rsidP="000D733F">
            <w:pPr>
              <w:pStyle w:val="TableTextEntries"/>
              <w:jc w:val="center"/>
            </w:pPr>
            <w:r>
              <w:t>5</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92D050"/>
            <w:noWrap/>
          </w:tcPr>
          <w:p w:rsidR="000B2E73" w:rsidRDefault="00D74DFF" w:rsidP="000D733F">
            <w:pPr>
              <w:pStyle w:val="TableTextEntries"/>
              <w:jc w:val="center"/>
            </w:pPr>
            <w:r>
              <w:t>5</w:t>
            </w:r>
          </w:p>
        </w:tc>
        <w:tc>
          <w:tcPr>
            <w:tcW w:w="390" w:type="pct"/>
            <w:shd w:val="clear" w:color="auto" w:fill="92D050"/>
            <w:noWrap/>
          </w:tcPr>
          <w:p w:rsidR="000B2E73" w:rsidRDefault="00D74DFF" w:rsidP="000D733F">
            <w:pPr>
              <w:pStyle w:val="TableTextEntries"/>
              <w:jc w:val="center"/>
            </w:pPr>
            <w:r>
              <w:t>5</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92D050"/>
            <w:noWrap/>
          </w:tcPr>
          <w:p w:rsidR="000B2E73" w:rsidRDefault="00D74DFF" w:rsidP="000D733F">
            <w:pPr>
              <w:pStyle w:val="TableTextEntries"/>
              <w:jc w:val="center"/>
            </w:pPr>
            <w:r>
              <w:t>6</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Vanuatu Health Sector</w:t>
            </w:r>
          </w:p>
        </w:tc>
        <w:tc>
          <w:tcPr>
            <w:tcW w:w="862" w:type="pct"/>
            <w:vMerge w:val="restart"/>
          </w:tcPr>
          <w:p w:rsidR="000B2E73" w:rsidRPr="00FE4491" w:rsidRDefault="00D74DFF" w:rsidP="000D733F">
            <w:pPr>
              <w:pStyle w:val="TableTextEntries"/>
            </w:pPr>
            <w:r>
              <w:t>$25,960,524</w:t>
            </w:r>
            <w:r>
              <w:br/>
              <w:t>2010-2016</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D74DFF" w:rsidP="000D733F">
            <w:pPr>
              <w:pStyle w:val="TableTextEntries"/>
              <w:jc w:val="center"/>
            </w:pPr>
            <w:r>
              <w:t>5</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92D050"/>
            <w:noWrap/>
          </w:tcPr>
          <w:p w:rsidR="000B2E73" w:rsidRDefault="00D74DFF" w:rsidP="000D733F">
            <w:pPr>
              <w:pStyle w:val="TableTextEntries"/>
              <w:jc w:val="center"/>
            </w:pPr>
            <w:r>
              <w:t>5</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E36C0A" w:themeFill="accent6" w:themeFillShade="BF"/>
            <w:noWrap/>
          </w:tcPr>
          <w:p w:rsidR="000B2E73" w:rsidRDefault="00D74DFF" w:rsidP="000D733F">
            <w:pPr>
              <w:pStyle w:val="TableTextEntries"/>
              <w:jc w:val="center"/>
            </w:pPr>
            <w:r>
              <w:t>3</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Vanuatu Law and Justice Program</w:t>
            </w:r>
          </w:p>
        </w:tc>
        <w:tc>
          <w:tcPr>
            <w:tcW w:w="862" w:type="pct"/>
            <w:vMerge w:val="restart"/>
          </w:tcPr>
          <w:p w:rsidR="000B2E73" w:rsidRPr="00FE4491" w:rsidRDefault="00D74DFF" w:rsidP="000D733F">
            <w:pPr>
              <w:pStyle w:val="TableTextEntries"/>
            </w:pPr>
            <w:r>
              <w:t>$21,763,453</w:t>
            </w:r>
            <w:r>
              <w:br/>
              <w:t>2011-2017</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D74DFF" w:rsidP="000D733F">
            <w:pPr>
              <w:pStyle w:val="TableTextEntries"/>
              <w:jc w:val="center"/>
            </w:pPr>
            <w:r>
              <w:t>5</w:t>
            </w:r>
          </w:p>
        </w:tc>
        <w:tc>
          <w:tcPr>
            <w:tcW w:w="390" w:type="pct"/>
            <w:shd w:val="clear" w:color="auto" w:fill="92D050"/>
            <w:noWrap/>
          </w:tcPr>
          <w:p w:rsidR="000B2E73" w:rsidRDefault="00D74DFF" w:rsidP="000D733F">
            <w:pPr>
              <w:pStyle w:val="TableTextEntries"/>
              <w:jc w:val="center"/>
            </w:pPr>
            <w:r>
              <w:t>5</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FFFF00"/>
            <w:noWrap/>
          </w:tcPr>
          <w:p w:rsidR="000B2E73" w:rsidRDefault="00D74DFF" w:rsidP="000D733F">
            <w:pPr>
              <w:pStyle w:val="TableTextEntries"/>
              <w:jc w:val="center"/>
            </w:pPr>
            <w:r>
              <w:t>4</w:t>
            </w:r>
          </w:p>
        </w:tc>
        <w:tc>
          <w:tcPr>
            <w:tcW w:w="390" w:type="pct"/>
            <w:shd w:val="clear" w:color="auto" w:fill="FFFF00"/>
            <w:noWrap/>
          </w:tcPr>
          <w:p w:rsidR="000B2E73" w:rsidRDefault="00D74DFF" w:rsidP="000D733F">
            <w:pPr>
              <w:pStyle w:val="TableTextEntries"/>
              <w:jc w:val="center"/>
            </w:pPr>
            <w:r>
              <w:t>4</w:t>
            </w:r>
          </w:p>
        </w:tc>
        <w:tc>
          <w:tcPr>
            <w:tcW w:w="388" w:type="pct"/>
            <w:shd w:val="clear" w:color="auto" w:fill="FFFF00"/>
            <w:noWrap/>
          </w:tcPr>
          <w:p w:rsidR="000B2E73" w:rsidRDefault="00D74DFF" w:rsidP="000D733F">
            <w:pPr>
              <w:pStyle w:val="TableTextEntries"/>
              <w:jc w:val="center"/>
            </w:pPr>
            <w:r>
              <w:t>4</w:t>
            </w:r>
          </w:p>
        </w:tc>
        <w:tc>
          <w:tcPr>
            <w:tcW w:w="428" w:type="pct"/>
            <w:shd w:val="clear" w:color="auto" w:fill="FFFF00"/>
            <w:noWrap/>
          </w:tcPr>
          <w:p w:rsidR="000B2E73" w:rsidRDefault="00D74DFF" w:rsidP="000D733F">
            <w:pPr>
              <w:pStyle w:val="TableTextEntries"/>
              <w:jc w:val="center"/>
            </w:pPr>
            <w:r>
              <w:t>4</w:t>
            </w:r>
          </w:p>
        </w:tc>
        <w:tc>
          <w:tcPr>
            <w:tcW w:w="385" w:type="pct"/>
            <w:shd w:val="clear" w:color="auto" w:fill="FFFF00"/>
            <w:noWrap/>
          </w:tcPr>
          <w:p w:rsidR="000B2E73" w:rsidRDefault="00D74DFF" w:rsidP="000D733F">
            <w:pPr>
              <w:pStyle w:val="TableTextEntries"/>
              <w:jc w:val="center"/>
            </w:pPr>
            <w:r>
              <w:t>4</w:t>
            </w:r>
          </w:p>
        </w:tc>
        <w:tc>
          <w:tcPr>
            <w:tcW w:w="385" w:type="pct"/>
            <w:shd w:val="clear" w:color="auto" w:fill="92D050"/>
            <w:noWrap/>
          </w:tcPr>
          <w:p w:rsidR="000B2E73" w:rsidRDefault="00D74DFF" w:rsidP="000D733F">
            <w:pPr>
              <w:pStyle w:val="TableTextEntries"/>
              <w:jc w:val="center"/>
            </w:pPr>
            <w:r>
              <w:t>5</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D74DFF" w:rsidP="000D733F">
            <w:pPr>
              <w:pStyle w:val="TableTextEntries"/>
            </w:pPr>
            <w:r>
              <w:t>Vanuatu Australia Police Project</w:t>
            </w:r>
          </w:p>
        </w:tc>
        <w:tc>
          <w:tcPr>
            <w:tcW w:w="862" w:type="pct"/>
            <w:vMerge w:val="restart"/>
          </w:tcPr>
          <w:p w:rsidR="000B2E73" w:rsidRPr="00FE4491" w:rsidRDefault="00D74DFF" w:rsidP="000D733F">
            <w:pPr>
              <w:pStyle w:val="TableTextEntries"/>
            </w:pPr>
            <w:r>
              <w:t>$14,130,239</w:t>
            </w:r>
            <w:r>
              <w:br/>
              <w:t>2011-2014</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4373F8" w:rsidP="000D733F">
            <w:pPr>
              <w:pStyle w:val="TableTextEntries"/>
              <w:jc w:val="center"/>
            </w:pPr>
            <w:r>
              <w:t>5</w:t>
            </w:r>
          </w:p>
        </w:tc>
        <w:tc>
          <w:tcPr>
            <w:tcW w:w="390" w:type="pct"/>
            <w:shd w:val="clear" w:color="auto" w:fill="92D050"/>
            <w:noWrap/>
          </w:tcPr>
          <w:p w:rsidR="000B2E73" w:rsidRDefault="004373F8" w:rsidP="000D733F">
            <w:pPr>
              <w:pStyle w:val="TableTextEntries"/>
              <w:jc w:val="center"/>
            </w:pPr>
            <w:r>
              <w:t>5</w:t>
            </w:r>
          </w:p>
        </w:tc>
        <w:tc>
          <w:tcPr>
            <w:tcW w:w="388" w:type="pct"/>
            <w:shd w:val="clear" w:color="auto" w:fill="FFFF00"/>
            <w:noWrap/>
          </w:tcPr>
          <w:p w:rsidR="000B2E73" w:rsidRDefault="004373F8" w:rsidP="000D733F">
            <w:pPr>
              <w:pStyle w:val="TableTextEntries"/>
              <w:jc w:val="center"/>
            </w:pPr>
            <w:r>
              <w:t>4</w:t>
            </w:r>
          </w:p>
        </w:tc>
        <w:tc>
          <w:tcPr>
            <w:tcW w:w="428" w:type="pct"/>
            <w:shd w:val="clear" w:color="auto" w:fill="FFFF00"/>
            <w:noWrap/>
          </w:tcPr>
          <w:p w:rsidR="000B2E73" w:rsidRDefault="004373F8" w:rsidP="000D733F">
            <w:pPr>
              <w:pStyle w:val="TableTextEntries"/>
              <w:jc w:val="center"/>
            </w:pPr>
            <w:r>
              <w:t>4</w:t>
            </w:r>
          </w:p>
        </w:tc>
        <w:tc>
          <w:tcPr>
            <w:tcW w:w="385" w:type="pct"/>
            <w:shd w:val="clear" w:color="auto" w:fill="FFFF00"/>
            <w:noWrap/>
          </w:tcPr>
          <w:p w:rsidR="000B2E73" w:rsidRDefault="004373F8" w:rsidP="000D733F">
            <w:pPr>
              <w:pStyle w:val="TableTextEntries"/>
              <w:jc w:val="center"/>
            </w:pPr>
            <w:r>
              <w:t>4</w:t>
            </w:r>
          </w:p>
        </w:tc>
        <w:tc>
          <w:tcPr>
            <w:tcW w:w="385" w:type="pct"/>
            <w:shd w:val="clear" w:color="auto" w:fill="FFFF00"/>
            <w:noWrap/>
          </w:tcPr>
          <w:p w:rsidR="000B2E73" w:rsidRDefault="004373F8"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D74DFF" w:rsidRPr="00FE4491" w:rsidRDefault="00D74DFF" w:rsidP="000D733F">
            <w:pPr>
              <w:pStyle w:val="TableTextEntries"/>
            </w:pPr>
          </w:p>
        </w:tc>
        <w:tc>
          <w:tcPr>
            <w:tcW w:w="862" w:type="pct"/>
            <w:vMerge/>
          </w:tcPr>
          <w:p w:rsidR="00D74DFF" w:rsidRPr="00FE4491" w:rsidRDefault="00D74DFF" w:rsidP="000D733F">
            <w:pPr>
              <w:pStyle w:val="TableTextEntries"/>
            </w:pPr>
          </w:p>
        </w:tc>
        <w:tc>
          <w:tcPr>
            <w:tcW w:w="510" w:type="pct"/>
          </w:tcPr>
          <w:p w:rsidR="00D74DFF" w:rsidRPr="00FE4491" w:rsidRDefault="00D74DFF" w:rsidP="00365C33">
            <w:pPr>
              <w:pStyle w:val="TableTextEntries"/>
            </w:pPr>
            <w:r w:rsidRPr="00FE4491">
              <w:t>201</w:t>
            </w:r>
            <w:r>
              <w:t>2</w:t>
            </w:r>
          </w:p>
        </w:tc>
        <w:tc>
          <w:tcPr>
            <w:tcW w:w="504" w:type="pct"/>
            <w:gridSpan w:val="2"/>
            <w:shd w:val="clear" w:color="auto" w:fill="FBD4B4" w:themeFill="accent6" w:themeFillTint="66"/>
            <w:noWrap/>
          </w:tcPr>
          <w:p w:rsidR="00D74DFF" w:rsidRDefault="00D74DFF" w:rsidP="000D733F">
            <w:pPr>
              <w:pStyle w:val="TableTextEntries"/>
              <w:jc w:val="center"/>
            </w:pPr>
            <w:r>
              <w:t>E</w:t>
            </w:r>
          </w:p>
        </w:tc>
        <w:tc>
          <w:tcPr>
            <w:tcW w:w="390" w:type="pct"/>
            <w:shd w:val="clear" w:color="auto" w:fill="FBD4B4" w:themeFill="accent6" w:themeFillTint="66"/>
            <w:noWrap/>
          </w:tcPr>
          <w:p w:rsidR="00D74DFF" w:rsidRDefault="00D74DFF" w:rsidP="00D74DFF">
            <w:pPr>
              <w:pStyle w:val="TableTextEntries"/>
              <w:jc w:val="center"/>
            </w:pPr>
            <w:r w:rsidRPr="00351A41">
              <w:t>E</w:t>
            </w:r>
          </w:p>
        </w:tc>
        <w:tc>
          <w:tcPr>
            <w:tcW w:w="388" w:type="pct"/>
            <w:shd w:val="clear" w:color="auto" w:fill="FBD4B4" w:themeFill="accent6" w:themeFillTint="66"/>
            <w:noWrap/>
          </w:tcPr>
          <w:p w:rsidR="00D74DFF" w:rsidRDefault="00D74DFF" w:rsidP="00D74DFF">
            <w:pPr>
              <w:pStyle w:val="TableTextEntries"/>
              <w:jc w:val="center"/>
            </w:pPr>
            <w:r w:rsidRPr="00351A41">
              <w:t>E</w:t>
            </w:r>
          </w:p>
        </w:tc>
        <w:tc>
          <w:tcPr>
            <w:tcW w:w="428" w:type="pct"/>
            <w:shd w:val="clear" w:color="auto" w:fill="FBD4B4" w:themeFill="accent6" w:themeFillTint="66"/>
            <w:noWrap/>
          </w:tcPr>
          <w:p w:rsidR="00D74DFF" w:rsidRDefault="00D74DFF" w:rsidP="00D74DFF">
            <w:pPr>
              <w:pStyle w:val="TableTextEntries"/>
              <w:jc w:val="center"/>
            </w:pPr>
            <w:r w:rsidRPr="00351A41">
              <w:t>E</w:t>
            </w:r>
          </w:p>
        </w:tc>
        <w:tc>
          <w:tcPr>
            <w:tcW w:w="385" w:type="pct"/>
            <w:shd w:val="clear" w:color="auto" w:fill="FBD4B4" w:themeFill="accent6" w:themeFillTint="66"/>
            <w:noWrap/>
          </w:tcPr>
          <w:p w:rsidR="00D74DFF" w:rsidRDefault="00D74DFF" w:rsidP="00D74DFF">
            <w:pPr>
              <w:pStyle w:val="TableTextEntries"/>
              <w:jc w:val="center"/>
            </w:pPr>
            <w:r w:rsidRPr="00351A41">
              <w:t>E</w:t>
            </w:r>
          </w:p>
        </w:tc>
        <w:tc>
          <w:tcPr>
            <w:tcW w:w="385" w:type="pct"/>
            <w:shd w:val="clear" w:color="auto" w:fill="FBD4B4" w:themeFill="accent6" w:themeFillTint="66"/>
            <w:noWrap/>
          </w:tcPr>
          <w:p w:rsidR="00D74DFF" w:rsidRDefault="00D74DFF" w:rsidP="00D74DFF">
            <w:pPr>
              <w:pStyle w:val="TableTextEntries"/>
              <w:jc w:val="center"/>
            </w:pPr>
            <w:r w:rsidRPr="00351A41">
              <w:t>E</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4373F8" w:rsidP="000D733F">
            <w:pPr>
              <w:pStyle w:val="TableTextEntries"/>
            </w:pPr>
            <w:r>
              <w:t>Vanuatu National Library and Archives</w:t>
            </w:r>
          </w:p>
        </w:tc>
        <w:tc>
          <w:tcPr>
            <w:tcW w:w="862" w:type="pct"/>
            <w:vMerge w:val="restart"/>
          </w:tcPr>
          <w:p w:rsidR="000B2E73" w:rsidRPr="00FE4491" w:rsidRDefault="004373F8" w:rsidP="000D733F">
            <w:pPr>
              <w:pStyle w:val="TableTextEntries"/>
            </w:pPr>
            <w:r>
              <w:t>$3,365,211</w:t>
            </w:r>
            <w:r>
              <w:br/>
              <w:t>2011-2014</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4373F8" w:rsidP="000D733F">
            <w:pPr>
              <w:pStyle w:val="TableTextEntries"/>
              <w:jc w:val="center"/>
            </w:pPr>
            <w:r>
              <w:t>5</w:t>
            </w:r>
          </w:p>
        </w:tc>
        <w:tc>
          <w:tcPr>
            <w:tcW w:w="390" w:type="pct"/>
            <w:shd w:val="clear" w:color="auto" w:fill="92D050"/>
            <w:noWrap/>
          </w:tcPr>
          <w:p w:rsidR="000B2E73" w:rsidRDefault="004373F8" w:rsidP="000D733F">
            <w:pPr>
              <w:pStyle w:val="TableTextEntries"/>
              <w:jc w:val="center"/>
            </w:pPr>
            <w:r>
              <w:t>5</w:t>
            </w:r>
          </w:p>
        </w:tc>
        <w:tc>
          <w:tcPr>
            <w:tcW w:w="388" w:type="pct"/>
            <w:shd w:val="clear" w:color="auto" w:fill="92D050"/>
            <w:noWrap/>
          </w:tcPr>
          <w:p w:rsidR="000B2E73" w:rsidRDefault="004373F8" w:rsidP="000D733F">
            <w:pPr>
              <w:pStyle w:val="TableTextEntries"/>
              <w:jc w:val="center"/>
            </w:pPr>
            <w:r>
              <w:t>5</w:t>
            </w:r>
          </w:p>
        </w:tc>
        <w:tc>
          <w:tcPr>
            <w:tcW w:w="428" w:type="pct"/>
            <w:shd w:val="clear" w:color="auto" w:fill="FFFF00"/>
            <w:noWrap/>
          </w:tcPr>
          <w:p w:rsidR="000B2E73" w:rsidRDefault="004373F8" w:rsidP="000D733F">
            <w:pPr>
              <w:pStyle w:val="TableTextEntries"/>
              <w:jc w:val="center"/>
            </w:pPr>
            <w:r>
              <w:t>4</w:t>
            </w:r>
          </w:p>
        </w:tc>
        <w:tc>
          <w:tcPr>
            <w:tcW w:w="385" w:type="pct"/>
            <w:shd w:val="clear" w:color="auto" w:fill="FFFF00"/>
            <w:noWrap/>
          </w:tcPr>
          <w:p w:rsidR="000B2E73" w:rsidRDefault="004373F8" w:rsidP="000D733F">
            <w:pPr>
              <w:pStyle w:val="TableTextEntries"/>
              <w:jc w:val="center"/>
            </w:pPr>
            <w:r>
              <w:t>4</w:t>
            </w:r>
          </w:p>
        </w:tc>
        <w:tc>
          <w:tcPr>
            <w:tcW w:w="385" w:type="pct"/>
            <w:shd w:val="clear" w:color="auto" w:fill="FFFF00"/>
            <w:noWrap/>
          </w:tcPr>
          <w:p w:rsidR="000B2E73" w:rsidRDefault="004373F8"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0B2E73" w:rsidRPr="00FE4491" w:rsidRDefault="000B2E73" w:rsidP="000D733F">
            <w:pPr>
              <w:pStyle w:val="TableTextEntries"/>
            </w:pPr>
          </w:p>
        </w:tc>
        <w:tc>
          <w:tcPr>
            <w:tcW w:w="862" w:type="pct"/>
            <w:vMerge/>
          </w:tcPr>
          <w:p w:rsidR="000B2E73" w:rsidRPr="00FE4491" w:rsidRDefault="000B2E73" w:rsidP="000D733F">
            <w:pPr>
              <w:pStyle w:val="TableTextEntries"/>
            </w:pPr>
          </w:p>
        </w:tc>
        <w:tc>
          <w:tcPr>
            <w:tcW w:w="510" w:type="pct"/>
          </w:tcPr>
          <w:p w:rsidR="000B2E73" w:rsidRPr="00FE4491" w:rsidRDefault="000B2E73" w:rsidP="00365C33">
            <w:pPr>
              <w:pStyle w:val="TableTextEntries"/>
            </w:pPr>
            <w:r w:rsidRPr="00FE4491">
              <w:t>201</w:t>
            </w:r>
            <w:r>
              <w:t>2</w:t>
            </w:r>
          </w:p>
        </w:tc>
        <w:tc>
          <w:tcPr>
            <w:tcW w:w="504" w:type="pct"/>
            <w:gridSpan w:val="2"/>
            <w:shd w:val="clear" w:color="auto" w:fill="FFFF00"/>
            <w:noWrap/>
          </w:tcPr>
          <w:p w:rsidR="000B2E73" w:rsidRDefault="004373F8" w:rsidP="000D733F">
            <w:pPr>
              <w:pStyle w:val="TableTextEntries"/>
              <w:jc w:val="center"/>
            </w:pPr>
            <w:r>
              <w:t>4</w:t>
            </w:r>
          </w:p>
        </w:tc>
        <w:tc>
          <w:tcPr>
            <w:tcW w:w="390" w:type="pct"/>
            <w:shd w:val="clear" w:color="auto" w:fill="92D050"/>
            <w:noWrap/>
          </w:tcPr>
          <w:p w:rsidR="000B2E73" w:rsidRDefault="004373F8" w:rsidP="000D733F">
            <w:pPr>
              <w:pStyle w:val="TableTextEntries"/>
              <w:jc w:val="center"/>
            </w:pPr>
            <w:r>
              <w:t>5</w:t>
            </w:r>
          </w:p>
        </w:tc>
        <w:tc>
          <w:tcPr>
            <w:tcW w:w="388" w:type="pct"/>
            <w:shd w:val="clear" w:color="auto" w:fill="92D050"/>
            <w:noWrap/>
          </w:tcPr>
          <w:p w:rsidR="000B2E73" w:rsidRDefault="004373F8" w:rsidP="000D733F">
            <w:pPr>
              <w:pStyle w:val="TableTextEntries"/>
              <w:jc w:val="center"/>
            </w:pPr>
            <w:r>
              <w:t>5</w:t>
            </w:r>
          </w:p>
        </w:tc>
        <w:tc>
          <w:tcPr>
            <w:tcW w:w="428" w:type="pct"/>
            <w:shd w:val="clear" w:color="auto" w:fill="92D050"/>
            <w:noWrap/>
          </w:tcPr>
          <w:p w:rsidR="000B2E73" w:rsidRDefault="004373F8" w:rsidP="000D733F">
            <w:pPr>
              <w:pStyle w:val="TableTextEntries"/>
              <w:jc w:val="center"/>
            </w:pPr>
            <w:r>
              <w:t>5</w:t>
            </w:r>
          </w:p>
        </w:tc>
        <w:tc>
          <w:tcPr>
            <w:tcW w:w="385" w:type="pct"/>
            <w:shd w:val="clear" w:color="auto" w:fill="E36C0A" w:themeFill="accent6" w:themeFillShade="BF"/>
            <w:noWrap/>
          </w:tcPr>
          <w:p w:rsidR="000B2E73" w:rsidRDefault="004373F8" w:rsidP="000D733F">
            <w:pPr>
              <w:pStyle w:val="TableTextEntries"/>
              <w:jc w:val="center"/>
            </w:pPr>
            <w:r>
              <w:t>3</w:t>
            </w:r>
          </w:p>
        </w:tc>
        <w:tc>
          <w:tcPr>
            <w:tcW w:w="385" w:type="pct"/>
            <w:shd w:val="clear" w:color="auto" w:fill="FFFF00"/>
            <w:noWrap/>
          </w:tcPr>
          <w:p w:rsidR="000B2E73" w:rsidRDefault="004373F8"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0B2E73" w:rsidRPr="00FE4491" w:rsidRDefault="004373F8" w:rsidP="000D733F">
            <w:pPr>
              <w:pStyle w:val="TableTextEntries"/>
            </w:pPr>
            <w:r>
              <w:t>Vanuatu TVET Program</w:t>
            </w:r>
          </w:p>
        </w:tc>
        <w:tc>
          <w:tcPr>
            <w:tcW w:w="862" w:type="pct"/>
            <w:vMerge w:val="restart"/>
          </w:tcPr>
          <w:p w:rsidR="000B2E73" w:rsidRPr="00FE4491" w:rsidRDefault="004373F8" w:rsidP="000D733F">
            <w:pPr>
              <w:pStyle w:val="TableTextEntries"/>
            </w:pPr>
            <w:r>
              <w:t>$$10,831,820</w:t>
            </w:r>
            <w:r>
              <w:br/>
              <w:t>2011-2016</w:t>
            </w:r>
          </w:p>
        </w:tc>
        <w:tc>
          <w:tcPr>
            <w:tcW w:w="510" w:type="pct"/>
          </w:tcPr>
          <w:p w:rsidR="000B2E73" w:rsidRPr="00FE4491" w:rsidRDefault="000B2E73" w:rsidP="00365C33">
            <w:pPr>
              <w:pStyle w:val="TableTextEntries"/>
            </w:pPr>
            <w:r w:rsidRPr="00FE4491">
              <w:t>201</w:t>
            </w:r>
            <w:r>
              <w:t>3</w:t>
            </w:r>
          </w:p>
        </w:tc>
        <w:tc>
          <w:tcPr>
            <w:tcW w:w="504" w:type="pct"/>
            <w:gridSpan w:val="2"/>
            <w:shd w:val="clear" w:color="auto" w:fill="92D050"/>
            <w:noWrap/>
          </w:tcPr>
          <w:p w:rsidR="000B2E73" w:rsidRDefault="004373F8" w:rsidP="000D733F">
            <w:pPr>
              <w:pStyle w:val="TableTextEntries"/>
              <w:jc w:val="center"/>
            </w:pPr>
            <w:r>
              <w:t>6</w:t>
            </w:r>
          </w:p>
        </w:tc>
        <w:tc>
          <w:tcPr>
            <w:tcW w:w="390" w:type="pct"/>
            <w:shd w:val="clear" w:color="auto" w:fill="92D050"/>
            <w:noWrap/>
          </w:tcPr>
          <w:p w:rsidR="000B2E73" w:rsidRDefault="004373F8" w:rsidP="000D733F">
            <w:pPr>
              <w:pStyle w:val="TableTextEntries"/>
              <w:jc w:val="center"/>
            </w:pPr>
            <w:r>
              <w:t>5</w:t>
            </w:r>
          </w:p>
        </w:tc>
        <w:tc>
          <w:tcPr>
            <w:tcW w:w="388" w:type="pct"/>
            <w:shd w:val="clear" w:color="auto" w:fill="92D050"/>
            <w:noWrap/>
          </w:tcPr>
          <w:p w:rsidR="000B2E73" w:rsidRDefault="004373F8" w:rsidP="000D733F">
            <w:pPr>
              <w:pStyle w:val="TableTextEntries"/>
              <w:jc w:val="center"/>
            </w:pPr>
            <w:r>
              <w:t>5</w:t>
            </w:r>
          </w:p>
        </w:tc>
        <w:tc>
          <w:tcPr>
            <w:tcW w:w="428" w:type="pct"/>
            <w:shd w:val="clear" w:color="auto" w:fill="92D050"/>
            <w:noWrap/>
          </w:tcPr>
          <w:p w:rsidR="000B2E73" w:rsidRDefault="004373F8" w:rsidP="000D733F">
            <w:pPr>
              <w:pStyle w:val="TableTextEntries"/>
              <w:jc w:val="center"/>
            </w:pPr>
            <w:r>
              <w:t>5</w:t>
            </w:r>
          </w:p>
        </w:tc>
        <w:tc>
          <w:tcPr>
            <w:tcW w:w="385" w:type="pct"/>
            <w:shd w:val="clear" w:color="auto" w:fill="92D050"/>
            <w:noWrap/>
          </w:tcPr>
          <w:p w:rsidR="000B2E73" w:rsidRDefault="004373F8" w:rsidP="000D733F">
            <w:pPr>
              <w:pStyle w:val="TableTextEntries"/>
              <w:jc w:val="center"/>
            </w:pPr>
            <w:r>
              <w:t>5</w:t>
            </w:r>
          </w:p>
        </w:tc>
        <w:tc>
          <w:tcPr>
            <w:tcW w:w="385" w:type="pct"/>
            <w:shd w:val="clear" w:color="auto" w:fill="FFFF00"/>
            <w:noWrap/>
          </w:tcPr>
          <w:p w:rsidR="000B2E73" w:rsidRDefault="004373F8" w:rsidP="000D733F">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4373F8" w:rsidRPr="00FE4491" w:rsidRDefault="004373F8" w:rsidP="000D733F">
            <w:pPr>
              <w:pStyle w:val="TableTextEntries"/>
            </w:pPr>
          </w:p>
        </w:tc>
        <w:tc>
          <w:tcPr>
            <w:tcW w:w="862" w:type="pct"/>
            <w:vMerge/>
          </w:tcPr>
          <w:p w:rsidR="004373F8" w:rsidRPr="00FE4491" w:rsidRDefault="004373F8" w:rsidP="000D733F">
            <w:pPr>
              <w:pStyle w:val="TableTextEntries"/>
            </w:pPr>
          </w:p>
        </w:tc>
        <w:tc>
          <w:tcPr>
            <w:tcW w:w="510" w:type="pct"/>
          </w:tcPr>
          <w:p w:rsidR="004373F8" w:rsidRPr="00FE4491" w:rsidRDefault="004373F8" w:rsidP="00365C33">
            <w:pPr>
              <w:pStyle w:val="TableTextEntries"/>
            </w:pPr>
            <w:r w:rsidRPr="00FE4491">
              <w:t>201</w:t>
            </w:r>
            <w:r>
              <w:t>2</w:t>
            </w:r>
          </w:p>
        </w:tc>
        <w:tc>
          <w:tcPr>
            <w:tcW w:w="504" w:type="pct"/>
            <w:gridSpan w:val="2"/>
            <w:shd w:val="clear" w:color="auto" w:fill="FBD4B4" w:themeFill="accent6" w:themeFillTint="66"/>
            <w:noWrap/>
          </w:tcPr>
          <w:p w:rsidR="004373F8" w:rsidRDefault="004373F8" w:rsidP="00365C33">
            <w:pPr>
              <w:pStyle w:val="TableTextEntries"/>
              <w:jc w:val="center"/>
            </w:pPr>
            <w:r>
              <w:t>E</w:t>
            </w:r>
          </w:p>
        </w:tc>
        <w:tc>
          <w:tcPr>
            <w:tcW w:w="390" w:type="pct"/>
            <w:shd w:val="clear" w:color="auto" w:fill="FBD4B4" w:themeFill="accent6" w:themeFillTint="66"/>
            <w:noWrap/>
          </w:tcPr>
          <w:p w:rsidR="004373F8" w:rsidRDefault="004373F8" w:rsidP="00365C33">
            <w:pPr>
              <w:pStyle w:val="TableTextEntries"/>
              <w:jc w:val="center"/>
            </w:pPr>
            <w:r w:rsidRPr="00351A41">
              <w:t>E</w:t>
            </w:r>
          </w:p>
        </w:tc>
        <w:tc>
          <w:tcPr>
            <w:tcW w:w="388" w:type="pct"/>
            <w:shd w:val="clear" w:color="auto" w:fill="FBD4B4" w:themeFill="accent6" w:themeFillTint="66"/>
            <w:noWrap/>
          </w:tcPr>
          <w:p w:rsidR="004373F8" w:rsidRDefault="004373F8" w:rsidP="00365C33">
            <w:pPr>
              <w:pStyle w:val="TableTextEntries"/>
              <w:jc w:val="center"/>
            </w:pPr>
            <w:r w:rsidRPr="00351A41">
              <w:t>E</w:t>
            </w:r>
          </w:p>
        </w:tc>
        <w:tc>
          <w:tcPr>
            <w:tcW w:w="428"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4373F8" w:rsidRPr="00FE4491" w:rsidRDefault="004373F8" w:rsidP="000D733F">
            <w:pPr>
              <w:pStyle w:val="TableTextEntries"/>
            </w:pPr>
            <w:r>
              <w:t>Vanuatu Education Support Program</w:t>
            </w:r>
          </w:p>
        </w:tc>
        <w:tc>
          <w:tcPr>
            <w:tcW w:w="862" w:type="pct"/>
            <w:vMerge w:val="restart"/>
          </w:tcPr>
          <w:p w:rsidR="004373F8" w:rsidRPr="00FE4491" w:rsidRDefault="004373F8" w:rsidP="000D733F">
            <w:pPr>
              <w:pStyle w:val="TableTextEntries"/>
            </w:pPr>
            <w:r>
              <w:t>$39,319,927</w:t>
            </w:r>
            <w:r>
              <w:br/>
              <w:t>2012-2016</w:t>
            </w:r>
          </w:p>
        </w:tc>
        <w:tc>
          <w:tcPr>
            <w:tcW w:w="510" w:type="pct"/>
          </w:tcPr>
          <w:p w:rsidR="004373F8" w:rsidRPr="00FE4491" w:rsidRDefault="004373F8" w:rsidP="00365C33">
            <w:pPr>
              <w:pStyle w:val="TableTextEntries"/>
            </w:pPr>
            <w:r w:rsidRPr="00FE4491">
              <w:t>201</w:t>
            </w:r>
            <w:r>
              <w:t>3</w:t>
            </w:r>
          </w:p>
        </w:tc>
        <w:tc>
          <w:tcPr>
            <w:tcW w:w="504" w:type="pct"/>
            <w:gridSpan w:val="2"/>
            <w:shd w:val="clear" w:color="auto" w:fill="FBD4B4" w:themeFill="accent6" w:themeFillTint="66"/>
            <w:noWrap/>
          </w:tcPr>
          <w:p w:rsidR="004373F8" w:rsidRDefault="004373F8" w:rsidP="00365C33">
            <w:pPr>
              <w:pStyle w:val="TableTextEntries"/>
              <w:jc w:val="center"/>
            </w:pPr>
            <w:r>
              <w:t>E</w:t>
            </w:r>
          </w:p>
        </w:tc>
        <w:tc>
          <w:tcPr>
            <w:tcW w:w="390" w:type="pct"/>
            <w:shd w:val="clear" w:color="auto" w:fill="FBD4B4" w:themeFill="accent6" w:themeFillTint="66"/>
            <w:noWrap/>
          </w:tcPr>
          <w:p w:rsidR="004373F8" w:rsidRDefault="004373F8" w:rsidP="00365C33">
            <w:pPr>
              <w:pStyle w:val="TableTextEntries"/>
              <w:jc w:val="center"/>
            </w:pPr>
            <w:r w:rsidRPr="00351A41">
              <w:t>E</w:t>
            </w:r>
          </w:p>
        </w:tc>
        <w:tc>
          <w:tcPr>
            <w:tcW w:w="388" w:type="pct"/>
            <w:shd w:val="clear" w:color="auto" w:fill="FBD4B4" w:themeFill="accent6" w:themeFillTint="66"/>
            <w:noWrap/>
          </w:tcPr>
          <w:p w:rsidR="004373F8" w:rsidRDefault="004373F8" w:rsidP="00365C33">
            <w:pPr>
              <w:pStyle w:val="TableTextEntries"/>
              <w:jc w:val="center"/>
            </w:pPr>
            <w:r w:rsidRPr="00351A41">
              <w:t>E</w:t>
            </w:r>
          </w:p>
        </w:tc>
        <w:tc>
          <w:tcPr>
            <w:tcW w:w="428"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r>
      <w:tr w:rsidR="009B63DA" w:rsidRPr="004373F8"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4373F8" w:rsidRPr="00FE4491" w:rsidRDefault="004373F8" w:rsidP="000D733F">
            <w:pPr>
              <w:pStyle w:val="TableTextEntries"/>
            </w:pPr>
          </w:p>
        </w:tc>
        <w:tc>
          <w:tcPr>
            <w:tcW w:w="862" w:type="pct"/>
            <w:vMerge/>
          </w:tcPr>
          <w:p w:rsidR="004373F8" w:rsidRPr="00FE4491" w:rsidRDefault="004373F8" w:rsidP="000D733F">
            <w:pPr>
              <w:pStyle w:val="TableTextEntries"/>
            </w:pPr>
          </w:p>
        </w:tc>
        <w:tc>
          <w:tcPr>
            <w:tcW w:w="510" w:type="pct"/>
          </w:tcPr>
          <w:p w:rsidR="004373F8" w:rsidRPr="00FE4491" w:rsidRDefault="004373F8" w:rsidP="00365C33">
            <w:pPr>
              <w:pStyle w:val="TableTextEntries"/>
            </w:pPr>
            <w:r w:rsidRPr="00FE4491">
              <w:t>201</w:t>
            </w:r>
            <w:r>
              <w:t>2</w:t>
            </w:r>
          </w:p>
        </w:tc>
        <w:tc>
          <w:tcPr>
            <w:tcW w:w="504" w:type="pct"/>
            <w:gridSpan w:val="2"/>
            <w:shd w:val="clear" w:color="auto" w:fill="FBD4B4" w:themeFill="accent6" w:themeFillTint="66"/>
            <w:noWrap/>
          </w:tcPr>
          <w:p w:rsidR="004373F8" w:rsidRDefault="004373F8" w:rsidP="00365C33">
            <w:pPr>
              <w:pStyle w:val="TableTextEntries"/>
              <w:jc w:val="center"/>
            </w:pPr>
            <w:r>
              <w:t>N/A</w:t>
            </w:r>
          </w:p>
        </w:tc>
        <w:tc>
          <w:tcPr>
            <w:tcW w:w="390" w:type="pct"/>
            <w:shd w:val="clear" w:color="auto" w:fill="FBD4B4" w:themeFill="accent6" w:themeFillTint="66"/>
            <w:noWrap/>
          </w:tcPr>
          <w:p w:rsidR="004373F8" w:rsidRDefault="004373F8" w:rsidP="004373F8">
            <w:pPr>
              <w:pStyle w:val="TableTextEntries"/>
              <w:jc w:val="center"/>
            </w:pPr>
            <w:r w:rsidRPr="00DC79D9">
              <w:t>N/A</w:t>
            </w:r>
          </w:p>
        </w:tc>
        <w:tc>
          <w:tcPr>
            <w:tcW w:w="388" w:type="pct"/>
            <w:shd w:val="clear" w:color="auto" w:fill="FBD4B4" w:themeFill="accent6" w:themeFillTint="66"/>
            <w:noWrap/>
          </w:tcPr>
          <w:p w:rsidR="004373F8" w:rsidRDefault="004373F8" w:rsidP="004373F8">
            <w:pPr>
              <w:pStyle w:val="TableTextEntries"/>
              <w:jc w:val="center"/>
            </w:pPr>
            <w:r w:rsidRPr="00DC79D9">
              <w:t>N/A</w:t>
            </w:r>
          </w:p>
        </w:tc>
        <w:tc>
          <w:tcPr>
            <w:tcW w:w="428" w:type="pct"/>
            <w:shd w:val="clear" w:color="auto" w:fill="FBD4B4" w:themeFill="accent6" w:themeFillTint="66"/>
            <w:noWrap/>
          </w:tcPr>
          <w:p w:rsidR="004373F8" w:rsidRDefault="004373F8" w:rsidP="004373F8">
            <w:pPr>
              <w:pStyle w:val="TableTextEntries"/>
              <w:jc w:val="center"/>
            </w:pPr>
            <w:r w:rsidRPr="00DC79D9">
              <w:t>N/A</w:t>
            </w:r>
          </w:p>
        </w:tc>
        <w:tc>
          <w:tcPr>
            <w:tcW w:w="385" w:type="pct"/>
            <w:shd w:val="clear" w:color="auto" w:fill="FBD4B4" w:themeFill="accent6" w:themeFillTint="66"/>
            <w:noWrap/>
          </w:tcPr>
          <w:p w:rsidR="004373F8" w:rsidRDefault="004373F8" w:rsidP="004373F8">
            <w:pPr>
              <w:pStyle w:val="TableTextEntries"/>
              <w:jc w:val="center"/>
            </w:pPr>
            <w:r w:rsidRPr="00DC79D9">
              <w:t>N/A</w:t>
            </w:r>
          </w:p>
        </w:tc>
        <w:tc>
          <w:tcPr>
            <w:tcW w:w="385" w:type="pct"/>
            <w:shd w:val="clear" w:color="auto" w:fill="FBD4B4" w:themeFill="accent6" w:themeFillTint="66"/>
            <w:noWrap/>
          </w:tcPr>
          <w:p w:rsidR="004373F8" w:rsidRDefault="004373F8" w:rsidP="004373F8">
            <w:pPr>
              <w:pStyle w:val="TableTextEntries"/>
              <w:jc w:val="center"/>
            </w:pPr>
            <w:r w:rsidRPr="00DC79D9">
              <w:t>N/A</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4373F8" w:rsidRPr="00FE4491" w:rsidRDefault="004373F8" w:rsidP="000D733F">
            <w:pPr>
              <w:pStyle w:val="TableTextEntries"/>
            </w:pPr>
            <w:r>
              <w:t>Pacific Women Initiative (Vanuatu)</w:t>
            </w:r>
          </w:p>
        </w:tc>
        <w:tc>
          <w:tcPr>
            <w:tcW w:w="862" w:type="pct"/>
            <w:vMerge w:val="restart"/>
          </w:tcPr>
          <w:p w:rsidR="004373F8" w:rsidRPr="00FE4491" w:rsidRDefault="004373F8" w:rsidP="000D733F">
            <w:pPr>
              <w:pStyle w:val="TableTextEntries"/>
            </w:pPr>
            <w:r>
              <w:t>$6,787,144</w:t>
            </w:r>
          </w:p>
        </w:tc>
        <w:tc>
          <w:tcPr>
            <w:tcW w:w="510" w:type="pct"/>
          </w:tcPr>
          <w:p w:rsidR="004373F8" w:rsidRPr="00FE4491" w:rsidRDefault="004373F8" w:rsidP="00365C33">
            <w:pPr>
              <w:pStyle w:val="TableTextEntries"/>
            </w:pPr>
            <w:r w:rsidRPr="00FE4491">
              <w:t>201</w:t>
            </w:r>
            <w:r>
              <w:t>3</w:t>
            </w:r>
          </w:p>
        </w:tc>
        <w:tc>
          <w:tcPr>
            <w:tcW w:w="504" w:type="pct"/>
            <w:gridSpan w:val="2"/>
            <w:shd w:val="clear" w:color="auto" w:fill="92D050"/>
            <w:noWrap/>
          </w:tcPr>
          <w:p w:rsidR="004373F8" w:rsidRDefault="004373F8" w:rsidP="00365C33">
            <w:pPr>
              <w:pStyle w:val="TableTextEntries"/>
              <w:jc w:val="center"/>
            </w:pPr>
            <w:r>
              <w:t>6</w:t>
            </w:r>
          </w:p>
        </w:tc>
        <w:tc>
          <w:tcPr>
            <w:tcW w:w="390" w:type="pct"/>
            <w:shd w:val="clear" w:color="auto" w:fill="92D050"/>
            <w:noWrap/>
          </w:tcPr>
          <w:p w:rsidR="004373F8" w:rsidRPr="00351A41" w:rsidRDefault="004373F8" w:rsidP="00365C33">
            <w:pPr>
              <w:pStyle w:val="TableTextEntries"/>
              <w:jc w:val="center"/>
            </w:pPr>
            <w:r>
              <w:t>5</w:t>
            </w:r>
          </w:p>
        </w:tc>
        <w:tc>
          <w:tcPr>
            <w:tcW w:w="388" w:type="pct"/>
            <w:shd w:val="clear" w:color="auto" w:fill="FFFF00"/>
            <w:noWrap/>
          </w:tcPr>
          <w:p w:rsidR="004373F8" w:rsidRPr="00351A41" w:rsidRDefault="004373F8" w:rsidP="00365C33">
            <w:pPr>
              <w:pStyle w:val="TableTextEntries"/>
              <w:jc w:val="center"/>
            </w:pPr>
            <w:r>
              <w:t>4</w:t>
            </w:r>
          </w:p>
        </w:tc>
        <w:tc>
          <w:tcPr>
            <w:tcW w:w="428" w:type="pct"/>
            <w:shd w:val="clear" w:color="auto" w:fill="92D050"/>
            <w:noWrap/>
          </w:tcPr>
          <w:p w:rsidR="004373F8" w:rsidRPr="00351A41" w:rsidRDefault="004373F8" w:rsidP="00365C33">
            <w:pPr>
              <w:pStyle w:val="TableTextEntries"/>
              <w:jc w:val="center"/>
            </w:pPr>
            <w:r>
              <w:t>5</w:t>
            </w:r>
          </w:p>
        </w:tc>
        <w:tc>
          <w:tcPr>
            <w:tcW w:w="385" w:type="pct"/>
            <w:shd w:val="clear" w:color="auto" w:fill="FFFF00"/>
            <w:noWrap/>
          </w:tcPr>
          <w:p w:rsidR="004373F8" w:rsidRPr="00351A41" w:rsidRDefault="004373F8" w:rsidP="00365C33">
            <w:pPr>
              <w:pStyle w:val="TableTextEntries"/>
              <w:jc w:val="center"/>
            </w:pPr>
            <w:r>
              <w:t>4</w:t>
            </w:r>
          </w:p>
        </w:tc>
        <w:tc>
          <w:tcPr>
            <w:tcW w:w="385" w:type="pct"/>
            <w:shd w:val="clear" w:color="auto" w:fill="92D050"/>
            <w:noWrap/>
          </w:tcPr>
          <w:p w:rsidR="004373F8" w:rsidRPr="00351A41" w:rsidRDefault="004373F8" w:rsidP="00365C33">
            <w:pPr>
              <w:pStyle w:val="TableTextEntries"/>
              <w:jc w:val="center"/>
            </w:pPr>
            <w:r>
              <w:t>6</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4373F8" w:rsidRPr="00FE4491" w:rsidRDefault="004373F8" w:rsidP="000D733F">
            <w:pPr>
              <w:pStyle w:val="TableTextEntries"/>
            </w:pPr>
          </w:p>
        </w:tc>
        <w:tc>
          <w:tcPr>
            <w:tcW w:w="862" w:type="pct"/>
            <w:vMerge/>
          </w:tcPr>
          <w:p w:rsidR="004373F8" w:rsidRPr="00FE4491" w:rsidRDefault="004373F8" w:rsidP="000D733F">
            <w:pPr>
              <w:pStyle w:val="TableTextEntries"/>
            </w:pPr>
          </w:p>
        </w:tc>
        <w:tc>
          <w:tcPr>
            <w:tcW w:w="510" w:type="pct"/>
          </w:tcPr>
          <w:p w:rsidR="004373F8" w:rsidRPr="00FE4491" w:rsidRDefault="004373F8" w:rsidP="00365C33">
            <w:pPr>
              <w:pStyle w:val="TableTextEntries"/>
            </w:pPr>
            <w:r w:rsidRPr="00FE4491">
              <w:t>201</w:t>
            </w:r>
            <w:r>
              <w:t>2</w:t>
            </w:r>
          </w:p>
        </w:tc>
        <w:tc>
          <w:tcPr>
            <w:tcW w:w="504" w:type="pct"/>
            <w:gridSpan w:val="2"/>
            <w:shd w:val="clear" w:color="auto" w:fill="92D050"/>
            <w:noWrap/>
          </w:tcPr>
          <w:p w:rsidR="004373F8" w:rsidRDefault="004373F8" w:rsidP="00365C33">
            <w:pPr>
              <w:pStyle w:val="TableTextEntries"/>
              <w:jc w:val="center"/>
            </w:pPr>
            <w:r>
              <w:t>6</w:t>
            </w:r>
          </w:p>
        </w:tc>
        <w:tc>
          <w:tcPr>
            <w:tcW w:w="390" w:type="pct"/>
            <w:shd w:val="clear" w:color="auto" w:fill="92D050"/>
            <w:noWrap/>
          </w:tcPr>
          <w:p w:rsidR="004373F8" w:rsidRPr="00351A41" w:rsidRDefault="004373F8" w:rsidP="00365C33">
            <w:pPr>
              <w:pStyle w:val="TableTextEntries"/>
              <w:jc w:val="center"/>
            </w:pPr>
            <w:r>
              <w:t>5</w:t>
            </w:r>
          </w:p>
        </w:tc>
        <w:tc>
          <w:tcPr>
            <w:tcW w:w="388" w:type="pct"/>
            <w:shd w:val="clear" w:color="auto" w:fill="FFFF00"/>
            <w:noWrap/>
          </w:tcPr>
          <w:p w:rsidR="004373F8" w:rsidRPr="00351A41" w:rsidRDefault="004373F8" w:rsidP="00365C33">
            <w:pPr>
              <w:pStyle w:val="TableTextEntries"/>
              <w:jc w:val="center"/>
            </w:pPr>
            <w:r>
              <w:t>4</w:t>
            </w:r>
          </w:p>
        </w:tc>
        <w:tc>
          <w:tcPr>
            <w:tcW w:w="428" w:type="pct"/>
            <w:shd w:val="clear" w:color="auto" w:fill="92D050"/>
            <w:noWrap/>
          </w:tcPr>
          <w:p w:rsidR="004373F8" w:rsidRPr="00351A41" w:rsidRDefault="004373F8" w:rsidP="00365C33">
            <w:pPr>
              <w:pStyle w:val="TableTextEntries"/>
              <w:jc w:val="center"/>
            </w:pPr>
            <w:r>
              <w:t>5</w:t>
            </w:r>
          </w:p>
        </w:tc>
        <w:tc>
          <w:tcPr>
            <w:tcW w:w="385" w:type="pct"/>
            <w:shd w:val="clear" w:color="auto" w:fill="FFFF00"/>
            <w:noWrap/>
          </w:tcPr>
          <w:p w:rsidR="004373F8" w:rsidRPr="00351A41" w:rsidRDefault="004373F8" w:rsidP="00365C33">
            <w:pPr>
              <w:pStyle w:val="TableTextEntries"/>
              <w:jc w:val="center"/>
            </w:pPr>
            <w:r>
              <w:t>4</w:t>
            </w:r>
          </w:p>
        </w:tc>
        <w:tc>
          <w:tcPr>
            <w:tcW w:w="385" w:type="pct"/>
            <w:shd w:val="clear" w:color="auto" w:fill="92D050"/>
            <w:noWrap/>
          </w:tcPr>
          <w:p w:rsidR="004373F8" w:rsidRPr="00351A41" w:rsidRDefault="004373F8" w:rsidP="00365C33">
            <w:pPr>
              <w:pStyle w:val="TableTextEntries"/>
              <w:jc w:val="center"/>
            </w:pPr>
            <w:r>
              <w:t>6</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4373F8" w:rsidRPr="00FE4491" w:rsidRDefault="004373F8" w:rsidP="000D733F">
            <w:pPr>
              <w:pStyle w:val="TableTextEntries"/>
            </w:pPr>
            <w:r>
              <w:t>Port Vila Urban Development Project</w:t>
            </w:r>
          </w:p>
        </w:tc>
        <w:tc>
          <w:tcPr>
            <w:tcW w:w="862" w:type="pct"/>
            <w:vMerge w:val="restart"/>
          </w:tcPr>
          <w:p w:rsidR="004373F8" w:rsidRPr="00FE4491" w:rsidRDefault="004373F8" w:rsidP="000D733F">
            <w:pPr>
              <w:pStyle w:val="TableTextEntries"/>
            </w:pPr>
            <w:r>
              <w:t>$26,500,000</w:t>
            </w:r>
            <w:r>
              <w:br/>
              <w:t>2012-2017</w:t>
            </w:r>
          </w:p>
        </w:tc>
        <w:tc>
          <w:tcPr>
            <w:tcW w:w="510" w:type="pct"/>
          </w:tcPr>
          <w:p w:rsidR="004373F8" w:rsidRPr="00FE4491" w:rsidRDefault="004373F8" w:rsidP="00365C33">
            <w:pPr>
              <w:pStyle w:val="TableTextEntries"/>
            </w:pPr>
            <w:r w:rsidRPr="00FE4491">
              <w:t>201</w:t>
            </w:r>
            <w:r>
              <w:t>3</w:t>
            </w:r>
          </w:p>
        </w:tc>
        <w:tc>
          <w:tcPr>
            <w:tcW w:w="504" w:type="pct"/>
            <w:gridSpan w:val="2"/>
            <w:shd w:val="clear" w:color="auto" w:fill="92D050"/>
            <w:noWrap/>
          </w:tcPr>
          <w:p w:rsidR="004373F8" w:rsidRDefault="004373F8" w:rsidP="00365C33">
            <w:pPr>
              <w:pStyle w:val="TableTextEntries"/>
              <w:jc w:val="center"/>
            </w:pPr>
            <w:r>
              <w:t>5</w:t>
            </w:r>
          </w:p>
        </w:tc>
        <w:tc>
          <w:tcPr>
            <w:tcW w:w="390" w:type="pct"/>
            <w:shd w:val="clear" w:color="auto" w:fill="FFFF00"/>
            <w:noWrap/>
          </w:tcPr>
          <w:p w:rsidR="004373F8" w:rsidRPr="00351A41" w:rsidRDefault="004373F8" w:rsidP="00365C33">
            <w:pPr>
              <w:pStyle w:val="TableTextEntries"/>
              <w:jc w:val="center"/>
            </w:pPr>
            <w:r>
              <w:t>4</w:t>
            </w:r>
          </w:p>
        </w:tc>
        <w:tc>
          <w:tcPr>
            <w:tcW w:w="388" w:type="pct"/>
            <w:shd w:val="clear" w:color="auto" w:fill="E36C0A" w:themeFill="accent6" w:themeFillShade="BF"/>
            <w:noWrap/>
          </w:tcPr>
          <w:p w:rsidR="004373F8" w:rsidRPr="00351A41" w:rsidRDefault="004373F8" w:rsidP="00365C33">
            <w:pPr>
              <w:pStyle w:val="TableTextEntries"/>
              <w:jc w:val="center"/>
            </w:pPr>
            <w:r>
              <w:t>3</w:t>
            </w:r>
          </w:p>
        </w:tc>
        <w:tc>
          <w:tcPr>
            <w:tcW w:w="428" w:type="pct"/>
            <w:shd w:val="clear" w:color="auto" w:fill="FFFF00"/>
            <w:noWrap/>
          </w:tcPr>
          <w:p w:rsidR="004373F8" w:rsidRPr="00351A41" w:rsidRDefault="004373F8" w:rsidP="00365C33">
            <w:pPr>
              <w:pStyle w:val="TableTextEntries"/>
              <w:jc w:val="center"/>
            </w:pPr>
            <w:r>
              <w:t>4</w:t>
            </w:r>
          </w:p>
        </w:tc>
        <w:tc>
          <w:tcPr>
            <w:tcW w:w="385" w:type="pct"/>
            <w:shd w:val="clear" w:color="auto" w:fill="E36C0A" w:themeFill="accent6" w:themeFillShade="BF"/>
            <w:noWrap/>
          </w:tcPr>
          <w:p w:rsidR="004373F8" w:rsidRPr="00351A41" w:rsidRDefault="004373F8" w:rsidP="00365C33">
            <w:pPr>
              <w:pStyle w:val="TableTextEntries"/>
              <w:jc w:val="center"/>
            </w:pPr>
            <w:r>
              <w:t>3</w:t>
            </w:r>
          </w:p>
        </w:tc>
        <w:tc>
          <w:tcPr>
            <w:tcW w:w="385" w:type="pct"/>
            <w:shd w:val="clear" w:color="auto" w:fill="E36C0A" w:themeFill="accent6" w:themeFillShade="BF"/>
            <w:noWrap/>
          </w:tcPr>
          <w:p w:rsidR="004373F8" w:rsidRPr="00351A41" w:rsidRDefault="004373F8" w:rsidP="00365C33">
            <w:pPr>
              <w:pStyle w:val="TableTextEntries"/>
              <w:jc w:val="center"/>
            </w:pPr>
            <w:r>
              <w:t>3</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4373F8" w:rsidRPr="00FE4491" w:rsidRDefault="004373F8" w:rsidP="000D733F">
            <w:pPr>
              <w:pStyle w:val="TableTextEntries"/>
            </w:pPr>
          </w:p>
        </w:tc>
        <w:tc>
          <w:tcPr>
            <w:tcW w:w="862" w:type="pct"/>
            <w:vMerge/>
          </w:tcPr>
          <w:p w:rsidR="004373F8" w:rsidRPr="00FE4491" w:rsidRDefault="004373F8" w:rsidP="000D733F">
            <w:pPr>
              <w:pStyle w:val="TableTextEntries"/>
            </w:pPr>
          </w:p>
        </w:tc>
        <w:tc>
          <w:tcPr>
            <w:tcW w:w="510" w:type="pct"/>
          </w:tcPr>
          <w:p w:rsidR="004373F8" w:rsidRPr="00FE4491" w:rsidRDefault="004373F8" w:rsidP="00365C33">
            <w:pPr>
              <w:pStyle w:val="TableTextEntries"/>
            </w:pPr>
            <w:r w:rsidRPr="00FE4491">
              <w:t>201</w:t>
            </w:r>
            <w:r>
              <w:t>2</w:t>
            </w:r>
          </w:p>
        </w:tc>
        <w:tc>
          <w:tcPr>
            <w:tcW w:w="504" w:type="pct"/>
            <w:gridSpan w:val="2"/>
            <w:shd w:val="clear" w:color="auto" w:fill="FBD4B4" w:themeFill="accent6" w:themeFillTint="66"/>
            <w:noWrap/>
          </w:tcPr>
          <w:p w:rsidR="004373F8" w:rsidRDefault="004373F8" w:rsidP="00365C33">
            <w:pPr>
              <w:pStyle w:val="TableTextEntries"/>
              <w:jc w:val="center"/>
            </w:pPr>
            <w:r>
              <w:t>E</w:t>
            </w:r>
          </w:p>
        </w:tc>
        <w:tc>
          <w:tcPr>
            <w:tcW w:w="390" w:type="pct"/>
            <w:shd w:val="clear" w:color="auto" w:fill="FBD4B4" w:themeFill="accent6" w:themeFillTint="66"/>
            <w:noWrap/>
          </w:tcPr>
          <w:p w:rsidR="004373F8" w:rsidRDefault="004373F8" w:rsidP="00365C33">
            <w:pPr>
              <w:pStyle w:val="TableTextEntries"/>
              <w:jc w:val="center"/>
            </w:pPr>
            <w:r w:rsidRPr="00351A41">
              <w:t>E</w:t>
            </w:r>
          </w:p>
        </w:tc>
        <w:tc>
          <w:tcPr>
            <w:tcW w:w="388" w:type="pct"/>
            <w:shd w:val="clear" w:color="auto" w:fill="FBD4B4" w:themeFill="accent6" w:themeFillTint="66"/>
            <w:noWrap/>
          </w:tcPr>
          <w:p w:rsidR="004373F8" w:rsidRDefault="004373F8" w:rsidP="00365C33">
            <w:pPr>
              <w:pStyle w:val="TableTextEntries"/>
              <w:jc w:val="center"/>
            </w:pPr>
            <w:r w:rsidRPr="00351A41">
              <w:t>E</w:t>
            </w:r>
          </w:p>
        </w:tc>
        <w:tc>
          <w:tcPr>
            <w:tcW w:w="428"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c>
          <w:tcPr>
            <w:tcW w:w="385" w:type="pct"/>
            <w:shd w:val="clear" w:color="auto" w:fill="FBD4B4" w:themeFill="accent6" w:themeFillTint="66"/>
            <w:noWrap/>
          </w:tcPr>
          <w:p w:rsidR="004373F8" w:rsidRDefault="004373F8" w:rsidP="00365C33">
            <w:pPr>
              <w:pStyle w:val="TableTextEntries"/>
              <w:jc w:val="center"/>
            </w:pPr>
            <w:r w:rsidRPr="00351A41">
              <w:t>E</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val="restart"/>
          </w:tcPr>
          <w:p w:rsidR="004373F8" w:rsidRPr="00FE4491" w:rsidRDefault="004373F8" w:rsidP="000D733F">
            <w:pPr>
              <w:pStyle w:val="TableTextEntries"/>
            </w:pPr>
            <w:r>
              <w:t>Vanuatu Transport Sector Support Program</w:t>
            </w:r>
          </w:p>
        </w:tc>
        <w:tc>
          <w:tcPr>
            <w:tcW w:w="862" w:type="pct"/>
            <w:vMerge w:val="restart"/>
          </w:tcPr>
          <w:p w:rsidR="004373F8" w:rsidRPr="00FE4491" w:rsidRDefault="004373F8" w:rsidP="000D733F">
            <w:pPr>
              <w:pStyle w:val="TableTextEntries"/>
            </w:pPr>
            <w:r>
              <w:t>$27,279,706</w:t>
            </w:r>
            <w:r>
              <w:br/>
              <w:t>2012-2016</w:t>
            </w:r>
          </w:p>
        </w:tc>
        <w:tc>
          <w:tcPr>
            <w:tcW w:w="510" w:type="pct"/>
          </w:tcPr>
          <w:p w:rsidR="004373F8" w:rsidRPr="00FE4491" w:rsidRDefault="004373F8" w:rsidP="00365C33">
            <w:pPr>
              <w:pStyle w:val="TableTextEntries"/>
            </w:pPr>
            <w:r w:rsidRPr="00FE4491">
              <w:t>201</w:t>
            </w:r>
            <w:r>
              <w:t>3</w:t>
            </w:r>
          </w:p>
        </w:tc>
        <w:tc>
          <w:tcPr>
            <w:tcW w:w="504" w:type="pct"/>
            <w:gridSpan w:val="2"/>
            <w:shd w:val="clear" w:color="auto" w:fill="92D050"/>
            <w:noWrap/>
          </w:tcPr>
          <w:p w:rsidR="004373F8" w:rsidRDefault="001F7F22" w:rsidP="00365C33">
            <w:pPr>
              <w:pStyle w:val="TableTextEntries"/>
              <w:jc w:val="center"/>
            </w:pPr>
            <w:r>
              <w:t>5</w:t>
            </w:r>
          </w:p>
        </w:tc>
        <w:tc>
          <w:tcPr>
            <w:tcW w:w="390" w:type="pct"/>
            <w:shd w:val="clear" w:color="auto" w:fill="FFFF00"/>
            <w:noWrap/>
          </w:tcPr>
          <w:p w:rsidR="004373F8" w:rsidRPr="00351A41" w:rsidRDefault="001F7F22" w:rsidP="00365C33">
            <w:pPr>
              <w:pStyle w:val="TableTextEntries"/>
              <w:jc w:val="center"/>
            </w:pPr>
            <w:r>
              <w:t>4</w:t>
            </w:r>
          </w:p>
        </w:tc>
        <w:tc>
          <w:tcPr>
            <w:tcW w:w="388" w:type="pct"/>
            <w:shd w:val="clear" w:color="auto" w:fill="FFFF00"/>
            <w:noWrap/>
          </w:tcPr>
          <w:p w:rsidR="004373F8" w:rsidRPr="00351A41" w:rsidRDefault="001F7F22" w:rsidP="00365C33">
            <w:pPr>
              <w:pStyle w:val="TableTextEntries"/>
              <w:jc w:val="center"/>
            </w:pPr>
            <w:r>
              <w:t>4</w:t>
            </w:r>
          </w:p>
        </w:tc>
        <w:tc>
          <w:tcPr>
            <w:tcW w:w="428" w:type="pct"/>
            <w:shd w:val="clear" w:color="auto" w:fill="FFFF00"/>
            <w:noWrap/>
          </w:tcPr>
          <w:p w:rsidR="004373F8" w:rsidRPr="00351A41" w:rsidRDefault="001F7F22" w:rsidP="00365C33">
            <w:pPr>
              <w:pStyle w:val="TableTextEntries"/>
              <w:jc w:val="center"/>
            </w:pPr>
            <w:r>
              <w:t>4</w:t>
            </w:r>
          </w:p>
        </w:tc>
        <w:tc>
          <w:tcPr>
            <w:tcW w:w="385" w:type="pct"/>
            <w:shd w:val="clear" w:color="auto" w:fill="FFFF00"/>
            <w:noWrap/>
          </w:tcPr>
          <w:p w:rsidR="004373F8" w:rsidRPr="00351A41" w:rsidRDefault="001F7F22" w:rsidP="00365C33">
            <w:pPr>
              <w:pStyle w:val="TableTextEntries"/>
              <w:jc w:val="center"/>
            </w:pPr>
            <w:r>
              <w:t>4</w:t>
            </w:r>
          </w:p>
        </w:tc>
        <w:tc>
          <w:tcPr>
            <w:tcW w:w="385" w:type="pct"/>
            <w:shd w:val="clear" w:color="auto" w:fill="FFFF00"/>
            <w:noWrap/>
          </w:tcPr>
          <w:p w:rsidR="004373F8" w:rsidRPr="00351A41" w:rsidRDefault="001F7F22" w:rsidP="00365C33">
            <w:pPr>
              <w:pStyle w:val="TableTextEntries"/>
              <w:jc w:val="center"/>
            </w:pPr>
            <w:r>
              <w:t>4</w:t>
            </w:r>
          </w:p>
        </w:tc>
      </w:tr>
      <w:tr w:rsidR="009B63DA" w:rsidRPr="009D53C4" w:rsidTr="009B63DA">
        <w:trPr>
          <w:cnfStyle w:val="000000010000" w:firstRow="0" w:lastRow="0" w:firstColumn="0" w:lastColumn="0" w:oddVBand="0" w:evenVBand="0" w:oddHBand="0" w:evenHBand="1" w:firstRowFirstColumn="0" w:firstRowLastColumn="0" w:lastRowFirstColumn="0" w:lastRowLastColumn="0"/>
          <w:trHeight w:val="284"/>
        </w:trPr>
        <w:tc>
          <w:tcPr>
            <w:tcW w:w="963" w:type="pct"/>
            <w:vMerge/>
          </w:tcPr>
          <w:p w:rsidR="004373F8" w:rsidRPr="00FE4491" w:rsidRDefault="004373F8" w:rsidP="000D733F">
            <w:pPr>
              <w:pStyle w:val="TableTextEntries"/>
            </w:pPr>
          </w:p>
        </w:tc>
        <w:tc>
          <w:tcPr>
            <w:tcW w:w="862" w:type="pct"/>
            <w:vMerge/>
          </w:tcPr>
          <w:p w:rsidR="004373F8" w:rsidRPr="00FE4491" w:rsidRDefault="004373F8" w:rsidP="000D733F">
            <w:pPr>
              <w:pStyle w:val="TableTextEntries"/>
            </w:pPr>
          </w:p>
        </w:tc>
        <w:tc>
          <w:tcPr>
            <w:tcW w:w="510" w:type="pct"/>
          </w:tcPr>
          <w:p w:rsidR="004373F8" w:rsidRPr="00FE4491" w:rsidRDefault="004373F8" w:rsidP="00365C33">
            <w:pPr>
              <w:pStyle w:val="TableTextEntries"/>
            </w:pPr>
            <w:r w:rsidRPr="00FE4491">
              <w:t>201</w:t>
            </w:r>
            <w:r>
              <w:t>2</w:t>
            </w:r>
          </w:p>
        </w:tc>
        <w:tc>
          <w:tcPr>
            <w:tcW w:w="504" w:type="pct"/>
            <w:gridSpan w:val="2"/>
            <w:shd w:val="clear" w:color="auto" w:fill="FABF8F" w:themeFill="accent6" w:themeFillTint="99"/>
            <w:noWrap/>
          </w:tcPr>
          <w:p w:rsidR="004373F8" w:rsidRDefault="004373F8" w:rsidP="00365C33">
            <w:pPr>
              <w:pStyle w:val="TableTextEntries"/>
              <w:jc w:val="center"/>
            </w:pPr>
            <w:r>
              <w:t>E</w:t>
            </w:r>
          </w:p>
        </w:tc>
        <w:tc>
          <w:tcPr>
            <w:tcW w:w="390" w:type="pct"/>
            <w:shd w:val="clear" w:color="auto" w:fill="FABF8F" w:themeFill="accent6" w:themeFillTint="99"/>
            <w:noWrap/>
          </w:tcPr>
          <w:p w:rsidR="004373F8" w:rsidRDefault="004373F8" w:rsidP="00365C33">
            <w:pPr>
              <w:pStyle w:val="TableTextEntries"/>
              <w:jc w:val="center"/>
            </w:pPr>
            <w:r w:rsidRPr="00351A41">
              <w:t>E</w:t>
            </w:r>
          </w:p>
        </w:tc>
        <w:tc>
          <w:tcPr>
            <w:tcW w:w="388" w:type="pct"/>
            <w:shd w:val="clear" w:color="auto" w:fill="FABF8F" w:themeFill="accent6" w:themeFillTint="99"/>
            <w:noWrap/>
          </w:tcPr>
          <w:p w:rsidR="004373F8" w:rsidRDefault="004373F8" w:rsidP="00365C33">
            <w:pPr>
              <w:pStyle w:val="TableTextEntries"/>
              <w:jc w:val="center"/>
            </w:pPr>
            <w:r w:rsidRPr="00351A41">
              <w:t>E</w:t>
            </w:r>
          </w:p>
        </w:tc>
        <w:tc>
          <w:tcPr>
            <w:tcW w:w="428" w:type="pct"/>
            <w:shd w:val="clear" w:color="auto" w:fill="FABF8F" w:themeFill="accent6" w:themeFillTint="99"/>
            <w:noWrap/>
          </w:tcPr>
          <w:p w:rsidR="004373F8" w:rsidRDefault="004373F8" w:rsidP="00365C33">
            <w:pPr>
              <w:pStyle w:val="TableTextEntries"/>
              <w:jc w:val="center"/>
            </w:pPr>
            <w:r w:rsidRPr="00351A41">
              <w:t>E</w:t>
            </w:r>
          </w:p>
        </w:tc>
        <w:tc>
          <w:tcPr>
            <w:tcW w:w="385" w:type="pct"/>
            <w:shd w:val="clear" w:color="auto" w:fill="FABF8F" w:themeFill="accent6" w:themeFillTint="99"/>
            <w:noWrap/>
          </w:tcPr>
          <w:p w:rsidR="004373F8" w:rsidRDefault="004373F8" w:rsidP="00365C33">
            <w:pPr>
              <w:pStyle w:val="TableTextEntries"/>
              <w:jc w:val="center"/>
            </w:pPr>
            <w:r w:rsidRPr="00351A41">
              <w:t>E</w:t>
            </w:r>
          </w:p>
        </w:tc>
        <w:tc>
          <w:tcPr>
            <w:tcW w:w="385" w:type="pct"/>
            <w:shd w:val="clear" w:color="auto" w:fill="FABF8F" w:themeFill="accent6" w:themeFillTint="99"/>
            <w:noWrap/>
          </w:tcPr>
          <w:p w:rsidR="004373F8" w:rsidRDefault="004373F8" w:rsidP="00365C33">
            <w:pPr>
              <w:pStyle w:val="TableTextEntries"/>
              <w:jc w:val="center"/>
            </w:pPr>
            <w:r w:rsidRPr="00351A41">
              <w:t>E</w:t>
            </w:r>
          </w:p>
        </w:tc>
      </w:tr>
    </w:tbl>
    <w:p w:rsidR="009B63DA" w:rsidRDefault="009B63DA" w:rsidP="005C2C57">
      <w:pPr>
        <w:pStyle w:val="Note"/>
      </w:pPr>
    </w:p>
    <w:p w:rsidR="009B63DA" w:rsidRDefault="009B63DA">
      <w:pPr>
        <w:spacing w:after="200" w:line="276" w:lineRule="auto"/>
        <w:rPr>
          <w:rFonts w:ascii="Franklin Gothic Book" w:eastAsia="Times New Roman" w:hAnsi="Franklin Gothic Book"/>
          <w:sz w:val="14"/>
          <w:szCs w:val="14"/>
        </w:rPr>
      </w:pPr>
      <w:r>
        <w:br w:type="page"/>
      </w:r>
    </w:p>
    <w:p w:rsidR="000D733F" w:rsidRDefault="000D733F" w:rsidP="005C2C57">
      <w:pPr>
        <w:pStyle w:val="Note"/>
      </w:pPr>
      <w:r>
        <w:t>Definitions of rating scale:</w:t>
      </w:r>
      <w:r>
        <w:tab/>
      </w:r>
    </w:p>
    <w:p w:rsidR="000D733F" w:rsidRDefault="000D733F" w:rsidP="005C2C57">
      <w:pPr>
        <w:pStyle w:val="Note"/>
      </w:pPr>
      <w:r>
        <w:t>Satisfactory (4, 5 and 6)</w:t>
      </w:r>
    </w:p>
    <w:p w:rsidR="000D733F" w:rsidRDefault="000D733F" w:rsidP="005C2C57">
      <w:pPr>
        <w:pStyle w:val="Note"/>
      </w:pPr>
      <w:r w:rsidRPr="00593946">
        <w:rPr>
          <w:color w:val="72AF2F"/>
        </w:rPr>
        <w:sym w:font="Webdings" w:char="F067"/>
      </w:r>
      <w:r>
        <w:t xml:space="preserve"> = 6 = Very high quality</w:t>
      </w:r>
    </w:p>
    <w:p w:rsidR="000D733F" w:rsidRDefault="000D733F" w:rsidP="005C2C57">
      <w:pPr>
        <w:pStyle w:val="Note"/>
      </w:pPr>
      <w:r w:rsidRPr="00593946">
        <w:rPr>
          <w:color w:val="72AF2F"/>
        </w:rPr>
        <w:sym w:font="Webdings" w:char="F067"/>
      </w:r>
      <w:r>
        <w:t xml:space="preserve"> = 5 = Good quality</w:t>
      </w:r>
    </w:p>
    <w:p w:rsidR="000D733F" w:rsidRDefault="000D733F" w:rsidP="005C2C57">
      <w:pPr>
        <w:pStyle w:val="Note"/>
      </w:pPr>
      <w:r w:rsidRPr="000774FD">
        <w:rPr>
          <w:color w:val="FFFF00"/>
        </w:rPr>
        <w:sym w:font="Webdings" w:char="F067"/>
      </w:r>
      <w:r>
        <w:t xml:space="preserve"> = 4 = Adequate quality, needs some work</w:t>
      </w:r>
    </w:p>
    <w:p w:rsidR="000D733F" w:rsidRDefault="000D733F" w:rsidP="005C2C57">
      <w:pPr>
        <w:pStyle w:val="Note"/>
      </w:pPr>
      <w:r>
        <w:t>Less than satisfactory (1, 2 and 3)</w:t>
      </w:r>
    </w:p>
    <w:p w:rsidR="000D733F" w:rsidRDefault="000D733F" w:rsidP="005C2C57">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5C2C57">
      <w:pPr>
        <w:pStyle w:val="Note"/>
      </w:pPr>
      <w:r w:rsidRPr="000774FD">
        <w:rPr>
          <w:color w:val="FF0000"/>
        </w:rPr>
        <w:sym w:font="Webdings" w:char="F067"/>
      </w:r>
      <w:r>
        <w:t xml:space="preserve"> = 2 = Poor quality; needs major work to improve</w:t>
      </w:r>
    </w:p>
    <w:p w:rsidR="000D733F" w:rsidRDefault="000D733F" w:rsidP="005C2C57">
      <w:pPr>
        <w:pStyle w:val="Note"/>
      </w:pPr>
      <w:r w:rsidRPr="000774FD">
        <w:rPr>
          <w:color w:val="FF0000"/>
        </w:rPr>
        <w:sym w:font="Webdings" w:char="F067"/>
      </w:r>
      <w:r>
        <w:t xml:space="preserve"> = 1 = Very poor quality; needs major overhaul</w:t>
      </w:r>
    </w:p>
    <w:p w:rsidR="000D733F" w:rsidRDefault="001F7F22" w:rsidP="005C2C57">
      <w:pPr>
        <w:pStyle w:val="Note"/>
      </w:pPr>
      <w:r>
        <w:t>E = Exempt</w:t>
      </w:r>
    </w:p>
    <w:p w:rsidR="001F7F22" w:rsidRPr="001F7F22" w:rsidRDefault="001F7F22" w:rsidP="001F7F22">
      <w:pPr>
        <w:pStyle w:val="Note"/>
      </w:pPr>
      <w:r>
        <w:t>N/A = Program did not exist</w:t>
      </w:r>
    </w:p>
    <w:p w:rsidR="009B63DA" w:rsidRDefault="009B63DA" w:rsidP="000D733F">
      <w:pPr>
        <w:pStyle w:val="Heading2"/>
        <w:rPr>
          <w:sz w:val="28"/>
        </w:rPr>
        <w:sectPr w:rsidR="009B63DA" w:rsidSect="009B63DA">
          <w:pgSz w:w="11906" w:h="16838" w:code="9"/>
          <w:pgMar w:top="1814" w:right="851" w:bottom="1843" w:left="1814" w:header="709" w:footer="425" w:gutter="0"/>
          <w:cols w:space="708"/>
          <w:docGrid w:linePitch="360"/>
        </w:sectPr>
      </w:pPr>
    </w:p>
    <w:p w:rsidR="009B63DA" w:rsidRPr="009E38C1" w:rsidRDefault="009B63DA" w:rsidP="009B63DA">
      <w:pPr>
        <w:pStyle w:val="Heading2"/>
        <w:rPr>
          <w:sz w:val="28"/>
        </w:rPr>
      </w:pPr>
      <w:r w:rsidRPr="009E38C1">
        <w:rPr>
          <w:sz w:val="28"/>
        </w:rPr>
        <w:t>Annex C</w:t>
      </w:r>
    </w:p>
    <w:p w:rsidR="009B63DA" w:rsidRPr="009E38C1" w:rsidRDefault="009B63DA" w:rsidP="009B63DA">
      <w:pPr>
        <w:pStyle w:val="Heading2"/>
        <w:rPr>
          <w:sz w:val="28"/>
        </w:rPr>
      </w:pPr>
      <w:r w:rsidRPr="009E38C1">
        <w:rPr>
          <w:sz w:val="28"/>
        </w:rPr>
        <w:t>Evaluation and Review Pipeline Planning</w:t>
      </w:r>
    </w:p>
    <w:p w:rsidR="009B63DA" w:rsidRPr="00071B95" w:rsidRDefault="009B63DA" w:rsidP="009B63DA">
      <w:pPr>
        <w:pStyle w:val="Caption"/>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9B63DA" w:rsidRPr="00071B95" w:rsidTr="00377129">
        <w:trPr>
          <w:cnfStyle w:val="100000000000" w:firstRow="1" w:lastRow="0" w:firstColumn="0" w:lastColumn="0" w:oddVBand="0" w:evenVBand="0" w:oddHBand="0" w:evenHBand="0" w:firstRowFirstColumn="0" w:firstRowLastColumn="0" w:lastRowFirstColumn="0" w:lastRowLastColumn="0"/>
        </w:trPr>
        <w:tc>
          <w:tcPr>
            <w:tcW w:w="1902" w:type="dxa"/>
          </w:tcPr>
          <w:p w:rsidR="009B63DA" w:rsidRPr="00071B95" w:rsidRDefault="009B63DA" w:rsidP="00377129">
            <w:pPr>
              <w:pStyle w:val="TableTextColumnHeading"/>
              <w:rPr>
                <w:b/>
              </w:rPr>
            </w:pPr>
            <w:r w:rsidRPr="00071B95">
              <w:rPr>
                <w:b/>
              </w:rPr>
              <w:t xml:space="preserve">Name of </w:t>
            </w:r>
            <w:r>
              <w:rPr>
                <w:b/>
              </w:rPr>
              <w:t>Investment</w:t>
            </w:r>
          </w:p>
        </w:tc>
        <w:tc>
          <w:tcPr>
            <w:tcW w:w="1933" w:type="dxa"/>
          </w:tcPr>
          <w:p w:rsidR="009B63DA" w:rsidRPr="00071B95" w:rsidRDefault="009B63DA" w:rsidP="00377129">
            <w:pPr>
              <w:pStyle w:val="TableTextColumnHeading"/>
              <w:rPr>
                <w:b/>
              </w:rPr>
            </w:pPr>
            <w:r w:rsidRPr="00071B95">
              <w:rPr>
                <w:b/>
              </w:rPr>
              <w:t>Aidworks number</w:t>
            </w:r>
          </w:p>
        </w:tc>
        <w:tc>
          <w:tcPr>
            <w:tcW w:w="2031" w:type="dxa"/>
          </w:tcPr>
          <w:p w:rsidR="009B63DA" w:rsidRPr="00071B95" w:rsidRDefault="009B63DA" w:rsidP="00377129">
            <w:pPr>
              <w:pStyle w:val="TableTextColumnHeading"/>
              <w:rPr>
                <w:b/>
              </w:rPr>
            </w:pPr>
            <w:r>
              <w:rPr>
                <w:b/>
              </w:rPr>
              <w:t>Name of evaluation</w:t>
            </w:r>
          </w:p>
        </w:tc>
        <w:tc>
          <w:tcPr>
            <w:tcW w:w="1939" w:type="dxa"/>
          </w:tcPr>
          <w:p w:rsidR="009B63DA" w:rsidRPr="00071B95" w:rsidRDefault="009B63DA" w:rsidP="00377129">
            <w:pPr>
              <w:pStyle w:val="TableTextColumnHeading"/>
              <w:rPr>
                <w:b/>
              </w:rPr>
            </w:pPr>
            <w:r w:rsidRPr="00071B95">
              <w:rPr>
                <w:b/>
              </w:rPr>
              <w:t xml:space="preserve">Date </w:t>
            </w:r>
            <w:r>
              <w:rPr>
                <w:b/>
              </w:rPr>
              <w:t>finalised</w:t>
            </w:r>
          </w:p>
        </w:tc>
        <w:tc>
          <w:tcPr>
            <w:tcW w:w="1921" w:type="dxa"/>
          </w:tcPr>
          <w:p w:rsidR="009B63DA" w:rsidRPr="00071B95" w:rsidRDefault="009B63DA" w:rsidP="00377129">
            <w:pPr>
              <w:pStyle w:val="TableTextColumnHeading"/>
              <w:rPr>
                <w:b/>
              </w:rPr>
            </w:pPr>
            <w:r w:rsidRPr="00071B95">
              <w:rPr>
                <w:b/>
              </w:rPr>
              <w:t>Date Evaluation report Uploaded into Aidworks</w:t>
            </w:r>
          </w:p>
        </w:tc>
        <w:tc>
          <w:tcPr>
            <w:tcW w:w="1743" w:type="dxa"/>
          </w:tcPr>
          <w:p w:rsidR="009B63DA" w:rsidRPr="00071B95" w:rsidRDefault="009B63DA" w:rsidP="00377129">
            <w:pPr>
              <w:pStyle w:val="TableTextColumnHeading"/>
              <w:rPr>
                <w:b/>
              </w:rPr>
            </w:pPr>
            <w:r w:rsidRPr="00071B95">
              <w:rPr>
                <w:b/>
              </w:rPr>
              <w:t>Date Management response uploaded into Aidworks</w:t>
            </w:r>
          </w:p>
        </w:tc>
        <w:tc>
          <w:tcPr>
            <w:tcW w:w="1503" w:type="dxa"/>
          </w:tcPr>
          <w:p w:rsidR="009B63DA" w:rsidRPr="00071B95" w:rsidRDefault="009B63DA" w:rsidP="00377129">
            <w:pPr>
              <w:pStyle w:val="TableTextColumnHeading"/>
              <w:rPr>
                <w:b/>
              </w:rPr>
            </w:pPr>
            <w:r w:rsidRPr="00071B95">
              <w:rPr>
                <w:b/>
              </w:rPr>
              <w:t>Published on website</w:t>
            </w:r>
          </w:p>
        </w:tc>
      </w:tr>
      <w:tr w:rsidR="009B63DA" w:rsidRPr="00071B95" w:rsidTr="00377129">
        <w:trPr>
          <w:cnfStyle w:val="100000000000" w:firstRow="1" w:lastRow="0" w:firstColumn="0" w:lastColumn="0" w:oddVBand="0" w:evenVBand="0" w:oddHBand="0" w:evenHBand="0" w:firstRowFirstColumn="0" w:firstRowLastColumn="0" w:lastRowFirstColumn="0" w:lastRowLastColumn="0"/>
        </w:trPr>
        <w:tc>
          <w:tcPr>
            <w:tcW w:w="1902" w:type="dxa"/>
          </w:tcPr>
          <w:p w:rsidR="009B63DA" w:rsidRPr="00321FED" w:rsidRDefault="009B63DA" w:rsidP="00377129">
            <w:pPr>
              <w:pStyle w:val="TableTextEntries"/>
              <w:rPr>
                <w:b w:val="0"/>
              </w:rPr>
            </w:pPr>
            <w:r>
              <w:rPr>
                <w:b w:val="0"/>
                <w:lang w:eastAsia="en-AU"/>
              </w:rPr>
              <w:t>Vanuatu National Library and Archives</w:t>
            </w:r>
          </w:p>
        </w:tc>
        <w:tc>
          <w:tcPr>
            <w:tcW w:w="1933" w:type="dxa"/>
          </w:tcPr>
          <w:p w:rsidR="009B63DA" w:rsidRPr="00321FED" w:rsidRDefault="009B63DA" w:rsidP="00377129">
            <w:pPr>
              <w:pStyle w:val="TableTextEntries"/>
              <w:rPr>
                <w:b w:val="0"/>
              </w:rPr>
            </w:pPr>
            <w:r>
              <w:rPr>
                <w:b w:val="0"/>
                <w:lang w:eastAsia="en-AU"/>
              </w:rPr>
              <w:t>INJ898</w:t>
            </w:r>
          </w:p>
        </w:tc>
        <w:tc>
          <w:tcPr>
            <w:tcW w:w="2031" w:type="dxa"/>
          </w:tcPr>
          <w:p w:rsidR="009B63DA" w:rsidRPr="00321FED" w:rsidRDefault="009B63DA" w:rsidP="00377129">
            <w:pPr>
              <w:pStyle w:val="TableTextEntries"/>
              <w:rPr>
                <w:b w:val="0"/>
              </w:rPr>
            </w:pPr>
            <w:r>
              <w:rPr>
                <w:b w:val="0"/>
                <w:lang w:eastAsia="en-AU"/>
              </w:rPr>
              <w:t>Rapid appraisal report</w:t>
            </w:r>
          </w:p>
        </w:tc>
        <w:tc>
          <w:tcPr>
            <w:tcW w:w="1939" w:type="dxa"/>
          </w:tcPr>
          <w:p w:rsidR="009B63DA" w:rsidRPr="00321FED" w:rsidRDefault="009B63DA" w:rsidP="00377129">
            <w:pPr>
              <w:pStyle w:val="TableTextEntries"/>
              <w:rPr>
                <w:b w:val="0"/>
              </w:rPr>
            </w:pPr>
            <w:r>
              <w:rPr>
                <w:b w:val="0"/>
                <w:lang w:eastAsia="en-AU"/>
              </w:rPr>
              <w:t>May 2014</w:t>
            </w:r>
          </w:p>
        </w:tc>
        <w:tc>
          <w:tcPr>
            <w:tcW w:w="1921" w:type="dxa"/>
          </w:tcPr>
          <w:p w:rsidR="009B63DA" w:rsidRPr="00321FED" w:rsidRDefault="009B63DA" w:rsidP="00377129">
            <w:pPr>
              <w:pStyle w:val="TableTextEntries"/>
              <w:rPr>
                <w:b w:val="0"/>
              </w:rPr>
            </w:pPr>
            <w:r>
              <w:rPr>
                <w:b w:val="0"/>
                <w:lang w:eastAsia="en-AU"/>
              </w:rPr>
              <w:t>May 2014</w:t>
            </w:r>
          </w:p>
        </w:tc>
        <w:tc>
          <w:tcPr>
            <w:tcW w:w="1743" w:type="dxa"/>
          </w:tcPr>
          <w:p w:rsidR="009B63DA" w:rsidRPr="00321FED" w:rsidRDefault="009B63DA" w:rsidP="00377129">
            <w:pPr>
              <w:pStyle w:val="TableTextEntries"/>
              <w:rPr>
                <w:b w:val="0"/>
              </w:rPr>
            </w:pPr>
            <w:r>
              <w:rPr>
                <w:b w:val="0"/>
                <w:lang w:eastAsia="en-AU"/>
              </w:rPr>
              <w:t>July 2014</w:t>
            </w:r>
          </w:p>
        </w:tc>
        <w:tc>
          <w:tcPr>
            <w:tcW w:w="1503" w:type="dxa"/>
          </w:tcPr>
          <w:p w:rsidR="009B63DA" w:rsidRPr="00321FED" w:rsidRDefault="009B63DA" w:rsidP="00377129">
            <w:pPr>
              <w:pStyle w:val="TableTextEntries"/>
              <w:rPr>
                <w:b w:val="0"/>
              </w:rPr>
            </w:pPr>
            <w:r>
              <w:rPr>
                <w:b w:val="0"/>
                <w:lang w:eastAsia="en-AU"/>
              </w:rPr>
              <w:t>not yet</w:t>
            </w:r>
          </w:p>
        </w:tc>
      </w:tr>
      <w:tr w:rsidR="009B63DA" w:rsidRPr="00071B95" w:rsidTr="00377129">
        <w:trPr>
          <w:cnfStyle w:val="100000000000" w:firstRow="1" w:lastRow="0" w:firstColumn="0" w:lastColumn="0" w:oddVBand="0" w:evenVBand="0" w:oddHBand="0" w:evenHBand="0" w:firstRowFirstColumn="0" w:firstRowLastColumn="0" w:lastRowFirstColumn="0" w:lastRowLastColumn="0"/>
        </w:trPr>
        <w:tc>
          <w:tcPr>
            <w:tcW w:w="1902" w:type="dxa"/>
          </w:tcPr>
          <w:p w:rsidR="009B63DA" w:rsidRDefault="009B63DA" w:rsidP="00377129">
            <w:pPr>
              <w:pStyle w:val="TableTextEntries"/>
              <w:rPr>
                <w:lang w:eastAsia="en-AU"/>
              </w:rPr>
            </w:pPr>
            <w:r>
              <w:rPr>
                <w:b w:val="0"/>
                <w:lang w:eastAsia="en-AU"/>
              </w:rPr>
              <w:t>Governance for Growth</w:t>
            </w:r>
          </w:p>
        </w:tc>
        <w:tc>
          <w:tcPr>
            <w:tcW w:w="1933" w:type="dxa"/>
          </w:tcPr>
          <w:p w:rsidR="009B63DA" w:rsidRDefault="009B63DA" w:rsidP="00377129">
            <w:pPr>
              <w:pStyle w:val="TableTextEntries"/>
              <w:rPr>
                <w:lang w:eastAsia="en-AU"/>
              </w:rPr>
            </w:pPr>
            <w:r>
              <w:rPr>
                <w:b w:val="0"/>
                <w:lang w:eastAsia="en-AU"/>
              </w:rPr>
              <w:t>INH523</w:t>
            </w:r>
          </w:p>
        </w:tc>
        <w:tc>
          <w:tcPr>
            <w:tcW w:w="2031" w:type="dxa"/>
          </w:tcPr>
          <w:p w:rsidR="009B63DA" w:rsidRDefault="009B63DA" w:rsidP="00377129">
            <w:pPr>
              <w:pStyle w:val="TableTextEntries"/>
              <w:rPr>
                <w:lang w:eastAsia="en-AU"/>
              </w:rPr>
            </w:pPr>
            <w:r>
              <w:rPr>
                <w:b w:val="0"/>
                <w:lang w:eastAsia="en-AU"/>
              </w:rPr>
              <w:t>Review of the Lighting Vanuatu project</w:t>
            </w:r>
          </w:p>
        </w:tc>
        <w:tc>
          <w:tcPr>
            <w:tcW w:w="1939" w:type="dxa"/>
          </w:tcPr>
          <w:p w:rsidR="009B63DA" w:rsidRDefault="009B63DA" w:rsidP="00377129">
            <w:pPr>
              <w:pStyle w:val="TableTextEntries"/>
              <w:rPr>
                <w:lang w:eastAsia="en-AU"/>
              </w:rPr>
            </w:pPr>
            <w:r>
              <w:rPr>
                <w:b w:val="0"/>
                <w:lang w:eastAsia="en-AU"/>
              </w:rPr>
              <w:t>July 2014</w:t>
            </w:r>
          </w:p>
        </w:tc>
        <w:tc>
          <w:tcPr>
            <w:tcW w:w="1921" w:type="dxa"/>
          </w:tcPr>
          <w:p w:rsidR="009B63DA" w:rsidRDefault="009B63DA" w:rsidP="00377129">
            <w:pPr>
              <w:pStyle w:val="TableTextEntries"/>
              <w:rPr>
                <w:lang w:eastAsia="en-AU"/>
              </w:rPr>
            </w:pPr>
            <w:r>
              <w:rPr>
                <w:b w:val="0"/>
                <w:lang w:eastAsia="en-AU"/>
              </w:rPr>
              <w:t>not yet</w:t>
            </w:r>
          </w:p>
        </w:tc>
        <w:tc>
          <w:tcPr>
            <w:tcW w:w="1743" w:type="dxa"/>
          </w:tcPr>
          <w:p w:rsidR="009B63DA" w:rsidRDefault="009B63DA" w:rsidP="00377129">
            <w:pPr>
              <w:pStyle w:val="TableTextEntries"/>
              <w:rPr>
                <w:lang w:eastAsia="en-AU"/>
              </w:rPr>
            </w:pPr>
            <w:r>
              <w:rPr>
                <w:b w:val="0"/>
                <w:lang w:eastAsia="en-AU"/>
              </w:rPr>
              <w:t>not yet</w:t>
            </w:r>
          </w:p>
        </w:tc>
        <w:tc>
          <w:tcPr>
            <w:tcW w:w="1503" w:type="dxa"/>
          </w:tcPr>
          <w:p w:rsidR="009B63DA" w:rsidRDefault="009B63DA" w:rsidP="00377129">
            <w:pPr>
              <w:pStyle w:val="TableTextEntries"/>
              <w:rPr>
                <w:lang w:eastAsia="en-AU"/>
              </w:rPr>
            </w:pPr>
            <w:r>
              <w:rPr>
                <w:b w:val="0"/>
                <w:lang w:eastAsia="en-AU"/>
              </w:rPr>
              <w:t>not yet</w:t>
            </w:r>
          </w:p>
        </w:tc>
      </w:tr>
      <w:tr w:rsidR="009B63DA" w:rsidRPr="00071B95" w:rsidTr="00377129">
        <w:trPr>
          <w:cnfStyle w:val="100000000000" w:firstRow="1" w:lastRow="0" w:firstColumn="0" w:lastColumn="0" w:oddVBand="0" w:evenVBand="0" w:oddHBand="0" w:evenHBand="0" w:firstRowFirstColumn="0" w:firstRowLastColumn="0" w:lastRowFirstColumn="0" w:lastRowLastColumn="0"/>
        </w:trPr>
        <w:tc>
          <w:tcPr>
            <w:tcW w:w="1902" w:type="dxa"/>
          </w:tcPr>
          <w:p w:rsidR="009B63DA" w:rsidRDefault="009B63DA" w:rsidP="00377129">
            <w:pPr>
              <w:pStyle w:val="TableTextEntries"/>
              <w:rPr>
                <w:lang w:eastAsia="en-AU"/>
              </w:rPr>
            </w:pPr>
            <w:r>
              <w:rPr>
                <w:b w:val="0"/>
                <w:lang w:eastAsia="en-AU"/>
              </w:rPr>
              <w:t>Vanuatu Law and Justice Partnership Program</w:t>
            </w:r>
          </w:p>
        </w:tc>
        <w:tc>
          <w:tcPr>
            <w:tcW w:w="1933" w:type="dxa"/>
          </w:tcPr>
          <w:p w:rsidR="009B63DA" w:rsidRDefault="009B63DA" w:rsidP="00377129">
            <w:pPr>
              <w:pStyle w:val="TableTextEntries"/>
              <w:rPr>
                <w:lang w:eastAsia="en-AU"/>
              </w:rPr>
            </w:pPr>
            <w:r>
              <w:rPr>
                <w:b w:val="0"/>
                <w:lang w:eastAsia="en-AU"/>
              </w:rPr>
              <w:t>INJ603</w:t>
            </w:r>
          </w:p>
        </w:tc>
        <w:tc>
          <w:tcPr>
            <w:tcW w:w="2031" w:type="dxa"/>
          </w:tcPr>
          <w:p w:rsidR="009B63DA" w:rsidRDefault="009B63DA" w:rsidP="00377129">
            <w:pPr>
              <w:pStyle w:val="TableTextEntries"/>
              <w:rPr>
                <w:lang w:eastAsia="en-AU"/>
              </w:rPr>
            </w:pPr>
            <w:r>
              <w:rPr>
                <w:b w:val="0"/>
                <w:lang w:eastAsia="en-AU"/>
              </w:rPr>
              <w:t>Partner-led review of the Save the Children (Australia) Child Protection Program</w:t>
            </w:r>
          </w:p>
        </w:tc>
        <w:tc>
          <w:tcPr>
            <w:tcW w:w="1939" w:type="dxa"/>
          </w:tcPr>
          <w:p w:rsidR="009B63DA" w:rsidRDefault="009B63DA" w:rsidP="00377129">
            <w:pPr>
              <w:pStyle w:val="TableTextEntries"/>
              <w:rPr>
                <w:lang w:eastAsia="en-AU"/>
              </w:rPr>
            </w:pPr>
            <w:r>
              <w:rPr>
                <w:b w:val="0"/>
                <w:lang w:eastAsia="en-AU"/>
              </w:rPr>
              <w:t>Part 1: March 2014</w:t>
            </w:r>
          </w:p>
          <w:p w:rsidR="009B63DA" w:rsidRDefault="009B63DA" w:rsidP="00377129">
            <w:pPr>
              <w:pStyle w:val="TableTextEntries"/>
              <w:rPr>
                <w:lang w:eastAsia="en-AU"/>
              </w:rPr>
            </w:pPr>
            <w:r>
              <w:rPr>
                <w:b w:val="0"/>
                <w:lang w:eastAsia="en-AU"/>
              </w:rPr>
              <w:t xml:space="preserve">Part 2: July 2014 </w:t>
            </w:r>
          </w:p>
        </w:tc>
        <w:tc>
          <w:tcPr>
            <w:tcW w:w="1921" w:type="dxa"/>
          </w:tcPr>
          <w:p w:rsidR="009B63DA" w:rsidRDefault="009B63DA" w:rsidP="00377129">
            <w:pPr>
              <w:pStyle w:val="TableTextEntries"/>
              <w:rPr>
                <w:lang w:eastAsia="en-AU"/>
              </w:rPr>
            </w:pPr>
            <w:r>
              <w:rPr>
                <w:b w:val="0"/>
                <w:lang w:eastAsia="en-AU"/>
              </w:rPr>
              <w:t>July 2014</w:t>
            </w:r>
          </w:p>
        </w:tc>
        <w:tc>
          <w:tcPr>
            <w:tcW w:w="1743" w:type="dxa"/>
          </w:tcPr>
          <w:p w:rsidR="009B63DA" w:rsidRDefault="009B63DA" w:rsidP="00377129">
            <w:pPr>
              <w:pStyle w:val="TableTextEntries"/>
              <w:rPr>
                <w:lang w:eastAsia="en-AU"/>
              </w:rPr>
            </w:pPr>
            <w:r>
              <w:rPr>
                <w:b w:val="0"/>
                <w:lang w:eastAsia="en-AU"/>
              </w:rPr>
              <w:t>not yet</w:t>
            </w:r>
          </w:p>
        </w:tc>
        <w:tc>
          <w:tcPr>
            <w:tcW w:w="1503" w:type="dxa"/>
          </w:tcPr>
          <w:p w:rsidR="009B63DA" w:rsidRDefault="009B63DA" w:rsidP="00377129">
            <w:pPr>
              <w:pStyle w:val="TableTextEntries"/>
              <w:rPr>
                <w:lang w:eastAsia="en-AU"/>
              </w:rPr>
            </w:pPr>
            <w:r>
              <w:rPr>
                <w:b w:val="0"/>
                <w:lang w:eastAsia="en-AU"/>
              </w:rPr>
              <w:t>not yet</w:t>
            </w:r>
          </w:p>
        </w:tc>
      </w:tr>
    </w:tbl>
    <w:p w:rsidR="009B63DA" w:rsidRPr="00071B95" w:rsidRDefault="009B63DA" w:rsidP="009B63DA">
      <w:pPr>
        <w:pStyle w:val="Caption"/>
      </w:pPr>
      <w:r w:rsidRPr="00071B95">
        <w:t xml:space="preserve">List of evaluations planned in the next 12 months </w:t>
      </w:r>
    </w:p>
    <w:p w:rsidR="009B63DA" w:rsidRDefault="009B63DA" w:rsidP="009B63DA">
      <w:pPr>
        <w:pStyle w:val="TableTextColumnHeading"/>
        <w:sectPr w:rsidR="009B63DA" w:rsidSect="009B63DA">
          <w:pgSz w:w="16838" w:h="11906" w:orient="landscape" w:code="9"/>
          <w:pgMar w:top="1814" w:right="1814" w:bottom="851" w:left="1843" w:header="709" w:footer="425" w:gutter="0"/>
          <w:cols w:space="708"/>
          <w:docGrid w:linePitch="360"/>
        </w:sectPr>
      </w:pPr>
    </w:p>
    <w:tbl>
      <w:tblPr>
        <w:tblStyle w:val="APPR"/>
        <w:tblW w:w="14514" w:type="dxa"/>
        <w:tblInd w:w="987" w:type="dxa"/>
        <w:tblLook w:val="0600" w:firstRow="0" w:lastRow="0" w:firstColumn="0" w:lastColumn="0" w:noHBand="1" w:noVBand="1"/>
      </w:tblPr>
      <w:tblGrid>
        <w:gridCol w:w="2268"/>
        <w:gridCol w:w="2035"/>
        <w:gridCol w:w="3918"/>
        <w:gridCol w:w="3634"/>
        <w:gridCol w:w="2659"/>
      </w:tblGrid>
      <w:tr w:rsidR="009B63DA" w:rsidRPr="00071B95" w:rsidTr="009B63DA">
        <w:tc>
          <w:tcPr>
            <w:tcW w:w="2226" w:type="dxa"/>
          </w:tcPr>
          <w:p w:rsidR="009B63DA" w:rsidRPr="00071B95" w:rsidRDefault="009B63DA" w:rsidP="00377129">
            <w:pPr>
              <w:pStyle w:val="TableTextColumnHeading"/>
            </w:pPr>
            <w:r w:rsidRPr="00071B95">
              <w:t xml:space="preserve">Name of </w:t>
            </w:r>
            <w:r>
              <w:t>Investment</w:t>
            </w:r>
          </w:p>
        </w:tc>
        <w:tc>
          <w:tcPr>
            <w:tcW w:w="2007" w:type="dxa"/>
          </w:tcPr>
          <w:p w:rsidR="009B63DA" w:rsidRPr="00071B95" w:rsidRDefault="009B63DA" w:rsidP="00377129">
            <w:pPr>
              <w:pStyle w:val="TableTextColumnHeading"/>
            </w:pPr>
            <w:r w:rsidRPr="00071B95">
              <w:t>Aidworks number</w:t>
            </w:r>
          </w:p>
        </w:tc>
        <w:tc>
          <w:tcPr>
            <w:tcW w:w="3890" w:type="dxa"/>
          </w:tcPr>
          <w:p w:rsidR="009B63DA" w:rsidRPr="00071B95" w:rsidRDefault="009B63DA" w:rsidP="00377129">
            <w:pPr>
              <w:pStyle w:val="TableTextColumnHeading"/>
            </w:pPr>
            <w:r w:rsidRPr="00071B95">
              <w:t>Type of evaluation</w:t>
            </w:r>
          </w:p>
        </w:tc>
        <w:tc>
          <w:tcPr>
            <w:tcW w:w="3606" w:type="dxa"/>
          </w:tcPr>
          <w:p w:rsidR="009B63DA" w:rsidRPr="00071B95" w:rsidRDefault="009B63DA" w:rsidP="00377129">
            <w:pPr>
              <w:pStyle w:val="TableTextColumnHeading"/>
            </w:pPr>
            <w:r w:rsidRPr="00071B95">
              <w:t>Purpose of evaluation</w:t>
            </w:r>
          </w:p>
        </w:tc>
        <w:tc>
          <w:tcPr>
            <w:tcW w:w="2617" w:type="dxa"/>
          </w:tcPr>
          <w:p w:rsidR="009B63DA" w:rsidRPr="00071B95" w:rsidRDefault="009B63DA" w:rsidP="00377129">
            <w:pPr>
              <w:pStyle w:val="TableTextColumnHeading"/>
            </w:pPr>
            <w:r w:rsidRPr="00071B95">
              <w:t>Expected completion date</w:t>
            </w:r>
          </w:p>
        </w:tc>
      </w:tr>
      <w:tr w:rsidR="009B63DA" w:rsidRPr="00071B95" w:rsidTr="009B63DA">
        <w:tc>
          <w:tcPr>
            <w:tcW w:w="2226" w:type="dxa"/>
          </w:tcPr>
          <w:p w:rsidR="009B63DA" w:rsidRPr="003275D0" w:rsidRDefault="009B63DA" w:rsidP="00377129">
            <w:pPr>
              <w:pStyle w:val="TableTextEntries"/>
            </w:pPr>
            <w:r>
              <w:t>TVET Sector Strengthening Program (phase 3)</w:t>
            </w:r>
          </w:p>
        </w:tc>
        <w:tc>
          <w:tcPr>
            <w:tcW w:w="2007" w:type="dxa"/>
          </w:tcPr>
          <w:p w:rsidR="009B63DA" w:rsidRPr="003275D0" w:rsidRDefault="009B63DA" w:rsidP="00377129">
            <w:pPr>
              <w:pStyle w:val="TableTextEntries"/>
            </w:pPr>
            <w:r>
              <w:t>INK210</w:t>
            </w:r>
          </w:p>
        </w:tc>
        <w:tc>
          <w:tcPr>
            <w:tcW w:w="3890" w:type="dxa"/>
          </w:tcPr>
          <w:p w:rsidR="009B63DA" w:rsidRPr="003275D0" w:rsidRDefault="009B63DA" w:rsidP="00377129">
            <w:pPr>
              <w:pStyle w:val="TableTextEntries"/>
            </w:pPr>
            <w:r>
              <w:t>Independent progress review</w:t>
            </w:r>
          </w:p>
        </w:tc>
        <w:tc>
          <w:tcPr>
            <w:tcW w:w="3606" w:type="dxa"/>
          </w:tcPr>
          <w:p w:rsidR="009B63DA" w:rsidRPr="003275D0" w:rsidRDefault="009B63DA" w:rsidP="00377129">
            <w:pPr>
              <w:pStyle w:val="TableTextEntries"/>
              <w:rPr>
                <w:color w:val="000000" w:themeColor="text1" w:themeShade="BF"/>
              </w:rPr>
            </w:pPr>
            <w:r>
              <w:t>To explore dimensions of TVETs impact over time and to inform future program</w:t>
            </w:r>
          </w:p>
        </w:tc>
        <w:tc>
          <w:tcPr>
            <w:tcW w:w="2617" w:type="dxa"/>
          </w:tcPr>
          <w:p w:rsidR="009B63DA" w:rsidRPr="003275D0" w:rsidRDefault="009B63DA" w:rsidP="00377129">
            <w:pPr>
              <w:pStyle w:val="TableTextEntries"/>
            </w:pPr>
            <w:r>
              <w:t>June 2015</w:t>
            </w:r>
          </w:p>
        </w:tc>
      </w:tr>
      <w:tr w:rsidR="009B63DA" w:rsidRPr="00071B95" w:rsidTr="009B63DA">
        <w:tc>
          <w:tcPr>
            <w:tcW w:w="2226" w:type="dxa"/>
          </w:tcPr>
          <w:p w:rsidR="009B63DA" w:rsidRPr="003275D0" w:rsidRDefault="009B63DA" w:rsidP="00377129">
            <w:pPr>
              <w:pStyle w:val="TableTextEntries"/>
            </w:pPr>
            <w:r>
              <w:t>Australia Awards</w:t>
            </w:r>
          </w:p>
        </w:tc>
        <w:tc>
          <w:tcPr>
            <w:tcW w:w="2007" w:type="dxa"/>
          </w:tcPr>
          <w:p w:rsidR="009B63DA" w:rsidRPr="003275D0" w:rsidRDefault="009B63DA" w:rsidP="00377129">
            <w:pPr>
              <w:pStyle w:val="TableTextEntries"/>
            </w:pPr>
            <w:r>
              <w:t>INH654; INI677; INK573</w:t>
            </w:r>
          </w:p>
        </w:tc>
        <w:tc>
          <w:tcPr>
            <w:tcW w:w="3890" w:type="dxa"/>
          </w:tcPr>
          <w:p w:rsidR="009B63DA" w:rsidRPr="003275D0" w:rsidRDefault="009B63DA" w:rsidP="00377129">
            <w:pPr>
              <w:pStyle w:val="TableTextEntries"/>
            </w:pPr>
            <w:r>
              <w:t>Independent tracer study review</w:t>
            </w:r>
          </w:p>
        </w:tc>
        <w:tc>
          <w:tcPr>
            <w:tcW w:w="3606" w:type="dxa"/>
          </w:tcPr>
          <w:p w:rsidR="009B63DA" w:rsidRPr="003275D0" w:rsidRDefault="009B63DA" w:rsidP="00377129">
            <w:pPr>
              <w:pStyle w:val="TableTextEntries"/>
              <w:rPr>
                <w:color w:val="000000" w:themeColor="text1" w:themeShade="BF"/>
              </w:rPr>
            </w:pPr>
            <w:r>
              <w:t>To inform future program</w:t>
            </w:r>
          </w:p>
        </w:tc>
        <w:tc>
          <w:tcPr>
            <w:tcW w:w="2617" w:type="dxa"/>
          </w:tcPr>
          <w:p w:rsidR="009B63DA" w:rsidRPr="003275D0" w:rsidRDefault="009B63DA" w:rsidP="00377129">
            <w:pPr>
              <w:pStyle w:val="TableTextEntries"/>
            </w:pPr>
            <w:r>
              <w:t>May 2015</w:t>
            </w:r>
          </w:p>
        </w:tc>
      </w:tr>
      <w:tr w:rsidR="009B63DA" w:rsidRPr="00071B95" w:rsidTr="009B63DA">
        <w:tc>
          <w:tcPr>
            <w:tcW w:w="2226" w:type="dxa"/>
          </w:tcPr>
          <w:p w:rsidR="009B63DA" w:rsidRPr="003275D0" w:rsidRDefault="009B63DA" w:rsidP="00377129">
            <w:pPr>
              <w:pStyle w:val="TableTextEntries"/>
            </w:pPr>
            <w:r>
              <w:t xml:space="preserve">Roads for Development </w:t>
            </w:r>
          </w:p>
        </w:tc>
        <w:tc>
          <w:tcPr>
            <w:tcW w:w="2007" w:type="dxa"/>
          </w:tcPr>
          <w:p w:rsidR="009B63DA" w:rsidRPr="003275D0" w:rsidRDefault="009B63DA" w:rsidP="00377129">
            <w:pPr>
              <w:pStyle w:val="TableTextEntries"/>
            </w:pPr>
            <w:r>
              <w:t>INK771</w:t>
            </w:r>
          </w:p>
        </w:tc>
        <w:tc>
          <w:tcPr>
            <w:tcW w:w="3890" w:type="dxa"/>
          </w:tcPr>
          <w:p w:rsidR="009B63DA" w:rsidRPr="003275D0" w:rsidRDefault="009B63DA" w:rsidP="00377129">
            <w:pPr>
              <w:pStyle w:val="TableTextEntries"/>
            </w:pPr>
            <w:r>
              <w:t>Independent progress review</w:t>
            </w:r>
          </w:p>
        </w:tc>
        <w:tc>
          <w:tcPr>
            <w:tcW w:w="3606" w:type="dxa"/>
          </w:tcPr>
          <w:p w:rsidR="009B63DA" w:rsidRPr="003275D0" w:rsidRDefault="009B63DA" w:rsidP="00377129">
            <w:pPr>
              <w:pStyle w:val="TableTextEntries"/>
              <w:rPr>
                <w:color w:val="000000" w:themeColor="text1" w:themeShade="BF"/>
              </w:rPr>
            </w:pPr>
            <w:r w:rsidRPr="00593264">
              <w:t xml:space="preserve">To assess progress </w:t>
            </w:r>
            <w:r>
              <w:t>and</w:t>
            </w:r>
            <w:r w:rsidRPr="00593264">
              <w:t xml:space="preserve"> improve existing program design</w:t>
            </w:r>
          </w:p>
        </w:tc>
        <w:tc>
          <w:tcPr>
            <w:tcW w:w="2617" w:type="dxa"/>
          </w:tcPr>
          <w:p w:rsidR="009B63DA" w:rsidRPr="003275D0" w:rsidRDefault="009B63DA" w:rsidP="00377129">
            <w:pPr>
              <w:pStyle w:val="TableTextEntries"/>
            </w:pPr>
            <w:r>
              <w:t>March 2015</w:t>
            </w:r>
          </w:p>
        </w:tc>
      </w:tr>
      <w:tr w:rsidR="009B63DA" w:rsidRPr="00071B95" w:rsidTr="009B63DA">
        <w:tc>
          <w:tcPr>
            <w:tcW w:w="2226" w:type="dxa"/>
          </w:tcPr>
          <w:p w:rsidR="009B63DA" w:rsidRPr="003275D0" w:rsidRDefault="009B63DA" w:rsidP="00377129">
            <w:pPr>
              <w:pStyle w:val="TableTextEntries"/>
            </w:pPr>
            <w:r>
              <w:t>Governance for Growth (phase 2)</w:t>
            </w:r>
          </w:p>
        </w:tc>
        <w:tc>
          <w:tcPr>
            <w:tcW w:w="2007" w:type="dxa"/>
          </w:tcPr>
          <w:p w:rsidR="009B63DA" w:rsidRPr="003275D0" w:rsidRDefault="009B63DA" w:rsidP="00377129">
            <w:pPr>
              <w:pStyle w:val="TableTextEntries"/>
            </w:pPr>
            <w:r>
              <w:t>INK455</w:t>
            </w:r>
          </w:p>
        </w:tc>
        <w:tc>
          <w:tcPr>
            <w:tcW w:w="3890" w:type="dxa"/>
          </w:tcPr>
          <w:p w:rsidR="009B63DA" w:rsidRPr="003275D0" w:rsidRDefault="009B63DA" w:rsidP="00377129">
            <w:pPr>
              <w:pStyle w:val="TableTextEntries"/>
            </w:pPr>
            <w:r w:rsidRPr="00B16F8D">
              <w:t>Independent review of provincial public financial management, including financial services bureaus</w:t>
            </w:r>
          </w:p>
        </w:tc>
        <w:tc>
          <w:tcPr>
            <w:tcW w:w="3606" w:type="dxa"/>
          </w:tcPr>
          <w:p w:rsidR="009B63DA" w:rsidRPr="003275D0" w:rsidRDefault="009B63DA" w:rsidP="00377129">
            <w:pPr>
              <w:pStyle w:val="TableTextEntries"/>
              <w:rPr>
                <w:color w:val="000000" w:themeColor="text1" w:themeShade="BF"/>
              </w:rPr>
            </w:pPr>
            <w:r>
              <w:t>To inform existing programming</w:t>
            </w:r>
          </w:p>
        </w:tc>
        <w:tc>
          <w:tcPr>
            <w:tcW w:w="2617" w:type="dxa"/>
          </w:tcPr>
          <w:p w:rsidR="009B63DA" w:rsidRPr="003275D0" w:rsidRDefault="009B63DA" w:rsidP="00377129">
            <w:pPr>
              <w:pStyle w:val="TableTextEntries"/>
            </w:pPr>
            <w:r>
              <w:t>October 2014</w:t>
            </w:r>
          </w:p>
        </w:tc>
      </w:tr>
      <w:tr w:rsidR="009B63DA" w:rsidRPr="00071B95" w:rsidTr="009B63DA">
        <w:tc>
          <w:tcPr>
            <w:tcW w:w="2226" w:type="dxa"/>
          </w:tcPr>
          <w:p w:rsidR="009B63DA" w:rsidRPr="00071B95" w:rsidRDefault="009B63DA" w:rsidP="00377129">
            <w:pPr>
              <w:pStyle w:val="TableTextEntries"/>
            </w:pPr>
            <w:r>
              <w:t>Health Sector Program</w:t>
            </w:r>
          </w:p>
        </w:tc>
        <w:tc>
          <w:tcPr>
            <w:tcW w:w="2007" w:type="dxa"/>
          </w:tcPr>
          <w:p w:rsidR="009B63DA" w:rsidRPr="00071B95" w:rsidRDefault="009B63DA" w:rsidP="00377129">
            <w:pPr>
              <w:pStyle w:val="TableTextEntries"/>
            </w:pPr>
            <w:r>
              <w:t>INJ438</w:t>
            </w:r>
          </w:p>
        </w:tc>
        <w:tc>
          <w:tcPr>
            <w:tcW w:w="3890" w:type="dxa"/>
          </w:tcPr>
          <w:p w:rsidR="009B63DA" w:rsidRPr="00071B95" w:rsidRDefault="009B63DA" w:rsidP="00377129">
            <w:pPr>
              <w:pStyle w:val="TableTextEntries"/>
            </w:pPr>
            <w:r>
              <w:t>Independent progress review</w:t>
            </w:r>
          </w:p>
        </w:tc>
        <w:tc>
          <w:tcPr>
            <w:tcW w:w="3606" w:type="dxa"/>
          </w:tcPr>
          <w:p w:rsidR="009B63DA" w:rsidRPr="00071B95" w:rsidRDefault="009B63DA" w:rsidP="00377129">
            <w:pPr>
              <w:pStyle w:val="TableTextEntries"/>
            </w:pPr>
            <w:r w:rsidRPr="00593264">
              <w:t>To assess overall delivery strategy progress &amp; inform future program planning</w:t>
            </w:r>
          </w:p>
        </w:tc>
        <w:tc>
          <w:tcPr>
            <w:tcW w:w="2617" w:type="dxa"/>
          </w:tcPr>
          <w:p w:rsidR="009B63DA" w:rsidRPr="00071B95" w:rsidRDefault="009B63DA" w:rsidP="00377129">
            <w:pPr>
              <w:pStyle w:val="TableTextEntries"/>
            </w:pPr>
            <w:r>
              <w:t>February 2015</w:t>
            </w:r>
          </w:p>
        </w:tc>
      </w:tr>
      <w:tr w:rsidR="009B63DA" w:rsidRPr="00071B95" w:rsidTr="009B63DA">
        <w:tc>
          <w:tcPr>
            <w:tcW w:w="2226" w:type="dxa"/>
          </w:tcPr>
          <w:p w:rsidR="009B63DA" w:rsidRDefault="009B63DA" w:rsidP="00377129">
            <w:pPr>
              <w:pStyle w:val="TableTextEntries"/>
            </w:pPr>
            <w:r>
              <w:t>Vanuatu Land Program</w:t>
            </w:r>
          </w:p>
        </w:tc>
        <w:tc>
          <w:tcPr>
            <w:tcW w:w="2007" w:type="dxa"/>
          </w:tcPr>
          <w:p w:rsidR="009B63DA" w:rsidRDefault="009B63DA" w:rsidP="00377129">
            <w:pPr>
              <w:pStyle w:val="TableTextEntries"/>
            </w:pPr>
            <w:r>
              <w:t>INI501</w:t>
            </w:r>
          </w:p>
        </w:tc>
        <w:tc>
          <w:tcPr>
            <w:tcW w:w="3890" w:type="dxa"/>
          </w:tcPr>
          <w:p w:rsidR="009B63DA" w:rsidRDefault="009B63DA" w:rsidP="00377129">
            <w:pPr>
              <w:pStyle w:val="TableTextEntries"/>
            </w:pPr>
            <w:r>
              <w:t>DFAT-led (internal) progress review</w:t>
            </w:r>
          </w:p>
        </w:tc>
        <w:tc>
          <w:tcPr>
            <w:tcW w:w="3606" w:type="dxa"/>
          </w:tcPr>
          <w:p w:rsidR="009B63DA" w:rsidRPr="00593264" w:rsidRDefault="009B63DA" w:rsidP="00377129">
            <w:pPr>
              <w:pStyle w:val="TableTextEntries"/>
            </w:pPr>
            <w:r>
              <w:t>To assess progress and inform current program</w:t>
            </w:r>
          </w:p>
        </w:tc>
        <w:tc>
          <w:tcPr>
            <w:tcW w:w="2617" w:type="dxa"/>
          </w:tcPr>
          <w:p w:rsidR="009B63DA" w:rsidRDefault="009B63DA" w:rsidP="00377129">
            <w:pPr>
              <w:pStyle w:val="TableTextEntries"/>
            </w:pPr>
            <w:r>
              <w:t>December 2014</w:t>
            </w:r>
          </w:p>
        </w:tc>
      </w:tr>
      <w:tr w:rsidR="009B63DA" w:rsidRPr="00071B95" w:rsidTr="009B63DA">
        <w:tc>
          <w:tcPr>
            <w:tcW w:w="2226" w:type="dxa"/>
          </w:tcPr>
          <w:p w:rsidR="009B63DA" w:rsidRDefault="009B63DA" w:rsidP="00377129">
            <w:pPr>
              <w:pStyle w:val="TableTextEntries"/>
            </w:pPr>
            <w:r>
              <w:t>Governance for Growth (phase 2)</w:t>
            </w:r>
          </w:p>
        </w:tc>
        <w:tc>
          <w:tcPr>
            <w:tcW w:w="2007" w:type="dxa"/>
          </w:tcPr>
          <w:p w:rsidR="009B63DA" w:rsidRDefault="009B63DA" w:rsidP="00377129">
            <w:pPr>
              <w:pStyle w:val="TableTextEntries"/>
            </w:pPr>
            <w:r>
              <w:t>INK455</w:t>
            </w:r>
          </w:p>
        </w:tc>
        <w:tc>
          <w:tcPr>
            <w:tcW w:w="3890" w:type="dxa"/>
          </w:tcPr>
          <w:p w:rsidR="009B63DA" w:rsidRDefault="009B63DA" w:rsidP="00377129">
            <w:pPr>
              <w:pStyle w:val="TableTextEntries"/>
            </w:pPr>
            <w:r>
              <w:t>Independent progress review</w:t>
            </w:r>
          </w:p>
        </w:tc>
        <w:tc>
          <w:tcPr>
            <w:tcW w:w="3606" w:type="dxa"/>
          </w:tcPr>
          <w:p w:rsidR="009B63DA" w:rsidRDefault="009B63DA" w:rsidP="00377129">
            <w:pPr>
              <w:pStyle w:val="TableTextEntries"/>
            </w:pPr>
            <w:r>
              <w:t>To assess progress and inform future investment (to include Land Program as an element of the review)</w:t>
            </w:r>
          </w:p>
        </w:tc>
        <w:tc>
          <w:tcPr>
            <w:tcW w:w="2617" w:type="dxa"/>
          </w:tcPr>
          <w:p w:rsidR="009B63DA" w:rsidRDefault="009B63DA" w:rsidP="00377129">
            <w:pPr>
              <w:pStyle w:val="TableTextEntries"/>
            </w:pPr>
            <w:r>
              <w:t>June 2015</w:t>
            </w:r>
          </w:p>
        </w:tc>
      </w:tr>
    </w:tbl>
    <w:p w:rsidR="009B63DA" w:rsidRDefault="009B63DA" w:rsidP="009B63DA">
      <w:pPr>
        <w:rPr>
          <w:b/>
        </w:rPr>
        <w:sectPr w:rsidR="009B63DA"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t>Annex D</w:t>
      </w:r>
    </w:p>
    <w:p w:rsidR="000D733F" w:rsidRPr="009E38C1" w:rsidRDefault="000D733F" w:rsidP="000D733F">
      <w:pPr>
        <w:pStyle w:val="Heading2"/>
        <w:rPr>
          <w:sz w:val="28"/>
        </w:rPr>
      </w:pPr>
      <w:r w:rsidRPr="009E38C1">
        <w:rPr>
          <w:sz w:val="28"/>
        </w:rPr>
        <w:t>Performance Benchmarks 2014 -15</w:t>
      </w:r>
    </w:p>
    <w:p w:rsidR="000D733F" w:rsidRDefault="000D733F" w:rsidP="000D733F">
      <w:pPr>
        <w:pStyle w:val="BodyText"/>
      </w:pPr>
    </w:p>
    <w:tbl>
      <w:tblPr>
        <w:tblStyle w:val="DFATTable"/>
        <w:tblW w:w="5000" w:type="pct"/>
        <w:tblLook w:val="04A0" w:firstRow="1" w:lastRow="0" w:firstColumn="1" w:lastColumn="0" w:noHBand="0" w:noVBand="1"/>
      </w:tblPr>
      <w:tblGrid>
        <w:gridCol w:w="3079"/>
        <w:gridCol w:w="3078"/>
        <w:gridCol w:w="6788"/>
      </w:tblGrid>
      <w:tr w:rsidR="000D733F" w:rsidRPr="004F7D80" w:rsidTr="000D733F">
        <w:trPr>
          <w:tblHeader/>
        </w:trPr>
        <w:tc>
          <w:tcPr>
            <w:tcW w:w="1189" w:type="pct"/>
            <w:tcMar>
              <w:top w:w="57" w:type="dxa"/>
              <w:bottom w:w="57" w:type="dxa"/>
            </w:tcMar>
          </w:tcPr>
          <w:p w:rsidR="000D733F" w:rsidRPr="002749B6" w:rsidRDefault="000D733F" w:rsidP="000D733F">
            <w:pPr>
              <w:pStyle w:val="TableHeading1"/>
            </w:pPr>
            <w:r w:rsidRPr="002749B6">
              <w:t>Program strategic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1E2542" w:rsidRDefault="000D733F" w:rsidP="00716178">
            <w:pPr>
              <w:pStyle w:val="TableHeading1"/>
              <w:rPr>
                <w:b w:val="0"/>
              </w:rPr>
            </w:pPr>
            <w:r w:rsidRPr="002749B6">
              <w:t>Rationale for selecting this performance benchmark</w:t>
            </w:r>
            <w:r w:rsidR="001E2542">
              <w:t xml:space="preserve"> </w:t>
            </w:r>
          </w:p>
        </w:tc>
      </w:tr>
      <w:tr w:rsidR="000D733F" w:rsidRPr="004F7D80" w:rsidTr="000D733F">
        <w:tc>
          <w:tcPr>
            <w:tcW w:w="1189" w:type="pct"/>
            <w:tcMar>
              <w:top w:w="57" w:type="dxa"/>
              <w:bottom w:w="57" w:type="dxa"/>
            </w:tcMar>
          </w:tcPr>
          <w:p w:rsidR="000D733F" w:rsidRPr="002749B6" w:rsidRDefault="005577FA" w:rsidP="00805ADD">
            <w:pPr>
              <w:pStyle w:val="TableTextEntries"/>
            </w:pPr>
            <w:r>
              <w:t xml:space="preserve">Develop essential infrastructure </w:t>
            </w:r>
          </w:p>
        </w:tc>
        <w:tc>
          <w:tcPr>
            <w:tcW w:w="1189" w:type="pct"/>
          </w:tcPr>
          <w:p w:rsidR="000D733F" w:rsidRPr="002749B6" w:rsidRDefault="005A4267" w:rsidP="000D733F">
            <w:pPr>
              <w:pStyle w:val="TableTextEntries"/>
            </w:pPr>
            <w:r>
              <w:t>100kms of maintenance and rehabilitation works completed on target rural roads</w:t>
            </w:r>
          </w:p>
        </w:tc>
        <w:tc>
          <w:tcPr>
            <w:tcW w:w="2622" w:type="pct"/>
          </w:tcPr>
          <w:p w:rsidR="000D733F" w:rsidRPr="002749B6" w:rsidRDefault="005A4267" w:rsidP="001E2542">
            <w:pPr>
              <w:pStyle w:val="TableTextEntries"/>
            </w:pPr>
            <w:r>
              <w:t>Infrastructure represents 20</w:t>
            </w:r>
            <w:r w:rsidR="0026779A">
              <w:t xml:space="preserve"> per cent</w:t>
            </w:r>
            <w:r>
              <w:t xml:space="preserve"> of Australian investment in Vanuatu. The benchmark is aligned with the Vanuatu Government infrastructure planning. </w:t>
            </w:r>
            <w:r w:rsidR="001E2542">
              <w:t>Evaluation has shown</w:t>
            </w:r>
            <w:r w:rsidR="009C3245">
              <w:t xml:space="preserve"> that improved road</w:t>
            </w:r>
            <w:r w:rsidR="001E2542">
              <w:t>s</w:t>
            </w:r>
            <w:r w:rsidR="009C3245">
              <w:t xml:space="preserve"> </w:t>
            </w:r>
            <w:r w:rsidR="001E2542">
              <w:t>has</w:t>
            </w:r>
            <w:r>
              <w:t xml:space="preserve"> a direct impact on the livelihoods of Vanuatu’s rural majority and provides job opportunities.</w:t>
            </w:r>
          </w:p>
        </w:tc>
      </w:tr>
      <w:tr w:rsidR="000D733F" w:rsidRPr="004F7D80" w:rsidTr="000D733F">
        <w:tc>
          <w:tcPr>
            <w:tcW w:w="1189" w:type="pct"/>
            <w:tcMar>
              <w:top w:w="57" w:type="dxa"/>
              <w:bottom w:w="57" w:type="dxa"/>
            </w:tcMar>
          </w:tcPr>
          <w:p w:rsidR="000D733F" w:rsidRPr="002749B6" w:rsidRDefault="005577FA" w:rsidP="000D733F">
            <w:pPr>
              <w:pStyle w:val="TableTextEntries"/>
            </w:pPr>
            <w:r>
              <w:t>Progress reform on economic governance</w:t>
            </w:r>
          </w:p>
        </w:tc>
        <w:tc>
          <w:tcPr>
            <w:tcW w:w="1189" w:type="pct"/>
          </w:tcPr>
          <w:p w:rsidR="000D733F" w:rsidRPr="002749B6" w:rsidRDefault="005A4267" w:rsidP="000D733F">
            <w:pPr>
              <w:pStyle w:val="TableTextEntries"/>
            </w:pPr>
            <w:r>
              <w:t>3,000 bank accounts opened</w:t>
            </w:r>
          </w:p>
        </w:tc>
        <w:tc>
          <w:tcPr>
            <w:tcW w:w="2622" w:type="pct"/>
          </w:tcPr>
          <w:p w:rsidR="000D733F" w:rsidRPr="002749B6" w:rsidRDefault="008003BA" w:rsidP="001A5BE4">
            <w:pPr>
              <w:pStyle w:val="TableTextEntries"/>
            </w:pPr>
            <w:r>
              <w:t xml:space="preserve">Increasing </w:t>
            </w:r>
            <w:r w:rsidR="001E2542">
              <w:t>access</w:t>
            </w:r>
            <w:r>
              <w:t xml:space="preserve"> to </w:t>
            </w:r>
            <w:r w:rsidR="00203F66">
              <w:t>capital</w:t>
            </w:r>
            <w:r>
              <w:t xml:space="preserve"> is key</w:t>
            </w:r>
            <w:r w:rsidR="001E2542">
              <w:t xml:space="preserve"> factor in</w:t>
            </w:r>
            <w:r>
              <w:t xml:space="preserve"> increasing income-earning opportunities for ni-Vanuatu, including transition from the informal to formal economy and building small business activities. The benchmark </w:t>
            </w:r>
            <w:r w:rsidR="00203F66">
              <w:t>provides a</w:t>
            </w:r>
            <w:r w:rsidR="001A5BE4">
              <w:t>n</w:t>
            </w:r>
            <w:r w:rsidR="00203F66">
              <w:t xml:space="preserve"> </w:t>
            </w:r>
            <w:r w:rsidR="001A5BE4">
              <w:t xml:space="preserve">indicator both </w:t>
            </w:r>
            <w:r w:rsidR="00203F66">
              <w:t>for the numbers of people utilising new banking opportunities and the demand for new banking in response to complementary investments in access to markets and technical an</w:t>
            </w:r>
            <w:r w:rsidR="00441270">
              <w:t>d</w:t>
            </w:r>
            <w:r w:rsidR="00203F66">
              <w:t xml:space="preserve"> vocational training</w:t>
            </w:r>
            <w:r w:rsidR="005918E4">
              <w:t>.</w:t>
            </w:r>
            <w:r>
              <w:t xml:space="preserve"> </w:t>
            </w:r>
          </w:p>
        </w:tc>
      </w:tr>
      <w:tr w:rsidR="000D733F" w:rsidRPr="004F7D80" w:rsidTr="000D733F">
        <w:tc>
          <w:tcPr>
            <w:tcW w:w="1189" w:type="pct"/>
            <w:tcMar>
              <w:top w:w="57" w:type="dxa"/>
              <w:bottom w:w="57" w:type="dxa"/>
            </w:tcMar>
          </w:tcPr>
          <w:p w:rsidR="000D733F" w:rsidRPr="002749B6" w:rsidRDefault="005577FA" w:rsidP="000D733F">
            <w:pPr>
              <w:pStyle w:val="TableTextEntries"/>
            </w:pPr>
            <w:r>
              <w:t>Support increased access to skills and knowledge</w:t>
            </w:r>
          </w:p>
        </w:tc>
        <w:tc>
          <w:tcPr>
            <w:tcW w:w="1189" w:type="pct"/>
          </w:tcPr>
          <w:p w:rsidR="000D733F" w:rsidRPr="002749B6" w:rsidRDefault="005A4267" w:rsidP="00E15AB9">
            <w:pPr>
              <w:pStyle w:val="TableTextEntries"/>
            </w:pPr>
            <w:r w:rsidRPr="005A4267">
              <w:t>80</w:t>
            </w:r>
            <w:r w:rsidR="0026779A">
              <w:t xml:space="preserve"> per cent</w:t>
            </w:r>
            <w:r w:rsidRPr="005A4267">
              <w:t xml:space="preserve"> (of 800 participants)</w:t>
            </w:r>
            <w:r>
              <w:t xml:space="preserve"> report higher </w:t>
            </w:r>
            <w:r w:rsidR="00E15AB9">
              <w:t>income</w:t>
            </w:r>
          </w:p>
        </w:tc>
        <w:tc>
          <w:tcPr>
            <w:tcW w:w="2622" w:type="pct"/>
          </w:tcPr>
          <w:p w:rsidR="000D733F" w:rsidRPr="002749B6" w:rsidRDefault="00E3508F" w:rsidP="00441270">
            <w:pPr>
              <w:pStyle w:val="TableTextEntries"/>
            </w:pPr>
            <w:r>
              <w:t>Australia’s TVET support is aimed at supporting increased job and business opportunities for rural ni-Vanuatu. A key marker of the success and quality of the training provided is the impact it has on people</w:t>
            </w:r>
            <w:r w:rsidR="001A5BE4">
              <w:t>’s</w:t>
            </w:r>
            <w:r>
              <w:t xml:space="preserve"> or business</w:t>
            </w:r>
            <w:r w:rsidR="001A5BE4">
              <w:t>es</w:t>
            </w:r>
            <w:r>
              <w:t xml:space="preserve">’ incomes. </w:t>
            </w:r>
          </w:p>
        </w:tc>
      </w:tr>
      <w:tr w:rsidR="000D733F" w:rsidRPr="004F7D80" w:rsidTr="000D733F">
        <w:tc>
          <w:tcPr>
            <w:tcW w:w="1189" w:type="pct"/>
            <w:tcMar>
              <w:top w:w="57" w:type="dxa"/>
              <w:bottom w:w="57" w:type="dxa"/>
            </w:tcMar>
          </w:tcPr>
          <w:p w:rsidR="000D733F" w:rsidRPr="00716178" w:rsidRDefault="005577FA" w:rsidP="000D733F">
            <w:pPr>
              <w:pStyle w:val="TableTextEntries"/>
            </w:pPr>
            <w:r w:rsidRPr="00716178">
              <w:t>Support improved quality of education</w:t>
            </w:r>
          </w:p>
        </w:tc>
        <w:tc>
          <w:tcPr>
            <w:tcW w:w="1189" w:type="pct"/>
          </w:tcPr>
          <w:p w:rsidR="000D733F" w:rsidRPr="00716178" w:rsidRDefault="00C812EA" w:rsidP="009C3245">
            <w:pPr>
              <w:pStyle w:val="TableTextEntries"/>
            </w:pPr>
            <w:r w:rsidRPr="00C812EA">
              <w:t>Monitoring tool for literacy and numeracy developed and trialled</w:t>
            </w:r>
          </w:p>
        </w:tc>
        <w:tc>
          <w:tcPr>
            <w:tcW w:w="2622" w:type="pct"/>
          </w:tcPr>
          <w:p w:rsidR="000D733F" w:rsidRPr="00716178" w:rsidRDefault="00E3508F" w:rsidP="00441270">
            <w:pPr>
              <w:pStyle w:val="TableTextEntries"/>
            </w:pPr>
            <w:r w:rsidRPr="00716178">
              <w:t xml:space="preserve">The quality of Vanuatu education is a </w:t>
            </w:r>
            <w:r w:rsidR="00441270" w:rsidRPr="00716178">
              <w:t>major</w:t>
            </w:r>
            <w:r w:rsidRPr="00716178">
              <w:t xml:space="preserve"> challenge</w:t>
            </w:r>
            <w:r w:rsidR="00441270" w:rsidRPr="00716178">
              <w:t xml:space="preserve"> in the sector that</w:t>
            </w:r>
            <w:r w:rsidRPr="00716178">
              <w:t xml:space="preserve"> </w:t>
            </w:r>
            <w:r w:rsidR="005918E4" w:rsidRPr="00716178">
              <w:t>Australia’s</w:t>
            </w:r>
            <w:r w:rsidRPr="00716178">
              <w:t xml:space="preserve"> basic education investments </w:t>
            </w:r>
            <w:r w:rsidR="00441270" w:rsidRPr="00716178">
              <w:t xml:space="preserve">are </w:t>
            </w:r>
            <w:r w:rsidRPr="00716178">
              <w:t>seek</w:t>
            </w:r>
            <w:r w:rsidR="00441270" w:rsidRPr="00716178">
              <w:t>ing</w:t>
            </w:r>
            <w:r w:rsidRPr="00716178">
              <w:t xml:space="preserve"> to address. While </w:t>
            </w:r>
            <w:r w:rsidR="00441270" w:rsidRPr="00716178">
              <w:t xml:space="preserve">education </w:t>
            </w:r>
            <w:r w:rsidRPr="00716178">
              <w:t>access has improved</w:t>
            </w:r>
            <w:r w:rsidR="005918E4" w:rsidRPr="00716178">
              <w:t xml:space="preserve"> since 2007</w:t>
            </w:r>
            <w:r w:rsidRPr="00716178">
              <w:t xml:space="preserve">, </w:t>
            </w:r>
            <w:r w:rsidR="005918E4" w:rsidRPr="00716178">
              <w:t xml:space="preserve">education </w:t>
            </w:r>
            <w:r w:rsidRPr="00716178">
              <w:t xml:space="preserve">quality </w:t>
            </w:r>
            <w:r w:rsidR="005918E4" w:rsidRPr="00716178">
              <w:t>as measured by literacy and numeracy standards has declined</w:t>
            </w:r>
            <w:r w:rsidRPr="00716178">
              <w:t xml:space="preserve">. </w:t>
            </w:r>
          </w:p>
        </w:tc>
      </w:tr>
      <w:tr w:rsidR="000D733F" w:rsidRPr="004F7D80" w:rsidTr="000D733F">
        <w:tc>
          <w:tcPr>
            <w:tcW w:w="1189" w:type="pct"/>
            <w:tcMar>
              <w:top w:w="57" w:type="dxa"/>
              <w:bottom w:w="57" w:type="dxa"/>
            </w:tcMar>
          </w:tcPr>
          <w:p w:rsidR="000D733F" w:rsidRPr="002749B6" w:rsidRDefault="005577FA" w:rsidP="000D733F">
            <w:pPr>
              <w:pStyle w:val="TableTextEntries"/>
            </w:pPr>
            <w:r>
              <w:t>Strengthen health services</w:t>
            </w:r>
          </w:p>
        </w:tc>
        <w:tc>
          <w:tcPr>
            <w:tcW w:w="1189" w:type="pct"/>
          </w:tcPr>
          <w:p w:rsidR="000D733F" w:rsidRPr="002749B6" w:rsidRDefault="00936661" w:rsidP="009C3245">
            <w:pPr>
              <w:pStyle w:val="TableTextEntries"/>
            </w:pPr>
            <w:r>
              <w:t xml:space="preserve">30 </w:t>
            </w:r>
            <w:r w:rsidR="009C3245">
              <w:t>nurses and midwives trained</w:t>
            </w:r>
          </w:p>
        </w:tc>
        <w:tc>
          <w:tcPr>
            <w:tcW w:w="2622" w:type="pct"/>
          </w:tcPr>
          <w:p w:rsidR="000D733F" w:rsidRPr="002749B6" w:rsidRDefault="00203F66" w:rsidP="00441270">
            <w:pPr>
              <w:pStyle w:val="TableTextEntries"/>
            </w:pPr>
            <w:r>
              <w:t xml:space="preserve">Vanuatu has one of the </w:t>
            </w:r>
            <w:r w:rsidR="00E3508F">
              <w:t>worst</w:t>
            </w:r>
            <w:r>
              <w:t xml:space="preserve"> </w:t>
            </w:r>
            <w:r w:rsidR="00E3508F">
              <w:t>health worker per head of population ratios in the Pacific. Addressing this is a key pillar of Australia’s response and strategy in the health sector</w:t>
            </w:r>
            <w:r w:rsidR="00441270">
              <w:t>.</w:t>
            </w:r>
          </w:p>
        </w:tc>
      </w:tr>
      <w:tr w:rsidR="000D733F" w:rsidRPr="004F7D80" w:rsidTr="000D733F">
        <w:tc>
          <w:tcPr>
            <w:tcW w:w="1189" w:type="pct"/>
            <w:tcMar>
              <w:top w:w="57" w:type="dxa"/>
              <w:bottom w:w="57" w:type="dxa"/>
            </w:tcMar>
          </w:tcPr>
          <w:p w:rsidR="000D733F" w:rsidRPr="002749B6" w:rsidRDefault="005577FA" w:rsidP="000D733F">
            <w:pPr>
              <w:pStyle w:val="TableTextEntries"/>
            </w:pPr>
            <w:r>
              <w:t>More effective legal institutions and improved police services</w:t>
            </w:r>
          </w:p>
        </w:tc>
        <w:tc>
          <w:tcPr>
            <w:tcW w:w="1189" w:type="pct"/>
          </w:tcPr>
          <w:p w:rsidR="000D733F" w:rsidRPr="002749B6" w:rsidRDefault="009C3245" w:rsidP="000D733F">
            <w:pPr>
              <w:pStyle w:val="TableTextEntries"/>
            </w:pPr>
            <w:r>
              <w:t>4,000 women provided counselling</w:t>
            </w:r>
            <w:r w:rsidR="008F7077">
              <w:t xml:space="preserve"> and legal support</w:t>
            </w:r>
          </w:p>
        </w:tc>
        <w:tc>
          <w:tcPr>
            <w:tcW w:w="2622" w:type="pct"/>
          </w:tcPr>
          <w:p w:rsidR="000D733F" w:rsidRPr="002749B6" w:rsidRDefault="005577FA" w:rsidP="001A5BE4">
            <w:pPr>
              <w:pStyle w:val="TableTextEntries"/>
            </w:pPr>
            <w:r>
              <w:t xml:space="preserve">A </w:t>
            </w:r>
            <w:r w:rsidR="00203F66">
              <w:t xml:space="preserve">key feature of Australia’s </w:t>
            </w:r>
            <w:r>
              <w:t>newly designed integrated policing and justice program is</w:t>
            </w:r>
            <w:r w:rsidR="00203F66">
              <w:t xml:space="preserve"> addressing the significant challenge of reducing family and sexual violence</w:t>
            </w:r>
            <w:r>
              <w:t>. A</w:t>
            </w:r>
            <w:r w:rsidR="001A5BE4">
              <w:t>n</w:t>
            </w:r>
            <w:r>
              <w:t xml:space="preserve"> </w:t>
            </w:r>
            <w:r w:rsidR="001A5BE4">
              <w:t>indicator</w:t>
            </w:r>
            <w:r>
              <w:t xml:space="preserve"> for performance in this area is access to</w:t>
            </w:r>
            <w:r w:rsidR="00203F66">
              <w:t xml:space="preserve"> the counselling </w:t>
            </w:r>
            <w:r w:rsidR="008F7077">
              <w:t xml:space="preserve">and legal support </w:t>
            </w:r>
            <w:r w:rsidR="00203F66">
              <w:t>provide</w:t>
            </w:r>
            <w:r w:rsidR="008F7077">
              <w:t>d</w:t>
            </w:r>
            <w:r w:rsidR="00203F66">
              <w:t xml:space="preserve"> by the Vanuatu Women’s centre. </w:t>
            </w:r>
          </w:p>
        </w:tc>
      </w:tr>
      <w:bookmarkEnd w:id="2"/>
    </w:tbl>
    <w:p w:rsidR="000D733F" w:rsidRDefault="000D733F">
      <w:pPr>
        <w:rPr>
          <w:szCs w:val="20"/>
        </w:rPr>
      </w:pPr>
    </w:p>
    <w:p w:rsidR="002A149A" w:rsidRDefault="002A149A" w:rsidP="009E79EC">
      <w:pPr>
        <w:sectPr w:rsidR="002A149A" w:rsidSect="00E44F51">
          <w:pgSz w:w="16840" w:h="11907" w:orient="landscape" w:code="9"/>
          <w:pgMar w:top="1871" w:right="2268" w:bottom="1871" w:left="1843" w:header="851" w:footer="454" w:gutter="0"/>
          <w:cols w:space="720"/>
          <w:docGrid w:linePitch="272"/>
        </w:sectPr>
      </w:pPr>
    </w:p>
    <w:p w:rsidR="000D733F" w:rsidRPr="00D95DDC" w:rsidRDefault="000D733F" w:rsidP="009E79EC"/>
    <w:sectPr w:rsidR="000D733F" w:rsidRPr="00D95DDC" w:rsidSect="002A149A">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AF" w:rsidRDefault="00B448AF" w:rsidP="0050529F">
      <w:r>
        <w:separator/>
      </w:r>
    </w:p>
    <w:p w:rsidR="00B448AF" w:rsidRDefault="00B448AF"/>
    <w:p w:rsidR="00B448AF" w:rsidRDefault="00B448AF"/>
    <w:p w:rsidR="00B448AF" w:rsidRDefault="00B448AF"/>
    <w:p w:rsidR="00B448AF" w:rsidRDefault="00B448AF"/>
    <w:p w:rsidR="00B448AF" w:rsidRDefault="00B448AF"/>
    <w:p w:rsidR="00B448AF" w:rsidRDefault="00B448AF"/>
  </w:endnote>
  <w:endnote w:type="continuationSeparator" w:id="0">
    <w:p w:rsidR="00B448AF" w:rsidRDefault="00B448AF" w:rsidP="0050529F">
      <w:r>
        <w:continuationSeparator/>
      </w:r>
    </w:p>
    <w:p w:rsidR="00B448AF" w:rsidRDefault="00B448AF"/>
    <w:p w:rsidR="00B448AF" w:rsidRDefault="00B448AF"/>
    <w:p w:rsidR="00B448AF" w:rsidRDefault="00B448AF"/>
    <w:p w:rsidR="00B448AF" w:rsidRDefault="00B448AF"/>
    <w:p w:rsidR="00B448AF" w:rsidRDefault="00B448AF"/>
    <w:p w:rsidR="00B448AF" w:rsidRDefault="00B448AF"/>
  </w:endnote>
  <w:endnote w:id="1">
    <w:p w:rsidR="00F86835" w:rsidRPr="002A149A" w:rsidRDefault="00F86835" w:rsidP="00691EE4">
      <w:pPr>
        <w:pStyle w:val="EndnoteText"/>
      </w:pPr>
      <w:r w:rsidRPr="002A149A">
        <w:rPr>
          <w:rStyle w:val="EndnoteReference"/>
        </w:rPr>
        <w:endnoteRef/>
      </w:r>
      <w:r w:rsidRPr="002A149A">
        <w:t xml:space="preserve"> </w:t>
      </w:r>
      <w:r w:rsidRPr="002A149A">
        <w:rPr>
          <w:szCs w:val="16"/>
        </w:rPr>
        <w:t>DFAT, Australian aid: promoting prosperity, reducing poverty, enhancing stability. June 2014</w:t>
      </w:r>
    </w:p>
  </w:endnote>
  <w:endnote w:id="2">
    <w:p w:rsidR="00F86835" w:rsidRPr="002A149A" w:rsidRDefault="00F86835" w:rsidP="00355018">
      <w:pPr>
        <w:pStyle w:val="EndnoteText"/>
        <w:rPr>
          <w:szCs w:val="16"/>
        </w:rPr>
      </w:pPr>
      <w:r w:rsidRPr="002A149A">
        <w:rPr>
          <w:rStyle w:val="EndnoteReference"/>
        </w:rPr>
        <w:endnoteRef/>
      </w:r>
      <w:r w:rsidRPr="002A149A">
        <w:rPr>
          <w:szCs w:val="16"/>
        </w:rPr>
        <w:t xml:space="preserve"> International Monetary Fund, press release, ‘IMF concludes Vanuatu Article IV consultations’, 10 April 2013.</w:t>
      </w:r>
    </w:p>
  </w:endnote>
  <w:endnote w:id="3">
    <w:p w:rsidR="00F86835" w:rsidRPr="002A149A" w:rsidRDefault="00F86835" w:rsidP="00355018">
      <w:pPr>
        <w:pStyle w:val="EndnoteText"/>
      </w:pPr>
      <w:r w:rsidRPr="002A149A">
        <w:rPr>
          <w:rStyle w:val="EndnoteReference"/>
        </w:rPr>
        <w:endnoteRef/>
      </w:r>
      <w:r w:rsidRPr="002A149A">
        <w:rPr>
          <w:rStyle w:val="EndnoteReference"/>
        </w:rPr>
        <w:t xml:space="preserve"> </w:t>
      </w:r>
      <w:r w:rsidRPr="002A149A">
        <w:rPr>
          <w:szCs w:val="16"/>
        </w:rPr>
        <w:t>Growth estimates source: International Monetary Fund, World Economic Outlook Data Bases April 2014, accessed 13 June 2014</w:t>
      </w:r>
    </w:p>
  </w:endnote>
  <w:endnote w:id="4">
    <w:p w:rsidR="00F86835" w:rsidRPr="002A149A" w:rsidRDefault="00F86835" w:rsidP="002A149A">
      <w:pPr>
        <w:pStyle w:val="EndnoteText"/>
      </w:pPr>
      <w:r w:rsidRPr="002A149A">
        <w:rPr>
          <w:rStyle w:val="EndnoteReference"/>
        </w:rPr>
        <w:endnoteRef/>
      </w:r>
      <w:r w:rsidRPr="002A149A">
        <w:t xml:space="preserve"> </w:t>
      </w:r>
      <w:r w:rsidRPr="002A149A">
        <w:rPr>
          <w:szCs w:val="16"/>
        </w:rPr>
        <w:t xml:space="preserve">Department of Foreign Affairs and Trade, </w:t>
      </w:r>
      <w:hyperlink r:id="rId1" w:history="1">
        <w:r w:rsidRPr="002A149A">
          <w:rPr>
            <w:szCs w:val="16"/>
            <w:u w:val="single"/>
          </w:rPr>
          <w:t>http://dfat.gov.au/geo/vanuatu/vanuatu_brief.html</w:t>
        </w:r>
      </w:hyperlink>
      <w:r w:rsidRPr="002A149A">
        <w:rPr>
          <w:szCs w:val="16"/>
          <w:u w:val="single"/>
        </w:rPr>
        <w:t>, accessed 13 June 2014</w:t>
      </w:r>
    </w:p>
  </w:endnote>
  <w:endnote w:id="5">
    <w:p w:rsidR="00F86835" w:rsidRPr="002A149A" w:rsidRDefault="00F86835" w:rsidP="00355018">
      <w:pPr>
        <w:pStyle w:val="EndnoteText"/>
      </w:pPr>
      <w:r w:rsidRPr="002A149A">
        <w:rPr>
          <w:rStyle w:val="EndnoteReference"/>
        </w:rPr>
        <w:endnoteRef/>
      </w:r>
      <w:r w:rsidRPr="002A149A">
        <w:t xml:space="preserve"> </w:t>
      </w:r>
      <w:r w:rsidRPr="002A149A">
        <w:rPr>
          <w:szCs w:val="16"/>
        </w:rPr>
        <w:t>Since 2006, the populations of Port Vila and Luganville have increased by an estimated 49 and 39 per cent respectively. Government of Vanuatu, Bureau of Statistics and United Nations Development Programme (UNDP) Pacific Centre, Analysis of the 2010 Households Income and Expenditure Survey, December 2012</w:t>
      </w:r>
    </w:p>
  </w:endnote>
  <w:endnote w:id="6">
    <w:p w:rsidR="00F86835" w:rsidRPr="002A149A" w:rsidRDefault="00F86835" w:rsidP="008A2A1F">
      <w:pPr>
        <w:pStyle w:val="EndnoteText"/>
      </w:pPr>
      <w:r w:rsidRPr="002A149A">
        <w:rPr>
          <w:rStyle w:val="EndnoteReference"/>
        </w:rPr>
        <w:endnoteRef/>
      </w:r>
      <w:r w:rsidRPr="002A149A">
        <w:t xml:space="preserve"> </w:t>
      </w:r>
      <w:r w:rsidRPr="002A149A">
        <w:rPr>
          <w:szCs w:val="16"/>
        </w:rPr>
        <w:t>Government of Vanuatu, Bureau of Statistics and UNDP Pacific Centre, Analysis of the 2010 Households Income and Expenditure Survey, December 2012.</w:t>
      </w:r>
    </w:p>
  </w:endnote>
  <w:endnote w:id="7">
    <w:p w:rsidR="00F86835" w:rsidRPr="002A149A" w:rsidRDefault="00F86835" w:rsidP="008A2A1F">
      <w:pPr>
        <w:pStyle w:val="EndnoteText"/>
        <w:rPr>
          <w:szCs w:val="16"/>
        </w:rPr>
      </w:pPr>
      <w:r w:rsidRPr="002A149A">
        <w:rPr>
          <w:rStyle w:val="EndnoteReference"/>
        </w:rPr>
        <w:endnoteRef/>
      </w:r>
      <w:r w:rsidRPr="002A149A">
        <w:t xml:space="preserve"> </w:t>
      </w:r>
      <w:r w:rsidRPr="002A149A">
        <w:rPr>
          <w:szCs w:val="16"/>
        </w:rPr>
        <w:t>Vanuatu’s Gini coefficient declined from 0.41 in 2006 to 0.31 in 2010 signifying a reduction in inequality. See analysis of the 2010 Households Income and Expenditure Survey.</w:t>
      </w:r>
    </w:p>
  </w:endnote>
  <w:endnote w:id="8">
    <w:p w:rsidR="00F86835" w:rsidRPr="002A149A" w:rsidRDefault="00F86835" w:rsidP="008A2A1F">
      <w:pPr>
        <w:pStyle w:val="EndnoteText"/>
        <w:rPr>
          <w:szCs w:val="16"/>
        </w:rPr>
      </w:pPr>
      <w:r w:rsidRPr="002A149A">
        <w:rPr>
          <w:rStyle w:val="EndnoteReference"/>
        </w:rPr>
        <w:endnoteRef/>
      </w:r>
      <w:r w:rsidRPr="002A149A">
        <w:rPr>
          <w:szCs w:val="16"/>
        </w:rPr>
        <w:t xml:space="preserve"> Around one-third of ni-Vanuatu lack access to multiple services, including quality education, basic health, regular and safe water supply, and affordable transport and utilities. Government of Vanuatu, Bureau of Statistics and UNDP Pacific Centre, Analysis of the 2010 Households Income and Expenditure Survey, December 2012.</w:t>
      </w:r>
    </w:p>
  </w:endnote>
  <w:endnote w:id="9">
    <w:p w:rsidR="00F86835" w:rsidRPr="002A149A" w:rsidRDefault="00F86835" w:rsidP="00355018">
      <w:pPr>
        <w:pStyle w:val="EndnoteText"/>
        <w:rPr>
          <w:sz w:val="16"/>
          <w:szCs w:val="16"/>
          <w:vertAlign w:val="superscript"/>
        </w:rPr>
      </w:pPr>
      <w:r w:rsidRPr="002A149A">
        <w:rPr>
          <w:rStyle w:val="EndnoteReference"/>
        </w:rPr>
        <w:endnoteRef/>
      </w:r>
      <w:r w:rsidRPr="002A149A">
        <w:rPr>
          <w:rStyle w:val="EndnoteReference"/>
        </w:rPr>
        <w:t xml:space="preserve"> </w:t>
      </w:r>
      <w:r w:rsidRPr="002A149A">
        <w:rPr>
          <w:szCs w:val="16"/>
        </w:rPr>
        <w:t>op.cit.</w:t>
      </w:r>
      <w:r w:rsidRPr="002A149A">
        <w:rPr>
          <w:sz w:val="16"/>
          <w:szCs w:val="16"/>
        </w:rPr>
        <w:t xml:space="preserve"> </w:t>
      </w:r>
    </w:p>
  </w:endnote>
  <w:endnote w:id="10">
    <w:p w:rsidR="00F86835" w:rsidRPr="002A149A" w:rsidRDefault="00F86835" w:rsidP="00355018">
      <w:pPr>
        <w:pStyle w:val="EndnoteText"/>
      </w:pPr>
      <w:r w:rsidRPr="002A149A">
        <w:rPr>
          <w:rStyle w:val="EndnoteReference"/>
        </w:rPr>
        <w:endnoteRef/>
      </w:r>
      <w:r w:rsidRPr="002A149A">
        <w:rPr>
          <w:rStyle w:val="EndnoteReference"/>
        </w:rPr>
        <w:t xml:space="preserve"> </w:t>
      </w:r>
      <w:r w:rsidRPr="002A149A">
        <w:rPr>
          <w:szCs w:val="16"/>
        </w:rPr>
        <w:t>Ibid.</w:t>
      </w:r>
    </w:p>
  </w:endnote>
  <w:endnote w:id="11">
    <w:p w:rsidR="00F86835" w:rsidRPr="002A149A" w:rsidRDefault="00F86835" w:rsidP="00355018">
      <w:pPr>
        <w:pStyle w:val="EndnoteText"/>
        <w:rPr>
          <w:sz w:val="16"/>
          <w:szCs w:val="16"/>
          <w:vertAlign w:val="superscript"/>
        </w:rPr>
      </w:pPr>
      <w:r w:rsidRPr="002A149A">
        <w:rPr>
          <w:rStyle w:val="EndnoteReference"/>
        </w:rPr>
        <w:endnoteRef/>
      </w:r>
      <w:r w:rsidRPr="002A149A">
        <w:rPr>
          <w:rStyle w:val="EndnoteReference"/>
        </w:rPr>
        <w:t xml:space="preserve"> </w:t>
      </w:r>
      <w:r w:rsidRPr="002A149A">
        <w:rPr>
          <w:szCs w:val="16"/>
        </w:rPr>
        <w:t xml:space="preserve">Pacific Islands Forum Secretariat, 2012 Pacific Regional MDGs Tracking Report, October 2012. Data is based on a 2007 Multiple Indicator Cluster Survey. </w:t>
      </w:r>
    </w:p>
  </w:endnote>
  <w:endnote w:id="12">
    <w:p w:rsidR="00F86835" w:rsidRPr="002A149A" w:rsidRDefault="00F86835">
      <w:pPr>
        <w:pStyle w:val="EndnoteText"/>
      </w:pPr>
      <w:r w:rsidRPr="002A149A">
        <w:rPr>
          <w:rStyle w:val="EndnoteReference"/>
        </w:rPr>
        <w:endnoteRef/>
      </w:r>
      <w:r w:rsidRPr="002A149A">
        <w:t xml:space="preserve"> </w:t>
      </w:r>
      <w:r w:rsidRPr="002A149A">
        <w:rPr>
          <w:szCs w:val="16"/>
        </w:rPr>
        <w:t>EGRA 2011</w:t>
      </w:r>
    </w:p>
  </w:endnote>
  <w:endnote w:id="13">
    <w:p w:rsidR="00F86835" w:rsidRPr="002A149A" w:rsidRDefault="00F86835">
      <w:pPr>
        <w:pStyle w:val="EndnoteText"/>
      </w:pPr>
      <w:r w:rsidRPr="002A149A">
        <w:rPr>
          <w:rStyle w:val="EndnoteReference"/>
        </w:rPr>
        <w:endnoteRef/>
      </w:r>
      <w:r w:rsidRPr="002A149A">
        <w:rPr>
          <w:szCs w:val="16"/>
        </w:rPr>
        <w:t>Vanuatu Ministry of Education, Vanuatu Education Management Information System, 2013</w:t>
      </w:r>
    </w:p>
  </w:endnote>
  <w:endnote w:id="14">
    <w:p w:rsidR="00F86835" w:rsidRDefault="00F86835" w:rsidP="0079281E">
      <w:pPr>
        <w:pStyle w:val="EndnoteText"/>
      </w:pPr>
      <w:r>
        <w:rPr>
          <w:rStyle w:val="EndnoteReference"/>
        </w:rPr>
        <w:endnoteRef/>
      </w:r>
      <w:r>
        <w:t xml:space="preserve"> </w:t>
      </w:r>
      <w:r w:rsidRPr="00152225">
        <w:rPr>
          <w:szCs w:val="16"/>
        </w:rPr>
        <w:t>Vanuatu TVET Strengthening Program Final Evaluation Report, September 2012</w:t>
      </w:r>
    </w:p>
  </w:endnote>
  <w:endnote w:id="15">
    <w:p w:rsidR="00F86835" w:rsidRPr="002A149A" w:rsidRDefault="00F86835" w:rsidP="00785DB9">
      <w:pPr>
        <w:pStyle w:val="EndnoteText"/>
      </w:pPr>
      <w:r w:rsidRPr="002A149A">
        <w:rPr>
          <w:rStyle w:val="EndnoteReference"/>
        </w:rPr>
        <w:endnoteRef/>
      </w:r>
      <w:r w:rsidRPr="002A149A">
        <w:t xml:space="preserve"> </w:t>
      </w:r>
      <w:r w:rsidRPr="002A149A">
        <w:rPr>
          <w:szCs w:val="16"/>
        </w:rPr>
        <w:t>Previous reporting showed malaria prevalence reduced by 80</w:t>
      </w:r>
      <w:r>
        <w:rPr>
          <w:szCs w:val="16"/>
        </w:rPr>
        <w:t xml:space="preserve"> per cent</w:t>
      </w:r>
      <w:r w:rsidRPr="002A149A">
        <w:rPr>
          <w:szCs w:val="16"/>
        </w:rPr>
        <w:t xml:space="preserve"> between 2007 and 2013 (from 18</w:t>
      </w:r>
      <w:r>
        <w:rPr>
          <w:szCs w:val="16"/>
        </w:rPr>
        <w:t xml:space="preserve"> per cent</w:t>
      </w:r>
      <w:r w:rsidRPr="002A149A">
        <w:rPr>
          <w:szCs w:val="16"/>
        </w:rPr>
        <w:t xml:space="preserve"> to 3</w:t>
      </w:r>
      <w:r>
        <w:rPr>
          <w:szCs w:val="16"/>
        </w:rPr>
        <w:t xml:space="preserve"> per cent</w:t>
      </w:r>
      <w:r w:rsidRPr="002A149A">
        <w:rPr>
          <w:szCs w:val="16"/>
        </w:rPr>
        <w:t>). This year’s APPR has reported incidence rather than prevalence as this is more reliable and better aligned with global practice.</w:t>
      </w:r>
      <w:r w:rsidRPr="002A149A">
        <w:t xml:space="preserve"> </w:t>
      </w:r>
    </w:p>
  </w:endnote>
  <w:endnote w:id="16">
    <w:p w:rsidR="00F86835" w:rsidRDefault="00F86835" w:rsidP="00005AC1">
      <w:pPr>
        <w:pStyle w:val="EndnoteText"/>
      </w:pPr>
      <w:r w:rsidRPr="007F2CC8">
        <w:rPr>
          <w:rStyle w:val="EndnoteReference"/>
        </w:rPr>
        <w:endnoteRef/>
      </w:r>
      <w:r w:rsidRPr="007F2CC8">
        <w:rPr>
          <w:rStyle w:val="EndnoteReference"/>
        </w:rPr>
        <w:t xml:space="preserve"> </w:t>
      </w:r>
      <w:r w:rsidRPr="007F2CC8">
        <w:rPr>
          <w:szCs w:val="16"/>
        </w:rPr>
        <w:t xml:space="preserve">According to a study of detainees in Vanuatu correctional centres </w:t>
      </w:r>
      <w:r>
        <w:rPr>
          <w:szCs w:val="16"/>
        </w:rPr>
        <w:t>(Government of Vanuatu Department of Corrections,</w:t>
      </w:r>
      <w:r w:rsidRPr="007F2CC8">
        <w:rPr>
          <w:szCs w:val="16"/>
        </w:rPr>
        <w:t xml:space="preserve"> 2006, 2008 and 2012</w:t>
      </w:r>
      <w:r>
        <w:rPr>
          <w:szCs w:val="16"/>
        </w:rPr>
        <w:t>)</w:t>
      </w:r>
      <w:r w:rsidRPr="007F2CC8">
        <w:rPr>
          <w:szCs w:val="16"/>
        </w:rPr>
        <w:t xml:space="preserve">, and data from the </w:t>
      </w:r>
      <w:r w:rsidRPr="007F2CC8">
        <w:rPr>
          <w:i/>
          <w:szCs w:val="16"/>
        </w:rPr>
        <w:t xml:space="preserve">Vanuatu National Survey on Women’s Lives and Family Relationships </w:t>
      </w:r>
      <w:r w:rsidRPr="007F2CC8">
        <w:rPr>
          <w:szCs w:val="16"/>
        </w:rPr>
        <w:t>(2011, Vanuatu Women’s Centre with the Vanuatu National Statistics Office)</w:t>
      </w:r>
      <w:r w:rsidRPr="007F2CC8">
        <w:rPr>
          <w:i/>
          <w:szCs w:val="16"/>
        </w:rPr>
        <w:t xml:space="preserve">, </w:t>
      </w:r>
      <w:r w:rsidRPr="007F2CC8">
        <w:rPr>
          <w:szCs w:val="16"/>
        </w:rPr>
        <w:t>seventy-two per cent of women experience physical and/or sexual violence in their lifetime and up to 30 per cent of children are subjected to sexual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35" w:rsidRPr="0091071F" w:rsidRDefault="00F86835" w:rsidP="000D733F">
    <w:pPr>
      <w:pStyle w:val="Footer"/>
    </w:pPr>
    <w:r w:rsidRPr="0091071F">
      <w:fldChar w:fldCharType="begin"/>
    </w:r>
    <w:r w:rsidRPr="0091071F">
      <w:instrText xml:space="preserve"> PAGE </w:instrText>
    </w:r>
    <w:r w:rsidRPr="0091071F">
      <w:fldChar w:fldCharType="separate"/>
    </w:r>
    <w:r>
      <w:rPr>
        <w:noProof/>
      </w:rPr>
      <w:t>10</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35" w:rsidRPr="0091071F" w:rsidRDefault="00F86835" w:rsidP="000D733F">
    <w:pPr>
      <w:pStyle w:val="Footer"/>
    </w:pPr>
    <w:r>
      <w:tab/>
    </w:r>
    <w:r>
      <w:tab/>
    </w:r>
    <w:fldSimple w:instr=" STYLEREF Title \* MERGEFORMAT ">
      <w:r w:rsidR="005E73DE">
        <w:rPr>
          <w:noProof/>
        </w:rPr>
        <w:t>Aid Program Performance Report 2013-14</w:t>
      </w:r>
    </w:fldSimple>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5E73DE">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DE" w:rsidRDefault="005E73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35" w:rsidRPr="004C4A3E" w:rsidRDefault="00F8683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11ACFB38" wp14:editId="342E416D">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9B63DA">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9B63DA">
      <w:rPr>
        <w:rFonts w:ascii="Franklin Gothic Medium" w:hAnsi="Franklin Gothic Medium"/>
        <w:noProof/>
        <w:color w:val="54534A"/>
        <w:sz w:val="14"/>
        <w:szCs w:val="14"/>
      </w:rPr>
      <w:t>19</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D90C145" wp14:editId="655369A0">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4C081F2D" wp14:editId="6EA0EB72">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AF" w:rsidRDefault="00B448AF" w:rsidP="0050529F">
      <w:r>
        <w:separator/>
      </w:r>
    </w:p>
    <w:p w:rsidR="00B448AF" w:rsidRDefault="00B448AF"/>
    <w:p w:rsidR="00B448AF" w:rsidRDefault="00B448AF"/>
    <w:p w:rsidR="00B448AF" w:rsidRDefault="00B448AF"/>
    <w:p w:rsidR="00B448AF" w:rsidRDefault="00B448AF"/>
    <w:p w:rsidR="00B448AF" w:rsidRDefault="00B448AF"/>
    <w:p w:rsidR="00B448AF" w:rsidRDefault="00B448AF"/>
  </w:footnote>
  <w:footnote w:type="continuationSeparator" w:id="0">
    <w:p w:rsidR="00B448AF" w:rsidRDefault="00B448AF" w:rsidP="0050529F">
      <w:r>
        <w:continuationSeparator/>
      </w:r>
    </w:p>
    <w:p w:rsidR="00B448AF" w:rsidRDefault="00B448AF"/>
    <w:p w:rsidR="00B448AF" w:rsidRDefault="00B448AF"/>
    <w:p w:rsidR="00B448AF" w:rsidRDefault="00B448AF"/>
    <w:p w:rsidR="00B448AF" w:rsidRDefault="00B448AF"/>
    <w:p w:rsidR="00B448AF" w:rsidRDefault="00B448AF"/>
    <w:p w:rsidR="00B448AF" w:rsidRDefault="00B448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DE" w:rsidRDefault="005E7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DE" w:rsidRDefault="005E7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DE" w:rsidRDefault="005E73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35" w:rsidRPr="00593264" w:rsidRDefault="00F86835" w:rsidP="005932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35" w:rsidRDefault="00F8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C2977E"/>
    <w:lvl w:ilvl="0">
      <w:start w:val="1"/>
      <w:numFmt w:val="decimal"/>
      <w:lvlText w:val="%1."/>
      <w:lvlJc w:val="left"/>
      <w:pPr>
        <w:tabs>
          <w:tab w:val="num" w:pos="1492"/>
        </w:tabs>
        <w:ind w:left="1492" w:hanging="360"/>
      </w:pPr>
    </w:lvl>
  </w:abstractNum>
  <w:abstractNum w:abstractNumId="1">
    <w:nsid w:val="FFFFFF7D"/>
    <w:multiLevelType w:val="singleLevel"/>
    <w:tmpl w:val="3A0AE7DC"/>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E24C2F6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A181B4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3D7532"/>
    <w:multiLevelType w:val="hybridMultilevel"/>
    <w:tmpl w:val="7AC07B9C"/>
    <w:lvl w:ilvl="0" w:tplc="0442966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0665BC"/>
    <w:multiLevelType w:val="hybridMultilevel"/>
    <w:tmpl w:val="28E67FD2"/>
    <w:lvl w:ilvl="0" w:tplc="E95294B4">
      <w:start w:val="1"/>
      <w:numFmt w:val="decimal"/>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4">
    <w:nsid w:val="23F77084"/>
    <w:multiLevelType w:val="hybridMultilevel"/>
    <w:tmpl w:val="7DC0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nsid w:val="327B4CBA"/>
    <w:multiLevelType w:val="hybridMultilevel"/>
    <w:tmpl w:val="7E748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1">
    <w:nsid w:val="40C4510D"/>
    <w:multiLevelType w:val="hybridMultilevel"/>
    <w:tmpl w:val="4A5C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4AD41DD"/>
    <w:multiLevelType w:val="hybridMultilevel"/>
    <w:tmpl w:val="9CFE5A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0B30BA8"/>
    <w:multiLevelType w:val="hybridMultilevel"/>
    <w:tmpl w:val="C42E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611E40"/>
    <w:multiLevelType w:val="hybridMultilevel"/>
    <w:tmpl w:val="784A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78E5054"/>
    <w:multiLevelType w:val="hybridMultilevel"/>
    <w:tmpl w:val="E1BC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E2C36E1"/>
    <w:multiLevelType w:val="hybridMultilevel"/>
    <w:tmpl w:val="FE7EBFD4"/>
    <w:lvl w:ilvl="0" w:tplc="F9E4680C">
      <w:numFmt w:val="bullet"/>
      <w:lvlText w:val="-"/>
      <w:lvlJc w:val="left"/>
      <w:pPr>
        <w:ind w:left="108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5"/>
  </w:num>
  <w:num w:numId="3">
    <w:abstractNumId w:val="10"/>
  </w:num>
  <w:num w:numId="4">
    <w:abstractNumId w:val="23"/>
  </w:num>
  <w:num w:numId="5">
    <w:abstractNumId w:val="22"/>
  </w:num>
  <w:num w:numId="6">
    <w:abstractNumId w:val="19"/>
  </w:num>
  <w:num w:numId="7">
    <w:abstractNumId w:val="30"/>
  </w:num>
  <w:num w:numId="8">
    <w:abstractNumId w:val="9"/>
  </w:num>
  <w:num w:numId="9">
    <w:abstractNumId w:val="13"/>
  </w:num>
  <w:num w:numId="10">
    <w:abstractNumId w:val="32"/>
  </w:num>
  <w:num w:numId="11">
    <w:abstractNumId w:val="34"/>
  </w:num>
  <w:num w:numId="12">
    <w:abstractNumId w:val="2"/>
  </w:num>
  <w:num w:numId="13">
    <w:abstractNumId w:val="7"/>
  </w:num>
  <w:num w:numId="14">
    <w:abstractNumId w:val="29"/>
  </w:num>
  <w:num w:numId="15">
    <w:abstractNumId w:val="5"/>
  </w:num>
  <w:num w:numId="16">
    <w:abstractNumId w:val="17"/>
  </w:num>
  <w:num w:numId="17">
    <w:abstractNumId w:val="20"/>
  </w:num>
  <w:num w:numId="18">
    <w:abstractNumId w:val="8"/>
  </w:num>
  <w:num w:numId="19">
    <w:abstractNumId w:val="4"/>
  </w:num>
  <w:num w:numId="20">
    <w:abstractNumId w:val="3"/>
  </w:num>
  <w:num w:numId="21">
    <w:abstractNumId w:val="1"/>
  </w:num>
  <w:num w:numId="22">
    <w:abstractNumId w:val="0"/>
  </w:num>
  <w:num w:numId="23">
    <w:abstractNumId w:val="24"/>
  </w:num>
  <w:num w:numId="24">
    <w:abstractNumId w:val="15"/>
  </w:num>
  <w:num w:numId="25">
    <w:abstractNumId w:val="12"/>
  </w:num>
  <w:num w:numId="26">
    <w:abstractNumId w:val="14"/>
  </w:num>
  <w:num w:numId="27">
    <w:abstractNumId w:val="18"/>
  </w:num>
  <w:num w:numId="28">
    <w:abstractNumId w:val="27"/>
  </w:num>
  <w:num w:numId="29">
    <w:abstractNumId w:val="11"/>
  </w:num>
  <w:num w:numId="30">
    <w:abstractNumId w:val="6"/>
  </w:num>
  <w:num w:numId="31">
    <w:abstractNumId w:val="31"/>
  </w:num>
  <w:num w:numId="32">
    <w:abstractNumId w:val="34"/>
  </w:num>
  <w:num w:numId="33">
    <w:abstractNumId w:val="34"/>
  </w:num>
  <w:num w:numId="34">
    <w:abstractNumId w:val="34"/>
  </w:num>
  <w:num w:numId="35">
    <w:abstractNumId w:val="21"/>
  </w:num>
  <w:num w:numId="36">
    <w:abstractNumId w:val="26"/>
  </w:num>
  <w:num w:numId="3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5AC1"/>
    <w:rsid w:val="00007E94"/>
    <w:rsid w:val="0001298A"/>
    <w:rsid w:val="000142A2"/>
    <w:rsid w:val="000143D9"/>
    <w:rsid w:val="00020121"/>
    <w:rsid w:val="00021A9E"/>
    <w:rsid w:val="00027629"/>
    <w:rsid w:val="00030111"/>
    <w:rsid w:val="00031100"/>
    <w:rsid w:val="00031EB5"/>
    <w:rsid w:val="0003231A"/>
    <w:rsid w:val="00040AF6"/>
    <w:rsid w:val="000419EE"/>
    <w:rsid w:val="000426DF"/>
    <w:rsid w:val="00044866"/>
    <w:rsid w:val="00045AAD"/>
    <w:rsid w:val="0005008A"/>
    <w:rsid w:val="000527A9"/>
    <w:rsid w:val="000529AD"/>
    <w:rsid w:val="0005506B"/>
    <w:rsid w:val="000550B0"/>
    <w:rsid w:val="00055E78"/>
    <w:rsid w:val="00057589"/>
    <w:rsid w:val="00057D09"/>
    <w:rsid w:val="00065440"/>
    <w:rsid w:val="0007177E"/>
    <w:rsid w:val="00071B95"/>
    <w:rsid w:val="0007395B"/>
    <w:rsid w:val="000745E2"/>
    <w:rsid w:val="0007703B"/>
    <w:rsid w:val="000774FD"/>
    <w:rsid w:val="00081F4E"/>
    <w:rsid w:val="0008284F"/>
    <w:rsid w:val="000840D5"/>
    <w:rsid w:val="000905A8"/>
    <w:rsid w:val="00091878"/>
    <w:rsid w:val="00094CA6"/>
    <w:rsid w:val="00094D3F"/>
    <w:rsid w:val="000957FC"/>
    <w:rsid w:val="000979A0"/>
    <w:rsid w:val="00097B02"/>
    <w:rsid w:val="000A1618"/>
    <w:rsid w:val="000B00A7"/>
    <w:rsid w:val="000B2E73"/>
    <w:rsid w:val="000B3121"/>
    <w:rsid w:val="000B68F6"/>
    <w:rsid w:val="000B6BE5"/>
    <w:rsid w:val="000B6FEA"/>
    <w:rsid w:val="000B75E8"/>
    <w:rsid w:val="000C258A"/>
    <w:rsid w:val="000C29BF"/>
    <w:rsid w:val="000C5FD7"/>
    <w:rsid w:val="000C6080"/>
    <w:rsid w:val="000C60A8"/>
    <w:rsid w:val="000D151B"/>
    <w:rsid w:val="000D1993"/>
    <w:rsid w:val="000D733F"/>
    <w:rsid w:val="000E4573"/>
    <w:rsid w:val="000E55E6"/>
    <w:rsid w:val="000E7297"/>
    <w:rsid w:val="000E7A8D"/>
    <w:rsid w:val="000F08F4"/>
    <w:rsid w:val="000F2D94"/>
    <w:rsid w:val="000F5A9B"/>
    <w:rsid w:val="00100485"/>
    <w:rsid w:val="00100AA2"/>
    <w:rsid w:val="00106185"/>
    <w:rsid w:val="00106BDC"/>
    <w:rsid w:val="0010729C"/>
    <w:rsid w:val="00112AAA"/>
    <w:rsid w:val="00112E97"/>
    <w:rsid w:val="001139DE"/>
    <w:rsid w:val="00114751"/>
    <w:rsid w:val="001153FA"/>
    <w:rsid w:val="001154CA"/>
    <w:rsid w:val="001171DE"/>
    <w:rsid w:val="00120FC7"/>
    <w:rsid w:val="00122038"/>
    <w:rsid w:val="001227C3"/>
    <w:rsid w:val="0012429A"/>
    <w:rsid w:val="001258C6"/>
    <w:rsid w:val="0012793C"/>
    <w:rsid w:val="00127A2E"/>
    <w:rsid w:val="00131832"/>
    <w:rsid w:val="00131FF0"/>
    <w:rsid w:val="00132003"/>
    <w:rsid w:val="00133AAD"/>
    <w:rsid w:val="00135806"/>
    <w:rsid w:val="001366B4"/>
    <w:rsid w:val="001375E3"/>
    <w:rsid w:val="00141A30"/>
    <w:rsid w:val="00143053"/>
    <w:rsid w:val="0014411B"/>
    <w:rsid w:val="001448E7"/>
    <w:rsid w:val="00147846"/>
    <w:rsid w:val="0015043E"/>
    <w:rsid w:val="00152225"/>
    <w:rsid w:val="00152DFD"/>
    <w:rsid w:val="001532E3"/>
    <w:rsid w:val="00154EF9"/>
    <w:rsid w:val="00155B05"/>
    <w:rsid w:val="00157858"/>
    <w:rsid w:val="001612CE"/>
    <w:rsid w:val="001624FB"/>
    <w:rsid w:val="00164A43"/>
    <w:rsid w:val="0016544D"/>
    <w:rsid w:val="001657F1"/>
    <w:rsid w:val="00167331"/>
    <w:rsid w:val="0016740F"/>
    <w:rsid w:val="00173C6E"/>
    <w:rsid w:val="00180B19"/>
    <w:rsid w:val="0018196F"/>
    <w:rsid w:val="001829BB"/>
    <w:rsid w:val="0018305E"/>
    <w:rsid w:val="0018353A"/>
    <w:rsid w:val="0018443E"/>
    <w:rsid w:val="00192498"/>
    <w:rsid w:val="001943B6"/>
    <w:rsid w:val="00194806"/>
    <w:rsid w:val="001959E6"/>
    <w:rsid w:val="001A374B"/>
    <w:rsid w:val="001A5A7B"/>
    <w:rsid w:val="001A5BE4"/>
    <w:rsid w:val="001A71DC"/>
    <w:rsid w:val="001A7429"/>
    <w:rsid w:val="001B1A0C"/>
    <w:rsid w:val="001B2948"/>
    <w:rsid w:val="001B41CD"/>
    <w:rsid w:val="001B714C"/>
    <w:rsid w:val="001C1EA0"/>
    <w:rsid w:val="001C31B9"/>
    <w:rsid w:val="001C507E"/>
    <w:rsid w:val="001C700E"/>
    <w:rsid w:val="001C7117"/>
    <w:rsid w:val="001C745A"/>
    <w:rsid w:val="001C7D22"/>
    <w:rsid w:val="001C7DDD"/>
    <w:rsid w:val="001D20FC"/>
    <w:rsid w:val="001D210A"/>
    <w:rsid w:val="001D6059"/>
    <w:rsid w:val="001D72C5"/>
    <w:rsid w:val="001E2542"/>
    <w:rsid w:val="001E4BDE"/>
    <w:rsid w:val="001E6635"/>
    <w:rsid w:val="001F12A2"/>
    <w:rsid w:val="001F5CB1"/>
    <w:rsid w:val="001F61A8"/>
    <w:rsid w:val="001F7480"/>
    <w:rsid w:val="001F7991"/>
    <w:rsid w:val="001F7F22"/>
    <w:rsid w:val="00201174"/>
    <w:rsid w:val="00202880"/>
    <w:rsid w:val="00202E4E"/>
    <w:rsid w:val="0020335A"/>
    <w:rsid w:val="00203BCC"/>
    <w:rsid w:val="00203F66"/>
    <w:rsid w:val="00203FEF"/>
    <w:rsid w:val="00205E0B"/>
    <w:rsid w:val="00205F2B"/>
    <w:rsid w:val="002115BD"/>
    <w:rsid w:val="002126BA"/>
    <w:rsid w:val="00212B27"/>
    <w:rsid w:val="0021515C"/>
    <w:rsid w:val="002227A9"/>
    <w:rsid w:val="00226DEE"/>
    <w:rsid w:val="00231D45"/>
    <w:rsid w:val="002335A9"/>
    <w:rsid w:val="002343CF"/>
    <w:rsid w:val="00235D29"/>
    <w:rsid w:val="002363D9"/>
    <w:rsid w:val="00236B8C"/>
    <w:rsid w:val="00237C4B"/>
    <w:rsid w:val="00240D59"/>
    <w:rsid w:val="002441D5"/>
    <w:rsid w:val="00246E5F"/>
    <w:rsid w:val="00261E78"/>
    <w:rsid w:val="0026779A"/>
    <w:rsid w:val="00270898"/>
    <w:rsid w:val="00272AF0"/>
    <w:rsid w:val="00273C6F"/>
    <w:rsid w:val="00275C42"/>
    <w:rsid w:val="00277F2F"/>
    <w:rsid w:val="00284109"/>
    <w:rsid w:val="002849B4"/>
    <w:rsid w:val="00286543"/>
    <w:rsid w:val="002911A4"/>
    <w:rsid w:val="00291F1C"/>
    <w:rsid w:val="00297FA7"/>
    <w:rsid w:val="002A149A"/>
    <w:rsid w:val="002A15F4"/>
    <w:rsid w:val="002A1935"/>
    <w:rsid w:val="002A1A79"/>
    <w:rsid w:val="002A21D1"/>
    <w:rsid w:val="002A22F7"/>
    <w:rsid w:val="002A4D70"/>
    <w:rsid w:val="002B1F66"/>
    <w:rsid w:val="002B31B3"/>
    <w:rsid w:val="002B433A"/>
    <w:rsid w:val="002B61A8"/>
    <w:rsid w:val="002B6EBE"/>
    <w:rsid w:val="002B79D4"/>
    <w:rsid w:val="002C1475"/>
    <w:rsid w:val="002C1E00"/>
    <w:rsid w:val="002C3BCA"/>
    <w:rsid w:val="002C639B"/>
    <w:rsid w:val="002D1328"/>
    <w:rsid w:val="002D1BAA"/>
    <w:rsid w:val="002D5D7B"/>
    <w:rsid w:val="002D5F50"/>
    <w:rsid w:val="002D6914"/>
    <w:rsid w:val="002D6DF0"/>
    <w:rsid w:val="002D7FFA"/>
    <w:rsid w:val="002E55EA"/>
    <w:rsid w:val="002E5604"/>
    <w:rsid w:val="002E6084"/>
    <w:rsid w:val="002F479A"/>
    <w:rsid w:val="002F54F3"/>
    <w:rsid w:val="002F5A14"/>
    <w:rsid w:val="00303038"/>
    <w:rsid w:val="0030318A"/>
    <w:rsid w:val="00306734"/>
    <w:rsid w:val="00310426"/>
    <w:rsid w:val="00310974"/>
    <w:rsid w:val="00315135"/>
    <w:rsid w:val="00315D13"/>
    <w:rsid w:val="003167E5"/>
    <w:rsid w:val="00320FCE"/>
    <w:rsid w:val="00321551"/>
    <w:rsid w:val="00321FED"/>
    <w:rsid w:val="003223F8"/>
    <w:rsid w:val="0032292A"/>
    <w:rsid w:val="00322D92"/>
    <w:rsid w:val="0032486D"/>
    <w:rsid w:val="003260C0"/>
    <w:rsid w:val="003266E1"/>
    <w:rsid w:val="00326B5A"/>
    <w:rsid w:val="003275D0"/>
    <w:rsid w:val="003279FD"/>
    <w:rsid w:val="003327F8"/>
    <w:rsid w:val="00335F19"/>
    <w:rsid w:val="003363C7"/>
    <w:rsid w:val="00337C41"/>
    <w:rsid w:val="00341177"/>
    <w:rsid w:val="00341311"/>
    <w:rsid w:val="00342BF7"/>
    <w:rsid w:val="00343B25"/>
    <w:rsid w:val="003454BA"/>
    <w:rsid w:val="00345B8E"/>
    <w:rsid w:val="00351ACA"/>
    <w:rsid w:val="00352AE5"/>
    <w:rsid w:val="00355018"/>
    <w:rsid w:val="00357648"/>
    <w:rsid w:val="00357AF7"/>
    <w:rsid w:val="00360662"/>
    <w:rsid w:val="00365C33"/>
    <w:rsid w:val="00371F53"/>
    <w:rsid w:val="00372E1B"/>
    <w:rsid w:val="003743C8"/>
    <w:rsid w:val="00383294"/>
    <w:rsid w:val="00383F3F"/>
    <w:rsid w:val="00384342"/>
    <w:rsid w:val="00384C34"/>
    <w:rsid w:val="00385A4C"/>
    <w:rsid w:val="00392981"/>
    <w:rsid w:val="00395CFA"/>
    <w:rsid w:val="003A27D2"/>
    <w:rsid w:val="003A2D7B"/>
    <w:rsid w:val="003A74BF"/>
    <w:rsid w:val="003B01CE"/>
    <w:rsid w:val="003B122C"/>
    <w:rsid w:val="003B2756"/>
    <w:rsid w:val="003C288C"/>
    <w:rsid w:val="003C31EE"/>
    <w:rsid w:val="003C7137"/>
    <w:rsid w:val="003C7721"/>
    <w:rsid w:val="003D081D"/>
    <w:rsid w:val="003D2E2F"/>
    <w:rsid w:val="003D44F4"/>
    <w:rsid w:val="003E0E66"/>
    <w:rsid w:val="003E4982"/>
    <w:rsid w:val="003E604D"/>
    <w:rsid w:val="003E63B3"/>
    <w:rsid w:val="003E7AA9"/>
    <w:rsid w:val="003F2894"/>
    <w:rsid w:val="00403152"/>
    <w:rsid w:val="00403AAA"/>
    <w:rsid w:val="00406000"/>
    <w:rsid w:val="00412707"/>
    <w:rsid w:val="00413539"/>
    <w:rsid w:val="0041396D"/>
    <w:rsid w:val="00415A92"/>
    <w:rsid w:val="0041689A"/>
    <w:rsid w:val="00420E02"/>
    <w:rsid w:val="004228CD"/>
    <w:rsid w:val="00422BD8"/>
    <w:rsid w:val="0042527A"/>
    <w:rsid w:val="00426354"/>
    <w:rsid w:val="004309E9"/>
    <w:rsid w:val="004373F8"/>
    <w:rsid w:val="00437C95"/>
    <w:rsid w:val="00441270"/>
    <w:rsid w:val="00441E77"/>
    <w:rsid w:val="004424B1"/>
    <w:rsid w:val="00443639"/>
    <w:rsid w:val="00443B08"/>
    <w:rsid w:val="004453CE"/>
    <w:rsid w:val="00445A3B"/>
    <w:rsid w:val="00445C4E"/>
    <w:rsid w:val="00446742"/>
    <w:rsid w:val="004513F4"/>
    <w:rsid w:val="0045475F"/>
    <w:rsid w:val="00462000"/>
    <w:rsid w:val="00466C98"/>
    <w:rsid w:val="00467C3F"/>
    <w:rsid w:val="00467CE4"/>
    <w:rsid w:val="00470CDB"/>
    <w:rsid w:val="0047710F"/>
    <w:rsid w:val="00481777"/>
    <w:rsid w:val="0048569F"/>
    <w:rsid w:val="00487ED1"/>
    <w:rsid w:val="00490BDE"/>
    <w:rsid w:val="00494504"/>
    <w:rsid w:val="004947D1"/>
    <w:rsid w:val="004957EC"/>
    <w:rsid w:val="00496F8D"/>
    <w:rsid w:val="004A16E4"/>
    <w:rsid w:val="004A3EE6"/>
    <w:rsid w:val="004A568F"/>
    <w:rsid w:val="004A589A"/>
    <w:rsid w:val="004A7400"/>
    <w:rsid w:val="004B0D79"/>
    <w:rsid w:val="004B116E"/>
    <w:rsid w:val="004B201A"/>
    <w:rsid w:val="004B41B9"/>
    <w:rsid w:val="004B64F3"/>
    <w:rsid w:val="004C36CF"/>
    <w:rsid w:val="004C4A3E"/>
    <w:rsid w:val="004C59EA"/>
    <w:rsid w:val="004C65C6"/>
    <w:rsid w:val="004C660D"/>
    <w:rsid w:val="004C7E92"/>
    <w:rsid w:val="004D0699"/>
    <w:rsid w:val="004D1529"/>
    <w:rsid w:val="004D19CE"/>
    <w:rsid w:val="004D1D81"/>
    <w:rsid w:val="004D23F6"/>
    <w:rsid w:val="004D2ED0"/>
    <w:rsid w:val="004D4522"/>
    <w:rsid w:val="004E01E9"/>
    <w:rsid w:val="004E2916"/>
    <w:rsid w:val="004E3E40"/>
    <w:rsid w:val="004E570D"/>
    <w:rsid w:val="004E6400"/>
    <w:rsid w:val="004E642E"/>
    <w:rsid w:val="004E6924"/>
    <w:rsid w:val="004E6A61"/>
    <w:rsid w:val="004E6E33"/>
    <w:rsid w:val="004E702A"/>
    <w:rsid w:val="004F0C2D"/>
    <w:rsid w:val="004F3AA2"/>
    <w:rsid w:val="004F3D7E"/>
    <w:rsid w:val="004F521E"/>
    <w:rsid w:val="00500EB4"/>
    <w:rsid w:val="00501CD2"/>
    <w:rsid w:val="00503974"/>
    <w:rsid w:val="0050439B"/>
    <w:rsid w:val="0050529F"/>
    <w:rsid w:val="00506A51"/>
    <w:rsid w:val="005075A4"/>
    <w:rsid w:val="005110C3"/>
    <w:rsid w:val="0051208F"/>
    <w:rsid w:val="00514B5E"/>
    <w:rsid w:val="005157C1"/>
    <w:rsid w:val="00515954"/>
    <w:rsid w:val="00515E3D"/>
    <w:rsid w:val="005208AC"/>
    <w:rsid w:val="0052286C"/>
    <w:rsid w:val="00522AB9"/>
    <w:rsid w:val="005265B9"/>
    <w:rsid w:val="00526FA7"/>
    <w:rsid w:val="005307E8"/>
    <w:rsid w:val="0053175E"/>
    <w:rsid w:val="0053289B"/>
    <w:rsid w:val="00533533"/>
    <w:rsid w:val="005345AF"/>
    <w:rsid w:val="00535E24"/>
    <w:rsid w:val="00537E02"/>
    <w:rsid w:val="00542718"/>
    <w:rsid w:val="00543224"/>
    <w:rsid w:val="005440F6"/>
    <w:rsid w:val="0054442F"/>
    <w:rsid w:val="00544CCD"/>
    <w:rsid w:val="0054557A"/>
    <w:rsid w:val="00546DD6"/>
    <w:rsid w:val="0055172C"/>
    <w:rsid w:val="00556FBE"/>
    <w:rsid w:val="0055771D"/>
    <w:rsid w:val="005577FA"/>
    <w:rsid w:val="00565055"/>
    <w:rsid w:val="00565635"/>
    <w:rsid w:val="0056722F"/>
    <w:rsid w:val="00567FCF"/>
    <w:rsid w:val="00570765"/>
    <w:rsid w:val="005732BD"/>
    <w:rsid w:val="00573E59"/>
    <w:rsid w:val="00575295"/>
    <w:rsid w:val="00581C01"/>
    <w:rsid w:val="0058242D"/>
    <w:rsid w:val="005845CB"/>
    <w:rsid w:val="0058498A"/>
    <w:rsid w:val="00586350"/>
    <w:rsid w:val="005918E4"/>
    <w:rsid w:val="00591B87"/>
    <w:rsid w:val="00593264"/>
    <w:rsid w:val="005939E1"/>
    <w:rsid w:val="0059461A"/>
    <w:rsid w:val="005956DA"/>
    <w:rsid w:val="00596C14"/>
    <w:rsid w:val="00597520"/>
    <w:rsid w:val="005A18C5"/>
    <w:rsid w:val="005A3ED5"/>
    <w:rsid w:val="005A4267"/>
    <w:rsid w:val="005A511C"/>
    <w:rsid w:val="005A7CF6"/>
    <w:rsid w:val="005B4071"/>
    <w:rsid w:val="005B42EE"/>
    <w:rsid w:val="005B7C71"/>
    <w:rsid w:val="005C2C57"/>
    <w:rsid w:val="005C4A6B"/>
    <w:rsid w:val="005C661F"/>
    <w:rsid w:val="005D2A59"/>
    <w:rsid w:val="005E70AC"/>
    <w:rsid w:val="005E73DE"/>
    <w:rsid w:val="005F0C00"/>
    <w:rsid w:val="005F15ED"/>
    <w:rsid w:val="005F33F2"/>
    <w:rsid w:val="005F460C"/>
    <w:rsid w:val="005F51F6"/>
    <w:rsid w:val="005F74D0"/>
    <w:rsid w:val="0060117A"/>
    <w:rsid w:val="00612117"/>
    <w:rsid w:val="00612E14"/>
    <w:rsid w:val="00617F30"/>
    <w:rsid w:val="00621F6F"/>
    <w:rsid w:val="0062598A"/>
    <w:rsid w:val="00625A52"/>
    <w:rsid w:val="0062686B"/>
    <w:rsid w:val="00633A74"/>
    <w:rsid w:val="00637549"/>
    <w:rsid w:val="00642A6F"/>
    <w:rsid w:val="00642E50"/>
    <w:rsid w:val="00646049"/>
    <w:rsid w:val="00647FBA"/>
    <w:rsid w:val="0065268F"/>
    <w:rsid w:val="0065391A"/>
    <w:rsid w:val="0065679C"/>
    <w:rsid w:val="00657108"/>
    <w:rsid w:val="006604F7"/>
    <w:rsid w:val="00663306"/>
    <w:rsid w:val="00663909"/>
    <w:rsid w:val="00663E95"/>
    <w:rsid w:val="0066586D"/>
    <w:rsid w:val="006659FF"/>
    <w:rsid w:val="006671BC"/>
    <w:rsid w:val="0067299B"/>
    <w:rsid w:val="00673287"/>
    <w:rsid w:val="00673F77"/>
    <w:rsid w:val="00675F14"/>
    <w:rsid w:val="00680679"/>
    <w:rsid w:val="0068146D"/>
    <w:rsid w:val="00682DB1"/>
    <w:rsid w:val="00683FFB"/>
    <w:rsid w:val="0068768A"/>
    <w:rsid w:val="00691EE4"/>
    <w:rsid w:val="00695279"/>
    <w:rsid w:val="0069713A"/>
    <w:rsid w:val="00697C69"/>
    <w:rsid w:val="006B0F12"/>
    <w:rsid w:val="006B33A7"/>
    <w:rsid w:val="006C1260"/>
    <w:rsid w:val="006C2232"/>
    <w:rsid w:val="006C6800"/>
    <w:rsid w:val="006D0BC5"/>
    <w:rsid w:val="006D2CF2"/>
    <w:rsid w:val="006D2E37"/>
    <w:rsid w:val="006D34C3"/>
    <w:rsid w:val="006E22E2"/>
    <w:rsid w:val="006E327C"/>
    <w:rsid w:val="006E7795"/>
    <w:rsid w:val="006E7E9F"/>
    <w:rsid w:val="006E7FA8"/>
    <w:rsid w:val="006F00DB"/>
    <w:rsid w:val="006F373E"/>
    <w:rsid w:val="006F4623"/>
    <w:rsid w:val="006F4B40"/>
    <w:rsid w:val="00701FEA"/>
    <w:rsid w:val="00703696"/>
    <w:rsid w:val="00703793"/>
    <w:rsid w:val="007040D1"/>
    <w:rsid w:val="007069F7"/>
    <w:rsid w:val="00706DE1"/>
    <w:rsid w:val="00710059"/>
    <w:rsid w:val="00710337"/>
    <w:rsid w:val="007110C9"/>
    <w:rsid w:val="00712349"/>
    <w:rsid w:val="00712759"/>
    <w:rsid w:val="00712FCE"/>
    <w:rsid w:val="00714BA3"/>
    <w:rsid w:val="00716178"/>
    <w:rsid w:val="007167AE"/>
    <w:rsid w:val="00721098"/>
    <w:rsid w:val="0072495B"/>
    <w:rsid w:val="00726615"/>
    <w:rsid w:val="007311E0"/>
    <w:rsid w:val="00733377"/>
    <w:rsid w:val="00734FCA"/>
    <w:rsid w:val="007360D3"/>
    <w:rsid w:val="0073644C"/>
    <w:rsid w:val="00737641"/>
    <w:rsid w:val="00737C72"/>
    <w:rsid w:val="007452F9"/>
    <w:rsid w:val="0074640F"/>
    <w:rsid w:val="0074660C"/>
    <w:rsid w:val="00747B69"/>
    <w:rsid w:val="00750E77"/>
    <w:rsid w:val="00751449"/>
    <w:rsid w:val="007540D1"/>
    <w:rsid w:val="00755D95"/>
    <w:rsid w:val="00756B0E"/>
    <w:rsid w:val="00757BAA"/>
    <w:rsid w:val="007629E0"/>
    <w:rsid w:val="00762B9C"/>
    <w:rsid w:val="00766BCF"/>
    <w:rsid w:val="00767F39"/>
    <w:rsid w:val="007705BC"/>
    <w:rsid w:val="007726E1"/>
    <w:rsid w:val="00774F4B"/>
    <w:rsid w:val="00776E00"/>
    <w:rsid w:val="00781F9A"/>
    <w:rsid w:val="00785DB9"/>
    <w:rsid w:val="007860CD"/>
    <w:rsid w:val="007923D3"/>
    <w:rsid w:val="0079256F"/>
    <w:rsid w:val="0079281E"/>
    <w:rsid w:val="0079307B"/>
    <w:rsid w:val="007941CF"/>
    <w:rsid w:val="00796F48"/>
    <w:rsid w:val="007A1967"/>
    <w:rsid w:val="007A2A5E"/>
    <w:rsid w:val="007A3C6A"/>
    <w:rsid w:val="007A5821"/>
    <w:rsid w:val="007A6B87"/>
    <w:rsid w:val="007B0EBF"/>
    <w:rsid w:val="007B12EF"/>
    <w:rsid w:val="007B290F"/>
    <w:rsid w:val="007B51E2"/>
    <w:rsid w:val="007B6F81"/>
    <w:rsid w:val="007C08B4"/>
    <w:rsid w:val="007D4A68"/>
    <w:rsid w:val="007D5D8D"/>
    <w:rsid w:val="007E10A5"/>
    <w:rsid w:val="007E2350"/>
    <w:rsid w:val="007E2A95"/>
    <w:rsid w:val="007E3D71"/>
    <w:rsid w:val="007E7C29"/>
    <w:rsid w:val="007F0036"/>
    <w:rsid w:val="007F2841"/>
    <w:rsid w:val="007F2CC8"/>
    <w:rsid w:val="007F3E30"/>
    <w:rsid w:val="008003BA"/>
    <w:rsid w:val="0080096B"/>
    <w:rsid w:val="00800B90"/>
    <w:rsid w:val="00802A66"/>
    <w:rsid w:val="00805ADD"/>
    <w:rsid w:val="008073BC"/>
    <w:rsid w:val="008103A0"/>
    <w:rsid w:val="00810DE3"/>
    <w:rsid w:val="00821541"/>
    <w:rsid w:val="00821A06"/>
    <w:rsid w:val="008220F3"/>
    <w:rsid w:val="00822273"/>
    <w:rsid w:val="008235DB"/>
    <w:rsid w:val="008243B7"/>
    <w:rsid w:val="00826FE4"/>
    <w:rsid w:val="00830647"/>
    <w:rsid w:val="00830E80"/>
    <w:rsid w:val="0083210F"/>
    <w:rsid w:val="00832911"/>
    <w:rsid w:val="00833EB7"/>
    <w:rsid w:val="0084092F"/>
    <w:rsid w:val="00844C87"/>
    <w:rsid w:val="00846F8E"/>
    <w:rsid w:val="008532FB"/>
    <w:rsid w:val="008540F0"/>
    <w:rsid w:val="008568C0"/>
    <w:rsid w:val="00861710"/>
    <w:rsid w:val="00864874"/>
    <w:rsid w:val="00871CA1"/>
    <w:rsid w:val="008731D4"/>
    <w:rsid w:val="008737C3"/>
    <w:rsid w:val="00874F47"/>
    <w:rsid w:val="008776C2"/>
    <w:rsid w:val="00877D87"/>
    <w:rsid w:val="00880255"/>
    <w:rsid w:val="008810FA"/>
    <w:rsid w:val="00884878"/>
    <w:rsid w:val="00885B9C"/>
    <w:rsid w:val="00886D18"/>
    <w:rsid w:val="008872BA"/>
    <w:rsid w:val="00891577"/>
    <w:rsid w:val="00892303"/>
    <w:rsid w:val="008945AA"/>
    <w:rsid w:val="00896927"/>
    <w:rsid w:val="00897E16"/>
    <w:rsid w:val="008A144E"/>
    <w:rsid w:val="008A2A1F"/>
    <w:rsid w:val="008A310A"/>
    <w:rsid w:val="008A6603"/>
    <w:rsid w:val="008B5F65"/>
    <w:rsid w:val="008C09FF"/>
    <w:rsid w:val="008C0FBD"/>
    <w:rsid w:val="008C4903"/>
    <w:rsid w:val="008C5617"/>
    <w:rsid w:val="008C6687"/>
    <w:rsid w:val="008C70BD"/>
    <w:rsid w:val="008C79C7"/>
    <w:rsid w:val="008C7AC8"/>
    <w:rsid w:val="008D0242"/>
    <w:rsid w:val="008D27EF"/>
    <w:rsid w:val="008D28DF"/>
    <w:rsid w:val="008D2DC8"/>
    <w:rsid w:val="008D34F9"/>
    <w:rsid w:val="008D745E"/>
    <w:rsid w:val="008E09A0"/>
    <w:rsid w:val="008E29AB"/>
    <w:rsid w:val="008E380C"/>
    <w:rsid w:val="008E44A5"/>
    <w:rsid w:val="008E4EF2"/>
    <w:rsid w:val="008E6409"/>
    <w:rsid w:val="008E6822"/>
    <w:rsid w:val="008F06F2"/>
    <w:rsid w:val="008F1E28"/>
    <w:rsid w:val="008F26E3"/>
    <w:rsid w:val="008F326D"/>
    <w:rsid w:val="008F4C4B"/>
    <w:rsid w:val="008F5D80"/>
    <w:rsid w:val="008F6023"/>
    <w:rsid w:val="008F7077"/>
    <w:rsid w:val="009006D2"/>
    <w:rsid w:val="00902C33"/>
    <w:rsid w:val="009036FF"/>
    <w:rsid w:val="00905D91"/>
    <w:rsid w:val="009103F3"/>
    <w:rsid w:val="009126A4"/>
    <w:rsid w:val="00912BB5"/>
    <w:rsid w:val="009163AF"/>
    <w:rsid w:val="00916D52"/>
    <w:rsid w:val="00923D3D"/>
    <w:rsid w:val="00924CCB"/>
    <w:rsid w:val="0092520A"/>
    <w:rsid w:val="00927978"/>
    <w:rsid w:val="00932FAD"/>
    <w:rsid w:val="00936661"/>
    <w:rsid w:val="00936ECF"/>
    <w:rsid w:val="00937307"/>
    <w:rsid w:val="009445BA"/>
    <w:rsid w:val="00945130"/>
    <w:rsid w:val="00945B0A"/>
    <w:rsid w:val="00945E46"/>
    <w:rsid w:val="00946F68"/>
    <w:rsid w:val="009475F3"/>
    <w:rsid w:val="00951562"/>
    <w:rsid w:val="00951651"/>
    <w:rsid w:val="00953CAB"/>
    <w:rsid w:val="00954EF3"/>
    <w:rsid w:val="0095603B"/>
    <w:rsid w:val="00957948"/>
    <w:rsid w:val="009668EF"/>
    <w:rsid w:val="009713CF"/>
    <w:rsid w:val="009729A9"/>
    <w:rsid w:val="009761F8"/>
    <w:rsid w:val="00976AF1"/>
    <w:rsid w:val="00976FB3"/>
    <w:rsid w:val="0098030D"/>
    <w:rsid w:val="00981E62"/>
    <w:rsid w:val="00985F86"/>
    <w:rsid w:val="009928E1"/>
    <w:rsid w:val="00994D57"/>
    <w:rsid w:val="00996460"/>
    <w:rsid w:val="0099677B"/>
    <w:rsid w:val="00997AEF"/>
    <w:rsid w:val="009A1E07"/>
    <w:rsid w:val="009A290D"/>
    <w:rsid w:val="009A472C"/>
    <w:rsid w:val="009B3891"/>
    <w:rsid w:val="009B487B"/>
    <w:rsid w:val="009B5190"/>
    <w:rsid w:val="009B5381"/>
    <w:rsid w:val="009B63DA"/>
    <w:rsid w:val="009B654F"/>
    <w:rsid w:val="009C16DF"/>
    <w:rsid w:val="009C1FDC"/>
    <w:rsid w:val="009C3245"/>
    <w:rsid w:val="009C4804"/>
    <w:rsid w:val="009D0430"/>
    <w:rsid w:val="009D0FA5"/>
    <w:rsid w:val="009D104E"/>
    <w:rsid w:val="009D1FDF"/>
    <w:rsid w:val="009D3524"/>
    <w:rsid w:val="009D5236"/>
    <w:rsid w:val="009E1667"/>
    <w:rsid w:val="009E1CA8"/>
    <w:rsid w:val="009E28E1"/>
    <w:rsid w:val="009E38C1"/>
    <w:rsid w:val="009E6780"/>
    <w:rsid w:val="009E79EC"/>
    <w:rsid w:val="009F4D99"/>
    <w:rsid w:val="009F50F0"/>
    <w:rsid w:val="00A01327"/>
    <w:rsid w:val="00A018E7"/>
    <w:rsid w:val="00A03911"/>
    <w:rsid w:val="00A05140"/>
    <w:rsid w:val="00A05C63"/>
    <w:rsid w:val="00A06FC9"/>
    <w:rsid w:val="00A07B81"/>
    <w:rsid w:val="00A10DE1"/>
    <w:rsid w:val="00A11D59"/>
    <w:rsid w:val="00A123C7"/>
    <w:rsid w:val="00A13029"/>
    <w:rsid w:val="00A14C62"/>
    <w:rsid w:val="00A14E44"/>
    <w:rsid w:val="00A14E66"/>
    <w:rsid w:val="00A20730"/>
    <w:rsid w:val="00A22538"/>
    <w:rsid w:val="00A27E2B"/>
    <w:rsid w:val="00A3101B"/>
    <w:rsid w:val="00A33B7B"/>
    <w:rsid w:val="00A34039"/>
    <w:rsid w:val="00A3552E"/>
    <w:rsid w:val="00A417FA"/>
    <w:rsid w:val="00A42760"/>
    <w:rsid w:val="00A443C7"/>
    <w:rsid w:val="00A458B3"/>
    <w:rsid w:val="00A45B60"/>
    <w:rsid w:val="00A45E73"/>
    <w:rsid w:val="00A51693"/>
    <w:rsid w:val="00A5551F"/>
    <w:rsid w:val="00A62E17"/>
    <w:rsid w:val="00A65CAA"/>
    <w:rsid w:val="00A662CF"/>
    <w:rsid w:val="00A766FD"/>
    <w:rsid w:val="00A80353"/>
    <w:rsid w:val="00A820E7"/>
    <w:rsid w:val="00A82DF8"/>
    <w:rsid w:val="00A85FD4"/>
    <w:rsid w:val="00A9088A"/>
    <w:rsid w:val="00A9333E"/>
    <w:rsid w:val="00A94EC5"/>
    <w:rsid w:val="00A9554E"/>
    <w:rsid w:val="00A963A5"/>
    <w:rsid w:val="00AA27D4"/>
    <w:rsid w:val="00AA317D"/>
    <w:rsid w:val="00AA31F2"/>
    <w:rsid w:val="00AA406C"/>
    <w:rsid w:val="00AA4F9F"/>
    <w:rsid w:val="00AA5E1B"/>
    <w:rsid w:val="00AA7256"/>
    <w:rsid w:val="00AB0987"/>
    <w:rsid w:val="00AB3900"/>
    <w:rsid w:val="00AB53D2"/>
    <w:rsid w:val="00AB7215"/>
    <w:rsid w:val="00AC005D"/>
    <w:rsid w:val="00AC14DE"/>
    <w:rsid w:val="00AC56C2"/>
    <w:rsid w:val="00AC5E19"/>
    <w:rsid w:val="00AD2723"/>
    <w:rsid w:val="00AD445D"/>
    <w:rsid w:val="00AD6F47"/>
    <w:rsid w:val="00AE2781"/>
    <w:rsid w:val="00AE5415"/>
    <w:rsid w:val="00AE5C52"/>
    <w:rsid w:val="00AE6D76"/>
    <w:rsid w:val="00AE6E0A"/>
    <w:rsid w:val="00AE78E3"/>
    <w:rsid w:val="00AF045F"/>
    <w:rsid w:val="00AF0FA2"/>
    <w:rsid w:val="00AF0FDD"/>
    <w:rsid w:val="00AF270C"/>
    <w:rsid w:val="00AF3483"/>
    <w:rsid w:val="00AF5A70"/>
    <w:rsid w:val="00AF5C5C"/>
    <w:rsid w:val="00B00521"/>
    <w:rsid w:val="00B03FB1"/>
    <w:rsid w:val="00B15829"/>
    <w:rsid w:val="00B17A9D"/>
    <w:rsid w:val="00B21C2F"/>
    <w:rsid w:val="00B21C4B"/>
    <w:rsid w:val="00B249B7"/>
    <w:rsid w:val="00B2764E"/>
    <w:rsid w:val="00B30E77"/>
    <w:rsid w:val="00B33F27"/>
    <w:rsid w:val="00B34B88"/>
    <w:rsid w:val="00B37A25"/>
    <w:rsid w:val="00B44032"/>
    <w:rsid w:val="00B448AF"/>
    <w:rsid w:val="00B456CC"/>
    <w:rsid w:val="00B478EF"/>
    <w:rsid w:val="00B51BAD"/>
    <w:rsid w:val="00B55BE4"/>
    <w:rsid w:val="00B564A3"/>
    <w:rsid w:val="00B56514"/>
    <w:rsid w:val="00B56551"/>
    <w:rsid w:val="00B57AE9"/>
    <w:rsid w:val="00B57CA2"/>
    <w:rsid w:val="00B638BD"/>
    <w:rsid w:val="00B65C43"/>
    <w:rsid w:val="00B65EB5"/>
    <w:rsid w:val="00B66555"/>
    <w:rsid w:val="00B72CEC"/>
    <w:rsid w:val="00B73156"/>
    <w:rsid w:val="00B74929"/>
    <w:rsid w:val="00B7716B"/>
    <w:rsid w:val="00B777E6"/>
    <w:rsid w:val="00B80134"/>
    <w:rsid w:val="00B80707"/>
    <w:rsid w:val="00B828C0"/>
    <w:rsid w:val="00B861D4"/>
    <w:rsid w:val="00B8737A"/>
    <w:rsid w:val="00B87675"/>
    <w:rsid w:val="00B87E81"/>
    <w:rsid w:val="00B910DF"/>
    <w:rsid w:val="00B922B9"/>
    <w:rsid w:val="00B95043"/>
    <w:rsid w:val="00B9749F"/>
    <w:rsid w:val="00BA3026"/>
    <w:rsid w:val="00BA3EFF"/>
    <w:rsid w:val="00BA4972"/>
    <w:rsid w:val="00BA5FE7"/>
    <w:rsid w:val="00BB1C24"/>
    <w:rsid w:val="00BB2580"/>
    <w:rsid w:val="00BB27EC"/>
    <w:rsid w:val="00BB37EE"/>
    <w:rsid w:val="00BB530B"/>
    <w:rsid w:val="00BB58D3"/>
    <w:rsid w:val="00BB6C7F"/>
    <w:rsid w:val="00BC179B"/>
    <w:rsid w:val="00BC432E"/>
    <w:rsid w:val="00BC6774"/>
    <w:rsid w:val="00BC6C8B"/>
    <w:rsid w:val="00BC6EEF"/>
    <w:rsid w:val="00BC7980"/>
    <w:rsid w:val="00BD28C5"/>
    <w:rsid w:val="00BD2FEE"/>
    <w:rsid w:val="00BD4D43"/>
    <w:rsid w:val="00BD7695"/>
    <w:rsid w:val="00BE0D5C"/>
    <w:rsid w:val="00BE0EE1"/>
    <w:rsid w:val="00BE4BDF"/>
    <w:rsid w:val="00BE5FED"/>
    <w:rsid w:val="00BE65E4"/>
    <w:rsid w:val="00BE7D81"/>
    <w:rsid w:val="00BF0AA7"/>
    <w:rsid w:val="00BF2F97"/>
    <w:rsid w:val="00BF304F"/>
    <w:rsid w:val="00C00765"/>
    <w:rsid w:val="00C00E26"/>
    <w:rsid w:val="00C03A2E"/>
    <w:rsid w:val="00C06287"/>
    <w:rsid w:val="00C12309"/>
    <w:rsid w:val="00C171A8"/>
    <w:rsid w:val="00C209B2"/>
    <w:rsid w:val="00C20D5E"/>
    <w:rsid w:val="00C23583"/>
    <w:rsid w:val="00C312CC"/>
    <w:rsid w:val="00C32948"/>
    <w:rsid w:val="00C36C67"/>
    <w:rsid w:val="00C4066A"/>
    <w:rsid w:val="00C40D0E"/>
    <w:rsid w:val="00C4203F"/>
    <w:rsid w:val="00C43FA8"/>
    <w:rsid w:val="00C469FC"/>
    <w:rsid w:val="00C472A9"/>
    <w:rsid w:val="00C51D0B"/>
    <w:rsid w:val="00C51DF7"/>
    <w:rsid w:val="00C5255D"/>
    <w:rsid w:val="00C56BAB"/>
    <w:rsid w:val="00C57E14"/>
    <w:rsid w:val="00C602B7"/>
    <w:rsid w:val="00C60D92"/>
    <w:rsid w:val="00C65930"/>
    <w:rsid w:val="00C66DC3"/>
    <w:rsid w:val="00C739A9"/>
    <w:rsid w:val="00C757ED"/>
    <w:rsid w:val="00C75AB0"/>
    <w:rsid w:val="00C812EA"/>
    <w:rsid w:val="00C819B2"/>
    <w:rsid w:val="00C82AA4"/>
    <w:rsid w:val="00C8305C"/>
    <w:rsid w:val="00C844D6"/>
    <w:rsid w:val="00C85FF6"/>
    <w:rsid w:val="00C87241"/>
    <w:rsid w:val="00C9326B"/>
    <w:rsid w:val="00C939DB"/>
    <w:rsid w:val="00C95691"/>
    <w:rsid w:val="00C96676"/>
    <w:rsid w:val="00C96A47"/>
    <w:rsid w:val="00C970CE"/>
    <w:rsid w:val="00CA1ECD"/>
    <w:rsid w:val="00CA4C7F"/>
    <w:rsid w:val="00CB13B7"/>
    <w:rsid w:val="00CB7087"/>
    <w:rsid w:val="00CB723D"/>
    <w:rsid w:val="00CC41EE"/>
    <w:rsid w:val="00CD052A"/>
    <w:rsid w:val="00CD061B"/>
    <w:rsid w:val="00CD0BF5"/>
    <w:rsid w:val="00CD0FA4"/>
    <w:rsid w:val="00CD1089"/>
    <w:rsid w:val="00CD1BCD"/>
    <w:rsid w:val="00CD41F8"/>
    <w:rsid w:val="00CD6D61"/>
    <w:rsid w:val="00CD7D66"/>
    <w:rsid w:val="00CD7FFC"/>
    <w:rsid w:val="00CE2C6E"/>
    <w:rsid w:val="00CE2D75"/>
    <w:rsid w:val="00CE6C66"/>
    <w:rsid w:val="00CE799B"/>
    <w:rsid w:val="00CF321C"/>
    <w:rsid w:val="00CF4FE6"/>
    <w:rsid w:val="00CF556F"/>
    <w:rsid w:val="00CF5974"/>
    <w:rsid w:val="00D0030F"/>
    <w:rsid w:val="00D02786"/>
    <w:rsid w:val="00D0445F"/>
    <w:rsid w:val="00D0608D"/>
    <w:rsid w:val="00D061D5"/>
    <w:rsid w:val="00D06E87"/>
    <w:rsid w:val="00D06EFC"/>
    <w:rsid w:val="00D074BF"/>
    <w:rsid w:val="00D1197E"/>
    <w:rsid w:val="00D122E5"/>
    <w:rsid w:val="00D1619E"/>
    <w:rsid w:val="00D16F22"/>
    <w:rsid w:val="00D219C1"/>
    <w:rsid w:val="00D22C33"/>
    <w:rsid w:val="00D243C3"/>
    <w:rsid w:val="00D25717"/>
    <w:rsid w:val="00D27373"/>
    <w:rsid w:val="00D32833"/>
    <w:rsid w:val="00D33DA7"/>
    <w:rsid w:val="00D3507E"/>
    <w:rsid w:val="00D354D0"/>
    <w:rsid w:val="00D35E02"/>
    <w:rsid w:val="00D41D9A"/>
    <w:rsid w:val="00D422CB"/>
    <w:rsid w:val="00D43932"/>
    <w:rsid w:val="00D45A71"/>
    <w:rsid w:val="00D472D8"/>
    <w:rsid w:val="00D5255B"/>
    <w:rsid w:val="00D538F6"/>
    <w:rsid w:val="00D5457D"/>
    <w:rsid w:val="00D54EF5"/>
    <w:rsid w:val="00D56FF4"/>
    <w:rsid w:val="00D60CA6"/>
    <w:rsid w:val="00D6213A"/>
    <w:rsid w:val="00D6602C"/>
    <w:rsid w:val="00D73760"/>
    <w:rsid w:val="00D74036"/>
    <w:rsid w:val="00D74DFF"/>
    <w:rsid w:val="00D75449"/>
    <w:rsid w:val="00D802BD"/>
    <w:rsid w:val="00D8037A"/>
    <w:rsid w:val="00D808EE"/>
    <w:rsid w:val="00D84762"/>
    <w:rsid w:val="00D87FE7"/>
    <w:rsid w:val="00D91885"/>
    <w:rsid w:val="00D93663"/>
    <w:rsid w:val="00D94097"/>
    <w:rsid w:val="00D95DDC"/>
    <w:rsid w:val="00D96B60"/>
    <w:rsid w:val="00DA0634"/>
    <w:rsid w:val="00DA2694"/>
    <w:rsid w:val="00DA3E6F"/>
    <w:rsid w:val="00DA503F"/>
    <w:rsid w:val="00DA62C5"/>
    <w:rsid w:val="00DA7CB8"/>
    <w:rsid w:val="00DA7DA7"/>
    <w:rsid w:val="00DB0CB2"/>
    <w:rsid w:val="00DC08BC"/>
    <w:rsid w:val="00DC1F63"/>
    <w:rsid w:val="00DC58EB"/>
    <w:rsid w:val="00DC73ED"/>
    <w:rsid w:val="00DD03AF"/>
    <w:rsid w:val="00DD1011"/>
    <w:rsid w:val="00DD559C"/>
    <w:rsid w:val="00DE2088"/>
    <w:rsid w:val="00DE221F"/>
    <w:rsid w:val="00DE3A2A"/>
    <w:rsid w:val="00DE55E6"/>
    <w:rsid w:val="00DE5DBB"/>
    <w:rsid w:val="00DF169D"/>
    <w:rsid w:val="00DF671F"/>
    <w:rsid w:val="00DF7AE1"/>
    <w:rsid w:val="00E0241F"/>
    <w:rsid w:val="00E04482"/>
    <w:rsid w:val="00E04D37"/>
    <w:rsid w:val="00E05840"/>
    <w:rsid w:val="00E07968"/>
    <w:rsid w:val="00E10BA8"/>
    <w:rsid w:val="00E10D8B"/>
    <w:rsid w:val="00E12448"/>
    <w:rsid w:val="00E12A9C"/>
    <w:rsid w:val="00E14683"/>
    <w:rsid w:val="00E15AB9"/>
    <w:rsid w:val="00E207DB"/>
    <w:rsid w:val="00E21EFB"/>
    <w:rsid w:val="00E2267F"/>
    <w:rsid w:val="00E235D4"/>
    <w:rsid w:val="00E25FBA"/>
    <w:rsid w:val="00E270B7"/>
    <w:rsid w:val="00E273B4"/>
    <w:rsid w:val="00E27C9F"/>
    <w:rsid w:val="00E30F27"/>
    <w:rsid w:val="00E3508F"/>
    <w:rsid w:val="00E36A50"/>
    <w:rsid w:val="00E41B22"/>
    <w:rsid w:val="00E43C87"/>
    <w:rsid w:val="00E44BDB"/>
    <w:rsid w:val="00E44F51"/>
    <w:rsid w:val="00E528EB"/>
    <w:rsid w:val="00E5370B"/>
    <w:rsid w:val="00E56811"/>
    <w:rsid w:val="00E56A3E"/>
    <w:rsid w:val="00E6139F"/>
    <w:rsid w:val="00E61A82"/>
    <w:rsid w:val="00E61E1E"/>
    <w:rsid w:val="00E62387"/>
    <w:rsid w:val="00E64B3B"/>
    <w:rsid w:val="00E71A05"/>
    <w:rsid w:val="00E742BC"/>
    <w:rsid w:val="00E80AB0"/>
    <w:rsid w:val="00E8435E"/>
    <w:rsid w:val="00E85735"/>
    <w:rsid w:val="00E90304"/>
    <w:rsid w:val="00E90B9D"/>
    <w:rsid w:val="00E923F1"/>
    <w:rsid w:val="00E96A6F"/>
    <w:rsid w:val="00EA0471"/>
    <w:rsid w:val="00EA1B79"/>
    <w:rsid w:val="00EA42B1"/>
    <w:rsid w:val="00EA6D03"/>
    <w:rsid w:val="00EB04E2"/>
    <w:rsid w:val="00EB1D3D"/>
    <w:rsid w:val="00EB2405"/>
    <w:rsid w:val="00EB3A33"/>
    <w:rsid w:val="00EB3D8A"/>
    <w:rsid w:val="00EB4AF9"/>
    <w:rsid w:val="00EB711D"/>
    <w:rsid w:val="00EC0476"/>
    <w:rsid w:val="00EC45DB"/>
    <w:rsid w:val="00EC71ED"/>
    <w:rsid w:val="00EC7486"/>
    <w:rsid w:val="00ED2536"/>
    <w:rsid w:val="00ED27A5"/>
    <w:rsid w:val="00ED7B38"/>
    <w:rsid w:val="00EE0057"/>
    <w:rsid w:val="00EE0E84"/>
    <w:rsid w:val="00EE1DA8"/>
    <w:rsid w:val="00EE208F"/>
    <w:rsid w:val="00EE238C"/>
    <w:rsid w:val="00EE308D"/>
    <w:rsid w:val="00EE44C9"/>
    <w:rsid w:val="00EF087C"/>
    <w:rsid w:val="00EF2769"/>
    <w:rsid w:val="00EF366A"/>
    <w:rsid w:val="00EF4DF3"/>
    <w:rsid w:val="00F00FE8"/>
    <w:rsid w:val="00F02F28"/>
    <w:rsid w:val="00F05D29"/>
    <w:rsid w:val="00F0644E"/>
    <w:rsid w:val="00F0799D"/>
    <w:rsid w:val="00F12744"/>
    <w:rsid w:val="00F13146"/>
    <w:rsid w:val="00F13F24"/>
    <w:rsid w:val="00F1419E"/>
    <w:rsid w:val="00F15116"/>
    <w:rsid w:val="00F209D8"/>
    <w:rsid w:val="00F27ED1"/>
    <w:rsid w:val="00F27ED2"/>
    <w:rsid w:val="00F30CF8"/>
    <w:rsid w:val="00F31315"/>
    <w:rsid w:val="00F37756"/>
    <w:rsid w:val="00F40408"/>
    <w:rsid w:val="00F42301"/>
    <w:rsid w:val="00F42F5E"/>
    <w:rsid w:val="00F44D7D"/>
    <w:rsid w:val="00F46297"/>
    <w:rsid w:val="00F46ABC"/>
    <w:rsid w:val="00F50FD7"/>
    <w:rsid w:val="00F5172B"/>
    <w:rsid w:val="00F53655"/>
    <w:rsid w:val="00F53C1E"/>
    <w:rsid w:val="00F547CE"/>
    <w:rsid w:val="00F55290"/>
    <w:rsid w:val="00F55956"/>
    <w:rsid w:val="00F56CA9"/>
    <w:rsid w:val="00F6071E"/>
    <w:rsid w:val="00F616C5"/>
    <w:rsid w:val="00F62CFC"/>
    <w:rsid w:val="00F639E2"/>
    <w:rsid w:val="00F65284"/>
    <w:rsid w:val="00F711FF"/>
    <w:rsid w:val="00F71512"/>
    <w:rsid w:val="00F72142"/>
    <w:rsid w:val="00F74363"/>
    <w:rsid w:val="00F74FA5"/>
    <w:rsid w:val="00F7658C"/>
    <w:rsid w:val="00F769FF"/>
    <w:rsid w:val="00F77E6A"/>
    <w:rsid w:val="00F81D93"/>
    <w:rsid w:val="00F831FB"/>
    <w:rsid w:val="00F86835"/>
    <w:rsid w:val="00F86C62"/>
    <w:rsid w:val="00F907B5"/>
    <w:rsid w:val="00F93164"/>
    <w:rsid w:val="00F93332"/>
    <w:rsid w:val="00F940A3"/>
    <w:rsid w:val="00F9413F"/>
    <w:rsid w:val="00F94A2D"/>
    <w:rsid w:val="00F94D21"/>
    <w:rsid w:val="00F95D10"/>
    <w:rsid w:val="00FA11D0"/>
    <w:rsid w:val="00FA14EB"/>
    <w:rsid w:val="00FA344A"/>
    <w:rsid w:val="00FA39DE"/>
    <w:rsid w:val="00FA406D"/>
    <w:rsid w:val="00FA44DE"/>
    <w:rsid w:val="00FA4570"/>
    <w:rsid w:val="00FB2430"/>
    <w:rsid w:val="00FB3748"/>
    <w:rsid w:val="00FB5056"/>
    <w:rsid w:val="00FC015B"/>
    <w:rsid w:val="00FC19A6"/>
    <w:rsid w:val="00FC3C87"/>
    <w:rsid w:val="00FC47D5"/>
    <w:rsid w:val="00FD073D"/>
    <w:rsid w:val="00FD0CB0"/>
    <w:rsid w:val="00FD1315"/>
    <w:rsid w:val="00FD19F3"/>
    <w:rsid w:val="00FD7BD8"/>
    <w:rsid w:val="00FE1536"/>
    <w:rsid w:val="00FE25EE"/>
    <w:rsid w:val="00FE4491"/>
    <w:rsid w:val="00FE5718"/>
    <w:rsid w:val="00FE68CD"/>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5C2C57"/>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C2C57"/>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703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03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6F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53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D1D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5C2C57"/>
    <w:pPr>
      <w:keepLines w:val="0"/>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C2C57"/>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703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03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6F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53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D1D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8517">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97961488">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0990219">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51149367">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dfat.gov.au/geo/vanuatu/vanuatu_brief.html"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36F045-DAF5-428B-A731-0D098CDFC4B9}"/>
</file>

<file path=customXml/itemProps2.xml><?xml version="1.0" encoding="utf-8"?>
<ds:datastoreItem xmlns:ds="http://schemas.openxmlformats.org/officeDocument/2006/customXml" ds:itemID="{C9EB1184-9D0B-492A-ABD3-5010FB2B1442}"/>
</file>

<file path=customXml/itemProps3.xml><?xml version="1.0" encoding="utf-8"?>
<ds:datastoreItem xmlns:ds="http://schemas.openxmlformats.org/officeDocument/2006/customXml" ds:itemID="{A8F00ECC-EA77-44CB-87AD-A256819DE976}"/>
</file>

<file path=customXml/itemProps4.xml><?xml version="1.0" encoding="utf-8"?>
<ds:datastoreItem xmlns:ds="http://schemas.openxmlformats.org/officeDocument/2006/customXml" ds:itemID="{0631F36A-CB05-4B16-9463-DA5206EA9721}"/>
</file>

<file path=docProps/app.xml><?xml version="1.0" encoding="utf-8"?>
<Properties xmlns="http://schemas.openxmlformats.org/officeDocument/2006/extended-properties" xmlns:vt="http://schemas.openxmlformats.org/officeDocument/2006/docPropsVTypes">
  <Template>F7DDFECC</Template>
  <TotalTime>0</TotalTime>
  <Pages>22</Pages>
  <Words>8114</Words>
  <Characters>46254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2014-10-29T00:07:00Z</dcterms:created>
  <dcterms:modified xsi:type="dcterms:W3CDTF">2014-10-29T00:07:00Z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