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44" w:rsidRPr="00E02A44" w:rsidRDefault="0097258E" w:rsidP="00617F0C">
      <w:pPr>
        <w:pStyle w:val="Title"/>
        <w:ind w:right="-171"/>
      </w:pPr>
      <w:r w:rsidRPr="00CA6DB6">
        <w:t>Aid Program Performance Report 2012</w:t>
      </w:r>
      <w:r w:rsidRPr="00052BF3">
        <w:t>−</w:t>
      </w:r>
      <w:r w:rsidRPr="00CA6DB6">
        <w:t xml:space="preserve">13 </w:t>
      </w:r>
      <w:r w:rsidR="00BC330B">
        <w:t>Vanuatu</w:t>
      </w:r>
      <w:bookmarkStart w:id="0" w:name="_GoBack"/>
      <w:bookmarkEnd w:id="0"/>
    </w:p>
    <w:p w:rsidR="00192106" w:rsidRPr="0098404C" w:rsidRDefault="00192106" w:rsidP="0098404C">
      <w:pPr>
        <w:pStyle w:val="Heading1"/>
      </w:pPr>
      <w:r w:rsidRPr="0098404C">
        <w:t xml:space="preserve">Key </w:t>
      </w:r>
      <w:r w:rsidR="001E314E" w:rsidRPr="0098404C">
        <w:t>m</w:t>
      </w:r>
      <w:r w:rsidRPr="0098404C">
        <w:t>essages</w:t>
      </w:r>
    </w:p>
    <w:p w:rsidR="008922A9" w:rsidRDefault="00F37450" w:rsidP="0098404C">
      <w:pPr>
        <w:pStyle w:val="BodyText"/>
      </w:pPr>
      <w:r>
        <w:t xml:space="preserve">This </w:t>
      </w:r>
      <w:r w:rsidR="00C80057">
        <w:t xml:space="preserve">Aid </w:t>
      </w:r>
      <w:r w:rsidR="008922A9" w:rsidRPr="00952712">
        <w:t xml:space="preserve">Program Performance Report summarises the Australian aid program’s progress in </w:t>
      </w:r>
      <w:r w:rsidR="008922A9">
        <w:t>Vanuatu</w:t>
      </w:r>
      <w:r w:rsidR="008922A9" w:rsidRPr="00952712">
        <w:t xml:space="preserve"> from January 2012 to June 2013</w:t>
      </w:r>
      <w:r w:rsidR="008922A9">
        <w:t>.</w:t>
      </w:r>
      <w:r w:rsidR="00872B03">
        <w:t xml:space="preserve"> </w:t>
      </w:r>
      <w:r w:rsidR="008922A9" w:rsidRPr="00105972">
        <w:t>Key findings include:</w:t>
      </w:r>
    </w:p>
    <w:p w:rsidR="00150BB8" w:rsidRDefault="007C4287" w:rsidP="0098404C">
      <w:pPr>
        <w:pStyle w:val="ListBullet"/>
      </w:pPr>
      <w:r>
        <w:t>Aus</w:t>
      </w:r>
      <w:r w:rsidR="00026BEA">
        <w:t xml:space="preserve">tralian </w:t>
      </w:r>
      <w:r>
        <w:t>programs are achieving results</w:t>
      </w:r>
      <w:r w:rsidR="007027CF">
        <w:t>,</w:t>
      </w:r>
      <w:r w:rsidR="00150BB8">
        <w:t xml:space="preserve"> increasing economic opportunity and improving </w:t>
      </w:r>
      <w:r w:rsidR="007027CF">
        <w:t>b</w:t>
      </w:r>
      <w:r w:rsidR="00150BB8">
        <w:t>asic service delivery</w:t>
      </w:r>
      <w:r w:rsidR="001E314E">
        <w:t xml:space="preserve">. </w:t>
      </w:r>
      <w:r w:rsidR="009F5F45">
        <w:t xml:space="preserve">Household incomes have risen in target provinces, helped by increased </w:t>
      </w:r>
      <w:r w:rsidR="00EF3A6E">
        <w:t xml:space="preserve">tourist numbers </w:t>
      </w:r>
      <w:r w:rsidR="009F5F45">
        <w:t>and</w:t>
      </w:r>
      <w:r w:rsidR="00EF3A6E">
        <w:t xml:space="preserve"> skill</w:t>
      </w:r>
      <w:r w:rsidR="00F72414">
        <w:t>s</w:t>
      </w:r>
      <w:r w:rsidR="00EF3A6E">
        <w:t xml:space="preserve"> development </w:t>
      </w:r>
      <w:r w:rsidR="00026BEA">
        <w:t xml:space="preserve">through </w:t>
      </w:r>
      <w:r w:rsidR="00EF3A6E">
        <w:t>vocational and business development programs</w:t>
      </w:r>
      <w:r w:rsidR="001E314E">
        <w:t xml:space="preserve">. </w:t>
      </w:r>
      <w:r w:rsidR="00C54AB6">
        <w:t>M</w:t>
      </w:r>
      <w:r w:rsidR="007027CF">
        <w:t xml:space="preserve">alaria prevalence </w:t>
      </w:r>
      <w:r w:rsidR="00C54AB6">
        <w:t xml:space="preserve">has </w:t>
      </w:r>
      <w:r w:rsidR="00EF3A6E">
        <w:t>dropped by 80 per cent across the country</w:t>
      </w:r>
      <w:r w:rsidR="001E314E">
        <w:t xml:space="preserve">. </w:t>
      </w:r>
    </w:p>
    <w:p w:rsidR="007C4287" w:rsidRDefault="00EF3A6E" w:rsidP="0098404C">
      <w:pPr>
        <w:pStyle w:val="ListBullet"/>
      </w:pPr>
      <w:r>
        <w:t xml:space="preserve">Overall performance </w:t>
      </w:r>
      <w:r w:rsidR="00026BEA">
        <w:t>i</w:t>
      </w:r>
      <w:r>
        <w:t xml:space="preserve">mproved on 2011 </w:t>
      </w:r>
      <w:r w:rsidR="00026BEA">
        <w:t>Annual Program Performance Report</w:t>
      </w:r>
      <w:r w:rsidR="0074521B">
        <w:rPr>
          <w:rStyle w:val="FootnoteReference"/>
        </w:rPr>
        <w:footnoteReference w:id="1"/>
      </w:r>
      <w:r w:rsidR="00026BEA">
        <w:t xml:space="preserve"> </w:t>
      </w:r>
      <w:r>
        <w:t xml:space="preserve">ratings, but challenges remain. </w:t>
      </w:r>
      <w:r w:rsidR="007027CF">
        <w:t xml:space="preserve">Literacy and numeracy rates of school age children </w:t>
      </w:r>
      <w:r>
        <w:t>are very low</w:t>
      </w:r>
      <w:r w:rsidR="001E314E">
        <w:t xml:space="preserve">. </w:t>
      </w:r>
      <w:r w:rsidR="000A3F2C">
        <w:t>Health indicators</w:t>
      </w:r>
      <w:r w:rsidR="00026BEA">
        <w:t>,</w:t>
      </w:r>
      <w:r w:rsidR="000A3F2C">
        <w:t xml:space="preserve"> such as </w:t>
      </w:r>
      <w:r w:rsidR="000A3F2C" w:rsidRPr="000A3F2C">
        <w:t>access to contraception and routine immunisation</w:t>
      </w:r>
      <w:r w:rsidR="00026BEA">
        <w:t>,</w:t>
      </w:r>
      <w:r w:rsidR="000A3F2C" w:rsidRPr="000A3F2C">
        <w:t xml:space="preserve"> </w:t>
      </w:r>
      <w:r w:rsidR="007027CF">
        <w:t>are worrying.</w:t>
      </w:r>
    </w:p>
    <w:p w:rsidR="003E100A" w:rsidRDefault="003E100A" w:rsidP="0098404C">
      <w:pPr>
        <w:pStyle w:val="ListBullet"/>
      </w:pPr>
      <w:r w:rsidRPr="003E100A">
        <w:t xml:space="preserve">The program’s investments in analysis and evaluation are paying off, providing a solid evidence base to inform program management and strategy. </w:t>
      </w:r>
    </w:p>
    <w:p w:rsidR="00941374" w:rsidRDefault="00150BB8" w:rsidP="0098404C">
      <w:pPr>
        <w:pStyle w:val="ListBullet"/>
      </w:pPr>
      <w:r>
        <w:t>Delivery approaches continue to adapt to Vanuatu</w:t>
      </w:r>
      <w:r w:rsidR="00CA3516">
        <w:t>’s</w:t>
      </w:r>
      <w:r>
        <w:t xml:space="preserve"> political economy</w:t>
      </w:r>
      <w:r w:rsidR="00CA3516">
        <w:t xml:space="preserve"> and changing context</w:t>
      </w:r>
      <w:r w:rsidR="00F72414">
        <w:t xml:space="preserve"> to better achieve results</w:t>
      </w:r>
      <w:r w:rsidR="001E314E">
        <w:t xml:space="preserve">. </w:t>
      </w:r>
      <w:r w:rsidR="00F72414">
        <w:t>T</w:t>
      </w:r>
      <w:r w:rsidR="00CA3516">
        <w:t xml:space="preserve">he program redesigned a major </w:t>
      </w:r>
      <w:r w:rsidR="009F5F45">
        <w:t xml:space="preserve">roads </w:t>
      </w:r>
      <w:r w:rsidR="00CA3516">
        <w:t>investment to rely less on implementation by government au</w:t>
      </w:r>
      <w:r w:rsidR="00BE4374">
        <w:t xml:space="preserve">thorities and large, high-cost </w:t>
      </w:r>
      <w:r w:rsidR="00CA3516">
        <w:t>companies</w:t>
      </w:r>
      <w:r w:rsidR="009F5F45">
        <w:t>,</w:t>
      </w:r>
      <w:r w:rsidR="00F72414">
        <w:t xml:space="preserve"> and more on</w:t>
      </w:r>
      <w:r w:rsidR="00CA3516">
        <w:t xml:space="preserve"> small, island-based contractors</w:t>
      </w:r>
      <w:r w:rsidR="00026BEA">
        <w:t>. T</w:t>
      </w:r>
      <w:r w:rsidR="009F5F45">
        <w:t xml:space="preserve">his </w:t>
      </w:r>
      <w:r w:rsidR="00026BEA">
        <w:t xml:space="preserve">has </w:t>
      </w:r>
      <w:r w:rsidR="00F72414">
        <w:t xml:space="preserve">increased the </w:t>
      </w:r>
      <w:r w:rsidR="00761087">
        <w:t xml:space="preserve">cost effectiveness and efficiency of </w:t>
      </w:r>
      <w:r w:rsidR="00F72414">
        <w:t>building roads</w:t>
      </w:r>
      <w:r w:rsidR="00F95385">
        <w:t xml:space="preserve"> </w:t>
      </w:r>
      <w:r w:rsidR="00761087">
        <w:t>and generated local economic activity.</w:t>
      </w:r>
    </w:p>
    <w:p w:rsidR="00180B19" w:rsidRPr="0098404C" w:rsidRDefault="00180B19" w:rsidP="0098404C">
      <w:pPr>
        <w:pStyle w:val="Heading1"/>
      </w:pPr>
      <w:r w:rsidRPr="0098404C">
        <w:t xml:space="preserve">Context </w:t>
      </w:r>
    </w:p>
    <w:p w:rsidR="00FE214C" w:rsidRDefault="00FE214C" w:rsidP="0098404C">
      <w:pPr>
        <w:pStyle w:val="BodyText"/>
      </w:pPr>
      <w:r>
        <w:t>Vanuatu has a small population</w:t>
      </w:r>
      <w:r w:rsidR="00026BEA">
        <w:t>.</w:t>
      </w:r>
      <w:r w:rsidR="00A24DB5">
        <w:rPr>
          <w:rStyle w:val="FootnoteReference"/>
        </w:rPr>
        <w:footnoteReference w:id="2"/>
      </w:r>
      <w:r w:rsidR="00026BEA">
        <w:t xml:space="preserve"> S</w:t>
      </w:r>
      <w:r>
        <w:t xml:space="preserve">ome 70 per cent of </w:t>
      </w:r>
      <w:r w:rsidR="00026BEA">
        <w:t xml:space="preserve">people </w:t>
      </w:r>
      <w:r>
        <w:t>live in rural areas across 65 of the country’s more than 80 islands</w:t>
      </w:r>
      <w:r w:rsidR="001E314E">
        <w:t xml:space="preserve">. </w:t>
      </w:r>
      <w:r>
        <w:t xml:space="preserve">While </w:t>
      </w:r>
      <w:r w:rsidR="00026BEA">
        <w:t>Vanuatu’s</w:t>
      </w:r>
      <w:r>
        <w:t xml:space="preserve"> physical geography contributes to its appeal as a tourist destination, it creates challenges for deliver</w:t>
      </w:r>
      <w:r w:rsidR="00026BEA">
        <w:t>ing</w:t>
      </w:r>
      <w:r>
        <w:t xml:space="preserve"> services and provi</w:t>
      </w:r>
      <w:r w:rsidR="00026BEA">
        <w:t>ding</w:t>
      </w:r>
      <w:r>
        <w:t xml:space="preserve"> infrastructure. The small </w:t>
      </w:r>
      <w:r w:rsidR="00026BEA">
        <w:t xml:space="preserve">population </w:t>
      </w:r>
      <w:r>
        <w:t xml:space="preserve">size </w:t>
      </w:r>
      <w:r w:rsidR="00026BEA">
        <w:t>p</w:t>
      </w:r>
      <w:r>
        <w:t>oses human resource constraints on economic growth and service delivery</w:t>
      </w:r>
      <w:r w:rsidR="001E314E">
        <w:t xml:space="preserve">. </w:t>
      </w:r>
    </w:p>
    <w:p w:rsidR="00FE214C" w:rsidRDefault="00FE214C" w:rsidP="0098404C">
      <w:pPr>
        <w:pStyle w:val="BodyText"/>
      </w:pPr>
      <w:r w:rsidRPr="00DD6947">
        <w:t>Vanuatu has a stable economy and considerable potential for growth.</w:t>
      </w:r>
      <w:r w:rsidRPr="00C5718C">
        <w:rPr>
          <w:vertAlign w:val="superscript"/>
        </w:rPr>
        <w:footnoteReference w:id="3"/>
      </w:r>
      <w:r w:rsidRPr="00F3599F">
        <w:t xml:space="preserve"> </w:t>
      </w:r>
      <w:r>
        <w:t>G</w:t>
      </w:r>
      <w:r w:rsidR="00026BEA">
        <w:t>ross domestic product</w:t>
      </w:r>
      <w:r>
        <w:t xml:space="preserve"> growth </w:t>
      </w:r>
      <w:r w:rsidRPr="00F42907">
        <w:t xml:space="preserve">slowed in 2010 and </w:t>
      </w:r>
      <w:r>
        <w:t>2011, but</w:t>
      </w:r>
      <w:r w:rsidRPr="003820FA">
        <w:t xml:space="preserve"> recovered </w:t>
      </w:r>
      <w:r>
        <w:t xml:space="preserve">in 2012 to around </w:t>
      </w:r>
      <w:r w:rsidR="00026BEA">
        <w:t xml:space="preserve">2 </w:t>
      </w:r>
      <w:r>
        <w:t xml:space="preserve">per cent, and </w:t>
      </w:r>
      <w:r w:rsidR="00026BEA">
        <w:t xml:space="preserve">3 </w:t>
      </w:r>
      <w:r>
        <w:t>per cent</w:t>
      </w:r>
      <w:r w:rsidRPr="003820FA">
        <w:t xml:space="preserve"> </w:t>
      </w:r>
      <w:proofErr w:type="gramStart"/>
      <w:r>
        <w:t>is</w:t>
      </w:r>
      <w:proofErr w:type="gramEnd"/>
      <w:r>
        <w:t xml:space="preserve"> </w:t>
      </w:r>
      <w:r w:rsidRPr="003820FA">
        <w:t>expected for 2013</w:t>
      </w:r>
      <w:r w:rsidR="007C5D3B">
        <w:t>—</w:t>
      </w:r>
      <w:r w:rsidRPr="003820FA">
        <w:t>largely attribut</w:t>
      </w:r>
      <w:r w:rsidR="00026BEA">
        <w:t>ed</w:t>
      </w:r>
      <w:r w:rsidRPr="003820FA">
        <w:t xml:space="preserve"> to recovery in tourism</w:t>
      </w:r>
      <w:r w:rsidR="00695178">
        <w:t>.</w:t>
      </w:r>
      <w:r w:rsidRPr="00C5718C">
        <w:rPr>
          <w:vertAlign w:val="superscript"/>
        </w:rPr>
        <w:footnoteReference w:id="4"/>
      </w:r>
      <w:r>
        <w:t xml:space="preserve"> </w:t>
      </w:r>
      <w:r w:rsidR="002B764B" w:rsidRPr="00DB721D">
        <w:t xml:space="preserve">Inflation remains low at .8 per cent. In 2013, continued growth in tourism and </w:t>
      </w:r>
      <w:r w:rsidR="00B1115D">
        <w:t>a pick-up in</w:t>
      </w:r>
      <w:r w:rsidR="002B764B" w:rsidRPr="00DB721D">
        <w:t xml:space="preserve"> construction are projected to raise output growth to 3</w:t>
      </w:r>
      <w:r w:rsidR="00E27B2E">
        <w:t>.25</w:t>
      </w:r>
      <w:r w:rsidR="00E27B2E" w:rsidRPr="00DB721D">
        <w:t xml:space="preserve"> </w:t>
      </w:r>
      <w:r w:rsidR="002B764B" w:rsidRPr="00DB721D">
        <w:t>per cent</w:t>
      </w:r>
      <w:r w:rsidR="001E314E">
        <w:t xml:space="preserve">. </w:t>
      </w:r>
      <w:r w:rsidR="00F95385" w:rsidRPr="00886AA7">
        <w:t>Australians account for two-thirds of all long</w:t>
      </w:r>
      <w:r w:rsidR="00026BEA">
        <w:t>-</w:t>
      </w:r>
      <w:r w:rsidR="00F95385" w:rsidRPr="00886AA7">
        <w:t>stay tourist arrivals.</w:t>
      </w:r>
      <w:r w:rsidR="00F95385" w:rsidRPr="00886AA7">
        <w:rPr>
          <w:rStyle w:val="FootnoteReference"/>
        </w:rPr>
        <w:footnoteReference w:id="5"/>
      </w:r>
      <w:r w:rsidR="00F95385" w:rsidRPr="00590A75">
        <w:t xml:space="preserve"> Australia</w:t>
      </w:r>
      <w:r w:rsidR="00F95385">
        <w:t xml:space="preserve"> is also the fastest growing cruise market in the world with Carnival Australia alone planning to bring 230</w:t>
      </w:r>
      <w:r w:rsidR="007C5D3B">
        <w:t xml:space="preserve"> </w:t>
      </w:r>
      <w:r w:rsidR="00F95385">
        <w:t>000 Australians to Vanuatu in 2013.</w:t>
      </w:r>
      <w:r w:rsidR="00F95385">
        <w:rPr>
          <w:rStyle w:val="FootnoteReference"/>
        </w:rPr>
        <w:footnoteReference w:id="6"/>
      </w:r>
    </w:p>
    <w:p w:rsidR="00FE214C" w:rsidRPr="00DD6947" w:rsidRDefault="00FE214C" w:rsidP="0098404C">
      <w:pPr>
        <w:pStyle w:val="BodyText"/>
      </w:pPr>
      <w:r>
        <w:lastRenderedPageBreak/>
        <w:t>Vanuatu has a young, growing and rapidly urbanising population</w:t>
      </w:r>
      <w:r w:rsidR="001E314E">
        <w:t xml:space="preserve">. </w:t>
      </w:r>
      <w:r w:rsidR="00570F74">
        <w:t>Since 2006</w:t>
      </w:r>
      <w:r w:rsidR="00F95385">
        <w:t>,</w:t>
      </w:r>
      <w:r w:rsidR="00570F74">
        <w:t xml:space="preserve"> the populations of Port Vila and </w:t>
      </w:r>
      <w:proofErr w:type="spellStart"/>
      <w:r w:rsidR="00570F74">
        <w:t>Luganville</w:t>
      </w:r>
      <w:proofErr w:type="spellEnd"/>
      <w:r w:rsidR="00570F74">
        <w:t xml:space="preserve"> have increased by an estimated 49 and 39 per cent respectively.</w:t>
      </w:r>
      <w:r w:rsidR="007D5F1C">
        <w:rPr>
          <w:rStyle w:val="FootnoteReference"/>
        </w:rPr>
        <w:footnoteReference w:id="7"/>
      </w:r>
      <w:r w:rsidR="00570F74">
        <w:t xml:space="preserve"> </w:t>
      </w:r>
      <w:r>
        <w:t>This creates pressure on already limited social and utilities services and public infrastructure</w:t>
      </w:r>
      <w:r w:rsidR="001E314E">
        <w:t xml:space="preserve">. </w:t>
      </w:r>
      <w:r w:rsidRPr="00AD39DD">
        <w:t>Competition for jobs in the formal sector is high</w:t>
      </w:r>
      <w:r w:rsidR="001E314E">
        <w:t xml:space="preserve">. </w:t>
      </w:r>
      <w:r>
        <w:t>Only 49 per cent of young women (15</w:t>
      </w:r>
      <w:r w:rsidR="00026BEA">
        <w:t xml:space="preserve"> to </w:t>
      </w:r>
      <w:r>
        <w:t>24 year</w:t>
      </w:r>
      <w:r w:rsidR="00026BEA">
        <w:t>s of age</w:t>
      </w:r>
      <w:r>
        <w:t>) participate in the labour force, compared with 67 per cent of young men.</w:t>
      </w:r>
      <w:r w:rsidR="007D5F1C">
        <w:rPr>
          <w:rStyle w:val="FootnoteReference"/>
        </w:rPr>
        <w:footnoteReference w:id="8"/>
      </w:r>
    </w:p>
    <w:p w:rsidR="00A50E9F" w:rsidRDefault="00A50E9F" w:rsidP="0098404C">
      <w:pPr>
        <w:pStyle w:val="BodyText"/>
      </w:pPr>
      <w:r>
        <w:t>While e</w:t>
      </w:r>
      <w:r w:rsidRPr="00DD6947">
        <w:t xml:space="preserve">conomic </w:t>
      </w:r>
      <w:r>
        <w:t>activity remains</w:t>
      </w:r>
      <w:r w:rsidRPr="00DD6947">
        <w:t xml:space="preserve"> concentrated in urban centres, pa</w:t>
      </w:r>
      <w:r>
        <w:t xml:space="preserve">rticularly Port Vila, the economic growth of the past decade has translated into increased incomes for many </w:t>
      </w:r>
      <w:proofErr w:type="spellStart"/>
      <w:proofErr w:type="gramStart"/>
      <w:r>
        <w:t>ni</w:t>
      </w:r>
      <w:proofErr w:type="spellEnd"/>
      <w:r>
        <w:t>-Vanuatu</w:t>
      </w:r>
      <w:proofErr w:type="gramEnd"/>
      <w:r w:rsidR="001E314E">
        <w:t xml:space="preserve">. </w:t>
      </w:r>
      <w:r>
        <w:t xml:space="preserve">Real per capita income increased to </w:t>
      </w:r>
      <w:r w:rsidRPr="00F36055">
        <w:t xml:space="preserve">approximately </w:t>
      </w:r>
      <w:r w:rsidR="007F2E8A">
        <w:t>US</w:t>
      </w:r>
      <w:r w:rsidRPr="000A601A">
        <w:t>$</w:t>
      </w:r>
      <w:r>
        <w:t>4330</w:t>
      </w:r>
      <w:r w:rsidRPr="000A601A">
        <w:t xml:space="preserve"> </w:t>
      </w:r>
      <w:r w:rsidR="00026BEA">
        <w:t>gross national income</w:t>
      </w:r>
      <w:r w:rsidRPr="000A601A">
        <w:t>/</w:t>
      </w:r>
      <w:r>
        <w:t>c</w:t>
      </w:r>
      <w:r w:rsidRPr="000A601A">
        <w:t>apita</w:t>
      </w:r>
      <w:r>
        <w:t xml:space="preserve"> </w:t>
      </w:r>
      <w:r w:rsidR="00DA0378">
        <w:t>purchasing power parity</w:t>
      </w:r>
      <w:r>
        <w:t xml:space="preserve"> in 2011</w:t>
      </w:r>
      <w:r w:rsidR="007C5D3B">
        <w:t>.</w:t>
      </w:r>
      <w:r w:rsidRPr="00C5718C">
        <w:rPr>
          <w:vertAlign w:val="superscript"/>
        </w:rPr>
        <w:footnoteReference w:id="9"/>
      </w:r>
      <w:r w:rsidR="001E314E">
        <w:t xml:space="preserve"> </w:t>
      </w:r>
      <w:r>
        <w:t>Extreme (or food) poverty halved between 2006 and 2010.</w:t>
      </w:r>
      <w:r>
        <w:rPr>
          <w:rStyle w:val="FootnoteReference"/>
        </w:rPr>
        <w:footnoteReference w:id="10"/>
      </w:r>
      <w:r>
        <w:t xml:space="preserve"> And inequality measures show</w:t>
      </w:r>
      <w:r w:rsidR="00DA0378">
        <w:t>ed that</w:t>
      </w:r>
      <w:r>
        <w:t xml:space="preserve"> the gap </w:t>
      </w:r>
      <w:r w:rsidR="0053451C">
        <w:t>between the least and most well-off</w:t>
      </w:r>
      <w:r>
        <w:t xml:space="preserve"> shrank over the same time period.</w:t>
      </w:r>
      <w:r>
        <w:rPr>
          <w:rStyle w:val="FootnoteReference"/>
        </w:rPr>
        <w:footnoteReference w:id="11"/>
      </w:r>
      <w:r w:rsidR="0098404C">
        <w:t xml:space="preserve"> </w:t>
      </w:r>
    </w:p>
    <w:p w:rsidR="00A50E9F" w:rsidRDefault="00A50E9F" w:rsidP="0098404C">
      <w:pPr>
        <w:pStyle w:val="BodyText"/>
      </w:pPr>
      <w:r>
        <w:t>However, n</w:t>
      </w:r>
      <w:r w:rsidR="00FE214C" w:rsidRPr="00DD6947">
        <w:t>either basic needs poverty nor hardship has</w:t>
      </w:r>
      <w:r w:rsidR="00FE214C">
        <w:t xml:space="preserve"> </w:t>
      </w:r>
      <w:r w:rsidR="00FE214C" w:rsidRPr="00DD6947">
        <w:t xml:space="preserve">been reduced to </w:t>
      </w:r>
      <w:r w:rsidR="00FE214C">
        <w:t>a</w:t>
      </w:r>
      <w:r w:rsidR="00FE214C" w:rsidRPr="00DD6947">
        <w:t xml:space="preserve"> level </w:t>
      </w:r>
      <w:r w:rsidR="00FE214C">
        <w:t xml:space="preserve">commensurate with </w:t>
      </w:r>
      <w:r w:rsidR="00FE214C" w:rsidRPr="00DD6947">
        <w:t xml:space="preserve">Vanuatu’s </w:t>
      </w:r>
      <w:r w:rsidR="00FE214C">
        <w:t xml:space="preserve">overall </w:t>
      </w:r>
      <w:r w:rsidR="00FE214C" w:rsidRPr="00DD6947">
        <w:t>economic performance</w:t>
      </w:r>
      <w:r w:rsidR="001E314E">
        <w:t xml:space="preserve">. </w:t>
      </w:r>
      <w:r w:rsidR="00436870">
        <w:t xml:space="preserve">Rates of </w:t>
      </w:r>
      <w:r w:rsidR="009F5F45">
        <w:t>w</w:t>
      </w:r>
      <w:r w:rsidR="00FE214C">
        <w:t>omen and men</w:t>
      </w:r>
      <w:r w:rsidR="00FE214C" w:rsidRPr="00DD6947">
        <w:t xml:space="preserve"> living below the national poverty line decreased </w:t>
      </w:r>
      <w:r>
        <w:t>only marginally</w:t>
      </w:r>
      <w:r w:rsidR="00DA0378">
        <w:t>,</w:t>
      </w:r>
      <w:r>
        <w:t xml:space="preserve"> </w:t>
      </w:r>
      <w:r w:rsidR="00FE214C" w:rsidRPr="00DD6947">
        <w:t xml:space="preserve">from 13 per cent in 2006 to 12.7 per cent in 2010, with another </w:t>
      </w:r>
      <w:r w:rsidR="00FE214C">
        <w:t xml:space="preserve">approximately </w:t>
      </w:r>
      <w:r w:rsidR="00FE214C" w:rsidRPr="00DD6947">
        <w:t>20 per cent vulnerable to slipping below this poverty line.</w:t>
      </w:r>
      <w:r w:rsidR="00FE214C" w:rsidRPr="004933B8">
        <w:rPr>
          <w:vertAlign w:val="superscript"/>
        </w:rPr>
        <w:footnoteReference w:id="12"/>
      </w:r>
      <w:r w:rsidR="00FE214C" w:rsidRPr="00DD6947">
        <w:t xml:space="preserve"> </w:t>
      </w:r>
      <w:proofErr w:type="gramStart"/>
      <w:r w:rsidR="00FE214C" w:rsidRPr="00DD6947">
        <w:t xml:space="preserve">Around </w:t>
      </w:r>
      <w:r w:rsidR="00DA0378">
        <w:t>one-</w:t>
      </w:r>
      <w:r w:rsidR="00FE214C" w:rsidRPr="00DD6947">
        <w:t>third of the population lack access to multiple services</w:t>
      </w:r>
      <w:r w:rsidR="00B14C83">
        <w:t>,</w:t>
      </w:r>
      <w:r w:rsidR="00FE214C">
        <w:t xml:space="preserve"> including </w:t>
      </w:r>
      <w:r w:rsidR="00FE214C" w:rsidRPr="00DD6947">
        <w:t>quality education, basic health, regular and safe water supply, and affordable transport and utilities</w:t>
      </w:r>
      <w:r w:rsidR="007C5D3B">
        <w:t>.</w:t>
      </w:r>
      <w:proofErr w:type="gramEnd"/>
      <w:r w:rsidR="00FE214C" w:rsidRPr="004933B8">
        <w:rPr>
          <w:vertAlign w:val="superscript"/>
        </w:rPr>
        <w:footnoteReference w:id="13"/>
      </w:r>
      <w:r w:rsidR="001E314E">
        <w:t xml:space="preserve"> </w:t>
      </w:r>
      <w:r w:rsidR="00436870">
        <w:t>I</w:t>
      </w:r>
      <w:r w:rsidR="007C2C8D">
        <w:t>n urban areas</w:t>
      </w:r>
      <w:r w:rsidR="00DA0378">
        <w:t>,</w:t>
      </w:r>
      <w:r w:rsidR="00FE214C">
        <w:t xml:space="preserve"> poverty rates are</w:t>
      </w:r>
      <w:r w:rsidR="00436870">
        <w:t xml:space="preserve"> proportional</w:t>
      </w:r>
      <w:r w:rsidR="00B1115D">
        <w:t>l</w:t>
      </w:r>
      <w:r w:rsidR="00436870">
        <w:t>y</w:t>
      </w:r>
      <w:r w:rsidR="00FE214C">
        <w:t xml:space="preserve"> highest.</w:t>
      </w:r>
      <w:r w:rsidR="0030218A">
        <w:rPr>
          <w:rStyle w:val="FootnoteReference"/>
        </w:rPr>
        <w:footnoteReference w:id="14"/>
      </w:r>
      <w:r w:rsidR="0098404C">
        <w:t xml:space="preserve"> </w:t>
      </w:r>
    </w:p>
    <w:p w:rsidR="00CE1109" w:rsidRDefault="00A50E9F" w:rsidP="0098404C">
      <w:pPr>
        <w:pStyle w:val="BodyText"/>
      </w:pPr>
      <w:r>
        <w:t xml:space="preserve">The </w:t>
      </w:r>
      <w:r w:rsidR="004F668E">
        <w:t xml:space="preserve">poverty context </w:t>
      </w:r>
      <w:r>
        <w:t>requir</w:t>
      </w:r>
      <w:r w:rsidR="008879B4">
        <w:t>es</w:t>
      </w:r>
      <w:r>
        <w:t xml:space="preserve"> further investi</w:t>
      </w:r>
      <w:r w:rsidR="00C54AB6">
        <w:t>gation to</w:t>
      </w:r>
      <w:r w:rsidR="004F668E">
        <w:t xml:space="preserve"> </w:t>
      </w:r>
      <w:r w:rsidR="008879B4">
        <w:t xml:space="preserve">better </w:t>
      </w:r>
      <w:r w:rsidR="00C54AB6">
        <w:t xml:space="preserve">understand the </w:t>
      </w:r>
      <w:r w:rsidR="00B75E95">
        <w:t>obstacles</w:t>
      </w:r>
      <w:r w:rsidR="00C54AB6">
        <w:t xml:space="preserve"> to pover</w:t>
      </w:r>
      <w:r w:rsidR="004F668E">
        <w:t>t</w:t>
      </w:r>
      <w:r w:rsidR="00C54AB6">
        <w:t>y reduction</w:t>
      </w:r>
      <w:r w:rsidR="008879B4">
        <w:t xml:space="preserve"> and ensure donor and Vanuatu resources are appropriately targeted</w:t>
      </w:r>
      <w:r w:rsidR="001E314E">
        <w:t xml:space="preserve">. </w:t>
      </w:r>
      <w:r>
        <w:t>This will</w:t>
      </w:r>
      <w:r w:rsidR="00C54AB6">
        <w:t xml:space="preserve"> continue to be a focus of </w:t>
      </w:r>
      <w:r w:rsidR="008879B4">
        <w:t>ongoing analytical work.</w:t>
      </w:r>
    </w:p>
    <w:p w:rsidR="00FB118A" w:rsidRDefault="00FE214C" w:rsidP="0098404C">
      <w:pPr>
        <w:pStyle w:val="BodyText"/>
      </w:pPr>
      <w:r w:rsidRPr="00DD6947">
        <w:t>Vanuatu’s progress towards the Millennium Development Goals (MDGs) is mixed. The country is on</w:t>
      </w:r>
      <w:r w:rsidR="007C5D3B">
        <w:t xml:space="preserve"> </w:t>
      </w:r>
      <w:r w:rsidRPr="00DD6947">
        <w:t>track to achieve MDG 4 (child mortality) and MDG 6 (HIV/AIDs, malaria and other diseases).</w:t>
      </w:r>
      <w:r w:rsidRPr="00A766E3">
        <w:rPr>
          <w:vertAlign w:val="superscript"/>
        </w:rPr>
        <w:footnoteReference w:id="15"/>
      </w:r>
      <w:r w:rsidR="0098404C">
        <w:t xml:space="preserve"> </w:t>
      </w:r>
      <w:r w:rsidRPr="002F5AF4">
        <w:t>However, the country has made uneven progress or is off</w:t>
      </w:r>
      <w:r w:rsidR="007C5D3B">
        <w:t xml:space="preserve"> </w:t>
      </w:r>
      <w:r w:rsidRPr="002F5AF4">
        <w:t>track on all other goals</w:t>
      </w:r>
      <w:r w:rsidR="001E314E">
        <w:t xml:space="preserve">. </w:t>
      </w:r>
      <w:r w:rsidRPr="002F5AF4">
        <w:t>This is despite relatively high budgetary allocations to the health and education sectors</w:t>
      </w:r>
      <w:r w:rsidR="001E314E">
        <w:t xml:space="preserve">. </w:t>
      </w:r>
      <w:r w:rsidR="00436870" w:rsidRPr="002F5AF4">
        <w:t>Political and bureaucratic in</w:t>
      </w:r>
      <w:r w:rsidR="002F5AF4" w:rsidRPr="002F5AF4">
        <w:t>stability</w:t>
      </w:r>
      <w:r w:rsidR="00436870" w:rsidRPr="002F5AF4">
        <w:t xml:space="preserve"> slowed and at times stalled implementation across initiatives in all sectors</w:t>
      </w:r>
      <w:r w:rsidR="001E314E">
        <w:t xml:space="preserve">. </w:t>
      </w:r>
    </w:p>
    <w:p w:rsidR="008879B4" w:rsidRDefault="008879B4" w:rsidP="0098404C">
      <w:pPr>
        <w:pStyle w:val="BodyText"/>
      </w:pPr>
      <w:r>
        <w:t xml:space="preserve">In response to the, often rapidly, changing political economy and context, </w:t>
      </w:r>
      <w:r w:rsidR="00DA0378">
        <w:t xml:space="preserve">Australia’s </w:t>
      </w:r>
      <w:r>
        <w:t xml:space="preserve">aid program continues to </w:t>
      </w:r>
      <w:r w:rsidR="008D0682">
        <w:t xml:space="preserve">adjust </w:t>
      </w:r>
      <w:r w:rsidR="00C228DC">
        <w:t xml:space="preserve">its </w:t>
      </w:r>
      <w:r>
        <w:t xml:space="preserve">mix of partners (government, civil society and private sector) </w:t>
      </w:r>
      <w:r w:rsidR="00436870">
        <w:t xml:space="preserve">and delivery </w:t>
      </w:r>
      <w:r w:rsidR="00C228DC">
        <w:t xml:space="preserve">mechanisms </w:t>
      </w:r>
      <w:r>
        <w:t>to improve effectiveness and results</w:t>
      </w:r>
      <w:r w:rsidR="001E314E">
        <w:t xml:space="preserve">. </w:t>
      </w:r>
      <w:r>
        <w:t xml:space="preserve">A focus of the aid program over the reporting period was bedding down new approaches in education and infrastructure and considering options in </w:t>
      </w:r>
      <w:r w:rsidR="00DA0378">
        <w:t>health</w:t>
      </w:r>
      <w:r w:rsidR="001E314E">
        <w:t xml:space="preserve">. </w:t>
      </w:r>
      <w:r w:rsidR="00F67F31">
        <w:t>Careful consideration continues to also be given to</w:t>
      </w:r>
      <w:r w:rsidR="00436870">
        <w:t xml:space="preserve"> assessing and strengthen</w:t>
      </w:r>
      <w:r w:rsidR="00B1115D">
        <w:t>ing</w:t>
      </w:r>
      <w:r w:rsidR="00436870">
        <w:t xml:space="preserve"> public</w:t>
      </w:r>
      <w:r w:rsidR="00F67F31">
        <w:t xml:space="preserve"> financial management and procurement capacity to ensure appropriate approaches to </w:t>
      </w:r>
      <w:r w:rsidR="00DA0378">
        <w:t>using</w:t>
      </w:r>
      <w:r w:rsidR="00F67F31">
        <w:t xml:space="preserve"> Vanuatu systems.</w:t>
      </w:r>
    </w:p>
    <w:p w:rsidR="00DA0378" w:rsidRDefault="005F4446" w:rsidP="0098404C">
      <w:pPr>
        <w:pStyle w:val="BodyText"/>
      </w:pPr>
      <w:r>
        <w:lastRenderedPageBreak/>
        <w:t>A central issue in Vanuatu is the relationship between formal and informal (</w:t>
      </w:r>
      <w:proofErr w:type="spellStart"/>
      <w:r>
        <w:rPr>
          <w:i/>
        </w:rPr>
        <w:t>kastom</w:t>
      </w:r>
      <w:proofErr w:type="spellEnd"/>
      <w:r>
        <w:t>) institutions</w:t>
      </w:r>
      <w:r w:rsidR="001E314E">
        <w:t xml:space="preserve">. </w:t>
      </w:r>
      <w:r w:rsidR="006120F8">
        <w:t xml:space="preserve">As </w:t>
      </w:r>
      <w:r w:rsidR="0035380D">
        <w:t xml:space="preserve">the </w:t>
      </w:r>
      <w:r w:rsidR="006120F8">
        <w:t>2007 D</w:t>
      </w:r>
      <w:r w:rsidR="00B1115D">
        <w:t>rivers of Change study reported</w:t>
      </w:r>
      <w:r w:rsidR="00DA0378">
        <w:t>:</w:t>
      </w:r>
    </w:p>
    <w:p w:rsidR="00DA0378" w:rsidRPr="0098404C" w:rsidRDefault="00DA0378" w:rsidP="0098404C">
      <w:pPr>
        <w:pStyle w:val="BodyText"/>
        <w:rPr>
          <w:i/>
        </w:rPr>
      </w:pPr>
      <w:r w:rsidRPr="0098404C">
        <w:rPr>
          <w:i/>
        </w:rPr>
        <w:t xml:space="preserve">… </w:t>
      </w:r>
      <w:proofErr w:type="gramStart"/>
      <w:r w:rsidR="00B1115D" w:rsidRPr="0098404C">
        <w:rPr>
          <w:i/>
        </w:rPr>
        <w:t>t</w:t>
      </w:r>
      <w:r w:rsidR="006120F8" w:rsidRPr="0098404C">
        <w:rPr>
          <w:i/>
        </w:rPr>
        <w:t>he</w:t>
      </w:r>
      <w:proofErr w:type="gramEnd"/>
      <w:r w:rsidR="006120F8" w:rsidRPr="0098404C">
        <w:rPr>
          <w:i/>
        </w:rPr>
        <w:t xml:space="preserve"> most obvious unfinished element of the state building project in Vanuatu is the limited reach of the state outside the capital</w:t>
      </w:r>
      <w:r w:rsidR="00805BE3" w:rsidRPr="0098404C">
        <w:rPr>
          <w:i/>
        </w:rPr>
        <w:t>. By contrast, customary and informal institutions at local level are seen as legitimate and relevant to people’s lives</w:t>
      </w:r>
      <w:r w:rsidR="001E314E" w:rsidRPr="0098404C">
        <w:rPr>
          <w:i/>
        </w:rPr>
        <w:t>.</w:t>
      </w:r>
      <w:r w:rsidR="0035380D" w:rsidRPr="0098404C">
        <w:rPr>
          <w:rStyle w:val="FootnoteReference"/>
          <w:i/>
        </w:rPr>
        <w:footnoteReference w:id="16"/>
      </w:r>
      <w:r w:rsidR="001E314E" w:rsidRPr="0098404C">
        <w:rPr>
          <w:i/>
        </w:rPr>
        <w:t xml:space="preserve"> </w:t>
      </w:r>
    </w:p>
    <w:p w:rsidR="005F4446" w:rsidRPr="00661FEF" w:rsidRDefault="005F4446" w:rsidP="0098404C">
      <w:pPr>
        <w:pStyle w:val="BodyText"/>
      </w:pPr>
      <w:r>
        <w:t>This continues to be a significant consideration in determining appropriate Australian aid investments</w:t>
      </w:r>
      <w:r w:rsidR="00DA0378">
        <w:t>,</w:t>
      </w:r>
      <w:r>
        <w:t xml:space="preserve"> particularly in the</w:t>
      </w:r>
      <w:r w:rsidR="00805BE3">
        <w:t xml:space="preserve"> land</w:t>
      </w:r>
      <w:r w:rsidR="00B1115D">
        <w:t xml:space="preserve"> a</w:t>
      </w:r>
      <w:r w:rsidR="00DA0378">
        <w:t>s well as</w:t>
      </w:r>
      <w:r>
        <w:t xml:space="preserve"> law and justice sectors</w:t>
      </w:r>
      <w:r w:rsidR="001E314E">
        <w:t xml:space="preserve">. </w:t>
      </w:r>
      <w:r>
        <w:t>C</w:t>
      </w:r>
      <w:r w:rsidRPr="008D0682">
        <w:t xml:space="preserve">ivil society </w:t>
      </w:r>
      <w:r>
        <w:t>also plays an important</w:t>
      </w:r>
      <w:r w:rsidRPr="008D0682">
        <w:t xml:space="preserve"> implementation role </w:t>
      </w:r>
      <w:r>
        <w:t xml:space="preserve">in Vanuatu </w:t>
      </w:r>
      <w:r w:rsidRPr="008D0682">
        <w:t xml:space="preserve">with churches and </w:t>
      </w:r>
      <w:r w:rsidR="00DA0378">
        <w:t xml:space="preserve">non-government organisations </w:t>
      </w:r>
      <w:r w:rsidRPr="008D0682">
        <w:t>helping to</w:t>
      </w:r>
      <w:r w:rsidR="00C15076">
        <w:t xml:space="preserve"> advocate for and</w:t>
      </w:r>
      <w:r w:rsidRPr="008D0682">
        <w:t xml:space="preserve"> deliver services in a number of sectors</w:t>
      </w:r>
      <w:r w:rsidR="001E314E">
        <w:t xml:space="preserve">. </w:t>
      </w:r>
      <w:r w:rsidR="00661FEF">
        <w:t>The role of organisations like</w:t>
      </w:r>
      <w:r w:rsidR="00214790">
        <w:t xml:space="preserve"> the theatre group</w:t>
      </w:r>
      <w:r w:rsidR="00661FEF">
        <w:t xml:space="preserve"> </w:t>
      </w:r>
      <w:r w:rsidR="00661FEF">
        <w:rPr>
          <w:i/>
        </w:rPr>
        <w:t xml:space="preserve">Wan </w:t>
      </w:r>
      <w:proofErr w:type="spellStart"/>
      <w:r w:rsidR="00661FEF">
        <w:rPr>
          <w:i/>
        </w:rPr>
        <w:t>Smolbag</w:t>
      </w:r>
      <w:proofErr w:type="spellEnd"/>
      <w:r w:rsidR="0035380D">
        <w:rPr>
          <w:rStyle w:val="FootnoteReference"/>
          <w:i/>
        </w:rPr>
        <w:footnoteReference w:id="17"/>
      </w:r>
      <w:r w:rsidR="00661FEF">
        <w:t>, supported by Australia and New Zealand, is critical in influencing thinking and behaviour and shining a</w:t>
      </w:r>
      <w:r w:rsidR="00E27B2E">
        <w:t xml:space="preserve"> </w:t>
      </w:r>
      <w:r w:rsidR="00661FEF">
        <w:t>spotlight on social and political issues affecting Vanuatu society.</w:t>
      </w:r>
    </w:p>
    <w:p w:rsidR="00A50E9F" w:rsidRPr="00DD6947" w:rsidRDefault="00F95385" w:rsidP="0098404C">
      <w:pPr>
        <w:pStyle w:val="BodyText"/>
      </w:pPr>
      <w:r w:rsidRPr="002F5AF4">
        <w:t>Vanuatu held general elections in October 2012</w:t>
      </w:r>
      <w:r w:rsidR="001E314E">
        <w:t xml:space="preserve">. </w:t>
      </w:r>
      <w:r w:rsidR="0053451C" w:rsidRPr="002F5AF4">
        <w:t>It</w:t>
      </w:r>
      <w:r w:rsidRPr="002F5AF4">
        <w:t xml:space="preserve">s newly elected government </w:t>
      </w:r>
      <w:r w:rsidR="0053451C" w:rsidRPr="002F5AF4">
        <w:t>was</w:t>
      </w:r>
      <w:r w:rsidRPr="002F5AF4">
        <w:t xml:space="preserve"> ousted in a parliamentary vote of no confidence</w:t>
      </w:r>
      <w:r w:rsidR="0053451C" w:rsidRPr="002F5AF4">
        <w:t xml:space="preserve"> within six months of taking office</w:t>
      </w:r>
      <w:r w:rsidR="001E314E">
        <w:t xml:space="preserve">. </w:t>
      </w:r>
      <w:r w:rsidRPr="002F5AF4">
        <w:t>Vanuatu has a history of frequent changes of government through such no-confidence motions</w:t>
      </w:r>
      <w:r w:rsidR="001E314E">
        <w:t xml:space="preserve">. </w:t>
      </w:r>
      <w:r w:rsidRPr="002F5AF4">
        <w:t>Australia supported the election process through the Australian Election Commission, Centre for</w:t>
      </w:r>
      <w:r>
        <w:t xml:space="preserve"> Democratic Institutions and Pacific Island Public Policy Centre</w:t>
      </w:r>
      <w:r w:rsidR="001E314E">
        <w:t xml:space="preserve">. </w:t>
      </w:r>
      <w:r w:rsidRPr="00FB118A">
        <w:rPr>
          <w:i/>
        </w:rPr>
        <w:t xml:space="preserve">Wan </w:t>
      </w:r>
      <w:proofErr w:type="spellStart"/>
      <w:r w:rsidRPr="00FB118A">
        <w:rPr>
          <w:i/>
        </w:rPr>
        <w:t>Smolbag</w:t>
      </w:r>
      <w:proofErr w:type="spellEnd"/>
      <w:r>
        <w:t xml:space="preserve"> travelled throughout the country providing information on the election, voting rights and the role of members of parliament</w:t>
      </w:r>
      <w:r w:rsidR="001E314E">
        <w:t xml:space="preserve">. </w:t>
      </w:r>
      <w:r>
        <w:t>Vanuatu’s only woman parliamentarian lost her seat in the 2012 elections.</w:t>
      </w:r>
    </w:p>
    <w:p w:rsidR="00F95385" w:rsidRPr="0096024F" w:rsidRDefault="00F95385" w:rsidP="0098404C">
      <w:pPr>
        <w:pStyle w:val="BodyText"/>
      </w:pPr>
      <w:r w:rsidRPr="00E27B2E">
        <w:t xml:space="preserve">Australian development assistance accounts for around half of all </w:t>
      </w:r>
      <w:r w:rsidR="00A50E9F" w:rsidRPr="00E27B2E">
        <w:t xml:space="preserve">aid </w:t>
      </w:r>
      <w:r w:rsidRPr="00E27B2E">
        <w:t>to Vanuatu</w:t>
      </w:r>
      <w:r w:rsidR="001E314E">
        <w:t>.</w:t>
      </w:r>
      <w:r w:rsidR="0098404C">
        <w:t xml:space="preserve"> </w:t>
      </w:r>
      <w:r w:rsidR="00AE1243">
        <w:t>A breakdown of expenditure is at Tables 1A and 1B.</w:t>
      </w:r>
      <w:r w:rsidR="0098404C">
        <w:t xml:space="preserve"> </w:t>
      </w:r>
      <w:r w:rsidR="00F67F31" w:rsidRPr="00E27B2E">
        <w:t>The Vanuatu</w:t>
      </w:r>
      <w:r w:rsidR="0059107C">
        <w:t xml:space="preserve"> – </w:t>
      </w:r>
      <w:r w:rsidR="00F67F31" w:rsidRPr="00E27B2E">
        <w:t>Australia</w:t>
      </w:r>
      <w:r w:rsidR="00C15076">
        <w:t xml:space="preserve"> bilateral</w:t>
      </w:r>
      <w:r w:rsidR="00F67F31" w:rsidRPr="00E27B2E">
        <w:t xml:space="preserve"> Partnership for Development </w:t>
      </w:r>
      <w:r w:rsidR="00B1115D">
        <w:t>a</w:t>
      </w:r>
      <w:r w:rsidR="00C15076">
        <w:t>rticulates the priority areas for Australian aid as: education,</w:t>
      </w:r>
      <w:r w:rsidR="00214790">
        <w:t xml:space="preserve"> health,</w:t>
      </w:r>
      <w:r w:rsidR="00C15076">
        <w:t xml:space="preserve"> infrastructure</w:t>
      </w:r>
      <w:r w:rsidR="00AE1243">
        <w:t>,</w:t>
      </w:r>
      <w:r w:rsidR="00C15076">
        <w:t xml:space="preserve"> economic governance</w:t>
      </w:r>
      <w:r w:rsidR="00AE1243">
        <w:t xml:space="preserve"> and law and justice</w:t>
      </w:r>
      <w:r w:rsidR="00C15076">
        <w:t xml:space="preserve">. </w:t>
      </w:r>
    </w:p>
    <w:p w:rsidR="00180B19" w:rsidRPr="00180B19" w:rsidRDefault="00180B19" w:rsidP="0098404C">
      <w:pPr>
        <w:pStyle w:val="Heading1"/>
      </w:pPr>
      <w:r w:rsidRPr="00180B19">
        <w:t>Expenditure</w:t>
      </w:r>
    </w:p>
    <w:p w:rsidR="00BE65E4" w:rsidRPr="0098404C" w:rsidRDefault="00BE65E4" w:rsidP="00F06518">
      <w:pPr>
        <w:pStyle w:val="Caption"/>
      </w:pPr>
      <w:r w:rsidRPr="0098404C">
        <w:t xml:space="preserve">Table </w:t>
      </w:r>
      <w:fldSimple w:instr=" SEQ Table \* ARABIC ">
        <w:r w:rsidR="00EF35A5">
          <w:rPr>
            <w:noProof/>
          </w:rPr>
          <w:t>1</w:t>
        </w:r>
      </w:fldSimple>
      <w:proofErr w:type="gramStart"/>
      <w:r w:rsidRPr="0098404C">
        <w:t>A</w:t>
      </w:r>
      <w:proofErr w:type="gramEnd"/>
      <w:r w:rsidRPr="0098404C">
        <w:t xml:space="preserve"> Expenditure 01 Jan</w:t>
      </w:r>
      <w:r w:rsidR="00872B03">
        <w:t>uary</w:t>
      </w:r>
      <w:r w:rsidRPr="0098404C">
        <w:t xml:space="preserve"> 2012</w:t>
      </w:r>
      <w:r w:rsidR="00D7130C" w:rsidRPr="0098404C">
        <w:t>–</w:t>
      </w:r>
      <w:r w:rsidRPr="0098404C">
        <w:t>30 Jun</w:t>
      </w:r>
      <w:r w:rsidR="00872B03">
        <w:t>e</w:t>
      </w:r>
      <w:r w:rsidRPr="0098404C">
        <w:t xml:space="preserve"> </w:t>
      </w:r>
      <w:r w:rsidR="009A28D2" w:rsidRPr="0098404C">
        <w:t>2012</w:t>
      </w:r>
    </w:p>
    <w:tbl>
      <w:tblPr>
        <w:tblStyle w:val="APPR"/>
        <w:tblW w:w="5000" w:type="pct"/>
        <w:tblLayout w:type="fixed"/>
        <w:tblLook w:val="0000" w:firstRow="0" w:lastRow="0" w:firstColumn="0" w:lastColumn="0" w:noHBand="0" w:noVBand="0"/>
      </w:tblPr>
      <w:tblGrid>
        <w:gridCol w:w="6131"/>
        <w:gridCol w:w="998"/>
        <w:gridCol w:w="1477"/>
      </w:tblGrid>
      <w:tr w:rsidR="00180B19"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180B19" w:rsidRPr="0098404C" w:rsidRDefault="00180B19" w:rsidP="0098404C">
            <w:pPr>
              <w:pStyle w:val="TableTextColumnHeading"/>
            </w:pPr>
            <w:r w:rsidRPr="0098404C">
              <w:t>Objective</w:t>
            </w:r>
          </w:p>
        </w:tc>
        <w:tc>
          <w:tcPr>
            <w:tcW w:w="964" w:type="dxa"/>
          </w:tcPr>
          <w:p w:rsidR="00180B19" w:rsidRPr="0098404C" w:rsidRDefault="00180B19" w:rsidP="0098404C">
            <w:pPr>
              <w:pStyle w:val="TableTextColumnHeading"/>
            </w:pPr>
            <w:r w:rsidRPr="0098404C">
              <w:t>A$ million</w:t>
            </w:r>
          </w:p>
        </w:tc>
        <w:tc>
          <w:tcPr>
            <w:tcW w:w="1426" w:type="dxa"/>
          </w:tcPr>
          <w:p w:rsidR="00180B19" w:rsidRPr="0098404C" w:rsidRDefault="00180B19" w:rsidP="0098404C">
            <w:pPr>
              <w:pStyle w:val="TableTextColumnHeading"/>
            </w:pPr>
            <w:r w:rsidRPr="0098404C">
              <w:t>% of program</w:t>
            </w:r>
          </w:p>
        </w:tc>
      </w:tr>
      <w:tr w:rsidR="004566DD"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566DD" w:rsidRPr="0098404C" w:rsidRDefault="00611AC8" w:rsidP="0098404C">
            <w:pPr>
              <w:pStyle w:val="TableTextEntries"/>
            </w:pPr>
            <w:r w:rsidRPr="0098404C">
              <w:t>Country</w:t>
            </w:r>
            <w:r w:rsidR="004566DD" w:rsidRPr="0098404C">
              <w:t xml:space="preserve"> </w:t>
            </w:r>
            <w:r w:rsidR="00214790" w:rsidRPr="0098404C">
              <w:t>p</w:t>
            </w:r>
            <w:r w:rsidR="004566DD" w:rsidRPr="0098404C">
              <w:t>rogram</w:t>
            </w:r>
            <w:r w:rsidR="00295C0E" w:rsidRPr="0098404C">
              <w:t xml:space="preserve"> </w:t>
            </w:r>
            <w:r w:rsidR="00214790" w:rsidRPr="0098404C">
              <w:t>t</w:t>
            </w:r>
            <w:r w:rsidR="00295C0E" w:rsidRPr="0098404C">
              <w:t>otal</w:t>
            </w:r>
          </w:p>
        </w:tc>
        <w:tc>
          <w:tcPr>
            <w:tcW w:w="964" w:type="dxa"/>
          </w:tcPr>
          <w:p w:rsidR="004566DD" w:rsidRPr="0098404C" w:rsidRDefault="00295C0E" w:rsidP="0098404C">
            <w:pPr>
              <w:pStyle w:val="TableTextEntries"/>
            </w:pPr>
            <w:r w:rsidRPr="0098404C">
              <w:t>28.9</w:t>
            </w:r>
          </w:p>
        </w:tc>
        <w:tc>
          <w:tcPr>
            <w:tcW w:w="1426" w:type="dxa"/>
          </w:tcPr>
          <w:p w:rsidR="004566DD" w:rsidRPr="0098404C" w:rsidRDefault="00611AC8" w:rsidP="0098404C">
            <w:pPr>
              <w:pStyle w:val="TableTextEntries"/>
            </w:pPr>
            <w:r w:rsidRPr="0098404C">
              <w:t>75.9</w:t>
            </w:r>
          </w:p>
        </w:tc>
      </w:tr>
      <w:tr w:rsidR="004C4A3E"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C4A3E" w:rsidRPr="0098404C" w:rsidRDefault="004566DD" w:rsidP="0098404C">
            <w:pPr>
              <w:pStyle w:val="TableTextEntries"/>
            </w:pPr>
            <w:r w:rsidRPr="0098404C">
              <w:t>Education</w:t>
            </w:r>
          </w:p>
        </w:tc>
        <w:tc>
          <w:tcPr>
            <w:tcW w:w="964" w:type="dxa"/>
          </w:tcPr>
          <w:p w:rsidR="004C4A3E" w:rsidRPr="0098404C" w:rsidRDefault="00295C0E" w:rsidP="0098404C">
            <w:pPr>
              <w:pStyle w:val="TableTextEntries"/>
            </w:pPr>
            <w:r w:rsidRPr="0098404C">
              <w:t>6.8</w:t>
            </w:r>
          </w:p>
        </w:tc>
        <w:tc>
          <w:tcPr>
            <w:tcW w:w="1426" w:type="dxa"/>
          </w:tcPr>
          <w:p w:rsidR="004C4A3E" w:rsidRPr="0098404C" w:rsidRDefault="00611AC8" w:rsidP="0098404C">
            <w:pPr>
              <w:pStyle w:val="TableTextEntries"/>
            </w:pPr>
            <w:r w:rsidRPr="0098404C">
              <w:t>18.0</w:t>
            </w:r>
          </w:p>
        </w:tc>
      </w:tr>
      <w:tr w:rsidR="004C4A3E"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C4A3E" w:rsidRPr="0098404C" w:rsidRDefault="004566DD" w:rsidP="0098404C">
            <w:pPr>
              <w:pStyle w:val="TableTextEntries"/>
            </w:pPr>
            <w:r w:rsidRPr="0098404C">
              <w:t>Health</w:t>
            </w:r>
          </w:p>
        </w:tc>
        <w:tc>
          <w:tcPr>
            <w:tcW w:w="964" w:type="dxa"/>
          </w:tcPr>
          <w:p w:rsidR="004C4A3E" w:rsidRPr="0098404C" w:rsidRDefault="00295C0E" w:rsidP="0098404C">
            <w:pPr>
              <w:pStyle w:val="TableTextEntries"/>
            </w:pPr>
            <w:r w:rsidRPr="0098404C">
              <w:t>3.6</w:t>
            </w:r>
          </w:p>
        </w:tc>
        <w:tc>
          <w:tcPr>
            <w:tcW w:w="1426" w:type="dxa"/>
          </w:tcPr>
          <w:p w:rsidR="004C4A3E" w:rsidRPr="0098404C" w:rsidRDefault="00611AC8" w:rsidP="0098404C">
            <w:pPr>
              <w:pStyle w:val="TableTextEntries"/>
            </w:pPr>
            <w:r w:rsidRPr="0098404C">
              <w:t>9.4</w:t>
            </w:r>
          </w:p>
        </w:tc>
      </w:tr>
      <w:tr w:rsidR="004C4A3E"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C4A3E" w:rsidRPr="0098404C" w:rsidRDefault="004566DD" w:rsidP="0098404C">
            <w:pPr>
              <w:pStyle w:val="TableTextEntries"/>
            </w:pPr>
            <w:r w:rsidRPr="0098404C">
              <w:t>Infrastructure</w:t>
            </w:r>
          </w:p>
        </w:tc>
        <w:tc>
          <w:tcPr>
            <w:tcW w:w="964" w:type="dxa"/>
          </w:tcPr>
          <w:p w:rsidR="004C4A3E" w:rsidRPr="0098404C" w:rsidRDefault="00295C0E" w:rsidP="0098404C">
            <w:pPr>
              <w:pStyle w:val="TableTextEntries"/>
            </w:pPr>
            <w:r w:rsidRPr="0098404C">
              <w:t>9.3</w:t>
            </w:r>
          </w:p>
        </w:tc>
        <w:tc>
          <w:tcPr>
            <w:tcW w:w="1426" w:type="dxa"/>
          </w:tcPr>
          <w:p w:rsidR="004C4A3E" w:rsidRPr="0098404C" w:rsidRDefault="00611AC8" w:rsidP="0098404C">
            <w:pPr>
              <w:pStyle w:val="TableTextEntries"/>
            </w:pPr>
            <w:r w:rsidRPr="0098404C">
              <w:t>24.5</w:t>
            </w:r>
          </w:p>
        </w:tc>
      </w:tr>
      <w:tr w:rsidR="004566DD"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566DD" w:rsidRPr="0098404C" w:rsidRDefault="004566DD" w:rsidP="0098404C">
            <w:pPr>
              <w:pStyle w:val="TableTextEntries"/>
            </w:pPr>
            <w:r w:rsidRPr="0098404C">
              <w:t xml:space="preserve">Economic </w:t>
            </w:r>
            <w:r w:rsidR="00214790" w:rsidRPr="0098404C">
              <w:t>g</w:t>
            </w:r>
            <w:r w:rsidRPr="0098404C">
              <w:t>overnance</w:t>
            </w:r>
          </w:p>
        </w:tc>
        <w:tc>
          <w:tcPr>
            <w:tcW w:w="964" w:type="dxa"/>
          </w:tcPr>
          <w:p w:rsidR="004566DD" w:rsidRPr="0098404C" w:rsidRDefault="00295C0E" w:rsidP="0098404C">
            <w:pPr>
              <w:pStyle w:val="TableTextEntries"/>
            </w:pPr>
            <w:r w:rsidRPr="0098404C">
              <w:t>5.8</w:t>
            </w:r>
          </w:p>
        </w:tc>
        <w:tc>
          <w:tcPr>
            <w:tcW w:w="1426" w:type="dxa"/>
          </w:tcPr>
          <w:p w:rsidR="004566DD" w:rsidRPr="0098404C" w:rsidRDefault="00611AC8" w:rsidP="0098404C">
            <w:pPr>
              <w:pStyle w:val="TableTextEntries"/>
            </w:pPr>
            <w:r w:rsidRPr="0098404C">
              <w:t>15.2</w:t>
            </w:r>
          </w:p>
        </w:tc>
      </w:tr>
      <w:tr w:rsidR="004566DD"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566DD" w:rsidRPr="0098404C" w:rsidRDefault="004566DD" w:rsidP="0098404C">
            <w:pPr>
              <w:pStyle w:val="TableTextEntries"/>
            </w:pPr>
            <w:r w:rsidRPr="0098404C">
              <w:t xml:space="preserve">Law and </w:t>
            </w:r>
            <w:r w:rsidR="00214790" w:rsidRPr="0098404C">
              <w:t>justice</w:t>
            </w:r>
          </w:p>
        </w:tc>
        <w:tc>
          <w:tcPr>
            <w:tcW w:w="964" w:type="dxa"/>
          </w:tcPr>
          <w:p w:rsidR="004566DD" w:rsidRPr="0098404C" w:rsidRDefault="00295C0E" w:rsidP="0098404C">
            <w:pPr>
              <w:pStyle w:val="TableTextEntries"/>
            </w:pPr>
            <w:r w:rsidRPr="0098404C">
              <w:t>3.2</w:t>
            </w:r>
          </w:p>
        </w:tc>
        <w:tc>
          <w:tcPr>
            <w:tcW w:w="1426" w:type="dxa"/>
          </w:tcPr>
          <w:p w:rsidR="004566DD" w:rsidRPr="0098404C" w:rsidRDefault="00611AC8" w:rsidP="0098404C">
            <w:pPr>
              <w:pStyle w:val="TableTextEntries"/>
            </w:pPr>
            <w:r w:rsidRPr="0098404C">
              <w:t>8.8</w:t>
            </w:r>
          </w:p>
        </w:tc>
      </w:tr>
      <w:tr w:rsidR="004566DD"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566DD" w:rsidRPr="0098404C" w:rsidRDefault="004566DD" w:rsidP="0098404C">
            <w:pPr>
              <w:pStyle w:val="TableTextEntries"/>
            </w:pPr>
            <w:r w:rsidRPr="0098404C">
              <w:t>Regional</w:t>
            </w:r>
            <w:r w:rsidR="00214790" w:rsidRPr="0098404C">
              <w:t xml:space="preserve"> and/or g</w:t>
            </w:r>
            <w:r w:rsidRPr="0098404C">
              <w:t xml:space="preserve">lobal </w:t>
            </w:r>
            <w:r w:rsidR="00214790" w:rsidRPr="0098404C">
              <w:t>p</w:t>
            </w:r>
            <w:r w:rsidRPr="0098404C">
              <w:t>rograms</w:t>
            </w:r>
          </w:p>
        </w:tc>
        <w:tc>
          <w:tcPr>
            <w:tcW w:w="964" w:type="dxa"/>
          </w:tcPr>
          <w:p w:rsidR="004566DD" w:rsidRPr="0098404C" w:rsidRDefault="00611AC8" w:rsidP="0098404C">
            <w:pPr>
              <w:pStyle w:val="TableTextEntries"/>
            </w:pPr>
            <w:r w:rsidRPr="0098404C">
              <w:t>7.9</w:t>
            </w:r>
          </w:p>
        </w:tc>
        <w:tc>
          <w:tcPr>
            <w:tcW w:w="1426" w:type="dxa"/>
          </w:tcPr>
          <w:p w:rsidR="004566DD" w:rsidRPr="0098404C" w:rsidRDefault="00611AC8" w:rsidP="0098404C">
            <w:pPr>
              <w:pStyle w:val="TableTextEntries"/>
            </w:pPr>
            <w:r w:rsidRPr="0098404C">
              <w:t>20.8</w:t>
            </w:r>
          </w:p>
        </w:tc>
      </w:tr>
      <w:tr w:rsidR="004566DD"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566DD" w:rsidRPr="0098404C" w:rsidRDefault="004566DD" w:rsidP="0098404C">
            <w:pPr>
              <w:pStyle w:val="TableTextEntries"/>
            </w:pPr>
            <w:r w:rsidRPr="0098404C">
              <w:t>Other government departments</w:t>
            </w:r>
          </w:p>
        </w:tc>
        <w:tc>
          <w:tcPr>
            <w:tcW w:w="964" w:type="dxa"/>
          </w:tcPr>
          <w:p w:rsidR="004566DD" w:rsidRPr="0098404C" w:rsidRDefault="00611AC8" w:rsidP="0098404C">
            <w:pPr>
              <w:pStyle w:val="TableTextEntries"/>
            </w:pPr>
            <w:r w:rsidRPr="0098404C">
              <w:t>1.3</w:t>
            </w:r>
          </w:p>
        </w:tc>
        <w:tc>
          <w:tcPr>
            <w:tcW w:w="1426" w:type="dxa"/>
          </w:tcPr>
          <w:p w:rsidR="004566DD" w:rsidRPr="0098404C" w:rsidRDefault="00611AC8" w:rsidP="0098404C">
            <w:pPr>
              <w:pStyle w:val="TableTextEntries"/>
            </w:pPr>
            <w:r w:rsidRPr="0098404C">
              <w:t>3.3</w:t>
            </w:r>
          </w:p>
        </w:tc>
      </w:tr>
      <w:tr w:rsidR="004566DD" w:rsidRPr="004566DD"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4566DD" w:rsidRPr="0098404C" w:rsidRDefault="004566DD" w:rsidP="0098404C">
            <w:pPr>
              <w:pStyle w:val="TableTextColumnHeading"/>
            </w:pPr>
            <w:r w:rsidRPr="0098404C">
              <w:t>Total</w:t>
            </w:r>
          </w:p>
        </w:tc>
        <w:tc>
          <w:tcPr>
            <w:tcW w:w="964" w:type="dxa"/>
          </w:tcPr>
          <w:p w:rsidR="004566DD" w:rsidRPr="0098404C" w:rsidRDefault="00611AC8" w:rsidP="0098404C">
            <w:pPr>
              <w:pStyle w:val="TableTextColumnHeading"/>
            </w:pPr>
            <w:r w:rsidRPr="0098404C">
              <w:t>38</w:t>
            </w:r>
          </w:p>
        </w:tc>
        <w:tc>
          <w:tcPr>
            <w:tcW w:w="1426" w:type="dxa"/>
          </w:tcPr>
          <w:p w:rsidR="004566DD" w:rsidRPr="0098404C" w:rsidRDefault="00895F05" w:rsidP="0098404C">
            <w:pPr>
              <w:pStyle w:val="TableTextColumnHeading"/>
            </w:pPr>
            <w:r w:rsidRPr="0098404C">
              <w:t>100.0</w:t>
            </w:r>
          </w:p>
        </w:tc>
      </w:tr>
    </w:tbl>
    <w:p w:rsidR="00F06518" w:rsidRDefault="00F06518" w:rsidP="00617F0C">
      <w:pPr>
        <w:pStyle w:val="Note"/>
        <w:rPr>
          <w:rFonts w:ascii="Arial" w:hAnsi="Arial" w:cs="Arial"/>
          <w:color w:val="7E6D5F"/>
          <w:szCs w:val="19"/>
        </w:rPr>
      </w:pPr>
      <w:r>
        <w:br w:type="page"/>
      </w:r>
    </w:p>
    <w:p w:rsidR="00180B19" w:rsidRPr="00180B19" w:rsidRDefault="00180B19" w:rsidP="00F06518">
      <w:pPr>
        <w:pStyle w:val="Caption"/>
      </w:pPr>
      <w:r w:rsidRPr="00180B19">
        <w:lastRenderedPageBreak/>
        <w:t>Table 1B Estimated expenditure in FY 2012</w:t>
      </w:r>
      <w:r w:rsidR="00D7130C">
        <w:t>–</w:t>
      </w:r>
      <w:r w:rsidRPr="00180B19">
        <w:t>13</w:t>
      </w:r>
      <w:r w:rsidR="00A50E9F">
        <w:t xml:space="preserve"> (as at </w:t>
      </w:r>
      <w:r w:rsidR="002225BA">
        <w:t>21</w:t>
      </w:r>
      <w:r w:rsidR="00A50E9F">
        <w:t xml:space="preserve"> June 2013)</w:t>
      </w:r>
    </w:p>
    <w:tbl>
      <w:tblPr>
        <w:tblStyle w:val="APPR"/>
        <w:tblW w:w="5000" w:type="pct"/>
        <w:tblLayout w:type="fixed"/>
        <w:tblLook w:val="0000" w:firstRow="0" w:lastRow="0" w:firstColumn="0" w:lastColumn="0" w:noHBand="0" w:noVBand="0"/>
      </w:tblPr>
      <w:tblGrid>
        <w:gridCol w:w="6131"/>
        <w:gridCol w:w="998"/>
        <w:gridCol w:w="1477"/>
      </w:tblGrid>
      <w:tr w:rsidR="00100AA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100AA2" w:rsidRPr="0098404C" w:rsidRDefault="00100AA2" w:rsidP="0098404C">
            <w:pPr>
              <w:pStyle w:val="TableHeading1"/>
              <w:rPr>
                <w:b/>
              </w:rPr>
            </w:pPr>
            <w:r w:rsidRPr="0098404C">
              <w:rPr>
                <w:b/>
              </w:rPr>
              <w:t>Objective</w:t>
            </w:r>
          </w:p>
        </w:tc>
        <w:tc>
          <w:tcPr>
            <w:tcW w:w="964" w:type="dxa"/>
          </w:tcPr>
          <w:p w:rsidR="00100AA2" w:rsidRPr="0098404C" w:rsidRDefault="00100AA2" w:rsidP="0098404C">
            <w:pPr>
              <w:pStyle w:val="TableHeading1"/>
              <w:rPr>
                <w:b/>
              </w:rPr>
            </w:pPr>
            <w:r w:rsidRPr="0098404C">
              <w:rPr>
                <w:b/>
              </w:rPr>
              <w:t>A$ million</w:t>
            </w:r>
          </w:p>
        </w:tc>
        <w:tc>
          <w:tcPr>
            <w:tcW w:w="1426" w:type="dxa"/>
          </w:tcPr>
          <w:p w:rsidR="00100AA2" w:rsidRPr="0098404C" w:rsidRDefault="00100AA2" w:rsidP="0098404C">
            <w:pPr>
              <w:pStyle w:val="TableHeading1"/>
              <w:rPr>
                <w:b/>
              </w:rPr>
            </w:pPr>
            <w:r w:rsidRPr="0098404C">
              <w:rPr>
                <w:b/>
              </w:rPr>
              <w:t>% of program</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 xml:space="preserve">Country </w:t>
            </w:r>
            <w:r w:rsidR="00214790" w:rsidRPr="0098404C">
              <w:t>p</w:t>
            </w:r>
            <w:r w:rsidRPr="0098404C">
              <w:t>rogram</w:t>
            </w:r>
          </w:p>
        </w:tc>
        <w:tc>
          <w:tcPr>
            <w:tcW w:w="964" w:type="dxa"/>
          </w:tcPr>
          <w:p w:rsidR="00744362" w:rsidRPr="0098404C" w:rsidRDefault="008E54CC" w:rsidP="0098404C">
            <w:pPr>
              <w:pStyle w:val="TableTextEntries"/>
            </w:pPr>
            <w:r w:rsidRPr="0098404C">
              <w:t>3</w:t>
            </w:r>
            <w:r w:rsidR="00A1097C" w:rsidRPr="0098404C">
              <w:t>7</w:t>
            </w:r>
            <w:r w:rsidRPr="0098404C">
              <w:t>.</w:t>
            </w:r>
            <w:r w:rsidR="00A1097C" w:rsidRPr="0098404C">
              <w:t>1</w:t>
            </w:r>
          </w:p>
        </w:tc>
        <w:tc>
          <w:tcPr>
            <w:tcW w:w="1426" w:type="dxa"/>
          </w:tcPr>
          <w:p w:rsidR="00744362" w:rsidRPr="0098404C" w:rsidRDefault="008E54CC" w:rsidP="0098404C">
            <w:pPr>
              <w:pStyle w:val="TableTextEntries"/>
            </w:pPr>
            <w:r w:rsidRPr="0098404C">
              <w:t>6</w:t>
            </w:r>
            <w:r w:rsidR="00A1097C" w:rsidRPr="0098404C">
              <w:t>5</w:t>
            </w:r>
            <w:r w:rsidRPr="0098404C">
              <w:t>.</w:t>
            </w:r>
            <w:r w:rsidR="00A1097C" w:rsidRPr="0098404C">
              <w:t>4</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Education</w:t>
            </w:r>
          </w:p>
        </w:tc>
        <w:tc>
          <w:tcPr>
            <w:tcW w:w="964" w:type="dxa"/>
          </w:tcPr>
          <w:p w:rsidR="00744362" w:rsidRPr="0098404C" w:rsidRDefault="002225BA" w:rsidP="0098404C">
            <w:pPr>
              <w:pStyle w:val="TableTextEntries"/>
            </w:pPr>
            <w:r w:rsidRPr="0098404C">
              <w:t>9.2</w:t>
            </w:r>
          </w:p>
        </w:tc>
        <w:tc>
          <w:tcPr>
            <w:tcW w:w="1426" w:type="dxa"/>
          </w:tcPr>
          <w:p w:rsidR="00744362" w:rsidRPr="0098404C" w:rsidRDefault="008E54CC" w:rsidP="0098404C">
            <w:pPr>
              <w:pStyle w:val="TableTextEntries"/>
            </w:pPr>
            <w:r w:rsidRPr="0098404C">
              <w:t>1</w:t>
            </w:r>
            <w:r w:rsidR="002225BA" w:rsidRPr="0098404C">
              <w:t>6</w:t>
            </w:r>
            <w:r w:rsidRPr="0098404C">
              <w:t>.</w:t>
            </w:r>
            <w:r w:rsidR="002225BA" w:rsidRPr="0098404C">
              <w:t>1</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Health</w:t>
            </w:r>
          </w:p>
        </w:tc>
        <w:tc>
          <w:tcPr>
            <w:tcW w:w="964" w:type="dxa"/>
          </w:tcPr>
          <w:p w:rsidR="00744362" w:rsidRPr="0098404C" w:rsidRDefault="008E54CC" w:rsidP="0098404C">
            <w:pPr>
              <w:pStyle w:val="TableTextEntries"/>
            </w:pPr>
            <w:r w:rsidRPr="0098404C">
              <w:t>7.</w:t>
            </w:r>
            <w:r w:rsidR="002225BA" w:rsidRPr="0098404C">
              <w:t>3</w:t>
            </w:r>
          </w:p>
        </w:tc>
        <w:tc>
          <w:tcPr>
            <w:tcW w:w="1426" w:type="dxa"/>
          </w:tcPr>
          <w:p w:rsidR="00744362" w:rsidRPr="0098404C" w:rsidRDefault="008E54CC" w:rsidP="0098404C">
            <w:pPr>
              <w:pStyle w:val="TableTextEntries"/>
            </w:pPr>
            <w:r w:rsidRPr="0098404C">
              <w:t>12.</w:t>
            </w:r>
            <w:r w:rsidR="002225BA" w:rsidRPr="0098404C">
              <w:t>8</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Infrastructure</w:t>
            </w:r>
          </w:p>
        </w:tc>
        <w:tc>
          <w:tcPr>
            <w:tcW w:w="964" w:type="dxa"/>
          </w:tcPr>
          <w:p w:rsidR="00744362" w:rsidRPr="0098404C" w:rsidRDefault="008E54CC" w:rsidP="0098404C">
            <w:pPr>
              <w:pStyle w:val="TableTextEntries"/>
            </w:pPr>
            <w:r w:rsidRPr="0098404C">
              <w:t>1.</w:t>
            </w:r>
            <w:r w:rsidR="002225BA" w:rsidRPr="0098404C">
              <w:t>3</w:t>
            </w:r>
          </w:p>
        </w:tc>
        <w:tc>
          <w:tcPr>
            <w:tcW w:w="1426" w:type="dxa"/>
          </w:tcPr>
          <w:p w:rsidR="00744362" w:rsidRPr="0098404C" w:rsidRDefault="002225BA" w:rsidP="0098404C">
            <w:pPr>
              <w:pStyle w:val="TableTextEntries"/>
            </w:pPr>
            <w:r w:rsidRPr="0098404C">
              <w:t>2.3</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 xml:space="preserve">Economic </w:t>
            </w:r>
            <w:r w:rsidR="00214790" w:rsidRPr="0098404C">
              <w:t>g</w:t>
            </w:r>
            <w:r w:rsidRPr="0098404C">
              <w:t>overnance</w:t>
            </w:r>
          </w:p>
        </w:tc>
        <w:tc>
          <w:tcPr>
            <w:tcW w:w="964" w:type="dxa"/>
          </w:tcPr>
          <w:p w:rsidR="00744362" w:rsidRPr="0098404C" w:rsidRDefault="008E54CC" w:rsidP="0098404C">
            <w:pPr>
              <w:pStyle w:val="TableTextEntries"/>
            </w:pPr>
            <w:r w:rsidRPr="0098404C">
              <w:t>14.</w:t>
            </w:r>
            <w:r w:rsidR="002225BA" w:rsidRPr="0098404C">
              <w:t>8</w:t>
            </w:r>
          </w:p>
        </w:tc>
        <w:tc>
          <w:tcPr>
            <w:tcW w:w="1426" w:type="dxa"/>
          </w:tcPr>
          <w:p w:rsidR="00744362" w:rsidRPr="0098404C" w:rsidRDefault="008E54CC" w:rsidP="0098404C">
            <w:pPr>
              <w:pStyle w:val="TableTextEntries"/>
            </w:pPr>
            <w:r w:rsidRPr="0098404C">
              <w:t>2</w:t>
            </w:r>
            <w:r w:rsidR="002225BA" w:rsidRPr="0098404C">
              <w:t>6</w:t>
            </w:r>
            <w:r w:rsidRPr="0098404C">
              <w:t>.0</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 xml:space="preserve">Law and </w:t>
            </w:r>
            <w:r w:rsidR="00214790" w:rsidRPr="0098404C">
              <w:t>j</w:t>
            </w:r>
            <w:r w:rsidRPr="0098404C">
              <w:t>ustice</w:t>
            </w:r>
          </w:p>
        </w:tc>
        <w:tc>
          <w:tcPr>
            <w:tcW w:w="964" w:type="dxa"/>
          </w:tcPr>
          <w:p w:rsidR="00744362" w:rsidRPr="0098404C" w:rsidRDefault="00A1097C" w:rsidP="0098404C">
            <w:pPr>
              <w:pStyle w:val="TableTextEntries"/>
            </w:pPr>
            <w:r w:rsidRPr="0098404C">
              <w:t>4.</w:t>
            </w:r>
            <w:r w:rsidR="002225BA" w:rsidRPr="0098404C">
              <w:t>6</w:t>
            </w:r>
          </w:p>
        </w:tc>
        <w:tc>
          <w:tcPr>
            <w:tcW w:w="1426" w:type="dxa"/>
          </w:tcPr>
          <w:p w:rsidR="00744362" w:rsidRPr="0098404C" w:rsidRDefault="002225BA" w:rsidP="0098404C">
            <w:pPr>
              <w:pStyle w:val="TableTextEntries"/>
            </w:pPr>
            <w:r w:rsidRPr="0098404C">
              <w:t>8</w:t>
            </w:r>
            <w:r w:rsidR="008E54CC" w:rsidRPr="0098404C">
              <w:t>.</w:t>
            </w:r>
            <w:r w:rsidRPr="0098404C">
              <w:t>1</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Regional/</w:t>
            </w:r>
            <w:r w:rsidR="00214790" w:rsidRPr="0098404C">
              <w:t>g</w:t>
            </w:r>
            <w:r w:rsidRPr="0098404C">
              <w:t xml:space="preserve">lobal </w:t>
            </w:r>
            <w:r w:rsidR="00214790" w:rsidRPr="0098404C">
              <w:t>p</w:t>
            </w:r>
            <w:r w:rsidRPr="0098404C">
              <w:t>rograms</w:t>
            </w:r>
          </w:p>
        </w:tc>
        <w:tc>
          <w:tcPr>
            <w:tcW w:w="964" w:type="dxa"/>
          </w:tcPr>
          <w:p w:rsidR="00744362" w:rsidRPr="0098404C" w:rsidRDefault="008E54CC" w:rsidP="0098404C">
            <w:pPr>
              <w:pStyle w:val="TableTextEntries"/>
            </w:pPr>
            <w:r w:rsidRPr="0098404C">
              <w:t>18.2</w:t>
            </w:r>
          </w:p>
        </w:tc>
        <w:tc>
          <w:tcPr>
            <w:tcW w:w="1426" w:type="dxa"/>
          </w:tcPr>
          <w:p w:rsidR="00744362" w:rsidRPr="0098404C" w:rsidRDefault="008E54CC" w:rsidP="0098404C">
            <w:pPr>
              <w:pStyle w:val="TableTextEntries"/>
            </w:pPr>
            <w:r w:rsidRPr="0098404C">
              <w:t>32.</w:t>
            </w:r>
            <w:r w:rsidR="00A1097C" w:rsidRPr="0098404C">
              <w:t>1</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TextEntries"/>
            </w:pPr>
            <w:r w:rsidRPr="0098404C">
              <w:t>Other government departments</w:t>
            </w:r>
          </w:p>
        </w:tc>
        <w:tc>
          <w:tcPr>
            <w:tcW w:w="964" w:type="dxa"/>
          </w:tcPr>
          <w:p w:rsidR="00744362" w:rsidRPr="0098404C" w:rsidRDefault="008E54CC" w:rsidP="0098404C">
            <w:pPr>
              <w:pStyle w:val="TableTextEntries"/>
            </w:pPr>
            <w:r w:rsidRPr="0098404C">
              <w:t>1.4</w:t>
            </w:r>
          </w:p>
        </w:tc>
        <w:tc>
          <w:tcPr>
            <w:tcW w:w="1426" w:type="dxa"/>
          </w:tcPr>
          <w:p w:rsidR="00744362" w:rsidRPr="0098404C" w:rsidRDefault="008E54CC" w:rsidP="0098404C">
            <w:pPr>
              <w:pStyle w:val="TableTextEntries"/>
            </w:pPr>
            <w:r w:rsidRPr="0098404C">
              <w:t>2.5</w:t>
            </w:r>
          </w:p>
        </w:tc>
      </w:tr>
      <w:tr w:rsidR="00744362" w:rsidRPr="00180B19" w:rsidTr="0098404C">
        <w:trPr>
          <w:cnfStyle w:val="000000010000" w:firstRow="0" w:lastRow="0" w:firstColumn="0" w:lastColumn="0" w:oddVBand="0" w:evenVBand="0" w:oddHBand="0" w:evenHBand="1" w:firstRowFirstColumn="0" w:firstRowLastColumn="0" w:lastRowFirstColumn="0" w:lastRowLastColumn="0"/>
        </w:trPr>
        <w:tc>
          <w:tcPr>
            <w:tcW w:w="6048" w:type="dxa"/>
          </w:tcPr>
          <w:p w:rsidR="00744362" w:rsidRPr="0098404C" w:rsidRDefault="00744362" w:rsidP="0098404C">
            <w:pPr>
              <w:pStyle w:val="TableHeading1"/>
              <w:rPr>
                <w:b/>
              </w:rPr>
            </w:pPr>
            <w:r w:rsidRPr="0098404C">
              <w:rPr>
                <w:b/>
              </w:rPr>
              <w:t>Total</w:t>
            </w:r>
          </w:p>
        </w:tc>
        <w:tc>
          <w:tcPr>
            <w:tcW w:w="964" w:type="dxa"/>
          </w:tcPr>
          <w:p w:rsidR="00744362" w:rsidRPr="0098404C" w:rsidRDefault="008E54CC" w:rsidP="0098404C">
            <w:pPr>
              <w:pStyle w:val="TableHeading1"/>
              <w:rPr>
                <w:b/>
              </w:rPr>
            </w:pPr>
            <w:r w:rsidRPr="0098404C">
              <w:rPr>
                <w:b/>
              </w:rPr>
              <w:t>55.9</w:t>
            </w:r>
          </w:p>
        </w:tc>
        <w:tc>
          <w:tcPr>
            <w:tcW w:w="1426" w:type="dxa"/>
          </w:tcPr>
          <w:p w:rsidR="00744362" w:rsidRPr="0098404C" w:rsidRDefault="00895F05" w:rsidP="0098404C">
            <w:pPr>
              <w:pStyle w:val="TableHeading1"/>
              <w:rPr>
                <w:b/>
              </w:rPr>
            </w:pPr>
            <w:r w:rsidRPr="0098404C">
              <w:rPr>
                <w:b/>
              </w:rPr>
              <w:t>100.0</w:t>
            </w:r>
          </w:p>
        </w:tc>
      </w:tr>
    </w:tbl>
    <w:p w:rsidR="00180B19" w:rsidRPr="0098404C" w:rsidRDefault="00180B19" w:rsidP="0098404C">
      <w:pPr>
        <w:pStyle w:val="Heading1"/>
      </w:pPr>
      <w:r w:rsidRPr="0098404C">
        <w:t>Progress towards objectives</w:t>
      </w:r>
    </w:p>
    <w:p w:rsidR="00180B19" w:rsidRDefault="00744362" w:rsidP="0098404C">
      <w:pPr>
        <w:pStyle w:val="BodyText"/>
      </w:pPr>
      <w:r>
        <w:t xml:space="preserve">This section discusses progress against each </w:t>
      </w:r>
      <w:r w:rsidR="00214790">
        <w:t>program</w:t>
      </w:r>
      <w:r>
        <w:t xml:space="preserve"> objective from January 2012 to June 2013</w:t>
      </w:r>
      <w:r w:rsidR="001E314E">
        <w:t xml:space="preserve">. </w:t>
      </w:r>
      <w:r>
        <w:t xml:space="preserve">Table 2 provides a summary </w:t>
      </w:r>
      <w:r w:rsidR="00214790">
        <w:t>of the ratings assigned.</w:t>
      </w:r>
    </w:p>
    <w:p w:rsidR="00BE65E4" w:rsidRPr="0098404C" w:rsidRDefault="00BE65E4" w:rsidP="00F06518">
      <w:pPr>
        <w:pStyle w:val="Caption"/>
      </w:pPr>
      <w:r w:rsidRPr="0098404C">
        <w:t xml:space="preserve">Table </w:t>
      </w:r>
      <w:fldSimple w:instr=" SEQ Table \* ARABIC ">
        <w:r w:rsidR="00EF35A5">
          <w:rPr>
            <w:noProof/>
          </w:rPr>
          <w:t>2</w:t>
        </w:r>
      </w:fldSimple>
      <w:r w:rsidRPr="0098404C">
        <w:t xml:space="preserve"> Rating of the program's progress towards the objectives</w:t>
      </w:r>
    </w:p>
    <w:tbl>
      <w:tblPr>
        <w:tblStyle w:val="APPR"/>
        <w:tblW w:w="5000" w:type="pct"/>
        <w:tblLook w:val="0000" w:firstRow="0" w:lastRow="0" w:firstColumn="0" w:lastColumn="0" w:noHBand="0" w:noVBand="0"/>
      </w:tblPr>
      <w:tblGrid>
        <w:gridCol w:w="6426"/>
        <w:gridCol w:w="1057"/>
        <w:gridCol w:w="1123"/>
      </w:tblGrid>
      <w:tr w:rsidR="0098404C" w:rsidRPr="0019341B" w:rsidTr="0098404C">
        <w:trPr>
          <w:cnfStyle w:val="000000010000" w:firstRow="0" w:lastRow="0" w:firstColumn="0" w:lastColumn="0" w:oddVBand="0" w:evenVBand="0" w:oddHBand="0" w:evenHBand="1" w:firstRowFirstColumn="0" w:firstRowLastColumn="0" w:lastRowFirstColumn="0" w:lastRowLastColumn="0"/>
          <w:trHeight w:val="651"/>
        </w:trPr>
        <w:tc>
          <w:tcPr>
            <w:tcW w:w="6029" w:type="dxa"/>
          </w:tcPr>
          <w:p w:rsidR="0098404C" w:rsidRPr="0098404C" w:rsidRDefault="0098404C" w:rsidP="0098404C">
            <w:pPr>
              <w:pStyle w:val="TableTextColumnHeading"/>
            </w:pPr>
            <w:r w:rsidRPr="0098404C">
              <w:rPr>
                <w:noProof/>
                <w:lang w:eastAsia="en-AU"/>
              </w:rPr>
              <w:drawing>
                <wp:anchor distT="0" distB="0" distL="114300" distR="114300" simplePos="0" relativeHeight="251681792" behindDoc="0" locked="0" layoutInCell="1" allowOverlap="1" wp14:anchorId="3A454194" wp14:editId="0DF1940D">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04C">
              <w:t>Objective</w:t>
            </w:r>
          </w:p>
        </w:tc>
        <w:tc>
          <w:tcPr>
            <w:tcW w:w="972" w:type="dxa"/>
          </w:tcPr>
          <w:p w:rsidR="0098404C" w:rsidRPr="0098404C" w:rsidRDefault="0098404C" w:rsidP="0098404C">
            <w:pPr>
              <w:pStyle w:val="TableTextColumnHeading"/>
            </w:pPr>
            <w:r w:rsidRPr="0098404C">
              <w:t>Current rating</w:t>
            </w:r>
          </w:p>
        </w:tc>
        <w:tc>
          <w:tcPr>
            <w:tcW w:w="1021" w:type="dxa"/>
          </w:tcPr>
          <w:p w:rsidR="0098404C" w:rsidRPr="0098404C" w:rsidRDefault="0098404C" w:rsidP="0098404C">
            <w:pPr>
              <w:pStyle w:val="TableTextColumnHeading"/>
            </w:pPr>
            <w:r w:rsidRPr="0098404C">
              <w:t>Previous rating</w:t>
            </w:r>
          </w:p>
        </w:tc>
      </w:tr>
      <w:tr w:rsidR="0098404C" w:rsidRPr="009D53C4" w:rsidTr="0098404C">
        <w:trPr>
          <w:cnfStyle w:val="000000010000" w:firstRow="0" w:lastRow="0" w:firstColumn="0" w:lastColumn="0" w:oddVBand="0" w:evenVBand="0" w:oddHBand="0" w:evenHBand="1" w:firstRowFirstColumn="0" w:firstRowLastColumn="0" w:lastRowFirstColumn="0" w:lastRowLastColumn="0"/>
        </w:trPr>
        <w:tc>
          <w:tcPr>
            <w:tcW w:w="6029" w:type="dxa"/>
          </w:tcPr>
          <w:p w:rsidR="0098404C" w:rsidRPr="0098404C" w:rsidRDefault="0098404C" w:rsidP="0098404C">
            <w:pPr>
              <w:pStyle w:val="TableTextEntries"/>
            </w:pPr>
            <w:r w:rsidRPr="0098404C">
              <w:t>1. Support increased access to and quality of education for all boys and girls, and equip them with relevant skills and knowledge</w:t>
            </w:r>
          </w:p>
        </w:tc>
        <w:tc>
          <w:tcPr>
            <w:tcW w:w="972" w:type="dxa"/>
            <w:shd w:val="clear" w:color="auto" w:fill="F79646" w:themeFill="accent6"/>
            <w:noWrap/>
          </w:tcPr>
          <w:p w:rsidR="0098404C" w:rsidRPr="0098404C" w:rsidRDefault="0098404C" w:rsidP="0098404C">
            <w:pPr>
              <w:pStyle w:val="TableTextEntries"/>
            </w:pPr>
            <w:r w:rsidRPr="0098404C">
              <w:t>Amber</w:t>
            </w:r>
          </w:p>
        </w:tc>
        <w:tc>
          <w:tcPr>
            <w:tcW w:w="1021" w:type="dxa"/>
            <w:shd w:val="clear" w:color="auto" w:fill="FF0000"/>
            <w:noWrap/>
          </w:tcPr>
          <w:p w:rsidR="0098404C" w:rsidRPr="0098404C" w:rsidRDefault="0098404C" w:rsidP="0098404C">
            <w:pPr>
              <w:pStyle w:val="TableTextEntries"/>
            </w:pPr>
            <w:r w:rsidRPr="0098404C">
              <w:t>Red</w:t>
            </w:r>
          </w:p>
        </w:tc>
      </w:tr>
      <w:tr w:rsidR="0098404C" w:rsidRPr="009D53C4" w:rsidTr="0098404C">
        <w:trPr>
          <w:cnfStyle w:val="000000010000" w:firstRow="0" w:lastRow="0" w:firstColumn="0" w:lastColumn="0" w:oddVBand="0" w:evenVBand="0" w:oddHBand="0" w:evenHBand="1" w:firstRowFirstColumn="0" w:firstRowLastColumn="0" w:lastRowFirstColumn="0" w:lastRowLastColumn="0"/>
        </w:trPr>
        <w:tc>
          <w:tcPr>
            <w:tcW w:w="6029" w:type="dxa"/>
          </w:tcPr>
          <w:p w:rsidR="0098404C" w:rsidRPr="0098404C" w:rsidRDefault="0098404C" w:rsidP="0098404C">
            <w:pPr>
              <w:pStyle w:val="TableTextEntries"/>
            </w:pPr>
            <w:r w:rsidRPr="0098404C">
              <w:t>2. Strengthen health services and accelerate progress towards health MDGs</w:t>
            </w:r>
          </w:p>
        </w:tc>
        <w:tc>
          <w:tcPr>
            <w:tcW w:w="972" w:type="dxa"/>
            <w:shd w:val="clear" w:color="auto" w:fill="F79646" w:themeFill="accent6"/>
            <w:noWrap/>
          </w:tcPr>
          <w:p w:rsidR="0098404C" w:rsidRPr="0098404C" w:rsidRDefault="0098404C" w:rsidP="0098404C">
            <w:pPr>
              <w:pStyle w:val="TableTextEntries"/>
            </w:pPr>
            <w:r w:rsidRPr="0098404C">
              <w:t>Amber</w:t>
            </w:r>
          </w:p>
        </w:tc>
        <w:tc>
          <w:tcPr>
            <w:tcW w:w="1021" w:type="dxa"/>
            <w:shd w:val="clear" w:color="auto" w:fill="F79646" w:themeFill="accent6"/>
            <w:noWrap/>
          </w:tcPr>
          <w:p w:rsidR="0098404C" w:rsidRPr="0098404C" w:rsidRDefault="0098404C" w:rsidP="0098404C">
            <w:pPr>
              <w:pStyle w:val="TableTextEntries"/>
            </w:pPr>
            <w:r w:rsidRPr="0098404C">
              <w:t>Amber</w:t>
            </w:r>
          </w:p>
        </w:tc>
      </w:tr>
      <w:tr w:rsidR="0098404C" w:rsidRPr="009D53C4" w:rsidTr="0098404C">
        <w:trPr>
          <w:cnfStyle w:val="000000010000" w:firstRow="0" w:lastRow="0" w:firstColumn="0" w:lastColumn="0" w:oddVBand="0" w:evenVBand="0" w:oddHBand="0" w:evenHBand="1" w:firstRowFirstColumn="0" w:firstRowLastColumn="0" w:lastRowFirstColumn="0" w:lastRowLastColumn="0"/>
        </w:trPr>
        <w:tc>
          <w:tcPr>
            <w:tcW w:w="6029" w:type="dxa"/>
          </w:tcPr>
          <w:p w:rsidR="0098404C" w:rsidRPr="0098404C" w:rsidRDefault="0098404C" w:rsidP="0098404C">
            <w:pPr>
              <w:pStyle w:val="TableTextEntries"/>
            </w:pPr>
            <w:r w:rsidRPr="0098404C">
              <w:t>3. Develop essential infrastructure to support economic growth and service delivery</w:t>
            </w:r>
          </w:p>
        </w:tc>
        <w:tc>
          <w:tcPr>
            <w:tcW w:w="972" w:type="dxa"/>
            <w:shd w:val="clear" w:color="auto" w:fill="92D050"/>
            <w:noWrap/>
          </w:tcPr>
          <w:p w:rsidR="0098404C" w:rsidRPr="0098404C" w:rsidRDefault="0098404C" w:rsidP="0098404C">
            <w:pPr>
              <w:pStyle w:val="TableTextEntries"/>
            </w:pPr>
            <w:r w:rsidRPr="0098404C">
              <w:t>Green</w:t>
            </w:r>
          </w:p>
        </w:tc>
        <w:tc>
          <w:tcPr>
            <w:tcW w:w="1021" w:type="dxa"/>
            <w:shd w:val="clear" w:color="auto" w:fill="92D050"/>
            <w:noWrap/>
          </w:tcPr>
          <w:p w:rsidR="0098404C" w:rsidRPr="0098404C" w:rsidRDefault="0098404C" w:rsidP="0098404C">
            <w:pPr>
              <w:pStyle w:val="TableTextEntries"/>
            </w:pPr>
            <w:r w:rsidRPr="0098404C">
              <w:t>Green</w:t>
            </w:r>
          </w:p>
        </w:tc>
      </w:tr>
      <w:tr w:rsidR="0098404C" w:rsidRPr="009D53C4" w:rsidTr="0098404C">
        <w:trPr>
          <w:cnfStyle w:val="000000010000" w:firstRow="0" w:lastRow="0" w:firstColumn="0" w:lastColumn="0" w:oddVBand="0" w:evenVBand="0" w:oddHBand="0" w:evenHBand="1" w:firstRowFirstColumn="0" w:firstRowLastColumn="0" w:lastRowFirstColumn="0" w:lastRowLastColumn="0"/>
        </w:trPr>
        <w:tc>
          <w:tcPr>
            <w:tcW w:w="6029" w:type="dxa"/>
          </w:tcPr>
          <w:p w:rsidR="0098404C" w:rsidRPr="0098404C" w:rsidRDefault="0098404C" w:rsidP="0098404C">
            <w:pPr>
              <w:pStyle w:val="TableTextEntries"/>
            </w:pPr>
            <w:r w:rsidRPr="0098404C">
              <w:t>4. Progress reform on economic governance issues</w:t>
            </w:r>
          </w:p>
        </w:tc>
        <w:tc>
          <w:tcPr>
            <w:tcW w:w="972" w:type="dxa"/>
            <w:shd w:val="clear" w:color="auto" w:fill="92D050"/>
            <w:noWrap/>
          </w:tcPr>
          <w:p w:rsidR="0098404C" w:rsidRPr="0098404C" w:rsidRDefault="0098404C" w:rsidP="0098404C">
            <w:pPr>
              <w:pStyle w:val="TableTextEntries"/>
            </w:pPr>
            <w:r w:rsidRPr="0098404C">
              <w:t>Green</w:t>
            </w:r>
          </w:p>
        </w:tc>
        <w:tc>
          <w:tcPr>
            <w:tcW w:w="1021" w:type="dxa"/>
            <w:shd w:val="clear" w:color="auto" w:fill="F79646" w:themeFill="accent6"/>
            <w:noWrap/>
          </w:tcPr>
          <w:p w:rsidR="0098404C" w:rsidRPr="0098404C" w:rsidRDefault="0098404C" w:rsidP="0098404C">
            <w:pPr>
              <w:pStyle w:val="TableTextEntries"/>
            </w:pPr>
            <w:r w:rsidRPr="0098404C">
              <w:t>Amber</w:t>
            </w:r>
          </w:p>
        </w:tc>
      </w:tr>
      <w:tr w:rsidR="0098404C" w:rsidRPr="009D53C4" w:rsidTr="0098404C">
        <w:trPr>
          <w:cnfStyle w:val="000000010000" w:firstRow="0" w:lastRow="0" w:firstColumn="0" w:lastColumn="0" w:oddVBand="0" w:evenVBand="0" w:oddHBand="0" w:evenHBand="1" w:firstRowFirstColumn="0" w:firstRowLastColumn="0" w:lastRowFirstColumn="0" w:lastRowLastColumn="0"/>
        </w:trPr>
        <w:tc>
          <w:tcPr>
            <w:tcW w:w="6029" w:type="dxa"/>
          </w:tcPr>
          <w:p w:rsidR="0098404C" w:rsidRPr="0098404C" w:rsidRDefault="0098404C" w:rsidP="0098404C">
            <w:pPr>
              <w:pStyle w:val="TableTextEntries"/>
            </w:pPr>
            <w:r w:rsidRPr="0098404C">
              <w:t>5. More effective legal institutions and improved police services</w:t>
            </w:r>
          </w:p>
        </w:tc>
        <w:tc>
          <w:tcPr>
            <w:tcW w:w="972" w:type="dxa"/>
            <w:shd w:val="clear" w:color="auto" w:fill="F79646" w:themeFill="accent6"/>
            <w:noWrap/>
          </w:tcPr>
          <w:p w:rsidR="0098404C" w:rsidRPr="0098404C" w:rsidRDefault="0098404C" w:rsidP="0098404C">
            <w:pPr>
              <w:pStyle w:val="TableTextEntries"/>
            </w:pPr>
            <w:r w:rsidRPr="0098404C">
              <w:t>Amber</w:t>
            </w:r>
          </w:p>
        </w:tc>
        <w:tc>
          <w:tcPr>
            <w:tcW w:w="1021" w:type="dxa"/>
            <w:shd w:val="clear" w:color="auto" w:fill="F79646" w:themeFill="accent6"/>
            <w:noWrap/>
          </w:tcPr>
          <w:p w:rsidR="0098404C" w:rsidRPr="0098404C" w:rsidRDefault="0098404C" w:rsidP="0098404C">
            <w:pPr>
              <w:pStyle w:val="TableTextEntries"/>
            </w:pPr>
            <w:r w:rsidRPr="0098404C">
              <w:t>Amber</w:t>
            </w:r>
          </w:p>
        </w:tc>
      </w:tr>
    </w:tbl>
    <w:p w:rsidR="00180B19" w:rsidRPr="00180B19" w:rsidRDefault="00180B19" w:rsidP="00100AA2">
      <w:pPr>
        <w:pStyle w:val="Note"/>
      </w:pPr>
      <w:r w:rsidRPr="00180B19">
        <w:t xml:space="preserve">Note: </w:t>
      </w:r>
    </w:p>
    <w:p w:rsidR="00180B19" w:rsidRPr="00180B19" w:rsidRDefault="00180B19" w:rsidP="00100AA2">
      <w:pPr>
        <w:pStyle w:val="Note"/>
      </w:pPr>
      <w:r w:rsidRPr="004C4A3E">
        <w:rPr>
          <w:color w:val="92D050"/>
        </w:rPr>
        <w:sym w:font="Webdings" w:char="F067"/>
      </w:r>
      <w:r w:rsidRPr="00180B19">
        <w:t> </w:t>
      </w:r>
      <w:r w:rsidRPr="00180B19">
        <w:t xml:space="preserve"> </w:t>
      </w:r>
      <w:proofErr w:type="gramStart"/>
      <w:r w:rsidR="00443639">
        <w:t>Green.</w:t>
      </w:r>
      <w:proofErr w:type="gramEnd"/>
      <w:r w:rsidR="00443639">
        <w:t xml:space="preserve"> </w:t>
      </w:r>
      <w:r w:rsidRPr="00180B19">
        <w:t>Progress is as expected for this point in time and it is likely that the objective will be achieved. Standard program management practices are sufficient.</w:t>
      </w:r>
    </w:p>
    <w:p w:rsidR="00180B19" w:rsidRPr="00180B19" w:rsidRDefault="00180B19" w:rsidP="00100AA2">
      <w:pPr>
        <w:pStyle w:val="Note"/>
      </w:pPr>
      <w:r w:rsidRPr="004C4A3E">
        <w:rPr>
          <w:color w:val="F79646" w:themeColor="accent6"/>
        </w:rPr>
        <w:sym w:font="Webdings" w:char="F067"/>
      </w:r>
      <w:r w:rsidRPr="00180B19">
        <w:t> </w:t>
      </w:r>
      <w:r w:rsidRPr="00180B19">
        <w:t xml:space="preserve"> </w:t>
      </w:r>
      <w:r w:rsidR="00443639">
        <w:t xml:space="preserve">Amber. </w:t>
      </w:r>
      <w:r w:rsidRPr="00180B19">
        <w:t>Progress is somewhat less than expected for this point in time and restorative action will be necessary if the objective is to be achieved. Close performance monitoring is recommended.</w:t>
      </w:r>
    </w:p>
    <w:p w:rsidR="00180B19" w:rsidRPr="00180B19" w:rsidRDefault="00180B19" w:rsidP="00020121">
      <w:pPr>
        <w:pStyle w:val="Note"/>
      </w:pPr>
      <w:r w:rsidRPr="004C4A3E">
        <w:rPr>
          <w:color w:val="FF0000"/>
        </w:rPr>
        <w:sym w:font="Webdings" w:char="F067"/>
      </w:r>
      <w:r w:rsidRPr="00180B19">
        <w:t> </w:t>
      </w:r>
      <w:r w:rsidRPr="00180B19">
        <w:t xml:space="preserve"> </w:t>
      </w:r>
      <w:proofErr w:type="gramStart"/>
      <w:r w:rsidR="00443639">
        <w:t>Red.</w:t>
      </w:r>
      <w:proofErr w:type="gramEnd"/>
      <w:r w:rsidR="00443639">
        <w:t xml:space="preserve"> </w:t>
      </w:r>
      <w:r w:rsidRPr="00180B19">
        <w:t xml:space="preserve">Progress is significantly less than expected for this point in time and the objective is not likely to be met given available resources and priorities. Recasting the objective may be required. </w:t>
      </w:r>
    </w:p>
    <w:p w:rsidR="00180B19" w:rsidRPr="0098404C" w:rsidRDefault="00180B19" w:rsidP="0098404C">
      <w:pPr>
        <w:pStyle w:val="Heading2"/>
      </w:pPr>
      <w:r w:rsidRPr="0098404C">
        <w:t>Objective</w:t>
      </w:r>
      <w:r w:rsidR="00C65930" w:rsidRPr="0098404C">
        <w:t xml:space="preserve"> </w:t>
      </w:r>
      <w:r w:rsidR="00744362" w:rsidRPr="0098404C">
        <w:t>1: Support increased access to and quality of education for all boys and girls, and equip them with skills and knowledge</w:t>
      </w:r>
    </w:p>
    <w:p w:rsidR="0033414F" w:rsidRDefault="0033414F" w:rsidP="0098404C">
      <w:pPr>
        <w:pStyle w:val="BodyText"/>
      </w:pPr>
      <w:r>
        <w:t>Recognising the poor literacy and numeracy rates of children in Vanuatu, as well as the high proportion of the youth population that is not part of the labour force, Australia is supporting increased access to and quality of education for all boys and girls</w:t>
      </w:r>
      <w:r w:rsidR="00214790">
        <w:t>. Australia is also</w:t>
      </w:r>
      <w:r>
        <w:t xml:space="preserve"> supporting technical and vocational education to provide relevant skills and knowledge for sustainable economic development.</w:t>
      </w:r>
    </w:p>
    <w:p w:rsidR="00C876B9" w:rsidRDefault="000C232F" w:rsidP="0098404C">
      <w:pPr>
        <w:pStyle w:val="BodyText"/>
      </w:pPr>
      <w:r>
        <w:t xml:space="preserve">Australia’s </w:t>
      </w:r>
      <w:r w:rsidR="005F4446">
        <w:t>program in education comprises</w:t>
      </w:r>
      <w:r w:rsidR="00C876B9">
        <w:t>:</w:t>
      </w:r>
      <w:r w:rsidR="005F4446">
        <w:t xml:space="preserve"> </w:t>
      </w:r>
      <w:r w:rsidR="00B1115D">
        <w:t xml:space="preserve">a </w:t>
      </w:r>
      <w:r w:rsidR="005F4446">
        <w:t xml:space="preserve">pooled funding mechanism </w:t>
      </w:r>
      <w:r w:rsidR="00C15076">
        <w:t xml:space="preserve">in basic education </w:t>
      </w:r>
      <w:r w:rsidR="00911214">
        <w:t>with</w:t>
      </w:r>
      <w:r w:rsidR="005F4446">
        <w:t xml:space="preserve"> New Zeal</w:t>
      </w:r>
      <w:r w:rsidR="00911214">
        <w:t>a</w:t>
      </w:r>
      <w:r w:rsidR="005F4446">
        <w:t xml:space="preserve">nd and </w:t>
      </w:r>
      <w:r w:rsidR="00214790">
        <w:t>the United Nations Children’s Fund (</w:t>
      </w:r>
      <w:r w:rsidR="005F4446">
        <w:t>UNICEF</w:t>
      </w:r>
      <w:r w:rsidR="00214790">
        <w:t>)</w:t>
      </w:r>
      <w:r w:rsidR="00C876B9">
        <w:t xml:space="preserve"> with most spending and reporting managed by the Vanuatu Government; a technical vocation education and training (TVET) program which has established</w:t>
      </w:r>
      <w:r w:rsidR="00E27B2E">
        <w:t xml:space="preserve"> TVET centres</w:t>
      </w:r>
      <w:r w:rsidR="00C876B9">
        <w:t xml:space="preserve"> in two provinces that offer training services; and a scholarships program</w:t>
      </w:r>
      <w:r w:rsidR="00D824F4">
        <w:t xml:space="preserve"> for study at Australian and regional universities</w:t>
      </w:r>
      <w:r w:rsidR="001E314E">
        <w:t xml:space="preserve">. </w:t>
      </w:r>
    </w:p>
    <w:p w:rsidR="005F4446" w:rsidRDefault="00C876B9" w:rsidP="0098404C">
      <w:pPr>
        <w:pStyle w:val="BodyText"/>
      </w:pPr>
      <w:r>
        <w:t>The</w:t>
      </w:r>
      <w:r w:rsidR="00C15076">
        <w:t xml:space="preserve"> overall</w:t>
      </w:r>
      <w:r>
        <w:t xml:space="preserve"> effectiveness</w:t>
      </w:r>
      <w:r w:rsidR="00C15076">
        <w:t xml:space="preserve"> </w:t>
      </w:r>
      <w:r>
        <w:t xml:space="preserve">of </w:t>
      </w:r>
      <w:r w:rsidR="00BF4872">
        <w:t>the</w:t>
      </w:r>
      <w:r w:rsidR="00C15076">
        <w:t xml:space="preserve"> education </w:t>
      </w:r>
      <w:r w:rsidR="00BF4872">
        <w:t>program improved</w:t>
      </w:r>
      <w:r>
        <w:t xml:space="preserve"> </w:t>
      </w:r>
      <w:r w:rsidR="00214790">
        <w:t>over</w:t>
      </w:r>
      <w:r>
        <w:t xml:space="preserve"> 2011</w:t>
      </w:r>
      <w:r w:rsidR="00A96F37">
        <w:t>,</w:t>
      </w:r>
      <w:r>
        <w:t xml:space="preserve"> driven largely by </w:t>
      </w:r>
      <w:r w:rsidR="00C15076">
        <w:t xml:space="preserve">continued </w:t>
      </w:r>
      <w:r>
        <w:t>successes in the TVET and</w:t>
      </w:r>
      <w:r w:rsidR="00C15076">
        <w:t xml:space="preserve"> scholarships program</w:t>
      </w:r>
      <w:r w:rsidR="009D3122">
        <w:t>s</w:t>
      </w:r>
      <w:r w:rsidR="00C15076">
        <w:t xml:space="preserve">, </w:t>
      </w:r>
      <w:r w:rsidR="00BF4872">
        <w:t xml:space="preserve">and </w:t>
      </w:r>
      <w:r w:rsidR="00C15076">
        <w:t>by</w:t>
      </w:r>
      <w:r>
        <w:t xml:space="preserve"> the steps taken to address performance concerns in basic education</w:t>
      </w:r>
      <w:r w:rsidR="001E314E">
        <w:t xml:space="preserve">. </w:t>
      </w:r>
      <w:r>
        <w:t xml:space="preserve">However, </w:t>
      </w:r>
      <w:r w:rsidR="00A96F37">
        <w:t xml:space="preserve">challenges </w:t>
      </w:r>
      <w:r>
        <w:t>remain and close performance monitoring continues to be necessary</w:t>
      </w:r>
      <w:r w:rsidR="001E314E">
        <w:t xml:space="preserve">. </w:t>
      </w:r>
      <w:r w:rsidR="006E2208">
        <w:t xml:space="preserve">The program is rated </w:t>
      </w:r>
      <w:r w:rsidR="0059107C">
        <w:t>‘a</w:t>
      </w:r>
      <w:r w:rsidR="006E2208">
        <w:t>mber</w:t>
      </w:r>
      <w:r w:rsidR="0059107C">
        <w:t>’</w:t>
      </w:r>
      <w:r w:rsidR="006E2208">
        <w:t xml:space="preserve"> compared with last ye</w:t>
      </w:r>
      <w:r w:rsidR="00E27B2E">
        <w:t>a</w:t>
      </w:r>
      <w:r w:rsidR="006E2208">
        <w:t>r</w:t>
      </w:r>
      <w:r w:rsidR="00A96F37">
        <w:t>’</w:t>
      </w:r>
      <w:r w:rsidR="006E2208">
        <w:t xml:space="preserve">s </w:t>
      </w:r>
      <w:r w:rsidR="0059107C">
        <w:t>‘</w:t>
      </w:r>
      <w:r w:rsidR="006E2208">
        <w:t>red</w:t>
      </w:r>
      <w:r w:rsidR="0059107C">
        <w:t>’</w:t>
      </w:r>
      <w:r w:rsidR="006E2208">
        <w:t>.</w:t>
      </w:r>
    </w:p>
    <w:p w:rsidR="0033414F" w:rsidRPr="00B8322F" w:rsidRDefault="0033414F" w:rsidP="0098404C">
      <w:pPr>
        <w:pStyle w:val="BodyText"/>
        <w:rPr>
          <w:vertAlign w:val="superscript"/>
        </w:rPr>
      </w:pPr>
      <w:r>
        <w:t xml:space="preserve">In terms of education quality, children are falling short of </w:t>
      </w:r>
      <w:r w:rsidR="00214790">
        <w:t xml:space="preserve">the </w:t>
      </w:r>
      <w:r>
        <w:t>literacy and numeracy standards expected for their year level.</w:t>
      </w:r>
      <w:r w:rsidRPr="00B8322F">
        <w:rPr>
          <w:vertAlign w:val="superscript"/>
        </w:rPr>
        <w:footnoteReference w:id="18"/>
      </w:r>
      <w:r w:rsidRPr="00B8322F">
        <w:rPr>
          <w:vertAlign w:val="superscript"/>
        </w:rPr>
        <w:t xml:space="preserve"> </w:t>
      </w:r>
      <w:r w:rsidR="005A2C21">
        <w:t>Correct school age entry (many children enrol late)</w:t>
      </w:r>
      <w:r>
        <w:t xml:space="preserve"> remains a problem and is likely to be </w:t>
      </w:r>
      <w:r w:rsidR="00214790">
        <w:t xml:space="preserve">having an </w:t>
      </w:r>
      <w:r>
        <w:t>impacting</w:t>
      </w:r>
      <w:r w:rsidR="00214790">
        <w:t xml:space="preserve"> on</w:t>
      </w:r>
      <w:r>
        <w:t xml:space="preserve"> </w:t>
      </w:r>
      <w:r w:rsidR="005A2C21">
        <w:t>survival rates to Y</w:t>
      </w:r>
      <w:r>
        <w:t>ear 6, which declined from 96.7</w:t>
      </w:r>
      <w:r w:rsidR="001E314E">
        <w:t xml:space="preserve"> per cent</w:t>
      </w:r>
      <w:r>
        <w:t xml:space="preserve"> in 2009 to 69.5</w:t>
      </w:r>
      <w:r w:rsidR="001E314E">
        <w:t xml:space="preserve"> per cent</w:t>
      </w:r>
      <w:r>
        <w:t xml:space="preserve"> in </w:t>
      </w:r>
      <w:r w:rsidRPr="002B4CDB">
        <w:t>2011</w:t>
      </w:r>
      <w:r w:rsidRPr="0031054B">
        <w:t>.</w:t>
      </w:r>
      <w:r w:rsidRPr="00B8322F">
        <w:rPr>
          <w:vertAlign w:val="superscript"/>
        </w:rPr>
        <w:footnoteReference w:id="19"/>
      </w:r>
      <w:r w:rsidR="0098404C">
        <w:rPr>
          <w:vertAlign w:val="superscript"/>
        </w:rPr>
        <w:t xml:space="preserve"> </w:t>
      </w:r>
      <w:r w:rsidRPr="0031054B">
        <w:t>T</w:t>
      </w:r>
      <w:r w:rsidRPr="002B4CDB">
        <w:t xml:space="preserve">he </w:t>
      </w:r>
      <w:r w:rsidR="005A2C21">
        <w:t xml:space="preserve">Year 6 </w:t>
      </w:r>
      <w:r w:rsidRPr="002B4CDB">
        <w:t>survival rate is one of the lowest in the Pacific</w:t>
      </w:r>
      <w:r w:rsidR="007D5F1C">
        <w:t>.</w:t>
      </w:r>
      <w:r w:rsidRPr="00B8322F">
        <w:rPr>
          <w:vertAlign w:val="superscript"/>
        </w:rPr>
        <w:footnoteReference w:id="20"/>
      </w:r>
    </w:p>
    <w:p w:rsidR="00192106" w:rsidRDefault="00214790" w:rsidP="0033414F">
      <w:pPr>
        <w:pStyle w:val="ListParagraph"/>
        <w:numPr>
          <w:ilvl w:val="0"/>
          <w:numId w:val="0"/>
        </w:numPr>
        <w:ind w:left="68"/>
      </w:pPr>
      <w:r w:rsidRPr="0098404C">
        <w:rPr>
          <w:rStyle w:val="BodyTextChar"/>
        </w:rPr>
        <w:t>Throughout</w:t>
      </w:r>
      <w:r w:rsidR="0033414F" w:rsidRPr="0098404C">
        <w:rPr>
          <w:rStyle w:val="BodyTextChar"/>
        </w:rPr>
        <w:t xml:space="preserve"> 2011, Vanuatu and its development partners agreed that results in the</w:t>
      </w:r>
      <w:r w:rsidRPr="0098404C">
        <w:rPr>
          <w:rStyle w:val="BodyTextChar"/>
        </w:rPr>
        <w:t xml:space="preserve"> education</w:t>
      </w:r>
      <w:r w:rsidR="0033414F" w:rsidRPr="0098404C">
        <w:rPr>
          <w:rStyle w:val="BodyTextChar"/>
        </w:rPr>
        <w:t xml:space="preserve"> sector were not commensurate with the investment being made by government and partners</w:t>
      </w:r>
      <w:r w:rsidR="001E314E" w:rsidRPr="0098404C">
        <w:rPr>
          <w:rStyle w:val="BodyTextChar"/>
        </w:rPr>
        <w:t xml:space="preserve">. </w:t>
      </w:r>
      <w:r w:rsidR="0033414F" w:rsidRPr="0098404C">
        <w:rPr>
          <w:rStyle w:val="BodyTextChar"/>
        </w:rPr>
        <w:t>While ever more children</w:t>
      </w:r>
      <w:r w:rsidR="00AF530F" w:rsidRPr="0098404C">
        <w:rPr>
          <w:rStyle w:val="BodyTextChar"/>
        </w:rPr>
        <w:t xml:space="preserve"> are entering</w:t>
      </w:r>
      <w:r w:rsidR="0033414F" w:rsidRPr="0098404C">
        <w:rPr>
          <w:rStyle w:val="BodyTextChar"/>
        </w:rPr>
        <w:t xml:space="preserve"> school (</w:t>
      </w:r>
      <w:r w:rsidR="00AF530F" w:rsidRPr="0098404C">
        <w:rPr>
          <w:rStyle w:val="BodyTextChar"/>
        </w:rPr>
        <w:t xml:space="preserve">through </w:t>
      </w:r>
      <w:r w:rsidR="0033414F" w:rsidRPr="0098404C">
        <w:rPr>
          <w:rStyle w:val="BodyTextChar"/>
        </w:rPr>
        <w:t>reforms under the Vanuatu Education Road Map)</w:t>
      </w:r>
      <w:r w:rsidR="00B8322F" w:rsidRPr="0098404C">
        <w:rPr>
          <w:rStyle w:val="BodyTextChar"/>
        </w:rPr>
        <w:footnoteReference w:id="21"/>
      </w:r>
      <w:r w:rsidR="0033414F" w:rsidRPr="0098404C">
        <w:rPr>
          <w:rStyle w:val="BodyTextChar"/>
        </w:rPr>
        <w:t>, new approaches were needed to lift learning outcomes</w:t>
      </w:r>
      <w:r w:rsidR="001E314E" w:rsidRPr="0098404C">
        <w:rPr>
          <w:rStyle w:val="BodyTextChar"/>
        </w:rPr>
        <w:t xml:space="preserve">. </w:t>
      </w:r>
      <w:r w:rsidR="0033414F" w:rsidRPr="0098404C">
        <w:rPr>
          <w:rStyle w:val="BodyTextChar"/>
        </w:rPr>
        <w:t xml:space="preserve">A number of </w:t>
      </w:r>
      <w:r w:rsidR="006465B0" w:rsidRPr="0098404C">
        <w:rPr>
          <w:rStyle w:val="BodyTextChar"/>
        </w:rPr>
        <w:t xml:space="preserve">education </w:t>
      </w:r>
      <w:r w:rsidR="0033414F" w:rsidRPr="0098404C">
        <w:rPr>
          <w:rStyle w:val="BodyTextChar"/>
        </w:rPr>
        <w:t xml:space="preserve">evaluations and analyses were completed in 2012 that confirmed this and produced </w:t>
      </w:r>
      <w:r w:rsidR="006465B0" w:rsidRPr="0098404C">
        <w:rPr>
          <w:rStyle w:val="BodyTextChar"/>
        </w:rPr>
        <w:t>lessons learned that could help</w:t>
      </w:r>
      <w:r w:rsidR="0033414F" w:rsidRPr="0098404C">
        <w:rPr>
          <w:rStyle w:val="BodyTextChar"/>
        </w:rPr>
        <w:t xml:space="preserve"> shape assistance to the sector (Box 1).</w:t>
      </w:r>
      <w:r w:rsidR="00192106">
        <w:t xml:space="preserve"> </w:t>
      </w:r>
    </w:p>
    <w:tbl>
      <w:tblPr>
        <w:tblStyle w:val="TableGrid"/>
        <w:tblW w:w="0" w:type="auto"/>
        <w:tblInd w:w="68" w:type="dxa"/>
        <w:shd w:val="clear" w:color="auto" w:fill="C6D9F1" w:themeFill="text2" w:themeFillTint="33"/>
        <w:tblLook w:val="04A0" w:firstRow="1" w:lastRow="0" w:firstColumn="1" w:lastColumn="0" w:noHBand="0" w:noVBand="1"/>
        <w:tblDescription w:val="Box 1: Lessons learned delivering education in Vanuatu&#10;In 2010, a joint partnership arrangement was signed between Vanuatu and three of its development partners to support the implementation of the Vanuatu Education Road Map. Australia committed funding of $15 million, New Zealand NZ$12 million and UNICEF US$1.5 million. The goal was to improve access to, and quality of, education and to improve its management. &#10;Several lessons were learned during the life of the agreement including:&#10;&gt; Given limited financial and human resources, support needs to target areas that have the highest return on investment. Evidence shows that literacy and numeracy is best tackled in the early years, including kindergarten.&#10;&gt; System-wide reforms are highly ambitious, and require strong and sustained leadership from all levels. In the absence of these settings, support is more likely to be effective at school level, where the authority of local agents (such as teachers, principals and school committees) is relatively high, and accountability for performance is potentially more real and immediate. &#10;&gt; To adapt the program to the current Vanuatu context and get results, strong monitoring and evaluation is required to ensure a shared body of evidence to inform program strategy and influence decision makers. &#10;"/>
      </w:tblPr>
      <w:tblGrid>
        <w:gridCol w:w="8426"/>
      </w:tblGrid>
      <w:tr w:rsidR="0098404C" w:rsidTr="00F06518">
        <w:tc>
          <w:tcPr>
            <w:tcW w:w="8426" w:type="dxa"/>
            <w:shd w:val="clear" w:color="auto" w:fill="C6D9F1" w:themeFill="text2" w:themeFillTint="33"/>
          </w:tcPr>
          <w:p w:rsidR="0098404C" w:rsidRPr="000D4620" w:rsidRDefault="0098404C" w:rsidP="0098404C">
            <w:pPr>
              <w:pStyle w:val="BoxHeading1"/>
            </w:pPr>
            <w:r w:rsidRPr="000D4620">
              <w:t>Box 1: Lessons learned delivering education in Vanuatu</w:t>
            </w:r>
          </w:p>
          <w:p w:rsidR="0098404C" w:rsidRPr="000D4620" w:rsidRDefault="0098404C" w:rsidP="0098404C">
            <w:pPr>
              <w:pStyle w:val="BoxText"/>
            </w:pPr>
            <w:r w:rsidRPr="000D4620">
              <w:t xml:space="preserve">In 2010, a joint partnership arrangement was signed between Vanuatu and three of its development partners to support the implementation of the Vanuatu Education Road Map. Australia committed funding of $15 million, New Zealand NZ$12 million and UNICEF US$1.5 million. The goal was to improve access to, and quality of, education and to improve its management. </w:t>
            </w:r>
          </w:p>
          <w:p w:rsidR="0098404C" w:rsidRPr="000D4620" w:rsidRDefault="0098404C" w:rsidP="0098404C">
            <w:pPr>
              <w:pStyle w:val="BoxText"/>
            </w:pPr>
            <w:r w:rsidRPr="000D4620">
              <w:t>Several lessons were learned during the life of the agreement including:</w:t>
            </w:r>
          </w:p>
          <w:p w:rsidR="0098404C" w:rsidRPr="000D4620" w:rsidRDefault="0098404C" w:rsidP="0098404C">
            <w:pPr>
              <w:pStyle w:val="BoxListBullet"/>
            </w:pPr>
            <w:r w:rsidRPr="000D4620">
              <w:t>Given limited financial and human resources, support needs to target areas that have the highest return on investment. Evidence shows that literacy and numeracy is best tackled in the early years, including kindergarten.</w:t>
            </w:r>
          </w:p>
          <w:p w:rsidR="0098404C" w:rsidRPr="000D4620" w:rsidRDefault="0098404C" w:rsidP="0098404C">
            <w:pPr>
              <w:pStyle w:val="BoxListBullet"/>
            </w:pPr>
            <w:r w:rsidRPr="000D4620">
              <w:t xml:space="preserve">System-wide reforms are highly ambitious, and require strong and sustained leadership from all levels. In the absence of these settings, support is more likely to be effective at school level, where the authority of local agents (such as teachers, principals and school committees) is relatively high, and accountability for performance is potentially more real and immediate. </w:t>
            </w:r>
          </w:p>
          <w:p w:rsidR="0098404C" w:rsidRDefault="0098404C" w:rsidP="0098404C">
            <w:pPr>
              <w:pStyle w:val="BoxListBullet"/>
            </w:pPr>
            <w:r w:rsidRPr="000D4620">
              <w:t xml:space="preserve">To adapt the program to the current Vanuatu context and get results, strong monitoring and evaluation is required to ensure a shared body of evidence to inform program strategy and influence decision makers. </w:t>
            </w:r>
          </w:p>
        </w:tc>
      </w:tr>
    </w:tbl>
    <w:p w:rsidR="0098404C" w:rsidRDefault="0098404C" w:rsidP="0033414F">
      <w:pPr>
        <w:pStyle w:val="ListParagraph"/>
        <w:numPr>
          <w:ilvl w:val="0"/>
          <w:numId w:val="0"/>
        </w:numPr>
        <w:ind w:left="68"/>
      </w:pPr>
    </w:p>
    <w:p w:rsidR="0033414F" w:rsidRPr="0031054B" w:rsidRDefault="0033414F" w:rsidP="0098404C">
      <w:pPr>
        <w:pStyle w:val="BodyText"/>
      </w:pPr>
      <w:r>
        <w:t>The proportion of the Vanuatu recurrent budget allocated to education has increased over recent years to around 26 per cent</w:t>
      </w:r>
      <w:r w:rsidR="001E314E">
        <w:t xml:space="preserve">. </w:t>
      </w:r>
      <w:r>
        <w:t>This is one of the highest levels in the Pacific</w:t>
      </w:r>
      <w:r w:rsidR="001E314E">
        <w:t xml:space="preserve">. </w:t>
      </w:r>
      <w:r w:rsidRPr="00E446A6">
        <w:t xml:space="preserve">Development partners have also made significant funding available, accounting for some </w:t>
      </w:r>
      <w:r w:rsidR="00590A75" w:rsidRPr="00E446A6">
        <w:t>28</w:t>
      </w:r>
      <w:r w:rsidRPr="00E446A6">
        <w:t xml:space="preserve"> per cent of total spending on education</w:t>
      </w:r>
      <w:r w:rsidR="00E446A6" w:rsidRPr="00E446A6">
        <w:t xml:space="preserve"> and the majority of non-salaries expenditure</w:t>
      </w:r>
      <w:r w:rsidRPr="00E446A6">
        <w:t xml:space="preserve"> (with Australia accounting for some 60 per cent</w:t>
      </w:r>
      <w:r>
        <w:t xml:space="preserve"> of donor funding)</w:t>
      </w:r>
      <w:r w:rsidRPr="0031054B">
        <w:t>.</w:t>
      </w:r>
      <w:r w:rsidR="00E446A6">
        <w:rPr>
          <w:rStyle w:val="FootnoteReference"/>
        </w:rPr>
        <w:footnoteReference w:id="22"/>
      </w:r>
      <w:r w:rsidRPr="0031054B">
        <w:t xml:space="preserve"> </w:t>
      </w:r>
      <w:r w:rsidRPr="009D3122">
        <w:t>Over the past five years, post-secondary expenditure, predominately scholarships, has accounted for an increasing share of the government’s education budget</w:t>
      </w:r>
      <w:r w:rsidR="001E314E">
        <w:t xml:space="preserve">. </w:t>
      </w:r>
      <w:r w:rsidR="00A96F37" w:rsidRPr="009D3122">
        <w:t>The government’s r</w:t>
      </w:r>
      <w:r w:rsidRPr="009D3122">
        <w:t>elative spending on primary and secondary schooling has declined.</w:t>
      </w:r>
      <w:r w:rsidRPr="009D3122">
        <w:rPr>
          <w:rStyle w:val="FootnoteReference"/>
        </w:rPr>
        <w:footnoteReference w:id="23"/>
      </w:r>
      <w:r w:rsidR="0098404C">
        <w:t xml:space="preserve"> </w:t>
      </w:r>
    </w:p>
    <w:p w:rsidR="0033414F" w:rsidRDefault="0033414F" w:rsidP="0098404C">
      <w:pPr>
        <w:pStyle w:val="BodyText"/>
      </w:pPr>
      <w:r w:rsidRPr="00FC6D66">
        <w:t>Analytical work conducted in this reporting period highlight</w:t>
      </w:r>
      <w:r w:rsidR="002225BA">
        <w:t>s</w:t>
      </w:r>
      <w:r w:rsidRPr="00FC6D66">
        <w:t xml:space="preserve"> opportunities for better quality spending and more efficient use of human resources </w:t>
      </w:r>
      <w:r w:rsidR="003722EF">
        <w:t>to improve</w:t>
      </w:r>
      <w:r w:rsidRPr="00FC6D66">
        <w:t xml:space="preserve"> service delivery</w:t>
      </w:r>
      <w:r w:rsidR="001E314E">
        <w:t xml:space="preserve">. </w:t>
      </w:r>
      <w:r w:rsidR="003722EF">
        <w:t>An education sector p</w:t>
      </w:r>
      <w:r w:rsidRPr="00FC6D66">
        <w:t xml:space="preserve">ublic </w:t>
      </w:r>
      <w:r w:rsidR="003722EF">
        <w:t>expenditure r</w:t>
      </w:r>
      <w:r w:rsidRPr="00FC6D66">
        <w:t xml:space="preserve">eview completed in December 2012 </w:t>
      </w:r>
      <w:r w:rsidR="002225BA">
        <w:t>showed</w:t>
      </w:r>
      <w:r w:rsidRPr="00FC6D66">
        <w:t xml:space="preserve"> significant </w:t>
      </w:r>
      <w:r w:rsidR="002225BA">
        <w:t xml:space="preserve">potential </w:t>
      </w:r>
      <w:r w:rsidRPr="00FC6D66">
        <w:t xml:space="preserve">efficiency gains by, </w:t>
      </w:r>
      <w:r w:rsidRPr="003722EF">
        <w:t>inter alia</w:t>
      </w:r>
      <w:r w:rsidRPr="00FC6D66">
        <w:t xml:space="preserve">, </w:t>
      </w:r>
      <w:r>
        <w:t>improving the quality of</w:t>
      </w:r>
      <w:r w:rsidRPr="00FC6D66">
        <w:t xml:space="preserve"> </w:t>
      </w:r>
      <w:r w:rsidR="00B44B97">
        <w:t>teaching</w:t>
      </w:r>
      <w:r w:rsidR="00B44B97" w:rsidRPr="00FC6D66">
        <w:t xml:space="preserve"> </w:t>
      </w:r>
      <w:r w:rsidRPr="00FC6D66">
        <w:t xml:space="preserve">at primary and secondary schools; reducing repetition and drop-out rates to zero (a potential saving of </w:t>
      </w:r>
      <w:r w:rsidRPr="00B14C83">
        <w:t>VUV96</w:t>
      </w:r>
      <w:r w:rsidRPr="00FC6D66">
        <w:t xml:space="preserve"> million per year); and reforming the teacher salary structure to provide effective incentives </w:t>
      </w:r>
      <w:r w:rsidR="00B44B97">
        <w:t>to</w:t>
      </w:r>
      <w:r w:rsidR="00B44B97" w:rsidRPr="00FC6D66">
        <w:t xml:space="preserve"> </w:t>
      </w:r>
      <w:r w:rsidRPr="00FC6D66">
        <w:t>attract, retain and motivate highly qualified teachers.</w:t>
      </w:r>
    </w:p>
    <w:p w:rsidR="0033414F" w:rsidRDefault="0033414F" w:rsidP="0098404C">
      <w:pPr>
        <w:pStyle w:val="BodyText"/>
      </w:pPr>
      <w:r w:rsidRPr="0031054B">
        <w:t>In this context,</w:t>
      </w:r>
      <w:r>
        <w:t xml:space="preserve"> Vanuatu and</w:t>
      </w:r>
      <w:r w:rsidRPr="0031054B">
        <w:t xml:space="preserve"> </w:t>
      </w:r>
      <w:r>
        <w:t>its development partners</w:t>
      </w:r>
      <w:r w:rsidR="00B44B97">
        <w:t>, including</w:t>
      </w:r>
      <w:r>
        <w:t xml:space="preserve"> Australia</w:t>
      </w:r>
      <w:r w:rsidR="00B44B97">
        <w:t>,</w:t>
      </w:r>
      <w:r>
        <w:t xml:space="preserve"> achieved some modest success in 2012</w:t>
      </w:r>
      <w:r w:rsidR="00B85524">
        <w:t>–</w:t>
      </w:r>
      <w:r>
        <w:t>13</w:t>
      </w:r>
      <w:r w:rsidR="001E314E">
        <w:t xml:space="preserve">. </w:t>
      </w:r>
      <w:r>
        <w:t>S</w:t>
      </w:r>
      <w:r w:rsidRPr="0031054B">
        <w:t xml:space="preserve">chool grants were provided to 425 </w:t>
      </w:r>
      <w:r>
        <w:t>primary schools (98 per cent of all primary schools</w:t>
      </w:r>
      <w:r>
        <w:rPr>
          <w:rStyle w:val="FootnoteReference"/>
        </w:rPr>
        <w:footnoteReference w:id="24"/>
      </w:r>
      <w:r>
        <w:t>)</w:t>
      </w:r>
      <w:r w:rsidRPr="0031054B">
        <w:t xml:space="preserve"> to reduce fees for parents and assist schools in purchasing </w:t>
      </w:r>
      <w:r>
        <w:t xml:space="preserve">much-needed </w:t>
      </w:r>
      <w:r w:rsidRPr="0031054B">
        <w:t>equipment and learning materials</w:t>
      </w:r>
      <w:r w:rsidR="001E314E">
        <w:t xml:space="preserve">. </w:t>
      </w:r>
      <w:r w:rsidRPr="006652FE">
        <w:t xml:space="preserve">Australia’s </w:t>
      </w:r>
      <w:r w:rsidR="00C54AB6" w:rsidRPr="006652FE">
        <w:t>funding</w:t>
      </w:r>
      <w:r w:rsidRPr="006652FE">
        <w:t xml:space="preserve"> </w:t>
      </w:r>
      <w:r w:rsidR="002225BA" w:rsidRPr="006652FE">
        <w:t>supported</w:t>
      </w:r>
      <w:r w:rsidRPr="006652FE">
        <w:t xml:space="preserve"> 5505 children to be enrolled in Years 1</w:t>
      </w:r>
      <w:r w:rsidR="00B44B97">
        <w:t xml:space="preserve"> to </w:t>
      </w:r>
      <w:r w:rsidRPr="006652FE">
        <w:t>6</w:t>
      </w:r>
      <w:r w:rsidR="002225BA" w:rsidRPr="006120F8">
        <w:t xml:space="preserve"> (13</w:t>
      </w:r>
      <w:r w:rsidR="002225BA">
        <w:t xml:space="preserve"> per cent of all students enrolled)</w:t>
      </w:r>
      <w:r w:rsidRPr="000D7BDE">
        <w:t xml:space="preserve">. Of these, 2909 were </w:t>
      </w:r>
      <w:r>
        <w:t>boys</w:t>
      </w:r>
      <w:r w:rsidRPr="000D7BDE">
        <w:t xml:space="preserve"> and 2596 were </w:t>
      </w:r>
      <w:r>
        <w:t>girls</w:t>
      </w:r>
      <w:r w:rsidRPr="000D7BDE">
        <w:t xml:space="preserve">. Australia’s support </w:t>
      </w:r>
      <w:r w:rsidR="00B44B97">
        <w:t xml:space="preserve">also </w:t>
      </w:r>
      <w:r w:rsidRPr="000D7BDE">
        <w:t xml:space="preserve">contributed to </w:t>
      </w:r>
      <w:r w:rsidR="003722EF">
        <w:t>six</w:t>
      </w:r>
      <w:r>
        <w:t xml:space="preserve"> classrooms being built at the teacher’s college</w:t>
      </w:r>
      <w:r w:rsidR="001E314E">
        <w:t xml:space="preserve">. </w:t>
      </w:r>
    </w:p>
    <w:p w:rsidR="0033414F" w:rsidRPr="00A24DB5" w:rsidRDefault="0033414F" w:rsidP="0098404C">
      <w:pPr>
        <w:pStyle w:val="BodyText"/>
      </w:pPr>
      <w:r>
        <w:t>Australia</w:t>
      </w:r>
      <w:r w:rsidR="00475D03">
        <w:t>, with other donors,</w:t>
      </w:r>
      <w:r>
        <w:t xml:space="preserve"> helped train </w:t>
      </w:r>
      <w:r w:rsidRPr="0031054B">
        <w:t xml:space="preserve">354 teachers and 397 teachers were observed and assessed in the classroom, reaching approximately half of uncertified primary school </w:t>
      </w:r>
      <w:r w:rsidRPr="00A24DB5">
        <w:t>teachers</w:t>
      </w:r>
      <w:r w:rsidR="00B44B97">
        <w:t>.</w:t>
      </w:r>
      <w:r w:rsidRPr="00A24DB5">
        <w:rPr>
          <w:rStyle w:val="FootnoteReference"/>
        </w:rPr>
        <w:footnoteReference w:id="25"/>
      </w:r>
      <w:r w:rsidRPr="00A24DB5">
        <w:t xml:space="preserve"> </w:t>
      </w:r>
      <w:r w:rsidR="00ED75D5" w:rsidRPr="00A24DB5">
        <w:t xml:space="preserve">A recent radio talk-back show and interviews with teachers in the remote </w:t>
      </w:r>
      <w:proofErr w:type="spellStart"/>
      <w:r w:rsidR="00ED75D5" w:rsidRPr="00A24DB5">
        <w:t>Torba</w:t>
      </w:r>
      <w:proofErr w:type="spellEnd"/>
      <w:r w:rsidR="00ED75D5" w:rsidRPr="00A24DB5">
        <w:t xml:space="preserve"> </w:t>
      </w:r>
      <w:r w:rsidR="00B44B97">
        <w:t>P</w:t>
      </w:r>
      <w:r w:rsidR="00ED75D5" w:rsidRPr="00A24DB5">
        <w:t xml:space="preserve">rovince </w:t>
      </w:r>
      <w:r w:rsidR="00B44B97">
        <w:t>revealed how</w:t>
      </w:r>
      <w:r w:rsidR="00ED75D5" w:rsidRPr="00A24DB5">
        <w:t xml:space="preserve"> this training is changing teacher behaviour</w:t>
      </w:r>
      <w:r w:rsidR="001E314E">
        <w:t xml:space="preserve">. </w:t>
      </w:r>
      <w:r w:rsidR="00ED75D5" w:rsidRPr="00A24DB5">
        <w:t>For instance, teachers are using a wider range of teaching techniques including grouping students and increasing student interaction with each other and the teacher.</w:t>
      </w:r>
      <w:r w:rsidRPr="00A24DB5">
        <w:t xml:space="preserve"> </w:t>
      </w:r>
    </w:p>
    <w:p w:rsidR="0033414F" w:rsidRDefault="00B609D6" w:rsidP="0098404C">
      <w:pPr>
        <w:pStyle w:val="BodyText"/>
      </w:pPr>
      <w:r w:rsidRPr="00A24DB5">
        <w:t>Only 30.1 per cent of rural men and 18 per cent of rural women a</w:t>
      </w:r>
      <w:r>
        <w:t>re employed.</w:t>
      </w:r>
      <w:r>
        <w:rPr>
          <w:rStyle w:val="FootnoteReference"/>
        </w:rPr>
        <w:footnoteReference w:id="26"/>
      </w:r>
      <w:r w:rsidR="0098404C">
        <w:t xml:space="preserve"> </w:t>
      </w:r>
      <w:r>
        <w:t xml:space="preserve">Increasing engagement with the formal (or even cash) economy </w:t>
      </w:r>
      <w:r w:rsidR="0033414F" w:rsidRPr="0031054B">
        <w:t>lessens the vulnerability of individuals and families</w:t>
      </w:r>
      <w:r w:rsidR="0033414F">
        <w:t xml:space="preserve"> to poverty</w:t>
      </w:r>
      <w:r w:rsidR="001E314E">
        <w:t xml:space="preserve">. </w:t>
      </w:r>
      <w:r w:rsidR="0033414F">
        <w:t>Australia’s TVET Sector Strengthening Program is achieving impressive results</w:t>
      </w:r>
      <w:r w:rsidR="00A96F37">
        <w:t xml:space="preserve"> in this area</w:t>
      </w:r>
      <w:r w:rsidR="001E314E">
        <w:t xml:space="preserve">. </w:t>
      </w:r>
      <w:r w:rsidR="0033414F">
        <w:t>The program works in two competitively selected provinces</w:t>
      </w:r>
      <w:r w:rsidR="00AE1243">
        <w:t xml:space="preserve"> </w:t>
      </w:r>
      <w:r w:rsidR="00970BA4">
        <w:t xml:space="preserve">— </w:t>
      </w:r>
      <w:proofErr w:type="spellStart"/>
      <w:r w:rsidR="00AE1243">
        <w:t>Sanma</w:t>
      </w:r>
      <w:proofErr w:type="spellEnd"/>
      <w:r w:rsidR="00AE1243">
        <w:t xml:space="preserve"> and </w:t>
      </w:r>
      <w:proofErr w:type="spellStart"/>
      <w:r w:rsidR="00AE1243">
        <w:t>Malampa</w:t>
      </w:r>
      <w:proofErr w:type="spellEnd"/>
      <w:r w:rsidR="0033414F">
        <w:t>.</w:t>
      </w:r>
    </w:p>
    <w:p w:rsidR="0033414F" w:rsidRDefault="005B4CE2" w:rsidP="0098404C">
      <w:pPr>
        <w:pStyle w:val="BodyText"/>
      </w:pPr>
      <w:r>
        <w:t>In 2012</w:t>
      </w:r>
      <w:r w:rsidR="0033414F">
        <w:t xml:space="preserve">, </w:t>
      </w:r>
      <w:r>
        <w:t>1083</w:t>
      </w:r>
      <w:r w:rsidR="0033414F">
        <w:t xml:space="preserve"> trainees participated in nationally accredited training through the TVET </w:t>
      </w:r>
      <w:r w:rsidR="00B44B97">
        <w:t>c</w:t>
      </w:r>
      <w:r w:rsidR="0033414F">
        <w:t>entres and</w:t>
      </w:r>
      <w:r w:rsidR="00B05078">
        <w:t xml:space="preserve"> an</w:t>
      </w:r>
      <w:r w:rsidR="00B44B97">
        <w:t>other</w:t>
      </w:r>
      <w:r w:rsidR="0033414F">
        <w:t xml:space="preserve"> </w:t>
      </w:r>
      <w:r>
        <w:t>642</w:t>
      </w:r>
      <w:r w:rsidR="0033414F">
        <w:t xml:space="preserve"> participated in business development workshops</w:t>
      </w:r>
      <w:r w:rsidR="001E314E">
        <w:t xml:space="preserve">. </w:t>
      </w:r>
      <w:r w:rsidR="0033414F">
        <w:t xml:space="preserve">All training took place outside the capital, Port Vila, and </w:t>
      </w:r>
      <w:r w:rsidR="00B44B97">
        <w:t>one-</w:t>
      </w:r>
      <w:r w:rsidR="0033414F">
        <w:t>quarter of courses were held in remote areas to expand access as much as possible</w:t>
      </w:r>
      <w:r w:rsidR="001E314E">
        <w:t xml:space="preserve">. </w:t>
      </w:r>
      <w:r>
        <w:t>Thirty-seven</w:t>
      </w:r>
      <w:r w:rsidR="0033414F">
        <w:t xml:space="preserve"> per cent of participants were women and 10 per cent of participants reported living with some form of disability</w:t>
      </w:r>
      <w:r w:rsidR="001E314E">
        <w:t xml:space="preserve">. </w:t>
      </w:r>
      <w:r w:rsidR="0033414F">
        <w:t xml:space="preserve">The program </w:t>
      </w:r>
      <w:r>
        <w:t xml:space="preserve">also </w:t>
      </w:r>
      <w:r w:rsidR="0033414F">
        <w:t>works with Disabled People’s Organisations to provide access to skills development and improve training approaches.</w:t>
      </w:r>
      <w:r w:rsidR="00B05078">
        <w:rPr>
          <w:rStyle w:val="FootnoteReference"/>
        </w:rPr>
        <w:footnoteReference w:id="27"/>
      </w:r>
      <w:r w:rsidR="0098404C">
        <w:t xml:space="preserve"> </w:t>
      </w:r>
    </w:p>
    <w:p w:rsidR="0033414F" w:rsidRDefault="0033414F" w:rsidP="0098404C">
      <w:pPr>
        <w:pStyle w:val="BodyText"/>
      </w:pPr>
      <w:r>
        <w:t xml:space="preserve">A 2012 evaluation of the TVET </w:t>
      </w:r>
      <w:r w:rsidR="00B44B97">
        <w:t>Sector Strengthening P</w:t>
      </w:r>
      <w:r>
        <w:t>rogram</w:t>
      </w:r>
      <w:r w:rsidR="00FB118A">
        <w:t xml:space="preserve"> </w:t>
      </w:r>
      <w:r>
        <w:t xml:space="preserve">identified that, in participating communities, </w:t>
      </w:r>
      <w:r w:rsidRPr="00AE1243">
        <w:t>household incomes increased an average of 26 per cent</w:t>
      </w:r>
      <w:r>
        <w:t xml:space="preserve"> relative to communities that did not participate (both within the provinces</w:t>
      </w:r>
      <w:r w:rsidR="00B44B97">
        <w:t xml:space="preserve"> with TVET centres</w:t>
      </w:r>
      <w:r>
        <w:t xml:space="preserve">, and in other provinces.) </w:t>
      </w:r>
      <w:proofErr w:type="gramStart"/>
      <w:r w:rsidR="000C232F">
        <w:t xml:space="preserve">Australia’s </w:t>
      </w:r>
      <w:r w:rsidR="002B764B">
        <w:t xml:space="preserve"> investment</w:t>
      </w:r>
      <w:r w:rsidR="00FB118A">
        <w:t>s</w:t>
      </w:r>
      <w:proofErr w:type="gramEnd"/>
      <w:r w:rsidR="002B764B">
        <w:t xml:space="preserve"> complement</w:t>
      </w:r>
      <w:r w:rsidR="00B44B97">
        <w:t xml:space="preserve"> its investments</w:t>
      </w:r>
      <w:r w:rsidR="002B764B">
        <w:t xml:space="preserve"> under Objective 3 (infrastructure) and Objective 4 (economic governance).</w:t>
      </w:r>
    </w:p>
    <w:p w:rsidR="0033414F" w:rsidRDefault="0033414F" w:rsidP="0098404C">
      <w:pPr>
        <w:pStyle w:val="BodyText"/>
      </w:pPr>
      <w:r>
        <w:t xml:space="preserve">Australia Awards (scholarships) continue to comprise an important part of Australia’s support to </w:t>
      </w:r>
      <w:r w:rsidR="00B44B97">
        <w:t xml:space="preserve">Vanuatu’s </w:t>
      </w:r>
      <w:r>
        <w:t>education sector</w:t>
      </w:r>
      <w:r w:rsidR="001E314E">
        <w:t xml:space="preserve">. </w:t>
      </w:r>
      <w:r>
        <w:t xml:space="preserve">This </w:t>
      </w:r>
      <w:r w:rsidR="00B44B97">
        <w:t>recognises</w:t>
      </w:r>
      <w:r>
        <w:t xml:space="preserve"> the lack of a national university and the acute shortage of some professional skills (</w:t>
      </w:r>
      <w:r w:rsidR="00B44B97">
        <w:t>for example,</w:t>
      </w:r>
      <w:r>
        <w:t xml:space="preserve"> in </w:t>
      </w:r>
      <w:r w:rsidR="00B44B97">
        <w:t xml:space="preserve">accounting, </w:t>
      </w:r>
      <w:r>
        <w:t>engineering</w:t>
      </w:r>
      <w:r w:rsidR="00B44B97">
        <w:t xml:space="preserve"> and information and communication technology</w:t>
      </w:r>
      <w:r>
        <w:t>)</w:t>
      </w:r>
      <w:r w:rsidR="001E314E">
        <w:t xml:space="preserve">. </w:t>
      </w:r>
      <w:r>
        <w:t>The scholarship program works with other sector programs to improve targeting scholarships to areas where greater capacity is needed</w:t>
      </w:r>
      <w:r w:rsidR="001E314E">
        <w:t xml:space="preserve">. </w:t>
      </w:r>
      <w:r>
        <w:t>In 2012, Australia sponsored 285 students with new or ongoing awards</w:t>
      </w:r>
      <w:r w:rsidR="001E314E">
        <w:t xml:space="preserve">. </w:t>
      </w:r>
      <w:r w:rsidR="003722EF">
        <w:t>Fifty-three</w:t>
      </w:r>
      <w:r>
        <w:t xml:space="preserve"> of these were for study in Australia and 232 for study in the region. </w:t>
      </w:r>
    </w:p>
    <w:p w:rsidR="00744362" w:rsidRPr="00E1084D" w:rsidRDefault="0033414F" w:rsidP="0098404C">
      <w:pPr>
        <w:pStyle w:val="BodyText"/>
      </w:pPr>
      <w:r>
        <w:t>Australia Award students from Vanuatu have a high success and return rate</w:t>
      </w:r>
      <w:r w:rsidR="001E314E">
        <w:t xml:space="preserve">. </w:t>
      </w:r>
      <w:r>
        <w:t>Of the 44 students who graduated in 2012, all quickly found employment or returned to their original jobs</w:t>
      </w:r>
      <w:r w:rsidR="001E314E">
        <w:t xml:space="preserve">. </w:t>
      </w:r>
      <w:r>
        <w:t>In 2013</w:t>
      </w:r>
      <w:r w:rsidR="007C0AF1">
        <w:t>,</w:t>
      </w:r>
      <w:r>
        <w:t xml:space="preserve"> Vanuatu’s first scholarship student </w:t>
      </w:r>
      <w:r w:rsidR="007C0AF1">
        <w:t>with disability started</w:t>
      </w:r>
      <w:r>
        <w:t xml:space="preserve"> studies </w:t>
      </w:r>
      <w:r w:rsidR="00A1507C">
        <w:t>at</w:t>
      </w:r>
      <w:r>
        <w:t xml:space="preserve"> Fiji National University</w:t>
      </w:r>
      <w:r w:rsidR="001E314E">
        <w:t xml:space="preserve">. </w:t>
      </w:r>
      <w:r w:rsidR="00A43F42">
        <w:t>Forty three</w:t>
      </w:r>
      <w:r>
        <w:t xml:space="preserve"> per cent of scholarship students are women, and the program works to encourage women applicants, prepare them </w:t>
      </w:r>
      <w:r w:rsidR="007C0AF1">
        <w:t>before</w:t>
      </w:r>
      <w:r>
        <w:t xml:space="preserve"> departure and support them and their families while</w:t>
      </w:r>
      <w:r w:rsidR="007C0AF1">
        <w:t xml:space="preserve"> they are</w:t>
      </w:r>
      <w:r>
        <w:t xml:space="preserve"> overseas.</w:t>
      </w:r>
    </w:p>
    <w:p w:rsidR="00381983" w:rsidRPr="0098404C" w:rsidRDefault="000D7BDE" w:rsidP="0098404C">
      <w:pPr>
        <w:pStyle w:val="Heading2"/>
      </w:pPr>
      <w:r w:rsidRPr="0098404C">
        <w:t>Objective 2: Strengthen health services and accelerate progress towards health MDGs</w:t>
      </w:r>
    </w:p>
    <w:p w:rsidR="005B4CE2" w:rsidRDefault="005B4CE2" w:rsidP="0098404C">
      <w:pPr>
        <w:pStyle w:val="BodyText"/>
      </w:pPr>
      <w:r>
        <w:t>Vanuatu has made good progress towards MDG 4 (child mortality</w:t>
      </w:r>
      <w:r>
        <w:rPr>
          <w:rStyle w:val="FootnoteReference"/>
        </w:rPr>
        <w:footnoteReference w:id="28"/>
      </w:r>
      <w:r>
        <w:t xml:space="preserve">) and </w:t>
      </w:r>
      <w:r w:rsidR="007C0AF1">
        <w:t xml:space="preserve">MDG </w:t>
      </w:r>
      <w:r>
        <w:t>6 (reducing HIV/AIDS, malaria and other diseases)</w:t>
      </w:r>
      <w:r w:rsidR="001E314E">
        <w:t xml:space="preserve">. </w:t>
      </w:r>
      <w:r w:rsidR="000A3F2C" w:rsidRPr="000A3F2C">
        <w:t>Other health indicators</w:t>
      </w:r>
      <w:r w:rsidR="001E5652">
        <w:t>—</w:t>
      </w:r>
      <w:r w:rsidR="000A3F2C" w:rsidRPr="000A3F2C">
        <w:t xml:space="preserve">such as the re-emergence of neglected tropical diseases like Yaws, access to contraception and routine immunisation </w:t>
      </w:r>
      <w:r w:rsidR="00A96F37">
        <w:t>rates</w:t>
      </w:r>
      <w:r w:rsidR="001E5652">
        <w:t>—</w:t>
      </w:r>
      <w:r w:rsidR="000A3F2C" w:rsidRPr="000A3F2C">
        <w:t>are more worrying</w:t>
      </w:r>
      <w:r w:rsidR="001E5652">
        <w:t xml:space="preserve"> and </w:t>
      </w:r>
      <w:r w:rsidR="000A3F2C" w:rsidRPr="000A3F2C">
        <w:t>point to failures in the public health system</w:t>
      </w:r>
      <w:r w:rsidR="001E314E">
        <w:t xml:space="preserve">. </w:t>
      </w:r>
    </w:p>
    <w:p w:rsidR="005B4CE2" w:rsidRDefault="005B4CE2" w:rsidP="0098404C">
      <w:pPr>
        <w:pStyle w:val="BodyText"/>
      </w:pPr>
      <w:r>
        <w:t xml:space="preserve">Australia is the largest and lead donor </w:t>
      </w:r>
      <w:r w:rsidR="001E5652">
        <w:t xml:space="preserve">in the sector </w:t>
      </w:r>
      <w:r>
        <w:t xml:space="preserve">and supports </w:t>
      </w:r>
      <w:r w:rsidR="001E5652">
        <w:t>placing</w:t>
      </w:r>
      <w:r>
        <w:t xml:space="preserve"> doctors, malaria control, </w:t>
      </w:r>
      <w:r w:rsidR="001E5652">
        <w:t>providing</w:t>
      </w:r>
      <w:r>
        <w:t xml:space="preserve"> village health workers and some provincial health infrastructure improvements. Australia also works closely with Vanuatu on longer-term health systems strengthening (especially in managing financial and human resources) which are essential to improving public health services. Inputs are funded through direct financial support to the Ministry of Health, or procurement managed by </w:t>
      </w:r>
      <w:r w:rsidR="000C232F">
        <w:t>the aid program</w:t>
      </w:r>
      <w:r w:rsidR="001E314E">
        <w:t xml:space="preserve">. </w:t>
      </w:r>
      <w:r w:rsidR="001E5652">
        <w:t>O</w:t>
      </w:r>
      <w:r>
        <w:t>ther partners involved includ</w:t>
      </w:r>
      <w:r w:rsidR="001E5652">
        <w:t>e the</w:t>
      </w:r>
      <w:r>
        <w:t xml:space="preserve"> World Health Organi</w:t>
      </w:r>
      <w:r w:rsidR="00A43F42">
        <w:t>z</w:t>
      </w:r>
      <w:r>
        <w:t xml:space="preserve">ation, UNICEF, </w:t>
      </w:r>
      <w:r w:rsidR="00BF55CF">
        <w:t xml:space="preserve">and </w:t>
      </w:r>
      <w:r>
        <w:t>Save the Children Australia</w:t>
      </w:r>
      <w:r w:rsidR="00BF55CF">
        <w:t>.</w:t>
      </w:r>
    </w:p>
    <w:p w:rsidR="006E2208" w:rsidRPr="009D3122" w:rsidRDefault="006E2208" w:rsidP="0098404C">
      <w:pPr>
        <w:pStyle w:val="BodyText"/>
      </w:pPr>
      <w:r>
        <w:t>A review of</w:t>
      </w:r>
      <w:r w:rsidR="005578F3">
        <w:t xml:space="preserve"> Australia</w:t>
      </w:r>
      <w:r w:rsidR="00EF35A5">
        <w:t>’s</w:t>
      </w:r>
      <w:r>
        <w:t xml:space="preserve"> health delivery strategy </w:t>
      </w:r>
      <w:r w:rsidR="00CE272F">
        <w:t xml:space="preserve">in 2012 </w:t>
      </w:r>
      <w:r w:rsidR="00661FEF">
        <w:t>recommended adjustments to approach despite some successes</w:t>
      </w:r>
      <w:r w:rsidR="001E314E">
        <w:t xml:space="preserve">. </w:t>
      </w:r>
      <w:r w:rsidR="001E5652">
        <w:t>T</w:t>
      </w:r>
      <w:r>
        <w:t xml:space="preserve">he program </w:t>
      </w:r>
      <w:r w:rsidR="001E5652">
        <w:t xml:space="preserve">will </w:t>
      </w:r>
      <w:r>
        <w:t>focus more tightly on public financial management strengthening; support for costed, evidence-</w:t>
      </w:r>
      <w:r w:rsidRPr="009D3122">
        <w:t>based workforce planning and management; and assistance to strengthen provincial service delivery</w:t>
      </w:r>
      <w:r w:rsidR="001E314E">
        <w:t xml:space="preserve">. </w:t>
      </w:r>
      <w:r w:rsidRPr="009D3122">
        <w:t xml:space="preserve">The program continues to be rated </w:t>
      </w:r>
      <w:r w:rsidR="00A43F42">
        <w:t>‘</w:t>
      </w:r>
      <w:r w:rsidRPr="009D3122">
        <w:t>amber</w:t>
      </w:r>
      <w:r w:rsidR="00A43F42">
        <w:t>’</w:t>
      </w:r>
      <w:r w:rsidR="006120F8" w:rsidRPr="009D3122">
        <w:t>, largely due to the Ministry of Health</w:t>
      </w:r>
      <w:r w:rsidR="00CB6BD5" w:rsidRPr="009D3122">
        <w:t>’s</w:t>
      </w:r>
      <w:r w:rsidR="006120F8" w:rsidRPr="009D3122">
        <w:t xml:space="preserve"> slow disbursement</w:t>
      </w:r>
      <w:r w:rsidR="00CB6BD5" w:rsidRPr="009D3122">
        <w:t xml:space="preserve"> of funds and uneven implementation progress</w:t>
      </w:r>
      <w:r w:rsidR="001E314E">
        <w:t xml:space="preserve">. </w:t>
      </w:r>
    </w:p>
    <w:p w:rsidR="005B4CE2" w:rsidRDefault="00A1507C" w:rsidP="0098404C">
      <w:pPr>
        <w:pStyle w:val="BodyText"/>
      </w:pPr>
      <w:r w:rsidRPr="009D3122">
        <w:t xml:space="preserve">In 2012, </w:t>
      </w:r>
      <w:r w:rsidR="001E5652">
        <w:t xml:space="preserve">there were successes </w:t>
      </w:r>
      <w:r w:rsidRPr="009D3122">
        <w:t>d</w:t>
      </w:r>
      <w:r w:rsidR="005B4CE2" w:rsidRPr="009D3122">
        <w:t>espite o</w:t>
      </w:r>
      <w:r w:rsidR="006D4FDB" w:rsidRPr="009D3122">
        <w:t>ngoing challenges in the sector (including the</w:t>
      </w:r>
      <w:r w:rsidR="00970BA4">
        <w:t>,</w:t>
      </w:r>
      <w:r w:rsidR="006D4FDB" w:rsidRPr="009D3122">
        <w:t xml:space="preserve"> </w:t>
      </w:r>
      <w:r w:rsidRPr="009D3122">
        <w:t>now-resolved</w:t>
      </w:r>
      <w:r w:rsidR="001E5652">
        <w:t>,</w:t>
      </w:r>
      <w:r w:rsidRPr="009D3122">
        <w:t xml:space="preserve"> </w:t>
      </w:r>
      <w:r w:rsidR="006D4FDB" w:rsidRPr="009D3122">
        <w:t>short</w:t>
      </w:r>
      <w:r w:rsidR="001E5652">
        <w:t>-</w:t>
      </w:r>
      <w:r w:rsidR="006D4FDB" w:rsidRPr="009D3122">
        <w:t>term freezing</w:t>
      </w:r>
      <w:r w:rsidR="00FB118A" w:rsidRPr="009D3122">
        <w:t xml:space="preserve"> </w:t>
      </w:r>
      <w:r w:rsidR="006D4FDB" w:rsidRPr="009D3122">
        <w:t xml:space="preserve">of funding </w:t>
      </w:r>
      <w:r w:rsidRPr="009D3122">
        <w:t xml:space="preserve">to the </w:t>
      </w:r>
      <w:r w:rsidR="006D4FDB" w:rsidRPr="009D3122">
        <w:t>M</w:t>
      </w:r>
      <w:r w:rsidR="00051BD8" w:rsidRPr="009D3122">
        <w:t xml:space="preserve">inistry </w:t>
      </w:r>
      <w:r w:rsidR="006D4FDB" w:rsidRPr="009D3122">
        <w:t>o</w:t>
      </w:r>
      <w:r w:rsidR="00051BD8" w:rsidRPr="009D3122">
        <w:t xml:space="preserve">f </w:t>
      </w:r>
      <w:r w:rsidR="006D4FDB" w:rsidRPr="009D3122">
        <w:t>H</w:t>
      </w:r>
      <w:r w:rsidR="00051BD8" w:rsidRPr="009D3122">
        <w:t>ealth</w:t>
      </w:r>
      <w:r w:rsidR="006D4FDB" w:rsidRPr="009D3122">
        <w:t xml:space="preserve"> </w:t>
      </w:r>
      <w:r w:rsidRPr="009D3122">
        <w:t>due to internal</w:t>
      </w:r>
      <w:r w:rsidR="00FB118A" w:rsidRPr="009D3122">
        <w:t xml:space="preserve"> </w:t>
      </w:r>
      <w:r w:rsidR="006D4FDB" w:rsidRPr="009D3122">
        <w:t>governance issues)</w:t>
      </w:r>
      <w:r w:rsidR="001E314E">
        <w:t>.</w:t>
      </w:r>
      <w:r w:rsidR="005578F3">
        <w:t xml:space="preserve"> The Australian </w:t>
      </w:r>
      <w:r w:rsidR="00EF35A5">
        <w:t xml:space="preserve">Government </w:t>
      </w:r>
      <w:r w:rsidR="00970BA4" w:rsidRPr="009D3122">
        <w:t>estimate</w:t>
      </w:r>
      <w:r w:rsidR="00970BA4">
        <w:t>s</w:t>
      </w:r>
      <w:r w:rsidR="00970BA4" w:rsidRPr="009D3122">
        <w:t xml:space="preserve"> </w:t>
      </w:r>
      <w:r w:rsidR="005B4CE2" w:rsidRPr="009D3122">
        <w:t>that Australian contributions to Vanuatu</w:t>
      </w:r>
      <w:r w:rsidR="001E5652">
        <w:t>’s</w:t>
      </w:r>
      <w:r w:rsidR="005B4CE2" w:rsidRPr="009D3122">
        <w:t xml:space="preserve"> health sector enabled: 1999 additional births to be attended by a skilled birth attendant; </w:t>
      </w:r>
      <w:r w:rsidR="005C5B4A">
        <w:t>1405</w:t>
      </w:r>
      <w:r w:rsidR="005B4CE2" w:rsidRPr="009D3122">
        <w:t xml:space="preserve"> children</w:t>
      </w:r>
      <w:r w:rsidR="005B4CE2" w:rsidRPr="00F71CD4">
        <w:t xml:space="preserve"> to be vaccinated against measles; </w:t>
      </w:r>
      <w:r w:rsidR="005C5B4A">
        <w:t>and 1837</w:t>
      </w:r>
      <w:r w:rsidR="005B4CE2" w:rsidRPr="00F71CD4">
        <w:t xml:space="preserve"> children to be vaccinated with </w:t>
      </w:r>
      <w:proofErr w:type="spellStart"/>
      <w:r w:rsidR="005B4CE2" w:rsidRPr="00F71CD4">
        <w:t>pentavalent</w:t>
      </w:r>
      <w:proofErr w:type="spellEnd"/>
      <w:r w:rsidR="005B4CE2" w:rsidRPr="00F71CD4">
        <w:t xml:space="preserve"> vaccine (diphtheria, tetanus, pertussis, he</w:t>
      </w:r>
      <w:r w:rsidR="005B4CE2">
        <w:t>patitis B</w:t>
      </w:r>
      <w:r w:rsidR="001E5652">
        <w:t>,</w:t>
      </w:r>
      <w:r w:rsidR="005B4CE2">
        <w:t xml:space="preserve"> and influenza </w:t>
      </w:r>
      <w:proofErr w:type="spellStart"/>
      <w:r w:rsidR="005B4CE2">
        <w:t>Hib</w:t>
      </w:r>
      <w:proofErr w:type="spellEnd"/>
      <w:r w:rsidR="005B4CE2">
        <w:t>).</w:t>
      </w:r>
    </w:p>
    <w:p w:rsidR="005B4CE2" w:rsidRDefault="005B4CE2" w:rsidP="0098404C">
      <w:pPr>
        <w:pStyle w:val="BodyText"/>
      </w:pPr>
      <w:r>
        <w:t>Australian and Vanuatu collaboration to control and progressively eliminate malaria remains an outstanding success</w:t>
      </w:r>
      <w:r w:rsidR="001E314E">
        <w:t xml:space="preserve">. </w:t>
      </w:r>
      <w:r w:rsidR="00C54AB6" w:rsidRPr="00970BA4">
        <w:t>Since 2007</w:t>
      </w:r>
      <w:r w:rsidR="00A96F37" w:rsidRPr="00970BA4">
        <w:t xml:space="preserve"> </w:t>
      </w:r>
      <w:r w:rsidR="00C54AB6" w:rsidRPr="00970BA4">
        <w:t>malaria</w:t>
      </w:r>
      <w:r w:rsidRPr="00970BA4">
        <w:t xml:space="preserve"> incidence </w:t>
      </w:r>
      <w:r w:rsidR="00C54AB6" w:rsidRPr="00970BA4">
        <w:t xml:space="preserve">has </w:t>
      </w:r>
      <w:r w:rsidRPr="00970BA4">
        <w:t xml:space="preserve">reduced by </w:t>
      </w:r>
      <w:r w:rsidR="001E5652">
        <w:t>more than</w:t>
      </w:r>
      <w:r w:rsidR="001E5652" w:rsidRPr="00970BA4">
        <w:t xml:space="preserve"> </w:t>
      </w:r>
      <w:r w:rsidRPr="00970BA4">
        <w:t>80 per cent nationwide</w:t>
      </w:r>
      <w:r w:rsidRPr="00590E7D">
        <w:t xml:space="preserve"> and </w:t>
      </w:r>
      <w:r w:rsidR="00CE272F">
        <w:t xml:space="preserve">is </w:t>
      </w:r>
      <w:r w:rsidRPr="00590E7D">
        <w:t xml:space="preserve">almost eliminated in </w:t>
      </w:r>
      <w:proofErr w:type="spellStart"/>
      <w:r w:rsidRPr="00590E7D">
        <w:t>Tafea</w:t>
      </w:r>
      <w:proofErr w:type="spellEnd"/>
      <w:r w:rsidR="001E5652">
        <w:t xml:space="preserve"> Province</w:t>
      </w:r>
      <w:r w:rsidRPr="00590E7D">
        <w:t xml:space="preserve">, where incidence is </w:t>
      </w:r>
      <w:r>
        <w:t xml:space="preserve">now </w:t>
      </w:r>
      <w:r w:rsidRPr="00590E7D">
        <w:t>less than 1</w:t>
      </w:r>
      <w:r>
        <w:t xml:space="preserve"> per cent</w:t>
      </w:r>
      <w:r w:rsidR="001E314E">
        <w:t xml:space="preserve">. </w:t>
      </w:r>
    </w:p>
    <w:p w:rsidR="00895F05" w:rsidRPr="00895F05" w:rsidRDefault="005B4CE2" w:rsidP="0098404C">
      <w:pPr>
        <w:pStyle w:val="BodyText"/>
      </w:pPr>
      <w:r>
        <w:t>In addition, t</w:t>
      </w:r>
      <w:r w:rsidRPr="00590E7D">
        <w:t>h</w:t>
      </w:r>
      <w:r>
        <w:t xml:space="preserve">e Village Health Worker Program </w:t>
      </w:r>
      <w:r w:rsidRPr="00590E7D">
        <w:t xml:space="preserve">continued to support </w:t>
      </w:r>
      <w:r w:rsidR="001E5652">
        <w:t>more than</w:t>
      </w:r>
      <w:r w:rsidR="001E5652" w:rsidRPr="00590E7D">
        <w:t xml:space="preserve"> </w:t>
      </w:r>
      <w:r w:rsidRPr="00590E7D">
        <w:t xml:space="preserve">200 volunteer primary health care workers across </w:t>
      </w:r>
      <w:r w:rsidR="001E5652">
        <w:t>the</w:t>
      </w:r>
      <w:r w:rsidR="001E5652" w:rsidRPr="00590E7D">
        <w:t xml:space="preserve"> </w:t>
      </w:r>
      <w:r w:rsidRPr="00590E7D">
        <w:t>six provinces, providing nutritional and hygiene counselling</w:t>
      </w:r>
      <w:r w:rsidR="00A1507C">
        <w:t>,</w:t>
      </w:r>
      <w:r w:rsidRPr="00590E7D">
        <w:t xml:space="preserve"> as well as basic curative services to the </w:t>
      </w:r>
      <w:r w:rsidR="001E5652">
        <w:t xml:space="preserve">country’s </w:t>
      </w:r>
      <w:r w:rsidRPr="00590E7D">
        <w:t>most remote areas</w:t>
      </w:r>
      <w:r w:rsidR="001E314E">
        <w:t xml:space="preserve">. </w:t>
      </w:r>
      <w:r>
        <w:t>This program and public health services more generally will be strengthened by</w:t>
      </w:r>
      <w:r w:rsidR="001E5652">
        <w:t xml:space="preserve"> the</w:t>
      </w:r>
      <w:r w:rsidR="00970BA4">
        <w:t xml:space="preserve"> Vanuatu Law Commission’s</w:t>
      </w:r>
      <w:r>
        <w:t xml:space="preserve"> review of the </w:t>
      </w:r>
      <w:r w:rsidRPr="00970BA4">
        <w:t>Public Health and Health Committees Act</w:t>
      </w:r>
      <w:r>
        <w:t>, intended to update health legislation</w:t>
      </w:r>
      <w:r w:rsidRPr="00590E7D">
        <w:t xml:space="preserve"> (</w:t>
      </w:r>
      <w:r w:rsidRPr="00860CDE">
        <w:t xml:space="preserve">Box </w:t>
      </w:r>
      <w:r>
        <w:t>5</w:t>
      </w:r>
      <w:r w:rsidRPr="002B764B">
        <w:t>)</w:t>
      </w:r>
      <w:r w:rsidR="005578F3">
        <w:t xml:space="preserve">, which was supported by the Australian </w:t>
      </w:r>
      <w:r w:rsidR="00EF35A5">
        <w:t>Government</w:t>
      </w:r>
      <w:r w:rsidRPr="002B764B">
        <w:t>.</w:t>
      </w:r>
    </w:p>
    <w:p w:rsidR="005B4CE2" w:rsidRPr="00590E7D" w:rsidRDefault="005B4CE2" w:rsidP="0098404C">
      <w:pPr>
        <w:pStyle w:val="BodyText"/>
      </w:pPr>
      <w:r>
        <w:t xml:space="preserve">Maternal mortality rates </w:t>
      </w:r>
      <w:r w:rsidRPr="00590E7D">
        <w:t xml:space="preserve">declined slightly </w:t>
      </w:r>
      <w:r>
        <w:t xml:space="preserve">over the past decade, </w:t>
      </w:r>
      <w:r w:rsidRPr="00590E7D">
        <w:t>from 96</w:t>
      </w:r>
      <w:r w:rsidR="001E5652">
        <w:t xml:space="preserve"> per </w:t>
      </w:r>
      <w:r w:rsidRPr="00590E7D">
        <w:t>100</w:t>
      </w:r>
      <w:r w:rsidR="00A43F42">
        <w:t xml:space="preserve"> </w:t>
      </w:r>
      <w:r w:rsidRPr="00590E7D">
        <w:t>000 live births in 1998 to 86</w:t>
      </w:r>
      <w:r w:rsidR="001E5652">
        <w:t xml:space="preserve"> per 1</w:t>
      </w:r>
      <w:r w:rsidRPr="00590E7D">
        <w:t>00</w:t>
      </w:r>
      <w:r w:rsidR="00A43F42">
        <w:t xml:space="preserve"> </w:t>
      </w:r>
      <w:r w:rsidRPr="00590E7D">
        <w:t>000 in 2007</w:t>
      </w:r>
      <w:r w:rsidR="001E314E">
        <w:t xml:space="preserve">. </w:t>
      </w:r>
      <w:r w:rsidRPr="00590E7D">
        <w:t xml:space="preserve">The principal cause of maternal mortality is post-partum haemorrhage and </w:t>
      </w:r>
      <w:r>
        <w:t xml:space="preserve">very </w:t>
      </w:r>
      <w:r w:rsidRPr="00590E7D">
        <w:t xml:space="preserve">few community health facilities have blood transfusion capability, so access to </w:t>
      </w:r>
      <w:r>
        <w:t xml:space="preserve">skilled </w:t>
      </w:r>
      <w:r w:rsidRPr="00590E7D">
        <w:t>birth attendants will not, in itself, eliminate maternal mortality</w:t>
      </w:r>
      <w:r w:rsidR="001E314E">
        <w:t xml:space="preserve">. </w:t>
      </w:r>
      <w:r w:rsidRPr="00590E7D">
        <w:t>In the medium term, therefore, all high</w:t>
      </w:r>
      <w:r w:rsidR="001E5652">
        <w:t>-</w:t>
      </w:r>
      <w:r w:rsidRPr="00590E7D">
        <w:t>risk births need to be in a hospital</w:t>
      </w:r>
      <w:r w:rsidR="001E314E">
        <w:t xml:space="preserve">. </w:t>
      </w:r>
      <w:r>
        <w:t>Australia</w:t>
      </w:r>
      <w:r w:rsidRPr="00590E7D">
        <w:t xml:space="preserve"> supports tertiary care at the </w:t>
      </w:r>
      <w:r>
        <w:t xml:space="preserve">country’s main hospital, </w:t>
      </w:r>
      <w:r w:rsidRPr="00590E7D">
        <w:t xml:space="preserve">Vila Central Hospital, including </w:t>
      </w:r>
      <w:r w:rsidR="001E5652">
        <w:t>the</w:t>
      </w:r>
      <w:r w:rsidRPr="00590E7D">
        <w:t xml:space="preserve"> refurbished midwifery section which now attends almost half of all record</w:t>
      </w:r>
      <w:r>
        <w:t>ed births in Vanuatu</w:t>
      </w:r>
      <w:r w:rsidR="001E314E">
        <w:t xml:space="preserve">. </w:t>
      </w:r>
      <w:r w:rsidR="000C232F">
        <w:t>Au</w:t>
      </w:r>
      <w:r w:rsidR="00695C8C">
        <w:t>s</w:t>
      </w:r>
      <w:r w:rsidR="000C232F">
        <w:t xml:space="preserve">tralia </w:t>
      </w:r>
      <w:r>
        <w:t>continues to help fund</w:t>
      </w:r>
      <w:r w:rsidRPr="00590E7D">
        <w:t xml:space="preserve"> a Maternal, Child and Neonatal Health Expert</w:t>
      </w:r>
      <w:r>
        <w:t xml:space="preserve">, a Senior Obstetrician/Gynaecologist (Ob-Gyn) and scholarships to two </w:t>
      </w:r>
      <w:proofErr w:type="spellStart"/>
      <w:r w:rsidRPr="00A43F42">
        <w:t>ni</w:t>
      </w:r>
      <w:proofErr w:type="spellEnd"/>
      <w:r w:rsidRPr="00A43F42">
        <w:t>-Vanuatu</w:t>
      </w:r>
      <w:r w:rsidRPr="00560216">
        <w:t xml:space="preserve"> Ob-Gyn interns to obtain their Masters Degrees.</w:t>
      </w:r>
    </w:p>
    <w:p w:rsidR="005B4CE2" w:rsidRDefault="005B4CE2" w:rsidP="0098404C">
      <w:pPr>
        <w:pStyle w:val="BodyText"/>
      </w:pPr>
      <w:r w:rsidRPr="005C5B4A">
        <w:t>At between 11</w:t>
      </w:r>
      <w:r w:rsidR="00A43F42">
        <w:t xml:space="preserve"> and </w:t>
      </w:r>
      <w:r w:rsidRPr="005C5B4A">
        <w:t>13 per cent of the recurrent budget, Vanuatu Government allocations to the health sector are higher than regional benchmarks</w:t>
      </w:r>
      <w:r w:rsidR="001E314E">
        <w:t xml:space="preserve">. </w:t>
      </w:r>
      <w:r w:rsidR="00CE272F" w:rsidRPr="005C5B4A">
        <w:t>A</w:t>
      </w:r>
      <w:r w:rsidR="003722EF" w:rsidRPr="005C5B4A">
        <w:t>round</w:t>
      </w:r>
      <w:r w:rsidRPr="005C5B4A">
        <w:t xml:space="preserve"> 60 per cent of this budget is </w:t>
      </w:r>
      <w:r w:rsidR="003722EF" w:rsidRPr="005C5B4A">
        <w:t>for</w:t>
      </w:r>
      <w:r w:rsidRPr="005C5B4A">
        <w:t xml:space="preserve"> personnel</w:t>
      </w:r>
      <w:r w:rsidR="003722EF" w:rsidRPr="005C5B4A">
        <w:t xml:space="preserve"> costs</w:t>
      </w:r>
      <w:r w:rsidRPr="005C5B4A">
        <w:t xml:space="preserve"> and additional amounts are spent on central administration</w:t>
      </w:r>
      <w:r w:rsidR="001E314E">
        <w:t xml:space="preserve">. </w:t>
      </w:r>
      <w:r w:rsidRPr="005C5B4A">
        <w:t>Partnerships</w:t>
      </w:r>
      <w:r>
        <w:t xml:space="preserve"> with civil society organisations to deliver some health services are therefore critical.</w:t>
      </w:r>
      <w:r w:rsidR="00BF55CF">
        <w:t xml:space="preserve"> </w:t>
      </w:r>
      <w:r w:rsidR="001E5652">
        <w:t>So too is</w:t>
      </w:r>
      <w:r w:rsidR="00BF55CF">
        <w:t xml:space="preserve"> increasing the efficiency of </w:t>
      </w:r>
      <w:r w:rsidR="001E5652">
        <w:t xml:space="preserve">health </w:t>
      </w:r>
      <w:r w:rsidR="00BF55CF">
        <w:t>spending through, for instance</w:t>
      </w:r>
      <w:r w:rsidR="003722EF">
        <w:t>,</w:t>
      </w:r>
      <w:r w:rsidR="00BF55CF">
        <w:t xml:space="preserve"> procurement reform (Box 2)</w:t>
      </w:r>
      <w:r w:rsidR="001E314E">
        <w:t xml:space="preserve">. </w:t>
      </w:r>
      <w:r w:rsidR="00C54AB6">
        <w:t xml:space="preserve">Freeing up fiscal space in the health budget through efficiency </w:t>
      </w:r>
      <w:r w:rsidR="00CE272F">
        <w:t>gains</w:t>
      </w:r>
      <w:r w:rsidR="00C54AB6">
        <w:t xml:space="preserve"> </w:t>
      </w:r>
      <w:r w:rsidR="00713505">
        <w:t>would</w:t>
      </w:r>
      <w:r w:rsidR="00C54AB6">
        <w:t xml:space="preserve"> allow the Vanuatu Government to focus on other emerging health sector issues such as non-communicable diseases.</w:t>
      </w:r>
    </w:p>
    <w:p w:rsidR="00F06518" w:rsidRDefault="00F06518" w:rsidP="0098404C">
      <w:pPr>
        <w:pStyle w:val="BodyText"/>
      </w:pPr>
    </w:p>
    <w:tbl>
      <w:tblPr>
        <w:tblStyle w:val="TableGrid"/>
        <w:tblW w:w="0" w:type="auto"/>
        <w:shd w:val="clear" w:color="auto" w:fill="C6D9F1" w:themeFill="text2" w:themeFillTint="33"/>
        <w:tblLook w:val="04A0" w:firstRow="1" w:lastRow="0" w:firstColumn="1" w:lastColumn="0" w:noHBand="0" w:noVBand="1"/>
        <w:tblDescription w:val="Box 2: Increasing the efficiency of health spending&#10;Vanuatu’s Ministry of Health Procurement Unit is reforming its procurement processes. Procurement is typically an area prone to inefficient and opaque awarding of contracts. The Ministry transparently completed six complex tenders in 2012–13, including for preferred drug suppliers for the Government’s Central Medical Stores.&#10;Medical supplies typically account for more than 7 per cent of the health budget in Vanuatu. Better forecasting of demand, planning of procurement and competitive sourcing of medical supplies by the strengthened Procurement Unit has led to unit cost savings of up to 40 per cent on some drugs and more than 20 per cent (VT30m) on medical supplies overall because of economies of scale, use of more efficient freight options and sourcing generic drugs where appropriate. Increasing efficiency in this way is an important response to limited operational budgets. It also demonstrates the value-for-money possible through well-targeted adviser support. Additionally, the strengthened Central Medical Stores team is now able to effectively forecast and mitigate against future stock-outs.&#10;"/>
      </w:tblPr>
      <w:tblGrid>
        <w:gridCol w:w="8494"/>
      </w:tblGrid>
      <w:tr w:rsidR="0098404C" w:rsidTr="00F06518">
        <w:tc>
          <w:tcPr>
            <w:tcW w:w="8494" w:type="dxa"/>
            <w:shd w:val="clear" w:color="auto" w:fill="C6D9F1" w:themeFill="text2" w:themeFillTint="33"/>
          </w:tcPr>
          <w:p w:rsidR="0098404C" w:rsidRPr="00CD215A" w:rsidRDefault="0098404C" w:rsidP="0098404C">
            <w:pPr>
              <w:pStyle w:val="BoxHeading1"/>
            </w:pPr>
            <w:r w:rsidRPr="00CD215A">
              <w:t>B</w:t>
            </w:r>
            <w:r>
              <w:t>ox 2: Increasing the efficiency of health spending</w:t>
            </w:r>
          </w:p>
          <w:p w:rsidR="0098404C" w:rsidRDefault="0098404C" w:rsidP="0098404C">
            <w:pPr>
              <w:pStyle w:val="BoxText"/>
            </w:pPr>
            <w:r>
              <w:t>Vanuatu’s</w:t>
            </w:r>
            <w:r w:rsidRPr="000D4620">
              <w:t xml:space="preserve"> Ministry of Health Procurement Unit is reforming </w:t>
            </w:r>
            <w:r>
              <w:t xml:space="preserve">its </w:t>
            </w:r>
            <w:r w:rsidRPr="000D4620">
              <w:t xml:space="preserve">procurement </w:t>
            </w:r>
            <w:r>
              <w:t>processes. Procurement is typically an area prone to inefficient and opaque awarding of contracts. The Ministry transparently completed s</w:t>
            </w:r>
            <w:r w:rsidRPr="00356A91">
              <w:t xml:space="preserve">ix complex tenders </w:t>
            </w:r>
            <w:r>
              <w:t>in 2012–13</w:t>
            </w:r>
            <w:r w:rsidRPr="00356A91">
              <w:t>, including for preferred drug suppl</w:t>
            </w:r>
            <w:r>
              <w:t>iers for the Government’s Central Medical Stores.</w:t>
            </w:r>
          </w:p>
          <w:p w:rsidR="0098404C" w:rsidRDefault="0098404C" w:rsidP="0098404C">
            <w:pPr>
              <w:pStyle w:val="BoxText"/>
            </w:pPr>
            <w:r>
              <w:t xml:space="preserve">Medical supplies typically account for more than 7 per cent of the health budget in Vanuatu. </w:t>
            </w:r>
            <w:r w:rsidRPr="00356A91">
              <w:t xml:space="preserve">Better forecasting of demand, planning of procurement and competitive sourcing of </w:t>
            </w:r>
            <w:r>
              <w:t xml:space="preserve">medical </w:t>
            </w:r>
            <w:r w:rsidRPr="00356A91">
              <w:t xml:space="preserve">supplies </w:t>
            </w:r>
            <w:r>
              <w:t xml:space="preserve">by the strengthened Procurement Unit </w:t>
            </w:r>
            <w:r w:rsidRPr="00356A91">
              <w:t>has led to unit cost savings of up to 40</w:t>
            </w:r>
            <w:r>
              <w:t xml:space="preserve"> per cent</w:t>
            </w:r>
            <w:r w:rsidRPr="00356A91">
              <w:t xml:space="preserve"> </w:t>
            </w:r>
            <w:r>
              <w:t>on some drugs and more than 20 per cent (</w:t>
            </w:r>
            <w:r w:rsidRPr="00B14C83">
              <w:t>VT30</w:t>
            </w:r>
            <w:r>
              <w:t xml:space="preserve">m) on medical supplies overall </w:t>
            </w:r>
            <w:r w:rsidRPr="00356A91">
              <w:t>because of economies of scale, use of more efficient freight options and sourcing generic drugs where appropriate</w:t>
            </w:r>
            <w:r>
              <w:t xml:space="preserve">. </w:t>
            </w:r>
            <w:r w:rsidRPr="00356A91">
              <w:t>Increasing efficiency in this way is an important response to limited operational budgets</w:t>
            </w:r>
            <w:r>
              <w:t>. It also</w:t>
            </w:r>
            <w:r w:rsidRPr="00356A91">
              <w:t xml:space="preserve"> demonstrates the value</w:t>
            </w:r>
            <w:r>
              <w:t>-</w:t>
            </w:r>
            <w:r w:rsidRPr="00356A91">
              <w:t>for</w:t>
            </w:r>
            <w:r>
              <w:t>-</w:t>
            </w:r>
            <w:r w:rsidRPr="00356A91">
              <w:t xml:space="preserve">money possible </w:t>
            </w:r>
            <w:r>
              <w:t>through well-targeted adviser support</w:t>
            </w:r>
            <w:r w:rsidRPr="00356A91">
              <w:t>.</w:t>
            </w:r>
            <w:r>
              <w:t xml:space="preserve"> </w:t>
            </w:r>
            <w:r w:rsidRPr="00F71CD4">
              <w:t xml:space="preserve">Additionally, the strengthened Central Medical Stores team </w:t>
            </w:r>
            <w:r>
              <w:t xml:space="preserve">is now able to </w:t>
            </w:r>
            <w:r w:rsidRPr="00F71CD4">
              <w:t xml:space="preserve">effectively forecast and </w:t>
            </w:r>
            <w:proofErr w:type="gramStart"/>
            <w:r>
              <w:t>mitigate</w:t>
            </w:r>
            <w:proofErr w:type="gramEnd"/>
            <w:r>
              <w:t xml:space="preserve"> against future stock-outs.</w:t>
            </w:r>
          </w:p>
        </w:tc>
      </w:tr>
    </w:tbl>
    <w:p w:rsidR="0098404C" w:rsidRPr="00590E7D" w:rsidRDefault="0098404C" w:rsidP="0098404C">
      <w:pPr>
        <w:pStyle w:val="BodyText"/>
      </w:pPr>
    </w:p>
    <w:p w:rsidR="005B4CE2" w:rsidRDefault="005B4CE2" w:rsidP="0098404C">
      <w:pPr>
        <w:pStyle w:val="BodyText"/>
      </w:pPr>
      <w:r>
        <w:t xml:space="preserve">Australia’s long-running support to the highly successful local </w:t>
      </w:r>
      <w:r w:rsidR="00B915E8">
        <w:t>non-government organisation</w:t>
      </w:r>
      <w:r>
        <w:t xml:space="preserve">, </w:t>
      </w:r>
      <w:r w:rsidRPr="005823FD">
        <w:rPr>
          <w:i/>
        </w:rPr>
        <w:t xml:space="preserve">Wan </w:t>
      </w:r>
      <w:proofErr w:type="spellStart"/>
      <w:r w:rsidRPr="005823FD">
        <w:rPr>
          <w:i/>
        </w:rPr>
        <w:t>Smolbag</w:t>
      </w:r>
      <w:proofErr w:type="spellEnd"/>
      <w:r w:rsidRPr="00C00189">
        <w:t>,</w:t>
      </w:r>
      <w:r w:rsidRPr="00590E7D">
        <w:t xml:space="preserve"> </w:t>
      </w:r>
      <w:r>
        <w:t xml:space="preserve">continues to be one of the most effective ways of </w:t>
      </w:r>
      <w:r w:rsidRPr="00590E7D">
        <w:t>provid</w:t>
      </w:r>
      <w:r w:rsidR="004E5EE0">
        <w:t>ing</w:t>
      </w:r>
      <w:r w:rsidRPr="00590E7D">
        <w:t xml:space="preserve"> reproductive and sexual health services</w:t>
      </w:r>
      <w:r w:rsidR="00B915E8">
        <w:t>. This includes</w:t>
      </w:r>
      <w:r w:rsidRPr="00590E7D">
        <w:t xml:space="preserve"> to </w:t>
      </w:r>
      <w:r>
        <w:t>9121 clients (6835</w:t>
      </w:r>
      <w:r w:rsidRPr="00590E7D">
        <w:t xml:space="preserve"> women and </w:t>
      </w:r>
      <w:r>
        <w:t>2286</w:t>
      </w:r>
      <w:r w:rsidRPr="00590E7D">
        <w:t xml:space="preserve"> men</w:t>
      </w:r>
      <w:r>
        <w:t>)</w:t>
      </w:r>
      <w:r w:rsidRPr="00590E7D">
        <w:t xml:space="preserve"> at </w:t>
      </w:r>
      <w:r w:rsidR="00B915E8">
        <w:rPr>
          <w:i/>
        </w:rPr>
        <w:t xml:space="preserve">Wan </w:t>
      </w:r>
      <w:proofErr w:type="spellStart"/>
      <w:r w:rsidR="00B915E8">
        <w:rPr>
          <w:i/>
        </w:rPr>
        <w:t>Smolbag</w:t>
      </w:r>
      <w:r w:rsidR="00B915E8">
        <w:t>’s</w:t>
      </w:r>
      <w:proofErr w:type="spellEnd"/>
      <w:r w:rsidR="00B915E8">
        <w:t xml:space="preserve"> </w:t>
      </w:r>
      <w:r>
        <w:t>reproductive health facilities in Port Vila, Pentecost and Santo</w:t>
      </w:r>
      <w:r w:rsidR="00895DF4">
        <w:t>—</w:t>
      </w:r>
      <w:r w:rsidRPr="00590E7D">
        <w:t>most of whom soug</w:t>
      </w:r>
      <w:r>
        <w:t>ht family planning advice.</w:t>
      </w:r>
    </w:p>
    <w:p w:rsidR="005B4CE2" w:rsidRPr="00F71CD4" w:rsidRDefault="005B4CE2" w:rsidP="0098404C">
      <w:pPr>
        <w:pStyle w:val="BodyText"/>
      </w:pPr>
      <w:r>
        <w:t>B</w:t>
      </w:r>
      <w:r w:rsidRPr="00590E7D">
        <w:t>etween July 2009 and June 2013</w:t>
      </w:r>
      <w:r w:rsidR="00B915E8">
        <w:t>,</w:t>
      </w:r>
      <w:r w:rsidRPr="00590E7D">
        <w:t xml:space="preserve"> the Vanuatu Church Partnership Program supported faith-based organisations to build 505</w:t>
      </w:r>
      <w:r>
        <w:t xml:space="preserve"> community toilets; improve access to safe water and basic sanitation for some 15</w:t>
      </w:r>
      <w:r w:rsidR="00895DF4">
        <w:t xml:space="preserve"> </w:t>
      </w:r>
      <w:r>
        <w:t>000 people; raise</w:t>
      </w:r>
      <w:r w:rsidRPr="00590E7D">
        <w:t xml:space="preserve"> awareness of 951 people about non-</w:t>
      </w:r>
      <w:r w:rsidRPr="002B764B">
        <w:t xml:space="preserve">communicable diseases; and </w:t>
      </w:r>
      <w:r w:rsidRPr="00970BA4">
        <w:t>provide more than 19</w:t>
      </w:r>
      <w:r w:rsidR="00895DF4" w:rsidRPr="00970BA4">
        <w:t xml:space="preserve"> </w:t>
      </w:r>
      <w:r w:rsidRPr="00970BA4">
        <w:t>700 people with eye clinic services and screening</w:t>
      </w:r>
      <w:r w:rsidR="001E314E" w:rsidRPr="00B915E8">
        <w:t xml:space="preserve">. </w:t>
      </w:r>
      <w:r w:rsidR="00A53CC7" w:rsidRPr="00B915E8">
        <w:t>The eye clini</w:t>
      </w:r>
      <w:r w:rsidR="00A53CC7" w:rsidRPr="002B764B">
        <w:t>cs conduct eye screening, distribute ready-made glasses, repair glasses and provide custom-made glasses on site</w:t>
      </w:r>
      <w:r w:rsidR="001E314E">
        <w:t xml:space="preserve">. </w:t>
      </w:r>
      <w:r w:rsidR="00A53CC7" w:rsidRPr="002B764B">
        <w:t>The</w:t>
      </w:r>
      <w:r w:rsidR="00B915E8">
        <w:t>y</w:t>
      </w:r>
      <w:r w:rsidR="00A53CC7" w:rsidRPr="002B764B">
        <w:t xml:space="preserve"> </w:t>
      </w:r>
      <w:r w:rsidR="008A3E2B" w:rsidRPr="002B764B">
        <w:t>are the only option for most</w:t>
      </w:r>
      <w:r w:rsidR="00A53CC7" w:rsidRPr="002B764B">
        <w:t xml:space="preserve"> </w:t>
      </w:r>
      <w:proofErr w:type="spellStart"/>
      <w:r w:rsidR="00A53CC7" w:rsidRPr="002B764B">
        <w:t>ni</w:t>
      </w:r>
      <w:proofErr w:type="spellEnd"/>
      <w:r w:rsidR="00A53CC7" w:rsidRPr="002B764B">
        <w:t xml:space="preserve">-Vanuatu </w:t>
      </w:r>
      <w:r w:rsidR="00051BD8" w:rsidRPr="002B764B">
        <w:t>living</w:t>
      </w:r>
      <w:r w:rsidR="006D4FDB" w:rsidRPr="002B764B">
        <w:t xml:space="preserve"> in rural areas.</w:t>
      </w:r>
      <w:r w:rsidR="006D4FDB">
        <w:t xml:space="preserve"> </w:t>
      </w:r>
    </w:p>
    <w:p w:rsidR="00590E7D" w:rsidRDefault="005B4CE2" w:rsidP="0098404C">
      <w:pPr>
        <w:pStyle w:val="BodyText"/>
      </w:pPr>
      <w:r>
        <w:t>P</w:t>
      </w:r>
      <w:r w:rsidRPr="00590E7D">
        <w:t xml:space="preserve">rogress </w:t>
      </w:r>
      <w:r>
        <w:t xml:space="preserve">against health outcomes </w:t>
      </w:r>
      <w:r w:rsidRPr="00590E7D">
        <w:t>continue</w:t>
      </w:r>
      <w:r>
        <w:t>s</w:t>
      </w:r>
      <w:r w:rsidRPr="00590E7D">
        <w:t xml:space="preserve"> to be measured and reported using Vanuatu’s own system and reports</w:t>
      </w:r>
      <w:r w:rsidR="00AD2748">
        <w:t>,</w:t>
      </w:r>
      <w:r>
        <w:t xml:space="preserve"> as well as regional data</w:t>
      </w:r>
      <w:r w:rsidR="001E314E">
        <w:t xml:space="preserve">. </w:t>
      </w:r>
      <w:r w:rsidRPr="00590E7D">
        <w:t>The last accurate national health statistics are from the 2007 multi-indicator cluster survey</w:t>
      </w:r>
      <w:r>
        <w:t>,</w:t>
      </w:r>
      <w:r w:rsidRPr="00590E7D">
        <w:t xml:space="preserve"> but the scheduled demographic health survey to be conducted in 2013 will </w:t>
      </w:r>
      <w:r w:rsidR="00B915E8">
        <w:t>enable health data to be updated</w:t>
      </w:r>
      <w:r w:rsidR="001E314E">
        <w:t>.</w:t>
      </w:r>
      <w:r w:rsidR="005578F3">
        <w:t xml:space="preserve"> The Australian </w:t>
      </w:r>
      <w:r w:rsidR="00EF35A5">
        <w:t>Government</w:t>
      </w:r>
      <w:r>
        <w:t xml:space="preserve"> has supplemented </w:t>
      </w:r>
      <w:r w:rsidRPr="00590E7D">
        <w:t xml:space="preserve">two reviews </w:t>
      </w:r>
      <w:r>
        <w:t>of key programs in partnership with</w:t>
      </w:r>
      <w:r w:rsidRPr="00590E7D">
        <w:t xml:space="preserve"> </w:t>
      </w:r>
      <w:r w:rsidR="00B915E8">
        <w:t>the Ministry of Health</w:t>
      </w:r>
      <w:r w:rsidRPr="00590E7D">
        <w:t xml:space="preserve"> in 2012: an evaluation of the Village Health Worker Program and an </w:t>
      </w:r>
      <w:r w:rsidRPr="00B915E8">
        <w:t xml:space="preserve">evaluation of the </w:t>
      </w:r>
      <w:r w:rsidR="00B915E8" w:rsidRPr="00B915E8">
        <w:t>program providing</w:t>
      </w:r>
      <w:r w:rsidRPr="00B915E8">
        <w:t xml:space="preserve"> clinicians to Vila Central Hospital</w:t>
      </w:r>
      <w:r w:rsidR="001E314E" w:rsidRPr="00B915E8">
        <w:t xml:space="preserve">. </w:t>
      </w:r>
      <w:r w:rsidRPr="00B915E8">
        <w:t xml:space="preserve">These </w:t>
      </w:r>
      <w:r w:rsidR="00B915E8">
        <w:t>reviews</w:t>
      </w:r>
      <w:r w:rsidR="00B915E8" w:rsidRPr="00590E7D">
        <w:t xml:space="preserve"> </w:t>
      </w:r>
      <w:r>
        <w:t xml:space="preserve">recommended a </w:t>
      </w:r>
      <w:r w:rsidRPr="00590E7D">
        <w:t xml:space="preserve">tender </w:t>
      </w:r>
      <w:r>
        <w:t xml:space="preserve">for </w:t>
      </w:r>
      <w:r w:rsidRPr="00590E7D">
        <w:t xml:space="preserve">both programs </w:t>
      </w:r>
      <w:r w:rsidR="00B915E8">
        <w:t>in</w:t>
      </w:r>
      <w:r w:rsidR="00B915E8" w:rsidRPr="00590E7D">
        <w:t xml:space="preserve"> </w:t>
      </w:r>
      <w:r w:rsidRPr="00590E7D">
        <w:t xml:space="preserve">2013 to </w:t>
      </w:r>
      <w:r>
        <w:t xml:space="preserve">incorporate lessons learned and comply with </w:t>
      </w:r>
      <w:r w:rsidRPr="00590E7D">
        <w:t>Government of Vanuatu procurement guidelines.</w:t>
      </w:r>
    </w:p>
    <w:p w:rsidR="00751C24" w:rsidRDefault="00713505" w:rsidP="0098404C">
      <w:pPr>
        <w:pStyle w:val="BodyText"/>
        <w:rPr>
          <w:color w:val="1F497D"/>
        </w:rPr>
      </w:pPr>
      <w:r>
        <w:t xml:space="preserve">Australia and Vanuatu continue to work with </w:t>
      </w:r>
      <w:r w:rsidR="00751C24">
        <w:t xml:space="preserve">multilateral partners </w:t>
      </w:r>
      <w:r>
        <w:t xml:space="preserve">in </w:t>
      </w:r>
      <w:r w:rsidR="00751C24">
        <w:t>the areas of family planning supplies and immunisation</w:t>
      </w:r>
      <w:r w:rsidR="001E314E">
        <w:t xml:space="preserve">. </w:t>
      </w:r>
      <w:r w:rsidR="00751C24">
        <w:t>Considering Vanuatu’s low contraceptive prevalence and inadequate immunisation coverage</w:t>
      </w:r>
      <w:r w:rsidR="00B915E8">
        <w:t xml:space="preserve">, </w:t>
      </w:r>
      <w:r w:rsidR="000C232F">
        <w:t>Australia</w:t>
      </w:r>
      <w:r w:rsidR="00751C24">
        <w:t xml:space="preserve"> will continue to work with </w:t>
      </w:r>
      <w:r w:rsidR="00B915E8">
        <w:t xml:space="preserve">these </w:t>
      </w:r>
      <w:r w:rsidR="00751C24">
        <w:t>partners to improve</w:t>
      </w:r>
      <w:r w:rsidR="00751C24" w:rsidRPr="00751C24">
        <w:t xml:space="preserve"> effectiveness.</w:t>
      </w:r>
      <w:r w:rsidR="00751C24">
        <w:rPr>
          <w:color w:val="1F497D"/>
        </w:rPr>
        <w:t xml:space="preserve"> </w:t>
      </w:r>
    </w:p>
    <w:p w:rsidR="00081282" w:rsidRDefault="00081282" w:rsidP="00081282">
      <w:pPr>
        <w:pStyle w:val="Heading2"/>
      </w:pPr>
      <w:r w:rsidRPr="00021A9E">
        <w:t>Objective</w:t>
      </w:r>
      <w:r>
        <w:t xml:space="preserve"> 3: Develop essential infrastructure to support economic growth and service delivery</w:t>
      </w:r>
    </w:p>
    <w:p w:rsidR="00713505" w:rsidRPr="00381983" w:rsidRDefault="002456BC" w:rsidP="000C1C8B">
      <w:pPr>
        <w:pStyle w:val="BodyText"/>
      </w:pPr>
      <w:r>
        <w:t xml:space="preserve">Rural roads, electrification and well-managed urban development are pathways to improved livelihoods for poor </w:t>
      </w:r>
      <w:proofErr w:type="spellStart"/>
      <w:r>
        <w:t>ni</w:t>
      </w:r>
      <w:proofErr w:type="spellEnd"/>
      <w:r>
        <w:t>-Vanuatu by providing access to services and income-generating opportunities</w:t>
      </w:r>
      <w:r w:rsidR="001E314E">
        <w:t xml:space="preserve">. </w:t>
      </w:r>
      <w:r>
        <w:t xml:space="preserve">Australia helps maintain essential road infrastructure in rural areas where most </w:t>
      </w:r>
      <w:proofErr w:type="spellStart"/>
      <w:r>
        <w:t>ni</w:t>
      </w:r>
      <w:proofErr w:type="spellEnd"/>
      <w:r>
        <w:t>-Vanuatu live, as well as targeting the country’s economic hub in the capital, Port Vila, for an upgrade of its ageing infrastructure</w:t>
      </w:r>
      <w:r w:rsidR="001E314E">
        <w:t xml:space="preserve">. </w:t>
      </w:r>
      <w:r w:rsidR="00713505">
        <w:t xml:space="preserve">The program </w:t>
      </w:r>
      <w:r w:rsidR="00894026">
        <w:t>met expectations</w:t>
      </w:r>
      <w:r w:rsidR="00713505">
        <w:t xml:space="preserve"> </w:t>
      </w:r>
      <w:r w:rsidR="00894026">
        <w:t xml:space="preserve">for </w:t>
      </w:r>
      <w:r w:rsidR="00713505">
        <w:t xml:space="preserve">the </w:t>
      </w:r>
      <w:r w:rsidR="00894026">
        <w:t xml:space="preserve">reporting </w:t>
      </w:r>
      <w:r w:rsidR="00713505">
        <w:t xml:space="preserve">period and continues to be rated </w:t>
      </w:r>
      <w:r w:rsidR="00B915E8">
        <w:t>‘</w:t>
      </w:r>
      <w:r w:rsidR="00713505">
        <w:t>green</w:t>
      </w:r>
      <w:r w:rsidR="00B915E8">
        <w:t>’</w:t>
      </w:r>
      <w:r w:rsidR="00713505">
        <w:t>.</w:t>
      </w:r>
    </w:p>
    <w:p w:rsidR="002456BC" w:rsidRDefault="002456BC" w:rsidP="000C1C8B">
      <w:pPr>
        <w:pStyle w:val="BodyText"/>
      </w:pPr>
      <w:r w:rsidRPr="00081282">
        <w:t>The Vanuatu Transport Sector Support Program (</w:t>
      </w:r>
      <w:r>
        <w:t>‘rural roads program’</w:t>
      </w:r>
      <w:r w:rsidRPr="00081282">
        <w:t xml:space="preserve">) is the first </w:t>
      </w:r>
      <w:r w:rsidR="00AD2748">
        <w:br/>
      </w:r>
      <w:r w:rsidRPr="00081282">
        <w:t>large-scale infrastructure initiative</w:t>
      </w:r>
      <w:r w:rsidR="005578F3">
        <w:t xml:space="preserve"> the Australian aid program</w:t>
      </w:r>
      <w:r w:rsidRPr="00081282">
        <w:t xml:space="preserve"> has implemented</w:t>
      </w:r>
      <w:r>
        <w:t xml:space="preserve"> in Vanuatu</w:t>
      </w:r>
      <w:r w:rsidR="001E314E">
        <w:t xml:space="preserve">. </w:t>
      </w:r>
      <w:r w:rsidRPr="00081282">
        <w:t>National roads are maintained by the Public Works Department</w:t>
      </w:r>
      <w:r>
        <w:t xml:space="preserve"> (PWD)</w:t>
      </w:r>
      <w:r w:rsidRPr="00081282">
        <w:t xml:space="preserve">, but </w:t>
      </w:r>
      <w:r w:rsidR="00300B97">
        <w:t>the department</w:t>
      </w:r>
      <w:r w:rsidRPr="00081282">
        <w:t xml:space="preserve"> has insufficient financial and human resources to maintain the existing road netw</w:t>
      </w:r>
      <w:r>
        <w:t>ork</w:t>
      </w:r>
      <w:r w:rsidR="00300B97">
        <w:t>. M</w:t>
      </w:r>
      <w:r>
        <w:t>any roads are falling into disrepair and becoming impassable</w:t>
      </w:r>
      <w:r w:rsidR="00895DF4">
        <w:t>—</w:t>
      </w:r>
      <w:r>
        <w:t>especially in wet weather</w:t>
      </w:r>
      <w:r w:rsidR="001E314E">
        <w:t xml:space="preserve">. </w:t>
      </w:r>
      <w:r>
        <w:t xml:space="preserve">The </w:t>
      </w:r>
      <w:r w:rsidRPr="00B14C83">
        <w:t>current V</w:t>
      </w:r>
      <w:r w:rsidR="005C5B4A" w:rsidRPr="00B14C83">
        <w:t>UV</w:t>
      </w:r>
      <w:r w:rsidRPr="00B14C83">
        <w:t>500</w:t>
      </w:r>
      <w:r w:rsidRPr="00081282">
        <w:t xml:space="preserve"> million annual </w:t>
      </w:r>
      <w:proofErr w:type="gramStart"/>
      <w:r w:rsidRPr="00081282">
        <w:t>budget</w:t>
      </w:r>
      <w:proofErr w:type="gramEnd"/>
      <w:r w:rsidRPr="00081282">
        <w:t xml:space="preserve"> allocated to PWD is estimated to be 20</w:t>
      </w:r>
      <w:r>
        <w:t xml:space="preserve"> per cent</w:t>
      </w:r>
      <w:r w:rsidRPr="00081282">
        <w:t xml:space="preserve"> of what is needed to maintain a repaired national road network</w:t>
      </w:r>
      <w:r w:rsidR="00300B97">
        <w:t>. A</w:t>
      </w:r>
      <w:r w:rsidRPr="00081282">
        <w:t>lmost one</w:t>
      </w:r>
      <w:r w:rsidR="00300B97">
        <w:t>-</w:t>
      </w:r>
      <w:r w:rsidRPr="00081282">
        <w:t>third of approved staff positions remain unfilled</w:t>
      </w:r>
      <w:r w:rsidR="001E314E">
        <w:t xml:space="preserve">. </w:t>
      </w:r>
    </w:p>
    <w:p w:rsidR="00F06518" w:rsidRDefault="00F06518" w:rsidP="000C1C8B">
      <w:pPr>
        <w:pStyle w:val="BodyText"/>
      </w:pPr>
    </w:p>
    <w:tbl>
      <w:tblPr>
        <w:tblStyle w:val="TableGrid"/>
        <w:tblW w:w="0" w:type="auto"/>
        <w:shd w:val="clear" w:color="auto" w:fill="C6D9F1" w:themeFill="text2" w:themeFillTint="33"/>
        <w:tblLook w:val="04A0" w:firstRow="1" w:lastRow="0" w:firstColumn="1" w:lastColumn="0" w:noHBand="0" w:noVBand="1"/>
        <w:tblDescription w:val="Box 3: Adapting to local context increases effectiveness&#10;The Vanuatu Transport Sector Support Program was designed to use big construction firms to undertake physical works across several provinces at once. This design proved to be more expensive than expected and competitive tenders from companies came in three times higher than original engineering estimates. Only $5 million of a planned $11.75 million works program was disbursed under the original delivery model. &#10;Australian and Vanuatu government officials, working with specialist advisers, found alternative approaches better suited to the fragmented context of small island developing states. After introducing the Equipment Hire Contracting model, the rural roads program has helped island-based contracting flourish. Under this model, local entrepreneurs have established 28 small businesses (employing local villagers as labourers, and using plant and equipment hired from the Vanuatu Government), which can complete small sections of road rehabilitation and maintenance, including building basic drainage and river crossings. &#10;Most new island-based contractors have since won new contracts beyond the AusAID-funded program, demonstrating the beginnings of a sustainable, island-contracting industry. A second AusAID program, TVET, helped train some of the new companies on the island of Malekula in business development and management. As well as generating economic activity on the islands, the approach used by AusAID’s rural roads program has reduced the unit costs of roadworks, removed bottlenecks in approval processes, increased private sector involvement (national and local); and helped the Vanuatu Public Works Department focus on its core business of making policy, prioritising infrastructure works, and handling procurement and contract management.&#10;"/>
      </w:tblPr>
      <w:tblGrid>
        <w:gridCol w:w="8494"/>
      </w:tblGrid>
      <w:tr w:rsidR="000C1C8B" w:rsidTr="00F06518">
        <w:tc>
          <w:tcPr>
            <w:tcW w:w="8494" w:type="dxa"/>
            <w:shd w:val="clear" w:color="auto" w:fill="C6D9F1" w:themeFill="text2" w:themeFillTint="33"/>
          </w:tcPr>
          <w:p w:rsidR="000C1C8B" w:rsidRPr="00CD215A" w:rsidRDefault="000C1C8B" w:rsidP="000C1C8B">
            <w:pPr>
              <w:pStyle w:val="BoxHeading1"/>
            </w:pPr>
            <w:r w:rsidRPr="00CD215A">
              <w:t xml:space="preserve">Box </w:t>
            </w:r>
            <w:r>
              <w:t xml:space="preserve">3: </w:t>
            </w:r>
            <w:r w:rsidRPr="00CD215A">
              <w:t>Adapting to local context increases effectiveness</w:t>
            </w:r>
          </w:p>
          <w:p w:rsidR="000C1C8B" w:rsidRDefault="000C1C8B" w:rsidP="000C1C8B">
            <w:pPr>
              <w:pStyle w:val="BoxText"/>
            </w:pPr>
            <w:r>
              <w:t>The Vanuatu Transport Sector Support Program was designed to use big construction firms to undertake physical works across several provinces at once. This design proved to be more expensive than expected and competitive tenders from companies came in three times higher than original engineering estimates. O</w:t>
            </w:r>
            <w:r w:rsidRPr="00300B97">
              <w:t>nly $5</w:t>
            </w:r>
            <w:r w:rsidRPr="000D4620">
              <w:t xml:space="preserve"> million</w:t>
            </w:r>
            <w:r w:rsidRPr="00300B97">
              <w:t xml:space="preserve"> of a planned $11.75</w:t>
            </w:r>
            <w:r w:rsidRPr="000D4620">
              <w:t xml:space="preserve"> million</w:t>
            </w:r>
            <w:r w:rsidRPr="00300B97">
              <w:t xml:space="preserve"> works pr</w:t>
            </w:r>
            <w:r>
              <w:t xml:space="preserve">ogram was disbursed under the original delivery model. </w:t>
            </w:r>
          </w:p>
          <w:p w:rsidR="000C1C8B" w:rsidRDefault="000C1C8B" w:rsidP="000C1C8B">
            <w:pPr>
              <w:pStyle w:val="BoxText"/>
            </w:pPr>
            <w:r>
              <w:t xml:space="preserve">Australian and Vanuatu government officials, working with specialist advisers, found alternative approaches better suited to the fragmented context of small island developing states. After introducing the Equipment Hire Contracting model, the rural roads program has helped island-based contracting flourish. Under this model, local entrepreneurs have established 28 small businesses (employing local villagers as labourers, and using plant and equipment hired from the Vanuatu Government), which can complete small sections of road rehabilitation and maintenance, including building basic drainage and river crossings. </w:t>
            </w:r>
          </w:p>
          <w:p w:rsidR="000C1C8B" w:rsidRPr="000C1C8B" w:rsidRDefault="000C1C8B" w:rsidP="00EF35A5">
            <w:pPr>
              <w:pStyle w:val="BoxText"/>
            </w:pPr>
            <w:r>
              <w:t>Most new</w:t>
            </w:r>
            <w:r w:rsidRPr="00394431">
              <w:t xml:space="preserve"> </w:t>
            </w:r>
            <w:r>
              <w:t xml:space="preserve">island-based contractors </w:t>
            </w:r>
            <w:r w:rsidRPr="00394431">
              <w:t xml:space="preserve">have </w:t>
            </w:r>
            <w:r>
              <w:t>since won</w:t>
            </w:r>
            <w:r w:rsidRPr="00394431">
              <w:t xml:space="preserve"> new contracts beyond </w:t>
            </w:r>
            <w:r>
              <w:t>the Aus</w:t>
            </w:r>
            <w:r w:rsidR="005578F3">
              <w:t xml:space="preserve">tralian </w:t>
            </w:r>
            <w:r w:rsidR="00EF35A5">
              <w:t>Government</w:t>
            </w:r>
            <w:r>
              <w:t>-funded program</w:t>
            </w:r>
            <w:r w:rsidRPr="00394431">
              <w:t>, demonstrating the beginnings of a sustainable</w:t>
            </w:r>
            <w:r>
              <w:t>,</w:t>
            </w:r>
            <w:r w:rsidRPr="00394431">
              <w:t xml:space="preserve"> island</w:t>
            </w:r>
            <w:r>
              <w:t>-</w:t>
            </w:r>
            <w:r w:rsidRPr="00394431">
              <w:t xml:space="preserve">contracting </w:t>
            </w:r>
            <w:r>
              <w:t>industry. A second Aus</w:t>
            </w:r>
            <w:r w:rsidR="005578F3">
              <w:t xml:space="preserve">tralian </w:t>
            </w:r>
            <w:r>
              <w:t xml:space="preserve">program, TVET, helped train some of the new companies on the island of </w:t>
            </w:r>
            <w:proofErr w:type="spellStart"/>
            <w:r>
              <w:t>Malekula</w:t>
            </w:r>
            <w:proofErr w:type="spellEnd"/>
            <w:r>
              <w:t xml:space="preserve"> in business development and management. </w:t>
            </w:r>
            <w:r w:rsidRPr="00394431">
              <w:t xml:space="preserve">As </w:t>
            </w:r>
            <w:r>
              <w:t xml:space="preserve">well as generating economic activity on the islands, the approach used by </w:t>
            </w:r>
            <w:r w:rsidR="005578F3">
              <w:t>Australia</w:t>
            </w:r>
            <w:r w:rsidR="00EF35A5">
              <w:t>’s</w:t>
            </w:r>
            <w:r>
              <w:t xml:space="preserve"> rural roads program has reduced the unit costs of </w:t>
            </w:r>
            <w:proofErr w:type="spellStart"/>
            <w:r>
              <w:t>roadworks</w:t>
            </w:r>
            <w:proofErr w:type="spellEnd"/>
            <w:r>
              <w:t xml:space="preserve">, </w:t>
            </w:r>
            <w:r w:rsidRPr="00C01B73">
              <w:t>remov</w:t>
            </w:r>
            <w:r>
              <w:t>ed</w:t>
            </w:r>
            <w:r w:rsidRPr="00C01B73">
              <w:t xml:space="preserve"> bottlenecks in approval processes</w:t>
            </w:r>
            <w:r>
              <w:t>,</w:t>
            </w:r>
            <w:r w:rsidRPr="00C01B73">
              <w:t xml:space="preserve"> </w:t>
            </w:r>
            <w:r>
              <w:t xml:space="preserve">increased private sector involvement </w:t>
            </w:r>
            <w:r w:rsidRPr="00C01B73">
              <w:t>(national and local)</w:t>
            </w:r>
            <w:r>
              <w:t>; and helped the Vanuatu Public Works Department focus on its core business of making policy, prioritising infrastructure works, and handling procurement and contract management.</w:t>
            </w:r>
          </w:p>
        </w:tc>
      </w:tr>
    </w:tbl>
    <w:p w:rsidR="000C1C8B" w:rsidRPr="00853A81" w:rsidRDefault="000C1C8B" w:rsidP="000C1C8B">
      <w:pPr>
        <w:pStyle w:val="BodyText"/>
      </w:pPr>
    </w:p>
    <w:p w:rsidR="00081282" w:rsidRPr="00081282" w:rsidRDefault="002456BC" w:rsidP="000C1C8B">
      <w:pPr>
        <w:pStyle w:val="BodyText"/>
      </w:pPr>
      <w:r w:rsidRPr="00751C24">
        <w:t xml:space="preserve">Since </w:t>
      </w:r>
      <w:r w:rsidR="00511302" w:rsidRPr="00751C24">
        <w:t>2010</w:t>
      </w:r>
      <w:r w:rsidRPr="00751C24">
        <w:t>, the program has rehabilitated almost 10</w:t>
      </w:r>
      <w:r w:rsidR="001E314E">
        <w:t xml:space="preserve"> per cent</w:t>
      </w:r>
      <w:r w:rsidRPr="00751C24">
        <w:t xml:space="preserve"> of the national rural road network</w:t>
      </w:r>
      <w:r w:rsidR="00895DF4">
        <w:t>—</w:t>
      </w:r>
      <w:r w:rsidRPr="00751C24">
        <w:t xml:space="preserve"> more than 174</w:t>
      </w:r>
      <w:r w:rsidR="00300B97">
        <w:t xml:space="preserve"> </w:t>
      </w:r>
      <w:r w:rsidRPr="00751C24">
        <w:t>k</w:t>
      </w:r>
      <w:r w:rsidR="00300B97">
        <w:t>ilometres</w:t>
      </w:r>
      <w:r w:rsidRPr="00751C24">
        <w:t xml:space="preserve"> on three islands (</w:t>
      </w:r>
      <w:proofErr w:type="spellStart"/>
      <w:r w:rsidRPr="00751C24">
        <w:t>Ambae</w:t>
      </w:r>
      <w:proofErr w:type="spellEnd"/>
      <w:r w:rsidRPr="00751C24">
        <w:t xml:space="preserve">, </w:t>
      </w:r>
      <w:proofErr w:type="spellStart"/>
      <w:r w:rsidRPr="00751C24">
        <w:t>Malekula</w:t>
      </w:r>
      <w:proofErr w:type="spellEnd"/>
      <w:r w:rsidRPr="00751C24">
        <w:t xml:space="preserve"> and </w:t>
      </w:r>
      <w:proofErr w:type="spellStart"/>
      <w:r w:rsidRPr="00751C24">
        <w:t>Tanna</w:t>
      </w:r>
      <w:proofErr w:type="spellEnd"/>
      <w:r w:rsidRPr="00751C24">
        <w:t>)</w:t>
      </w:r>
      <w:r w:rsidR="00895DF4">
        <w:t>—</w:t>
      </w:r>
      <w:r w:rsidRPr="00751C24">
        <w:t>exceeding the original target of 140</w:t>
      </w:r>
      <w:r w:rsidR="00300B97">
        <w:t xml:space="preserve"> kilometres</w:t>
      </w:r>
      <w:r w:rsidR="001E314E">
        <w:t xml:space="preserve">. </w:t>
      </w:r>
      <w:r w:rsidRPr="00751C24">
        <w:t>These works were largely undertaken by 28 island-based contractors locally engaged to deliver the works with local labour (Box 3)</w:t>
      </w:r>
      <w:r w:rsidR="001E314E">
        <w:t xml:space="preserve">. </w:t>
      </w:r>
      <w:r w:rsidR="00300B97">
        <w:rPr>
          <w:szCs w:val="22"/>
        </w:rPr>
        <w:t>W</w:t>
      </w:r>
      <w:r w:rsidRPr="00EC7A44">
        <w:rPr>
          <w:szCs w:val="22"/>
        </w:rPr>
        <w:t xml:space="preserve">orks to date </w:t>
      </w:r>
      <w:r w:rsidR="00226AF8" w:rsidRPr="00EC7A44">
        <w:rPr>
          <w:szCs w:val="22"/>
        </w:rPr>
        <w:t xml:space="preserve">on the rural roads project </w:t>
      </w:r>
      <w:r w:rsidRPr="00EC7A44">
        <w:rPr>
          <w:szCs w:val="22"/>
        </w:rPr>
        <w:t>have created 101</w:t>
      </w:r>
      <w:r w:rsidR="00300B97">
        <w:rPr>
          <w:szCs w:val="22"/>
        </w:rPr>
        <w:t xml:space="preserve"> </w:t>
      </w:r>
      <w:r w:rsidRPr="00EC7A44">
        <w:rPr>
          <w:szCs w:val="22"/>
        </w:rPr>
        <w:t>588 person days of work</w:t>
      </w:r>
      <w:r w:rsidR="00300B97">
        <w:rPr>
          <w:szCs w:val="22"/>
        </w:rPr>
        <w:t>. This</w:t>
      </w:r>
      <w:r w:rsidRPr="00EC7A44">
        <w:rPr>
          <w:szCs w:val="22"/>
        </w:rPr>
        <w:t xml:space="preserve"> </w:t>
      </w:r>
      <w:r w:rsidR="00300B97">
        <w:rPr>
          <w:szCs w:val="22"/>
        </w:rPr>
        <w:t>was</w:t>
      </w:r>
      <w:r w:rsidRPr="00EC7A44">
        <w:rPr>
          <w:szCs w:val="22"/>
        </w:rPr>
        <w:t xml:space="preserve"> provided by around 8000 people</w:t>
      </w:r>
      <w:r w:rsidRPr="00300B97">
        <w:rPr>
          <w:szCs w:val="22"/>
        </w:rPr>
        <w:t>,</w:t>
      </w:r>
      <w:r w:rsidRPr="00300B97">
        <w:rPr>
          <w:sz w:val="24"/>
        </w:rPr>
        <w:t xml:space="preserve"> </w:t>
      </w:r>
      <w:r w:rsidRPr="00300B97">
        <w:t>o</w:t>
      </w:r>
      <w:r w:rsidRPr="00751C24">
        <w:t>f whom 14</w:t>
      </w:r>
      <w:r w:rsidR="001E314E">
        <w:t xml:space="preserve"> per cent</w:t>
      </w:r>
      <w:r w:rsidRPr="00751C24">
        <w:t xml:space="preserve"> were women.</w:t>
      </w:r>
    </w:p>
    <w:p w:rsidR="002456BC" w:rsidRPr="00081282" w:rsidRDefault="00803097" w:rsidP="000C1C8B">
      <w:pPr>
        <w:pStyle w:val="BodyText"/>
      </w:pPr>
      <w:r>
        <w:t>E</w:t>
      </w:r>
      <w:r w:rsidR="002456BC" w:rsidRPr="00081282">
        <w:t xml:space="preserve">arly signs of </w:t>
      </w:r>
      <w:r w:rsidR="002456BC">
        <w:t xml:space="preserve">development </w:t>
      </w:r>
      <w:r w:rsidR="002456BC" w:rsidRPr="00081282">
        <w:t xml:space="preserve">outcomes </w:t>
      </w:r>
      <w:r>
        <w:t xml:space="preserve">are </w:t>
      </w:r>
      <w:r w:rsidR="002456BC" w:rsidRPr="00081282">
        <w:t xml:space="preserve">resulting from the </w:t>
      </w:r>
      <w:r w:rsidR="002456BC">
        <w:t>physical works funded by the rural roads project</w:t>
      </w:r>
      <w:r w:rsidR="001E314E">
        <w:t xml:space="preserve">. </w:t>
      </w:r>
      <w:r w:rsidR="002456BC">
        <w:t>In addition to</w:t>
      </w:r>
      <w:r>
        <w:t xml:space="preserve"> generating</w:t>
      </w:r>
      <w:r w:rsidR="002456BC">
        <w:t xml:space="preserve"> direct employment, </w:t>
      </w:r>
      <w:r w:rsidR="002456BC" w:rsidRPr="00081282">
        <w:t>the first</w:t>
      </w:r>
      <w:r>
        <w:t>-</w:t>
      </w:r>
      <w:r w:rsidR="002456BC" w:rsidRPr="00081282">
        <w:t xml:space="preserve">ever passenger bus service started in the </w:t>
      </w:r>
      <w:proofErr w:type="spellStart"/>
      <w:r w:rsidR="002456BC" w:rsidRPr="00081282">
        <w:t>Middlebush</w:t>
      </w:r>
      <w:proofErr w:type="spellEnd"/>
      <w:r w:rsidR="002456BC" w:rsidRPr="00081282">
        <w:t xml:space="preserve"> area of </w:t>
      </w:r>
      <w:proofErr w:type="spellStart"/>
      <w:r w:rsidR="002456BC" w:rsidRPr="00081282">
        <w:t>Tanna</w:t>
      </w:r>
      <w:proofErr w:type="spellEnd"/>
      <w:r w:rsidR="001E314E">
        <w:t xml:space="preserve">. </w:t>
      </w:r>
      <w:r w:rsidR="002456BC">
        <w:t>This has seen</w:t>
      </w:r>
      <w:r w:rsidR="002456BC" w:rsidRPr="00081282">
        <w:t xml:space="preserve"> the cost of transporting goods to market halving from an average of </w:t>
      </w:r>
      <w:r w:rsidR="002456BC">
        <w:t>VUV</w:t>
      </w:r>
      <w:r w:rsidR="002456BC" w:rsidRPr="00081282">
        <w:t xml:space="preserve">1000 per person per load to </w:t>
      </w:r>
      <w:r w:rsidR="002456BC">
        <w:t>VUV</w:t>
      </w:r>
      <w:r w:rsidR="002456BC" w:rsidRPr="00081282">
        <w:t>500</w:t>
      </w:r>
      <w:r w:rsidR="00500E96">
        <w:t>,</w:t>
      </w:r>
      <w:r w:rsidR="002456BC" w:rsidRPr="00081282">
        <w:t xml:space="preserve"> following reconstruction of 40</w:t>
      </w:r>
      <w:r>
        <w:t xml:space="preserve"> </w:t>
      </w:r>
      <w:r w:rsidR="002456BC" w:rsidRPr="00081282">
        <w:t>k</w:t>
      </w:r>
      <w:r>
        <w:t>ilometres</w:t>
      </w:r>
      <w:r w:rsidR="002456BC" w:rsidRPr="00081282">
        <w:t xml:space="preserve"> of the main service road</w:t>
      </w:r>
      <w:r w:rsidR="001E314E">
        <w:t xml:space="preserve">. </w:t>
      </w:r>
      <w:r w:rsidR="002456BC" w:rsidRPr="00081282">
        <w:t xml:space="preserve">However, a detailed understanding of </w:t>
      </w:r>
      <w:r w:rsidR="00407892">
        <w:t>how targeted beneficiaries are responding</w:t>
      </w:r>
      <w:r w:rsidR="002456BC" w:rsidRPr="00081282">
        <w:t xml:space="preserve"> to the roads is not yet understood</w:t>
      </w:r>
      <w:r w:rsidR="001E314E">
        <w:t xml:space="preserve">. </w:t>
      </w:r>
      <w:r w:rsidR="00407892">
        <w:t>A commissioned</w:t>
      </w:r>
      <w:r w:rsidR="002456BC" w:rsidRPr="00081282">
        <w:t xml:space="preserve"> socio-economic and gender impact study </w:t>
      </w:r>
      <w:r w:rsidR="00407892">
        <w:t xml:space="preserve">began </w:t>
      </w:r>
      <w:r w:rsidR="002456BC" w:rsidRPr="00081282">
        <w:t>during the reporting period</w:t>
      </w:r>
      <w:r w:rsidR="001E314E">
        <w:t xml:space="preserve">. </w:t>
      </w:r>
      <w:r w:rsidR="002456BC" w:rsidRPr="00081282">
        <w:t xml:space="preserve">Initial results are expected in late 2013 and some will also provide a baseline for </w:t>
      </w:r>
      <w:r w:rsidR="002456BC">
        <w:t>the</w:t>
      </w:r>
      <w:r w:rsidR="00407892">
        <w:t xml:space="preserve"> project’s</w:t>
      </w:r>
      <w:r w:rsidR="002456BC">
        <w:t xml:space="preserve"> second phase</w:t>
      </w:r>
      <w:r w:rsidR="00407892">
        <w:t xml:space="preserve">, </w:t>
      </w:r>
      <w:r w:rsidR="002456BC">
        <w:t xml:space="preserve">set to </w:t>
      </w:r>
      <w:r w:rsidR="00407892">
        <w:t xml:space="preserve">begin </w:t>
      </w:r>
      <w:r w:rsidR="002456BC">
        <w:t>in mid-2013</w:t>
      </w:r>
      <w:r w:rsidR="002456BC" w:rsidRPr="00081282">
        <w:t>.</w:t>
      </w:r>
    </w:p>
    <w:p w:rsidR="002456BC" w:rsidRDefault="00407892" w:rsidP="000C1C8B">
      <w:pPr>
        <w:pStyle w:val="BodyText"/>
      </w:pPr>
      <w:r>
        <w:t>T</w:t>
      </w:r>
      <w:r w:rsidR="002456BC">
        <w:t xml:space="preserve">o improve </w:t>
      </w:r>
      <w:proofErr w:type="spellStart"/>
      <w:r>
        <w:t>roadworks</w:t>
      </w:r>
      <w:proofErr w:type="spellEnd"/>
      <w:r>
        <w:t xml:space="preserve"> </w:t>
      </w:r>
      <w:r w:rsidR="002456BC">
        <w:t>sustainability</w:t>
      </w:r>
      <w:r w:rsidR="00B07C65">
        <w:t>, the program is</w:t>
      </w:r>
      <w:r w:rsidR="002456BC">
        <w:t xml:space="preserve"> strengthening PWD as a key </w:t>
      </w:r>
      <w:r>
        <w:t xml:space="preserve">department </w:t>
      </w:r>
      <w:r w:rsidR="002456BC">
        <w:t>of government</w:t>
      </w:r>
      <w:r w:rsidR="001E314E">
        <w:t xml:space="preserve">. </w:t>
      </w:r>
      <w:r w:rsidR="002456BC">
        <w:t>Support is being given to improve the Vanuatu Government’s prioritis</w:t>
      </w:r>
      <w:r>
        <w:t>ing</w:t>
      </w:r>
      <w:r w:rsidR="002456BC">
        <w:t xml:space="preserve"> and planning of </w:t>
      </w:r>
      <w:r w:rsidR="002456BC" w:rsidRPr="00081282">
        <w:t xml:space="preserve">road maintenance from </w:t>
      </w:r>
      <w:r w:rsidR="002456BC">
        <w:t xml:space="preserve">its own </w:t>
      </w:r>
      <w:r w:rsidR="002456BC" w:rsidRPr="00081282">
        <w:t>capital budget</w:t>
      </w:r>
      <w:r w:rsidR="001E314E">
        <w:t>.</w:t>
      </w:r>
      <w:r w:rsidR="005578F3">
        <w:t xml:space="preserve"> The Australian </w:t>
      </w:r>
      <w:r w:rsidR="00EF35A5">
        <w:t>Government-</w:t>
      </w:r>
      <w:r w:rsidR="00801E77">
        <w:t>funded a</w:t>
      </w:r>
      <w:r w:rsidR="002456BC">
        <w:t xml:space="preserve">dvisers are helping to improve financial management, budget planning, monitoring and reporting. </w:t>
      </w:r>
      <w:r w:rsidR="002456BC" w:rsidRPr="00081282">
        <w:t>One output is regular quarterly reports</w:t>
      </w:r>
      <w:r>
        <w:t xml:space="preserve"> delivered</w:t>
      </w:r>
      <w:r w:rsidR="002456BC" w:rsidRPr="00081282">
        <w:t xml:space="preserve"> to the Prime Minister’s Office and </w:t>
      </w:r>
      <w:r w:rsidR="00500E96">
        <w:t>Ministry of Finance and Economic Management</w:t>
      </w:r>
      <w:r w:rsidR="00B14C83">
        <w:t xml:space="preserve"> </w:t>
      </w:r>
      <w:r w:rsidR="00500E96">
        <w:t>(</w:t>
      </w:r>
      <w:r w:rsidR="002456BC" w:rsidRPr="00081282">
        <w:t>MFEM</w:t>
      </w:r>
      <w:r w:rsidR="00500E96">
        <w:t>)</w:t>
      </w:r>
      <w:r w:rsidR="001E314E">
        <w:t xml:space="preserve">. </w:t>
      </w:r>
    </w:p>
    <w:p w:rsidR="002456BC" w:rsidRPr="00081282" w:rsidRDefault="002456BC" w:rsidP="000C1C8B">
      <w:pPr>
        <w:pStyle w:val="BodyText"/>
      </w:pPr>
      <w:r w:rsidRPr="00081282">
        <w:t xml:space="preserve">One threat to </w:t>
      </w:r>
      <w:proofErr w:type="spellStart"/>
      <w:r w:rsidR="00407892">
        <w:t>roadworks</w:t>
      </w:r>
      <w:proofErr w:type="spellEnd"/>
      <w:r w:rsidR="00407892">
        <w:t xml:space="preserve"> </w:t>
      </w:r>
      <w:r w:rsidRPr="00081282">
        <w:t>sustainability is the small pool of human resources available for positions in PWD</w:t>
      </w:r>
      <w:r w:rsidR="00895DF4">
        <w:t>—</w:t>
      </w:r>
      <w:r>
        <w:t>particularly given</w:t>
      </w:r>
      <w:r w:rsidRPr="00081282">
        <w:t xml:space="preserve"> the regional demand for project management and engineering talent</w:t>
      </w:r>
      <w:r w:rsidR="001E314E">
        <w:t>.</w:t>
      </w:r>
      <w:r w:rsidR="005578F3">
        <w:t xml:space="preserve"> Australia</w:t>
      </w:r>
      <w:r w:rsidRPr="00081282">
        <w:t xml:space="preserve"> has worked with PWD and the Public Service Commission to address this through reintroduc</w:t>
      </w:r>
      <w:r>
        <w:t>ing</w:t>
      </w:r>
      <w:r w:rsidRPr="00081282">
        <w:t xml:space="preserve"> the PWD cadet system and increas</w:t>
      </w:r>
      <w:r w:rsidR="00407892">
        <w:t>ing</w:t>
      </w:r>
      <w:r w:rsidRPr="00081282">
        <w:t xml:space="preserve"> use of the private sector</w:t>
      </w:r>
      <w:r>
        <w:t xml:space="preserve"> to deliver physical works</w:t>
      </w:r>
      <w:r w:rsidR="001E314E">
        <w:t xml:space="preserve">. </w:t>
      </w:r>
      <w:r w:rsidR="002B764B">
        <w:t>T</w:t>
      </w:r>
      <w:r w:rsidRPr="00081282">
        <w:t>he number of women engaging in TVET courses and apply</w:t>
      </w:r>
      <w:r>
        <w:t xml:space="preserve">ing for PWD cadetships </w:t>
      </w:r>
      <w:r w:rsidR="002B764B">
        <w:t xml:space="preserve">is </w:t>
      </w:r>
      <w:r>
        <w:t>increasing</w:t>
      </w:r>
      <w:r w:rsidR="001E314E">
        <w:t xml:space="preserve">. </w:t>
      </w:r>
    </w:p>
    <w:p w:rsidR="002456BC" w:rsidRPr="00081282" w:rsidRDefault="002456BC" w:rsidP="000C1C8B">
      <w:pPr>
        <w:pStyle w:val="BodyText"/>
      </w:pPr>
      <w:r>
        <w:t xml:space="preserve">Given Vanuatu’s geographic reality of dispersed island communities, most </w:t>
      </w:r>
      <w:proofErr w:type="spellStart"/>
      <w:r>
        <w:t>ni</w:t>
      </w:r>
      <w:proofErr w:type="spellEnd"/>
      <w:r>
        <w:t>-Vanuatu</w:t>
      </w:r>
      <w:r w:rsidR="0098404C">
        <w:t xml:space="preserve"> </w:t>
      </w:r>
      <w:r>
        <w:t xml:space="preserve">also </w:t>
      </w:r>
      <w:r w:rsidR="00407892">
        <w:t xml:space="preserve">rely </w:t>
      </w:r>
      <w:r>
        <w:t xml:space="preserve">on other </w:t>
      </w:r>
      <w:r w:rsidR="00407892">
        <w:t xml:space="preserve">forms </w:t>
      </w:r>
      <w:r>
        <w:t>of transpor</w:t>
      </w:r>
      <w:r w:rsidR="00407892">
        <w:t>t</w:t>
      </w:r>
      <w:r>
        <w:t>, such as maritime and aviation links</w:t>
      </w:r>
      <w:r w:rsidR="001E314E">
        <w:t>.</w:t>
      </w:r>
      <w:r w:rsidR="005578F3">
        <w:t xml:space="preserve"> Australia</w:t>
      </w:r>
      <w:r w:rsidRPr="00081282">
        <w:t xml:space="preserve"> has worked </w:t>
      </w:r>
      <w:r>
        <w:t xml:space="preserve">closely </w:t>
      </w:r>
      <w:r w:rsidRPr="00081282">
        <w:t xml:space="preserve">with the Civil Aviation Authority to scope and develop safety standards </w:t>
      </w:r>
      <w:r w:rsidR="00407892">
        <w:t>to maintain the country’s</w:t>
      </w:r>
      <w:r w:rsidRPr="00081282">
        <w:t xml:space="preserve"> outer island airstrips</w:t>
      </w:r>
      <w:r w:rsidR="001E314E">
        <w:t xml:space="preserve">. </w:t>
      </w:r>
      <w:r>
        <w:t>These standards have been</w:t>
      </w:r>
      <w:r w:rsidRPr="00081282">
        <w:t xml:space="preserve"> </w:t>
      </w:r>
      <w:r>
        <w:t>g</w:t>
      </w:r>
      <w:r w:rsidRPr="00081282">
        <w:t xml:space="preserve">azetted by </w:t>
      </w:r>
      <w:r>
        <w:t>the Vanuatu Government</w:t>
      </w:r>
      <w:r w:rsidRPr="00081282">
        <w:t xml:space="preserve"> and 40 airstrips are </w:t>
      </w:r>
      <w:r>
        <w:t xml:space="preserve">set to be </w:t>
      </w:r>
      <w:r w:rsidRPr="00081282">
        <w:t>monitored quarterly against the standards</w:t>
      </w:r>
      <w:r w:rsidR="001E314E">
        <w:t xml:space="preserve">. </w:t>
      </w:r>
      <w:r>
        <w:t>The</w:t>
      </w:r>
      <w:r w:rsidR="008F2CF2">
        <w:t>y make</w:t>
      </w:r>
      <w:r w:rsidRPr="00081282">
        <w:t xml:space="preserve"> it easier for PW</w:t>
      </w:r>
      <w:r>
        <w:t>D</w:t>
      </w:r>
      <w:r w:rsidRPr="00081282">
        <w:t xml:space="preserve"> and </w:t>
      </w:r>
      <w:r w:rsidR="008F2CF2">
        <w:t>the Civil Aviation Authority</w:t>
      </w:r>
      <w:r w:rsidRPr="00081282">
        <w:t xml:space="preserve"> to prepare tender documents and </w:t>
      </w:r>
      <w:r>
        <w:t>contract</w:t>
      </w:r>
      <w:r w:rsidRPr="00081282">
        <w:t xml:space="preserve"> </w:t>
      </w:r>
      <w:r>
        <w:t xml:space="preserve">the </w:t>
      </w:r>
      <w:r w:rsidRPr="00081282">
        <w:t>maintenance of air strips</w:t>
      </w:r>
      <w:r>
        <w:t>.</w:t>
      </w:r>
    </w:p>
    <w:p w:rsidR="00081282" w:rsidRPr="00081282" w:rsidRDefault="002456BC" w:rsidP="000C1C8B">
      <w:pPr>
        <w:pStyle w:val="BodyText"/>
      </w:pPr>
      <w:r>
        <w:t>In February 2013, Australia’s Foreign Minister</w:t>
      </w:r>
      <w:r w:rsidR="00841281">
        <w:t xml:space="preserve"> </w:t>
      </w:r>
      <w:r>
        <w:t xml:space="preserve">officially launched the </w:t>
      </w:r>
      <w:r w:rsidRPr="00081282">
        <w:t>Port Vila</w:t>
      </w:r>
      <w:r>
        <w:t xml:space="preserve"> Urban Development Project with Vanuatu’s Prime Minister</w:t>
      </w:r>
      <w:r w:rsidR="001E314E">
        <w:t xml:space="preserve">. </w:t>
      </w:r>
      <w:r>
        <w:t>This major investment</w:t>
      </w:r>
      <w:r w:rsidRPr="00081282">
        <w:t xml:space="preserve">, </w:t>
      </w:r>
      <w:r>
        <w:t xml:space="preserve">which </w:t>
      </w:r>
      <w:r w:rsidR="008F2CF2">
        <w:t xml:space="preserve">is </w:t>
      </w:r>
      <w:r>
        <w:t>financed jointly by</w:t>
      </w:r>
      <w:r w:rsidRPr="00081282">
        <w:t xml:space="preserve"> Australia, </w:t>
      </w:r>
      <w:r>
        <w:t xml:space="preserve">Vanuatu and a loan from the Asian Development Bank, will </w:t>
      </w:r>
      <w:r w:rsidR="00511302" w:rsidRPr="00511302">
        <w:t>benefit around one-fifth of the population on a daily basis</w:t>
      </w:r>
      <w:r w:rsidR="001E314E">
        <w:t xml:space="preserve">. </w:t>
      </w:r>
      <w:r w:rsidR="00511302">
        <w:t>It will</w:t>
      </w:r>
      <w:r w:rsidR="00511302" w:rsidRPr="00511302">
        <w:t xml:space="preserve"> improv</w:t>
      </w:r>
      <w:r w:rsidR="00511302">
        <w:t>e</w:t>
      </w:r>
      <w:r w:rsidR="00511302" w:rsidRPr="00511302">
        <w:t xml:space="preserve"> traffic management, pedestrian safety and public hygiene facilities. Drainage and sewage works will maintain Port Vila harbour </w:t>
      </w:r>
      <w:r w:rsidR="00E446A6">
        <w:t>as a clean and safe environment.</w:t>
      </w:r>
      <w:r w:rsidR="00081282" w:rsidRPr="00081282">
        <w:t xml:space="preserve"> </w:t>
      </w:r>
    </w:p>
    <w:p w:rsidR="00081282" w:rsidRPr="000C1C8B" w:rsidRDefault="00081282" w:rsidP="000C1C8B">
      <w:pPr>
        <w:pStyle w:val="Heading2"/>
      </w:pPr>
      <w:r w:rsidRPr="000C1C8B">
        <w:t>Objective 4: Progress reform on economic governance issues</w:t>
      </w:r>
    </w:p>
    <w:p w:rsidR="00661FEF" w:rsidRDefault="00661FEF" w:rsidP="000C1C8B">
      <w:pPr>
        <w:pStyle w:val="BodyText"/>
      </w:pPr>
      <w:r>
        <w:t xml:space="preserve">Australia </w:t>
      </w:r>
      <w:r w:rsidR="0016546E">
        <w:t>funds</w:t>
      </w:r>
      <w:r>
        <w:t xml:space="preserve"> a range of activities that </w:t>
      </w:r>
      <w:r w:rsidR="00894026">
        <w:t>support reform and contri</w:t>
      </w:r>
      <w:r>
        <w:t xml:space="preserve">bute to improved economic governance </w:t>
      </w:r>
      <w:r w:rsidR="00AF48DF">
        <w:t>and performance</w:t>
      </w:r>
      <w:r w:rsidR="001E314E">
        <w:t xml:space="preserve">. </w:t>
      </w:r>
      <w:r>
        <w:t xml:space="preserve">These activities comprise </w:t>
      </w:r>
      <w:r w:rsidR="002E7B64">
        <w:t>support for improved public expenditure management, improved land governance arrangements</w:t>
      </w:r>
      <w:r w:rsidR="00C4171C">
        <w:t xml:space="preserve"> and</w:t>
      </w:r>
      <w:r w:rsidR="002E7B64">
        <w:t xml:space="preserve"> business enabling environment</w:t>
      </w:r>
      <w:r w:rsidR="001E314E">
        <w:t xml:space="preserve">. </w:t>
      </w:r>
      <w:r w:rsidR="002E7B64">
        <w:t xml:space="preserve">Activities across economic governance </w:t>
      </w:r>
      <w:r w:rsidR="00894026">
        <w:t>are</w:t>
      </w:r>
      <w:r w:rsidR="002E7B64">
        <w:t xml:space="preserve"> assessed as</w:t>
      </w:r>
      <w:r w:rsidR="00895DF4">
        <w:t xml:space="preserve"> ‘</w:t>
      </w:r>
      <w:r w:rsidR="002E7B64">
        <w:t>green</w:t>
      </w:r>
      <w:r w:rsidR="00895DF4">
        <w:t>’</w:t>
      </w:r>
      <w:r w:rsidR="002E7B64">
        <w:t xml:space="preserve">, compared with </w:t>
      </w:r>
      <w:r w:rsidR="00895DF4">
        <w:t>‘</w:t>
      </w:r>
      <w:r w:rsidR="002E7B64">
        <w:t>amber</w:t>
      </w:r>
      <w:r w:rsidR="00895DF4">
        <w:t>’</w:t>
      </w:r>
      <w:r w:rsidR="002E7B64">
        <w:t xml:space="preserve"> in 2011, because of good performance against targets at macroeconomic level, the success of a number of microeconomic reforms, </w:t>
      </w:r>
      <w:r w:rsidR="0016546E">
        <w:t>t</w:t>
      </w:r>
      <w:r w:rsidR="002E7B64">
        <w:t xml:space="preserve">he </w:t>
      </w:r>
      <w:r w:rsidR="00AF48DF">
        <w:t xml:space="preserve">growth of the </w:t>
      </w:r>
      <w:r w:rsidR="002E7B64">
        <w:t xml:space="preserve">tourism sector </w:t>
      </w:r>
      <w:r w:rsidR="00AF48DF">
        <w:t xml:space="preserve">and steady improvement in the land program. </w:t>
      </w:r>
    </w:p>
    <w:p w:rsidR="00DB721D" w:rsidRPr="00DB721D" w:rsidRDefault="00894026" w:rsidP="000C1C8B">
      <w:pPr>
        <w:pStyle w:val="BodyText"/>
      </w:pPr>
      <w:r>
        <w:t>Through the Governance for Growth Program (</w:t>
      </w:r>
      <w:proofErr w:type="spellStart"/>
      <w:r>
        <w:t>GfG</w:t>
      </w:r>
      <w:proofErr w:type="spellEnd"/>
      <w:r>
        <w:t xml:space="preserve">) </w:t>
      </w:r>
      <w:r w:rsidR="002456BC">
        <w:t>Australia has continued its long-running support for Vanuatu’s strong central finance ministry</w:t>
      </w:r>
      <w:r w:rsidR="001E314E">
        <w:t xml:space="preserve">. </w:t>
      </w:r>
      <w:r w:rsidR="002456BC">
        <w:t>Since 2008, support to th</w:t>
      </w:r>
      <w:r w:rsidR="0034038B">
        <w:t>e MFEM</w:t>
      </w:r>
      <w:r w:rsidR="002456BC">
        <w:t xml:space="preserve"> has been </w:t>
      </w:r>
      <w:r w:rsidR="0034038B">
        <w:t xml:space="preserve">through </w:t>
      </w:r>
      <w:r w:rsidR="002456BC">
        <w:t>a direct grant, in recognition of the ministry’s sound management and good track record</w:t>
      </w:r>
      <w:r w:rsidR="001E314E">
        <w:t xml:space="preserve">. </w:t>
      </w:r>
      <w:r w:rsidR="002456BC">
        <w:t xml:space="preserve">The grant has helped finance a number of important activities led by </w:t>
      </w:r>
      <w:r w:rsidR="0034038B">
        <w:t xml:space="preserve">the </w:t>
      </w:r>
      <w:r w:rsidR="00E446A6">
        <w:t>MFEM</w:t>
      </w:r>
      <w:r w:rsidR="002456BC" w:rsidRPr="00DB721D">
        <w:t>:</w:t>
      </w:r>
    </w:p>
    <w:p w:rsidR="002456BC" w:rsidRPr="00735C0D" w:rsidRDefault="002456BC" w:rsidP="000C1C8B">
      <w:pPr>
        <w:pStyle w:val="ListBullet"/>
      </w:pPr>
      <w:r w:rsidRPr="00735C0D">
        <w:t xml:space="preserve">Maintenance of budget controls at aggregate level during a period of political instability, as evidenced by </w:t>
      </w:r>
      <w:r w:rsidR="0034038B">
        <w:t>Vanuatu’s</w:t>
      </w:r>
      <w:r w:rsidRPr="00735C0D">
        <w:t xml:space="preserve"> most recent Public Expenditure and Financial Accountability assessment in 2012.</w:t>
      </w:r>
      <w:r w:rsidRPr="00735C0D">
        <w:rPr>
          <w:rStyle w:val="FootnoteReference"/>
        </w:rPr>
        <w:footnoteReference w:id="29"/>
      </w:r>
      <w:r w:rsidR="0034038B">
        <w:tab/>
      </w:r>
    </w:p>
    <w:p w:rsidR="002456BC" w:rsidRPr="00735C0D" w:rsidRDefault="002456BC" w:rsidP="000C1C8B">
      <w:pPr>
        <w:pStyle w:val="ListBullet"/>
      </w:pPr>
      <w:r w:rsidRPr="00735C0D">
        <w:t xml:space="preserve">Strengthened forecasting and collection of revenues, particularly </w:t>
      </w:r>
      <w:r w:rsidR="001E1BF3">
        <w:t>value-added tax</w:t>
      </w:r>
      <w:r w:rsidRPr="00735C0D">
        <w:t xml:space="preserve"> and Customs revenues</w:t>
      </w:r>
      <w:r w:rsidR="001E314E">
        <w:t xml:space="preserve">. </w:t>
      </w:r>
      <w:r w:rsidR="001E1BF3">
        <w:t>D</w:t>
      </w:r>
      <w:r w:rsidRPr="00735C0D">
        <w:t xml:space="preserve">espite lower than expected </w:t>
      </w:r>
      <w:r w:rsidR="00026BEA">
        <w:t>gross domestic product</w:t>
      </w:r>
      <w:r w:rsidRPr="00735C0D">
        <w:t xml:space="preserve"> growth. </w:t>
      </w:r>
    </w:p>
    <w:p w:rsidR="002456BC" w:rsidRPr="00735C0D" w:rsidRDefault="002456BC" w:rsidP="000C1C8B">
      <w:pPr>
        <w:pStyle w:val="ListBullet"/>
      </w:pPr>
      <w:r w:rsidRPr="00735C0D">
        <w:t>Preparation of Regulation 2.2 reports by Treasury for full reporting of the quality of public expenditure to the Council of Ministers (cabinet equivalent).</w:t>
      </w:r>
    </w:p>
    <w:p w:rsidR="00DB721D" w:rsidRPr="00DB721D" w:rsidRDefault="002456BC" w:rsidP="000C1C8B">
      <w:pPr>
        <w:pStyle w:val="ListBullet"/>
      </w:pPr>
      <w:r w:rsidRPr="00735C0D">
        <w:t>Public procurement reforms that saw the number of procurements</w:t>
      </w:r>
      <w:r w:rsidR="002E05D0">
        <w:t xml:space="preserve"> supervised by the Central Tenders Board</w:t>
      </w:r>
      <w:r w:rsidRPr="00735C0D">
        <w:t xml:space="preserve"> more than double in number from 2011 (4) to 2012 (10).</w:t>
      </w:r>
    </w:p>
    <w:p w:rsidR="000E3DEC" w:rsidRPr="001B0A78" w:rsidRDefault="002456BC" w:rsidP="000C1C8B">
      <w:pPr>
        <w:pStyle w:val="BodyText"/>
      </w:pPr>
      <w:r w:rsidRPr="00751C24">
        <w:t>A separate grant</w:t>
      </w:r>
      <w:r w:rsidR="002E05D0">
        <w:t xml:space="preserve"> to the Office of the Auditor General</w:t>
      </w:r>
      <w:r w:rsidRPr="00751C24">
        <w:t xml:space="preserve">, </w:t>
      </w:r>
      <w:r w:rsidR="002E05D0">
        <w:t>through</w:t>
      </w:r>
      <w:r w:rsidR="002E05D0" w:rsidRPr="00751C24">
        <w:t xml:space="preserve"> </w:t>
      </w:r>
      <w:r w:rsidRPr="00751C24">
        <w:t xml:space="preserve">the </w:t>
      </w:r>
      <w:proofErr w:type="spellStart"/>
      <w:r w:rsidRPr="00751C24">
        <w:t>GfG</w:t>
      </w:r>
      <w:proofErr w:type="spellEnd"/>
      <w:r w:rsidRPr="00751C24">
        <w:t xml:space="preserve"> program</w:t>
      </w:r>
      <w:r w:rsidR="00894026" w:rsidRPr="00751C24">
        <w:t>,</w:t>
      </w:r>
      <w:r w:rsidRPr="00751C24">
        <w:t xml:space="preserve"> has significant</w:t>
      </w:r>
      <w:r w:rsidR="002E05D0">
        <w:t>ly</w:t>
      </w:r>
      <w:r w:rsidRPr="00751C24">
        <w:t xml:space="preserve"> increase</w:t>
      </w:r>
      <w:r w:rsidR="002E05D0">
        <w:t>d</w:t>
      </w:r>
      <w:r w:rsidRPr="00751C24">
        <w:t xml:space="preserve"> audit output, complementing efforts by the </w:t>
      </w:r>
      <w:r w:rsidR="002E05D0">
        <w:t>MFEM</w:t>
      </w:r>
      <w:r w:rsidRPr="00751C24">
        <w:t xml:space="preserve"> and some line ministries to strengthen internal audit.</w:t>
      </w:r>
    </w:p>
    <w:p w:rsidR="00DB721D" w:rsidRPr="00DB721D" w:rsidRDefault="002E05D0" w:rsidP="000C1C8B">
      <w:pPr>
        <w:pStyle w:val="BodyText"/>
      </w:pPr>
      <w:r>
        <w:t>T</w:t>
      </w:r>
      <w:r w:rsidR="002456BC">
        <w:t xml:space="preserve">o make government operations more efficient, and overcome the tyrannies of geographic isolation, </w:t>
      </w:r>
      <w:proofErr w:type="spellStart"/>
      <w:r w:rsidR="002456BC">
        <w:t>GfG</w:t>
      </w:r>
      <w:proofErr w:type="spellEnd"/>
      <w:r w:rsidR="002456BC">
        <w:t xml:space="preserve"> helped establish an</w:t>
      </w:r>
      <w:r w:rsidR="002456BC" w:rsidRPr="00DB721D">
        <w:t xml:space="preserve"> </w:t>
      </w:r>
      <w:r w:rsidR="002456BC" w:rsidRPr="00D028AD">
        <w:t xml:space="preserve">Office of </w:t>
      </w:r>
      <w:r w:rsidR="00E446A6" w:rsidRPr="00D028AD">
        <w:t xml:space="preserve">the </w:t>
      </w:r>
      <w:r w:rsidR="002456BC" w:rsidRPr="00D028AD">
        <w:t>Government Chief Information Officer</w:t>
      </w:r>
      <w:r w:rsidR="002456BC" w:rsidRPr="00DB721D">
        <w:t xml:space="preserve"> in the Prime Minister’s Office</w:t>
      </w:r>
      <w:r w:rsidR="001E314E">
        <w:t xml:space="preserve">. </w:t>
      </w:r>
      <w:r w:rsidR="002456BC">
        <w:t xml:space="preserve">This office has helped </w:t>
      </w:r>
      <w:r w:rsidR="00E21918">
        <w:t>g</w:t>
      </w:r>
      <w:r w:rsidR="002456BC">
        <w:t>overnment make operational a new Government Broadband Network (initially financed with loan funding from China)</w:t>
      </w:r>
      <w:r w:rsidR="001E314E">
        <w:t xml:space="preserve">. </w:t>
      </w:r>
      <w:r w:rsidR="00E21918">
        <w:t>It</w:t>
      </w:r>
      <w:r w:rsidR="002456BC">
        <w:t xml:space="preserve"> has helped deliver early cost savings (</w:t>
      </w:r>
      <w:r w:rsidR="00E21918">
        <w:t>for example,</w:t>
      </w:r>
      <w:r w:rsidR="002456BC">
        <w:t xml:space="preserve"> in government telephone bills)</w:t>
      </w:r>
      <w:r w:rsidR="00E21918">
        <w:t xml:space="preserve"> and</w:t>
      </w:r>
      <w:r w:rsidR="002456BC">
        <w:t xml:space="preserve"> marked improvements in government data</w:t>
      </w:r>
      <w:r w:rsidR="00E21918">
        <w:t xml:space="preserve"> security</w:t>
      </w:r>
      <w:r w:rsidR="001E314E">
        <w:t xml:space="preserve">. </w:t>
      </w:r>
      <w:r w:rsidR="002456BC" w:rsidRPr="00DB721D">
        <w:t xml:space="preserve">From 2017, the </w:t>
      </w:r>
      <w:r w:rsidR="002456BC">
        <w:t>office</w:t>
      </w:r>
      <w:r w:rsidR="002456BC" w:rsidRPr="00DB721D">
        <w:t xml:space="preserve"> is expected to be self-financed </w:t>
      </w:r>
      <w:r w:rsidR="00E21918">
        <w:t>with</w:t>
      </w:r>
      <w:r w:rsidR="00E21918" w:rsidRPr="00DB721D">
        <w:t xml:space="preserve"> </w:t>
      </w:r>
      <w:r w:rsidR="002456BC" w:rsidRPr="00DB721D">
        <w:t>license fees and other revenue.</w:t>
      </w:r>
    </w:p>
    <w:p w:rsidR="002456BC" w:rsidRDefault="002456BC" w:rsidP="000C1C8B">
      <w:pPr>
        <w:pStyle w:val="BodyText"/>
      </w:pPr>
      <w:r>
        <w:t xml:space="preserve">Through </w:t>
      </w:r>
      <w:proofErr w:type="spellStart"/>
      <w:r>
        <w:t>GfG</w:t>
      </w:r>
      <w:proofErr w:type="spellEnd"/>
      <w:r>
        <w:t>, Australia and Vanuatu are working to improve</w:t>
      </w:r>
      <w:r w:rsidRPr="00D028AD">
        <w:t xml:space="preserve"> the enabling environment for business </w:t>
      </w:r>
      <w:r w:rsidRPr="0066751D">
        <w:t xml:space="preserve">in Vanuatu to </w:t>
      </w:r>
      <w:r w:rsidRPr="002B764B">
        <w:t>create jobs and opportunities that will lead to sustainable development</w:t>
      </w:r>
      <w:r w:rsidR="001E314E">
        <w:t>.</w:t>
      </w:r>
      <w:r w:rsidR="005578F3">
        <w:t xml:space="preserve">  Australia</w:t>
      </w:r>
      <w:r w:rsidR="00181F80" w:rsidRPr="002B764B">
        <w:t xml:space="preserve"> </w:t>
      </w:r>
      <w:r w:rsidR="00181F80" w:rsidRPr="002B764B">
        <w:rPr>
          <w:color w:val="000000" w:themeColor="text1"/>
        </w:rPr>
        <w:t>suppor</w:t>
      </w:r>
      <w:r w:rsidR="00842BE0" w:rsidRPr="002B764B">
        <w:rPr>
          <w:color w:val="000000" w:themeColor="text1"/>
        </w:rPr>
        <w:t>t</w:t>
      </w:r>
      <w:r w:rsidR="00181F80" w:rsidRPr="002B764B">
        <w:rPr>
          <w:color w:val="000000" w:themeColor="text1"/>
        </w:rPr>
        <w:t>ed the Vanuatu Tourism Office</w:t>
      </w:r>
      <w:r w:rsidR="00842BE0" w:rsidRPr="002B764B">
        <w:rPr>
          <w:color w:val="000000" w:themeColor="text1"/>
        </w:rPr>
        <w:t xml:space="preserve"> through </w:t>
      </w:r>
      <w:proofErr w:type="spellStart"/>
      <w:r w:rsidR="00842BE0" w:rsidRPr="002B764B">
        <w:rPr>
          <w:color w:val="000000" w:themeColor="text1"/>
        </w:rPr>
        <w:t>GfG</w:t>
      </w:r>
      <w:proofErr w:type="spellEnd"/>
      <w:r w:rsidR="00842BE0" w:rsidRPr="002B764B">
        <w:rPr>
          <w:color w:val="000000" w:themeColor="text1"/>
        </w:rPr>
        <w:t xml:space="preserve"> </w:t>
      </w:r>
      <w:r w:rsidR="00181F80" w:rsidRPr="002B764B">
        <w:rPr>
          <w:color w:val="000000" w:themeColor="text1"/>
        </w:rPr>
        <w:t>and Carnival Australia</w:t>
      </w:r>
      <w:r w:rsidR="00E21918">
        <w:rPr>
          <w:color w:val="000000" w:themeColor="text1"/>
        </w:rPr>
        <w:t>, using</w:t>
      </w:r>
      <w:r w:rsidR="00842BE0" w:rsidRPr="002B764B">
        <w:rPr>
          <w:color w:val="000000" w:themeColor="text1"/>
        </w:rPr>
        <w:t xml:space="preserve"> the Enterprise Challenge Fund</w:t>
      </w:r>
      <w:r w:rsidR="00181F80" w:rsidRPr="002B764B">
        <w:rPr>
          <w:color w:val="000000" w:themeColor="text1"/>
        </w:rPr>
        <w:t xml:space="preserve"> to lift tourism numbers</w:t>
      </w:r>
      <w:r w:rsidR="001E314E">
        <w:rPr>
          <w:color w:val="000000" w:themeColor="text1"/>
        </w:rPr>
        <w:t xml:space="preserve">. </w:t>
      </w:r>
      <w:r w:rsidR="00B24559">
        <w:rPr>
          <w:color w:val="000000" w:themeColor="text1"/>
        </w:rPr>
        <w:t xml:space="preserve">The </w:t>
      </w:r>
      <w:r w:rsidR="00B24559" w:rsidRPr="0032292B">
        <w:rPr>
          <w:color w:val="000000" w:themeColor="text1"/>
        </w:rPr>
        <w:t>number of incoming tourists rose sharply</w:t>
      </w:r>
      <w:r w:rsidR="00181F80" w:rsidRPr="0032292B">
        <w:rPr>
          <w:color w:val="000000" w:themeColor="text1"/>
        </w:rPr>
        <w:t xml:space="preserve"> </w:t>
      </w:r>
      <w:r w:rsidR="003D0EC7" w:rsidRPr="0032292B">
        <w:rPr>
          <w:color w:val="000000" w:themeColor="text1"/>
        </w:rPr>
        <w:t>from 238</w:t>
      </w:r>
      <w:r w:rsidR="00006215" w:rsidRPr="0032292B">
        <w:rPr>
          <w:color w:val="000000" w:themeColor="text1"/>
        </w:rPr>
        <w:t xml:space="preserve"> </w:t>
      </w:r>
      <w:r w:rsidR="003D0EC7" w:rsidRPr="0032292B">
        <w:rPr>
          <w:color w:val="000000" w:themeColor="text1"/>
        </w:rPr>
        <w:t xml:space="preserve">000 in 2010 </w:t>
      </w:r>
      <w:r w:rsidR="00181F80" w:rsidRPr="0032292B">
        <w:rPr>
          <w:color w:val="000000" w:themeColor="text1"/>
        </w:rPr>
        <w:t>to 327</w:t>
      </w:r>
      <w:r w:rsidR="00006215" w:rsidRPr="0032292B">
        <w:rPr>
          <w:color w:val="000000" w:themeColor="text1"/>
        </w:rPr>
        <w:t xml:space="preserve"> </w:t>
      </w:r>
      <w:r w:rsidR="00181F80" w:rsidRPr="0032292B">
        <w:rPr>
          <w:color w:val="000000" w:themeColor="text1"/>
        </w:rPr>
        <w:t>000 in 2012</w:t>
      </w:r>
      <w:r w:rsidR="001E314E">
        <w:rPr>
          <w:color w:val="000000" w:themeColor="text1"/>
        </w:rPr>
        <w:t xml:space="preserve">. </w:t>
      </w:r>
      <w:r w:rsidR="00ED75D5" w:rsidRPr="002B764B">
        <w:rPr>
          <w:color w:val="000000" w:themeColor="text1"/>
        </w:rPr>
        <w:t>An</w:t>
      </w:r>
      <w:r w:rsidR="005578F3">
        <w:rPr>
          <w:color w:val="000000" w:themeColor="text1"/>
        </w:rPr>
        <w:t xml:space="preserve"> Australian</w:t>
      </w:r>
      <w:r w:rsidR="00E21918">
        <w:rPr>
          <w:color w:val="000000" w:themeColor="text1"/>
        </w:rPr>
        <w:t>-</w:t>
      </w:r>
      <w:r w:rsidR="00ED75D5" w:rsidRPr="002B764B">
        <w:rPr>
          <w:color w:val="000000" w:themeColor="text1"/>
        </w:rPr>
        <w:t xml:space="preserve">supported branding campaign has helped raise </w:t>
      </w:r>
      <w:r w:rsidR="00E21918">
        <w:rPr>
          <w:color w:val="000000" w:themeColor="text1"/>
        </w:rPr>
        <w:t>Vanuatu’s</w:t>
      </w:r>
      <w:r w:rsidR="00E21918" w:rsidRPr="002B764B">
        <w:rPr>
          <w:color w:val="000000" w:themeColor="text1"/>
        </w:rPr>
        <w:t xml:space="preserve"> </w:t>
      </w:r>
      <w:r w:rsidR="00ED75D5" w:rsidRPr="002B764B">
        <w:rPr>
          <w:color w:val="000000" w:themeColor="text1"/>
        </w:rPr>
        <w:t>profile as a destination</w:t>
      </w:r>
      <w:r w:rsidR="001E314E">
        <w:rPr>
          <w:color w:val="000000" w:themeColor="text1"/>
        </w:rPr>
        <w:t xml:space="preserve">. </w:t>
      </w:r>
      <w:r w:rsidR="00ED75D5" w:rsidRPr="002B764B">
        <w:rPr>
          <w:color w:val="000000" w:themeColor="text1"/>
        </w:rPr>
        <w:t>The TVET program also support</w:t>
      </w:r>
      <w:r w:rsidR="00E21918">
        <w:rPr>
          <w:color w:val="000000" w:themeColor="text1"/>
        </w:rPr>
        <w:t>s</w:t>
      </w:r>
      <w:r w:rsidR="00ED75D5" w:rsidRPr="002B764B">
        <w:rPr>
          <w:color w:val="000000" w:themeColor="text1"/>
        </w:rPr>
        <w:t xml:space="preserve"> </w:t>
      </w:r>
      <w:r w:rsidR="00E21918">
        <w:rPr>
          <w:color w:val="000000" w:themeColor="text1"/>
        </w:rPr>
        <w:t>improving the</w:t>
      </w:r>
      <w:r w:rsidR="00ED75D5" w:rsidRPr="002B764B">
        <w:rPr>
          <w:color w:val="000000" w:themeColor="text1"/>
        </w:rPr>
        <w:t xml:space="preserve"> quality of tourism operations</w:t>
      </w:r>
      <w:r w:rsidR="00E21918">
        <w:rPr>
          <w:color w:val="000000" w:themeColor="text1"/>
        </w:rPr>
        <w:t xml:space="preserve"> (</w:t>
      </w:r>
      <w:r w:rsidR="001C1A8A" w:rsidRPr="002B764B">
        <w:rPr>
          <w:color w:val="000000" w:themeColor="text1"/>
        </w:rPr>
        <w:t>for example,</w:t>
      </w:r>
      <w:r w:rsidR="00ED75D5" w:rsidRPr="002B764B">
        <w:rPr>
          <w:color w:val="000000" w:themeColor="text1"/>
        </w:rPr>
        <w:t xml:space="preserve"> </w:t>
      </w:r>
      <w:r w:rsidR="001C1A8A" w:rsidRPr="002B764B">
        <w:rPr>
          <w:color w:val="000000" w:themeColor="text1"/>
        </w:rPr>
        <w:t>by up-skilling bungalow owners</w:t>
      </w:r>
      <w:r w:rsidR="00E21918">
        <w:rPr>
          <w:color w:val="000000" w:themeColor="text1"/>
        </w:rPr>
        <w:t>)</w:t>
      </w:r>
      <w:r w:rsidR="001C1A8A" w:rsidRPr="002B764B">
        <w:rPr>
          <w:color w:val="000000" w:themeColor="text1"/>
        </w:rPr>
        <w:t xml:space="preserve"> </w:t>
      </w:r>
      <w:r w:rsidR="00ED75D5" w:rsidRPr="002B764B">
        <w:rPr>
          <w:color w:val="000000" w:themeColor="text1"/>
        </w:rPr>
        <w:t xml:space="preserve">in </w:t>
      </w:r>
      <w:r w:rsidR="001C1A8A" w:rsidRPr="002B764B">
        <w:rPr>
          <w:color w:val="000000" w:themeColor="text1"/>
        </w:rPr>
        <w:t xml:space="preserve">key </w:t>
      </w:r>
      <w:r w:rsidR="00ED75D5" w:rsidRPr="002B764B">
        <w:rPr>
          <w:color w:val="000000" w:themeColor="text1"/>
        </w:rPr>
        <w:t xml:space="preserve">islands leading to more income from tourism. </w:t>
      </w:r>
      <w:r w:rsidRPr="002B764B">
        <w:t>Australia’s Seasonal</w:t>
      </w:r>
      <w:r w:rsidRPr="00D028AD">
        <w:t xml:space="preserve"> Worker Program </w:t>
      </w:r>
      <w:r w:rsidR="00842BE0">
        <w:t xml:space="preserve">also </w:t>
      </w:r>
      <w:r>
        <w:t xml:space="preserve">created opportunities for </w:t>
      </w:r>
      <w:proofErr w:type="spellStart"/>
      <w:r>
        <w:t>ni</w:t>
      </w:r>
      <w:proofErr w:type="spellEnd"/>
      <w:r>
        <w:t xml:space="preserve">-Vanuatu to </w:t>
      </w:r>
      <w:r w:rsidR="00E21918">
        <w:t>earn extra</w:t>
      </w:r>
      <w:r>
        <w:t xml:space="preserve"> income through seasonal employment in Australia</w:t>
      </w:r>
      <w:r>
        <w:rPr>
          <w:rStyle w:val="FootnoteReference"/>
        </w:rPr>
        <w:footnoteReference w:id="30"/>
      </w:r>
      <w:r w:rsidR="00006215">
        <w:t>,</w:t>
      </w:r>
      <w:r>
        <w:t xml:space="preserve"> supplementing in-country opportunities sponsored through the aid program</w:t>
      </w:r>
      <w:r w:rsidR="001E314E">
        <w:t xml:space="preserve">. </w:t>
      </w:r>
    </w:p>
    <w:p w:rsidR="002456BC" w:rsidRDefault="002456BC" w:rsidP="000C1C8B">
      <w:pPr>
        <w:pStyle w:val="BodyText"/>
      </w:pPr>
      <w:r w:rsidRPr="00D028AD">
        <w:t xml:space="preserve">The Australia-Pacific Technical College </w:t>
      </w:r>
      <w:r>
        <w:t>delivers internationally-recognised qualifications in targeted industry sectors</w:t>
      </w:r>
      <w:r w:rsidR="001E314E">
        <w:t xml:space="preserve">. </w:t>
      </w:r>
      <w:r>
        <w:t xml:space="preserve">Since June 2007, </w:t>
      </w:r>
      <w:r w:rsidRPr="0032292B">
        <w:t>2872 men and 2,047 women from Vanuatu</w:t>
      </w:r>
      <w:r w:rsidR="00201B32" w:rsidRPr="0032292B">
        <w:t xml:space="preserve"> graduated</w:t>
      </w:r>
      <w:r w:rsidR="001E314E" w:rsidRPr="00E21918">
        <w:t xml:space="preserve">. </w:t>
      </w:r>
      <w:r>
        <w:t xml:space="preserve">A 2012 employer survey found that 89 per cent of respondents reported increased productivity as a result of </w:t>
      </w:r>
      <w:r w:rsidR="00E21918">
        <w:t xml:space="preserve">their college </w:t>
      </w:r>
      <w:r>
        <w:t>training.</w:t>
      </w:r>
    </w:p>
    <w:p w:rsidR="002456BC" w:rsidRDefault="002456BC" w:rsidP="000C1C8B">
      <w:pPr>
        <w:pStyle w:val="BodyText"/>
      </w:pPr>
      <w:r w:rsidRPr="0066751D">
        <w:t xml:space="preserve">AusAID </w:t>
      </w:r>
      <w:r>
        <w:t xml:space="preserve">continued to </w:t>
      </w:r>
      <w:r w:rsidRPr="0066751D">
        <w:t xml:space="preserve">support the </w:t>
      </w:r>
      <w:r w:rsidR="00B44B97">
        <w:t>information and communications technology</w:t>
      </w:r>
      <w:r w:rsidRPr="0066751D">
        <w:t xml:space="preserve"> revolution in Vanuatu that helped drive down prices and open </w:t>
      </w:r>
      <w:r>
        <w:t xml:space="preserve">the mobile phone market to </w:t>
      </w:r>
      <w:proofErr w:type="spellStart"/>
      <w:r>
        <w:t>ni</w:t>
      </w:r>
      <w:proofErr w:type="spellEnd"/>
      <w:r>
        <w:t>-Vanuatu right across the country</w:t>
      </w:r>
      <w:r w:rsidRPr="00DB721D">
        <w:t xml:space="preserve"> (</w:t>
      </w:r>
      <w:r>
        <w:t>Box 4</w:t>
      </w:r>
      <w:r w:rsidRPr="00DB721D">
        <w:t>)</w:t>
      </w:r>
      <w:r>
        <w:t xml:space="preserve">. </w:t>
      </w:r>
    </w:p>
    <w:p w:rsidR="002456BC" w:rsidRDefault="002456BC" w:rsidP="000C1C8B">
      <w:pPr>
        <w:pStyle w:val="BodyText"/>
      </w:pPr>
      <w:r>
        <w:t xml:space="preserve">The Vanuatu Government, with </w:t>
      </w:r>
      <w:proofErr w:type="spellStart"/>
      <w:r>
        <w:t>GfG</w:t>
      </w:r>
      <w:proofErr w:type="spellEnd"/>
      <w:r>
        <w:t xml:space="preserve"> support,</w:t>
      </w:r>
      <w:r w:rsidRPr="00DB721D">
        <w:t xml:space="preserve"> applied lessons learned from the </w:t>
      </w:r>
      <w:r>
        <w:t xml:space="preserve">successful </w:t>
      </w:r>
      <w:r w:rsidRPr="00DB721D">
        <w:t>regulation of the telephony market to regulation of the energy market</w:t>
      </w:r>
      <w:r w:rsidR="001E314E">
        <w:t xml:space="preserve">. </w:t>
      </w:r>
      <w:r w:rsidRPr="00DB721D">
        <w:t>Supporting</w:t>
      </w:r>
      <w:r w:rsidR="0054471F">
        <w:t xml:space="preserve"> the</w:t>
      </w:r>
      <w:r w:rsidRPr="00DB721D">
        <w:t xml:space="preserve"> establishment of the </w:t>
      </w:r>
      <w:r w:rsidRPr="00D028AD">
        <w:t xml:space="preserve">Utilities Regulatory Authority </w:t>
      </w:r>
      <w:r w:rsidRPr="00DB721D">
        <w:t>in 20</w:t>
      </w:r>
      <w:r>
        <w:t>09</w:t>
      </w:r>
      <w:r w:rsidRPr="00DB721D">
        <w:t xml:space="preserve"> addressed a gap in </w:t>
      </w:r>
      <w:r>
        <w:t>Vanuatu government</w:t>
      </w:r>
      <w:r w:rsidRPr="00DB721D">
        <w:t xml:space="preserve"> policy and regulatory functions</w:t>
      </w:r>
      <w:r w:rsidR="0054471F">
        <w:t xml:space="preserve"> and brought down</w:t>
      </w:r>
      <w:r>
        <w:t xml:space="preserve"> prices for consumers, especially low-income</w:t>
      </w:r>
      <w:r w:rsidR="0054471F">
        <w:t xml:space="preserve"> ones</w:t>
      </w:r>
      <w:r w:rsidR="001E314E">
        <w:t xml:space="preserve">. </w:t>
      </w:r>
      <w:r>
        <w:t>A</w:t>
      </w:r>
      <w:r w:rsidRPr="00DB721D">
        <w:t xml:space="preserve"> </w:t>
      </w:r>
      <w:proofErr w:type="spellStart"/>
      <w:r w:rsidRPr="00DB721D">
        <w:t>GfG</w:t>
      </w:r>
      <w:proofErr w:type="spellEnd"/>
      <w:r w:rsidRPr="00DB721D">
        <w:t xml:space="preserve"> grant, managed by the World Bank, supported </w:t>
      </w:r>
      <w:r>
        <w:t xml:space="preserve">the </w:t>
      </w:r>
      <w:r w:rsidR="0054471F">
        <w:t>G</w:t>
      </w:r>
      <w:r>
        <w:t xml:space="preserve">overnment </w:t>
      </w:r>
      <w:r w:rsidRPr="00DB721D">
        <w:t>to prepare an Energy Road Map</w:t>
      </w:r>
      <w:r>
        <w:t xml:space="preserve"> to guide </w:t>
      </w:r>
      <w:r w:rsidR="0054471F">
        <w:t xml:space="preserve">sector </w:t>
      </w:r>
      <w:r>
        <w:t xml:space="preserve">development. </w:t>
      </w:r>
      <w:r w:rsidR="0054471F">
        <w:t>This</w:t>
      </w:r>
      <w:r w:rsidR="0054471F" w:rsidRPr="00DB721D">
        <w:t xml:space="preserve"> </w:t>
      </w:r>
      <w:r w:rsidRPr="00DB721D">
        <w:t>builds on earlier work with photo voltaic (solar) lighting (</w:t>
      </w:r>
      <w:r w:rsidRPr="0032292B">
        <w:rPr>
          <w:i/>
        </w:rPr>
        <w:t>A</w:t>
      </w:r>
      <w:r w:rsidR="004B6A40" w:rsidRPr="0032292B">
        <w:rPr>
          <w:i/>
        </w:rPr>
        <w:t>nnual Program Performance Report</w:t>
      </w:r>
      <w:r w:rsidRPr="0032292B">
        <w:rPr>
          <w:i/>
        </w:rPr>
        <w:t xml:space="preserve"> 2011</w:t>
      </w:r>
      <w:r w:rsidRPr="00DB721D">
        <w:t>) and existing competitive grid providers in Vanuatu.</w:t>
      </w:r>
    </w:p>
    <w:p w:rsidR="00F06518" w:rsidRDefault="00F06518" w:rsidP="000C1C8B">
      <w:pPr>
        <w:pStyle w:val="BodyText"/>
      </w:pPr>
    </w:p>
    <w:tbl>
      <w:tblPr>
        <w:tblStyle w:val="TableGrid"/>
        <w:tblW w:w="0" w:type="auto"/>
        <w:shd w:val="clear" w:color="auto" w:fill="C6D9F1" w:themeFill="text2" w:themeFillTint="33"/>
        <w:tblLook w:val="04A0" w:firstRow="1" w:lastRow="0" w:firstColumn="1" w:lastColumn="0" w:noHBand="0" w:noVBand="1"/>
        <w:tblDescription w:val="Box 4: ICT regulatory reform supports equality of opportunity&#10;Before 2008, people in Vanuatu had limited access to telephones, but now mobile phones are a common household item. Since 2008, the incumbent, Telecom Vanuatu Ltd and the new provider, Digicel, have expanded services across the country, including to remote islands. Modes of communication are changing, new business ventures emerging, and mobile phones becoming part of everyday life.&#10;The Pacific Institute of Public Policy mapped these changes with support from GfG. Their surveys in 2008, 2009 and 2011 demonstrate that since liberalisation of the telecommunications sector in Vanuatu and the entry of Digicel, mobile subscription rates increased dramatically from 4.8 per cent of the population in 2004 to more than 71 per cent in 2011—data confirmed by recent World Bank data.&#10;Competition between Digicel and TVL has meant access to telecommunication services has expanded rapidly and the costs of using them have significantly decreased. Within six months of starting operations, Digicel had covered 75 per cent of the population (geographically), increasing to 85 per cent within 18 months.&#10;Survey respondents in 2011 reported a wide range of perceived benefits of increased access to mobile phones. Even access to health care services and increased social support was seen to have improved somewhat as a result of increased access to phones. The telecommunication service providers, donors and banks in Vanuatu are now working together to introduce ‘branchless banking’ in rural areas.&#10;"/>
      </w:tblPr>
      <w:tblGrid>
        <w:gridCol w:w="8494"/>
      </w:tblGrid>
      <w:tr w:rsidR="000C1C8B" w:rsidTr="00F06518">
        <w:tc>
          <w:tcPr>
            <w:tcW w:w="8494" w:type="dxa"/>
            <w:shd w:val="clear" w:color="auto" w:fill="C6D9F1" w:themeFill="text2" w:themeFillTint="33"/>
          </w:tcPr>
          <w:p w:rsidR="000C1C8B" w:rsidRPr="00CD215A" w:rsidRDefault="000C1C8B" w:rsidP="000C1C8B">
            <w:pPr>
              <w:pStyle w:val="BoxHeading1"/>
            </w:pPr>
            <w:r w:rsidRPr="00CD215A">
              <w:t>B</w:t>
            </w:r>
            <w:r>
              <w:t xml:space="preserve">ox 4: </w:t>
            </w:r>
            <w:r w:rsidRPr="00223872">
              <w:t>ICT regulatory reform</w:t>
            </w:r>
            <w:r w:rsidRPr="00BF05D7">
              <w:rPr>
                <w:color w:val="FF0000"/>
              </w:rPr>
              <w:t xml:space="preserve"> </w:t>
            </w:r>
            <w:r>
              <w:t>supports equality of opportunity</w:t>
            </w:r>
          </w:p>
          <w:p w:rsidR="000C1C8B" w:rsidRPr="00CC6BB9" w:rsidRDefault="000C1C8B" w:rsidP="000C1C8B">
            <w:pPr>
              <w:pStyle w:val="BoxText"/>
            </w:pPr>
            <w:r>
              <w:t xml:space="preserve">Before </w:t>
            </w:r>
            <w:r w:rsidRPr="00CC6BB9">
              <w:t xml:space="preserve">2008, people in Vanuatu had limited access to telephones, but now mobile phones are a common household item. Since 2008, the incumbent, Telecom Vanuatu Ltd and the new provider, </w:t>
            </w:r>
            <w:proofErr w:type="spellStart"/>
            <w:r w:rsidRPr="00CC6BB9">
              <w:t>Digicel</w:t>
            </w:r>
            <w:proofErr w:type="spellEnd"/>
            <w:r w:rsidRPr="00CC6BB9">
              <w:t xml:space="preserve">, have expanded services across the </w:t>
            </w:r>
            <w:r>
              <w:t>c</w:t>
            </w:r>
            <w:r w:rsidRPr="00CC6BB9">
              <w:t>ountry, including to remote islands. Modes of communication are changing, new business ventures emerging, and mobile phones becoming part of everyday life.</w:t>
            </w:r>
          </w:p>
          <w:p w:rsidR="000C1C8B" w:rsidRDefault="000C1C8B" w:rsidP="000C1C8B">
            <w:pPr>
              <w:pStyle w:val="BoxText"/>
            </w:pPr>
            <w:r w:rsidRPr="00CC6BB9">
              <w:t xml:space="preserve">The Pacific Institute of Public Policy mapped these changes with support from </w:t>
            </w:r>
            <w:proofErr w:type="spellStart"/>
            <w:r w:rsidRPr="00CC6BB9">
              <w:t>GfG</w:t>
            </w:r>
            <w:proofErr w:type="spellEnd"/>
            <w:r>
              <w:t xml:space="preserve">. </w:t>
            </w:r>
            <w:r w:rsidRPr="00CC6BB9">
              <w:t xml:space="preserve">Their surveys in 2008, 2009 and 2011 demonstrate that </w:t>
            </w:r>
            <w:r>
              <w:t>s</w:t>
            </w:r>
            <w:r w:rsidRPr="00CC6BB9">
              <w:t>ince</w:t>
            </w:r>
            <w:r>
              <w:t xml:space="preserve"> </w:t>
            </w:r>
            <w:r w:rsidRPr="00801E77">
              <w:t xml:space="preserve">liberalisation of the telecommunications sector in Vanuatu and the entry of </w:t>
            </w:r>
            <w:proofErr w:type="spellStart"/>
            <w:r w:rsidRPr="00801E77">
              <w:t>Digicel</w:t>
            </w:r>
            <w:proofErr w:type="spellEnd"/>
            <w:r w:rsidRPr="00801E77">
              <w:t>, mobile subscription</w:t>
            </w:r>
            <w:r w:rsidRPr="00801E77">
              <w:rPr>
                <w:noProof/>
              </w:rPr>
              <w:t xml:space="preserve"> </w:t>
            </w:r>
            <w:r w:rsidRPr="00801E77">
              <w:t>rates increased dramatically from 4.8 per cent of the population in 2004 to more than 71 per cent in 2011—data conf</w:t>
            </w:r>
            <w:r>
              <w:t>irmed by recent World Bank data.</w:t>
            </w:r>
          </w:p>
          <w:p w:rsidR="000C1C8B" w:rsidRDefault="000C1C8B" w:rsidP="000C1C8B">
            <w:pPr>
              <w:pStyle w:val="BoxText"/>
            </w:pPr>
            <w:r>
              <w:t>C</w:t>
            </w:r>
            <w:r w:rsidRPr="00CC6BB9">
              <w:t xml:space="preserve">ompetition between </w:t>
            </w:r>
            <w:proofErr w:type="spellStart"/>
            <w:r w:rsidRPr="00CC6BB9">
              <w:t>Digicel</w:t>
            </w:r>
            <w:proofErr w:type="spellEnd"/>
            <w:r w:rsidRPr="00CC6BB9">
              <w:t xml:space="preserve"> and TVL has meant access to telecommunication services has expanded rapidly and the costs of using them have significantly decreased. Within six months of starting operations, </w:t>
            </w:r>
            <w:proofErr w:type="spellStart"/>
            <w:r w:rsidRPr="00CC6BB9">
              <w:t>Digicel</w:t>
            </w:r>
            <w:proofErr w:type="spellEnd"/>
            <w:r w:rsidRPr="00CC6BB9">
              <w:t xml:space="preserve"> had covered 75</w:t>
            </w:r>
            <w:r>
              <w:t xml:space="preserve"> per cent</w:t>
            </w:r>
            <w:r w:rsidRPr="00CC6BB9">
              <w:t xml:space="preserve"> of the population</w:t>
            </w:r>
            <w:r>
              <w:t xml:space="preserve"> (geographically)</w:t>
            </w:r>
            <w:r w:rsidRPr="00CC6BB9">
              <w:t>, increasing to 85</w:t>
            </w:r>
            <w:r>
              <w:t xml:space="preserve"> per cent</w:t>
            </w:r>
            <w:r w:rsidRPr="00CC6BB9">
              <w:t xml:space="preserve"> within 18 months.</w:t>
            </w:r>
          </w:p>
          <w:p w:rsidR="000C1C8B" w:rsidRDefault="000C1C8B" w:rsidP="000C1C8B">
            <w:pPr>
              <w:pStyle w:val="BoxText"/>
            </w:pPr>
            <w:r>
              <w:t>Survey r</w:t>
            </w:r>
            <w:r w:rsidRPr="00CC6BB9">
              <w:t>espondents in 2011 reported a wide range of perceived benefits of inc</w:t>
            </w:r>
            <w:r>
              <w:t>reased access to mobile phones. Even a</w:t>
            </w:r>
            <w:r w:rsidRPr="00CC6BB9">
              <w:t>ccess to health care services and increased social support was seen to have improved somewhat as a result of increased access to phones</w:t>
            </w:r>
            <w:r>
              <w:t>. T</w:t>
            </w:r>
            <w:r w:rsidRPr="00CC6BB9">
              <w:t xml:space="preserve">he telecommunication service providers, donors and banks in Vanuatu are </w:t>
            </w:r>
            <w:r>
              <w:t xml:space="preserve">now </w:t>
            </w:r>
            <w:r w:rsidRPr="00CC6BB9">
              <w:t>working together to introduce ‘branchless banking’ in rural areas.</w:t>
            </w:r>
          </w:p>
        </w:tc>
      </w:tr>
    </w:tbl>
    <w:p w:rsidR="000C1C8B" w:rsidRPr="00DB721D" w:rsidRDefault="000C1C8B" w:rsidP="000C1C8B">
      <w:pPr>
        <w:pStyle w:val="BodyText"/>
      </w:pPr>
    </w:p>
    <w:p w:rsidR="002456BC" w:rsidRPr="00DB721D" w:rsidRDefault="002456BC" w:rsidP="000C1C8B">
      <w:pPr>
        <w:pStyle w:val="BodyText"/>
      </w:pPr>
      <w:r w:rsidRPr="00DB721D">
        <w:t xml:space="preserve">Based </w:t>
      </w:r>
      <w:r w:rsidRPr="008E1C7A">
        <w:t>on Australia’s track record in successfully supporting complex policy and regulatory reform in Vanuatu, the Vanuatu Government has asked</w:t>
      </w:r>
      <w:r w:rsidR="0054471F" w:rsidRPr="008E1C7A">
        <w:t xml:space="preserve"> Australia to have</w:t>
      </w:r>
      <w:r w:rsidRPr="008E1C7A">
        <w:t xml:space="preserve"> the </w:t>
      </w:r>
      <w:proofErr w:type="spellStart"/>
      <w:r w:rsidRPr="008E1C7A">
        <w:t>GfG</w:t>
      </w:r>
      <w:proofErr w:type="spellEnd"/>
      <w:r w:rsidRPr="008E1C7A">
        <w:t xml:space="preserve"> program t</w:t>
      </w:r>
      <w:r w:rsidR="001E1BF3">
        <w:t>o</w:t>
      </w:r>
      <w:r w:rsidRPr="008E1C7A">
        <w:t xml:space="preserve"> take the lead in aid coordination </w:t>
      </w:r>
      <w:r w:rsidR="0054471F" w:rsidRPr="008E1C7A">
        <w:t>of its</w:t>
      </w:r>
      <w:r w:rsidRPr="008E1C7A">
        <w:t xml:space="preserve"> trade policy framework</w:t>
      </w:r>
      <w:r w:rsidR="001E314E" w:rsidRPr="008E1C7A">
        <w:t xml:space="preserve">. </w:t>
      </w:r>
      <w:r w:rsidRPr="008E1C7A">
        <w:t>This in turn supports other initiatives financed</w:t>
      </w:r>
      <w:r w:rsidRPr="00DB721D">
        <w:t xml:space="preserve"> by Australia such as the regional </w:t>
      </w:r>
      <w:r w:rsidRPr="00D028AD">
        <w:t xml:space="preserve">Pacific Horticultural and Agricultural Market Access </w:t>
      </w:r>
      <w:r w:rsidRPr="00DB721D">
        <w:t>program</w:t>
      </w:r>
      <w:r w:rsidR="001E314E">
        <w:t xml:space="preserve">. </w:t>
      </w:r>
      <w:r>
        <w:t>This program helps the Vanuatu Government to maintain the country’s export accreditation for its beef industry, which represents more than half of Vanuatu</w:t>
      </w:r>
      <w:r w:rsidR="00201B32">
        <w:t>’s</w:t>
      </w:r>
      <w:r>
        <w:t xml:space="preserve"> agricultural exports.</w:t>
      </w:r>
    </w:p>
    <w:p w:rsidR="00DB721D" w:rsidRPr="00C30BAA" w:rsidRDefault="002456BC" w:rsidP="000C1C8B">
      <w:pPr>
        <w:pStyle w:val="BodyText"/>
      </w:pPr>
      <w:r>
        <w:t xml:space="preserve">Improving land administration, while protecting all-important customary land rights, </w:t>
      </w:r>
      <w:r w:rsidRPr="00DB721D">
        <w:t>is a critical component of the business</w:t>
      </w:r>
      <w:r w:rsidR="008E1C7A">
        <w:t>-</w:t>
      </w:r>
      <w:r w:rsidRPr="00DB721D">
        <w:t>enabling environment in Vanuatu and presents a risk of instability if left unaddressed</w:t>
      </w:r>
      <w:r w:rsidR="001E314E">
        <w:t xml:space="preserve">. </w:t>
      </w:r>
      <w:r>
        <w:t xml:space="preserve">The </w:t>
      </w:r>
      <w:r w:rsidRPr="00D028AD">
        <w:t xml:space="preserve">Mama </w:t>
      </w:r>
      <w:proofErr w:type="spellStart"/>
      <w:r w:rsidRPr="00D028AD">
        <w:t>Graon</w:t>
      </w:r>
      <w:proofErr w:type="spellEnd"/>
      <w:r w:rsidRPr="00D028AD">
        <w:t xml:space="preserve"> program, </w:t>
      </w:r>
      <w:r w:rsidRPr="00DB721D">
        <w:t xml:space="preserve">financed by Australia and New </w:t>
      </w:r>
      <w:r w:rsidRPr="00C30BAA">
        <w:t>Zealand, is a vehicle for providing practical support</w:t>
      </w:r>
      <w:r w:rsidR="001E314E">
        <w:t xml:space="preserve">. </w:t>
      </w:r>
    </w:p>
    <w:p w:rsidR="002456BC" w:rsidRPr="00C30BAA" w:rsidRDefault="002456BC" w:rsidP="000C1C8B">
      <w:pPr>
        <w:pStyle w:val="BodyText"/>
      </w:pPr>
      <w:r w:rsidRPr="00C30BAA">
        <w:t xml:space="preserve">A separate 2012 review of the Mama </w:t>
      </w:r>
      <w:proofErr w:type="spellStart"/>
      <w:r w:rsidRPr="00C30BAA">
        <w:t>Graon</w:t>
      </w:r>
      <w:proofErr w:type="spellEnd"/>
      <w:r w:rsidRPr="00C30BAA">
        <w:t xml:space="preserve"> program found that </w:t>
      </w:r>
      <w:r w:rsidR="002C5C9A">
        <w:t xml:space="preserve">it </w:t>
      </w:r>
      <w:r w:rsidRPr="00C30BAA">
        <w:t>was beginning to get traction</w:t>
      </w:r>
      <w:r w:rsidR="008A24F3" w:rsidRPr="00C30BAA">
        <w:t xml:space="preserve"> some 20 months into implementation</w:t>
      </w:r>
      <w:r w:rsidR="002E7B64" w:rsidRPr="00C30BAA">
        <w:t xml:space="preserve">, particularly </w:t>
      </w:r>
      <w:r w:rsidR="002C5C9A">
        <w:t>with</w:t>
      </w:r>
      <w:r w:rsidR="001E1BF3">
        <w:t xml:space="preserve"> </w:t>
      </w:r>
      <w:r w:rsidR="002E7B64" w:rsidRPr="00C30BAA">
        <w:t>land registry and surveying</w:t>
      </w:r>
      <w:r w:rsidR="001E314E">
        <w:t xml:space="preserve">. </w:t>
      </w:r>
      <w:r w:rsidR="002E7B64" w:rsidRPr="00C30BAA">
        <w:t xml:space="preserve">However, </w:t>
      </w:r>
      <w:r w:rsidR="002C5C9A">
        <w:t>its</w:t>
      </w:r>
      <w:r w:rsidRPr="00C30BAA">
        <w:t xml:space="preserve"> effectiveness very much depende</w:t>
      </w:r>
      <w:r w:rsidR="002C5C9A">
        <w:t>d</w:t>
      </w:r>
      <w:r w:rsidRPr="00C30BAA">
        <w:t xml:space="preserve"> on the Vanuatu Government’s commitment to reform, and to having a clear strategy for dealing with land disputes and ensuring fair dealings</w:t>
      </w:r>
      <w:r w:rsidR="001E314E">
        <w:t xml:space="preserve">. </w:t>
      </w:r>
    </w:p>
    <w:p w:rsidR="00DB721D" w:rsidRDefault="002456BC" w:rsidP="000C1C8B">
      <w:pPr>
        <w:pStyle w:val="BodyText"/>
      </w:pPr>
      <w:r w:rsidRPr="00C30BAA">
        <w:t>A 2012 survey of citizen perceptions and attitudes towards land issues confirmed that 96 per cent of respondents believed customary land owners should be the primary decision</w:t>
      </w:r>
      <w:r w:rsidR="00300B97">
        <w:t xml:space="preserve"> </w:t>
      </w:r>
      <w:r w:rsidRPr="00C30BAA">
        <w:t>makers over their land</w:t>
      </w:r>
      <w:r w:rsidR="001E314E">
        <w:t xml:space="preserve">. </w:t>
      </w:r>
      <w:r w:rsidR="00E446A6" w:rsidRPr="00C30BAA">
        <w:t>Eighty-eight per cent</w:t>
      </w:r>
      <w:r w:rsidRPr="00C30BAA">
        <w:t xml:space="preserve"> perceived land disputes should only be resolved</w:t>
      </w:r>
      <w:r>
        <w:t xml:space="preserve"> through </w:t>
      </w:r>
      <w:proofErr w:type="spellStart"/>
      <w:r w:rsidRPr="00E446A6">
        <w:rPr>
          <w:i/>
        </w:rPr>
        <w:t>kastom</w:t>
      </w:r>
      <w:proofErr w:type="spellEnd"/>
      <w:r w:rsidR="001E314E">
        <w:t xml:space="preserve">. </w:t>
      </w:r>
      <w:r>
        <w:t xml:space="preserve">Indeed, the </w:t>
      </w:r>
      <w:r w:rsidR="002C5C9A">
        <w:t xml:space="preserve">survey </w:t>
      </w:r>
      <w:r>
        <w:t xml:space="preserve">found the </w:t>
      </w:r>
      <w:r w:rsidR="002C5C9A">
        <w:t xml:space="preserve">Mama </w:t>
      </w:r>
      <w:proofErr w:type="spellStart"/>
      <w:r w:rsidR="002C5C9A">
        <w:t>Graon</w:t>
      </w:r>
      <w:proofErr w:type="spellEnd"/>
      <w:r w:rsidR="002C5C9A">
        <w:t xml:space="preserve"> </w:t>
      </w:r>
      <w:r>
        <w:t>p</w:t>
      </w:r>
      <w:r w:rsidRPr="00677B79">
        <w:t>rogram</w:t>
      </w:r>
      <w:r>
        <w:t>’s</w:t>
      </w:r>
      <w:r w:rsidRPr="00677B79">
        <w:t xml:space="preserve"> </w:t>
      </w:r>
      <w:r>
        <w:t>management c</w:t>
      </w:r>
      <w:r w:rsidRPr="00677B79">
        <w:t xml:space="preserve">ommittee </w:t>
      </w:r>
      <w:r>
        <w:t>to be</w:t>
      </w:r>
      <w:r w:rsidRPr="00677B79">
        <w:t xml:space="preserve"> an effective decision-making body</w:t>
      </w:r>
      <w:r w:rsidR="006E791B">
        <w:t>. The survey also found that</w:t>
      </w:r>
      <w:r>
        <w:t xml:space="preserve"> </w:t>
      </w:r>
      <w:proofErr w:type="spellStart"/>
      <w:r w:rsidRPr="00E446A6">
        <w:rPr>
          <w:i/>
        </w:rPr>
        <w:t>kastom</w:t>
      </w:r>
      <w:proofErr w:type="spellEnd"/>
      <w:r>
        <w:t xml:space="preserve"> leaders engaged with donors to progress the program.</w:t>
      </w:r>
    </w:p>
    <w:p w:rsidR="00B07C65" w:rsidRPr="00076F08" w:rsidRDefault="00B07C65" w:rsidP="000C1C8B">
      <w:pPr>
        <w:pStyle w:val="BodyText"/>
      </w:pPr>
      <w:r w:rsidRPr="00076F08">
        <w:t>In response to the challenges of climate change and disaster preparedness, Australia’s support focuses on strengthening governance mechanisms for</w:t>
      </w:r>
      <w:r w:rsidR="0098404C">
        <w:t xml:space="preserve"> </w:t>
      </w:r>
      <w:r w:rsidRPr="00076F08">
        <w:t>climate change adaptation</w:t>
      </w:r>
      <w:r w:rsidR="006E791B">
        <w:t xml:space="preserve"> and disaster risk management</w:t>
      </w:r>
      <w:r w:rsidRPr="00076F08">
        <w:t xml:space="preserve"> at national, provincial and local levels</w:t>
      </w:r>
      <w:r w:rsidR="001E314E">
        <w:t xml:space="preserve">. </w:t>
      </w:r>
      <w:r w:rsidRPr="00076F08">
        <w:t>Australia partners with humanitarian agencies to support community</w:t>
      </w:r>
      <w:r w:rsidR="006E791B">
        <w:t>-</w:t>
      </w:r>
      <w:r w:rsidRPr="00076F08">
        <w:t>based projects in disaster risk reduction, preparedness and response and Vanuatu’s National Disaster Management Office to help ensure reliable media and communications in emergencies.</w:t>
      </w:r>
    </w:p>
    <w:p w:rsidR="00DB721D" w:rsidRPr="00180B19" w:rsidRDefault="00DB721D" w:rsidP="000C1C8B">
      <w:pPr>
        <w:pStyle w:val="Heading2"/>
      </w:pPr>
      <w:r w:rsidRPr="000C1C8B">
        <w:t>Objective</w:t>
      </w:r>
      <w:r w:rsidR="00BF35AA" w:rsidRPr="00076F08">
        <w:t xml:space="preserve"> 5</w:t>
      </w:r>
      <w:r w:rsidRPr="00076F08">
        <w:t>: More effective legal institu</w:t>
      </w:r>
      <w:r w:rsidR="003A2553" w:rsidRPr="00076F08">
        <w:t>t</w:t>
      </w:r>
      <w:r w:rsidRPr="00076F08">
        <w:t>ions and improved police services</w:t>
      </w:r>
    </w:p>
    <w:p w:rsidR="002456BC" w:rsidRDefault="002456BC" w:rsidP="000C1C8B">
      <w:pPr>
        <w:pStyle w:val="BodyText"/>
      </w:pPr>
      <w:r w:rsidRPr="00C30BAA">
        <w:t>The law and justice sector in Vanuatu is characterised by multiple legal (and linguistic) systems, a constitution that blends customary and formal legal systems and a range of sometimes out</w:t>
      </w:r>
      <w:r w:rsidR="00201B32" w:rsidRPr="00C30BAA">
        <w:t>-</w:t>
      </w:r>
      <w:r w:rsidRPr="00C30BAA">
        <w:t>dated and contradictory legislation</w:t>
      </w:r>
      <w:r w:rsidR="001E314E">
        <w:t xml:space="preserve">. </w:t>
      </w:r>
      <w:r w:rsidRPr="00C30BAA">
        <w:t>Australian support recognises the strong connection between justice and development, and that</w:t>
      </w:r>
      <w:r>
        <w:t xml:space="preserve"> improvement in one leads</w:t>
      </w:r>
      <w:r w:rsidR="00223872">
        <w:t xml:space="preserve"> to improvement in the other</w:t>
      </w:r>
      <w:r w:rsidR="001E314E">
        <w:t xml:space="preserve">. </w:t>
      </w:r>
      <w:r>
        <w:t>A robust system of justice will benefit Vanuatu’s communities, families and business people, as well as giv</w:t>
      </w:r>
      <w:r w:rsidR="00D6579E">
        <w:t>e</w:t>
      </w:r>
      <w:r>
        <w:t xml:space="preserve"> confidence to overseas visitors and investors.</w:t>
      </w:r>
    </w:p>
    <w:p w:rsidR="008A24F3" w:rsidRPr="007F6268" w:rsidRDefault="000D2F40" w:rsidP="007F6268">
      <w:pPr>
        <w:pStyle w:val="BodyText"/>
      </w:pPr>
      <w:r w:rsidRPr="007F6268">
        <w:t>Australia’s</w:t>
      </w:r>
      <w:r w:rsidR="008A24F3" w:rsidRPr="007F6268">
        <w:t xml:space="preserve"> law and justice </w:t>
      </w:r>
      <w:r w:rsidRPr="007F6268">
        <w:t>support</w:t>
      </w:r>
      <w:r w:rsidR="008A24F3" w:rsidRPr="007F6268">
        <w:t xml:space="preserve"> comprises: policing assistance</w:t>
      </w:r>
      <w:r w:rsidR="0016546E" w:rsidRPr="007F6268">
        <w:t xml:space="preserve"> </w:t>
      </w:r>
      <w:r w:rsidR="008A24F3" w:rsidRPr="007F6268">
        <w:t xml:space="preserve">in partnership with the Australian Federal Police (AFP), strengthening key legal institutions; and </w:t>
      </w:r>
      <w:r w:rsidR="00D6579E" w:rsidRPr="007F6268">
        <w:t xml:space="preserve">providing </w:t>
      </w:r>
      <w:r w:rsidR="008A24F3" w:rsidRPr="007F6268">
        <w:t>core funding to the Vanuatu Women’s Centre</w:t>
      </w:r>
      <w:r w:rsidR="00823627" w:rsidRPr="007F6268">
        <w:t xml:space="preserve"> (VWC)</w:t>
      </w:r>
      <w:r w:rsidR="001E314E" w:rsidRPr="007F6268">
        <w:t xml:space="preserve">. </w:t>
      </w:r>
      <w:r w:rsidRPr="007F6268">
        <w:t>A strong Australian whole</w:t>
      </w:r>
      <w:r w:rsidR="00D6579E" w:rsidRPr="007F6268">
        <w:t>-of-</w:t>
      </w:r>
      <w:r w:rsidRPr="007F6268">
        <w:t>government approach is taken</w:t>
      </w:r>
      <w:r w:rsidR="001E314E" w:rsidRPr="007F6268">
        <w:t xml:space="preserve">. </w:t>
      </w:r>
      <w:r w:rsidR="008A24F3" w:rsidRPr="007F6268">
        <w:t xml:space="preserve">The program continues to be rated </w:t>
      </w:r>
      <w:r w:rsidR="00006215" w:rsidRPr="007F6268">
        <w:t>‘</w:t>
      </w:r>
      <w:r w:rsidR="008A24F3" w:rsidRPr="007F6268">
        <w:t>amber</w:t>
      </w:r>
      <w:r w:rsidR="00006215" w:rsidRPr="007F6268">
        <w:t>’</w:t>
      </w:r>
      <w:r w:rsidR="008A24F3" w:rsidRPr="007F6268">
        <w:t xml:space="preserve"> considering </w:t>
      </w:r>
      <w:r w:rsidR="00B75E95" w:rsidRPr="007F6268">
        <w:t>the</w:t>
      </w:r>
      <w:r w:rsidR="008A24F3" w:rsidRPr="007F6268">
        <w:t xml:space="preserve"> </w:t>
      </w:r>
      <w:r w:rsidR="001805DD" w:rsidRPr="007F6268">
        <w:t>expulsion of the AFP in 2012</w:t>
      </w:r>
      <w:r w:rsidR="00C4024D" w:rsidRPr="007F6268">
        <w:t>.</w:t>
      </w:r>
    </w:p>
    <w:p w:rsidR="002456BC" w:rsidRDefault="00223872" w:rsidP="000C1C8B">
      <w:pPr>
        <w:pStyle w:val="BodyText"/>
      </w:pPr>
      <w:r>
        <w:t xml:space="preserve">Vanuatu’s </w:t>
      </w:r>
      <w:r w:rsidR="000D2F40">
        <w:t xml:space="preserve">national </w:t>
      </w:r>
      <w:r>
        <w:t>security environment is relatively benign</w:t>
      </w:r>
      <w:r w:rsidR="001E314E">
        <w:t xml:space="preserve">. </w:t>
      </w:r>
      <w:r>
        <w:t xml:space="preserve">However, </w:t>
      </w:r>
      <w:r w:rsidRPr="007B6F31">
        <w:t>t</w:t>
      </w:r>
      <w:r w:rsidR="002456BC" w:rsidRPr="007B6F31">
        <w:t>he</w:t>
      </w:r>
      <w:r w:rsidRPr="007B6F31">
        <w:t>re are</w:t>
      </w:r>
      <w:r w:rsidR="002456BC" w:rsidRPr="007B6F31">
        <w:t xml:space="preserve"> major issues </w:t>
      </w:r>
      <w:r w:rsidRPr="007B6F31">
        <w:t>of</w:t>
      </w:r>
      <w:r w:rsidR="002456BC" w:rsidRPr="007B6F31">
        <w:t xml:space="preserve"> violence </w:t>
      </w:r>
      <w:r w:rsidR="002456BC" w:rsidRPr="00C30BAA">
        <w:t>against women (72 per cent of women experience physical and/or sexual violence in their lifetime</w:t>
      </w:r>
      <w:r w:rsidR="002456BC" w:rsidRPr="00C30BAA">
        <w:rPr>
          <w:rStyle w:val="FootnoteReference"/>
        </w:rPr>
        <w:footnoteReference w:id="31"/>
      </w:r>
      <w:r w:rsidR="00006215">
        <w:t>)</w:t>
      </w:r>
      <w:r w:rsidR="002456BC" w:rsidRPr="00C30BAA">
        <w:t xml:space="preserve"> and children (up to 48 per cent of children experience physical abuse and up to 30 per cent experience sexual abuse</w:t>
      </w:r>
      <w:r w:rsidR="00D6579E">
        <w:t>).</w:t>
      </w:r>
      <w:r w:rsidR="002456BC" w:rsidRPr="00C30BAA">
        <w:rPr>
          <w:rStyle w:val="FootnoteReference"/>
        </w:rPr>
        <w:footnoteReference w:id="32"/>
      </w:r>
      <w:r w:rsidR="00006215">
        <w:t>)</w:t>
      </w:r>
      <w:r w:rsidR="002456BC" w:rsidRPr="00C30BAA">
        <w:t xml:space="preserve"> </w:t>
      </w:r>
      <w:r w:rsidR="00D6579E">
        <w:t>Major issues also exist with</w:t>
      </w:r>
      <w:r w:rsidR="002456BC" w:rsidRPr="00C30BAA">
        <w:t xml:space="preserve"> juvenile crime and</w:t>
      </w:r>
      <w:r w:rsidR="00D6579E">
        <w:t xml:space="preserve"> </w:t>
      </w:r>
      <w:r w:rsidR="002456BC" w:rsidRPr="00C30BAA">
        <w:t>the absence of any system to manage</w:t>
      </w:r>
      <w:r w:rsidR="00D6579E">
        <w:t xml:space="preserve"> these</w:t>
      </w:r>
      <w:r w:rsidR="002456BC" w:rsidRPr="00C30BAA">
        <w:t>.</w:t>
      </w:r>
    </w:p>
    <w:p w:rsidR="002456BC" w:rsidRDefault="002456BC" w:rsidP="000C1C8B">
      <w:pPr>
        <w:pStyle w:val="BodyText"/>
      </w:pPr>
      <w:r>
        <w:t xml:space="preserve">Australia’s strategy is to support Vanuatu </w:t>
      </w:r>
      <w:r w:rsidR="00D6579E">
        <w:t xml:space="preserve">to </w:t>
      </w:r>
      <w:r>
        <w:t xml:space="preserve">achieve safer communities and address the key issues of family violence, child protection and juvenile crime. Recognising the limited resources available to the Vanuatu Police Force, the courts, and public legal offices, Australian support is intended to selectively supplement </w:t>
      </w:r>
      <w:r w:rsidR="00D6579E">
        <w:t xml:space="preserve">the </w:t>
      </w:r>
      <w:r>
        <w:t>operational resources of the Vanuatu Government and use existing resources better by improving human resource and financial management capacity.</w:t>
      </w:r>
    </w:p>
    <w:p w:rsidR="002456BC" w:rsidRDefault="002456BC" w:rsidP="000C1C8B">
      <w:pPr>
        <w:pStyle w:val="BodyText"/>
      </w:pPr>
      <w:r>
        <w:t xml:space="preserve">An almost year-long gap in Australian assistance to the legal sector ended in March 2012 with the </w:t>
      </w:r>
      <w:r w:rsidR="00D6579E">
        <w:t xml:space="preserve">start </w:t>
      </w:r>
      <w:r>
        <w:t>of the Vanuatu Law and Justice Partnership Program (</w:t>
      </w:r>
      <w:proofErr w:type="spellStart"/>
      <w:r w:rsidRPr="005823FD">
        <w:rPr>
          <w:i/>
        </w:rPr>
        <w:t>Stretem</w:t>
      </w:r>
      <w:proofErr w:type="spellEnd"/>
      <w:r w:rsidRPr="005823FD">
        <w:rPr>
          <w:i/>
        </w:rPr>
        <w:t xml:space="preserve"> Rod </w:t>
      </w:r>
      <w:proofErr w:type="spellStart"/>
      <w:r w:rsidRPr="005823FD">
        <w:rPr>
          <w:i/>
        </w:rPr>
        <w:t>Blong</w:t>
      </w:r>
      <w:proofErr w:type="spellEnd"/>
      <w:r w:rsidRPr="005823FD">
        <w:rPr>
          <w:i/>
        </w:rPr>
        <w:t xml:space="preserve"> </w:t>
      </w:r>
      <w:proofErr w:type="spellStart"/>
      <w:r w:rsidRPr="005823FD">
        <w:rPr>
          <w:i/>
        </w:rPr>
        <w:t>Jastis</w:t>
      </w:r>
      <w:proofErr w:type="spellEnd"/>
      <w:r>
        <w:t>)</w:t>
      </w:r>
      <w:r w:rsidR="001E314E">
        <w:t xml:space="preserve">. </w:t>
      </w:r>
      <w:r>
        <w:t>This has been driven by strong Vanuatu Government leadership, as demonstrated by the national summit on Law and Justice</w:t>
      </w:r>
      <w:r w:rsidR="00D6579E">
        <w:t xml:space="preserve"> held</w:t>
      </w:r>
      <w:r>
        <w:t xml:space="preserve"> in early 2012 </w:t>
      </w:r>
      <w:r w:rsidR="00D6579E">
        <w:t>to outline g</w:t>
      </w:r>
      <w:r>
        <w:t>overnment priorities</w:t>
      </w:r>
      <w:r w:rsidR="001E314E">
        <w:t xml:space="preserve">. </w:t>
      </w:r>
      <w:r>
        <w:t xml:space="preserve">This resulted in a new sector strategy in May 2013. The Government’s 2012 update of </w:t>
      </w:r>
      <w:r w:rsidR="00D6579E">
        <w:t xml:space="preserve">its </w:t>
      </w:r>
      <w:r>
        <w:t>Policy Action Agenda recognised law and justice issues as a priority</w:t>
      </w:r>
      <w:r w:rsidR="001E314E">
        <w:t xml:space="preserve">. </w:t>
      </w:r>
    </w:p>
    <w:p w:rsidR="000C1C8B" w:rsidRDefault="00A31E56" w:rsidP="000C1C8B">
      <w:pPr>
        <w:pStyle w:val="BodyText"/>
      </w:pPr>
      <w:r>
        <w:t>A</w:t>
      </w:r>
      <w:r w:rsidR="002456BC">
        <w:t xml:space="preserve">dvisory support to the Ministry of Justice, Public Solicitor’s Office, </w:t>
      </w:r>
      <w:r w:rsidR="002456BC" w:rsidRPr="004770B7">
        <w:t xml:space="preserve">State Prosecutor’s </w:t>
      </w:r>
      <w:r w:rsidR="002456BC">
        <w:t>Department</w:t>
      </w:r>
      <w:r w:rsidR="00D6579E">
        <w:t xml:space="preserve"> and</w:t>
      </w:r>
      <w:r w:rsidR="002456BC">
        <w:t xml:space="preserve"> the Vanuatu Law Commission</w:t>
      </w:r>
      <w:r w:rsidR="0032292B">
        <w:t xml:space="preserve"> </w:t>
      </w:r>
      <w:r>
        <w:t xml:space="preserve">funded by Australia </w:t>
      </w:r>
      <w:r w:rsidR="0032292B">
        <w:t>has had some success</w:t>
      </w:r>
      <w:r w:rsidR="002456BC">
        <w:t xml:space="preserve"> (Box 5)</w:t>
      </w:r>
      <w:r w:rsidR="002456BC" w:rsidRPr="004770B7">
        <w:t>.</w:t>
      </w:r>
    </w:p>
    <w:p w:rsidR="00F06518" w:rsidRDefault="00F06518" w:rsidP="000C1C8B">
      <w:pPr>
        <w:pStyle w:val="BodyText"/>
      </w:pPr>
    </w:p>
    <w:tbl>
      <w:tblPr>
        <w:tblStyle w:val="TableGrid"/>
        <w:tblW w:w="0" w:type="auto"/>
        <w:shd w:val="clear" w:color="auto" w:fill="C6D9F1" w:themeFill="text2" w:themeFillTint="33"/>
        <w:tblLook w:val="04A0" w:firstRow="1" w:lastRow="0" w:firstColumn="1" w:lastColumn="0" w:noHBand="0" w:noVBand="1"/>
        <w:tblDescription w:val="Box 5: Vanuatu law commission building credibility and improving service delivery&#10;The Vanuatu Law Commission (VLC) was re-established in 2011 with a modest budget and only one permanent member of staff. Its commissioners had been dismissed by the Government and the VLC had not carried out any legislative review or received any references. Following the early work of an Australian volunteer, AusAID provided a package of support to VLC that included two researchers, as well as technical assistance and funding support for the Commission’s first legislative review—of the Public Health Act. &#10;The AusAID-supported VLC review of the Public Health Act strengthened the capability and confidence of the legal researchers of the VLC and proved a useful pilot for a thoroughly consultative reform process. The review brought legislation up-to-date and provided drafting notes, appropriate for the State Law Office legal drafters. The review was well received by the Ministry of Health. &#10;In the 2013 national budget, the VLC received an increased appropriation, in part because of its increased profile and credibility. The VLC is undertaking its next legislative review using the consultation methodology developed under the Public Health Act process.&#10;"/>
      </w:tblPr>
      <w:tblGrid>
        <w:gridCol w:w="8494"/>
      </w:tblGrid>
      <w:tr w:rsidR="000C1C8B" w:rsidTr="00F06518">
        <w:tc>
          <w:tcPr>
            <w:tcW w:w="8494" w:type="dxa"/>
            <w:shd w:val="clear" w:color="auto" w:fill="C6D9F1" w:themeFill="text2" w:themeFillTint="33"/>
          </w:tcPr>
          <w:p w:rsidR="000C1C8B" w:rsidRPr="000D4620" w:rsidRDefault="000C1C8B" w:rsidP="000C1C8B">
            <w:pPr>
              <w:pStyle w:val="BoxHeading1"/>
            </w:pPr>
            <w:r w:rsidRPr="000D4620">
              <w:t>Box 5: Vanuatu law commission building credibility and improving service delivery</w:t>
            </w:r>
          </w:p>
          <w:p w:rsidR="000C1C8B" w:rsidRPr="000D4620" w:rsidRDefault="000C1C8B" w:rsidP="000C1C8B">
            <w:pPr>
              <w:pStyle w:val="BoxText"/>
            </w:pPr>
            <w:r w:rsidRPr="000D4620">
              <w:t>The Vanuatu Law Commission (VLC) was re-established in 2011 with a modest budget and only one permanent member of staff. Its commissioners had been dismissed by the Government and the VLC had not carried out any legislative review or received any references. Following the early work of an Australian volunteer,</w:t>
            </w:r>
            <w:r w:rsidR="005578F3">
              <w:t xml:space="preserve"> Australia</w:t>
            </w:r>
            <w:r w:rsidRPr="000D4620">
              <w:t xml:space="preserve"> provided a package of support to VLC that included two researchers, as well as technical assistance and funding support for the Commission’s first legislative review—of the Public Health Act.</w:t>
            </w:r>
            <w:r>
              <w:t xml:space="preserve"> </w:t>
            </w:r>
          </w:p>
          <w:p w:rsidR="000C1C8B" w:rsidRPr="000D4620" w:rsidRDefault="000C1C8B" w:rsidP="000C1C8B">
            <w:pPr>
              <w:pStyle w:val="BoxText"/>
            </w:pPr>
            <w:r w:rsidRPr="000D4620">
              <w:t>The Aus</w:t>
            </w:r>
            <w:r w:rsidR="005578F3">
              <w:t xml:space="preserve">tralian </w:t>
            </w:r>
            <w:proofErr w:type="spellStart"/>
            <w:r w:rsidR="005578F3">
              <w:t>Government</w:t>
            </w:r>
            <w:r w:rsidRPr="000D4620">
              <w:t>supported</w:t>
            </w:r>
            <w:proofErr w:type="spellEnd"/>
            <w:r w:rsidRPr="000D4620">
              <w:t xml:space="preserve"> VLC review of the Public Health Act strengthened the capability and confidence of the legal researchers of the VLC and proved a useful pilot for a thoroughly consultative reform process. The review brought legislation up-to-date and provided drafting notes, appropriate for the State Law Office legal drafters. The review was well received by the Ministry of Health.</w:t>
            </w:r>
            <w:r>
              <w:t xml:space="preserve"> </w:t>
            </w:r>
          </w:p>
          <w:p w:rsidR="000C1C8B" w:rsidRDefault="000C1C8B" w:rsidP="000C1C8B">
            <w:pPr>
              <w:pStyle w:val="BoxText"/>
            </w:pPr>
            <w:r w:rsidRPr="000D4620">
              <w:t>In the 2013 national budget, the VLC received an increased appropriation, in part because of its increased profile and credibility. The VLC is undertaking its next legislative review using the consultation methodology developed under the Public Health Act process.</w:t>
            </w:r>
          </w:p>
        </w:tc>
      </w:tr>
    </w:tbl>
    <w:p w:rsidR="000C1C8B" w:rsidRDefault="002456BC" w:rsidP="000C1C8B">
      <w:pPr>
        <w:pStyle w:val="BodyText"/>
      </w:pPr>
      <w:r w:rsidRPr="004770B7">
        <w:t xml:space="preserve"> </w:t>
      </w:r>
    </w:p>
    <w:p w:rsidR="00841281" w:rsidRDefault="00841281" w:rsidP="000C1C8B">
      <w:pPr>
        <w:pStyle w:val="BodyText"/>
      </w:pPr>
      <w:r>
        <w:t xml:space="preserve">The Vanuatu Australia Police Project </w:t>
      </w:r>
      <w:r w:rsidR="00D4417C">
        <w:t xml:space="preserve">(VAPP) </w:t>
      </w:r>
      <w:r>
        <w:t>was suspended in May 2012 following the expulsion of the Australian Federal Police (AFP) from Vanuatu</w:t>
      </w:r>
      <w:r w:rsidR="001E314E">
        <w:t xml:space="preserve">. </w:t>
      </w:r>
      <w:r>
        <w:t>Vanuatu and Australia agreed to the resumption of policing assistance in January 2013 and AFP project advisers returned in April 2013</w:t>
      </w:r>
      <w:r w:rsidR="001E314E">
        <w:t xml:space="preserve">. </w:t>
      </w:r>
      <w:r>
        <w:t xml:space="preserve">An interim package of assistance through to December 2013 </w:t>
      </w:r>
      <w:r w:rsidR="00695178">
        <w:t>will</w:t>
      </w:r>
      <w:r>
        <w:t xml:space="preserve"> continue support in four areas:</w:t>
      </w:r>
      <w:r w:rsidR="0098404C">
        <w:t xml:space="preserve"> </w:t>
      </w:r>
      <w:r w:rsidRPr="00105319">
        <w:t>training and professionalism of the Vanuatu Police Force (VPF); policing infrastructure; workforce renewal; and improvements to internal governance.</w:t>
      </w:r>
      <w:r>
        <w:t xml:space="preserve"> </w:t>
      </w:r>
    </w:p>
    <w:p w:rsidR="00841281" w:rsidRDefault="00841281" w:rsidP="000C1C8B">
      <w:pPr>
        <w:pStyle w:val="BodyText"/>
      </w:pPr>
      <w:r>
        <w:t>Despite the year-long hiatus, progress has been made</w:t>
      </w:r>
      <w:r w:rsidR="001E314E">
        <w:t xml:space="preserve">. </w:t>
      </w:r>
      <w:r w:rsidR="00201B32">
        <w:t>A</w:t>
      </w:r>
      <w:r w:rsidR="001805DD">
        <w:t xml:space="preserve"> </w:t>
      </w:r>
      <w:r>
        <w:t xml:space="preserve">new round of retirements (making way for a new round of young and highly trained recruits) is underway, the </w:t>
      </w:r>
      <w:r w:rsidRPr="00D4417C">
        <w:rPr>
          <w:i/>
        </w:rPr>
        <w:t xml:space="preserve">RVS </w:t>
      </w:r>
      <w:proofErr w:type="spellStart"/>
      <w:r w:rsidRPr="00D4417C">
        <w:rPr>
          <w:i/>
        </w:rPr>
        <w:t>Turoroa</w:t>
      </w:r>
      <w:proofErr w:type="spellEnd"/>
      <w:r>
        <w:t xml:space="preserve"> is once again seaworthy and available for remote policing visits to the islands,</w:t>
      </w:r>
      <w:r w:rsidR="00C850DC">
        <w:t xml:space="preserve"> and </w:t>
      </w:r>
      <w:r>
        <w:t>infrastructure works on remote police posts</w:t>
      </w:r>
      <w:r w:rsidR="00695178">
        <w:t xml:space="preserve"> has </w:t>
      </w:r>
      <w:r w:rsidR="00823627">
        <w:t>started</w:t>
      </w:r>
      <w:r w:rsidR="001E314E">
        <w:t xml:space="preserve">. </w:t>
      </w:r>
      <w:r>
        <w:t>The VPF, however, depend</w:t>
      </w:r>
      <w:r w:rsidR="00823627">
        <w:t>s heavily</w:t>
      </w:r>
      <w:r>
        <w:t xml:space="preserve"> on Australian funding for operational expenses</w:t>
      </w:r>
      <w:r w:rsidR="001E314E">
        <w:t xml:space="preserve">. </w:t>
      </w:r>
    </w:p>
    <w:p w:rsidR="00841281" w:rsidRDefault="00841281" w:rsidP="000C1C8B">
      <w:pPr>
        <w:pStyle w:val="BodyText"/>
      </w:pPr>
      <w:r>
        <w:t>A joint (Australia</w:t>
      </w:r>
      <w:r w:rsidR="00006215">
        <w:t xml:space="preserve"> – </w:t>
      </w:r>
      <w:r>
        <w:t xml:space="preserve">Vanuatu) review of </w:t>
      </w:r>
      <w:r w:rsidR="00D4417C">
        <w:t xml:space="preserve">VAPP </w:t>
      </w:r>
      <w:r>
        <w:t>completed in May 2012 found the need to increase VPF ownership and leadership to support sustainability, improve the project’s monitoring and evaluation and build a shared body of evidence on crime trends, including on family and sexual violence and juvenile crime</w:t>
      </w:r>
      <w:r w:rsidR="001E314E">
        <w:t xml:space="preserve">. </w:t>
      </w:r>
      <w:r w:rsidR="00823627">
        <w:t>The</w:t>
      </w:r>
      <w:r>
        <w:t xml:space="preserve"> first project management meeting in</w:t>
      </w:r>
      <w:r w:rsidR="00823627">
        <w:t xml:space="preserve"> 2013 (</w:t>
      </w:r>
      <w:r>
        <w:t>May</w:t>
      </w:r>
      <w:r w:rsidR="00823627">
        <w:t>), led by the VPF</w:t>
      </w:r>
      <w:r w:rsidR="00D4417C">
        <w:t xml:space="preserve"> in response to the review findings</w:t>
      </w:r>
      <w:r w:rsidR="00823627">
        <w:t xml:space="preserve">, saw improved and frank discussion on planning and performance </w:t>
      </w:r>
    </w:p>
    <w:p w:rsidR="000D2F40" w:rsidRDefault="000D2F40" w:rsidP="000C1C8B">
      <w:pPr>
        <w:pStyle w:val="BodyText"/>
      </w:pPr>
      <w:r>
        <w:t>The V</w:t>
      </w:r>
      <w:r w:rsidR="00823627">
        <w:t>PF</w:t>
      </w:r>
      <w:r>
        <w:t xml:space="preserve"> Protection and Crime Prevention Units have received support from the Pacific Prevention of Domestic Violence Program</w:t>
      </w:r>
      <w:r w:rsidR="001E314E">
        <w:t xml:space="preserve">. </w:t>
      </w:r>
      <w:r w:rsidR="002F07F4">
        <w:t>This</w:t>
      </w:r>
      <w:r>
        <w:t xml:space="preserve"> </w:t>
      </w:r>
      <w:r w:rsidR="002F07F4">
        <w:t>initiative</w:t>
      </w:r>
      <w:r w:rsidR="00823627">
        <w:t>,</w:t>
      </w:r>
      <w:r>
        <w:t xml:space="preserve"> between the AFP and New Zealand Police</w:t>
      </w:r>
      <w:r w:rsidR="00823627">
        <w:t>,</w:t>
      </w:r>
      <w:r>
        <w:t xml:space="preserve"> assist</w:t>
      </w:r>
      <w:r w:rsidR="00823627">
        <w:t>s</w:t>
      </w:r>
      <w:r>
        <w:t xml:space="preserve"> police forces in the Pacific </w:t>
      </w:r>
      <w:r w:rsidR="00823627">
        <w:t>in setting</w:t>
      </w:r>
      <w:r>
        <w:t xml:space="preserve"> up specialised domestic violence units, training police staff and building partnerships with non-government organisations that support victims of violence.</w:t>
      </w:r>
    </w:p>
    <w:p w:rsidR="000D2F40" w:rsidRDefault="000D2F40" w:rsidP="000C1C8B">
      <w:pPr>
        <w:pStyle w:val="BodyText"/>
      </w:pPr>
      <w:r>
        <w:t>The VPF Crime Prevention Unit</w:t>
      </w:r>
      <w:r w:rsidR="0098404C">
        <w:t xml:space="preserve"> </w:t>
      </w:r>
      <w:r>
        <w:t xml:space="preserve">received training from Cyber Safety </w:t>
      </w:r>
      <w:proofErr w:type="spellStart"/>
      <w:r w:rsidR="00D4417C">
        <w:t>Pasifika</w:t>
      </w:r>
      <w:proofErr w:type="spellEnd"/>
      <w:r w:rsidR="00D4417C">
        <w:t>.</w:t>
      </w:r>
      <w:r w:rsidR="0098404C">
        <w:t xml:space="preserve"> </w:t>
      </w:r>
      <w:r w:rsidR="00D4417C">
        <w:t xml:space="preserve">The training is aimed at </w:t>
      </w:r>
      <w:r w:rsidR="002F07F4">
        <w:t>improve</w:t>
      </w:r>
      <w:r>
        <w:t xml:space="preserve"> cyber safety and security education in Pacific island schools and communities by equipping local police services to </w:t>
      </w:r>
      <w:r w:rsidR="002F07F4">
        <w:t xml:space="preserve">better inform </w:t>
      </w:r>
      <w:r>
        <w:t>children and parents.</w:t>
      </w:r>
    </w:p>
    <w:p w:rsidR="00841281" w:rsidRDefault="00823627" w:rsidP="000C1C8B">
      <w:pPr>
        <w:pStyle w:val="BodyText"/>
      </w:pPr>
      <w:r>
        <w:t>I</w:t>
      </w:r>
      <w:r w:rsidR="00841281">
        <w:t>ncreased discussion and coordination between donors on key issues within the law and justice sector</w:t>
      </w:r>
      <w:r>
        <w:t xml:space="preserve"> took place in 2012, </w:t>
      </w:r>
      <w:r w:rsidR="00841281">
        <w:t>driven by the Justice Director-General</w:t>
      </w:r>
      <w:r w:rsidR="001E314E">
        <w:t xml:space="preserve">. </w:t>
      </w:r>
      <w:r w:rsidR="00841281">
        <w:t xml:space="preserve">The World Bank’s </w:t>
      </w:r>
      <w:proofErr w:type="spellStart"/>
      <w:r w:rsidR="00841281" w:rsidRPr="005823FD">
        <w:rPr>
          <w:i/>
        </w:rPr>
        <w:t>Jastis</w:t>
      </w:r>
      <w:proofErr w:type="spellEnd"/>
      <w:r w:rsidR="00841281" w:rsidRPr="005823FD">
        <w:rPr>
          <w:i/>
        </w:rPr>
        <w:t xml:space="preserve"> </w:t>
      </w:r>
      <w:proofErr w:type="spellStart"/>
      <w:r w:rsidR="00841281" w:rsidRPr="005823FD">
        <w:rPr>
          <w:i/>
        </w:rPr>
        <w:t>Blong</w:t>
      </w:r>
      <w:proofErr w:type="spellEnd"/>
      <w:r w:rsidR="00841281" w:rsidRPr="005823FD">
        <w:rPr>
          <w:i/>
        </w:rPr>
        <w:t xml:space="preserve"> </w:t>
      </w:r>
      <w:proofErr w:type="spellStart"/>
      <w:r w:rsidR="00841281" w:rsidRPr="005823FD">
        <w:rPr>
          <w:i/>
        </w:rPr>
        <w:t>Evriwan</w:t>
      </w:r>
      <w:proofErr w:type="spellEnd"/>
      <w:r w:rsidR="00841281">
        <w:t xml:space="preserve"> project continues to generate valuable research on land and justice, and its pilot of community governance interventions in South </w:t>
      </w:r>
      <w:proofErr w:type="spellStart"/>
      <w:r w:rsidR="00841281">
        <w:t>Malekula</w:t>
      </w:r>
      <w:proofErr w:type="spellEnd"/>
      <w:r w:rsidR="00841281">
        <w:t xml:space="preserve"> will inform the development of advisory services for land dealings</w:t>
      </w:r>
      <w:r w:rsidR="001E314E">
        <w:t xml:space="preserve">. </w:t>
      </w:r>
      <w:r w:rsidR="00841281">
        <w:t xml:space="preserve">The establishment of a child protection working group in 2013, chaired by the </w:t>
      </w:r>
      <w:r>
        <w:t xml:space="preserve">Justice </w:t>
      </w:r>
      <w:r w:rsidR="00841281">
        <w:t>Director-General, is a positive step towards improving sometimes fragmented donor investments in child protection</w:t>
      </w:r>
      <w:r w:rsidR="001E314E">
        <w:t xml:space="preserve">. </w:t>
      </w:r>
      <w:r w:rsidR="00841281">
        <w:t xml:space="preserve">Another positive move </w:t>
      </w:r>
      <w:r>
        <w:t>was bringing</w:t>
      </w:r>
      <w:r w:rsidR="00841281">
        <w:t xml:space="preserve"> funding for Save the Children’s child protection program under the umbrella of</w:t>
      </w:r>
      <w:r w:rsidR="005578F3">
        <w:t xml:space="preserve"> the Australian aid program</w:t>
      </w:r>
      <w:r w:rsidR="00841281">
        <w:t>’s broader law and justice sector program</w:t>
      </w:r>
      <w:r w:rsidR="001E314E">
        <w:t xml:space="preserve">. </w:t>
      </w:r>
      <w:r w:rsidR="000D2F40">
        <w:t>Australia has been working with the</w:t>
      </w:r>
      <w:r>
        <w:t xml:space="preserve"> Vanuatu</w:t>
      </w:r>
      <w:r w:rsidR="000D2F40">
        <w:t xml:space="preserve"> Ministry of Justice to trial a community</w:t>
      </w:r>
      <w:r>
        <w:t>-</w:t>
      </w:r>
      <w:r w:rsidR="000D2F40">
        <w:t>based child protection program integrat</w:t>
      </w:r>
      <w:r>
        <w:t>ing</w:t>
      </w:r>
      <w:r w:rsidR="000D2F40">
        <w:t xml:space="preserve"> </w:t>
      </w:r>
      <w:proofErr w:type="spellStart"/>
      <w:r w:rsidR="000D2F40" w:rsidRPr="000D2F40">
        <w:rPr>
          <w:i/>
        </w:rPr>
        <w:t>kastom</w:t>
      </w:r>
      <w:proofErr w:type="spellEnd"/>
      <w:r w:rsidR="000D2F40">
        <w:t xml:space="preserve"> and government systems.</w:t>
      </w:r>
    </w:p>
    <w:p w:rsidR="001C0303" w:rsidRDefault="00841281" w:rsidP="000C1C8B">
      <w:pPr>
        <w:pStyle w:val="BodyText"/>
      </w:pPr>
      <w:r>
        <w:t>Australia continued its long-running support for the VWC</w:t>
      </w:r>
      <w:r w:rsidR="001E314E">
        <w:t xml:space="preserve">. </w:t>
      </w:r>
      <w:r w:rsidR="001C0303">
        <w:t xml:space="preserve">The centre </w:t>
      </w:r>
      <w:r>
        <w:t>provides counselling, support and legal services to survivors of violence</w:t>
      </w:r>
      <w:r w:rsidR="001E314E">
        <w:t xml:space="preserve">. </w:t>
      </w:r>
      <w:r w:rsidR="001C0303">
        <w:t xml:space="preserve">It </w:t>
      </w:r>
      <w:r>
        <w:t>is the only organisation of its kind in Vanuatu and is responding to the urgent and severe challenge of family and sexual violence</w:t>
      </w:r>
      <w:r w:rsidR="001E314E">
        <w:t xml:space="preserve">. </w:t>
      </w:r>
    </w:p>
    <w:p w:rsidR="00BF35AA" w:rsidRDefault="00841281" w:rsidP="000C1C8B">
      <w:pPr>
        <w:pStyle w:val="BodyText"/>
      </w:pPr>
      <w:r>
        <w:t>Official and public recognition of the scale of family violence is still nascent, and resources to tackle the issue are limited (</w:t>
      </w:r>
      <w:r w:rsidR="001C0303">
        <w:t>outside of</w:t>
      </w:r>
      <w:r w:rsidR="001E1BF3">
        <w:t xml:space="preserve"> </w:t>
      </w:r>
      <w:r w:rsidR="00A31E56">
        <w:t>Australian</w:t>
      </w:r>
      <w:r>
        <w:t xml:space="preserve"> core funding for </w:t>
      </w:r>
      <w:proofErr w:type="gramStart"/>
      <w:r>
        <w:t>VWC,</w:t>
      </w:r>
      <w:proofErr w:type="gramEnd"/>
      <w:r>
        <w:t xml:space="preserve"> and New Zealand Government support to the VPF’s Family Protection Unit)</w:t>
      </w:r>
      <w:r w:rsidR="001E314E">
        <w:t xml:space="preserve">. </w:t>
      </w:r>
      <w:r>
        <w:t xml:space="preserve">In </w:t>
      </w:r>
      <w:r w:rsidR="006E791B">
        <w:t>20</w:t>
      </w:r>
      <w:r>
        <w:t>11</w:t>
      </w:r>
      <w:r w:rsidR="00006215">
        <w:t>–</w:t>
      </w:r>
      <w:r>
        <w:t xml:space="preserve">12, the </w:t>
      </w:r>
      <w:r w:rsidRPr="00D4417C">
        <w:t>VWC provided 4626 people with counselling and support services</w:t>
      </w:r>
      <w:r w:rsidR="001E314E" w:rsidRPr="006E791B">
        <w:t>.</w:t>
      </w:r>
      <w:r w:rsidR="001E314E">
        <w:t xml:space="preserve"> </w:t>
      </w:r>
      <w:r>
        <w:t xml:space="preserve">In 2012, </w:t>
      </w:r>
      <w:r w:rsidR="001C0303">
        <w:t>it</w:t>
      </w:r>
      <w:r>
        <w:t xml:space="preserve"> assisted 289 at-risk </w:t>
      </w:r>
      <w:r w:rsidRPr="00076F08">
        <w:t>women assistance to obtain Family Protection (restraining) Orders</w:t>
      </w:r>
      <w:r w:rsidR="001E314E">
        <w:t xml:space="preserve">. </w:t>
      </w:r>
      <w:r w:rsidR="001C0303">
        <w:t>Australia’s</w:t>
      </w:r>
      <w:r w:rsidR="001C0303" w:rsidRPr="00076F08">
        <w:t xml:space="preserve"> </w:t>
      </w:r>
      <w:r w:rsidR="009F46B0" w:rsidRPr="00076F08">
        <w:t>s</w:t>
      </w:r>
      <w:r w:rsidR="007E6212" w:rsidRPr="00076F08">
        <w:t>upport</w:t>
      </w:r>
      <w:r w:rsidR="001C0303">
        <w:t xml:space="preserve"> for</w:t>
      </w:r>
      <w:r w:rsidR="007E6212" w:rsidRPr="00076F08">
        <w:t xml:space="preserve"> tackling violence against women will be the cornerstone of efforts under the Pacific Women Shaping Pacific Development initiative launched by</w:t>
      </w:r>
      <w:r w:rsidR="001C0303">
        <w:t xml:space="preserve"> the</w:t>
      </w:r>
      <w:r w:rsidR="007E6212" w:rsidRPr="00076F08">
        <w:t xml:space="preserve"> Prime Minister in August 2012</w:t>
      </w:r>
      <w:r w:rsidR="001E314E">
        <w:t xml:space="preserve">. </w:t>
      </w:r>
      <w:r w:rsidR="007E6212" w:rsidRPr="00076F08">
        <w:t>Planning started in May 2013 for additional activities addressing women’s leadership and economic empowerment.</w:t>
      </w:r>
    </w:p>
    <w:p w:rsidR="00180B19" w:rsidRPr="000C1C8B" w:rsidRDefault="00180B19" w:rsidP="000C1C8B">
      <w:pPr>
        <w:pStyle w:val="Heading2"/>
      </w:pPr>
      <w:r w:rsidRPr="000C1C8B">
        <w:t xml:space="preserve">Quality at </w:t>
      </w:r>
      <w:r w:rsidR="007C0AF1" w:rsidRPr="000C1C8B">
        <w:t>I</w:t>
      </w:r>
      <w:r w:rsidRPr="000C1C8B">
        <w:t>mplementation ratings</w:t>
      </w:r>
    </w:p>
    <w:p w:rsidR="00180B19" w:rsidRDefault="001A2E89" w:rsidP="000C1C8B">
      <w:pPr>
        <w:pStyle w:val="BodyText"/>
      </w:pPr>
      <w:r>
        <w:t>Quality at Implementation scores</w:t>
      </w:r>
      <w:r w:rsidR="00373699">
        <w:t xml:space="preserve"> in 2012</w:t>
      </w:r>
      <w:r>
        <w:t xml:space="preserve"> in general remained the same</w:t>
      </w:r>
      <w:r w:rsidR="001C0303">
        <w:t xml:space="preserve"> as</w:t>
      </w:r>
      <w:r>
        <w:t xml:space="preserve"> or improved </w:t>
      </w:r>
      <w:r w:rsidR="001C0303">
        <w:t>over</w:t>
      </w:r>
      <w:r>
        <w:t xml:space="preserve"> 2011 scores</w:t>
      </w:r>
      <w:r w:rsidR="004B11E3">
        <w:t xml:space="preserve"> (Annex B)</w:t>
      </w:r>
      <w:r w:rsidR="001E314E">
        <w:t xml:space="preserve">. </w:t>
      </w:r>
      <w:r w:rsidR="00F64B4D">
        <w:t>In 2012, a</w:t>
      </w:r>
      <w:r>
        <w:t>cross the six quality criteria</w:t>
      </w:r>
      <w:r w:rsidR="001C0303">
        <w:t>, most</w:t>
      </w:r>
      <w:r>
        <w:t xml:space="preserve"> initiatives </w:t>
      </w:r>
      <w:r w:rsidR="004B11E3">
        <w:t>rated satisfactory (4 or higher</w:t>
      </w:r>
      <w:r w:rsidR="001C0303">
        <w:t>—</w:t>
      </w:r>
      <w:r w:rsidR="004B11E3">
        <w:t>Table 2)</w:t>
      </w:r>
      <w:r w:rsidR="001E314E">
        <w:t xml:space="preserve">. </w:t>
      </w:r>
    </w:p>
    <w:p w:rsidR="00F06518" w:rsidRDefault="00F06518">
      <w:pPr>
        <w:spacing w:after="200" w:line="276" w:lineRule="auto"/>
        <w:rPr>
          <w:rFonts w:ascii="Arial" w:eastAsia="Times New Roman" w:hAnsi="Arial" w:cs="Arial"/>
          <w:color w:val="7E6D5F"/>
          <w:szCs w:val="19"/>
        </w:rPr>
      </w:pPr>
      <w:r>
        <w:br w:type="page"/>
      </w:r>
    </w:p>
    <w:p w:rsidR="001A2E89" w:rsidRDefault="001A2E89" w:rsidP="00F06518">
      <w:pPr>
        <w:pStyle w:val="Caption"/>
      </w:pPr>
      <w:r w:rsidRPr="001A2E89">
        <w:t xml:space="preserve">Table </w:t>
      </w:r>
      <w:r w:rsidR="004B11E3">
        <w:t>3</w:t>
      </w:r>
      <w:r w:rsidR="007C0AF1">
        <w:t xml:space="preserve"> </w:t>
      </w:r>
      <w:r w:rsidRPr="001A2E89">
        <w:t xml:space="preserve">Distribution of ratings </w:t>
      </w:r>
      <w:r w:rsidR="004B11E3">
        <w:t>across all initiatives</w:t>
      </w:r>
    </w:p>
    <w:tbl>
      <w:tblPr>
        <w:tblStyle w:val="APPR"/>
        <w:tblW w:w="0" w:type="auto"/>
        <w:tblLook w:val="04A0" w:firstRow="1" w:lastRow="0" w:firstColumn="1" w:lastColumn="0" w:noHBand="0" w:noVBand="1"/>
      </w:tblPr>
      <w:tblGrid>
        <w:gridCol w:w="1244"/>
        <w:gridCol w:w="1222"/>
        <w:gridCol w:w="1238"/>
        <w:gridCol w:w="1217"/>
        <w:gridCol w:w="1225"/>
        <w:gridCol w:w="1241"/>
        <w:gridCol w:w="1219"/>
      </w:tblGrid>
      <w:tr w:rsidR="00B979BF" w:rsidTr="00B979BF">
        <w:trPr>
          <w:cnfStyle w:val="100000000000" w:firstRow="1" w:lastRow="0" w:firstColumn="0" w:lastColumn="0" w:oddVBand="0" w:evenVBand="0" w:oddHBand="0" w:evenHBand="0" w:firstRowFirstColumn="0" w:firstRowLastColumn="0" w:lastRowFirstColumn="0" w:lastRowLastColumn="0"/>
        </w:trPr>
        <w:tc>
          <w:tcPr>
            <w:tcW w:w="1213" w:type="dxa"/>
          </w:tcPr>
          <w:p w:rsidR="00B979BF" w:rsidRDefault="00B979BF" w:rsidP="00B979BF">
            <w:pPr>
              <w:pStyle w:val="TableHeading1"/>
            </w:pPr>
            <w:r>
              <w:t>Distribution of adjusted ratings</w:t>
            </w:r>
          </w:p>
        </w:tc>
        <w:tc>
          <w:tcPr>
            <w:tcW w:w="1213" w:type="dxa"/>
          </w:tcPr>
          <w:p w:rsidR="00B979BF" w:rsidRDefault="00B979BF" w:rsidP="00B979BF">
            <w:pPr>
              <w:pStyle w:val="TableHeading1"/>
            </w:pPr>
            <w:r>
              <w:t>Relevance</w:t>
            </w:r>
          </w:p>
        </w:tc>
        <w:tc>
          <w:tcPr>
            <w:tcW w:w="1213" w:type="dxa"/>
          </w:tcPr>
          <w:p w:rsidR="00B979BF" w:rsidRDefault="00B979BF" w:rsidP="00B979BF">
            <w:pPr>
              <w:pStyle w:val="TableHeading1"/>
            </w:pPr>
            <w:r>
              <w:t>Effectiveness</w:t>
            </w:r>
          </w:p>
        </w:tc>
        <w:tc>
          <w:tcPr>
            <w:tcW w:w="1213" w:type="dxa"/>
          </w:tcPr>
          <w:p w:rsidR="00B979BF" w:rsidRDefault="00B979BF" w:rsidP="00B979BF">
            <w:pPr>
              <w:pStyle w:val="TableHeading1"/>
            </w:pPr>
            <w:r>
              <w:t>Efficiency</w:t>
            </w:r>
          </w:p>
        </w:tc>
        <w:tc>
          <w:tcPr>
            <w:tcW w:w="1214" w:type="dxa"/>
          </w:tcPr>
          <w:p w:rsidR="00B979BF" w:rsidRDefault="00B979BF" w:rsidP="00B979BF">
            <w:pPr>
              <w:pStyle w:val="TableHeading1"/>
            </w:pPr>
            <w:r>
              <w:t>Monitoring and Evaluation</w:t>
            </w:r>
          </w:p>
        </w:tc>
        <w:tc>
          <w:tcPr>
            <w:tcW w:w="1214" w:type="dxa"/>
          </w:tcPr>
          <w:p w:rsidR="00B979BF" w:rsidRDefault="00B979BF" w:rsidP="00B979BF">
            <w:pPr>
              <w:pStyle w:val="TableHeading1"/>
            </w:pPr>
            <w:r>
              <w:t>Sustainability</w:t>
            </w:r>
          </w:p>
        </w:tc>
        <w:tc>
          <w:tcPr>
            <w:tcW w:w="1214" w:type="dxa"/>
          </w:tcPr>
          <w:p w:rsidR="00B979BF" w:rsidRDefault="00B979BF" w:rsidP="00B979BF">
            <w:pPr>
              <w:pStyle w:val="TableHeading1"/>
            </w:pPr>
            <w:r>
              <w:t>Gender</w:t>
            </w:r>
          </w:p>
        </w:tc>
      </w:tr>
      <w:tr w:rsidR="00B979BF" w:rsidTr="00513D3A">
        <w:trPr>
          <w:cnfStyle w:val="100000000000" w:firstRow="1" w:lastRow="0" w:firstColumn="0" w:lastColumn="0" w:oddVBand="0" w:evenVBand="0" w:oddHBand="0" w:evenHBand="0" w:firstRowFirstColumn="0" w:firstRowLastColumn="0" w:lastRowFirstColumn="0" w:lastRowLastColumn="0"/>
        </w:trPr>
        <w:tc>
          <w:tcPr>
            <w:tcW w:w="1213" w:type="dxa"/>
            <w:shd w:val="clear" w:color="auto" w:fill="92D050"/>
          </w:tcPr>
          <w:p w:rsidR="00B979BF" w:rsidRPr="00513D3A" w:rsidRDefault="00513D3A" w:rsidP="00513D3A">
            <w:pPr>
              <w:pStyle w:val="TableTextEntries"/>
              <w:rPr>
                <w:b w:val="0"/>
              </w:rPr>
            </w:pPr>
            <w:r w:rsidRPr="00513D3A">
              <w:rPr>
                <w:b w:val="0"/>
              </w:rPr>
              <w:t>6</w:t>
            </w:r>
          </w:p>
        </w:tc>
        <w:tc>
          <w:tcPr>
            <w:tcW w:w="1213" w:type="dxa"/>
          </w:tcPr>
          <w:p w:rsidR="00B979BF" w:rsidRPr="00513D3A" w:rsidRDefault="00513D3A" w:rsidP="00513D3A">
            <w:pPr>
              <w:pStyle w:val="TableTextEntries"/>
              <w:rPr>
                <w:b w:val="0"/>
              </w:rPr>
            </w:pPr>
            <w:r w:rsidRPr="00513D3A">
              <w:rPr>
                <w:b w:val="0"/>
              </w:rPr>
              <w:t>7%</w:t>
            </w:r>
          </w:p>
        </w:tc>
        <w:tc>
          <w:tcPr>
            <w:tcW w:w="1213" w:type="dxa"/>
          </w:tcPr>
          <w:p w:rsidR="00B979BF" w:rsidRPr="00513D3A" w:rsidRDefault="00513D3A" w:rsidP="00513D3A">
            <w:pPr>
              <w:pStyle w:val="TableTextEntries"/>
              <w:rPr>
                <w:b w:val="0"/>
              </w:rPr>
            </w:pPr>
            <w:r w:rsidRPr="00513D3A">
              <w:rPr>
                <w:b w:val="0"/>
              </w:rPr>
              <w:t>0%</w:t>
            </w:r>
          </w:p>
        </w:tc>
        <w:tc>
          <w:tcPr>
            <w:tcW w:w="1213"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14%</w:t>
            </w:r>
          </w:p>
        </w:tc>
      </w:tr>
      <w:tr w:rsidR="00B979BF" w:rsidTr="00513D3A">
        <w:trPr>
          <w:cnfStyle w:val="100000000000" w:firstRow="1" w:lastRow="0" w:firstColumn="0" w:lastColumn="0" w:oddVBand="0" w:evenVBand="0" w:oddHBand="0" w:evenHBand="0" w:firstRowFirstColumn="0" w:firstRowLastColumn="0" w:lastRowFirstColumn="0" w:lastRowLastColumn="0"/>
        </w:trPr>
        <w:tc>
          <w:tcPr>
            <w:tcW w:w="1213" w:type="dxa"/>
            <w:shd w:val="clear" w:color="auto" w:fill="92D050"/>
          </w:tcPr>
          <w:p w:rsidR="00B979BF" w:rsidRPr="00513D3A" w:rsidRDefault="00513D3A" w:rsidP="00513D3A">
            <w:pPr>
              <w:pStyle w:val="TableTextEntries"/>
              <w:rPr>
                <w:b w:val="0"/>
              </w:rPr>
            </w:pPr>
            <w:r w:rsidRPr="00513D3A">
              <w:rPr>
                <w:b w:val="0"/>
              </w:rPr>
              <w:t>5</w:t>
            </w:r>
          </w:p>
        </w:tc>
        <w:tc>
          <w:tcPr>
            <w:tcW w:w="1213" w:type="dxa"/>
          </w:tcPr>
          <w:p w:rsidR="00B979BF" w:rsidRPr="00513D3A" w:rsidRDefault="00513D3A" w:rsidP="00513D3A">
            <w:pPr>
              <w:pStyle w:val="TableTextEntries"/>
              <w:rPr>
                <w:b w:val="0"/>
              </w:rPr>
            </w:pPr>
            <w:r w:rsidRPr="00513D3A">
              <w:rPr>
                <w:b w:val="0"/>
              </w:rPr>
              <w:t>64%</w:t>
            </w:r>
          </w:p>
        </w:tc>
        <w:tc>
          <w:tcPr>
            <w:tcW w:w="1213" w:type="dxa"/>
          </w:tcPr>
          <w:p w:rsidR="00B979BF" w:rsidRPr="00513D3A" w:rsidRDefault="00513D3A" w:rsidP="00513D3A">
            <w:pPr>
              <w:pStyle w:val="TableTextEntries"/>
              <w:rPr>
                <w:b w:val="0"/>
              </w:rPr>
            </w:pPr>
            <w:r w:rsidRPr="00513D3A">
              <w:rPr>
                <w:b w:val="0"/>
              </w:rPr>
              <w:t>50%</w:t>
            </w:r>
          </w:p>
        </w:tc>
        <w:tc>
          <w:tcPr>
            <w:tcW w:w="1213" w:type="dxa"/>
          </w:tcPr>
          <w:p w:rsidR="00B979BF" w:rsidRPr="00513D3A" w:rsidRDefault="00513D3A" w:rsidP="00513D3A">
            <w:pPr>
              <w:pStyle w:val="TableTextEntries"/>
              <w:rPr>
                <w:b w:val="0"/>
              </w:rPr>
            </w:pPr>
            <w:r w:rsidRPr="00513D3A">
              <w:rPr>
                <w:b w:val="0"/>
              </w:rPr>
              <w:t>14%</w:t>
            </w:r>
          </w:p>
        </w:tc>
        <w:tc>
          <w:tcPr>
            <w:tcW w:w="1214" w:type="dxa"/>
          </w:tcPr>
          <w:p w:rsidR="00B979BF" w:rsidRPr="00513D3A" w:rsidRDefault="00513D3A" w:rsidP="00513D3A">
            <w:pPr>
              <w:pStyle w:val="TableTextEntries"/>
              <w:rPr>
                <w:b w:val="0"/>
              </w:rPr>
            </w:pPr>
            <w:r w:rsidRPr="00513D3A">
              <w:rPr>
                <w:b w:val="0"/>
              </w:rPr>
              <w:t>29%</w:t>
            </w:r>
          </w:p>
        </w:tc>
        <w:tc>
          <w:tcPr>
            <w:tcW w:w="1214"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29%</w:t>
            </w:r>
          </w:p>
        </w:tc>
      </w:tr>
      <w:tr w:rsidR="00B979BF" w:rsidTr="00513D3A">
        <w:trPr>
          <w:cnfStyle w:val="100000000000" w:firstRow="1" w:lastRow="0" w:firstColumn="0" w:lastColumn="0" w:oddVBand="0" w:evenVBand="0" w:oddHBand="0" w:evenHBand="0" w:firstRowFirstColumn="0" w:firstRowLastColumn="0" w:lastRowFirstColumn="0" w:lastRowLastColumn="0"/>
        </w:trPr>
        <w:tc>
          <w:tcPr>
            <w:tcW w:w="1213" w:type="dxa"/>
            <w:shd w:val="clear" w:color="auto" w:fill="FFFF00"/>
          </w:tcPr>
          <w:p w:rsidR="00B979BF" w:rsidRPr="00513D3A" w:rsidRDefault="00513D3A" w:rsidP="00513D3A">
            <w:pPr>
              <w:pStyle w:val="TableTextEntries"/>
              <w:rPr>
                <w:b w:val="0"/>
              </w:rPr>
            </w:pPr>
            <w:r w:rsidRPr="00513D3A">
              <w:rPr>
                <w:b w:val="0"/>
              </w:rPr>
              <w:t>4</w:t>
            </w:r>
          </w:p>
        </w:tc>
        <w:tc>
          <w:tcPr>
            <w:tcW w:w="1213" w:type="dxa"/>
          </w:tcPr>
          <w:p w:rsidR="00B979BF" w:rsidRPr="00513D3A" w:rsidRDefault="00513D3A" w:rsidP="00513D3A">
            <w:pPr>
              <w:pStyle w:val="TableTextEntries"/>
              <w:rPr>
                <w:b w:val="0"/>
              </w:rPr>
            </w:pPr>
            <w:r w:rsidRPr="00513D3A">
              <w:rPr>
                <w:b w:val="0"/>
              </w:rPr>
              <w:t>29%</w:t>
            </w:r>
          </w:p>
        </w:tc>
        <w:tc>
          <w:tcPr>
            <w:tcW w:w="1213" w:type="dxa"/>
          </w:tcPr>
          <w:p w:rsidR="00B979BF" w:rsidRPr="00513D3A" w:rsidRDefault="00513D3A" w:rsidP="00513D3A">
            <w:pPr>
              <w:pStyle w:val="TableTextEntries"/>
              <w:rPr>
                <w:b w:val="0"/>
              </w:rPr>
            </w:pPr>
            <w:r w:rsidRPr="00513D3A">
              <w:rPr>
                <w:b w:val="0"/>
              </w:rPr>
              <w:t>43%</w:t>
            </w:r>
          </w:p>
        </w:tc>
        <w:tc>
          <w:tcPr>
            <w:tcW w:w="1213" w:type="dxa"/>
          </w:tcPr>
          <w:p w:rsidR="00B979BF" w:rsidRPr="00513D3A" w:rsidRDefault="00513D3A" w:rsidP="00513D3A">
            <w:pPr>
              <w:pStyle w:val="TableTextEntries"/>
              <w:rPr>
                <w:b w:val="0"/>
              </w:rPr>
            </w:pPr>
            <w:r w:rsidRPr="00513D3A">
              <w:rPr>
                <w:b w:val="0"/>
              </w:rPr>
              <w:t>64%</w:t>
            </w:r>
          </w:p>
        </w:tc>
        <w:tc>
          <w:tcPr>
            <w:tcW w:w="1214" w:type="dxa"/>
          </w:tcPr>
          <w:p w:rsidR="00B979BF" w:rsidRPr="00513D3A" w:rsidRDefault="00513D3A" w:rsidP="00513D3A">
            <w:pPr>
              <w:pStyle w:val="TableTextEntries"/>
              <w:rPr>
                <w:b w:val="0"/>
              </w:rPr>
            </w:pPr>
            <w:r w:rsidRPr="00513D3A">
              <w:rPr>
                <w:b w:val="0"/>
              </w:rPr>
              <w:t>43%</w:t>
            </w:r>
          </w:p>
        </w:tc>
        <w:tc>
          <w:tcPr>
            <w:tcW w:w="1214" w:type="dxa"/>
          </w:tcPr>
          <w:p w:rsidR="00B979BF" w:rsidRPr="00513D3A" w:rsidRDefault="00513D3A" w:rsidP="00513D3A">
            <w:pPr>
              <w:pStyle w:val="TableTextEntries"/>
              <w:rPr>
                <w:b w:val="0"/>
              </w:rPr>
            </w:pPr>
            <w:r w:rsidRPr="00513D3A">
              <w:rPr>
                <w:b w:val="0"/>
              </w:rPr>
              <w:t>57%</w:t>
            </w:r>
          </w:p>
        </w:tc>
        <w:tc>
          <w:tcPr>
            <w:tcW w:w="1214" w:type="dxa"/>
          </w:tcPr>
          <w:p w:rsidR="00B979BF" w:rsidRPr="00513D3A" w:rsidRDefault="00513D3A" w:rsidP="00513D3A">
            <w:pPr>
              <w:pStyle w:val="TableTextEntries"/>
              <w:rPr>
                <w:b w:val="0"/>
              </w:rPr>
            </w:pPr>
            <w:r w:rsidRPr="00513D3A">
              <w:rPr>
                <w:b w:val="0"/>
              </w:rPr>
              <w:t>36%</w:t>
            </w:r>
          </w:p>
        </w:tc>
      </w:tr>
      <w:tr w:rsidR="00B979BF" w:rsidTr="00513D3A">
        <w:trPr>
          <w:cnfStyle w:val="100000000000" w:firstRow="1" w:lastRow="0" w:firstColumn="0" w:lastColumn="0" w:oddVBand="0" w:evenVBand="0" w:oddHBand="0" w:evenHBand="0" w:firstRowFirstColumn="0" w:firstRowLastColumn="0" w:lastRowFirstColumn="0" w:lastRowLastColumn="0"/>
        </w:trPr>
        <w:tc>
          <w:tcPr>
            <w:tcW w:w="1213" w:type="dxa"/>
            <w:shd w:val="clear" w:color="auto" w:fill="F79646" w:themeFill="accent6"/>
          </w:tcPr>
          <w:p w:rsidR="00B979BF" w:rsidRPr="00513D3A" w:rsidRDefault="00513D3A" w:rsidP="00513D3A">
            <w:pPr>
              <w:pStyle w:val="TableTextEntries"/>
              <w:rPr>
                <w:b w:val="0"/>
              </w:rPr>
            </w:pPr>
            <w:r w:rsidRPr="00513D3A">
              <w:rPr>
                <w:b w:val="0"/>
              </w:rPr>
              <w:t>3</w:t>
            </w:r>
          </w:p>
        </w:tc>
        <w:tc>
          <w:tcPr>
            <w:tcW w:w="1213" w:type="dxa"/>
          </w:tcPr>
          <w:p w:rsidR="00B979BF" w:rsidRPr="00513D3A" w:rsidRDefault="00513D3A" w:rsidP="00513D3A">
            <w:pPr>
              <w:pStyle w:val="TableTextEntries"/>
              <w:rPr>
                <w:b w:val="0"/>
              </w:rPr>
            </w:pPr>
            <w:r w:rsidRPr="00513D3A">
              <w:rPr>
                <w:b w:val="0"/>
              </w:rPr>
              <w:t>0%</w:t>
            </w:r>
          </w:p>
        </w:tc>
        <w:tc>
          <w:tcPr>
            <w:tcW w:w="1213" w:type="dxa"/>
          </w:tcPr>
          <w:p w:rsidR="00B979BF" w:rsidRPr="00513D3A" w:rsidRDefault="00513D3A" w:rsidP="00513D3A">
            <w:pPr>
              <w:pStyle w:val="TableTextEntries"/>
              <w:rPr>
                <w:b w:val="0"/>
              </w:rPr>
            </w:pPr>
            <w:r w:rsidRPr="00513D3A">
              <w:rPr>
                <w:b w:val="0"/>
              </w:rPr>
              <w:t>7%</w:t>
            </w:r>
          </w:p>
        </w:tc>
        <w:tc>
          <w:tcPr>
            <w:tcW w:w="1213" w:type="dxa"/>
          </w:tcPr>
          <w:p w:rsidR="00B979BF" w:rsidRPr="00513D3A" w:rsidRDefault="00513D3A" w:rsidP="00513D3A">
            <w:pPr>
              <w:pStyle w:val="TableTextEntries"/>
              <w:rPr>
                <w:b w:val="0"/>
              </w:rPr>
            </w:pPr>
            <w:r w:rsidRPr="00513D3A">
              <w:rPr>
                <w:b w:val="0"/>
              </w:rPr>
              <w:t>14%</w:t>
            </w:r>
          </w:p>
        </w:tc>
        <w:tc>
          <w:tcPr>
            <w:tcW w:w="1214" w:type="dxa"/>
          </w:tcPr>
          <w:p w:rsidR="00B979BF" w:rsidRPr="00513D3A" w:rsidRDefault="00513D3A" w:rsidP="00513D3A">
            <w:pPr>
              <w:pStyle w:val="TableTextEntries"/>
              <w:rPr>
                <w:b w:val="0"/>
              </w:rPr>
            </w:pPr>
            <w:r w:rsidRPr="00513D3A">
              <w:rPr>
                <w:b w:val="0"/>
              </w:rPr>
              <w:t>29%</w:t>
            </w:r>
          </w:p>
        </w:tc>
        <w:tc>
          <w:tcPr>
            <w:tcW w:w="1214" w:type="dxa"/>
          </w:tcPr>
          <w:p w:rsidR="00B979BF" w:rsidRPr="00513D3A" w:rsidRDefault="00513D3A" w:rsidP="00513D3A">
            <w:pPr>
              <w:pStyle w:val="TableTextEntries"/>
              <w:rPr>
                <w:b w:val="0"/>
              </w:rPr>
            </w:pPr>
            <w:r w:rsidRPr="00513D3A">
              <w:rPr>
                <w:b w:val="0"/>
              </w:rPr>
              <w:t>36%</w:t>
            </w:r>
          </w:p>
        </w:tc>
        <w:tc>
          <w:tcPr>
            <w:tcW w:w="1214" w:type="dxa"/>
          </w:tcPr>
          <w:p w:rsidR="00B979BF" w:rsidRPr="00513D3A" w:rsidRDefault="00513D3A" w:rsidP="00513D3A">
            <w:pPr>
              <w:pStyle w:val="TableTextEntries"/>
              <w:rPr>
                <w:b w:val="0"/>
              </w:rPr>
            </w:pPr>
            <w:r w:rsidRPr="00513D3A">
              <w:rPr>
                <w:b w:val="0"/>
              </w:rPr>
              <w:t>14%</w:t>
            </w:r>
          </w:p>
        </w:tc>
      </w:tr>
      <w:tr w:rsidR="00B979BF" w:rsidTr="00513D3A">
        <w:trPr>
          <w:cnfStyle w:val="100000000000" w:firstRow="1" w:lastRow="0" w:firstColumn="0" w:lastColumn="0" w:oddVBand="0" w:evenVBand="0" w:oddHBand="0" w:evenHBand="0" w:firstRowFirstColumn="0" w:firstRowLastColumn="0" w:lastRowFirstColumn="0" w:lastRowLastColumn="0"/>
        </w:trPr>
        <w:tc>
          <w:tcPr>
            <w:tcW w:w="1213" w:type="dxa"/>
            <w:shd w:val="clear" w:color="auto" w:fill="FF0000"/>
          </w:tcPr>
          <w:p w:rsidR="00B979BF" w:rsidRPr="00513D3A" w:rsidRDefault="00513D3A" w:rsidP="00513D3A">
            <w:pPr>
              <w:pStyle w:val="TableTextEntries"/>
              <w:rPr>
                <w:b w:val="0"/>
              </w:rPr>
            </w:pPr>
            <w:r w:rsidRPr="00513D3A">
              <w:rPr>
                <w:b w:val="0"/>
              </w:rPr>
              <w:t>2</w:t>
            </w:r>
          </w:p>
        </w:tc>
        <w:tc>
          <w:tcPr>
            <w:tcW w:w="1213" w:type="dxa"/>
          </w:tcPr>
          <w:p w:rsidR="00B979BF" w:rsidRPr="00513D3A" w:rsidRDefault="00513D3A" w:rsidP="00513D3A">
            <w:pPr>
              <w:pStyle w:val="TableTextEntries"/>
              <w:rPr>
                <w:b w:val="0"/>
              </w:rPr>
            </w:pPr>
            <w:r w:rsidRPr="00513D3A">
              <w:rPr>
                <w:b w:val="0"/>
              </w:rPr>
              <w:t>0%</w:t>
            </w:r>
          </w:p>
        </w:tc>
        <w:tc>
          <w:tcPr>
            <w:tcW w:w="1213" w:type="dxa"/>
          </w:tcPr>
          <w:p w:rsidR="00B979BF" w:rsidRPr="00513D3A" w:rsidRDefault="00513D3A" w:rsidP="00513D3A">
            <w:pPr>
              <w:pStyle w:val="TableTextEntries"/>
              <w:rPr>
                <w:b w:val="0"/>
              </w:rPr>
            </w:pPr>
            <w:r w:rsidRPr="00513D3A">
              <w:rPr>
                <w:b w:val="0"/>
              </w:rPr>
              <w:t>0%</w:t>
            </w:r>
          </w:p>
        </w:tc>
        <w:tc>
          <w:tcPr>
            <w:tcW w:w="1213" w:type="dxa"/>
          </w:tcPr>
          <w:p w:rsidR="00B979BF" w:rsidRPr="00513D3A" w:rsidRDefault="00513D3A" w:rsidP="00513D3A">
            <w:pPr>
              <w:pStyle w:val="TableTextEntries"/>
              <w:rPr>
                <w:b w:val="0"/>
              </w:rPr>
            </w:pPr>
            <w:r w:rsidRPr="00513D3A">
              <w:rPr>
                <w:b w:val="0"/>
              </w:rPr>
              <w:t>7%</w:t>
            </w:r>
          </w:p>
        </w:tc>
        <w:tc>
          <w:tcPr>
            <w:tcW w:w="1214"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7%</w:t>
            </w:r>
          </w:p>
        </w:tc>
        <w:tc>
          <w:tcPr>
            <w:tcW w:w="1214" w:type="dxa"/>
          </w:tcPr>
          <w:p w:rsidR="00B979BF" w:rsidRPr="00513D3A" w:rsidRDefault="00513D3A" w:rsidP="00513D3A">
            <w:pPr>
              <w:pStyle w:val="TableTextEntries"/>
              <w:rPr>
                <w:b w:val="0"/>
              </w:rPr>
            </w:pPr>
            <w:r w:rsidRPr="00513D3A">
              <w:rPr>
                <w:b w:val="0"/>
              </w:rPr>
              <w:t>7%</w:t>
            </w:r>
          </w:p>
        </w:tc>
      </w:tr>
      <w:tr w:rsidR="00B979BF" w:rsidTr="00513D3A">
        <w:trPr>
          <w:cnfStyle w:val="100000000000" w:firstRow="1" w:lastRow="0" w:firstColumn="0" w:lastColumn="0" w:oddVBand="0" w:evenVBand="0" w:oddHBand="0" w:evenHBand="0" w:firstRowFirstColumn="0" w:firstRowLastColumn="0" w:lastRowFirstColumn="0" w:lastRowLastColumn="0"/>
        </w:trPr>
        <w:tc>
          <w:tcPr>
            <w:tcW w:w="1213" w:type="dxa"/>
            <w:shd w:val="clear" w:color="auto" w:fill="FF0000"/>
          </w:tcPr>
          <w:p w:rsidR="00B979BF" w:rsidRPr="00513D3A" w:rsidRDefault="00513D3A" w:rsidP="00513D3A">
            <w:pPr>
              <w:pStyle w:val="TableTextEntries"/>
              <w:rPr>
                <w:b w:val="0"/>
              </w:rPr>
            </w:pPr>
            <w:r w:rsidRPr="00513D3A">
              <w:rPr>
                <w:b w:val="0"/>
              </w:rPr>
              <w:t>1</w:t>
            </w:r>
          </w:p>
        </w:tc>
        <w:tc>
          <w:tcPr>
            <w:tcW w:w="1213" w:type="dxa"/>
          </w:tcPr>
          <w:p w:rsidR="00B979BF" w:rsidRPr="00513D3A" w:rsidRDefault="00513D3A" w:rsidP="00513D3A">
            <w:pPr>
              <w:pStyle w:val="TableTextEntries"/>
              <w:rPr>
                <w:b w:val="0"/>
              </w:rPr>
            </w:pPr>
            <w:r w:rsidRPr="00513D3A">
              <w:rPr>
                <w:b w:val="0"/>
              </w:rPr>
              <w:t>0%</w:t>
            </w:r>
          </w:p>
        </w:tc>
        <w:tc>
          <w:tcPr>
            <w:tcW w:w="1213" w:type="dxa"/>
          </w:tcPr>
          <w:p w:rsidR="00B979BF" w:rsidRPr="00513D3A" w:rsidRDefault="00513D3A" w:rsidP="00513D3A">
            <w:pPr>
              <w:pStyle w:val="TableTextEntries"/>
              <w:rPr>
                <w:b w:val="0"/>
              </w:rPr>
            </w:pPr>
            <w:r w:rsidRPr="00513D3A">
              <w:rPr>
                <w:b w:val="0"/>
              </w:rPr>
              <w:t>0%</w:t>
            </w:r>
          </w:p>
        </w:tc>
        <w:tc>
          <w:tcPr>
            <w:tcW w:w="1213"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0%</w:t>
            </w:r>
          </w:p>
        </w:tc>
        <w:tc>
          <w:tcPr>
            <w:tcW w:w="1214" w:type="dxa"/>
          </w:tcPr>
          <w:p w:rsidR="00B979BF" w:rsidRPr="00513D3A" w:rsidRDefault="00513D3A" w:rsidP="00513D3A">
            <w:pPr>
              <w:pStyle w:val="TableTextEntries"/>
              <w:rPr>
                <w:b w:val="0"/>
              </w:rPr>
            </w:pPr>
            <w:r w:rsidRPr="00513D3A">
              <w:rPr>
                <w:b w:val="0"/>
              </w:rPr>
              <w:t>0%</w:t>
            </w:r>
          </w:p>
        </w:tc>
      </w:tr>
    </w:tbl>
    <w:p w:rsidR="00025E4F" w:rsidRPr="000C1C8B" w:rsidRDefault="00025E4F" w:rsidP="000C1C8B">
      <w:pPr>
        <w:pStyle w:val="Heading2"/>
      </w:pPr>
      <w:r w:rsidRPr="000C1C8B">
        <w:t>Visibility</w:t>
      </w:r>
      <w:r w:rsidR="007C0AF1" w:rsidRPr="000C1C8B">
        <w:t xml:space="preserve"> of the Australian aid program</w:t>
      </w:r>
    </w:p>
    <w:p w:rsidR="00025E4F" w:rsidRPr="00076F08" w:rsidRDefault="00F67F31" w:rsidP="000C1C8B">
      <w:pPr>
        <w:pStyle w:val="BodyText"/>
      </w:pPr>
      <w:r>
        <w:t xml:space="preserve">In </w:t>
      </w:r>
      <w:r w:rsidR="00D4417C">
        <w:t xml:space="preserve">the </w:t>
      </w:r>
      <w:r>
        <w:t>2011</w:t>
      </w:r>
      <w:r w:rsidR="00D4417C">
        <w:t xml:space="preserve"> Annual Program Performance Report</w:t>
      </w:r>
      <w:r>
        <w:t xml:space="preserve">, improving the visibility of the </w:t>
      </w:r>
      <w:r w:rsidR="001805DD">
        <w:t>Australian</w:t>
      </w:r>
      <w:r>
        <w:t xml:space="preserve"> aid program was recognised as an area requiring further work and consideration</w:t>
      </w:r>
      <w:r w:rsidR="001E314E">
        <w:t xml:space="preserve">. </w:t>
      </w:r>
      <w:r w:rsidR="00025E4F" w:rsidRPr="00076F08">
        <w:t>Visibility efforts received a boost in 2012</w:t>
      </w:r>
      <w:r w:rsidR="006F488D" w:rsidRPr="00076F08">
        <w:t xml:space="preserve"> following the recruitment of a full</w:t>
      </w:r>
      <w:r w:rsidR="001C0303">
        <w:t>-</w:t>
      </w:r>
      <w:r w:rsidR="006F488D" w:rsidRPr="00076F08">
        <w:t xml:space="preserve">time </w:t>
      </w:r>
      <w:r w:rsidR="00D4417C">
        <w:t xml:space="preserve">Port Vila based </w:t>
      </w:r>
      <w:r w:rsidR="006F488D" w:rsidRPr="00076F08">
        <w:t>communications manager and increased outreach through local and international media</w:t>
      </w:r>
      <w:r w:rsidR="001E314E">
        <w:t xml:space="preserve">. </w:t>
      </w:r>
      <w:r w:rsidR="006F488D" w:rsidRPr="00076F08">
        <w:t xml:space="preserve">The Australian aid program </w:t>
      </w:r>
      <w:r w:rsidR="001C0303">
        <w:t>was</w:t>
      </w:r>
      <w:r w:rsidR="001C0303" w:rsidRPr="00076F08">
        <w:t xml:space="preserve"> </w:t>
      </w:r>
      <w:r w:rsidR="006F488D" w:rsidRPr="00076F08">
        <w:t xml:space="preserve">mentioned, on average, in every </w:t>
      </w:r>
      <w:r w:rsidR="00206282" w:rsidRPr="00076F08">
        <w:t>edition</w:t>
      </w:r>
      <w:r w:rsidR="006F488D" w:rsidRPr="00076F08">
        <w:t xml:space="preserve"> of </w:t>
      </w:r>
      <w:r w:rsidR="00FD4ADF">
        <w:t>Vanuatu’s</w:t>
      </w:r>
      <w:r w:rsidR="00FD4ADF" w:rsidRPr="00076F08">
        <w:t xml:space="preserve"> </w:t>
      </w:r>
      <w:r w:rsidR="006F488D" w:rsidRPr="00076F08">
        <w:t>daily newspaper and two weekly newspapers</w:t>
      </w:r>
      <w:r w:rsidR="00D4417C">
        <w:t xml:space="preserve"> during the reporting period</w:t>
      </w:r>
      <w:r w:rsidR="001E314E">
        <w:t xml:space="preserve">. </w:t>
      </w:r>
      <w:r w:rsidR="006F488D" w:rsidRPr="00076F08">
        <w:t>From August to June 2012, the</w:t>
      </w:r>
      <w:r w:rsidR="001C0303">
        <w:t xml:space="preserve"> Vanuatu</w:t>
      </w:r>
      <w:r w:rsidR="006F488D" w:rsidRPr="00076F08">
        <w:t xml:space="preserve"> aid program issued </w:t>
      </w:r>
      <w:r w:rsidR="006E791B">
        <w:t>15</w:t>
      </w:r>
      <w:r w:rsidR="006E791B" w:rsidRPr="00076F08">
        <w:t xml:space="preserve"> </w:t>
      </w:r>
      <w:r w:rsidR="006F488D" w:rsidRPr="00076F08">
        <w:t xml:space="preserve">media releases with almost 100 per cent pick up rates across all </w:t>
      </w:r>
      <w:r w:rsidR="00206282" w:rsidRPr="00076F08">
        <w:t>newspaper, radio and television</w:t>
      </w:r>
      <w:r w:rsidR="001E314E">
        <w:t xml:space="preserve">. </w:t>
      </w:r>
      <w:r w:rsidR="001C0303">
        <w:t xml:space="preserve">The aid program was also a topic on three radio talkback shows. </w:t>
      </w:r>
      <w:r w:rsidR="00DE1A5F">
        <w:t xml:space="preserve">The Australian aid </w:t>
      </w:r>
      <w:r w:rsidR="00D4417C">
        <w:t>logo</w:t>
      </w:r>
      <w:r w:rsidR="00BE1814" w:rsidRPr="00076F08">
        <w:t xml:space="preserve"> is regularly seen throughout Vanuatu on </w:t>
      </w:r>
      <w:r w:rsidR="001C0303">
        <w:t>television</w:t>
      </w:r>
      <w:r w:rsidR="00BE1814" w:rsidRPr="00076F08">
        <w:t>, posters, vehicles and signs</w:t>
      </w:r>
      <w:r w:rsidR="001E314E">
        <w:t xml:space="preserve">. </w:t>
      </w:r>
      <w:r w:rsidR="006F488D" w:rsidRPr="00076F08">
        <w:t xml:space="preserve">A survey completed in </w:t>
      </w:r>
      <w:r w:rsidR="00206282" w:rsidRPr="00076F08">
        <w:t>2012</w:t>
      </w:r>
      <w:r w:rsidR="00373699">
        <w:t>–</w:t>
      </w:r>
      <w:r w:rsidR="006F488D" w:rsidRPr="00076F08">
        <w:t xml:space="preserve">2013 </w:t>
      </w:r>
      <w:r w:rsidR="00206282" w:rsidRPr="00076F08">
        <w:t xml:space="preserve">found that </w:t>
      </w:r>
      <w:r w:rsidR="006F488D" w:rsidRPr="00076F08">
        <w:t>90</w:t>
      </w:r>
      <w:r w:rsidR="00206282" w:rsidRPr="00076F08">
        <w:t xml:space="preserve"> per cent </w:t>
      </w:r>
      <w:r w:rsidR="006F488D" w:rsidRPr="00076F08">
        <w:t xml:space="preserve">of </w:t>
      </w:r>
      <w:proofErr w:type="spellStart"/>
      <w:r w:rsidR="00206282" w:rsidRPr="00076F08">
        <w:t>ni</w:t>
      </w:r>
      <w:proofErr w:type="spellEnd"/>
      <w:r w:rsidR="00206282" w:rsidRPr="00076F08">
        <w:noBreakHyphen/>
      </w:r>
      <w:r w:rsidR="006F488D" w:rsidRPr="00076F08">
        <w:t>Vanuatu have a p</w:t>
      </w:r>
      <w:r w:rsidR="00206282" w:rsidRPr="00076F08">
        <w:t>ositive image of Australia.</w:t>
      </w:r>
    </w:p>
    <w:p w:rsidR="00180B19" w:rsidRPr="000C1C8B" w:rsidRDefault="00180B19" w:rsidP="000C1C8B">
      <w:pPr>
        <w:pStyle w:val="Heading1"/>
      </w:pPr>
      <w:r w:rsidRPr="000C1C8B">
        <w:t xml:space="preserve">Management </w:t>
      </w:r>
      <w:r w:rsidR="00373699" w:rsidRPr="000C1C8B">
        <w:t>c</w:t>
      </w:r>
      <w:r w:rsidRPr="000C1C8B">
        <w:t>onsequences</w:t>
      </w:r>
    </w:p>
    <w:p w:rsidR="00A453F3" w:rsidRPr="005D57C6" w:rsidRDefault="006E791B" w:rsidP="000C1C8B">
      <w:pPr>
        <w:pStyle w:val="BodyText"/>
      </w:pPr>
      <w:r>
        <w:t>A</w:t>
      </w:r>
      <w:r w:rsidR="005D57C6" w:rsidRPr="005D57C6">
        <w:t xml:space="preserve"> number of management consequences for </w:t>
      </w:r>
      <w:r w:rsidR="00DE1A5F">
        <w:t>DFAT</w:t>
      </w:r>
      <w:r w:rsidR="005D57C6" w:rsidRPr="005D57C6">
        <w:t xml:space="preserve"> arise from this </w:t>
      </w:r>
      <w:r w:rsidR="0074521B">
        <w:rPr>
          <w:szCs w:val="22"/>
        </w:rPr>
        <w:t>Aid</w:t>
      </w:r>
      <w:r w:rsidR="001C0303" w:rsidRPr="00D4417C">
        <w:rPr>
          <w:szCs w:val="22"/>
        </w:rPr>
        <w:t xml:space="preserve"> Program Performance Report</w:t>
      </w:r>
      <w:r w:rsidR="005D57C6" w:rsidRPr="005D57C6">
        <w:t>, together with an assessment of program risks (Table 4)</w:t>
      </w:r>
      <w:r w:rsidR="001E314E">
        <w:t xml:space="preserve">. </w:t>
      </w:r>
      <w:r w:rsidR="005D57C6" w:rsidRPr="005D57C6">
        <w:t>Progress in addressing the 2012 management consequences is reported</w:t>
      </w:r>
      <w:r w:rsidR="001C0303">
        <w:t xml:space="preserve"> on</w:t>
      </w:r>
      <w:r w:rsidR="005D57C6" w:rsidRPr="005D57C6">
        <w:t xml:space="preserve"> in Annex</w:t>
      </w:r>
      <w:r w:rsidR="00966130">
        <w:t> </w:t>
      </w:r>
      <w:r w:rsidR="005D57C6" w:rsidRPr="005D57C6">
        <w:t>A.</w:t>
      </w:r>
    </w:p>
    <w:p w:rsidR="00A453F3" w:rsidRPr="00896F33" w:rsidRDefault="00A453F3" w:rsidP="00F06518">
      <w:pPr>
        <w:pStyle w:val="Caption"/>
      </w:pPr>
      <w:r w:rsidRPr="00896F33">
        <w:t>Table 4 Risks associated with the program and management actions</w:t>
      </w:r>
    </w:p>
    <w:tbl>
      <w:tblPr>
        <w:tblStyle w:val="APPR"/>
        <w:tblW w:w="5000" w:type="pct"/>
        <w:tblLook w:val="01E0" w:firstRow="1" w:lastRow="1" w:firstColumn="1" w:lastColumn="1" w:noHBand="0" w:noVBand="0"/>
      </w:tblPr>
      <w:tblGrid>
        <w:gridCol w:w="4440"/>
        <w:gridCol w:w="4166"/>
      </w:tblGrid>
      <w:tr w:rsidR="00A453F3" w:rsidRPr="00D730A4" w:rsidTr="00B979BF">
        <w:trPr>
          <w:cnfStyle w:val="100000000000" w:firstRow="1" w:lastRow="0" w:firstColumn="0" w:lastColumn="0" w:oddVBand="0" w:evenVBand="0" w:oddHBand="0" w:evenHBand="0" w:firstRowFirstColumn="0" w:firstRowLastColumn="0" w:lastRowFirstColumn="0" w:lastRowLastColumn="0"/>
        </w:trPr>
        <w:tc>
          <w:tcPr>
            <w:tcW w:w="4491" w:type="dxa"/>
            <w:hideMark/>
          </w:tcPr>
          <w:p w:rsidR="00A453F3" w:rsidRPr="00D730A4" w:rsidRDefault="00A453F3" w:rsidP="000C1C8B">
            <w:pPr>
              <w:pStyle w:val="TableHeading1"/>
            </w:pPr>
            <w:r w:rsidRPr="00D730A4">
              <w:t>Most significant risks</w:t>
            </w:r>
          </w:p>
        </w:tc>
        <w:tc>
          <w:tcPr>
            <w:tcW w:w="4213" w:type="dxa"/>
          </w:tcPr>
          <w:p w:rsidR="00A453F3" w:rsidRPr="00D730A4" w:rsidRDefault="00A453F3" w:rsidP="000C1C8B">
            <w:pPr>
              <w:pStyle w:val="TableHeading1"/>
            </w:pPr>
            <w:r w:rsidRPr="00D730A4">
              <w:t>Management Response</w:t>
            </w:r>
            <w:r w:rsidR="00373699">
              <w:t>—</w:t>
            </w:r>
            <w:r w:rsidRPr="00D730A4">
              <w:t xml:space="preserve">What? Who? How? When? </w:t>
            </w:r>
          </w:p>
        </w:tc>
      </w:tr>
      <w:tr w:rsidR="005D57C6" w:rsidRPr="00D730A4" w:rsidTr="00B979BF">
        <w:trPr>
          <w:cnfStyle w:val="100000000000" w:firstRow="1" w:lastRow="0" w:firstColumn="0" w:lastColumn="0" w:oddVBand="0" w:evenVBand="0" w:oddHBand="0" w:evenHBand="0" w:firstRowFirstColumn="0" w:firstRowLastColumn="0" w:lastRowFirstColumn="0" w:lastRowLastColumn="0"/>
        </w:trPr>
        <w:tc>
          <w:tcPr>
            <w:tcW w:w="4491" w:type="dxa"/>
            <w:hideMark/>
          </w:tcPr>
          <w:p w:rsidR="005D57C6" w:rsidRPr="000C1C8B" w:rsidRDefault="005D57C6" w:rsidP="000C1C8B">
            <w:pPr>
              <w:pStyle w:val="TableTextEntries"/>
              <w:rPr>
                <w:b w:val="0"/>
              </w:rPr>
            </w:pPr>
            <w:r w:rsidRPr="000C1C8B">
              <w:rPr>
                <w:b w:val="0"/>
              </w:rPr>
              <w:t>Political and/or bureaucratic instability delays program implementation or changes policy priorities</w:t>
            </w:r>
          </w:p>
        </w:tc>
        <w:tc>
          <w:tcPr>
            <w:tcW w:w="4213" w:type="dxa"/>
          </w:tcPr>
          <w:p w:rsidR="005D57C6" w:rsidRPr="000C1C8B" w:rsidRDefault="005D57C6" w:rsidP="000C1C8B">
            <w:pPr>
              <w:pStyle w:val="TableTextEntries"/>
              <w:rPr>
                <w:b w:val="0"/>
              </w:rPr>
            </w:pPr>
            <w:r w:rsidRPr="000C1C8B">
              <w:rPr>
                <w:b w:val="0"/>
              </w:rPr>
              <w:t xml:space="preserve">Close monitoring </w:t>
            </w:r>
            <w:r w:rsidR="00D4417C" w:rsidRPr="000C1C8B">
              <w:rPr>
                <w:b w:val="0"/>
              </w:rPr>
              <w:t>in</w:t>
            </w:r>
            <w:r w:rsidRPr="000C1C8B">
              <w:rPr>
                <w:b w:val="0"/>
              </w:rPr>
              <w:t xml:space="preserve"> Port Vila; regular high-level meetings to assess ongoing relevance and performance of aid program; update the bilateral Partnership for Development.</w:t>
            </w:r>
          </w:p>
        </w:tc>
      </w:tr>
      <w:tr w:rsidR="005D57C6" w:rsidRPr="00D730A4" w:rsidTr="00B979BF">
        <w:trPr>
          <w:cnfStyle w:val="100000000000" w:firstRow="1" w:lastRow="0" w:firstColumn="0" w:lastColumn="0" w:oddVBand="0" w:evenVBand="0" w:oddHBand="0" w:evenHBand="0" w:firstRowFirstColumn="0" w:firstRowLastColumn="0" w:lastRowFirstColumn="0" w:lastRowLastColumn="0"/>
        </w:trPr>
        <w:tc>
          <w:tcPr>
            <w:tcW w:w="4491" w:type="dxa"/>
            <w:hideMark/>
          </w:tcPr>
          <w:p w:rsidR="005D57C6" w:rsidRPr="000C1C8B" w:rsidRDefault="005D57C6" w:rsidP="000C1C8B">
            <w:pPr>
              <w:pStyle w:val="TableTextEntries"/>
              <w:rPr>
                <w:b w:val="0"/>
              </w:rPr>
            </w:pPr>
            <w:r w:rsidRPr="000C1C8B">
              <w:rPr>
                <w:b w:val="0"/>
              </w:rPr>
              <w:t>Benefits from Australian aid do not go far enough to help lift the most vulnerable out of poverty and hardship</w:t>
            </w:r>
          </w:p>
        </w:tc>
        <w:tc>
          <w:tcPr>
            <w:tcW w:w="4213" w:type="dxa"/>
          </w:tcPr>
          <w:p w:rsidR="005D57C6" w:rsidRPr="000C1C8B" w:rsidRDefault="005D57C6" w:rsidP="000C1C8B">
            <w:pPr>
              <w:pStyle w:val="TableTextEntries"/>
              <w:rPr>
                <w:b w:val="0"/>
              </w:rPr>
            </w:pPr>
            <w:r w:rsidRPr="000C1C8B">
              <w:rPr>
                <w:b w:val="0"/>
              </w:rPr>
              <w:t>Commission ongoing poverty analysis to understand the dimensions, geography and drivers of poverty</w:t>
            </w:r>
            <w:r w:rsidR="000B634A" w:rsidRPr="000C1C8B">
              <w:rPr>
                <w:b w:val="0"/>
              </w:rPr>
              <w:t xml:space="preserve">, </w:t>
            </w:r>
            <w:r w:rsidRPr="000C1C8B">
              <w:rPr>
                <w:b w:val="0"/>
              </w:rPr>
              <w:t>as well as the drivers of growth</w:t>
            </w:r>
            <w:r w:rsidR="001E314E" w:rsidRPr="000C1C8B">
              <w:rPr>
                <w:b w:val="0"/>
              </w:rPr>
              <w:t xml:space="preserve">. </w:t>
            </w:r>
            <w:r w:rsidRPr="000C1C8B">
              <w:rPr>
                <w:b w:val="0"/>
              </w:rPr>
              <w:t>Better target key programs towards the most vulnerable</w:t>
            </w:r>
            <w:r w:rsidR="001E314E" w:rsidRPr="000C1C8B">
              <w:rPr>
                <w:b w:val="0"/>
              </w:rPr>
              <w:t xml:space="preserve">. </w:t>
            </w:r>
            <w:r w:rsidRPr="000C1C8B">
              <w:rPr>
                <w:b w:val="0"/>
              </w:rPr>
              <w:t>Continue to strengthen and resource performance management.</w:t>
            </w:r>
          </w:p>
        </w:tc>
      </w:tr>
      <w:tr w:rsidR="005D57C6" w:rsidRPr="00D730A4" w:rsidTr="00B979BF">
        <w:trPr>
          <w:cnfStyle w:val="100000000000" w:firstRow="1" w:lastRow="0" w:firstColumn="0" w:lastColumn="0" w:oddVBand="0" w:evenVBand="0" w:oddHBand="0" w:evenHBand="0" w:firstRowFirstColumn="0" w:firstRowLastColumn="0" w:lastRowFirstColumn="0" w:lastRowLastColumn="0"/>
        </w:trPr>
        <w:tc>
          <w:tcPr>
            <w:tcW w:w="4491" w:type="dxa"/>
          </w:tcPr>
          <w:p w:rsidR="005D57C6" w:rsidRPr="000C1C8B" w:rsidRDefault="005D57C6" w:rsidP="000C1C8B">
            <w:pPr>
              <w:pStyle w:val="TableTextEntries"/>
              <w:rPr>
                <w:b w:val="0"/>
              </w:rPr>
            </w:pPr>
            <w:r w:rsidRPr="000C1C8B">
              <w:rPr>
                <w:b w:val="0"/>
              </w:rPr>
              <w:t>Quality of Vanuatu public expenditure diminishes returns on Australian funds (if they substitute for Vanuatu Government funds for key health and education services, and road maintenance</w:t>
            </w:r>
            <w:r w:rsidR="001C0303" w:rsidRPr="000C1C8B">
              <w:rPr>
                <w:b w:val="0"/>
              </w:rPr>
              <w:t xml:space="preserve">, </w:t>
            </w:r>
            <w:r w:rsidRPr="000C1C8B">
              <w:rPr>
                <w:b w:val="0"/>
              </w:rPr>
              <w:t>or are inefficiently disbursed)</w:t>
            </w:r>
          </w:p>
        </w:tc>
        <w:tc>
          <w:tcPr>
            <w:tcW w:w="4213" w:type="dxa"/>
          </w:tcPr>
          <w:p w:rsidR="005D57C6" w:rsidRPr="000C1C8B" w:rsidRDefault="005D57C6" w:rsidP="000C1C8B">
            <w:pPr>
              <w:pStyle w:val="TableTextEntries"/>
              <w:rPr>
                <w:b w:val="0"/>
              </w:rPr>
            </w:pPr>
            <w:r w:rsidRPr="000C1C8B">
              <w:rPr>
                <w:b w:val="0"/>
              </w:rPr>
              <w:t>Updated Partnership for Development will provide clearly agreed targets and incentives for funding of shared recurrent costs</w:t>
            </w:r>
            <w:r w:rsidR="001E314E" w:rsidRPr="000C1C8B">
              <w:rPr>
                <w:b w:val="0"/>
              </w:rPr>
              <w:t xml:space="preserve">. </w:t>
            </w:r>
            <w:r w:rsidRPr="000C1C8B">
              <w:rPr>
                <w:b w:val="0"/>
              </w:rPr>
              <w:t>Ongoing assessment of risks, together with support to strengthen public financial management in key line ministries.</w:t>
            </w:r>
          </w:p>
        </w:tc>
      </w:tr>
      <w:tr w:rsidR="005D57C6" w:rsidRPr="00D730A4" w:rsidTr="00B979BF">
        <w:trPr>
          <w:cnfStyle w:val="100000000000" w:firstRow="1" w:lastRow="0" w:firstColumn="0" w:lastColumn="0" w:oddVBand="0" w:evenVBand="0" w:oddHBand="0" w:evenHBand="0" w:firstRowFirstColumn="0" w:firstRowLastColumn="0" w:lastRowFirstColumn="0" w:lastRowLastColumn="0"/>
        </w:trPr>
        <w:tc>
          <w:tcPr>
            <w:tcW w:w="4491" w:type="dxa"/>
          </w:tcPr>
          <w:p w:rsidR="005D57C6" w:rsidRPr="000C1C8B" w:rsidRDefault="005D57C6" w:rsidP="000C1C8B">
            <w:pPr>
              <w:pStyle w:val="TableTextEntries"/>
              <w:rPr>
                <w:b w:val="0"/>
              </w:rPr>
            </w:pPr>
            <w:r w:rsidRPr="000C1C8B">
              <w:rPr>
                <w:b w:val="0"/>
              </w:rPr>
              <w:t>Effectiveness of Australian aid is compromised by its fragmentation and administrative burden on all partners</w:t>
            </w:r>
          </w:p>
        </w:tc>
        <w:tc>
          <w:tcPr>
            <w:tcW w:w="4213" w:type="dxa"/>
          </w:tcPr>
          <w:p w:rsidR="005D57C6" w:rsidRPr="000C1C8B" w:rsidRDefault="005D57C6" w:rsidP="000C1C8B">
            <w:pPr>
              <w:pStyle w:val="TableTextEntries"/>
              <w:rPr>
                <w:b w:val="0"/>
              </w:rPr>
            </w:pPr>
            <w:r w:rsidRPr="000C1C8B">
              <w:rPr>
                <w:b w:val="0"/>
              </w:rPr>
              <w:t>Continue to consolidate portfolio</w:t>
            </w:r>
            <w:r w:rsidR="001E314E" w:rsidRPr="000C1C8B">
              <w:rPr>
                <w:b w:val="0"/>
              </w:rPr>
              <w:t xml:space="preserve">. </w:t>
            </w:r>
          </w:p>
        </w:tc>
      </w:tr>
    </w:tbl>
    <w:p w:rsidR="005D57C6" w:rsidRPr="00F64B4D" w:rsidRDefault="005D57C6" w:rsidP="000C1C8B">
      <w:pPr>
        <w:pStyle w:val="Heading1"/>
      </w:pPr>
      <w:r>
        <w:t xml:space="preserve">Update the </w:t>
      </w:r>
      <w:r w:rsidR="00DA0378">
        <w:t>P</w:t>
      </w:r>
      <w:r w:rsidRPr="00F64B4D">
        <w:t xml:space="preserve">artnership for </w:t>
      </w:r>
      <w:r w:rsidR="00DA0378">
        <w:t>D</w:t>
      </w:r>
      <w:r w:rsidRPr="00F64B4D">
        <w:t>evelopment</w:t>
      </w:r>
    </w:p>
    <w:p w:rsidR="005D57C6" w:rsidRPr="00573FBE" w:rsidRDefault="005D57C6" w:rsidP="000C1C8B">
      <w:pPr>
        <w:pStyle w:val="BodyText"/>
      </w:pPr>
      <w:r w:rsidRPr="00573FBE">
        <w:t xml:space="preserve">The </w:t>
      </w:r>
      <w:r>
        <w:t xml:space="preserve">current </w:t>
      </w:r>
      <w:r w:rsidRPr="00573FBE">
        <w:t>Australia</w:t>
      </w:r>
      <w:r w:rsidR="00373699">
        <w:t xml:space="preserve"> –</w:t>
      </w:r>
      <w:r w:rsidRPr="00573FBE">
        <w:t xml:space="preserve"> Vanuatu Partnership for Development </w:t>
      </w:r>
      <w:r>
        <w:t>was signed in May 2009</w:t>
      </w:r>
      <w:r w:rsidR="001E314E">
        <w:t xml:space="preserve">. </w:t>
      </w:r>
      <w:r>
        <w:t xml:space="preserve">Its underlying principles, and </w:t>
      </w:r>
      <w:r w:rsidR="00C850DC">
        <w:t>five</w:t>
      </w:r>
      <w:r>
        <w:t xml:space="preserve"> priority (sector) areas</w:t>
      </w:r>
      <w:r w:rsidR="000B634A">
        <w:t>,</w:t>
      </w:r>
      <w:r>
        <w:t xml:space="preserve"> remain relevant</w:t>
      </w:r>
      <w:r w:rsidR="001E314E">
        <w:t xml:space="preserve">. </w:t>
      </w:r>
      <w:r w:rsidRPr="00573FBE">
        <w:t xml:space="preserve">Reflecting Cairns Compact </w:t>
      </w:r>
      <w:r w:rsidR="000B634A" w:rsidRPr="00D4417C">
        <w:t xml:space="preserve">on Strengthening Development Coordination in the Pacific </w:t>
      </w:r>
      <w:r w:rsidRPr="00573FBE">
        <w:t xml:space="preserve">and Port Moresby Declaration commitments on closer cooperation and engagement with the Pacific region, the </w:t>
      </w:r>
      <w:r>
        <w:t>partnership</w:t>
      </w:r>
      <w:r w:rsidRPr="00573FBE">
        <w:t xml:space="preserve"> is founded on the principles of mutual respect and mutual responsibility for improved development outcomes</w:t>
      </w:r>
      <w:r w:rsidR="001E314E">
        <w:t xml:space="preserve">. </w:t>
      </w:r>
      <w:r>
        <w:t xml:space="preserve">Its </w:t>
      </w:r>
      <w:r w:rsidR="00C850DC">
        <w:t xml:space="preserve">original </w:t>
      </w:r>
      <w:r>
        <w:t>four priority areas are:</w:t>
      </w:r>
      <w:r w:rsidR="0098404C">
        <w:t xml:space="preserve"> </w:t>
      </w:r>
      <w:r w:rsidRPr="000B34AD">
        <w:t>education, health, infrast</w:t>
      </w:r>
      <w:r w:rsidR="00295247" w:rsidRPr="000B34AD">
        <w:t>ructure and economic governance</w:t>
      </w:r>
      <w:r w:rsidR="001E314E">
        <w:t xml:space="preserve">. </w:t>
      </w:r>
      <w:r w:rsidR="00051BD8" w:rsidRPr="000B34AD">
        <w:t xml:space="preserve">Law and justice </w:t>
      </w:r>
      <w:proofErr w:type="gramStart"/>
      <w:r w:rsidR="00051BD8" w:rsidRPr="000B34AD">
        <w:t>was</w:t>
      </w:r>
      <w:proofErr w:type="gramEnd"/>
      <w:r w:rsidR="00051BD8" w:rsidRPr="000B34AD">
        <w:t xml:space="preserve"> added </w:t>
      </w:r>
      <w:r w:rsidR="001C1A8A" w:rsidRPr="000B34AD">
        <w:t xml:space="preserve">as a </w:t>
      </w:r>
      <w:r w:rsidR="00C850DC">
        <w:t xml:space="preserve">fifth </w:t>
      </w:r>
      <w:r w:rsidR="001C1A8A" w:rsidRPr="000B34AD">
        <w:t xml:space="preserve">priority </w:t>
      </w:r>
      <w:r w:rsidR="00051BD8" w:rsidRPr="000B34AD">
        <w:t>in 2010.</w:t>
      </w:r>
    </w:p>
    <w:p w:rsidR="005D57C6" w:rsidRDefault="005D57C6" w:rsidP="000C1C8B">
      <w:pPr>
        <w:pStyle w:val="BodyText"/>
      </w:pPr>
      <w:r>
        <w:t xml:space="preserve">This </w:t>
      </w:r>
      <w:r w:rsidR="0074521B">
        <w:rPr>
          <w:szCs w:val="22"/>
        </w:rPr>
        <w:t>Aid</w:t>
      </w:r>
      <w:r w:rsidR="00524C3A" w:rsidRPr="00C6782B">
        <w:rPr>
          <w:szCs w:val="22"/>
        </w:rPr>
        <w:t xml:space="preserve"> Program Performance Report</w:t>
      </w:r>
      <w:r w:rsidR="00524C3A" w:rsidRPr="00952712">
        <w:rPr>
          <w:sz w:val="24"/>
        </w:rPr>
        <w:t xml:space="preserve"> </w:t>
      </w:r>
      <w:r>
        <w:t>documents the considerable progress made towards the objectives of the current partnership</w:t>
      </w:r>
      <w:r w:rsidR="001E314E">
        <w:t xml:space="preserve">. </w:t>
      </w:r>
      <w:r>
        <w:t xml:space="preserve">Some targets, such as on road maintenance, mobile phone coverage, malaria incidence, and school </w:t>
      </w:r>
      <w:r w:rsidRPr="000B34AD">
        <w:t>attendance, have already been reached or exceeded</w:t>
      </w:r>
      <w:r w:rsidR="001E314E">
        <w:t xml:space="preserve">. </w:t>
      </w:r>
      <w:r w:rsidR="00295247" w:rsidRPr="000B34AD">
        <w:t xml:space="preserve">However, performance has been mixed </w:t>
      </w:r>
      <w:r w:rsidR="00524C3A">
        <w:t>against</w:t>
      </w:r>
      <w:r w:rsidR="00524C3A" w:rsidRPr="000B34AD">
        <w:t xml:space="preserve"> </w:t>
      </w:r>
      <w:r w:rsidR="00295247" w:rsidRPr="000B34AD">
        <w:t xml:space="preserve">other </w:t>
      </w:r>
      <w:r w:rsidR="00524C3A">
        <w:t>objectives</w:t>
      </w:r>
      <w:r w:rsidR="00295247" w:rsidRPr="000B34AD">
        <w:t>,</w:t>
      </w:r>
      <w:r w:rsidR="001C1A8A" w:rsidRPr="000B34AD">
        <w:t xml:space="preserve"> as detailed throughout this report</w:t>
      </w:r>
      <w:r w:rsidR="00295247" w:rsidRPr="000B34AD">
        <w:t>.</w:t>
      </w:r>
      <w:r w:rsidR="00295247">
        <w:t xml:space="preserve"> </w:t>
      </w:r>
      <w:r>
        <w:t xml:space="preserve">As well as needing to update the targets, the partnership needs to incorporate lessons learned over its first four years about </w:t>
      </w:r>
      <w:r w:rsidRPr="00DB30D2">
        <w:rPr>
          <w:i/>
        </w:rPr>
        <w:t>how</w:t>
      </w:r>
      <w:r>
        <w:t xml:space="preserve"> Australian aid will be delivered</w:t>
      </w:r>
      <w:r w:rsidR="001E314E">
        <w:t xml:space="preserve">. </w:t>
      </w:r>
    </w:p>
    <w:p w:rsidR="005D57C6" w:rsidRDefault="005D57C6" w:rsidP="000C1C8B">
      <w:pPr>
        <w:pStyle w:val="BodyText"/>
      </w:pPr>
      <w:r>
        <w:t>A new partnership will make explicit the need to partner with the private sector and civil society (including chiefs, churches and</w:t>
      </w:r>
      <w:r w:rsidR="00DA0378">
        <w:t xml:space="preserve"> non-government organisations</w:t>
      </w:r>
      <w:r>
        <w:t>) as well as government</w:t>
      </w:r>
      <w:r w:rsidR="001E314E">
        <w:t xml:space="preserve">. </w:t>
      </w:r>
      <w:r>
        <w:t>These partners have an important role to play in advocating for, and helping deliver, better public service</w:t>
      </w:r>
      <w:r w:rsidR="00966130">
        <w:t>s and economic opportunities</w:t>
      </w:r>
      <w:r w:rsidR="001E314E">
        <w:t xml:space="preserve">. </w:t>
      </w:r>
      <w:r>
        <w:t>An updated partnership will also reflect the evolving policy environment in both countries.</w:t>
      </w:r>
    </w:p>
    <w:p w:rsidR="005D57C6" w:rsidRPr="000B34AD" w:rsidRDefault="005D57C6" w:rsidP="000C1C8B">
      <w:pPr>
        <w:pStyle w:val="BodyText"/>
      </w:pPr>
      <w:r w:rsidRPr="00573FBE">
        <w:t xml:space="preserve">Australia and Vanuatu have initiated </w:t>
      </w:r>
      <w:r w:rsidR="00524C3A">
        <w:t xml:space="preserve">discussion </w:t>
      </w:r>
      <w:r>
        <w:t>to update the</w:t>
      </w:r>
      <w:r w:rsidRPr="00573FBE">
        <w:t xml:space="preserve"> partnership </w:t>
      </w:r>
      <w:r>
        <w:t>from 2014 and beyond</w:t>
      </w:r>
      <w:r w:rsidR="001E314E">
        <w:t xml:space="preserve">. </w:t>
      </w:r>
      <w:r>
        <w:t xml:space="preserve">Together with other partners, </w:t>
      </w:r>
      <w:r w:rsidR="00DE1A5F">
        <w:t>DFAT</w:t>
      </w:r>
      <w:r>
        <w:t xml:space="preserve"> has </w:t>
      </w:r>
      <w:r w:rsidR="00524C3A">
        <w:t xml:space="preserve">started </w:t>
      </w:r>
      <w:r>
        <w:t xml:space="preserve">analysis to inform an updated partnership, which includes poverty analysis, a concept note on partnering with </w:t>
      </w:r>
      <w:r w:rsidRPr="000B34AD">
        <w:t>churches, public expenditure analysis, and an assessment of the private sector in Vanuatu.</w:t>
      </w:r>
      <w:r w:rsidR="00941374" w:rsidRPr="000B34AD">
        <w:t xml:space="preserve"> </w:t>
      </w:r>
    </w:p>
    <w:p w:rsidR="00941374" w:rsidRPr="00573FBE" w:rsidRDefault="001C1A8A" w:rsidP="000C1C8B">
      <w:pPr>
        <w:pStyle w:val="BodyText"/>
      </w:pPr>
      <w:r w:rsidRPr="000B34AD">
        <w:t xml:space="preserve">Given Australia’s </w:t>
      </w:r>
      <w:r w:rsidR="00941374" w:rsidRPr="000B34AD">
        <w:t xml:space="preserve">high levels of </w:t>
      </w:r>
      <w:r w:rsidR="00524C3A">
        <w:t>official development assistance</w:t>
      </w:r>
      <w:r w:rsidR="00051BD8" w:rsidRPr="000B34AD">
        <w:t xml:space="preserve"> as a proportion of total public spend</w:t>
      </w:r>
      <w:r w:rsidRPr="000B34AD">
        <w:t>ing,</w:t>
      </w:r>
      <w:r w:rsidR="00941374" w:rsidRPr="000B34AD">
        <w:t xml:space="preserve"> the question of sustainability is </w:t>
      </w:r>
      <w:r w:rsidR="00051BD8" w:rsidRPr="000B34AD">
        <w:t>a major issue and</w:t>
      </w:r>
      <w:r w:rsidR="00941374" w:rsidRPr="000B34AD">
        <w:t xml:space="preserve"> will inform </w:t>
      </w:r>
      <w:r w:rsidR="001F3976" w:rsidRPr="000B34AD">
        <w:t>negotiations</w:t>
      </w:r>
      <w:r w:rsidR="00941374" w:rsidRPr="000B34AD">
        <w:t xml:space="preserve"> </w:t>
      </w:r>
      <w:r w:rsidR="00903FB7" w:rsidRPr="000B34AD">
        <w:t>on the new</w:t>
      </w:r>
      <w:r w:rsidR="00941374" w:rsidRPr="000B34AD">
        <w:t xml:space="preserve"> </w:t>
      </w:r>
      <w:r w:rsidR="00524C3A">
        <w:t>p</w:t>
      </w:r>
      <w:r w:rsidR="00941374" w:rsidRPr="000B34AD">
        <w:t>artnership</w:t>
      </w:r>
      <w:r w:rsidR="001F3976" w:rsidRPr="000B34AD">
        <w:t>.</w:t>
      </w:r>
      <w:r w:rsidR="00941374">
        <w:t xml:space="preserve"> </w:t>
      </w:r>
    </w:p>
    <w:p w:rsidR="005D57C6" w:rsidRPr="000C1C8B" w:rsidRDefault="005D57C6" w:rsidP="000C1C8B">
      <w:pPr>
        <w:pStyle w:val="Heading1"/>
      </w:pPr>
      <w:r w:rsidRPr="000C1C8B">
        <w:t>Manage financial risks</w:t>
      </w:r>
    </w:p>
    <w:p w:rsidR="005D57C6" w:rsidRDefault="005D57C6" w:rsidP="000C1C8B">
      <w:pPr>
        <w:pStyle w:val="BodyText"/>
      </w:pPr>
      <w:r>
        <w:t>The</w:t>
      </w:r>
      <w:r w:rsidR="00524C3A">
        <w:t xml:space="preserve"> Vanuatu</w:t>
      </w:r>
      <w:r>
        <w:t xml:space="preserve"> program has</w:t>
      </w:r>
      <w:r w:rsidRPr="00573FBE">
        <w:t xml:space="preserve"> transition</w:t>
      </w:r>
      <w:r>
        <w:t xml:space="preserve">ed over the past two years to new delivery approaches </w:t>
      </w:r>
      <w:r w:rsidRPr="00573FBE">
        <w:t xml:space="preserve">that blend use of </w:t>
      </w:r>
      <w:r>
        <w:t>government</w:t>
      </w:r>
      <w:r w:rsidRPr="00573FBE">
        <w:t xml:space="preserve"> systems </w:t>
      </w:r>
      <w:r>
        <w:t>(</w:t>
      </w:r>
      <w:r w:rsidR="00524C3A">
        <w:t>for example,</w:t>
      </w:r>
      <w:r>
        <w:t xml:space="preserve"> earmarked sector budget support) </w:t>
      </w:r>
      <w:r w:rsidRPr="00573FBE">
        <w:t>and direct delivery through implementation service providers</w:t>
      </w:r>
      <w:r>
        <w:t xml:space="preserve"> (</w:t>
      </w:r>
      <w:r w:rsidR="00524C3A">
        <w:t>for example,</w:t>
      </w:r>
      <w:r>
        <w:t xml:space="preserve"> managing contractors, or grants to </w:t>
      </w:r>
      <w:r w:rsidR="00524C3A">
        <w:t>non-government organisations</w:t>
      </w:r>
      <w:r>
        <w:t>)</w:t>
      </w:r>
      <w:r w:rsidR="001E314E">
        <w:t xml:space="preserve">. </w:t>
      </w:r>
      <w:r w:rsidRPr="00573FBE">
        <w:t xml:space="preserve">This balances the short-term development costs of relatively slow delivery through government systems with the long-term benefits of strengthened </w:t>
      </w:r>
      <w:r>
        <w:t>Vanuatu Government delivery</w:t>
      </w:r>
      <w:r w:rsidR="001E314E">
        <w:t xml:space="preserve">. </w:t>
      </w:r>
      <w:r>
        <w:t>It acknowledges that many government ministries are unable to administer very large grants</w:t>
      </w:r>
      <w:r w:rsidR="00524C3A">
        <w:t xml:space="preserve"> and that </w:t>
      </w:r>
      <w:r>
        <w:t>the other providers (both private sector and civil society) are often well-placed to directly deliver programs.</w:t>
      </w:r>
    </w:p>
    <w:p w:rsidR="005D57C6" w:rsidRDefault="005D57C6" w:rsidP="000C1C8B">
      <w:pPr>
        <w:pStyle w:val="BodyText"/>
      </w:pPr>
      <w:r>
        <w:t>In each priority area, there is still a strong case to continue to fund some activities directly through the relevant government authority</w:t>
      </w:r>
      <w:r w:rsidR="001E314E">
        <w:t xml:space="preserve">. </w:t>
      </w:r>
      <w:r>
        <w:t xml:space="preserve">For example, school grants through the </w:t>
      </w:r>
      <w:r w:rsidR="00524C3A">
        <w:t>Ministry of E</w:t>
      </w:r>
      <w:r>
        <w:t xml:space="preserve">ducation ministry, public health programs through the Ministry of Health, provincial road maintenance through the </w:t>
      </w:r>
      <w:r w:rsidR="00966130">
        <w:t>PWD</w:t>
      </w:r>
      <w:r>
        <w:t>, and government audits through the Auditor General’s Office</w:t>
      </w:r>
      <w:r w:rsidR="001E314E">
        <w:t xml:space="preserve">. </w:t>
      </w:r>
      <w:r>
        <w:t>Work will need to continue to assess, monitor and safeguard against fiduciary risks.</w:t>
      </w:r>
    </w:p>
    <w:p w:rsidR="005D57C6" w:rsidRPr="00573FBE" w:rsidRDefault="005D57C6" w:rsidP="000C1C8B">
      <w:pPr>
        <w:pStyle w:val="BodyText"/>
      </w:pPr>
      <w:r>
        <w:t xml:space="preserve">There is a further risk to be managed, which is </w:t>
      </w:r>
      <w:r w:rsidR="00FD4ADF">
        <w:t xml:space="preserve">that </w:t>
      </w:r>
      <w:r>
        <w:t>of Australian aid simply substituting for, or displacing, Vanuatu Government funds for essential services</w:t>
      </w:r>
      <w:r w:rsidR="001E314E">
        <w:t xml:space="preserve">. </w:t>
      </w:r>
      <w:r>
        <w:t xml:space="preserve">This report </w:t>
      </w:r>
      <w:r w:rsidR="005A2C21">
        <w:t>has</w:t>
      </w:r>
      <w:r>
        <w:t xml:space="preserve"> highlighted</w:t>
      </w:r>
      <w:r w:rsidR="00524C3A">
        <w:t>, for example,</w:t>
      </w:r>
      <w:r>
        <w:t xml:space="preserve"> this risk in relation to the government spending on basic education</w:t>
      </w:r>
      <w:r w:rsidR="001E314E">
        <w:t xml:space="preserve">. </w:t>
      </w:r>
      <w:r>
        <w:t>In</w:t>
      </w:r>
      <w:r w:rsidRPr="00573FBE">
        <w:t xml:space="preserve"> 2013</w:t>
      </w:r>
      <w:r w:rsidR="00A5337D">
        <w:t>–</w:t>
      </w:r>
      <w:r>
        <w:t>14</w:t>
      </w:r>
      <w:r w:rsidRPr="00573FBE">
        <w:t xml:space="preserve">, </w:t>
      </w:r>
      <w:r w:rsidR="00DE1A5F">
        <w:t xml:space="preserve">the department </w:t>
      </w:r>
      <w:r>
        <w:t>will investigate</w:t>
      </w:r>
      <w:r w:rsidRPr="00573FBE">
        <w:t xml:space="preserve"> financing </w:t>
      </w:r>
      <w:r w:rsidR="008A3E2B">
        <w:t xml:space="preserve">options </w:t>
      </w:r>
      <w:r w:rsidR="00EC16AA">
        <w:t xml:space="preserve">in health and education </w:t>
      </w:r>
      <w:r w:rsidR="001C1A8A">
        <w:t xml:space="preserve">to strengthen the arm of central </w:t>
      </w:r>
      <w:r w:rsidR="00EC16AA">
        <w:t xml:space="preserve">agencies and </w:t>
      </w:r>
      <w:r w:rsidRPr="00573FBE">
        <w:t>incentiv</w:t>
      </w:r>
      <w:r w:rsidR="008A3E2B">
        <w:t>ise</w:t>
      </w:r>
      <w:r w:rsidRPr="00573FBE">
        <w:t xml:space="preserve"> better quality expenditure </w:t>
      </w:r>
      <w:r w:rsidR="00EC16AA">
        <w:t>and compliance with Vanuatu’s own financial management requirements.</w:t>
      </w:r>
    </w:p>
    <w:p w:rsidR="005D57C6" w:rsidRPr="000C1C8B" w:rsidRDefault="005D57C6" w:rsidP="000C1C8B">
      <w:pPr>
        <w:pStyle w:val="Heading1"/>
      </w:pPr>
      <w:r w:rsidRPr="000C1C8B">
        <w:t>Ensure the program benefits the most vulnerable</w:t>
      </w:r>
    </w:p>
    <w:p w:rsidR="005D57C6" w:rsidRDefault="005D57C6" w:rsidP="000C1C8B">
      <w:pPr>
        <w:pStyle w:val="BodyText"/>
      </w:pPr>
      <w:r w:rsidRPr="00573FBE">
        <w:t>In the current reporting period</w:t>
      </w:r>
      <w:r>
        <w:t xml:space="preserve">, the Vanuatu National Statistics </w:t>
      </w:r>
      <w:r w:rsidR="00FD4ADF">
        <w:t>O</w:t>
      </w:r>
      <w:r>
        <w:t>ffice</w:t>
      </w:r>
      <w:r w:rsidR="00B14C83">
        <w:t>,</w:t>
      </w:r>
      <w:r>
        <w:t xml:space="preserve"> the World Bank and </w:t>
      </w:r>
      <w:r w:rsidR="00DE1A5F">
        <w:t>Australia</w:t>
      </w:r>
      <w:r>
        <w:t xml:space="preserve"> </w:t>
      </w:r>
      <w:r w:rsidRPr="00573FBE">
        <w:t>ha</w:t>
      </w:r>
      <w:r w:rsidR="00B14C83">
        <w:t>ve</w:t>
      </w:r>
      <w:r w:rsidRPr="00573FBE">
        <w:t xml:space="preserve"> collected and started to compile updated poverty mapping data</w:t>
      </w:r>
      <w:r w:rsidR="001E314E">
        <w:t xml:space="preserve">. </w:t>
      </w:r>
      <w:r w:rsidRPr="00573FBE">
        <w:t xml:space="preserve">This will be ready </w:t>
      </w:r>
      <w:r>
        <w:t>by late 2013</w:t>
      </w:r>
      <w:r w:rsidRPr="00573FBE">
        <w:t xml:space="preserve"> and is complemented by the </w:t>
      </w:r>
      <w:r>
        <w:t>S</w:t>
      </w:r>
      <w:r w:rsidRPr="00573FBE">
        <w:t>ocio</w:t>
      </w:r>
      <w:r w:rsidR="00B07C65">
        <w:noBreakHyphen/>
      </w:r>
      <w:r w:rsidRPr="00573FBE">
        <w:t xml:space="preserve">Economic Impact Study </w:t>
      </w:r>
      <w:r>
        <w:t xml:space="preserve">commissioned on the rural roads project </w:t>
      </w:r>
      <w:r w:rsidRPr="00573FBE">
        <w:t xml:space="preserve">(due late 2013), on-going monitoring work by VWC and </w:t>
      </w:r>
      <w:r w:rsidRPr="008A3E2B">
        <w:rPr>
          <w:i/>
        </w:rPr>
        <w:t xml:space="preserve">Wan </w:t>
      </w:r>
      <w:proofErr w:type="spellStart"/>
      <w:r w:rsidRPr="008A3E2B">
        <w:rPr>
          <w:i/>
        </w:rPr>
        <w:t>Smolbag</w:t>
      </w:r>
      <w:proofErr w:type="spellEnd"/>
      <w:r w:rsidR="00B14C83">
        <w:t>,</w:t>
      </w:r>
      <w:r w:rsidRPr="00573FBE">
        <w:t xml:space="preserve"> as well as </w:t>
      </w:r>
      <w:r>
        <w:t>data from a demographic health survey (2014)</w:t>
      </w:r>
      <w:r w:rsidRPr="00573FBE">
        <w:t>.</w:t>
      </w:r>
    </w:p>
    <w:p w:rsidR="005D57C6" w:rsidRPr="00573FBE" w:rsidRDefault="005D57C6" w:rsidP="000C1C8B">
      <w:pPr>
        <w:pStyle w:val="BodyText"/>
      </w:pPr>
      <w:r>
        <w:t>Th</w:t>
      </w:r>
      <w:r w:rsidR="00B14C83">
        <w:t xml:space="preserve">e poverty mapping </w:t>
      </w:r>
      <w:r w:rsidRPr="00573FBE">
        <w:t xml:space="preserve">data </w:t>
      </w:r>
      <w:r>
        <w:t xml:space="preserve">will </w:t>
      </w:r>
      <w:r w:rsidRPr="00573FBE">
        <w:t xml:space="preserve">provide a robust foundation </w:t>
      </w:r>
      <w:r>
        <w:t>for monitoring the impact of aid investments on the livelihoods of the most vulnerable</w:t>
      </w:r>
      <w:r w:rsidR="001E314E">
        <w:t xml:space="preserve">. </w:t>
      </w:r>
      <w:r>
        <w:t xml:space="preserve">It will also inform decisions about which activities can be reoriented to more directly target the most </w:t>
      </w:r>
      <w:r w:rsidRPr="00573FBE">
        <w:t>vulnerable women and men</w:t>
      </w:r>
      <w:r w:rsidR="001E314E">
        <w:t xml:space="preserve">. </w:t>
      </w:r>
      <w:r w:rsidR="00DE1A5F">
        <w:t>The department</w:t>
      </w:r>
      <w:r w:rsidRPr="00573FBE">
        <w:t xml:space="preserve"> will ensure these results are communicated effectively and reflected in annual plans and initiative designs</w:t>
      </w:r>
      <w:r w:rsidR="001E314E">
        <w:t xml:space="preserve">. </w:t>
      </w:r>
    </w:p>
    <w:p w:rsidR="005D57C6" w:rsidRPr="000C1C8B" w:rsidRDefault="005D57C6" w:rsidP="000C1C8B">
      <w:pPr>
        <w:pStyle w:val="Heading1"/>
      </w:pPr>
      <w:r w:rsidRPr="000C1C8B">
        <w:t>Consolidate the program</w:t>
      </w:r>
    </w:p>
    <w:p w:rsidR="005D57C6" w:rsidRPr="00C850DC" w:rsidRDefault="005D57C6" w:rsidP="000C1C8B">
      <w:pPr>
        <w:pStyle w:val="BodyText"/>
      </w:pPr>
      <w:r>
        <w:t>Between 2010 and 2013 the number of initiatives the program managed decreased by 26 per cent</w:t>
      </w:r>
      <w:r w:rsidR="00373699">
        <w:t>—</w:t>
      </w:r>
      <w:r w:rsidRPr="00C850DC">
        <w:t xml:space="preserve">from 35 to 26. This provides an important indicator of progress towards </w:t>
      </w:r>
      <w:r w:rsidR="00DE1A5F">
        <w:t>the</w:t>
      </w:r>
      <w:r w:rsidRPr="00C850DC">
        <w:t xml:space="preserve"> commitment to consolidating </w:t>
      </w:r>
      <w:r w:rsidR="00DE1A5F">
        <w:t>the</w:t>
      </w:r>
      <w:r w:rsidRPr="00C850DC">
        <w:t xml:space="preserve"> very large number of initiatives</w:t>
      </w:r>
      <w:r w:rsidR="00DE1A5F">
        <w:t xml:space="preserve"> in the Vanuatu program</w:t>
      </w:r>
      <w:r w:rsidR="00373699">
        <w:t>.</w:t>
      </w:r>
      <w:r w:rsidRPr="00C850DC">
        <w:t xml:space="preserve"> Over the same period, the number of activities and agreements </w:t>
      </w:r>
      <w:r w:rsidR="00EC16AA" w:rsidRPr="00C850DC">
        <w:t xml:space="preserve">(or contracts) </w:t>
      </w:r>
      <w:r w:rsidRPr="00C850DC">
        <w:t xml:space="preserve">increased by </w:t>
      </w:r>
      <w:r w:rsidR="00373699">
        <w:t>3</w:t>
      </w:r>
      <w:r w:rsidRPr="00C850DC">
        <w:t xml:space="preserve"> per cent and 11 per cent respectively.</w:t>
      </w:r>
      <w:r w:rsidR="002652D9">
        <w:rPr>
          <w:rStyle w:val="FootnoteReference"/>
        </w:rPr>
        <w:footnoteReference w:id="33"/>
      </w:r>
    </w:p>
    <w:p w:rsidR="005D57C6" w:rsidRPr="00573FBE" w:rsidRDefault="005D57C6" w:rsidP="000C1C8B">
      <w:pPr>
        <w:pStyle w:val="BodyText"/>
      </w:pPr>
      <w:r>
        <w:t>The</w:t>
      </w:r>
      <w:r w:rsidRPr="00573FBE">
        <w:t xml:space="preserve"> 135 </w:t>
      </w:r>
      <w:r>
        <w:t xml:space="preserve">current </w:t>
      </w:r>
      <w:r w:rsidRPr="00573FBE">
        <w:t>agreements</w:t>
      </w:r>
      <w:r>
        <w:t xml:space="preserve"> represent a sizeable administrative load for the Vanuatu program team, and </w:t>
      </w:r>
      <w:r w:rsidR="00B14C83">
        <w:t xml:space="preserve">its </w:t>
      </w:r>
      <w:r>
        <w:t>implementation partners</w:t>
      </w:r>
      <w:r w:rsidR="001E314E">
        <w:t xml:space="preserve">. </w:t>
      </w:r>
      <w:r>
        <w:t>In turn, this</w:t>
      </w:r>
      <w:r w:rsidRPr="00573FBE">
        <w:t xml:space="preserve"> reduces </w:t>
      </w:r>
      <w:r>
        <w:t xml:space="preserve">the time available </w:t>
      </w:r>
      <w:r w:rsidRPr="00573FBE">
        <w:t xml:space="preserve">for </w:t>
      </w:r>
      <w:r>
        <w:t xml:space="preserve">investing in analysis of key issues and trends, </w:t>
      </w:r>
      <w:r w:rsidRPr="00573FBE">
        <w:t>effective</w:t>
      </w:r>
      <w:r w:rsidR="00B14C83">
        <w:t>ly</w:t>
      </w:r>
      <w:r w:rsidRPr="00573FBE">
        <w:t xml:space="preserve"> engag</w:t>
      </w:r>
      <w:r w:rsidR="00B14C83">
        <w:t>ing</w:t>
      </w:r>
      <w:r w:rsidRPr="00573FBE">
        <w:t xml:space="preserve"> with </w:t>
      </w:r>
      <w:r>
        <w:t xml:space="preserve">existing and future </w:t>
      </w:r>
      <w:r w:rsidRPr="00573FBE">
        <w:t>partners and purposeful supervisi</w:t>
      </w:r>
      <w:r w:rsidR="00B14C83">
        <w:t>ng of</w:t>
      </w:r>
      <w:r>
        <w:t xml:space="preserve"> programs</w:t>
      </w:r>
      <w:r w:rsidR="001E314E">
        <w:t xml:space="preserve">. </w:t>
      </w:r>
      <w:r>
        <w:t>C</w:t>
      </w:r>
      <w:r w:rsidRPr="00573FBE">
        <w:t>oordination between initiatives is starting to yield development results, as described in this A</w:t>
      </w:r>
      <w:r w:rsidR="0074521B">
        <w:t>id</w:t>
      </w:r>
      <w:r w:rsidR="00B14C83">
        <w:t xml:space="preserve"> Program Performance Report</w:t>
      </w:r>
      <w:r w:rsidR="001E314E">
        <w:t xml:space="preserve">. </w:t>
      </w:r>
      <w:r w:rsidRPr="00573FBE">
        <w:t xml:space="preserve">However, more could </w:t>
      </w:r>
      <w:r w:rsidR="00B14C83">
        <w:t xml:space="preserve">have </w:t>
      </w:r>
      <w:r w:rsidRPr="00573FBE">
        <w:t>be</w:t>
      </w:r>
      <w:r w:rsidR="00B14C83">
        <w:t>en achieved</w:t>
      </w:r>
      <w:r w:rsidRPr="00573FBE">
        <w:t xml:space="preserve"> if program managers had </w:t>
      </w:r>
      <w:r w:rsidR="00B14C83">
        <w:t xml:space="preserve">been able to </w:t>
      </w:r>
      <w:r w:rsidR="00342B46">
        <w:t>increase</w:t>
      </w:r>
      <w:r w:rsidR="00B14C83">
        <w:t xml:space="preserve"> the</w:t>
      </w:r>
      <w:r w:rsidRPr="00573FBE">
        <w:t xml:space="preserve"> time</w:t>
      </w:r>
      <w:r w:rsidR="00B14C83">
        <w:t xml:space="preserve"> they could dedicate to managing</w:t>
      </w:r>
      <w:r w:rsidRPr="00573FBE">
        <w:t xml:space="preserve"> for effectiveness</w:t>
      </w:r>
      <w:r w:rsidR="00342B46">
        <w:t xml:space="preserve"> rather than </w:t>
      </w:r>
      <w:r w:rsidR="00B14C83">
        <w:t xml:space="preserve">handling </w:t>
      </w:r>
      <w:r w:rsidR="00342B46">
        <w:t>administration</w:t>
      </w:r>
      <w:r w:rsidR="00B14C83">
        <w:t xml:space="preserve"> responsibilities</w:t>
      </w:r>
      <w:r w:rsidRPr="00573FBE">
        <w:t xml:space="preserve">. </w:t>
      </w:r>
      <w:r w:rsidR="00B14C83">
        <w:t xml:space="preserve">In </w:t>
      </w:r>
      <w:r>
        <w:t>2013</w:t>
      </w:r>
      <w:r w:rsidR="00373699">
        <w:t>–</w:t>
      </w:r>
      <w:r>
        <w:t xml:space="preserve">14, </w:t>
      </w:r>
      <w:r w:rsidR="00DE1A5F">
        <w:t>the department</w:t>
      </w:r>
      <w:r>
        <w:t xml:space="preserve"> </w:t>
      </w:r>
      <w:r w:rsidRPr="00573FBE">
        <w:t xml:space="preserve">will continue the transition to a more manageable </w:t>
      </w:r>
      <w:r>
        <w:t>portfolio</w:t>
      </w:r>
      <w:r w:rsidRPr="00573FBE">
        <w:t xml:space="preserve">, </w:t>
      </w:r>
      <w:r>
        <w:t>in particular by reducing the large number of current agreements.</w:t>
      </w:r>
      <w:r w:rsidRPr="00573FBE">
        <w:t xml:space="preserve"> </w:t>
      </w:r>
    </w:p>
    <w:p w:rsidR="005D57C6" w:rsidRPr="000C1C8B" w:rsidRDefault="005D57C6" w:rsidP="000C1C8B">
      <w:pPr>
        <w:pStyle w:val="Heading1"/>
      </w:pPr>
      <w:r w:rsidRPr="000C1C8B">
        <w:t>Continue to strengthen and resource performance management</w:t>
      </w:r>
    </w:p>
    <w:p w:rsidR="005D57C6" w:rsidRDefault="005D57C6" w:rsidP="000C1C8B">
      <w:pPr>
        <w:pStyle w:val="BodyText"/>
      </w:pPr>
      <w:r>
        <w:t xml:space="preserve">More than </w:t>
      </w:r>
      <w:r w:rsidR="00B14C83">
        <w:t>one-</w:t>
      </w:r>
      <w:r>
        <w:t>third of</w:t>
      </w:r>
      <w:r w:rsidRPr="00573FBE">
        <w:t xml:space="preserve"> the Vanuatu portfolio by value is rated as </w:t>
      </w:r>
      <w:r w:rsidR="00373699">
        <w:t>‘</w:t>
      </w:r>
      <w:r w:rsidRPr="00573FBE">
        <w:t>amber</w:t>
      </w:r>
      <w:r w:rsidR="00373699">
        <w:t>’</w:t>
      </w:r>
      <w:r w:rsidRPr="00573FBE">
        <w:t>, which requires close performance monitoring</w:t>
      </w:r>
      <w:r w:rsidR="001E314E">
        <w:t xml:space="preserve">. </w:t>
      </w:r>
      <w:r w:rsidRPr="00573FBE">
        <w:t xml:space="preserve">This reflects the complex context described in this </w:t>
      </w:r>
      <w:r w:rsidR="00B14C83">
        <w:t>report</w:t>
      </w:r>
      <w:r w:rsidR="001E314E">
        <w:t xml:space="preserve">. </w:t>
      </w:r>
      <w:r>
        <w:t>Both governments have already responded to this</w:t>
      </w:r>
      <w:r w:rsidR="00B14C83">
        <w:t xml:space="preserve"> rating</w:t>
      </w:r>
      <w:r>
        <w:t xml:space="preserve">, </w:t>
      </w:r>
      <w:r w:rsidR="00B14C83">
        <w:t>including</w:t>
      </w:r>
      <w:r>
        <w:t xml:space="preserve"> through more regular high-level </w:t>
      </w:r>
      <w:r w:rsidR="00B14C83">
        <w:t xml:space="preserve">discussion </w:t>
      </w:r>
      <w:r>
        <w:t>(such as quarterly senior official talks)</w:t>
      </w:r>
      <w:r w:rsidR="001E314E">
        <w:t xml:space="preserve">. </w:t>
      </w:r>
    </w:p>
    <w:p w:rsidR="00903FB7" w:rsidRDefault="00BB0D63" w:rsidP="000C1C8B">
      <w:pPr>
        <w:pStyle w:val="BodyText"/>
      </w:pPr>
      <w:r>
        <w:t>The department</w:t>
      </w:r>
      <w:r w:rsidR="005D57C6">
        <w:t xml:space="preserve"> has </w:t>
      </w:r>
      <w:r w:rsidR="005D57C6" w:rsidRPr="00573FBE">
        <w:t>increased</w:t>
      </w:r>
      <w:r w:rsidR="005D57C6">
        <w:t xml:space="preserve"> its </w:t>
      </w:r>
      <w:r w:rsidR="000B34AD">
        <w:t>investment in</w:t>
      </w:r>
      <w:r w:rsidR="005D57C6" w:rsidRPr="00573FBE">
        <w:t xml:space="preserve"> evidence </w:t>
      </w:r>
      <w:r w:rsidR="000B34AD">
        <w:t xml:space="preserve">collection and analysis </w:t>
      </w:r>
      <w:r w:rsidR="005D57C6" w:rsidRPr="00573FBE">
        <w:t>to support strategic and management decisions (</w:t>
      </w:r>
      <w:r w:rsidR="00B14C83">
        <w:t>for example,</w:t>
      </w:r>
      <w:r w:rsidR="005D57C6" w:rsidRPr="00573FBE">
        <w:t xml:space="preserve"> several public expenditure reviews, poverty mapping, a socio-</w:t>
      </w:r>
      <w:r w:rsidR="005D57C6" w:rsidRPr="00B603DC">
        <w:t>economic and gender impact study of rehabilitated roads, and several evaluations)</w:t>
      </w:r>
      <w:r w:rsidR="001E314E">
        <w:t xml:space="preserve">. </w:t>
      </w:r>
      <w:r w:rsidR="00903FB7" w:rsidRPr="00B603DC">
        <w:t xml:space="preserve">This investment is already paying off </w:t>
      </w:r>
      <w:r w:rsidR="00EC16AA" w:rsidRPr="00B603DC">
        <w:t xml:space="preserve">by </w:t>
      </w:r>
      <w:r w:rsidR="00903FB7" w:rsidRPr="00B603DC">
        <w:t xml:space="preserve">informing </w:t>
      </w:r>
      <w:r w:rsidR="00EC16AA" w:rsidRPr="00B603DC">
        <w:t xml:space="preserve">new </w:t>
      </w:r>
      <w:r w:rsidR="00903FB7" w:rsidRPr="00B603DC">
        <w:t xml:space="preserve">approaches </w:t>
      </w:r>
      <w:r w:rsidR="00EC16AA" w:rsidRPr="00B603DC">
        <w:t xml:space="preserve">to </w:t>
      </w:r>
      <w:r w:rsidR="00903FB7" w:rsidRPr="00B603DC">
        <w:t xml:space="preserve">education sector </w:t>
      </w:r>
      <w:r w:rsidR="00EC16AA" w:rsidRPr="00B603DC">
        <w:t xml:space="preserve">support where performance continues to </w:t>
      </w:r>
      <w:r w:rsidR="00903FB7" w:rsidRPr="00B603DC">
        <w:t>rate poorly (Box 1)</w:t>
      </w:r>
      <w:r w:rsidR="001E314E">
        <w:t xml:space="preserve">. </w:t>
      </w:r>
    </w:p>
    <w:p w:rsidR="00903FB7" w:rsidRPr="00573FBE" w:rsidRDefault="005D57C6" w:rsidP="000C1C8B">
      <w:pPr>
        <w:pStyle w:val="BodyText"/>
      </w:pPr>
      <w:r>
        <w:t>AusAID has also initiated</w:t>
      </w:r>
      <w:r w:rsidRPr="00573FBE">
        <w:t xml:space="preserve"> </w:t>
      </w:r>
      <w:r>
        <w:t>an</w:t>
      </w:r>
      <w:r w:rsidRPr="00573FBE">
        <w:t xml:space="preserve"> Evaluation Capacity Building Program</w:t>
      </w:r>
      <w:r w:rsidR="00B603DC">
        <w:rPr>
          <w:rStyle w:val="FootnoteReference"/>
        </w:rPr>
        <w:footnoteReference w:id="34"/>
      </w:r>
      <w:r>
        <w:t xml:space="preserve"> for Vanuatu program staff</w:t>
      </w:r>
      <w:r w:rsidR="001E314E">
        <w:t xml:space="preserve">. </w:t>
      </w:r>
      <w:r w:rsidRPr="00573FBE">
        <w:t xml:space="preserve">In 2013, </w:t>
      </w:r>
      <w:r w:rsidR="00617F0C">
        <w:t xml:space="preserve">DFAT </w:t>
      </w:r>
      <w:r w:rsidRPr="00573FBE">
        <w:t xml:space="preserve">will continue this momentum by supporting a more rigorous schedule of supervision visits, and </w:t>
      </w:r>
      <w:r>
        <w:t>ensuring that information and evidence from this monitoring and evaluation work informs policy discussions with government and program management decisions</w:t>
      </w:r>
      <w:r w:rsidR="001E314E">
        <w:t xml:space="preserve">. </w:t>
      </w:r>
      <w:r w:rsidR="001805DD">
        <w:t xml:space="preserve">A performance assessment framework will be developed </w:t>
      </w:r>
      <w:r w:rsidR="00C4024D">
        <w:t xml:space="preserve">to track progress </w:t>
      </w:r>
      <w:r w:rsidR="0016546E">
        <w:t>when</w:t>
      </w:r>
      <w:r w:rsidR="00C4024D">
        <w:t xml:space="preserve"> an updated</w:t>
      </w:r>
      <w:r w:rsidR="001805DD">
        <w:t xml:space="preserve"> </w:t>
      </w:r>
      <w:r w:rsidR="00B14C83">
        <w:t>p</w:t>
      </w:r>
      <w:r w:rsidR="001805DD">
        <w:t xml:space="preserve">artnership for </w:t>
      </w:r>
      <w:r w:rsidR="00B14C83">
        <w:t>d</w:t>
      </w:r>
      <w:r w:rsidR="001805DD">
        <w:t>evelopment is agreed.</w:t>
      </w:r>
    </w:p>
    <w:p w:rsidR="00522AB9" w:rsidRDefault="00522AB9" w:rsidP="002A1935">
      <w:pPr>
        <w:pStyle w:val="BodyText"/>
        <w:sectPr w:rsidR="00522AB9" w:rsidSect="00F06518">
          <w:headerReference w:type="default" r:id="rId10"/>
          <w:footerReference w:type="default" r:id="rId11"/>
          <w:headerReference w:type="first" r:id="rId12"/>
          <w:footerReference w:type="first" r:id="rId13"/>
          <w:pgSz w:w="11906" w:h="16838" w:code="9"/>
          <w:pgMar w:top="2268" w:right="1701" w:bottom="907" w:left="1871" w:header="680" w:footer="454" w:gutter="0"/>
          <w:cols w:space="708"/>
          <w:titlePg/>
          <w:docGrid w:linePitch="360"/>
        </w:sectPr>
      </w:pPr>
    </w:p>
    <w:p w:rsidR="00FE4491" w:rsidRPr="00C578FF" w:rsidRDefault="00C65930" w:rsidP="00C578FF">
      <w:pPr>
        <w:pStyle w:val="Heading1"/>
      </w:pPr>
      <w:r w:rsidRPr="00C578FF">
        <w:t>Annex A</w:t>
      </w:r>
      <w:r w:rsidR="00FE4491" w:rsidRPr="00C578FF">
        <w:t xml:space="preserve"> </w:t>
      </w:r>
    </w:p>
    <w:p w:rsidR="00FE4491" w:rsidRPr="00C578FF" w:rsidRDefault="00FE4491" w:rsidP="00C578FF">
      <w:pPr>
        <w:pStyle w:val="Heading2"/>
      </w:pPr>
      <w:r w:rsidRPr="00C578FF">
        <w:t>Progress in addressing 2011 management consequences</w:t>
      </w:r>
    </w:p>
    <w:tbl>
      <w:tblPr>
        <w:tblStyle w:val="APPR"/>
        <w:tblpPr w:leftFromText="180" w:rightFromText="180" w:vertAnchor="text" w:tblpY="1"/>
        <w:tblW w:w="5000" w:type="pct"/>
        <w:tblLayout w:type="fixed"/>
        <w:tblLook w:val="0000" w:firstRow="0" w:lastRow="0" w:firstColumn="0" w:lastColumn="0" w:noHBand="0" w:noVBand="0"/>
      </w:tblPr>
      <w:tblGrid>
        <w:gridCol w:w="6281"/>
        <w:gridCol w:w="965"/>
        <w:gridCol w:w="6689"/>
      </w:tblGrid>
      <w:tr w:rsidR="00FE4491"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FE4491" w:rsidRPr="00180B19" w:rsidRDefault="00FE4491" w:rsidP="00FE4491">
            <w:pPr>
              <w:pStyle w:val="TableTextColumnHeading"/>
              <w:tabs>
                <w:tab w:val="left" w:pos="1185"/>
              </w:tabs>
            </w:pPr>
            <w:r w:rsidRPr="00FE4491">
              <w:t>Management consequences identified in 2011 APPR</w:t>
            </w:r>
            <w:r w:rsidR="00A81066">
              <w:rPr>
                <w:rStyle w:val="FootnoteReference"/>
              </w:rPr>
              <w:footnoteReference w:id="35"/>
            </w:r>
            <w:r>
              <w:tab/>
            </w:r>
          </w:p>
        </w:tc>
        <w:tc>
          <w:tcPr>
            <w:tcW w:w="964" w:type="dxa"/>
          </w:tcPr>
          <w:p w:rsidR="00FE4491" w:rsidRPr="00180B19" w:rsidRDefault="00FE4491" w:rsidP="00443639">
            <w:pPr>
              <w:pStyle w:val="TableTextColumnHeading"/>
            </w:pPr>
            <w:r w:rsidRPr="00FE4491">
              <w:t>Rating</w:t>
            </w:r>
          </w:p>
        </w:tc>
        <w:tc>
          <w:tcPr>
            <w:tcW w:w="6896" w:type="dxa"/>
          </w:tcPr>
          <w:p w:rsidR="00FE4491" w:rsidRPr="00180B19" w:rsidRDefault="00FE4491" w:rsidP="00443639">
            <w:pPr>
              <w:pStyle w:val="TableTextColumnHeading"/>
            </w:pPr>
            <w:r w:rsidRPr="00FE4491">
              <w:t>Progress made in 2012</w:t>
            </w:r>
            <w:r w:rsidR="008E1C7A">
              <w:t>–</w:t>
            </w:r>
            <w:r w:rsidRPr="00FE4491">
              <w:t>13</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657E5A" w:rsidP="00C578FF">
            <w:pPr>
              <w:pStyle w:val="TableTextEntries"/>
            </w:pPr>
            <w:r w:rsidRPr="00C578FF">
              <w:t>Conduct wide consultation and strong analysis to underpin a new Partnership for Development in 2013, following Vanuatu’s national elections in October 2012</w:t>
            </w:r>
          </w:p>
        </w:tc>
        <w:tc>
          <w:tcPr>
            <w:tcW w:w="964" w:type="dxa"/>
            <w:shd w:val="clear" w:color="auto" w:fill="F79646" w:themeFill="accent6"/>
          </w:tcPr>
          <w:p w:rsidR="00657E5A" w:rsidRPr="00C578FF" w:rsidRDefault="00657E5A" w:rsidP="00C578FF">
            <w:pPr>
              <w:pStyle w:val="TableTextEntries"/>
            </w:pPr>
            <w:r w:rsidRPr="00C578FF">
              <w:t>Partially achieved</w:t>
            </w:r>
          </w:p>
        </w:tc>
        <w:tc>
          <w:tcPr>
            <w:tcW w:w="6896" w:type="dxa"/>
          </w:tcPr>
          <w:p w:rsidR="00657E5A" w:rsidRPr="00C578FF" w:rsidRDefault="00657E5A" w:rsidP="00C578FF">
            <w:pPr>
              <w:pStyle w:val="TableTextEntries"/>
            </w:pPr>
            <w:r w:rsidRPr="00C578FF">
              <w:t>Significant body of analysis completed or underway</w:t>
            </w:r>
            <w:r w:rsidR="008E1C7A" w:rsidRPr="00C578FF">
              <w:t>,</w:t>
            </w:r>
            <w:r w:rsidRPr="00C578FF">
              <w:t xml:space="preserve"> including health and education sector public expenditure reviews and poverty mapping</w:t>
            </w:r>
            <w:r w:rsidR="008E1C7A" w:rsidRPr="00C578FF">
              <w:t>.</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8E1C7A" w:rsidP="00C578FF">
            <w:pPr>
              <w:pStyle w:val="TableTextEntries"/>
            </w:pPr>
            <w:r w:rsidRPr="00C578FF">
              <w:t>P</w:t>
            </w:r>
            <w:r w:rsidR="00657E5A" w:rsidRPr="00C578FF">
              <w:t>repare a realistic medium-term budget plan for investment between 2013 and 2016</w:t>
            </w:r>
          </w:p>
        </w:tc>
        <w:tc>
          <w:tcPr>
            <w:tcW w:w="964" w:type="dxa"/>
            <w:shd w:val="clear" w:color="auto" w:fill="FF0000"/>
          </w:tcPr>
          <w:p w:rsidR="00657E5A" w:rsidRPr="00C578FF" w:rsidRDefault="00657E5A" w:rsidP="00C578FF">
            <w:pPr>
              <w:pStyle w:val="TableTextEntries"/>
            </w:pPr>
            <w:r w:rsidRPr="00C578FF">
              <w:t>Not achieved</w:t>
            </w:r>
            <w:r w:rsidRPr="00C578FF">
              <w:fldChar w:fldCharType="begin"/>
            </w:r>
            <w:r w:rsidRPr="00C578FF">
              <w:instrText xml:space="preserve"> AUTOTEXTLIST  \s "Rating bullet"\t "Right click to choose a rating" \* MERGEFORMAT </w:instrText>
            </w:r>
            <w:r w:rsidRPr="00C578FF">
              <w:fldChar w:fldCharType="end"/>
            </w:r>
          </w:p>
        </w:tc>
        <w:tc>
          <w:tcPr>
            <w:tcW w:w="6896" w:type="dxa"/>
          </w:tcPr>
          <w:p w:rsidR="00657E5A" w:rsidRPr="00C578FF" w:rsidRDefault="00966130" w:rsidP="00C578FF">
            <w:pPr>
              <w:pStyle w:val="TableTextEntries"/>
            </w:pPr>
            <w:r w:rsidRPr="00C578FF">
              <w:t>To be addressed</w:t>
            </w:r>
            <w:r w:rsidR="00657E5A" w:rsidRPr="00C578FF">
              <w:t xml:space="preserve"> as part of Partnership for Development negotiations in the second half of 2013.</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657E5A" w:rsidP="00C578FF">
            <w:pPr>
              <w:pStyle w:val="TableTextEntries"/>
            </w:pPr>
            <w:r w:rsidRPr="00C578FF">
              <w:t>Increase the visibility of Australian aid</w:t>
            </w:r>
          </w:p>
        </w:tc>
        <w:tc>
          <w:tcPr>
            <w:tcW w:w="964" w:type="dxa"/>
            <w:shd w:val="clear" w:color="auto" w:fill="92D050"/>
          </w:tcPr>
          <w:p w:rsidR="00657E5A" w:rsidRPr="00C578FF" w:rsidRDefault="00657E5A" w:rsidP="00C578FF">
            <w:pPr>
              <w:pStyle w:val="TableTextEntries"/>
            </w:pPr>
            <w:r w:rsidRPr="00C578FF">
              <w:t>Achieved</w:t>
            </w:r>
          </w:p>
        </w:tc>
        <w:tc>
          <w:tcPr>
            <w:tcW w:w="6896" w:type="dxa"/>
          </w:tcPr>
          <w:p w:rsidR="00657E5A" w:rsidRPr="00C578FF" w:rsidRDefault="00657E5A" w:rsidP="00C578FF">
            <w:pPr>
              <w:pStyle w:val="TableTextEntries"/>
            </w:pPr>
            <w:r w:rsidRPr="00C578FF">
              <w:t xml:space="preserve">Communications </w:t>
            </w:r>
            <w:r w:rsidR="00EC16AA" w:rsidRPr="00C578FF">
              <w:t xml:space="preserve">manager </w:t>
            </w:r>
            <w:r w:rsidRPr="00C578FF">
              <w:t>recruited</w:t>
            </w:r>
            <w:r w:rsidR="001E314E" w:rsidRPr="00C578FF">
              <w:t xml:space="preserve">. </w:t>
            </w:r>
            <w:r w:rsidRPr="00C578FF">
              <w:t xml:space="preserve">Increased outreach through local </w:t>
            </w:r>
            <w:r w:rsidR="00EC16AA" w:rsidRPr="00C578FF">
              <w:t xml:space="preserve">and international </w:t>
            </w:r>
            <w:r w:rsidRPr="00C578FF">
              <w:t>media</w:t>
            </w:r>
            <w:r w:rsidR="001E314E" w:rsidRPr="00C578FF">
              <w:t xml:space="preserve">. </w:t>
            </w:r>
            <w:r w:rsidR="00EC16AA" w:rsidRPr="00C578FF">
              <w:t>S</w:t>
            </w:r>
            <w:r w:rsidRPr="00C578FF">
              <w:t>urvey completed</w:t>
            </w:r>
            <w:r w:rsidR="00EC16AA" w:rsidRPr="00C578FF">
              <w:t xml:space="preserve"> of media consumption in Vanuatu</w:t>
            </w:r>
            <w:r w:rsidRPr="00C578FF">
              <w:t>.</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657E5A" w:rsidP="00C578FF">
            <w:pPr>
              <w:pStyle w:val="TableTextEntries"/>
            </w:pPr>
            <w:r w:rsidRPr="00C578FF">
              <w:t>Work with a wider range of Vanuatu Government partners and engage civil society partners</w:t>
            </w:r>
          </w:p>
        </w:tc>
        <w:tc>
          <w:tcPr>
            <w:tcW w:w="964" w:type="dxa"/>
            <w:shd w:val="clear" w:color="auto" w:fill="F79646" w:themeFill="accent6"/>
          </w:tcPr>
          <w:p w:rsidR="00657E5A" w:rsidRPr="00C578FF" w:rsidRDefault="00657E5A" w:rsidP="00C578FF">
            <w:pPr>
              <w:pStyle w:val="TableTextEntries"/>
            </w:pPr>
            <w:r w:rsidRPr="00C578FF">
              <w:t>Partially achieved</w:t>
            </w:r>
          </w:p>
        </w:tc>
        <w:tc>
          <w:tcPr>
            <w:tcW w:w="6896" w:type="dxa"/>
          </w:tcPr>
          <w:p w:rsidR="00657E5A" w:rsidRPr="00C578FF" w:rsidRDefault="00657E5A" w:rsidP="00C578FF">
            <w:pPr>
              <w:pStyle w:val="TableTextEntries"/>
            </w:pPr>
            <w:r w:rsidRPr="00C578FF">
              <w:t>Initial steps taken</w:t>
            </w:r>
            <w:r w:rsidR="00EC16AA" w:rsidRPr="00C578FF">
              <w:t>, including a concept note on opportunities to work with church partners in mainstream sector programs</w:t>
            </w:r>
            <w:r w:rsidR="001E314E" w:rsidRPr="00C578FF">
              <w:t xml:space="preserve">. </w:t>
            </w:r>
            <w:r w:rsidR="00EC16AA" w:rsidRPr="00C578FF">
              <w:t xml:space="preserve">Increased engagement with provincial authorities and private sector organisations. </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657E5A" w:rsidP="00C578FF">
            <w:pPr>
              <w:pStyle w:val="TableTextEntries"/>
            </w:pPr>
            <w:r w:rsidRPr="00C578FF">
              <w:t>Develop new approach for education</w:t>
            </w:r>
          </w:p>
        </w:tc>
        <w:tc>
          <w:tcPr>
            <w:tcW w:w="964" w:type="dxa"/>
            <w:shd w:val="clear" w:color="auto" w:fill="92D050"/>
          </w:tcPr>
          <w:p w:rsidR="00657E5A" w:rsidRPr="00C578FF" w:rsidRDefault="00657E5A" w:rsidP="00C578FF">
            <w:pPr>
              <w:pStyle w:val="TableTextEntries"/>
            </w:pPr>
            <w:r w:rsidRPr="00C578FF">
              <w:t>Achieved</w:t>
            </w:r>
          </w:p>
        </w:tc>
        <w:tc>
          <w:tcPr>
            <w:tcW w:w="6896" w:type="dxa"/>
          </w:tcPr>
          <w:p w:rsidR="00657E5A" w:rsidRPr="00C578FF" w:rsidRDefault="00657E5A" w:rsidP="00C578FF">
            <w:pPr>
              <w:pStyle w:val="TableTextEntries"/>
            </w:pPr>
            <w:r w:rsidRPr="00C578FF">
              <w:t xml:space="preserve">New approach agreed with </w:t>
            </w:r>
            <w:r w:rsidR="008E1C7A" w:rsidRPr="00C578FF">
              <w:t xml:space="preserve">the </w:t>
            </w:r>
            <w:r w:rsidRPr="00C578FF">
              <w:t xml:space="preserve">Government </w:t>
            </w:r>
            <w:r w:rsidR="008E1C7A" w:rsidRPr="00C578FF">
              <w:t xml:space="preserve">of Vanuatu </w:t>
            </w:r>
            <w:r w:rsidRPr="00C578FF">
              <w:t>in late 2012</w:t>
            </w:r>
            <w:r w:rsidR="001E314E" w:rsidRPr="00C578FF">
              <w:t xml:space="preserve">. </w:t>
            </w:r>
            <w:r w:rsidRPr="00C578FF">
              <w:t xml:space="preserve">Will </w:t>
            </w:r>
            <w:r w:rsidR="008E1C7A" w:rsidRPr="00C578FF">
              <w:t xml:space="preserve">start </w:t>
            </w:r>
            <w:r w:rsidRPr="00C578FF">
              <w:t>implementation in mid</w:t>
            </w:r>
            <w:r w:rsidR="00FE597C" w:rsidRPr="00C578FF">
              <w:t>-</w:t>
            </w:r>
            <w:r w:rsidRPr="00C578FF">
              <w:t>2013</w:t>
            </w:r>
            <w:r w:rsidR="008E1C7A" w:rsidRPr="00C578FF">
              <w:t>.</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657E5A" w:rsidP="00C578FF">
            <w:pPr>
              <w:pStyle w:val="TableTextEntries"/>
            </w:pPr>
            <w:r w:rsidRPr="00C578FF">
              <w:t xml:space="preserve">Better articulate the link between support to land, civil society and regional activities and the partnership priorities agreed with the </w:t>
            </w:r>
            <w:r w:rsidR="008E1C7A" w:rsidRPr="00C578FF">
              <w:t>G</w:t>
            </w:r>
            <w:r w:rsidRPr="00C578FF">
              <w:t>overnment</w:t>
            </w:r>
            <w:r w:rsidR="008E1C7A" w:rsidRPr="00C578FF">
              <w:t xml:space="preserve"> of Vanuatu</w:t>
            </w:r>
          </w:p>
        </w:tc>
        <w:tc>
          <w:tcPr>
            <w:tcW w:w="964" w:type="dxa"/>
            <w:shd w:val="clear" w:color="auto" w:fill="F79646" w:themeFill="accent6"/>
          </w:tcPr>
          <w:p w:rsidR="00657E5A" w:rsidRPr="00C578FF" w:rsidRDefault="00657E5A" w:rsidP="00C578FF">
            <w:pPr>
              <w:pStyle w:val="TableTextEntries"/>
            </w:pPr>
            <w:r w:rsidRPr="00C578FF">
              <w:t>Partially achieved</w:t>
            </w:r>
          </w:p>
        </w:tc>
        <w:tc>
          <w:tcPr>
            <w:tcW w:w="6896" w:type="dxa"/>
          </w:tcPr>
          <w:p w:rsidR="00657E5A" w:rsidRPr="00C578FF" w:rsidRDefault="00FE597C" w:rsidP="00C578FF">
            <w:pPr>
              <w:pStyle w:val="TableTextEntries"/>
            </w:pPr>
            <w:r w:rsidRPr="00C578FF">
              <w:t>New Partnership for Development to articulate objectives for support in these areas</w:t>
            </w:r>
            <w:r w:rsidR="001E314E" w:rsidRPr="00C578FF">
              <w:t xml:space="preserve">. </w:t>
            </w:r>
            <w:r w:rsidR="00657E5A" w:rsidRPr="00C578FF">
              <w:t>Law and Justice and Civil society delivery strategies underway</w:t>
            </w:r>
            <w:r w:rsidR="001E314E" w:rsidRPr="00C578FF">
              <w:t xml:space="preserve">. </w:t>
            </w:r>
          </w:p>
        </w:tc>
      </w:tr>
      <w:tr w:rsidR="00657E5A" w:rsidRPr="00180B19" w:rsidTr="00657E5A">
        <w:trPr>
          <w:cnfStyle w:val="000000010000" w:firstRow="0" w:lastRow="0" w:firstColumn="0" w:lastColumn="0" w:oddVBand="0" w:evenVBand="0" w:oddHBand="0" w:evenHBand="1" w:firstRowFirstColumn="0" w:firstRowLastColumn="0" w:lastRowFirstColumn="0" w:lastRowLastColumn="0"/>
        </w:trPr>
        <w:tc>
          <w:tcPr>
            <w:tcW w:w="6473" w:type="dxa"/>
          </w:tcPr>
          <w:p w:rsidR="00657E5A" w:rsidRPr="00C578FF" w:rsidRDefault="00657E5A" w:rsidP="00C578FF">
            <w:pPr>
              <w:pStyle w:val="TableTextEntries"/>
            </w:pPr>
            <w:r w:rsidRPr="00C578FF">
              <w:t xml:space="preserve">Revisit the design of the </w:t>
            </w:r>
            <w:proofErr w:type="spellStart"/>
            <w:r w:rsidRPr="00C578FF">
              <w:t>G</w:t>
            </w:r>
            <w:r w:rsidR="008E1C7A" w:rsidRPr="00C578FF">
              <w:t>fG</w:t>
            </w:r>
            <w:proofErr w:type="spellEnd"/>
            <w:r w:rsidRPr="00C578FF">
              <w:t xml:space="preserve"> program</w:t>
            </w:r>
          </w:p>
        </w:tc>
        <w:tc>
          <w:tcPr>
            <w:tcW w:w="964" w:type="dxa"/>
            <w:shd w:val="clear" w:color="auto" w:fill="92D050"/>
          </w:tcPr>
          <w:p w:rsidR="00657E5A" w:rsidRPr="00C578FF" w:rsidRDefault="00657E5A" w:rsidP="00C578FF">
            <w:pPr>
              <w:pStyle w:val="TableTextEntries"/>
            </w:pPr>
            <w:r w:rsidRPr="00C578FF">
              <w:t>Achieved</w:t>
            </w:r>
          </w:p>
        </w:tc>
        <w:tc>
          <w:tcPr>
            <w:tcW w:w="6896" w:type="dxa"/>
          </w:tcPr>
          <w:p w:rsidR="00657E5A" w:rsidRPr="00C578FF" w:rsidRDefault="00657E5A" w:rsidP="00C578FF">
            <w:pPr>
              <w:pStyle w:val="TableTextEntries"/>
            </w:pPr>
            <w:r w:rsidRPr="00C578FF">
              <w:t xml:space="preserve">Design for Phase 2 of </w:t>
            </w:r>
            <w:proofErr w:type="spellStart"/>
            <w:r w:rsidRPr="00C578FF">
              <w:t>G</w:t>
            </w:r>
            <w:r w:rsidR="008E1C7A" w:rsidRPr="00C578FF">
              <w:t>fG</w:t>
            </w:r>
            <w:proofErr w:type="spellEnd"/>
            <w:r w:rsidRPr="00C578FF">
              <w:t xml:space="preserve"> approved by both </w:t>
            </w:r>
            <w:r w:rsidR="008E1C7A" w:rsidRPr="00C578FF">
              <w:t>g</w:t>
            </w:r>
            <w:r w:rsidRPr="00C578FF">
              <w:t>overnments during the reporting period</w:t>
            </w:r>
            <w:r w:rsidR="00FE597C" w:rsidRPr="00C578FF">
              <w:t xml:space="preserve">, and implementation </w:t>
            </w:r>
            <w:r w:rsidR="008E1C7A" w:rsidRPr="00C578FF">
              <w:t>started</w:t>
            </w:r>
            <w:r w:rsidR="00FE597C" w:rsidRPr="00C578FF">
              <w:t>.</w:t>
            </w:r>
          </w:p>
        </w:tc>
      </w:tr>
    </w:tbl>
    <w:p w:rsidR="00FE4491" w:rsidRPr="00FE4491" w:rsidRDefault="00FE4491" w:rsidP="00FE4491">
      <w:pPr>
        <w:pStyle w:val="Note"/>
      </w:pPr>
      <w:r w:rsidRPr="00FE4491">
        <w:t xml:space="preserve">Note: </w:t>
      </w:r>
    </w:p>
    <w:p w:rsidR="00FE4491" w:rsidRPr="00FE4491" w:rsidRDefault="00FE4491" w:rsidP="00FE4491">
      <w:pPr>
        <w:pStyle w:val="Note"/>
      </w:pPr>
      <w:r w:rsidRPr="00FE4491">
        <w:rPr>
          <w:color w:val="92D050"/>
        </w:rPr>
        <w:sym w:font="Webdings" w:char="F067"/>
      </w:r>
      <w:r w:rsidRPr="00FE4491">
        <w:t> </w:t>
      </w:r>
      <w:r w:rsidRPr="00FE4491">
        <w:t xml:space="preserve"> </w:t>
      </w:r>
      <w:proofErr w:type="gramStart"/>
      <w:r w:rsidR="00443639">
        <w:t>Green</w:t>
      </w:r>
      <w:r>
        <w:t>.</w:t>
      </w:r>
      <w:proofErr w:type="gramEnd"/>
      <w:r>
        <w:rPr>
          <w:rFonts w:ascii="Times New Roman" w:hAnsi="Times New Roman"/>
        </w:rPr>
        <w:t xml:space="preserve"> </w:t>
      </w:r>
      <w:r w:rsidRPr="00EC3C88">
        <w:t>Progress is as expected for this point in time and it is likely that the objective will be achieved. Standard program management practices are sufficient.</w:t>
      </w:r>
    </w:p>
    <w:p w:rsidR="00FE4491" w:rsidRDefault="00FE4491" w:rsidP="00FE4491">
      <w:pPr>
        <w:pStyle w:val="Note"/>
      </w:pPr>
      <w:r w:rsidRPr="00FE4491">
        <w:rPr>
          <w:color w:val="F79646" w:themeColor="accent6"/>
        </w:rPr>
        <w:sym w:font="Webdings" w:char="F067"/>
      </w:r>
      <w:r w:rsidRPr="00FE4491">
        <w:t> </w:t>
      </w:r>
      <w:r w:rsidRPr="00FE4491">
        <w:t xml:space="preserve"> </w:t>
      </w:r>
      <w:r w:rsidRPr="00C93493">
        <w:t xml:space="preserve">Amber. </w:t>
      </w:r>
      <w:r w:rsidRPr="00EC3C88">
        <w:t>Progress is somewhat less than expected for this point in time and restorative action will be necessary if the objective is to be achieved. Close performance monitoring is recommended.</w:t>
      </w:r>
    </w:p>
    <w:p w:rsidR="00BB1C24" w:rsidRDefault="00FE4491" w:rsidP="00FE4491">
      <w:pPr>
        <w:pStyle w:val="Note"/>
      </w:pPr>
      <w:r w:rsidRPr="00FE4491">
        <w:rPr>
          <w:color w:val="FF0000"/>
        </w:rPr>
        <w:sym w:font="Webdings" w:char="F067"/>
      </w:r>
      <w:r w:rsidRPr="00FE4491">
        <w:t> </w:t>
      </w:r>
      <w:r w:rsidRPr="00FE4491">
        <w:t xml:space="preserve"> </w:t>
      </w:r>
      <w:proofErr w:type="gramStart"/>
      <w:r>
        <w:t>Red.</w:t>
      </w:r>
      <w:proofErr w:type="gramEnd"/>
      <w:r w:rsidRPr="009B77CB">
        <w:rPr>
          <w:rFonts w:ascii="Times New Roman" w:hAnsi="Times New Roman"/>
        </w:rPr>
        <w:t xml:space="preserve"> </w:t>
      </w:r>
      <w:r w:rsidRPr="00714039">
        <w:t xml:space="preserve">Progress is significantly less than expected for this point in time and the objective is not likely to be met given available resources and </w:t>
      </w:r>
      <w:r w:rsidRPr="00502435">
        <w:t>priorities. Recasting the objective may be required.</w:t>
      </w:r>
    </w:p>
    <w:p w:rsidR="00FE4491" w:rsidRDefault="00FE4491" w:rsidP="00FE4491">
      <w:pPr>
        <w:sectPr w:rsidR="00FE4491" w:rsidSect="00796F14">
          <w:headerReference w:type="first" r:id="rId14"/>
          <w:footerReference w:type="first" r:id="rId15"/>
          <w:pgSz w:w="16838" w:h="11906" w:orient="landscape" w:code="9"/>
          <w:pgMar w:top="1871" w:right="2268" w:bottom="1701" w:left="907" w:header="709" w:footer="454" w:gutter="0"/>
          <w:cols w:space="708"/>
          <w:titlePg/>
          <w:docGrid w:linePitch="360"/>
        </w:sectPr>
      </w:pPr>
    </w:p>
    <w:p w:rsidR="00FE4491" w:rsidRPr="00FE4491" w:rsidRDefault="00FE4491" w:rsidP="00FE4491">
      <w:pPr>
        <w:pStyle w:val="Heading1"/>
      </w:pPr>
      <w:r w:rsidRPr="00FE4491">
        <w:t xml:space="preserve">Annex B </w:t>
      </w:r>
    </w:p>
    <w:p w:rsidR="00FE4491" w:rsidRPr="00C578FF" w:rsidRDefault="00FE4491" w:rsidP="00C578FF">
      <w:pPr>
        <w:pStyle w:val="Heading2"/>
      </w:pPr>
      <w:r w:rsidRPr="00C578FF">
        <w:t>Quality at Implementation ratings</w:t>
      </w:r>
    </w:p>
    <w:tbl>
      <w:tblPr>
        <w:tblStyle w:val="APPR"/>
        <w:tblW w:w="5000" w:type="pct"/>
        <w:tblLayout w:type="fixed"/>
        <w:tblLook w:val="0000" w:firstRow="0" w:lastRow="0" w:firstColumn="0" w:lastColumn="0" w:noHBand="0" w:noVBand="0"/>
      </w:tblPr>
      <w:tblGrid>
        <w:gridCol w:w="2059"/>
        <w:gridCol w:w="1037"/>
        <w:gridCol w:w="1037"/>
        <w:gridCol w:w="28"/>
        <w:gridCol w:w="633"/>
        <w:gridCol w:w="633"/>
        <w:gridCol w:w="633"/>
        <w:gridCol w:w="633"/>
        <w:gridCol w:w="633"/>
        <w:gridCol w:w="633"/>
        <w:gridCol w:w="647"/>
      </w:tblGrid>
      <w:tr w:rsidR="006F415A" w:rsidRPr="009D53C4" w:rsidTr="00C578FF">
        <w:trPr>
          <w:cnfStyle w:val="000000010000" w:firstRow="0" w:lastRow="0" w:firstColumn="0" w:lastColumn="0" w:oddVBand="0" w:evenVBand="0" w:oddHBand="0" w:evenHBand="1" w:firstRowFirstColumn="0" w:firstRowLastColumn="0" w:lastRowFirstColumn="0" w:lastRowLastColumn="0"/>
          <w:trHeight w:val="1413"/>
        </w:trPr>
        <w:tc>
          <w:tcPr>
            <w:tcW w:w="1000" w:type="pct"/>
          </w:tcPr>
          <w:p w:rsidR="00FE4491" w:rsidRPr="00FE4491" w:rsidRDefault="00FE4491" w:rsidP="00FE4491">
            <w:pPr>
              <w:pStyle w:val="TableTextColumnHeading"/>
            </w:pPr>
            <w:r w:rsidRPr="00FE4491">
              <w:rPr>
                <w:noProof/>
                <w:lang w:eastAsia="en-AU"/>
              </w:rPr>
              <w:drawing>
                <wp:anchor distT="0" distB="0" distL="114300" distR="114300" simplePos="0" relativeHeight="251664384" behindDoc="0" locked="0" layoutInCell="1" allowOverlap="1" wp14:anchorId="1A0CCB5D" wp14:editId="77E270DE">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491">
              <w:t>Initiative name</w:t>
            </w:r>
          </w:p>
        </w:tc>
        <w:tc>
          <w:tcPr>
            <w:tcW w:w="500" w:type="pct"/>
            <w:textDirection w:val="btLr"/>
          </w:tcPr>
          <w:p w:rsidR="00FE4491" w:rsidRPr="00FE4491" w:rsidRDefault="00FE4491" w:rsidP="00FE4491">
            <w:pPr>
              <w:pStyle w:val="TableTextColumnHeading"/>
            </w:pPr>
            <w:r w:rsidRPr="00FE4491">
              <w:t>Approved budget and duration</w:t>
            </w:r>
          </w:p>
        </w:tc>
        <w:tc>
          <w:tcPr>
            <w:tcW w:w="500" w:type="pct"/>
            <w:gridSpan w:val="2"/>
            <w:textDirection w:val="btLr"/>
          </w:tcPr>
          <w:p w:rsidR="00FE4491" w:rsidRPr="00FE4491" w:rsidRDefault="00FE4491" w:rsidP="00FE4491">
            <w:pPr>
              <w:pStyle w:val="TableTextColumnHeading"/>
            </w:pPr>
            <w:proofErr w:type="spellStart"/>
            <w:r w:rsidRPr="00FE4491">
              <w:t>QaI</w:t>
            </w:r>
            <w:proofErr w:type="spellEnd"/>
            <w:r w:rsidRPr="00FE4491">
              <w:t xml:space="preserve"> year</w:t>
            </w:r>
          </w:p>
        </w:tc>
        <w:tc>
          <w:tcPr>
            <w:tcW w:w="300" w:type="pct"/>
            <w:textDirection w:val="btLr"/>
          </w:tcPr>
          <w:p w:rsidR="00FE4491" w:rsidRPr="00FE4491" w:rsidRDefault="00FE4491" w:rsidP="00FE4491">
            <w:pPr>
              <w:pStyle w:val="TableTextColumnHeading"/>
            </w:pPr>
            <w:r w:rsidRPr="00FE4491">
              <w:t>Relevance</w:t>
            </w:r>
          </w:p>
        </w:tc>
        <w:tc>
          <w:tcPr>
            <w:tcW w:w="300" w:type="pct"/>
            <w:textDirection w:val="btLr"/>
          </w:tcPr>
          <w:p w:rsidR="00FE4491" w:rsidRPr="00FE4491" w:rsidRDefault="00FE4491" w:rsidP="00FE4491">
            <w:pPr>
              <w:pStyle w:val="TableTextColumnHeading"/>
            </w:pPr>
            <w:r w:rsidRPr="00FE4491">
              <w:t>Effectiveness</w:t>
            </w:r>
          </w:p>
        </w:tc>
        <w:tc>
          <w:tcPr>
            <w:tcW w:w="300" w:type="pct"/>
            <w:textDirection w:val="btLr"/>
          </w:tcPr>
          <w:p w:rsidR="00FE4491" w:rsidRPr="00FE4491" w:rsidRDefault="00FE4491" w:rsidP="00FE4491">
            <w:pPr>
              <w:pStyle w:val="TableTextColumnHeading"/>
            </w:pPr>
            <w:r w:rsidRPr="00FE4491">
              <w:t>Efficiency</w:t>
            </w:r>
          </w:p>
        </w:tc>
        <w:tc>
          <w:tcPr>
            <w:tcW w:w="300" w:type="pct"/>
            <w:textDirection w:val="btLr"/>
          </w:tcPr>
          <w:p w:rsidR="00FE4491" w:rsidRPr="00FE4491" w:rsidRDefault="00FE4491" w:rsidP="00FE4491">
            <w:pPr>
              <w:pStyle w:val="TableTextColumnHeading"/>
            </w:pPr>
            <w:r w:rsidRPr="00FE4491">
              <w:t xml:space="preserve">Monitoring and </w:t>
            </w:r>
            <w:r w:rsidR="0054471F">
              <w:t>e</w:t>
            </w:r>
            <w:r w:rsidRPr="00FE4491">
              <w:t>valuation</w:t>
            </w:r>
          </w:p>
        </w:tc>
        <w:tc>
          <w:tcPr>
            <w:tcW w:w="300" w:type="pct"/>
            <w:textDirection w:val="btLr"/>
          </w:tcPr>
          <w:p w:rsidR="00FE4491" w:rsidRPr="00FE4491" w:rsidRDefault="00FE4491" w:rsidP="00FE4491">
            <w:pPr>
              <w:pStyle w:val="TableTextColumnHeading"/>
            </w:pPr>
            <w:r w:rsidRPr="00FE4491">
              <w:t>Sustainability</w:t>
            </w:r>
          </w:p>
        </w:tc>
        <w:tc>
          <w:tcPr>
            <w:tcW w:w="300" w:type="pct"/>
            <w:textDirection w:val="btLr"/>
          </w:tcPr>
          <w:p w:rsidR="00FE4491" w:rsidRPr="00FE4491" w:rsidRDefault="00FE4491" w:rsidP="00FE4491">
            <w:pPr>
              <w:pStyle w:val="TableTextColumnHeading"/>
            </w:pPr>
            <w:r w:rsidRPr="00FE4491">
              <w:t>Gender equality</w:t>
            </w:r>
          </w:p>
        </w:tc>
        <w:tc>
          <w:tcPr>
            <w:tcW w:w="300" w:type="pct"/>
            <w:textDirection w:val="btLr"/>
          </w:tcPr>
          <w:p w:rsidR="00FE4491" w:rsidRPr="00FE4491" w:rsidRDefault="00FE4491" w:rsidP="00FE4491">
            <w:pPr>
              <w:pStyle w:val="TableTextColumnHeading"/>
            </w:pPr>
            <w:r w:rsidRPr="00FE4491">
              <w:t xml:space="preserve">Risk </w:t>
            </w:r>
            <w:r w:rsidR="0054471F">
              <w:t>,</w:t>
            </w:r>
            <w:proofErr w:type="spellStart"/>
            <w:r w:rsidRPr="00FE4491">
              <w:t>anagement</w:t>
            </w:r>
            <w:proofErr w:type="spellEnd"/>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8D3281" w:rsidP="0054471F">
            <w:pPr>
              <w:pStyle w:val="TableTextEntries"/>
            </w:pPr>
            <w:r>
              <w:t>Vanuatu Aust</w:t>
            </w:r>
            <w:r w:rsidR="0054471F">
              <w:t>ralia</w:t>
            </w:r>
            <w:r>
              <w:t xml:space="preserve"> Awards</w:t>
            </w:r>
          </w:p>
        </w:tc>
        <w:tc>
          <w:tcPr>
            <w:tcW w:w="500" w:type="pct"/>
            <w:vMerge w:val="restart"/>
          </w:tcPr>
          <w:p w:rsidR="008D3281" w:rsidRPr="00FE4491" w:rsidRDefault="008D3281" w:rsidP="0054471F">
            <w:pPr>
              <w:pStyle w:val="TableTextEntries"/>
            </w:pPr>
            <w:r>
              <w:t>$17.1m</w:t>
            </w:r>
            <w:r>
              <w:br/>
              <w:t>1996</w:t>
            </w:r>
            <w:r w:rsidR="0054471F">
              <w:t>–</w:t>
            </w:r>
            <w:r>
              <w:t>17</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Pr="00FE4491" w:rsidRDefault="008D3281" w:rsidP="00FE4491">
            <w:pPr>
              <w:pStyle w:val="TableTextEntries"/>
              <w:jc w:val="center"/>
            </w:pPr>
            <w:r w:rsidRPr="00FE4491">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FFFF00"/>
            <w:noWrap/>
          </w:tcPr>
          <w:p w:rsidR="008D3281" w:rsidRPr="00FE4491" w:rsidRDefault="008D3281" w:rsidP="00FE4491">
            <w:pPr>
              <w:pStyle w:val="TableTextEntries"/>
              <w:jc w:val="center"/>
            </w:pPr>
            <w:r>
              <w:t>4</w:t>
            </w:r>
          </w:p>
        </w:tc>
        <w:tc>
          <w:tcPr>
            <w:tcW w:w="300" w:type="pct"/>
            <w:shd w:val="clear" w:color="auto" w:fill="FF0000"/>
            <w:noWrap/>
          </w:tcPr>
          <w:p w:rsidR="008D3281" w:rsidRPr="00FE4491" w:rsidRDefault="008D3281" w:rsidP="00FE4491">
            <w:pPr>
              <w:pStyle w:val="TableTextEntries"/>
              <w:jc w:val="center"/>
            </w:pPr>
            <w:r>
              <w:t>3</w:t>
            </w:r>
          </w:p>
        </w:tc>
        <w:tc>
          <w:tcPr>
            <w:tcW w:w="300" w:type="pct"/>
            <w:shd w:val="clear" w:color="auto" w:fill="FFFF00"/>
            <w:noWrap/>
          </w:tcPr>
          <w:p w:rsidR="008D3281" w:rsidRPr="00FE4491" w:rsidRDefault="008D3281" w:rsidP="00FE4491">
            <w:pPr>
              <w:pStyle w:val="TableTextEntries"/>
              <w:jc w:val="center"/>
            </w:pPr>
            <w:r>
              <w:t>4</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FFFF00"/>
            <w:noWrap/>
          </w:tcPr>
          <w:p w:rsidR="008D3281" w:rsidRPr="00FE4491" w:rsidRDefault="008D3281" w:rsidP="00FE4491">
            <w:pPr>
              <w:pStyle w:val="TableTextEntries"/>
              <w:jc w:val="center"/>
            </w:pPr>
            <w:r>
              <w:t>4</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8D3281" w:rsidP="00FE4491">
            <w:pPr>
              <w:pStyle w:val="TableTextEntries"/>
            </w:pPr>
            <w:r>
              <w:t>TVET Phase 2</w:t>
            </w:r>
          </w:p>
        </w:tc>
        <w:tc>
          <w:tcPr>
            <w:tcW w:w="500" w:type="pct"/>
            <w:vMerge w:val="restart"/>
          </w:tcPr>
          <w:p w:rsidR="008D3281" w:rsidRPr="00FE4491" w:rsidRDefault="008D3281" w:rsidP="0054471F">
            <w:pPr>
              <w:pStyle w:val="TableTextEntries"/>
            </w:pPr>
            <w:r>
              <w:t>$16.7m</w:t>
            </w:r>
            <w:r>
              <w:br/>
              <w:t>2004</w:t>
            </w:r>
            <w:r w:rsidR="0054471F">
              <w:t>–</w:t>
            </w:r>
            <w:r>
              <w:t>13</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FFFF00"/>
            <w:noWrap/>
          </w:tcPr>
          <w:p w:rsidR="008D3281" w:rsidRPr="00FE4491" w:rsidRDefault="008D3281" w:rsidP="00FE4491">
            <w:pPr>
              <w:pStyle w:val="TableTextEntries"/>
              <w:jc w:val="center"/>
            </w:pPr>
            <w:r>
              <w:t>4</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FFFF00"/>
            <w:noWrap/>
          </w:tcPr>
          <w:p w:rsidR="008D3281" w:rsidRPr="00FE4491" w:rsidRDefault="008D3281" w:rsidP="00FE4491">
            <w:pPr>
              <w:pStyle w:val="TableTextEntries"/>
              <w:jc w:val="center"/>
            </w:pPr>
            <w:r>
              <w:t>4</w:t>
            </w:r>
          </w:p>
        </w:tc>
        <w:tc>
          <w:tcPr>
            <w:tcW w:w="300" w:type="pct"/>
            <w:shd w:val="clear" w:color="auto" w:fill="92D050"/>
            <w:noWrap/>
          </w:tcPr>
          <w:p w:rsidR="008D3281" w:rsidRPr="00FE4491" w:rsidRDefault="008D3281" w:rsidP="00FE4491">
            <w:pPr>
              <w:pStyle w:val="TableTextEntries"/>
              <w:jc w:val="center"/>
            </w:pPr>
            <w:r>
              <w:t>5</w:t>
            </w:r>
          </w:p>
        </w:tc>
        <w:tc>
          <w:tcPr>
            <w:tcW w:w="300" w:type="pct"/>
            <w:shd w:val="clear" w:color="auto" w:fill="92D050"/>
            <w:noWrap/>
          </w:tcPr>
          <w:p w:rsidR="008D3281" w:rsidRPr="00FE4491" w:rsidRDefault="008D328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8D3281" w:rsidP="00FE4491">
            <w:pPr>
              <w:pStyle w:val="TableTextEntries"/>
            </w:pPr>
            <w:r>
              <w:t>Vanuatu Media Strengthening</w:t>
            </w:r>
          </w:p>
        </w:tc>
        <w:tc>
          <w:tcPr>
            <w:tcW w:w="500" w:type="pct"/>
            <w:vMerge w:val="restart"/>
          </w:tcPr>
          <w:p w:rsidR="008D3281" w:rsidRPr="00FE4491" w:rsidRDefault="008D3281" w:rsidP="0054471F">
            <w:pPr>
              <w:pStyle w:val="TableTextEntries"/>
            </w:pPr>
            <w:r>
              <w:t>$7.5m</w:t>
            </w:r>
            <w:r>
              <w:br/>
              <w:t>2007</w:t>
            </w:r>
            <w:r w:rsidR="0054471F">
              <w:t>–</w:t>
            </w:r>
            <w:r>
              <w:t>13</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Default="008D3281" w:rsidP="00FE4491">
            <w:pPr>
              <w:pStyle w:val="TableTextEntries"/>
              <w:jc w:val="center"/>
            </w:pPr>
            <w:r>
              <w:t>5</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92D050"/>
            <w:noWrap/>
          </w:tcPr>
          <w:p w:rsidR="008D3281" w:rsidRDefault="008D3281" w:rsidP="00FE4491">
            <w:pPr>
              <w:pStyle w:val="TableTextEntries"/>
              <w:jc w:val="center"/>
            </w:pPr>
            <w:r>
              <w:t>5</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79646" w:themeFill="accent6"/>
            <w:noWrap/>
          </w:tcPr>
          <w:p w:rsidR="008D3281" w:rsidRDefault="008D328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Default="008D3281" w:rsidP="00FE4491">
            <w:pPr>
              <w:pStyle w:val="TableTextEntries"/>
              <w:jc w:val="center"/>
            </w:pPr>
            <w:r>
              <w:t>5</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79646" w:themeFill="accent6"/>
            <w:noWrap/>
          </w:tcPr>
          <w:p w:rsidR="008D3281" w:rsidRDefault="008D328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8D3281" w:rsidP="00FE4491">
            <w:pPr>
              <w:pStyle w:val="TableTextEntries"/>
            </w:pPr>
            <w:r>
              <w:t>Governance for Growth</w:t>
            </w:r>
          </w:p>
        </w:tc>
        <w:tc>
          <w:tcPr>
            <w:tcW w:w="500" w:type="pct"/>
            <w:vMerge w:val="restart"/>
          </w:tcPr>
          <w:p w:rsidR="008D3281" w:rsidRPr="00FE4491" w:rsidRDefault="008D3281" w:rsidP="0054471F">
            <w:pPr>
              <w:pStyle w:val="TableTextEntries"/>
            </w:pPr>
            <w:r>
              <w:t>$62.3m</w:t>
            </w:r>
            <w:r>
              <w:br/>
              <w:t>2007</w:t>
            </w:r>
            <w:r w:rsidR="0054471F">
              <w:t>–</w:t>
            </w:r>
            <w:r>
              <w:t>16</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Default="008D3281" w:rsidP="00FE4491">
            <w:pPr>
              <w:pStyle w:val="TableTextEntries"/>
              <w:jc w:val="center"/>
            </w:pPr>
            <w:r>
              <w:t>5</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79646" w:themeFill="accent6"/>
            <w:noWrap/>
          </w:tcPr>
          <w:p w:rsidR="008D3281" w:rsidRDefault="008D328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Default="008D3281" w:rsidP="00FE4491">
            <w:pPr>
              <w:pStyle w:val="TableTextEntries"/>
              <w:jc w:val="center"/>
            </w:pPr>
            <w:r>
              <w:t>5</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FFF00"/>
            <w:noWrap/>
          </w:tcPr>
          <w:p w:rsidR="008D3281" w:rsidRDefault="008D3281" w:rsidP="00FE4491">
            <w:pPr>
              <w:pStyle w:val="TableTextEntries"/>
              <w:jc w:val="center"/>
            </w:pPr>
            <w:r>
              <w:t>4</w:t>
            </w:r>
          </w:p>
        </w:tc>
        <w:tc>
          <w:tcPr>
            <w:tcW w:w="300" w:type="pct"/>
            <w:shd w:val="clear" w:color="auto" w:fill="F79646" w:themeFill="accent6"/>
            <w:noWrap/>
          </w:tcPr>
          <w:p w:rsidR="008D3281" w:rsidRDefault="008D328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8D3281" w:rsidP="00FE4491">
            <w:pPr>
              <w:pStyle w:val="TableTextEntries"/>
            </w:pPr>
            <w:r>
              <w:t>Vanuatu Education Road Map</w:t>
            </w:r>
          </w:p>
        </w:tc>
        <w:tc>
          <w:tcPr>
            <w:tcW w:w="500" w:type="pct"/>
            <w:vMerge w:val="restart"/>
          </w:tcPr>
          <w:p w:rsidR="008D3281" w:rsidRPr="00FE4491" w:rsidRDefault="008D3281" w:rsidP="0054471F">
            <w:pPr>
              <w:pStyle w:val="TableTextEntries"/>
            </w:pPr>
            <w:r>
              <w:t>$19.9m</w:t>
            </w:r>
            <w:r>
              <w:br/>
              <w:t>2008</w:t>
            </w:r>
            <w:r w:rsidR="0054471F">
              <w:t>–</w:t>
            </w:r>
            <w:r>
              <w:t>14</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Default="008D3281" w:rsidP="00FE4491">
            <w:pPr>
              <w:pStyle w:val="TableTextEntries"/>
              <w:jc w:val="center"/>
            </w:pPr>
            <w:r>
              <w:t>5</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F0000"/>
            <w:noWrap/>
          </w:tcPr>
          <w:p w:rsidR="008D3281" w:rsidRDefault="008D3281" w:rsidP="00FE4491">
            <w:pPr>
              <w:pStyle w:val="TableTextEntries"/>
              <w:jc w:val="center"/>
            </w:pPr>
            <w:r>
              <w:t>2</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79646" w:themeFill="accent6"/>
            <w:noWrap/>
          </w:tcPr>
          <w:p w:rsidR="008D3281" w:rsidRDefault="008D3281" w:rsidP="00FE4491">
            <w:pPr>
              <w:pStyle w:val="TableTextEntries"/>
              <w:jc w:val="center"/>
            </w:pPr>
            <w:r>
              <w:t>3</w:t>
            </w:r>
          </w:p>
        </w:tc>
        <w:tc>
          <w:tcPr>
            <w:tcW w:w="300" w:type="pct"/>
            <w:shd w:val="clear" w:color="auto" w:fill="FF0000"/>
            <w:noWrap/>
          </w:tcPr>
          <w:p w:rsidR="008D3281" w:rsidRDefault="008D3281" w:rsidP="00FE4491">
            <w:pPr>
              <w:pStyle w:val="TableTextEntries"/>
              <w:jc w:val="center"/>
            </w:pPr>
            <w:r>
              <w:t>2</w:t>
            </w:r>
          </w:p>
        </w:tc>
        <w:tc>
          <w:tcPr>
            <w:tcW w:w="300" w:type="pct"/>
            <w:shd w:val="clear" w:color="auto" w:fill="F79646" w:themeFill="accent6"/>
            <w:noWrap/>
          </w:tcPr>
          <w:p w:rsidR="008D3281" w:rsidRDefault="008D328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Default="008D3281" w:rsidP="00FE4491">
            <w:pPr>
              <w:pStyle w:val="TableTextEntries"/>
              <w:jc w:val="center"/>
            </w:pPr>
            <w:r>
              <w:t>6</w:t>
            </w:r>
          </w:p>
        </w:tc>
        <w:tc>
          <w:tcPr>
            <w:tcW w:w="300" w:type="pct"/>
            <w:shd w:val="clear" w:color="auto" w:fill="FF0000"/>
            <w:noWrap/>
          </w:tcPr>
          <w:p w:rsidR="008D3281" w:rsidRDefault="008D3281" w:rsidP="00FE4491">
            <w:pPr>
              <w:pStyle w:val="TableTextEntries"/>
              <w:jc w:val="center"/>
            </w:pPr>
            <w:r>
              <w:t>2</w:t>
            </w:r>
          </w:p>
        </w:tc>
        <w:tc>
          <w:tcPr>
            <w:tcW w:w="300" w:type="pct"/>
            <w:shd w:val="clear" w:color="auto" w:fill="FF0000"/>
            <w:noWrap/>
          </w:tcPr>
          <w:p w:rsidR="008D3281" w:rsidRDefault="008D3281" w:rsidP="00FE4491">
            <w:pPr>
              <w:pStyle w:val="TableTextEntries"/>
              <w:jc w:val="center"/>
            </w:pPr>
            <w:r>
              <w:t>2</w:t>
            </w:r>
          </w:p>
        </w:tc>
        <w:tc>
          <w:tcPr>
            <w:tcW w:w="300" w:type="pct"/>
            <w:shd w:val="clear" w:color="auto" w:fill="FF0000"/>
            <w:noWrap/>
          </w:tcPr>
          <w:p w:rsidR="008D3281" w:rsidRDefault="008D3281" w:rsidP="00FE4491">
            <w:pPr>
              <w:pStyle w:val="TableTextEntries"/>
              <w:jc w:val="center"/>
            </w:pPr>
            <w:r>
              <w:t>2</w:t>
            </w:r>
          </w:p>
        </w:tc>
        <w:tc>
          <w:tcPr>
            <w:tcW w:w="300" w:type="pct"/>
            <w:shd w:val="clear" w:color="auto" w:fill="FF0000"/>
            <w:noWrap/>
          </w:tcPr>
          <w:p w:rsidR="008D3281" w:rsidRDefault="008D3281" w:rsidP="00FE4491">
            <w:pPr>
              <w:pStyle w:val="TableTextEntries"/>
              <w:jc w:val="center"/>
            </w:pPr>
            <w:r>
              <w:t>2</w:t>
            </w:r>
          </w:p>
        </w:tc>
        <w:tc>
          <w:tcPr>
            <w:tcW w:w="300" w:type="pct"/>
            <w:shd w:val="clear" w:color="auto" w:fill="92D050"/>
            <w:noWrap/>
          </w:tcPr>
          <w:p w:rsidR="008D3281" w:rsidRDefault="008D3281" w:rsidP="00FE4491">
            <w:pPr>
              <w:pStyle w:val="TableTextEntries"/>
              <w:jc w:val="center"/>
            </w:pPr>
            <w:r>
              <w:t>5</w:t>
            </w:r>
          </w:p>
        </w:tc>
        <w:tc>
          <w:tcPr>
            <w:tcW w:w="300" w:type="pct"/>
            <w:shd w:val="clear" w:color="auto" w:fill="F79646" w:themeFill="accent6"/>
            <w:noWrap/>
          </w:tcPr>
          <w:p w:rsidR="008D3281" w:rsidRDefault="008D328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626AF1" w:rsidP="00FE4491">
            <w:pPr>
              <w:pStyle w:val="TableTextEntries"/>
            </w:pPr>
            <w:r>
              <w:t>Vanuatu Church Partnership</w:t>
            </w:r>
          </w:p>
        </w:tc>
        <w:tc>
          <w:tcPr>
            <w:tcW w:w="500" w:type="pct"/>
            <w:vMerge w:val="restart"/>
          </w:tcPr>
          <w:p w:rsidR="008D3281" w:rsidRPr="00FE4491" w:rsidRDefault="00626AF1" w:rsidP="0054471F">
            <w:pPr>
              <w:pStyle w:val="TableTextEntries"/>
            </w:pPr>
            <w:r>
              <w:t>$5.3m</w:t>
            </w:r>
            <w:r>
              <w:br/>
              <w:t>2009</w:t>
            </w:r>
            <w:r w:rsidR="0054471F">
              <w:t>–</w:t>
            </w:r>
            <w:r>
              <w:t>13</w:t>
            </w:r>
          </w:p>
        </w:tc>
        <w:tc>
          <w:tcPr>
            <w:tcW w:w="500" w:type="pct"/>
          </w:tcPr>
          <w:p w:rsidR="008D3281" w:rsidRPr="00FE4491" w:rsidRDefault="008D3281" w:rsidP="00FE4491">
            <w:pPr>
              <w:pStyle w:val="TableTextEntries"/>
            </w:pPr>
            <w:r w:rsidRPr="00FE4491">
              <w:t>2012</w:t>
            </w:r>
          </w:p>
        </w:tc>
        <w:tc>
          <w:tcPr>
            <w:tcW w:w="300" w:type="pct"/>
            <w:gridSpan w:val="2"/>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79646" w:themeFill="accent6"/>
            <w:noWrap/>
          </w:tcPr>
          <w:p w:rsidR="008D3281" w:rsidRDefault="00626AF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626AF1" w:rsidP="00FE4491">
            <w:pPr>
              <w:pStyle w:val="TableTextEntries"/>
            </w:pPr>
            <w:r>
              <w:t>Vanuatu Transport Sector Support Program</w:t>
            </w:r>
          </w:p>
        </w:tc>
        <w:tc>
          <w:tcPr>
            <w:tcW w:w="500" w:type="pct"/>
            <w:vMerge w:val="restart"/>
          </w:tcPr>
          <w:p w:rsidR="008D3281" w:rsidRPr="00FE4491" w:rsidRDefault="00626AF1" w:rsidP="0054471F">
            <w:pPr>
              <w:pStyle w:val="TableTextEntries"/>
            </w:pPr>
            <w:r>
              <w:t>$58m</w:t>
            </w:r>
            <w:r>
              <w:br/>
              <w:t>2009</w:t>
            </w:r>
            <w:r w:rsidR="0054471F">
              <w:t>–</w:t>
            </w:r>
            <w:r>
              <w:t>16</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Default="00626AF1" w:rsidP="00FE4491">
            <w:pPr>
              <w:pStyle w:val="TableTextEntries"/>
              <w:jc w:val="center"/>
            </w:pPr>
            <w:r>
              <w:t>5</w:t>
            </w:r>
          </w:p>
        </w:tc>
        <w:tc>
          <w:tcPr>
            <w:tcW w:w="300" w:type="pct"/>
            <w:shd w:val="clear" w:color="auto" w:fill="92D050"/>
            <w:noWrap/>
          </w:tcPr>
          <w:p w:rsidR="008D3281" w:rsidRDefault="00626AF1" w:rsidP="00FE4491">
            <w:pPr>
              <w:pStyle w:val="TableTextEntries"/>
              <w:jc w:val="center"/>
            </w:pPr>
            <w:r>
              <w:t>5</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Default="00626AF1" w:rsidP="00FE4491">
            <w:pPr>
              <w:pStyle w:val="TableTextEntries"/>
              <w:jc w:val="center"/>
            </w:pPr>
            <w:r>
              <w:t>5</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0000"/>
            <w:noWrap/>
          </w:tcPr>
          <w:p w:rsidR="008D3281" w:rsidRDefault="00626AF1" w:rsidP="00FE4491">
            <w:pPr>
              <w:pStyle w:val="TableTextEntries"/>
              <w:jc w:val="center"/>
            </w:pPr>
            <w:r>
              <w:t>2</w:t>
            </w:r>
          </w:p>
        </w:tc>
        <w:tc>
          <w:tcPr>
            <w:tcW w:w="300" w:type="pct"/>
            <w:shd w:val="clear" w:color="auto" w:fill="92D050"/>
            <w:noWrap/>
          </w:tcPr>
          <w:p w:rsidR="008D3281" w:rsidRDefault="00626AF1" w:rsidP="00FE4491">
            <w:pPr>
              <w:pStyle w:val="TableTextEntries"/>
              <w:jc w:val="center"/>
            </w:pPr>
            <w:r>
              <w:t>5</w:t>
            </w:r>
          </w:p>
        </w:tc>
        <w:tc>
          <w:tcPr>
            <w:tcW w:w="300" w:type="pct"/>
            <w:shd w:val="clear" w:color="auto" w:fill="F79646" w:themeFill="accent6"/>
            <w:noWrap/>
          </w:tcPr>
          <w:p w:rsidR="008D3281" w:rsidRDefault="00626AF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626AF1" w:rsidP="00FE4491">
            <w:pPr>
              <w:pStyle w:val="TableTextEntries"/>
            </w:pPr>
            <w:r>
              <w:t>Vanuatu Land Program</w:t>
            </w:r>
          </w:p>
        </w:tc>
        <w:tc>
          <w:tcPr>
            <w:tcW w:w="500" w:type="pct"/>
            <w:vMerge w:val="restart"/>
          </w:tcPr>
          <w:p w:rsidR="008D3281" w:rsidRPr="00FE4491" w:rsidRDefault="00626AF1" w:rsidP="0054471F">
            <w:pPr>
              <w:pStyle w:val="TableTextEntries"/>
            </w:pPr>
            <w:r>
              <w:t>$20.3m</w:t>
            </w:r>
            <w:r>
              <w:br/>
              <w:t>2009</w:t>
            </w:r>
            <w:r w:rsidR="0054471F">
              <w:t>–</w:t>
            </w:r>
            <w:r>
              <w:t>15</w:t>
            </w:r>
          </w:p>
        </w:tc>
        <w:tc>
          <w:tcPr>
            <w:tcW w:w="500" w:type="pct"/>
          </w:tcPr>
          <w:p w:rsidR="008D3281" w:rsidRPr="00FE4491" w:rsidRDefault="008D3281" w:rsidP="00FE4491">
            <w:pPr>
              <w:pStyle w:val="TableTextEntries"/>
            </w:pPr>
            <w:r w:rsidRPr="00FE4491">
              <w:t>2012</w:t>
            </w:r>
          </w:p>
        </w:tc>
        <w:tc>
          <w:tcPr>
            <w:tcW w:w="300" w:type="pct"/>
            <w:gridSpan w:val="2"/>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0000"/>
            <w:noWrap/>
          </w:tcPr>
          <w:p w:rsidR="008D3281" w:rsidRDefault="00626AF1" w:rsidP="00FE4491">
            <w:pPr>
              <w:pStyle w:val="TableTextEntries"/>
              <w:jc w:val="center"/>
            </w:pPr>
            <w:r>
              <w:t>2</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FFF00"/>
            <w:noWrap/>
          </w:tcPr>
          <w:p w:rsidR="008D3281" w:rsidRDefault="00626AF1" w:rsidP="00FE4491">
            <w:pPr>
              <w:pStyle w:val="TableTextEntries"/>
              <w:jc w:val="center"/>
            </w:pPr>
            <w:r>
              <w:t>4</w:t>
            </w:r>
          </w:p>
        </w:tc>
        <w:tc>
          <w:tcPr>
            <w:tcW w:w="300" w:type="pct"/>
            <w:shd w:val="clear" w:color="auto" w:fill="F79646" w:themeFill="accent6"/>
            <w:noWrap/>
          </w:tcPr>
          <w:p w:rsidR="008D3281" w:rsidRDefault="00626AF1" w:rsidP="00FE4491">
            <w:pPr>
              <w:pStyle w:val="TableTextEntries"/>
              <w:jc w:val="center"/>
            </w:pPr>
            <w:r>
              <w:t>3</w:t>
            </w:r>
          </w:p>
        </w:tc>
        <w:tc>
          <w:tcPr>
            <w:tcW w:w="300" w:type="pct"/>
            <w:shd w:val="clear" w:color="auto" w:fill="F79646" w:themeFill="accent6"/>
            <w:noWrap/>
          </w:tcPr>
          <w:p w:rsidR="008D3281" w:rsidRDefault="00626AF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0D4620" w:rsidRDefault="00920F71" w:rsidP="00FE4491">
            <w:pPr>
              <w:pStyle w:val="TableTextEntries"/>
              <w:rPr>
                <w:i/>
              </w:rPr>
            </w:pPr>
            <w:r w:rsidRPr="000D4620">
              <w:rPr>
                <w:i/>
              </w:rPr>
              <w:t xml:space="preserve">Wan </w:t>
            </w:r>
            <w:proofErr w:type="spellStart"/>
            <w:r w:rsidRPr="000D4620">
              <w:rPr>
                <w:i/>
              </w:rPr>
              <w:t>Smolbag</w:t>
            </w:r>
            <w:proofErr w:type="spellEnd"/>
          </w:p>
        </w:tc>
        <w:tc>
          <w:tcPr>
            <w:tcW w:w="500" w:type="pct"/>
            <w:vMerge w:val="restart"/>
          </w:tcPr>
          <w:p w:rsidR="008D3281" w:rsidRPr="00FE4491" w:rsidRDefault="00920F71" w:rsidP="0054471F">
            <w:pPr>
              <w:pStyle w:val="TableTextEntries"/>
            </w:pPr>
            <w:r>
              <w:t>$6.7m</w:t>
            </w:r>
            <w:r>
              <w:br/>
              <w:t>2010</w:t>
            </w:r>
            <w:r w:rsidR="0054471F">
              <w:t>–</w:t>
            </w:r>
            <w:r>
              <w:t>14</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Default="00920F71" w:rsidP="00FE4491">
            <w:pPr>
              <w:pStyle w:val="TableTextEntries"/>
              <w:jc w:val="center"/>
            </w:pPr>
            <w:r>
              <w:t>5</w:t>
            </w:r>
          </w:p>
        </w:tc>
        <w:tc>
          <w:tcPr>
            <w:tcW w:w="300" w:type="pct"/>
            <w:shd w:val="clear" w:color="auto" w:fill="92D050"/>
            <w:noWrap/>
          </w:tcPr>
          <w:p w:rsidR="008D3281" w:rsidRDefault="00920F71" w:rsidP="00FE4491">
            <w:pPr>
              <w:pStyle w:val="TableTextEntries"/>
              <w:jc w:val="center"/>
            </w:pPr>
            <w:r>
              <w:t>5</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92D050"/>
            <w:noWrap/>
          </w:tcPr>
          <w:p w:rsidR="008D3281" w:rsidRDefault="00920F71" w:rsidP="00FE4491">
            <w:pPr>
              <w:pStyle w:val="TableTextEntries"/>
              <w:jc w:val="center"/>
            </w:pPr>
            <w:r>
              <w:t>6</w:t>
            </w:r>
          </w:p>
        </w:tc>
        <w:tc>
          <w:tcPr>
            <w:tcW w:w="300" w:type="pct"/>
            <w:shd w:val="clear" w:color="auto" w:fill="92D050"/>
            <w:noWrap/>
          </w:tcPr>
          <w:p w:rsidR="008D3281" w:rsidRDefault="00920F7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Default="00920F71" w:rsidP="00FE4491">
            <w:pPr>
              <w:pStyle w:val="TableTextEntries"/>
              <w:jc w:val="center"/>
            </w:pPr>
            <w:r>
              <w:t>6</w:t>
            </w:r>
          </w:p>
        </w:tc>
        <w:tc>
          <w:tcPr>
            <w:tcW w:w="300" w:type="pct"/>
            <w:shd w:val="clear" w:color="auto" w:fill="92D050"/>
            <w:noWrap/>
          </w:tcPr>
          <w:p w:rsidR="008D3281" w:rsidRDefault="00920F71" w:rsidP="00FE4491">
            <w:pPr>
              <w:pStyle w:val="TableTextEntries"/>
              <w:jc w:val="center"/>
            </w:pPr>
            <w:r>
              <w:t>6</w:t>
            </w:r>
          </w:p>
        </w:tc>
        <w:tc>
          <w:tcPr>
            <w:tcW w:w="300" w:type="pct"/>
            <w:shd w:val="clear" w:color="auto" w:fill="92D050"/>
            <w:noWrap/>
          </w:tcPr>
          <w:p w:rsidR="008D3281" w:rsidRDefault="00920F71" w:rsidP="00FE4491">
            <w:pPr>
              <w:pStyle w:val="TableTextEntries"/>
              <w:jc w:val="center"/>
            </w:pPr>
            <w:r>
              <w:t>5</w:t>
            </w:r>
          </w:p>
        </w:tc>
        <w:tc>
          <w:tcPr>
            <w:tcW w:w="300" w:type="pct"/>
            <w:shd w:val="clear" w:color="auto" w:fill="92D050"/>
            <w:noWrap/>
          </w:tcPr>
          <w:p w:rsidR="008D3281" w:rsidRDefault="00920F71" w:rsidP="00FE4491">
            <w:pPr>
              <w:pStyle w:val="TableTextEntries"/>
              <w:jc w:val="center"/>
            </w:pPr>
            <w:r>
              <w:t>5</w:t>
            </w:r>
          </w:p>
        </w:tc>
        <w:tc>
          <w:tcPr>
            <w:tcW w:w="300" w:type="pct"/>
            <w:shd w:val="clear" w:color="auto" w:fill="92D050"/>
            <w:noWrap/>
          </w:tcPr>
          <w:p w:rsidR="008D3281" w:rsidRDefault="00920F71" w:rsidP="00FE4491">
            <w:pPr>
              <w:pStyle w:val="TableTextEntries"/>
              <w:jc w:val="center"/>
            </w:pPr>
            <w:r>
              <w:t>5</w:t>
            </w:r>
          </w:p>
        </w:tc>
        <w:tc>
          <w:tcPr>
            <w:tcW w:w="300" w:type="pct"/>
            <w:shd w:val="clear" w:color="auto" w:fill="92D050"/>
            <w:noWrap/>
          </w:tcPr>
          <w:p w:rsidR="008D3281" w:rsidRDefault="00920F71" w:rsidP="00FE4491">
            <w:pPr>
              <w:pStyle w:val="TableTextEntries"/>
              <w:jc w:val="center"/>
            </w:pPr>
            <w:r>
              <w:t>6</w:t>
            </w:r>
          </w:p>
        </w:tc>
        <w:tc>
          <w:tcPr>
            <w:tcW w:w="300" w:type="pct"/>
            <w:shd w:val="clear" w:color="auto" w:fill="92D050"/>
            <w:noWrap/>
          </w:tcPr>
          <w:p w:rsidR="008D3281" w:rsidRDefault="00920F7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920F71" w:rsidP="00FE4491">
            <w:pPr>
              <w:pStyle w:val="TableTextEntries"/>
            </w:pPr>
            <w:r>
              <w:t>Vanuatu Health Sector</w:t>
            </w:r>
          </w:p>
        </w:tc>
        <w:tc>
          <w:tcPr>
            <w:tcW w:w="500" w:type="pct"/>
            <w:vMerge w:val="restart"/>
          </w:tcPr>
          <w:p w:rsidR="008D3281" w:rsidRPr="00FE4491" w:rsidRDefault="00920F71" w:rsidP="0054471F">
            <w:pPr>
              <w:pStyle w:val="TableTextEntries"/>
            </w:pPr>
            <w:r>
              <w:t>$21.6m</w:t>
            </w:r>
            <w:r>
              <w:br/>
              <w:t>2010</w:t>
            </w:r>
            <w:r w:rsidR="0054471F">
              <w:t>–</w:t>
            </w:r>
            <w:r>
              <w:t>14</w:t>
            </w:r>
          </w:p>
        </w:tc>
        <w:tc>
          <w:tcPr>
            <w:tcW w:w="500" w:type="pct"/>
          </w:tcPr>
          <w:p w:rsidR="008D3281" w:rsidRPr="00FE4491" w:rsidRDefault="008D3281" w:rsidP="00FE4491">
            <w:pPr>
              <w:pStyle w:val="TableTextEntries"/>
            </w:pPr>
            <w:r w:rsidRPr="00FE4491">
              <w:t>2012</w:t>
            </w:r>
          </w:p>
        </w:tc>
        <w:tc>
          <w:tcPr>
            <w:tcW w:w="300" w:type="pct"/>
            <w:gridSpan w:val="2"/>
            <w:shd w:val="clear" w:color="auto" w:fill="92D050"/>
            <w:noWrap/>
          </w:tcPr>
          <w:p w:rsidR="008D3281" w:rsidRDefault="00920F71" w:rsidP="00FE4491">
            <w:pPr>
              <w:pStyle w:val="TableTextEntries"/>
              <w:jc w:val="center"/>
            </w:pPr>
            <w:r>
              <w:t>5</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79646" w:themeFill="accent6"/>
            <w:noWrap/>
          </w:tcPr>
          <w:p w:rsidR="008D3281" w:rsidRDefault="00920F71" w:rsidP="00FE4491">
            <w:pPr>
              <w:pStyle w:val="TableTextEntries"/>
              <w:jc w:val="center"/>
            </w:pPr>
            <w:r>
              <w:t>3</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79646" w:themeFill="accent6"/>
            <w:noWrap/>
          </w:tcPr>
          <w:p w:rsidR="008D3281" w:rsidRDefault="00920F7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shd w:val="clear" w:color="auto" w:fill="92D050"/>
            <w:noWrap/>
          </w:tcPr>
          <w:p w:rsidR="008D3281" w:rsidRDefault="00920F71" w:rsidP="00FE4491">
            <w:pPr>
              <w:pStyle w:val="TableTextEntries"/>
              <w:jc w:val="center"/>
            </w:pPr>
            <w:r>
              <w:t>5</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79646" w:themeFill="accent6"/>
            <w:noWrap/>
          </w:tcPr>
          <w:p w:rsidR="008D3281" w:rsidRDefault="00920F71" w:rsidP="00FE4491">
            <w:pPr>
              <w:pStyle w:val="TableTextEntries"/>
              <w:jc w:val="center"/>
            </w:pPr>
            <w:r>
              <w:t>3</w:t>
            </w:r>
          </w:p>
        </w:tc>
        <w:tc>
          <w:tcPr>
            <w:tcW w:w="300" w:type="pct"/>
            <w:shd w:val="clear" w:color="auto" w:fill="FF0000"/>
            <w:noWrap/>
          </w:tcPr>
          <w:p w:rsidR="008D3281" w:rsidRDefault="00920F71" w:rsidP="00FE4491">
            <w:pPr>
              <w:pStyle w:val="TableTextEntries"/>
              <w:jc w:val="center"/>
            </w:pPr>
            <w:r>
              <w:t>2</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79646" w:themeFill="accent6"/>
            <w:noWrap/>
          </w:tcPr>
          <w:p w:rsidR="008D3281" w:rsidRDefault="00920F71" w:rsidP="00FE4491">
            <w:pPr>
              <w:pStyle w:val="TableTextEntries"/>
              <w:jc w:val="center"/>
            </w:pPr>
            <w:r>
              <w:t>I</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8D3281" w:rsidRPr="00FE4491" w:rsidRDefault="00920F71" w:rsidP="00FE4491">
            <w:pPr>
              <w:pStyle w:val="TableTextEntries"/>
            </w:pPr>
            <w:r>
              <w:t>Vanuatu Law and Justice Partnership</w:t>
            </w:r>
          </w:p>
        </w:tc>
        <w:tc>
          <w:tcPr>
            <w:tcW w:w="500" w:type="pct"/>
            <w:vMerge w:val="restart"/>
          </w:tcPr>
          <w:p w:rsidR="008D3281" w:rsidRPr="00FE4491" w:rsidRDefault="00920F71" w:rsidP="0054471F">
            <w:pPr>
              <w:pStyle w:val="TableTextEntries"/>
            </w:pPr>
            <w:r>
              <w:t>$4.5m</w:t>
            </w:r>
            <w:r>
              <w:br/>
              <w:t>2012</w:t>
            </w:r>
            <w:r w:rsidR="0054471F">
              <w:t>–</w:t>
            </w:r>
            <w:r>
              <w:t>13</w:t>
            </w:r>
          </w:p>
        </w:tc>
        <w:tc>
          <w:tcPr>
            <w:tcW w:w="500" w:type="pct"/>
          </w:tcPr>
          <w:p w:rsidR="008D3281" w:rsidRPr="00FE4491" w:rsidRDefault="008D3281" w:rsidP="00FE4491">
            <w:pPr>
              <w:pStyle w:val="TableTextEntries"/>
            </w:pPr>
            <w:r w:rsidRPr="00FE4491">
              <w:t>2012</w:t>
            </w:r>
          </w:p>
        </w:tc>
        <w:tc>
          <w:tcPr>
            <w:tcW w:w="300" w:type="pct"/>
            <w:gridSpan w:val="2"/>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FFFF00"/>
            <w:noWrap/>
          </w:tcPr>
          <w:p w:rsidR="008D3281" w:rsidRDefault="00920F71" w:rsidP="00FE4491">
            <w:pPr>
              <w:pStyle w:val="TableTextEntries"/>
              <w:jc w:val="center"/>
            </w:pPr>
            <w:r>
              <w:t>4</w:t>
            </w:r>
          </w:p>
        </w:tc>
        <w:tc>
          <w:tcPr>
            <w:tcW w:w="300" w:type="pct"/>
            <w:shd w:val="clear" w:color="auto" w:fill="92D050"/>
            <w:noWrap/>
          </w:tcPr>
          <w:p w:rsidR="008D3281" w:rsidRDefault="00920F71" w:rsidP="00FE4491">
            <w:pPr>
              <w:pStyle w:val="TableTextEntries"/>
              <w:jc w:val="center"/>
            </w:pPr>
            <w:r>
              <w:t>5</w:t>
            </w:r>
          </w:p>
        </w:tc>
        <w:tc>
          <w:tcPr>
            <w:tcW w:w="300" w:type="pct"/>
            <w:shd w:val="clear" w:color="auto" w:fill="92D050"/>
            <w:noWrap/>
          </w:tcPr>
          <w:p w:rsidR="008D3281" w:rsidRDefault="00920F71" w:rsidP="00FE4491">
            <w:pPr>
              <w:pStyle w:val="TableTextEntries"/>
              <w:jc w:val="center"/>
            </w:pPr>
            <w:r>
              <w:t>M</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8D3281" w:rsidRPr="00FE4491" w:rsidRDefault="008D3281" w:rsidP="00FE4491">
            <w:pPr>
              <w:pStyle w:val="TableTextEntries"/>
            </w:pPr>
          </w:p>
        </w:tc>
        <w:tc>
          <w:tcPr>
            <w:tcW w:w="500" w:type="pct"/>
            <w:vMerge/>
          </w:tcPr>
          <w:p w:rsidR="008D3281" w:rsidRPr="00FE4491" w:rsidRDefault="008D3281" w:rsidP="00FE4491">
            <w:pPr>
              <w:pStyle w:val="TableTextEntries"/>
            </w:pPr>
          </w:p>
        </w:tc>
        <w:tc>
          <w:tcPr>
            <w:tcW w:w="500" w:type="pct"/>
          </w:tcPr>
          <w:p w:rsidR="008D3281" w:rsidRPr="00FE4491" w:rsidRDefault="008D3281" w:rsidP="00FE4491">
            <w:pPr>
              <w:pStyle w:val="TableTextEntries"/>
            </w:pPr>
            <w:r w:rsidRPr="00FE4491">
              <w:t>2011</w:t>
            </w:r>
          </w:p>
        </w:tc>
        <w:tc>
          <w:tcPr>
            <w:tcW w:w="300" w:type="pct"/>
            <w:gridSpan w:val="2"/>
            <w:noWrap/>
          </w:tcPr>
          <w:p w:rsidR="008D3281" w:rsidRDefault="00920F71" w:rsidP="00FE4491">
            <w:pPr>
              <w:pStyle w:val="TableTextEntries"/>
              <w:jc w:val="center"/>
            </w:pPr>
            <w:r>
              <w:t>E</w:t>
            </w:r>
          </w:p>
        </w:tc>
        <w:tc>
          <w:tcPr>
            <w:tcW w:w="300" w:type="pct"/>
            <w:noWrap/>
          </w:tcPr>
          <w:p w:rsidR="008D3281" w:rsidRDefault="00920F71" w:rsidP="00FE4491">
            <w:pPr>
              <w:pStyle w:val="TableTextEntries"/>
              <w:jc w:val="center"/>
            </w:pPr>
            <w:r>
              <w:t>E</w:t>
            </w:r>
          </w:p>
        </w:tc>
        <w:tc>
          <w:tcPr>
            <w:tcW w:w="300" w:type="pct"/>
            <w:noWrap/>
          </w:tcPr>
          <w:p w:rsidR="008D3281" w:rsidRDefault="00920F71" w:rsidP="00FE4491">
            <w:pPr>
              <w:pStyle w:val="TableTextEntries"/>
              <w:jc w:val="center"/>
            </w:pPr>
            <w:r>
              <w:t>E</w:t>
            </w:r>
          </w:p>
        </w:tc>
        <w:tc>
          <w:tcPr>
            <w:tcW w:w="300" w:type="pct"/>
            <w:noWrap/>
          </w:tcPr>
          <w:p w:rsidR="008D3281" w:rsidRDefault="00920F71" w:rsidP="00FE4491">
            <w:pPr>
              <w:pStyle w:val="TableTextEntries"/>
              <w:jc w:val="center"/>
            </w:pPr>
            <w:r>
              <w:t>E</w:t>
            </w:r>
          </w:p>
        </w:tc>
        <w:tc>
          <w:tcPr>
            <w:tcW w:w="300" w:type="pct"/>
            <w:noWrap/>
          </w:tcPr>
          <w:p w:rsidR="008D3281" w:rsidRDefault="00920F71" w:rsidP="00FE4491">
            <w:pPr>
              <w:pStyle w:val="TableTextEntries"/>
              <w:jc w:val="center"/>
            </w:pPr>
            <w:r>
              <w:t>E</w:t>
            </w:r>
          </w:p>
        </w:tc>
        <w:tc>
          <w:tcPr>
            <w:tcW w:w="300" w:type="pct"/>
            <w:noWrap/>
          </w:tcPr>
          <w:p w:rsidR="008D3281" w:rsidRDefault="00920F71" w:rsidP="00FE4491">
            <w:pPr>
              <w:pStyle w:val="TableTextEntries"/>
              <w:jc w:val="center"/>
            </w:pPr>
            <w:r>
              <w:t>E</w:t>
            </w:r>
          </w:p>
        </w:tc>
        <w:tc>
          <w:tcPr>
            <w:tcW w:w="300" w:type="pct"/>
            <w:shd w:val="clear" w:color="auto" w:fill="auto"/>
            <w:noWrap/>
          </w:tcPr>
          <w:p w:rsidR="008D3281" w:rsidRDefault="00920F71" w:rsidP="00FE4491">
            <w:pPr>
              <w:pStyle w:val="TableTextEntries"/>
              <w:jc w:val="center"/>
            </w:pPr>
            <w:r>
              <w:t>E</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920F71" w:rsidRPr="00FE4491" w:rsidRDefault="00920F71" w:rsidP="00FE4491">
            <w:pPr>
              <w:pStyle w:val="TableTextEntries"/>
            </w:pPr>
            <w:r>
              <w:t>Vanuatu Australia Police Project</w:t>
            </w:r>
          </w:p>
        </w:tc>
        <w:tc>
          <w:tcPr>
            <w:tcW w:w="500" w:type="pct"/>
            <w:vMerge w:val="restart"/>
          </w:tcPr>
          <w:p w:rsidR="00920F71" w:rsidRPr="00FE4491" w:rsidRDefault="006F415A" w:rsidP="0054471F">
            <w:pPr>
              <w:pStyle w:val="TableTextEntries"/>
            </w:pPr>
            <w:r>
              <w:t>$13m</w:t>
            </w:r>
            <w:r>
              <w:br/>
              <w:t>2011</w:t>
            </w:r>
            <w:r w:rsidR="0054471F">
              <w:t>–</w:t>
            </w:r>
            <w:r>
              <w:t>16</w:t>
            </w:r>
          </w:p>
        </w:tc>
        <w:tc>
          <w:tcPr>
            <w:tcW w:w="500" w:type="pct"/>
          </w:tcPr>
          <w:p w:rsidR="00920F71" w:rsidRPr="00FE4491" w:rsidRDefault="00920F71" w:rsidP="00FE4491">
            <w:pPr>
              <w:pStyle w:val="TableTextEntries"/>
            </w:pPr>
            <w:r w:rsidRPr="00FE4491">
              <w:t>2012</w:t>
            </w:r>
          </w:p>
        </w:tc>
        <w:tc>
          <w:tcPr>
            <w:tcW w:w="300" w:type="pct"/>
            <w:gridSpan w:val="2"/>
            <w:noWrap/>
          </w:tcPr>
          <w:p w:rsidR="00920F71" w:rsidRDefault="006F415A" w:rsidP="00FE4491">
            <w:pPr>
              <w:pStyle w:val="TableTextEntries"/>
              <w:jc w:val="center"/>
            </w:pPr>
            <w:r>
              <w:t>E</w:t>
            </w:r>
          </w:p>
        </w:tc>
        <w:tc>
          <w:tcPr>
            <w:tcW w:w="300" w:type="pct"/>
            <w:noWrap/>
          </w:tcPr>
          <w:p w:rsidR="00920F71" w:rsidRDefault="006F415A" w:rsidP="00FE4491">
            <w:pPr>
              <w:pStyle w:val="TableTextEntries"/>
              <w:jc w:val="center"/>
            </w:pPr>
            <w:r>
              <w:t>E</w:t>
            </w:r>
          </w:p>
        </w:tc>
        <w:tc>
          <w:tcPr>
            <w:tcW w:w="300" w:type="pct"/>
            <w:noWrap/>
          </w:tcPr>
          <w:p w:rsidR="00920F71" w:rsidRDefault="006F415A" w:rsidP="00FE4491">
            <w:pPr>
              <w:pStyle w:val="TableTextEntries"/>
              <w:jc w:val="center"/>
            </w:pPr>
            <w:r>
              <w:t>E</w:t>
            </w:r>
          </w:p>
        </w:tc>
        <w:tc>
          <w:tcPr>
            <w:tcW w:w="300" w:type="pct"/>
            <w:noWrap/>
          </w:tcPr>
          <w:p w:rsidR="00920F71" w:rsidRDefault="006F415A" w:rsidP="00FE4491">
            <w:pPr>
              <w:pStyle w:val="TableTextEntries"/>
              <w:jc w:val="center"/>
            </w:pPr>
            <w:r>
              <w:t>E</w:t>
            </w:r>
          </w:p>
        </w:tc>
        <w:tc>
          <w:tcPr>
            <w:tcW w:w="300" w:type="pct"/>
            <w:noWrap/>
          </w:tcPr>
          <w:p w:rsidR="00920F71" w:rsidRDefault="006F415A" w:rsidP="00FE4491">
            <w:pPr>
              <w:pStyle w:val="TableTextEntries"/>
              <w:jc w:val="center"/>
            </w:pPr>
            <w:r>
              <w:t>E</w:t>
            </w:r>
          </w:p>
        </w:tc>
        <w:tc>
          <w:tcPr>
            <w:tcW w:w="300" w:type="pct"/>
            <w:noWrap/>
          </w:tcPr>
          <w:p w:rsidR="00920F71" w:rsidRDefault="006F415A" w:rsidP="00FE4491">
            <w:pPr>
              <w:pStyle w:val="TableTextEntries"/>
              <w:jc w:val="center"/>
            </w:pPr>
            <w:r>
              <w:t>E</w:t>
            </w:r>
          </w:p>
        </w:tc>
        <w:tc>
          <w:tcPr>
            <w:tcW w:w="300" w:type="pct"/>
            <w:shd w:val="clear" w:color="auto" w:fill="auto"/>
            <w:noWrap/>
          </w:tcPr>
          <w:p w:rsidR="00920F71" w:rsidRDefault="006F415A" w:rsidP="00FE4491">
            <w:pPr>
              <w:pStyle w:val="TableTextEntries"/>
              <w:jc w:val="center"/>
            </w:pPr>
            <w:r>
              <w:t>E</w:t>
            </w:r>
          </w:p>
        </w:tc>
      </w:tr>
      <w:tr w:rsidR="00920F71"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920F71" w:rsidRPr="00FE4491" w:rsidRDefault="00920F71" w:rsidP="00FE4491">
            <w:pPr>
              <w:pStyle w:val="TableTextEntries"/>
            </w:pPr>
          </w:p>
        </w:tc>
        <w:tc>
          <w:tcPr>
            <w:tcW w:w="500" w:type="pct"/>
            <w:vMerge/>
          </w:tcPr>
          <w:p w:rsidR="00920F71" w:rsidRPr="00FE4491" w:rsidRDefault="00920F71" w:rsidP="00FE4491">
            <w:pPr>
              <w:pStyle w:val="TableTextEntries"/>
            </w:pPr>
          </w:p>
        </w:tc>
        <w:tc>
          <w:tcPr>
            <w:tcW w:w="500" w:type="pct"/>
          </w:tcPr>
          <w:p w:rsidR="00920F71" w:rsidRPr="00FE4491" w:rsidRDefault="00920F71" w:rsidP="00FE4491">
            <w:pPr>
              <w:pStyle w:val="TableTextEntries"/>
            </w:pPr>
            <w:r w:rsidRPr="00FE4491">
              <w:t>2011</w:t>
            </w:r>
          </w:p>
        </w:tc>
        <w:tc>
          <w:tcPr>
            <w:tcW w:w="300" w:type="pct"/>
            <w:gridSpan w:val="2"/>
            <w:shd w:val="clear" w:color="auto" w:fill="92D050"/>
            <w:noWrap/>
          </w:tcPr>
          <w:p w:rsidR="00920F71" w:rsidRDefault="006F415A" w:rsidP="00FE4491">
            <w:pPr>
              <w:pStyle w:val="TableTextEntries"/>
              <w:jc w:val="center"/>
            </w:pPr>
            <w:r>
              <w:t>5</w:t>
            </w:r>
          </w:p>
        </w:tc>
        <w:tc>
          <w:tcPr>
            <w:tcW w:w="300" w:type="pct"/>
            <w:shd w:val="clear" w:color="auto" w:fill="FFFF00"/>
            <w:noWrap/>
          </w:tcPr>
          <w:p w:rsidR="00920F71" w:rsidRDefault="006F415A" w:rsidP="00FE4491">
            <w:pPr>
              <w:pStyle w:val="TableTextEntries"/>
              <w:jc w:val="center"/>
            </w:pPr>
            <w:r>
              <w:t>4</w:t>
            </w:r>
          </w:p>
        </w:tc>
        <w:tc>
          <w:tcPr>
            <w:tcW w:w="300" w:type="pct"/>
            <w:shd w:val="clear" w:color="auto" w:fill="FFFF00"/>
            <w:noWrap/>
          </w:tcPr>
          <w:p w:rsidR="00920F71" w:rsidRDefault="006F415A" w:rsidP="00FE4491">
            <w:pPr>
              <w:pStyle w:val="TableTextEntries"/>
              <w:jc w:val="center"/>
            </w:pPr>
            <w:r>
              <w:t>4</w:t>
            </w:r>
          </w:p>
        </w:tc>
        <w:tc>
          <w:tcPr>
            <w:tcW w:w="300" w:type="pct"/>
            <w:shd w:val="clear" w:color="auto" w:fill="F79646" w:themeFill="accent6"/>
            <w:noWrap/>
          </w:tcPr>
          <w:p w:rsidR="00920F71" w:rsidRDefault="006F415A" w:rsidP="00FE4491">
            <w:pPr>
              <w:pStyle w:val="TableTextEntries"/>
              <w:jc w:val="center"/>
            </w:pPr>
            <w:r>
              <w:t>3</w:t>
            </w:r>
          </w:p>
        </w:tc>
        <w:tc>
          <w:tcPr>
            <w:tcW w:w="300" w:type="pct"/>
            <w:shd w:val="clear" w:color="auto" w:fill="FF0000"/>
            <w:noWrap/>
          </w:tcPr>
          <w:p w:rsidR="00920F71" w:rsidRDefault="006F415A" w:rsidP="00FE4491">
            <w:pPr>
              <w:pStyle w:val="TableTextEntries"/>
              <w:jc w:val="center"/>
            </w:pPr>
            <w:r>
              <w:t>2</w:t>
            </w:r>
          </w:p>
        </w:tc>
        <w:tc>
          <w:tcPr>
            <w:tcW w:w="300" w:type="pct"/>
            <w:shd w:val="clear" w:color="auto" w:fill="FFFF00"/>
            <w:noWrap/>
          </w:tcPr>
          <w:p w:rsidR="00920F71" w:rsidRDefault="006F415A" w:rsidP="00FE4491">
            <w:pPr>
              <w:pStyle w:val="TableTextEntries"/>
              <w:jc w:val="center"/>
            </w:pPr>
            <w:r>
              <w:t>4</w:t>
            </w:r>
          </w:p>
        </w:tc>
        <w:tc>
          <w:tcPr>
            <w:tcW w:w="300" w:type="pct"/>
            <w:shd w:val="clear" w:color="auto" w:fill="F79646" w:themeFill="accent6"/>
            <w:noWrap/>
          </w:tcPr>
          <w:p w:rsidR="00920F71" w:rsidRDefault="006F415A" w:rsidP="00FE4491">
            <w:pPr>
              <w:pStyle w:val="TableTextEntries"/>
              <w:jc w:val="center"/>
            </w:pPr>
            <w:r>
              <w:t>I</w:t>
            </w:r>
          </w:p>
        </w:tc>
      </w:tr>
      <w:tr w:rsidR="006F415A"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920F71" w:rsidRPr="00FE4491" w:rsidRDefault="00920F71" w:rsidP="00FE4491">
            <w:pPr>
              <w:pStyle w:val="TableTextEntries"/>
            </w:pPr>
            <w:r>
              <w:t>Vanuatu National Library and Archives</w:t>
            </w:r>
          </w:p>
        </w:tc>
        <w:tc>
          <w:tcPr>
            <w:tcW w:w="500" w:type="pct"/>
            <w:vMerge w:val="restart"/>
          </w:tcPr>
          <w:p w:rsidR="00920F71" w:rsidRPr="00FE4491" w:rsidRDefault="006F415A" w:rsidP="0054471F">
            <w:pPr>
              <w:pStyle w:val="TableTextEntries"/>
            </w:pPr>
            <w:r>
              <w:t>$3m</w:t>
            </w:r>
            <w:r>
              <w:br/>
              <w:t>2011</w:t>
            </w:r>
            <w:r w:rsidR="0054471F">
              <w:t>–</w:t>
            </w:r>
            <w:r>
              <w:t>13</w:t>
            </w:r>
          </w:p>
        </w:tc>
        <w:tc>
          <w:tcPr>
            <w:tcW w:w="500" w:type="pct"/>
          </w:tcPr>
          <w:p w:rsidR="00920F71" w:rsidRPr="00FE4491" w:rsidRDefault="00920F71" w:rsidP="00FE4491">
            <w:pPr>
              <w:pStyle w:val="TableTextEntries"/>
            </w:pPr>
            <w:r w:rsidRPr="00FE4491">
              <w:t>2012</w:t>
            </w:r>
          </w:p>
        </w:tc>
        <w:tc>
          <w:tcPr>
            <w:tcW w:w="300" w:type="pct"/>
            <w:gridSpan w:val="2"/>
            <w:shd w:val="clear" w:color="auto" w:fill="FFFF00"/>
            <w:noWrap/>
          </w:tcPr>
          <w:p w:rsidR="00920F71" w:rsidRDefault="006F415A" w:rsidP="00FE4491">
            <w:pPr>
              <w:pStyle w:val="TableTextEntries"/>
              <w:jc w:val="center"/>
            </w:pPr>
            <w:r>
              <w:t>4</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F79646" w:themeFill="accent6"/>
            <w:noWrap/>
          </w:tcPr>
          <w:p w:rsidR="00920F71" w:rsidRDefault="006F415A" w:rsidP="00FE4491">
            <w:pPr>
              <w:pStyle w:val="TableTextEntries"/>
              <w:jc w:val="center"/>
            </w:pPr>
            <w:r>
              <w:t>3</w:t>
            </w:r>
          </w:p>
        </w:tc>
        <w:tc>
          <w:tcPr>
            <w:tcW w:w="300" w:type="pct"/>
            <w:shd w:val="clear" w:color="auto" w:fill="FFFF00"/>
            <w:noWrap/>
          </w:tcPr>
          <w:p w:rsidR="00920F71" w:rsidRDefault="0098404C" w:rsidP="006F415A">
            <w:pPr>
              <w:pStyle w:val="TableTextEntries"/>
            </w:pPr>
            <w:r>
              <w:t xml:space="preserve"> </w:t>
            </w:r>
            <w:r w:rsidR="006F415A">
              <w:t xml:space="preserve">4 </w:t>
            </w:r>
          </w:p>
        </w:tc>
        <w:tc>
          <w:tcPr>
            <w:tcW w:w="300" w:type="pct"/>
            <w:shd w:val="clear" w:color="auto" w:fill="92D050"/>
            <w:noWrap/>
          </w:tcPr>
          <w:p w:rsidR="00920F71" w:rsidRDefault="006F415A" w:rsidP="00FE4491">
            <w:pPr>
              <w:pStyle w:val="TableTextEntries"/>
              <w:jc w:val="center"/>
            </w:pPr>
            <w:r>
              <w:t>M</w:t>
            </w:r>
          </w:p>
        </w:tc>
      </w:tr>
      <w:tr w:rsidR="006F415A"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920F71" w:rsidRPr="00FE4491" w:rsidRDefault="00920F71" w:rsidP="00FE4491">
            <w:pPr>
              <w:pStyle w:val="TableTextEntries"/>
            </w:pPr>
          </w:p>
        </w:tc>
        <w:tc>
          <w:tcPr>
            <w:tcW w:w="500" w:type="pct"/>
            <w:vMerge/>
          </w:tcPr>
          <w:p w:rsidR="00920F71" w:rsidRPr="00FE4491" w:rsidRDefault="00920F71" w:rsidP="00FE4491">
            <w:pPr>
              <w:pStyle w:val="TableTextEntries"/>
            </w:pPr>
          </w:p>
        </w:tc>
        <w:tc>
          <w:tcPr>
            <w:tcW w:w="500" w:type="pct"/>
          </w:tcPr>
          <w:p w:rsidR="00920F71" w:rsidRPr="00FE4491" w:rsidRDefault="00920F71" w:rsidP="00FE4491">
            <w:pPr>
              <w:pStyle w:val="TableTextEntries"/>
            </w:pPr>
            <w:r w:rsidRPr="00FE4491">
              <w:t>2011</w:t>
            </w:r>
          </w:p>
        </w:tc>
        <w:tc>
          <w:tcPr>
            <w:tcW w:w="300" w:type="pct"/>
            <w:gridSpan w:val="2"/>
            <w:shd w:val="clear" w:color="auto" w:fill="F79646" w:themeFill="accent6"/>
            <w:noWrap/>
          </w:tcPr>
          <w:p w:rsidR="00920F71" w:rsidRDefault="006F415A" w:rsidP="00FE4491">
            <w:pPr>
              <w:pStyle w:val="TableTextEntries"/>
              <w:jc w:val="center"/>
            </w:pPr>
            <w:r>
              <w:t>3</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FF0000"/>
            <w:noWrap/>
          </w:tcPr>
          <w:p w:rsidR="00920F71" w:rsidRDefault="006F415A" w:rsidP="00FE4491">
            <w:pPr>
              <w:pStyle w:val="TableTextEntries"/>
              <w:jc w:val="center"/>
            </w:pPr>
            <w:r>
              <w:t>2</w:t>
            </w:r>
          </w:p>
        </w:tc>
        <w:tc>
          <w:tcPr>
            <w:tcW w:w="300" w:type="pct"/>
            <w:shd w:val="clear" w:color="auto" w:fill="F79646" w:themeFill="accent6"/>
            <w:noWrap/>
          </w:tcPr>
          <w:p w:rsidR="00920F71" w:rsidRDefault="006F415A" w:rsidP="00FE4491">
            <w:pPr>
              <w:pStyle w:val="TableTextEntries"/>
              <w:jc w:val="center"/>
            </w:pPr>
            <w:r>
              <w:t>3</w:t>
            </w:r>
          </w:p>
        </w:tc>
        <w:tc>
          <w:tcPr>
            <w:tcW w:w="300" w:type="pct"/>
            <w:shd w:val="clear" w:color="auto" w:fill="92D050"/>
            <w:noWrap/>
          </w:tcPr>
          <w:p w:rsidR="00920F71" w:rsidRDefault="006F415A" w:rsidP="00FE4491">
            <w:pPr>
              <w:pStyle w:val="TableTextEntries"/>
              <w:jc w:val="center"/>
            </w:pPr>
            <w:r>
              <w:t>M</w:t>
            </w:r>
          </w:p>
        </w:tc>
      </w:tr>
      <w:tr w:rsidR="006F415A"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val="restart"/>
          </w:tcPr>
          <w:p w:rsidR="00920F71" w:rsidRPr="00FE4491" w:rsidRDefault="00920F71" w:rsidP="00FE4491">
            <w:pPr>
              <w:pStyle w:val="TableTextEntries"/>
            </w:pPr>
            <w:r>
              <w:t>Vanuatu Women’s Centre Phase 6</w:t>
            </w:r>
          </w:p>
        </w:tc>
        <w:tc>
          <w:tcPr>
            <w:tcW w:w="500" w:type="pct"/>
            <w:vMerge w:val="restart"/>
          </w:tcPr>
          <w:p w:rsidR="00920F71" w:rsidRPr="00FE4491" w:rsidRDefault="00920F71" w:rsidP="00FE4491">
            <w:pPr>
              <w:pStyle w:val="TableTextEntries"/>
            </w:pPr>
          </w:p>
        </w:tc>
        <w:tc>
          <w:tcPr>
            <w:tcW w:w="500" w:type="pct"/>
          </w:tcPr>
          <w:p w:rsidR="00920F71" w:rsidRPr="00FE4491" w:rsidRDefault="00920F71" w:rsidP="00FE4491">
            <w:pPr>
              <w:pStyle w:val="TableTextEntries"/>
            </w:pPr>
            <w:r w:rsidRPr="00FE4491">
              <w:t>2012</w:t>
            </w:r>
          </w:p>
        </w:tc>
        <w:tc>
          <w:tcPr>
            <w:tcW w:w="300" w:type="pct"/>
            <w:gridSpan w:val="2"/>
            <w:shd w:val="clear" w:color="auto" w:fill="92D050"/>
            <w:noWrap/>
          </w:tcPr>
          <w:p w:rsidR="00920F71" w:rsidRDefault="006F415A" w:rsidP="00FE4491">
            <w:pPr>
              <w:pStyle w:val="TableTextEntries"/>
              <w:jc w:val="center"/>
            </w:pPr>
            <w:r>
              <w:t>6</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FFFF00"/>
            <w:noWrap/>
          </w:tcPr>
          <w:p w:rsidR="00920F71" w:rsidRDefault="006F415A" w:rsidP="00FE4491">
            <w:pPr>
              <w:pStyle w:val="TableTextEntries"/>
              <w:jc w:val="center"/>
            </w:pPr>
            <w:r>
              <w:t>4</w:t>
            </w:r>
          </w:p>
        </w:tc>
        <w:tc>
          <w:tcPr>
            <w:tcW w:w="300" w:type="pct"/>
            <w:shd w:val="clear" w:color="auto" w:fill="92D050"/>
            <w:noWrap/>
          </w:tcPr>
          <w:p w:rsidR="00920F71" w:rsidRDefault="006F415A" w:rsidP="00FE4491">
            <w:pPr>
              <w:pStyle w:val="TableTextEntries"/>
              <w:jc w:val="center"/>
            </w:pPr>
            <w:r>
              <w:t>5</w:t>
            </w:r>
          </w:p>
        </w:tc>
        <w:tc>
          <w:tcPr>
            <w:tcW w:w="300" w:type="pct"/>
            <w:shd w:val="clear" w:color="auto" w:fill="FFFF00"/>
            <w:noWrap/>
          </w:tcPr>
          <w:p w:rsidR="00920F71" w:rsidRDefault="006F415A" w:rsidP="00FE4491">
            <w:pPr>
              <w:pStyle w:val="TableTextEntries"/>
              <w:jc w:val="center"/>
            </w:pPr>
            <w:r>
              <w:t>4</w:t>
            </w:r>
          </w:p>
        </w:tc>
        <w:tc>
          <w:tcPr>
            <w:tcW w:w="300" w:type="pct"/>
            <w:shd w:val="clear" w:color="auto" w:fill="92D050"/>
            <w:noWrap/>
          </w:tcPr>
          <w:p w:rsidR="00920F71" w:rsidRDefault="006F415A" w:rsidP="00FE4491">
            <w:pPr>
              <w:pStyle w:val="TableTextEntries"/>
              <w:jc w:val="center"/>
            </w:pPr>
            <w:r>
              <w:t>6</w:t>
            </w:r>
          </w:p>
        </w:tc>
        <w:tc>
          <w:tcPr>
            <w:tcW w:w="300" w:type="pct"/>
            <w:shd w:val="clear" w:color="auto" w:fill="92D050"/>
            <w:noWrap/>
          </w:tcPr>
          <w:p w:rsidR="00920F71" w:rsidRDefault="006F415A" w:rsidP="00FE4491">
            <w:pPr>
              <w:pStyle w:val="TableTextEntries"/>
              <w:jc w:val="center"/>
            </w:pPr>
            <w:r>
              <w:t>M</w:t>
            </w:r>
          </w:p>
        </w:tc>
      </w:tr>
      <w:tr w:rsidR="006F415A" w:rsidRPr="009D53C4" w:rsidTr="00C578FF">
        <w:trPr>
          <w:cnfStyle w:val="000000010000" w:firstRow="0" w:lastRow="0" w:firstColumn="0" w:lastColumn="0" w:oddVBand="0" w:evenVBand="0" w:oddHBand="0" w:evenHBand="1" w:firstRowFirstColumn="0" w:firstRowLastColumn="0" w:lastRowFirstColumn="0" w:lastRowLastColumn="0"/>
          <w:trHeight w:val="284"/>
        </w:trPr>
        <w:tc>
          <w:tcPr>
            <w:tcW w:w="1000" w:type="pct"/>
            <w:vMerge/>
          </w:tcPr>
          <w:p w:rsidR="006F415A" w:rsidRPr="00FE4491" w:rsidRDefault="006F415A" w:rsidP="00FE4491">
            <w:pPr>
              <w:pStyle w:val="TableTextEntries"/>
            </w:pPr>
          </w:p>
        </w:tc>
        <w:tc>
          <w:tcPr>
            <w:tcW w:w="500" w:type="pct"/>
            <w:vMerge/>
          </w:tcPr>
          <w:p w:rsidR="006F415A" w:rsidRPr="00FE4491" w:rsidRDefault="006F415A" w:rsidP="00FE4491">
            <w:pPr>
              <w:pStyle w:val="TableTextEntries"/>
            </w:pPr>
          </w:p>
        </w:tc>
        <w:tc>
          <w:tcPr>
            <w:tcW w:w="500" w:type="pct"/>
          </w:tcPr>
          <w:p w:rsidR="006F415A" w:rsidRPr="00FE4491" w:rsidRDefault="006F415A" w:rsidP="00FE4491">
            <w:pPr>
              <w:pStyle w:val="TableTextEntries"/>
            </w:pPr>
            <w:r w:rsidRPr="00FE4491">
              <w:t>2011</w:t>
            </w:r>
          </w:p>
        </w:tc>
        <w:tc>
          <w:tcPr>
            <w:tcW w:w="300" w:type="pct"/>
            <w:gridSpan w:val="2"/>
            <w:noWrap/>
          </w:tcPr>
          <w:p w:rsidR="006F415A" w:rsidRDefault="006F415A" w:rsidP="00FE4491">
            <w:pPr>
              <w:pStyle w:val="TableTextEntries"/>
              <w:jc w:val="center"/>
            </w:pPr>
            <w:r>
              <w:t>NA</w:t>
            </w:r>
          </w:p>
        </w:tc>
        <w:tc>
          <w:tcPr>
            <w:tcW w:w="300" w:type="pct"/>
            <w:noWrap/>
          </w:tcPr>
          <w:p w:rsidR="006F415A" w:rsidRDefault="006F415A" w:rsidP="00FE4491">
            <w:pPr>
              <w:pStyle w:val="TableTextEntries"/>
              <w:jc w:val="center"/>
            </w:pPr>
            <w:r w:rsidRPr="00A505C8">
              <w:t>NA</w:t>
            </w:r>
          </w:p>
        </w:tc>
        <w:tc>
          <w:tcPr>
            <w:tcW w:w="300" w:type="pct"/>
            <w:noWrap/>
          </w:tcPr>
          <w:p w:rsidR="006F415A" w:rsidRDefault="006F415A" w:rsidP="00FE4491">
            <w:pPr>
              <w:pStyle w:val="TableTextEntries"/>
              <w:jc w:val="center"/>
            </w:pPr>
            <w:r w:rsidRPr="00A505C8">
              <w:t>NA</w:t>
            </w:r>
          </w:p>
        </w:tc>
        <w:tc>
          <w:tcPr>
            <w:tcW w:w="300" w:type="pct"/>
            <w:noWrap/>
          </w:tcPr>
          <w:p w:rsidR="006F415A" w:rsidRDefault="006F415A" w:rsidP="00FE4491">
            <w:pPr>
              <w:pStyle w:val="TableTextEntries"/>
              <w:jc w:val="center"/>
            </w:pPr>
            <w:r w:rsidRPr="00A505C8">
              <w:t>NA</w:t>
            </w:r>
          </w:p>
        </w:tc>
        <w:tc>
          <w:tcPr>
            <w:tcW w:w="300" w:type="pct"/>
            <w:noWrap/>
          </w:tcPr>
          <w:p w:rsidR="006F415A" w:rsidRDefault="006F415A" w:rsidP="00FE4491">
            <w:pPr>
              <w:pStyle w:val="TableTextEntries"/>
              <w:jc w:val="center"/>
            </w:pPr>
            <w:r w:rsidRPr="00A505C8">
              <w:t>NA</w:t>
            </w:r>
          </w:p>
        </w:tc>
        <w:tc>
          <w:tcPr>
            <w:tcW w:w="300" w:type="pct"/>
            <w:noWrap/>
          </w:tcPr>
          <w:p w:rsidR="006F415A" w:rsidRDefault="006F415A" w:rsidP="00FE4491">
            <w:pPr>
              <w:pStyle w:val="TableTextEntries"/>
              <w:jc w:val="center"/>
            </w:pPr>
            <w:r w:rsidRPr="00A505C8">
              <w:t>NA</w:t>
            </w:r>
          </w:p>
        </w:tc>
        <w:tc>
          <w:tcPr>
            <w:tcW w:w="300" w:type="pct"/>
            <w:shd w:val="clear" w:color="auto" w:fill="auto"/>
            <w:noWrap/>
          </w:tcPr>
          <w:p w:rsidR="006F415A" w:rsidRDefault="006F415A" w:rsidP="00FE4491">
            <w:pPr>
              <w:pStyle w:val="TableTextEntries"/>
              <w:jc w:val="center"/>
            </w:pPr>
            <w:r w:rsidRPr="00A505C8">
              <w:t>NA</w:t>
            </w:r>
          </w:p>
        </w:tc>
      </w:tr>
    </w:tbl>
    <w:p w:rsidR="00FE4491" w:rsidRDefault="00FE4491" w:rsidP="00FE4491">
      <w:pPr>
        <w:pStyle w:val="Note"/>
      </w:pPr>
      <w:r>
        <w:t>Definitions of rating scale:</w:t>
      </w:r>
      <w:r>
        <w:tab/>
      </w:r>
    </w:p>
    <w:p w:rsidR="00FE4491" w:rsidRDefault="00FE4491" w:rsidP="00FE4491">
      <w:pPr>
        <w:pStyle w:val="Note"/>
      </w:pPr>
      <w:r>
        <w:t>Satisfactory (4, 5 and 6)</w:t>
      </w:r>
    </w:p>
    <w:p w:rsidR="00FE4491" w:rsidRDefault="00FE4491" w:rsidP="00FE4491">
      <w:pPr>
        <w:pStyle w:val="Note"/>
      </w:pPr>
      <w:r w:rsidRPr="00FE4491">
        <w:rPr>
          <w:color w:val="92D050"/>
        </w:rPr>
        <w:sym w:font="Webdings" w:char="F067"/>
      </w:r>
      <w:r>
        <w:t xml:space="preserve"> = 6 = Very high quality</w:t>
      </w:r>
    </w:p>
    <w:p w:rsidR="00FE4491" w:rsidRDefault="00FE4491" w:rsidP="00FE4491">
      <w:pPr>
        <w:pStyle w:val="Note"/>
      </w:pPr>
      <w:r w:rsidRPr="00FE4491">
        <w:rPr>
          <w:color w:val="92D050"/>
        </w:rPr>
        <w:sym w:font="Webdings" w:char="F067"/>
      </w:r>
      <w:r>
        <w:t xml:space="preserve"> = 5 = Good quality</w:t>
      </w:r>
    </w:p>
    <w:p w:rsidR="00FE4491" w:rsidRDefault="00FE4491" w:rsidP="00FE4491">
      <w:pPr>
        <w:pStyle w:val="Note"/>
      </w:pPr>
      <w:r w:rsidRPr="000774FD">
        <w:rPr>
          <w:color w:val="FFFF00"/>
        </w:rPr>
        <w:sym w:font="Webdings" w:char="F067"/>
      </w:r>
      <w:r>
        <w:t xml:space="preserve"> = 4 = Adequate quality, needs some work</w:t>
      </w:r>
    </w:p>
    <w:p w:rsidR="00FE4491" w:rsidRDefault="00FE4491" w:rsidP="00FE4491">
      <w:pPr>
        <w:pStyle w:val="Note"/>
      </w:pPr>
      <w:r>
        <w:t>Less than satisfactory (1, 2 and 3)</w:t>
      </w:r>
    </w:p>
    <w:p w:rsidR="00FE4491" w:rsidRDefault="00FE4491" w:rsidP="00FE4491">
      <w:pPr>
        <w:pStyle w:val="Note"/>
      </w:pPr>
      <w:r w:rsidRPr="00FD710F">
        <w:rPr>
          <w:color w:val="F79646"/>
        </w:rPr>
        <w:sym w:font="Webdings" w:char="F067"/>
      </w:r>
      <w:r>
        <w:t xml:space="preserve"> = 3 = Less than adequate quality; needs significant work</w:t>
      </w:r>
    </w:p>
    <w:p w:rsidR="00FE4491" w:rsidRDefault="00FE4491" w:rsidP="00FE4491">
      <w:pPr>
        <w:pStyle w:val="Note"/>
      </w:pPr>
      <w:r w:rsidRPr="000774FD">
        <w:rPr>
          <w:color w:val="FF0000"/>
        </w:rPr>
        <w:sym w:font="Webdings" w:char="F067"/>
      </w:r>
      <w:r>
        <w:t xml:space="preserve"> = 2 = Poor quality; needs major work to improve</w:t>
      </w:r>
    </w:p>
    <w:p w:rsidR="00FE4491" w:rsidRDefault="00FE4491" w:rsidP="00FE4491">
      <w:pPr>
        <w:pStyle w:val="Note"/>
      </w:pPr>
      <w:r w:rsidRPr="000774FD">
        <w:rPr>
          <w:color w:val="FF0000"/>
        </w:rPr>
        <w:sym w:font="Webdings" w:char="F067"/>
      </w:r>
      <w:r>
        <w:t xml:space="preserve"> = 1 = Very poor quality; needs major overhaul</w:t>
      </w:r>
    </w:p>
    <w:p w:rsidR="006F415A" w:rsidRPr="006F415A" w:rsidRDefault="006F415A" w:rsidP="006F415A">
      <w:pPr>
        <w:rPr>
          <w:rFonts w:ascii="Franklin Gothic Book" w:eastAsia="Times New Roman" w:hAnsi="Franklin Gothic Book"/>
          <w:iCs/>
          <w:sz w:val="14"/>
          <w:szCs w:val="14"/>
        </w:rPr>
      </w:pPr>
      <w:r w:rsidRPr="006F415A">
        <w:rPr>
          <w:rFonts w:ascii="Franklin Gothic Book" w:eastAsia="Times New Roman" w:hAnsi="Franklin Gothic Book"/>
          <w:iCs/>
          <w:sz w:val="14"/>
          <w:szCs w:val="14"/>
        </w:rPr>
        <w:t>E = exempt</w:t>
      </w:r>
    </w:p>
    <w:p w:rsidR="006F415A" w:rsidRPr="006F415A" w:rsidRDefault="006F415A" w:rsidP="006F415A">
      <w:pPr>
        <w:rPr>
          <w:rFonts w:ascii="Franklin Gothic Book" w:eastAsia="Times New Roman" w:hAnsi="Franklin Gothic Book"/>
          <w:iCs/>
          <w:sz w:val="14"/>
          <w:szCs w:val="14"/>
        </w:rPr>
      </w:pPr>
      <w:r w:rsidRPr="006F415A">
        <w:rPr>
          <w:rFonts w:ascii="Franklin Gothic Book" w:eastAsia="Times New Roman" w:hAnsi="Franklin Gothic Book"/>
          <w:iCs/>
          <w:sz w:val="14"/>
          <w:szCs w:val="14"/>
        </w:rPr>
        <w:t>NA = Not applicable</w:t>
      </w:r>
    </w:p>
    <w:p w:rsidR="00FE4491" w:rsidRDefault="00FE4491" w:rsidP="00FE4491">
      <w:pPr>
        <w:pStyle w:val="Note"/>
      </w:pPr>
    </w:p>
    <w:p w:rsidR="00FE4491" w:rsidRDefault="00FE4491" w:rsidP="00FE4491">
      <w:pPr>
        <w:pStyle w:val="Note"/>
      </w:pPr>
      <w:r>
        <w:t>Risk Management scale:</w:t>
      </w:r>
    </w:p>
    <w:p w:rsidR="00FE4491" w:rsidRDefault="00FE4491" w:rsidP="00FE4491">
      <w:pPr>
        <w:pStyle w:val="Note"/>
      </w:pPr>
      <w:r w:rsidRPr="00FE4491">
        <w:rPr>
          <w:color w:val="92D050"/>
        </w:rPr>
        <w:sym w:font="Webdings" w:char="F067"/>
      </w:r>
      <w:r w:rsidR="0098404C">
        <w:t xml:space="preserve"> </w:t>
      </w:r>
      <w:r>
        <w:t>Mature (M). Indicates the initiative manager conducts risk discussions on at least a monthly basis with all stakeholders and updates the risk registry quarterly</w:t>
      </w:r>
      <w:r w:rsidR="00C65930">
        <w:t>.</w:t>
      </w:r>
      <w:r>
        <w:t xml:space="preserve"> </w:t>
      </w:r>
    </w:p>
    <w:p w:rsidR="00FE4491" w:rsidRDefault="00FE4491" w:rsidP="00FE4491">
      <w:pPr>
        <w:pStyle w:val="Note"/>
      </w:pPr>
      <w:r w:rsidRPr="00FD710F">
        <w:rPr>
          <w:color w:val="F79646"/>
        </w:rPr>
        <w:sym w:font="Webdings" w:char="F067"/>
      </w:r>
      <w:r w:rsidR="0098404C">
        <w:t xml:space="preserve"> </w:t>
      </w:r>
      <w:r>
        <w:t>Intermediate (I). Indicates the initiative manager conducts ad-hoc risk discussion and updates the risk register occasionally</w:t>
      </w:r>
      <w:r w:rsidR="00C65930">
        <w:t>.</w:t>
      </w:r>
      <w:r>
        <w:t xml:space="preserve"> </w:t>
      </w:r>
    </w:p>
    <w:p w:rsidR="00FE4491" w:rsidRDefault="00FE4491" w:rsidP="00FE4491">
      <w:pPr>
        <w:pStyle w:val="Note"/>
      </w:pPr>
      <w:r w:rsidRPr="000774FD">
        <w:rPr>
          <w:color w:val="FF0000"/>
        </w:rPr>
        <w:sym w:font="Webdings" w:char="F067"/>
      </w:r>
      <w:r w:rsidR="0098404C">
        <w:t xml:space="preserve"> </w:t>
      </w:r>
      <w:proofErr w:type="gramStart"/>
      <w:r>
        <w:t>Basic (B).</w:t>
      </w:r>
      <w:proofErr w:type="gramEnd"/>
      <w:r>
        <w:t xml:space="preserve"> Indicates there are limited or few risk discussions and the risk register has not been updated in the past 12 months</w:t>
      </w:r>
      <w:r w:rsidR="00C65930">
        <w:t>.</w:t>
      </w:r>
    </w:p>
    <w:p w:rsidR="00071B95" w:rsidRDefault="00071B95" w:rsidP="00071B95"/>
    <w:p w:rsidR="00071B95" w:rsidRDefault="00071B95" w:rsidP="00071B95">
      <w:pPr>
        <w:sectPr w:rsidR="00071B95" w:rsidSect="00796F14">
          <w:headerReference w:type="first" r:id="rId16"/>
          <w:footerReference w:type="first" r:id="rId17"/>
          <w:pgSz w:w="11906" w:h="16838" w:code="9"/>
          <w:pgMar w:top="2268" w:right="1701" w:bottom="907" w:left="1871" w:header="709" w:footer="454" w:gutter="0"/>
          <w:cols w:space="708"/>
          <w:titlePg/>
          <w:docGrid w:linePitch="360"/>
        </w:sectPr>
      </w:pPr>
    </w:p>
    <w:p w:rsidR="00071B95" w:rsidRPr="00C578FF" w:rsidRDefault="00071B95" w:rsidP="00C578FF">
      <w:pPr>
        <w:pStyle w:val="Heading1"/>
      </w:pPr>
      <w:r w:rsidRPr="00C578FF">
        <w:t>Annex C</w:t>
      </w:r>
    </w:p>
    <w:p w:rsidR="00071B95" w:rsidRPr="00071B95" w:rsidRDefault="00071B95" w:rsidP="00C578FF">
      <w:pPr>
        <w:pStyle w:val="Heading2"/>
      </w:pPr>
      <w:r w:rsidRPr="00071B95">
        <w:t xml:space="preserve">Evaluation and </w:t>
      </w:r>
      <w:r w:rsidR="0054471F">
        <w:t>r</w:t>
      </w:r>
      <w:r w:rsidRPr="00071B95">
        <w:t xml:space="preserve">eview </w:t>
      </w:r>
      <w:r w:rsidR="0054471F">
        <w:t>p</w:t>
      </w:r>
      <w:r w:rsidRPr="00071B95">
        <w:t xml:space="preserve">ipeline </w:t>
      </w:r>
      <w:r w:rsidR="0054471F">
        <w:t>p</w:t>
      </w:r>
      <w:r w:rsidRPr="00071B95">
        <w:t>lanning</w:t>
      </w:r>
    </w:p>
    <w:p w:rsidR="00071B95" w:rsidRPr="00071B95" w:rsidRDefault="00071B95" w:rsidP="00071B95">
      <w:pPr>
        <w:rPr>
          <w:b/>
        </w:rPr>
      </w:pPr>
    </w:p>
    <w:p w:rsidR="00071B95" w:rsidRPr="00071B95" w:rsidRDefault="00071B95" w:rsidP="00F06518">
      <w:pPr>
        <w:pStyle w:val="Caption"/>
      </w:pPr>
      <w:r w:rsidRPr="00071B95">
        <w:t xml:space="preserve">List of </w:t>
      </w:r>
      <w:r w:rsidR="0054471F">
        <w:t>e</w:t>
      </w:r>
      <w:r w:rsidRPr="00071B95">
        <w:t>valuations completed</w:t>
      </w:r>
      <w:r w:rsidRPr="00071B95">
        <w:rPr>
          <w:vertAlign w:val="superscript"/>
        </w:rPr>
        <w:footnoteReference w:id="36"/>
      </w:r>
      <w:r w:rsidRPr="00071B95">
        <w:t xml:space="preserve"> in the reporting period </w:t>
      </w:r>
    </w:p>
    <w:tbl>
      <w:tblPr>
        <w:tblStyle w:val="APPR"/>
        <w:tblW w:w="5000" w:type="pct"/>
        <w:tblLook w:val="04A0" w:firstRow="1" w:lastRow="0" w:firstColumn="1" w:lastColumn="0" w:noHBand="0" w:noVBand="1"/>
      </w:tblPr>
      <w:tblGrid>
        <w:gridCol w:w="2053"/>
        <w:gridCol w:w="2071"/>
        <w:gridCol w:w="2175"/>
        <w:gridCol w:w="2077"/>
        <w:gridCol w:w="2058"/>
        <w:gridCol w:w="1870"/>
        <w:gridCol w:w="1631"/>
      </w:tblGrid>
      <w:tr w:rsidR="00071B95" w:rsidRPr="00071B95" w:rsidTr="00B51188">
        <w:trPr>
          <w:cnfStyle w:val="100000000000" w:firstRow="1" w:lastRow="0" w:firstColumn="0" w:lastColumn="0" w:oddVBand="0" w:evenVBand="0" w:oddHBand="0" w:evenHBand="0" w:firstRowFirstColumn="0" w:firstRowLastColumn="0" w:lastRowFirstColumn="0" w:lastRowLastColumn="0"/>
        </w:trPr>
        <w:tc>
          <w:tcPr>
            <w:tcW w:w="1902" w:type="dxa"/>
          </w:tcPr>
          <w:p w:rsidR="00071B95" w:rsidRPr="00071B95" w:rsidRDefault="00071B95" w:rsidP="00C578FF">
            <w:pPr>
              <w:pStyle w:val="TableHeading1"/>
            </w:pPr>
            <w:r w:rsidRPr="00071B95">
              <w:t xml:space="preserve">Name of </w:t>
            </w:r>
            <w:r w:rsidR="0054471F">
              <w:t>i</w:t>
            </w:r>
            <w:r w:rsidRPr="00071B95">
              <w:t>nitiative</w:t>
            </w:r>
          </w:p>
        </w:tc>
        <w:tc>
          <w:tcPr>
            <w:tcW w:w="1933" w:type="dxa"/>
          </w:tcPr>
          <w:p w:rsidR="00071B95" w:rsidRPr="00071B95" w:rsidRDefault="00071B95" w:rsidP="00C578FF">
            <w:pPr>
              <w:pStyle w:val="TableHeading1"/>
            </w:pPr>
            <w:proofErr w:type="spellStart"/>
            <w:r w:rsidRPr="00071B95">
              <w:t>Aidworks</w:t>
            </w:r>
            <w:proofErr w:type="spellEnd"/>
            <w:r w:rsidRPr="00071B95">
              <w:t xml:space="preserve"> number</w:t>
            </w:r>
          </w:p>
        </w:tc>
        <w:tc>
          <w:tcPr>
            <w:tcW w:w="2031" w:type="dxa"/>
          </w:tcPr>
          <w:p w:rsidR="00071B95" w:rsidRPr="00071B95" w:rsidRDefault="00071B95" w:rsidP="00C578FF">
            <w:pPr>
              <w:pStyle w:val="TableHeading1"/>
            </w:pPr>
            <w:r w:rsidRPr="00071B95">
              <w:t>Type of evaluation</w:t>
            </w:r>
            <w:r w:rsidRPr="00071B95">
              <w:rPr>
                <w:vertAlign w:val="superscript"/>
              </w:rPr>
              <w:footnoteReference w:id="37"/>
            </w:r>
          </w:p>
        </w:tc>
        <w:tc>
          <w:tcPr>
            <w:tcW w:w="1939" w:type="dxa"/>
          </w:tcPr>
          <w:p w:rsidR="00071B95" w:rsidRPr="00071B95" w:rsidRDefault="00071B95" w:rsidP="00C578FF">
            <w:pPr>
              <w:pStyle w:val="TableHeading1"/>
            </w:pPr>
            <w:r w:rsidRPr="00071B95">
              <w:t xml:space="preserve">Date </w:t>
            </w:r>
            <w:r w:rsidR="0054471F">
              <w:t>e</w:t>
            </w:r>
            <w:r w:rsidRPr="00071B95">
              <w:t>valuation report received</w:t>
            </w:r>
          </w:p>
        </w:tc>
        <w:tc>
          <w:tcPr>
            <w:tcW w:w="1921" w:type="dxa"/>
          </w:tcPr>
          <w:p w:rsidR="00071B95" w:rsidRPr="00071B95" w:rsidRDefault="00071B95" w:rsidP="00C578FF">
            <w:pPr>
              <w:pStyle w:val="TableHeading1"/>
            </w:pPr>
            <w:r w:rsidRPr="00071B95">
              <w:t xml:space="preserve">Date </w:t>
            </w:r>
            <w:r w:rsidR="0054471F">
              <w:t>e</w:t>
            </w:r>
            <w:r w:rsidRPr="00071B95">
              <w:t xml:space="preserve">valuation report </w:t>
            </w:r>
            <w:r w:rsidR="0054471F">
              <w:t>u</w:t>
            </w:r>
            <w:r w:rsidRPr="00071B95">
              <w:t xml:space="preserve">ploaded into </w:t>
            </w:r>
            <w:proofErr w:type="spellStart"/>
            <w:r w:rsidRPr="00071B95">
              <w:t>Aidworks</w:t>
            </w:r>
            <w:proofErr w:type="spellEnd"/>
          </w:p>
        </w:tc>
        <w:tc>
          <w:tcPr>
            <w:tcW w:w="1743" w:type="dxa"/>
          </w:tcPr>
          <w:p w:rsidR="00071B95" w:rsidRPr="00071B95" w:rsidRDefault="00071B95" w:rsidP="00C578FF">
            <w:pPr>
              <w:pStyle w:val="TableHeading1"/>
            </w:pPr>
            <w:r w:rsidRPr="00071B95">
              <w:t xml:space="preserve">Date </w:t>
            </w:r>
            <w:r w:rsidR="0054471F">
              <w:t>m</w:t>
            </w:r>
            <w:r w:rsidRPr="00071B95">
              <w:t xml:space="preserve">anagement response uploaded into </w:t>
            </w:r>
            <w:proofErr w:type="spellStart"/>
            <w:r w:rsidRPr="00071B95">
              <w:t>Aidworks</w:t>
            </w:r>
            <w:proofErr w:type="spellEnd"/>
          </w:p>
        </w:tc>
        <w:tc>
          <w:tcPr>
            <w:tcW w:w="1503" w:type="dxa"/>
          </w:tcPr>
          <w:p w:rsidR="00071B95" w:rsidRPr="00071B95" w:rsidRDefault="00071B95" w:rsidP="00C578FF">
            <w:pPr>
              <w:pStyle w:val="TableHeading1"/>
            </w:pPr>
            <w:r w:rsidRPr="00071B95">
              <w:t>Published on website</w:t>
            </w:r>
          </w:p>
        </w:tc>
      </w:tr>
      <w:tr w:rsidR="00657E5A" w:rsidRPr="00071B95" w:rsidTr="00B51188">
        <w:trPr>
          <w:tblHeader w:val="0"/>
        </w:trPr>
        <w:tc>
          <w:tcPr>
            <w:tcW w:w="1902" w:type="dxa"/>
          </w:tcPr>
          <w:p w:rsidR="00657E5A" w:rsidRPr="00C578FF" w:rsidRDefault="00657E5A" w:rsidP="00B51188">
            <w:pPr>
              <w:pStyle w:val="TableTextEntries"/>
            </w:pPr>
            <w:r w:rsidRPr="00C578FF">
              <w:t xml:space="preserve">Vanuatu Australia Police Project </w:t>
            </w:r>
          </w:p>
        </w:tc>
        <w:tc>
          <w:tcPr>
            <w:tcW w:w="1933" w:type="dxa"/>
          </w:tcPr>
          <w:p w:rsidR="00657E5A" w:rsidRPr="00C578FF" w:rsidRDefault="00657E5A" w:rsidP="00B51188">
            <w:pPr>
              <w:pStyle w:val="TableTextEntries"/>
            </w:pPr>
            <w:r w:rsidRPr="00C578FF">
              <w:t>INJ675</w:t>
            </w:r>
          </w:p>
        </w:tc>
        <w:tc>
          <w:tcPr>
            <w:tcW w:w="2031" w:type="dxa"/>
          </w:tcPr>
          <w:p w:rsidR="00657E5A" w:rsidRPr="00C578FF" w:rsidRDefault="00657E5A" w:rsidP="00B51188">
            <w:pPr>
              <w:pStyle w:val="TableTextEntries"/>
            </w:pPr>
            <w:r w:rsidRPr="00C578FF">
              <w:t xml:space="preserve">Independent </w:t>
            </w:r>
            <w:r w:rsidR="0054471F" w:rsidRPr="00C578FF">
              <w:t>p</w:t>
            </w:r>
            <w:r w:rsidRPr="00C578FF">
              <w:t xml:space="preserve">rogress </w:t>
            </w:r>
            <w:r w:rsidR="0054471F" w:rsidRPr="00C578FF">
              <w:t>r</w:t>
            </w:r>
            <w:r w:rsidRPr="00C578FF">
              <w:t>eport</w:t>
            </w:r>
          </w:p>
        </w:tc>
        <w:tc>
          <w:tcPr>
            <w:tcW w:w="1939" w:type="dxa"/>
          </w:tcPr>
          <w:p w:rsidR="00657E5A" w:rsidRPr="00C578FF" w:rsidRDefault="00657E5A" w:rsidP="00B51188">
            <w:pPr>
              <w:pStyle w:val="TableTextEntries"/>
            </w:pPr>
            <w:r w:rsidRPr="00C578FF">
              <w:t>August 2012</w:t>
            </w:r>
          </w:p>
        </w:tc>
        <w:tc>
          <w:tcPr>
            <w:tcW w:w="1921" w:type="dxa"/>
          </w:tcPr>
          <w:p w:rsidR="00657E5A" w:rsidRPr="00C578FF" w:rsidRDefault="00657E5A" w:rsidP="00B51188">
            <w:pPr>
              <w:pStyle w:val="TableTextEntries"/>
            </w:pPr>
            <w:r w:rsidRPr="00C578FF">
              <w:t>March 2013</w:t>
            </w:r>
          </w:p>
        </w:tc>
        <w:tc>
          <w:tcPr>
            <w:tcW w:w="1743" w:type="dxa"/>
          </w:tcPr>
          <w:p w:rsidR="00657E5A" w:rsidRPr="00C578FF" w:rsidRDefault="00657E5A" w:rsidP="00B51188">
            <w:pPr>
              <w:pStyle w:val="TableTextEntries"/>
            </w:pPr>
            <w:r w:rsidRPr="00C578FF">
              <w:t>March 2013</w:t>
            </w:r>
          </w:p>
        </w:tc>
        <w:tc>
          <w:tcPr>
            <w:tcW w:w="1503" w:type="dxa"/>
          </w:tcPr>
          <w:p w:rsidR="00657E5A" w:rsidRPr="00C578FF" w:rsidRDefault="00657E5A" w:rsidP="00B51188">
            <w:pPr>
              <w:pStyle w:val="TableTextEntries"/>
            </w:pPr>
            <w:r w:rsidRPr="00C578FF">
              <w:t>No</w:t>
            </w:r>
          </w:p>
        </w:tc>
      </w:tr>
      <w:tr w:rsidR="00657E5A" w:rsidRPr="00071B95" w:rsidTr="00B51188">
        <w:trPr>
          <w:cnfStyle w:val="000000010000" w:firstRow="0" w:lastRow="0" w:firstColumn="0" w:lastColumn="0" w:oddVBand="0" w:evenVBand="0" w:oddHBand="0" w:evenHBand="1" w:firstRowFirstColumn="0" w:firstRowLastColumn="0" w:lastRowFirstColumn="0" w:lastRowLastColumn="0"/>
          <w:tblHeader w:val="0"/>
        </w:trPr>
        <w:tc>
          <w:tcPr>
            <w:tcW w:w="1902" w:type="dxa"/>
          </w:tcPr>
          <w:p w:rsidR="00657E5A" w:rsidRPr="00C578FF" w:rsidRDefault="00657E5A" w:rsidP="00B51188">
            <w:pPr>
              <w:pStyle w:val="TableTextEntries"/>
            </w:pPr>
            <w:r w:rsidRPr="00C578FF">
              <w:t xml:space="preserve">TVET Phase </w:t>
            </w:r>
            <w:r w:rsidR="000D4620" w:rsidRPr="00C578FF">
              <w:t>2</w:t>
            </w:r>
          </w:p>
        </w:tc>
        <w:tc>
          <w:tcPr>
            <w:tcW w:w="1933" w:type="dxa"/>
          </w:tcPr>
          <w:p w:rsidR="00657E5A" w:rsidRPr="00C578FF" w:rsidRDefault="00657E5A" w:rsidP="00B51188">
            <w:pPr>
              <w:pStyle w:val="TableTextEntries"/>
            </w:pPr>
            <w:r w:rsidRPr="00C578FF">
              <w:t>ING012</w:t>
            </w:r>
          </w:p>
        </w:tc>
        <w:tc>
          <w:tcPr>
            <w:tcW w:w="2031" w:type="dxa"/>
          </w:tcPr>
          <w:p w:rsidR="00657E5A" w:rsidRPr="00C578FF" w:rsidRDefault="00657E5A" w:rsidP="00B51188">
            <w:pPr>
              <w:pStyle w:val="TableTextEntries"/>
            </w:pPr>
            <w:r w:rsidRPr="00C578FF">
              <w:t xml:space="preserve">Independent </w:t>
            </w:r>
            <w:r w:rsidR="0054471F" w:rsidRPr="00C578FF">
              <w:t>completion r</w:t>
            </w:r>
            <w:r w:rsidRPr="00C578FF">
              <w:t>eport</w:t>
            </w:r>
          </w:p>
        </w:tc>
        <w:tc>
          <w:tcPr>
            <w:tcW w:w="1939" w:type="dxa"/>
          </w:tcPr>
          <w:p w:rsidR="00657E5A" w:rsidRPr="00C578FF" w:rsidRDefault="00657E5A" w:rsidP="00B51188">
            <w:pPr>
              <w:pStyle w:val="TableTextEntries"/>
            </w:pPr>
            <w:r w:rsidRPr="00C578FF">
              <w:t>September 2012</w:t>
            </w:r>
          </w:p>
        </w:tc>
        <w:tc>
          <w:tcPr>
            <w:tcW w:w="1921" w:type="dxa"/>
          </w:tcPr>
          <w:p w:rsidR="00657E5A" w:rsidRPr="00C578FF" w:rsidRDefault="00657E5A" w:rsidP="00B51188">
            <w:pPr>
              <w:pStyle w:val="TableTextEntries"/>
            </w:pPr>
            <w:r w:rsidRPr="00C578FF">
              <w:t>Not uploaded</w:t>
            </w:r>
          </w:p>
        </w:tc>
        <w:tc>
          <w:tcPr>
            <w:tcW w:w="1743" w:type="dxa"/>
          </w:tcPr>
          <w:p w:rsidR="00657E5A" w:rsidRPr="00C578FF" w:rsidRDefault="00657E5A" w:rsidP="00B51188">
            <w:pPr>
              <w:pStyle w:val="TableTextEntries"/>
            </w:pPr>
            <w:r w:rsidRPr="00C578FF">
              <w:t>Not uploaded</w:t>
            </w:r>
          </w:p>
        </w:tc>
        <w:tc>
          <w:tcPr>
            <w:tcW w:w="1503" w:type="dxa"/>
          </w:tcPr>
          <w:p w:rsidR="00657E5A" w:rsidRPr="00C578FF" w:rsidRDefault="00657E5A" w:rsidP="00B51188">
            <w:pPr>
              <w:pStyle w:val="TableTextEntries"/>
            </w:pPr>
            <w:r w:rsidRPr="00C578FF">
              <w:t>Yes</w:t>
            </w:r>
          </w:p>
        </w:tc>
      </w:tr>
      <w:tr w:rsidR="00657E5A" w:rsidRPr="00071B95" w:rsidTr="00B51188">
        <w:trPr>
          <w:tblHeader w:val="0"/>
        </w:trPr>
        <w:tc>
          <w:tcPr>
            <w:tcW w:w="1902" w:type="dxa"/>
          </w:tcPr>
          <w:p w:rsidR="00657E5A" w:rsidRPr="00C578FF" w:rsidRDefault="00657E5A" w:rsidP="00B51188">
            <w:pPr>
              <w:pStyle w:val="TableTextEntries"/>
            </w:pPr>
            <w:r w:rsidRPr="00C578FF">
              <w:t>Church Partnership Program</w:t>
            </w:r>
          </w:p>
        </w:tc>
        <w:tc>
          <w:tcPr>
            <w:tcW w:w="1933" w:type="dxa"/>
          </w:tcPr>
          <w:p w:rsidR="00657E5A" w:rsidRPr="00C578FF" w:rsidRDefault="00657E5A" w:rsidP="00B51188">
            <w:pPr>
              <w:pStyle w:val="TableTextEntries"/>
            </w:pPr>
            <w:r w:rsidRPr="00C578FF">
              <w:rPr>
                <w:rFonts w:cs="Calibri"/>
              </w:rPr>
              <w:t>INI307</w:t>
            </w:r>
          </w:p>
        </w:tc>
        <w:tc>
          <w:tcPr>
            <w:tcW w:w="2031" w:type="dxa"/>
          </w:tcPr>
          <w:p w:rsidR="00657E5A" w:rsidRPr="00C578FF" w:rsidRDefault="00657E5A" w:rsidP="00B51188">
            <w:pPr>
              <w:pStyle w:val="TableTextEntries"/>
            </w:pPr>
            <w:r w:rsidRPr="00C578FF">
              <w:t>Cluster review</w:t>
            </w:r>
          </w:p>
        </w:tc>
        <w:tc>
          <w:tcPr>
            <w:tcW w:w="1939" w:type="dxa"/>
          </w:tcPr>
          <w:p w:rsidR="00657E5A" w:rsidRPr="00C578FF" w:rsidRDefault="00657E5A" w:rsidP="00B51188">
            <w:pPr>
              <w:pStyle w:val="TableTextEntries"/>
            </w:pPr>
            <w:r w:rsidRPr="00C578FF">
              <w:t>February 2012</w:t>
            </w:r>
          </w:p>
        </w:tc>
        <w:tc>
          <w:tcPr>
            <w:tcW w:w="1921" w:type="dxa"/>
          </w:tcPr>
          <w:p w:rsidR="00657E5A" w:rsidRPr="00C578FF" w:rsidRDefault="00657E5A" w:rsidP="00B51188">
            <w:pPr>
              <w:pStyle w:val="TableTextEntries"/>
            </w:pPr>
            <w:r w:rsidRPr="00C578FF">
              <w:t>March 2013</w:t>
            </w:r>
          </w:p>
        </w:tc>
        <w:tc>
          <w:tcPr>
            <w:tcW w:w="1743" w:type="dxa"/>
          </w:tcPr>
          <w:p w:rsidR="00657E5A" w:rsidRPr="00C578FF" w:rsidRDefault="00657E5A" w:rsidP="00B51188">
            <w:pPr>
              <w:pStyle w:val="TableTextEntries"/>
            </w:pPr>
            <w:r w:rsidRPr="00C578FF">
              <w:t>March 2013</w:t>
            </w:r>
          </w:p>
        </w:tc>
        <w:tc>
          <w:tcPr>
            <w:tcW w:w="1503" w:type="dxa"/>
          </w:tcPr>
          <w:p w:rsidR="00657E5A" w:rsidRPr="00C578FF" w:rsidRDefault="00657E5A" w:rsidP="00B51188">
            <w:pPr>
              <w:pStyle w:val="TableTextEntries"/>
            </w:pPr>
            <w:r w:rsidRPr="00C578FF">
              <w:t>No</w:t>
            </w:r>
          </w:p>
        </w:tc>
      </w:tr>
      <w:tr w:rsidR="00657E5A" w:rsidRPr="00071B95" w:rsidTr="00B51188">
        <w:trPr>
          <w:cnfStyle w:val="000000010000" w:firstRow="0" w:lastRow="0" w:firstColumn="0" w:lastColumn="0" w:oddVBand="0" w:evenVBand="0" w:oddHBand="0" w:evenHBand="1" w:firstRowFirstColumn="0" w:firstRowLastColumn="0" w:lastRowFirstColumn="0" w:lastRowLastColumn="0"/>
          <w:tblHeader w:val="0"/>
        </w:trPr>
        <w:tc>
          <w:tcPr>
            <w:tcW w:w="1902" w:type="dxa"/>
          </w:tcPr>
          <w:p w:rsidR="00657E5A" w:rsidRPr="00C578FF" w:rsidRDefault="00657E5A" w:rsidP="00B51188">
            <w:pPr>
              <w:pStyle w:val="TableTextEntries"/>
            </w:pPr>
            <w:proofErr w:type="spellStart"/>
            <w:r w:rsidRPr="00C578FF">
              <w:t>Kastom</w:t>
            </w:r>
            <w:proofErr w:type="spellEnd"/>
            <w:r w:rsidRPr="00C578FF">
              <w:t xml:space="preserve"> Governance Program</w:t>
            </w:r>
          </w:p>
        </w:tc>
        <w:tc>
          <w:tcPr>
            <w:tcW w:w="1933" w:type="dxa"/>
          </w:tcPr>
          <w:p w:rsidR="00657E5A" w:rsidRPr="00C578FF" w:rsidRDefault="00657E5A" w:rsidP="00B51188">
            <w:pPr>
              <w:pStyle w:val="TableTextEntries"/>
            </w:pPr>
            <w:r w:rsidRPr="00C578FF">
              <w:rPr>
                <w:rFonts w:cs="Calibri"/>
              </w:rPr>
              <w:t>INI311</w:t>
            </w:r>
          </w:p>
        </w:tc>
        <w:tc>
          <w:tcPr>
            <w:tcW w:w="2031" w:type="dxa"/>
          </w:tcPr>
          <w:p w:rsidR="00657E5A" w:rsidRPr="00C578FF" w:rsidRDefault="00657E5A" w:rsidP="00B51188">
            <w:pPr>
              <w:pStyle w:val="TableTextEntries"/>
            </w:pPr>
            <w:r w:rsidRPr="00C578FF">
              <w:t>Cluster review</w:t>
            </w:r>
          </w:p>
        </w:tc>
        <w:tc>
          <w:tcPr>
            <w:tcW w:w="1939" w:type="dxa"/>
          </w:tcPr>
          <w:p w:rsidR="00657E5A" w:rsidRPr="00C578FF" w:rsidRDefault="00657E5A" w:rsidP="00B51188">
            <w:pPr>
              <w:pStyle w:val="TableTextEntries"/>
            </w:pPr>
            <w:r w:rsidRPr="00C578FF">
              <w:t>May 2012</w:t>
            </w:r>
          </w:p>
        </w:tc>
        <w:tc>
          <w:tcPr>
            <w:tcW w:w="1921" w:type="dxa"/>
          </w:tcPr>
          <w:p w:rsidR="00657E5A" w:rsidRPr="00C578FF" w:rsidRDefault="00F67F31" w:rsidP="00B51188">
            <w:pPr>
              <w:pStyle w:val="TableTextEntries"/>
            </w:pPr>
            <w:r w:rsidRPr="00C578FF">
              <w:t>May 2013</w:t>
            </w:r>
          </w:p>
        </w:tc>
        <w:tc>
          <w:tcPr>
            <w:tcW w:w="1743" w:type="dxa"/>
          </w:tcPr>
          <w:p w:rsidR="00657E5A" w:rsidRPr="00C578FF" w:rsidRDefault="00F67F31" w:rsidP="00B51188">
            <w:pPr>
              <w:pStyle w:val="TableTextEntries"/>
            </w:pPr>
            <w:r w:rsidRPr="00C578FF">
              <w:t>May 2013</w:t>
            </w:r>
          </w:p>
        </w:tc>
        <w:tc>
          <w:tcPr>
            <w:tcW w:w="1503" w:type="dxa"/>
          </w:tcPr>
          <w:p w:rsidR="00657E5A" w:rsidRPr="00C578FF" w:rsidRDefault="00657E5A" w:rsidP="00B51188">
            <w:pPr>
              <w:pStyle w:val="TableTextEntries"/>
            </w:pPr>
            <w:r w:rsidRPr="00C578FF">
              <w:t>No</w:t>
            </w:r>
          </w:p>
        </w:tc>
      </w:tr>
      <w:tr w:rsidR="00657E5A" w:rsidRPr="00071B95" w:rsidTr="00B51188">
        <w:trPr>
          <w:tblHeader w:val="0"/>
        </w:trPr>
        <w:tc>
          <w:tcPr>
            <w:tcW w:w="1902" w:type="dxa"/>
          </w:tcPr>
          <w:p w:rsidR="00657E5A" w:rsidRPr="00C578FF" w:rsidRDefault="00657E5A" w:rsidP="00B51188">
            <w:pPr>
              <w:pStyle w:val="TableTextEntries"/>
            </w:pPr>
            <w:proofErr w:type="spellStart"/>
            <w:r w:rsidRPr="00C578FF">
              <w:t>Vois</w:t>
            </w:r>
            <w:proofErr w:type="spellEnd"/>
            <w:r w:rsidRPr="00C578FF">
              <w:t xml:space="preserve"> </w:t>
            </w:r>
            <w:proofErr w:type="spellStart"/>
            <w:r w:rsidRPr="00C578FF">
              <w:t>Blong</w:t>
            </w:r>
            <w:proofErr w:type="spellEnd"/>
            <w:r w:rsidRPr="00C578FF">
              <w:t xml:space="preserve"> </w:t>
            </w:r>
            <w:proofErr w:type="spellStart"/>
            <w:r w:rsidRPr="00C578FF">
              <w:t>Yumi</w:t>
            </w:r>
            <w:proofErr w:type="spellEnd"/>
          </w:p>
        </w:tc>
        <w:tc>
          <w:tcPr>
            <w:tcW w:w="1933" w:type="dxa"/>
          </w:tcPr>
          <w:p w:rsidR="00657E5A" w:rsidRPr="00C578FF" w:rsidRDefault="00657E5A" w:rsidP="00B51188">
            <w:pPr>
              <w:pStyle w:val="TableTextEntries"/>
            </w:pPr>
            <w:r w:rsidRPr="00C578FF">
              <w:rPr>
                <w:rFonts w:cs="Calibri"/>
              </w:rPr>
              <w:t>INH074</w:t>
            </w:r>
          </w:p>
        </w:tc>
        <w:tc>
          <w:tcPr>
            <w:tcW w:w="2031" w:type="dxa"/>
          </w:tcPr>
          <w:p w:rsidR="00657E5A" w:rsidRPr="00C578FF" w:rsidRDefault="00657E5A" w:rsidP="00B51188">
            <w:pPr>
              <w:pStyle w:val="TableTextEntries"/>
            </w:pPr>
            <w:r w:rsidRPr="00C578FF">
              <w:t>Cluster review</w:t>
            </w:r>
          </w:p>
        </w:tc>
        <w:tc>
          <w:tcPr>
            <w:tcW w:w="1939" w:type="dxa"/>
          </w:tcPr>
          <w:p w:rsidR="00657E5A" w:rsidRPr="00C578FF" w:rsidRDefault="00657E5A" w:rsidP="00B51188">
            <w:pPr>
              <w:pStyle w:val="TableTextEntries"/>
            </w:pPr>
            <w:r w:rsidRPr="00C578FF">
              <w:t>February 2012</w:t>
            </w:r>
          </w:p>
        </w:tc>
        <w:tc>
          <w:tcPr>
            <w:tcW w:w="1921" w:type="dxa"/>
          </w:tcPr>
          <w:p w:rsidR="00657E5A" w:rsidRPr="00C578FF" w:rsidRDefault="00F67F31" w:rsidP="00B51188">
            <w:pPr>
              <w:pStyle w:val="TableTextEntries"/>
            </w:pPr>
            <w:r w:rsidRPr="00C578FF">
              <w:t>December 2012</w:t>
            </w:r>
          </w:p>
        </w:tc>
        <w:tc>
          <w:tcPr>
            <w:tcW w:w="1743" w:type="dxa"/>
          </w:tcPr>
          <w:p w:rsidR="00657E5A" w:rsidRPr="00C578FF" w:rsidRDefault="00CD515E" w:rsidP="00B51188">
            <w:pPr>
              <w:pStyle w:val="TableTextEntries"/>
            </w:pPr>
            <w:r w:rsidRPr="00C578FF">
              <w:t>December 2012</w:t>
            </w:r>
          </w:p>
        </w:tc>
        <w:tc>
          <w:tcPr>
            <w:tcW w:w="1503" w:type="dxa"/>
          </w:tcPr>
          <w:p w:rsidR="00657E5A" w:rsidRPr="00C578FF" w:rsidRDefault="00657E5A" w:rsidP="00B51188">
            <w:pPr>
              <w:pStyle w:val="TableTextEntries"/>
            </w:pPr>
            <w:r w:rsidRPr="00C578FF">
              <w:t>No</w:t>
            </w:r>
          </w:p>
        </w:tc>
      </w:tr>
      <w:tr w:rsidR="00657E5A" w:rsidRPr="00071B95" w:rsidTr="00B51188">
        <w:trPr>
          <w:cnfStyle w:val="000000010000" w:firstRow="0" w:lastRow="0" w:firstColumn="0" w:lastColumn="0" w:oddVBand="0" w:evenVBand="0" w:oddHBand="0" w:evenHBand="1" w:firstRowFirstColumn="0" w:firstRowLastColumn="0" w:lastRowFirstColumn="0" w:lastRowLastColumn="0"/>
          <w:tblHeader w:val="0"/>
        </w:trPr>
        <w:tc>
          <w:tcPr>
            <w:tcW w:w="1902" w:type="dxa"/>
          </w:tcPr>
          <w:p w:rsidR="00657E5A" w:rsidRPr="00C578FF" w:rsidRDefault="00657E5A" w:rsidP="00B51188">
            <w:pPr>
              <w:pStyle w:val="TableTextEntries"/>
            </w:pPr>
            <w:r w:rsidRPr="00C578FF">
              <w:t>Village Health Worker Program</w:t>
            </w:r>
          </w:p>
        </w:tc>
        <w:tc>
          <w:tcPr>
            <w:tcW w:w="1933" w:type="dxa"/>
          </w:tcPr>
          <w:p w:rsidR="00657E5A" w:rsidRPr="00C578FF" w:rsidRDefault="00657E5A" w:rsidP="00B51188">
            <w:pPr>
              <w:pStyle w:val="TableTextEntries"/>
            </w:pPr>
            <w:r w:rsidRPr="00C578FF">
              <w:rPr>
                <w:rFonts w:cs="Calibri"/>
              </w:rPr>
              <w:t>INJ438</w:t>
            </w:r>
          </w:p>
        </w:tc>
        <w:tc>
          <w:tcPr>
            <w:tcW w:w="2031" w:type="dxa"/>
          </w:tcPr>
          <w:p w:rsidR="00657E5A" w:rsidRPr="00C578FF" w:rsidRDefault="00657E5A" w:rsidP="00B51188">
            <w:pPr>
              <w:pStyle w:val="TableTextEntries"/>
            </w:pPr>
            <w:r w:rsidRPr="00C578FF">
              <w:t xml:space="preserve">Independent </w:t>
            </w:r>
            <w:r w:rsidR="0054471F" w:rsidRPr="00C578FF">
              <w:t>e</w:t>
            </w:r>
            <w:r w:rsidRPr="00C578FF">
              <w:t xml:space="preserve">valuation </w:t>
            </w:r>
            <w:r w:rsidR="0054471F" w:rsidRPr="00C578FF">
              <w:t>r</w:t>
            </w:r>
            <w:r w:rsidRPr="00C578FF">
              <w:t>eport</w:t>
            </w:r>
          </w:p>
        </w:tc>
        <w:tc>
          <w:tcPr>
            <w:tcW w:w="1939" w:type="dxa"/>
          </w:tcPr>
          <w:p w:rsidR="00657E5A" w:rsidRPr="00C578FF" w:rsidRDefault="00657E5A" w:rsidP="00B51188">
            <w:pPr>
              <w:pStyle w:val="TableTextEntries"/>
            </w:pPr>
            <w:r w:rsidRPr="00C578FF">
              <w:t xml:space="preserve">Was November </w:t>
            </w:r>
            <w:r w:rsidR="0054471F" w:rsidRPr="00C578FF">
              <w:t>20</w:t>
            </w:r>
            <w:r w:rsidRPr="00C578FF">
              <w:t>12 but poor result</w:t>
            </w:r>
            <w:r w:rsidR="0054471F" w:rsidRPr="00C578FF">
              <w:t xml:space="preserve"> so</w:t>
            </w:r>
            <w:r w:rsidRPr="00C578FF">
              <w:t xml:space="preserve"> re-worked </w:t>
            </w:r>
            <w:r w:rsidR="0054471F" w:rsidRPr="00C578FF">
              <w:t xml:space="preserve">for </w:t>
            </w:r>
            <w:r w:rsidRPr="00C578FF">
              <w:t>May</w:t>
            </w:r>
            <w:r w:rsidR="0054471F" w:rsidRPr="00C578FF">
              <w:t xml:space="preserve"> 20</w:t>
            </w:r>
            <w:r w:rsidRPr="00C578FF">
              <w:t>13 completion</w:t>
            </w:r>
          </w:p>
        </w:tc>
        <w:tc>
          <w:tcPr>
            <w:tcW w:w="1921" w:type="dxa"/>
          </w:tcPr>
          <w:p w:rsidR="00657E5A" w:rsidRPr="00C578FF" w:rsidRDefault="00657E5A" w:rsidP="00B51188">
            <w:pPr>
              <w:pStyle w:val="TableTextEntries"/>
            </w:pPr>
            <w:r w:rsidRPr="00C578FF">
              <w:t>Not uploaded</w:t>
            </w:r>
          </w:p>
        </w:tc>
        <w:tc>
          <w:tcPr>
            <w:tcW w:w="1743" w:type="dxa"/>
          </w:tcPr>
          <w:p w:rsidR="00657E5A" w:rsidRPr="00C578FF" w:rsidRDefault="00657E5A" w:rsidP="00B51188">
            <w:pPr>
              <w:pStyle w:val="TableTextEntries"/>
            </w:pPr>
            <w:r w:rsidRPr="00C578FF">
              <w:t>Not uploaded</w:t>
            </w:r>
          </w:p>
        </w:tc>
        <w:tc>
          <w:tcPr>
            <w:tcW w:w="1503" w:type="dxa"/>
          </w:tcPr>
          <w:p w:rsidR="00657E5A" w:rsidRPr="00C578FF" w:rsidRDefault="00657E5A" w:rsidP="00B51188">
            <w:pPr>
              <w:pStyle w:val="TableTextEntries"/>
            </w:pPr>
            <w:r w:rsidRPr="00C578FF">
              <w:t>No</w:t>
            </w:r>
          </w:p>
        </w:tc>
      </w:tr>
      <w:tr w:rsidR="00657E5A" w:rsidRPr="00071B95" w:rsidTr="00B51188">
        <w:trPr>
          <w:tblHeader w:val="0"/>
        </w:trPr>
        <w:tc>
          <w:tcPr>
            <w:tcW w:w="1902" w:type="dxa"/>
          </w:tcPr>
          <w:p w:rsidR="00657E5A" w:rsidRPr="00C578FF" w:rsidRDefault="00657E5A" w:rsidP="00B51188">
            <w:pPr>
              <w:pStyle w:val="TableTextEntries"/>
            </w:pPr>
            <w:r w:rsidRPr="00C578FF">
              <w:t>Vanuatu Health Sector 2010-2014</w:t>
            </w:r>
          </w:p>
        </w:tc>
        <w:tc>
          <w:tcPr>
            <w:tcW w:w="1933" w:type="dxa"/>
          </w:tcPr>
          <w:p w:rsidR="00657E5A" w:rsidRPr="00C578FF" w:rsidRDefault="00657E5A" w:rsidP="00B51188">
            <w:pPr>
              <w:pStyle w:val="TableTextEntries"/>
            </w:pPr>
            <w:r w:rsidRPr="00C578FF">
              <w:t>INJ438</w:t>
            </w:r>
          </w:p>
        </w:tc>
        <w:tc>
          <w:tcPr>
            <w:tcW w:w="2031" w:type="dxa"/>
          </w:tcPr>
          <w:p w:rsidR="00657E5A" w:rsidRPr="00C578FF" w:rsidRDefault="00657E5A" w:rsidP="00B51188">
            <w:pPr>
              <w:pStyle w:val="TableTextEntries"/>
            </w:pPr>
            <w:r w:rsidRPr="00C578FF">
              <w:t>Mid-term review of the delivery strategy</w:t>
            </w:r>
          </w:p>
        </w:tc>
        <w:tc>
          <w:tcPr>
            <w:tcW w:w="1939" w:type="dxa"/>
          </w:tcPr>
          <w:p w:rsidR="00657E5A" w:rsidRPr="00C578FF" w:rsidRDefault="00657E5A" w:rsidP="00B51188">
            <w:pPr>
              <w:pStyle w:val="TableTextEntries"/>
            </w:pPr>
            <w:r w:rsidRPr="00C578FF">
              <w:t>November 2012</w:t>
            </w:r>
          </w:p>
        </w:tc>
        <w:tc>
          <w:tcPr>
            <w:tcW w:w="1921" w:type="dxa"/>
          </w:tcPr>
          <w:p w:rsidR="00657E5A" w:rsidRPr="00C578FF" w:rsidRDefault="00657E5A" w:rsidP="00B51188">
            <w:pPr>
              <w:pStyle w:val="TableTextEntries"/>
            </w:pPr>
            <w:r w:rsidRPr="00C578FF">
              <w:t>Not uploaded</w:t>
            </w:r>
          </w:p>
        </w:tc>
        <w:tc>
          <w:tcPr>
            <w:tcW w:w="1743" w:type="dxa"/>
          </w:tcPr>
          <w:p w:rsidR="00657E5A" w:rsidRPr="00C578FF" w:rsidRDefault="00657E5A" w:rsidP="00B51188">
            <w:pPr>
              <w:pStyle w:val="TableTextEntries"/>
            </w:pPr>
            <w:r w:rsidRPr="00C578FF">
              <w:t>Not uploaded</w:t>
            </w:r>
          </w:p>
        </w:tc>
        <w:tc>
          <w:tcPr>
            <w:tcW w:w="1503" w:type="dxa"/>
          </w:tcPr>
          <w:p w:rsidR="00657E5A" w:rsidRPr="00C578FF" w:rsidRDefault="00657E5A" w:rsidP="00B51188">
            <w:pPr>
              <w:pStyle w:val="TableTextEntries"/>
            </w:pPr>
            <w:r w:rsidRPr="00C578FF">
              <w:t>No</w:t>
            </w:r>
          </w:p>
        </w:tc>
      </w:tr>
      <w:tr w:rsidR="00657E5A" w:rsidRPr="00071B95" w:rsidTr="00B51188">
        <w:trPr>
          <w:cnfStyle w:val="000000010000" w:firstRow="0" w:lastRow="0" w:firstColumn="0" w:lastColumn="0" w:oddVBand="0" w:evenVBand="0" w:oddHBand="0" w:evenHBand="1" w:firstRowFirstColumn="0" w:firstRowLastColumn="0" w:lastRowFirstColumn="0" w:lastRowLastColumn="0"/>
          <w:tblHeader w:val="0"/>
        </w:trPr>
        <w:tc>
          <w:tcPr>
            <w:tcW w:w="1902" w:type="dxa"/>
          </w:tcPr>
          <w:p w:rsidR="00657E5A" w:rsidRPr="00C578FF" w:rsidRDefault="00657E5A" w:rsidP="00B51188">
            <w:pPr>
              <w:pStyle w:val="TableTextEntries"/>
            </w:pPr>
            <w:r w:rsidRPr="00C578FF">
              <w:rPr>
                <w:i/>
              </w:rPr>
              <w:t xml:space="preserve">Wan </w:t>
            </w:r>
            <w:proofErr w:type="spellStart"/>
            <w:r w:rsidRPr="00C578FF">
              <w:rPr>
                <w:i/>
              </w:rPr>
              <w:t>Smol</w:t>
            </w:r>
            <w:proofErr w:type="spellEnd"/>
            <w:r w:rsidRPr="00C578FF">
              <w:rPr>
                <w:i/>
              </w:rPr>
              <w:t xml:space="preserve"> Bag</w:t>
            </w:r>
            <w:r w:rsidRPr="00C578FF">
              <w:t xml:space="preserve"> tripartite agreement</w:t>
            </w:r>
          </w:p>
        </w:tc>
        <w:tc>
          <w:tcPr>
            <w:tcW w:w="1933" w:type="dxa"/>
          </w:tcPr>
          <w:p w:rsidR="00657E5A" w:rsidRPr="00C578FF" w:rsidRDefault="00657E5A" w:rsidP="00B51188">
            <w:pPr>
              <w:pStyle w:val="TableTextEntries"/>
            </w:pPr>
            <w:r w:rsidRPr="00C578FF">
              <w:rPr>
                <w:rFonts w:cs="Calibri"/>
              </w:rPr>
              <w:t>INI637</w:t>
            </w:r>
          </w:p>
        </w:tc>
        <w:tc>
          <w:tcPr>
            <w:tcW w:w="2031" w:type="dxa"/>
          </w:tcPr>
          <w:p w:rsidR="00657E5A" w:rsidRPr="00C578FF" w:rsidRDefault="00657E5A" w:rsidP="00B51188">
            <w:pPr>
              <w:pStyle w:val="TableTextEntries"/>
            </w:pPr>
            <w:r w:rsidRPr="00C578FF">
              <w:t xml:space="preserve">Independent </w:t>
            </w:r>
            <w:r w:rsidR="0054471F" w:rsidRPr="00C578FF">
              <w:t>progress r</w:t>
            </w:r>
            <w:r w:rsidRPr="00C578FF">
              <w:t>eport</w:t>
            </w:r>
            <w:r w:rsidR="0054471F" w:rsidRPr="00C578FF">
              <w:t>—</w:t>
            </w:r>
            <w:r w:rsidRPr="00C578FF">
              <w:t>partner-led (N</w:t>
            </w:r>
            <w:r w:rsidR="0054471F" w:rsidRPr="00C578FF">
              <w:t xml:space="preserve">ew </w:t>
            </w:r>
            <w:r w:rsidRPr="00C578FF">
              <w:t>Z</w:t>
            </w:r>
            <w:r w:rsidR="0054471F" w:rsidRPr="00C578FF">
              <w:t>ealand</w:t>
            </w:r>
            <w:r w:rsidRPr="00C578FF">
              <w:t>)</w:t>
            </w:r>
          </w:p>
        </w:tc>
        <w:tc>
          <w:tcPr>
            <w:tcW w:w="1939" w:type="dxa"/>
          </w:tcPr>
          <w:p w:rsidR="00657E5A" w:rsidRPr="00C578FF" w:rsidRDefault="00657E5A" w:rsidP="00B51188">
            <w:pPr>
              <w:pStyle w:val="TableTextEntries"/>
            </w:pPr>
            <w:r w:rsidRPr="00C578FF">
              <w:t>January 2013</w:t>
            </w:r>
          </w:p>
        </w:tc>
        <w:tc>
          <w:tcPr>
            <w:tcW w:w="1921" w:type="dxa"/>
          </w:tcPr>
          <w:p w:rsidR="00657E5A" w:rsidRPr="00C578FF" w:rsidRDefault="00657E5A" w:rsidP="00B51188">
            <w:pPr>
              <w:pStyle w:val="TableTextEntries"/>
            </w:pPr>
            <w:r w:rsidRPr="00C578FF">
              <w:t>Not uploaded</w:t>
            </w:r>
          </w:p>
        </w:tc>
        <w:tc>
          <w:tcPr>
            <w:tcW w:w="1743" w:type="dxa"/>
          </w:tcPr>
          <w:p w:rsidR="00657E5A" w:rsidRPr="00C578FF" w:rsidRDefault="00657E5A" w:rsidP="00B51188">
            <w:pPr>
              <w:pStyle w:val="TableTextEntries"/>
            </w:pPr>
            <w:r w:rsidRPr="00C578FF">
              <w:t>Not uploaded</w:t>
            </w:r>
          </w:p>
        </w:tc>
        <w:tc>
          <w:tcPr>
            <w:tcW w:w="1503" w:type="dxa"/>
          </w:tcPr>
          <w:p w:rsidR="00657E5A" w:rsidRPr="00C578FF" w:rsidRDefault="00657E5A" w:rsidP="00B51188">
            <w:pPr>
              <w:pStyle w:val="TableTextEntries"/>
            </w:pPr>
            <w:r w:rsidRPr="00C578FF">
              <w:t>No</w:t>
            </w:r>
          </w:p>
        </w:tc>
      </w:tr>
      <w:tr w:rsidR="00657E5A" w:rsidRPr="00071B95" w:rsidTr="00B51188">
        <w:trPr>
          <w:tblHeader w:val="0"/>
        </w:trPr>
        <w:tc>
          <w:tcPr>
            <w:tcW w:w="1902" w:type="dxa"/>
          </w:tcPr>
          <w:p w:rsidR="00657E5A" w:rsidRPr="00B51188" w:rsidRDefault="00657E5A" w:rsidP="00B51188">
            <w:pPr>
              <w:pStyle w:val="TableTextEntries"/>
            </w:pPr>
            <w:r w:rsidRPr="00B51188">
              <w:t>Vanuatu Land Program</w:t>
            </w:r>
          </w:p>
        </w:tc>
        <w:tc>
          <w:tcPr>
            <w:tcW w:w="1933" w:type="dxa"/>
          </w:tcPr>
          <w:p w:rsidR="00657E5A" w:rsidRPr="00B51188" w:rsidRDefault="00657E5A" w:rsidP="00B51188">
            <w:pPr>
              <w:pStyle w:val="TableTextEntries"/>
            </w:pPr>
            <w:r w:rsidRPr="00B51188">
              <w:t>INI501</w:t>
            </w:r>
          </w:p>
        </w:tc>
        <w:tc>
          <w:tcPr>
            <w:tcW w:w="2031" w:type="dxa"/>
          </w:tcPr>
          <w:p w:rsidR="00657E5A" w:rsidRPr="00B51188" w:rsidRDefault="00657E5A" w:rsidP="00B51188">
            <w:pPr>
              <w:pStyle w:val="TableTextEntries"/>
            </w:pPr>
            <w:r w:rsidRPr="00B51188">
              <w:t xml:space="preserve">Independent </w:t>
            </w:r>
            <w:r w:rsidR="0054471F" w:rsidRPr="00B51188">
              <w:t>p</w:t>
            </w:r>
            <w:r w:rsidRPr="00B51188">
              <w:t xml:space="preserve">rogress </w:t>
            </w:r>
            <w:r w:rsidR="0054471F" w:rsidRPr="00B51188">
              <w:t>r</w:t>
            </w:r>
            <w:r w:rsidRPr="00B51188">
              <w:t>eport</w:t>
            </w:r>
          </w:p>
        </w:tc>
        <w:tc>
          <w:tcPr>
            <w:tcW w:w="1939" w:type="dxa"/>
          </w:tcPr>
          <w:p w:rsidR="00657E5A" w:rsidRPr="00B51188" w:rsidRDefault="00657E5A" w:rsidP="00B51188">
            <w:pPr>
              <w:pStyle w:val="TableTextEntries"/>
            </w:pPr>
            <w:r w:rsidRPr="00B51188">
              <w:t>January 2013</w:t>
            </w:r>
          </w:p>
        </w:tc>
        <w:tc>
          <w:tcPr>
            <w:tcW w:w="1921" w:type="dxa"/>
          </w:tcPr>
          <w:p w:rsidR="00657E5A" w:rsidRPr="00B51188" w:rsidRDefault="00657E5A" w:rsidP="00B51188">
            <w:pPr>
              <w:pStyle w:val="TableTextEntries"/>
            </w:pPr>
            <w:r w:rsidRPr="00B51188">
              <w:t>March 2013</w:t>
            </w:r>
          </w:p>
        </w:tc>
        <w:tc>
          <w:tcPr>
            <w:tcW w:w="1743" w:type="dxa"/>
          </w:tcPr>
          <w:p w:rsidR="00657E5A" w:rsidRPr="00B51188" w:rsidRDefault="00657E5A" w:rsidP="00B51188">
            <w:pPr>
              <w:pStyle w:val="TableTextEntries"/>
            </w:pPr>
            <w:r w:rsidRPr="00B51188">
              <w:t>Not uploaded</w:t>
            </w:r>
          </w:p>
        </w:tc>
        <w:tc>
          <w:tcPr>
            <w:tcW w:w="1503" w:type="dxa"/>
          </w:tcPr>
          <w:p w:rsidR="00657E5A" w:rsidRPr="00B51188" w:rsidRDefault="00657E5A" w:rsidP="00B51188">
            <w:pPr>
              <w:pStyle w:val="TableTextEntries"/>
            </w:pPr>
            <w:r w:rsidRPr="00B51188">
              <w:t>Yes</w:t>
            </w:r>
          </w:p>
        </w:tc>
      </w:tr>
    </w:tbl>
    <w:p w:rsidR="00071B95" w:rsidRDefault="00071B95" w:rsidP="00071B95">
      <w:pPr>
        <w:rPr>
          <w:b/>
        </w:rPr>
      </w:pPr>
    </w:p>
    <w:p w:rsidR="00657E5A" w:rsidRDefault="00657E5A" w:rsidP="00071B95">
      <w:pPr>
        <w:rPr>
          <w:b/>
        </w:rPr>
      </w:pPr>
    </w:p>
    <w:p w:rsidR="00657E5A" w:rsidRDefault="00657E5A" w:rsidP="00071B95">
      <w:pPr>
        <w:rPr>
          <w:b/>
        </w:rPr>
      </w:pPr>
    </w:p>
    <w:p w:rsidR="00657E5A" w:rsidRDefault="00657E5A" w:rsidP="00071B95">
      <w:pPr>
        <w:rPr>
          <w:b/>
        </w:rPr>
      </w:pPr>
    </w:p>
    <w:p w:rsidR="00071B95" w:rsidRPr="00071B95" w:rsidRDefault="00071B95" w:rsidP="00F06518">
      <w:pPr>
        <w:pStyle w:val="Caption"/>
      </w:pPr>
      <w:r w:rsidRPr="00071B95">
        <w:t xml:space="preserve">List of evaluations planned in the next 12 months </w:t>
      </w:r>
    </w:p>
    <w:tbl>
      <w:tblPr>
        <w:tblStyle w:val="APPR"/>
        <w:tblW w:w="5000" w:type="pct"/>
        <w:tblLook w:val="0600" w:firstRow="0" w:lastRow="0" w:firstColumn="0" w:lastColumn="0" w:noHBand="1" w:noVBand="1"/>
      </w:tblPr>
      <w:tblGrid>
        <w:gridCol w:w="2803"/>
        <w:gridCol w:w="2713"/>
        <w:gridCol w:w="2800"/>
        <w:gridCol w:w="2800"/>
        <w:gridCol w:w="2819"/>
      </w:tblGrid>
      <w:tr w:rsidR="00071B95" w:rsidRPr="00071B95" w:rsidTr="00C578FF">
        <w:tc>
          <w:tcPr>
            <w:tcW w:w="2601" w:type="dxa"/>
          </w:tcPr>
          <w:p w:rsidR="00071B95" w:rsidRPr="00C578FF" w:rsidRDefault="00071B95" w:rsidP="00C578FF">
            <w:pPr>
              <w:pStyle w:val="TableHeading1"/>
              <w:rPr>
                <w:b/>
              </w:rPr>
            </w:pPr>
            <w:r w:rsidRPr="00C578FF">
              <w:rPr>
                <w:b/>
              </w:rPr>
              <w:t xml:space="preserve">Name of </w:t>
            </w:r>
            <w:r w:rsidR="0054471F" w:rsidRPr="00C578FF">
              <w:rPr>
                <w:b/>
              </w:rPr>
              <w:t>i</w:t>
            </w:r>
            <w:r w:rsidRPr="00C578FF">
              <w:rPr>
                <w:b/>
              </w:rPr>
              <w:t>nitiative</w:t>
            </w:r>
          </w:p>
        </w:tc>
        <w:tc>
          <w:tcPr>
            <w:tcW w:w="2530" w:type="dxa"/>
          </w:tcPr>
          <w:p w:rsidR="00071B95" w:rsidRPr="00C578FF" w:rsidRDefault="00071B95" w:rsidP="00C578FF">
            <w:pPr>
              <w:pStyle w:val="TableHeading1"/>
              <w:rPr>
                <w:b/>
              </w:rPr>
            </w:pPr>
            <w:proofErr w:type="spellStart"/>
            <w:r w:rsidRPr="00C578FF">
              <w:rPr>
                <w:b/>
              </w:rPr>
              <w:t>Aidworks</w:t>
            </w:r>
            <w:proofErr w:type="spellEnd"/>
            <w:r w:rsidRPr="00C578FF">
              <w:rPr>
                <w:b/>
              </w:rPr>
              <w:t xml:space="preserve"> number</w:t>
            </w:r>
          </w:p>
        </w:tc>
        <w:tc>
          <w:tcPr>
            <w:tcW w:w="2612" w:type="dxa"/>
          </w:tcPr>
          <w:p w:rsidR="00071B95" w:rsidRPr="00C578FF" w:rsidRDefault="00071B95" w:rsidP="00C578FF">
            <w:pPr>
              <w:pStyle w:val="TableHeading1"/>
              <w:rPr>
                <w:b/>
              </w:rPr>
            </w:pPr>
            <w:r w:rsidRPr="00C578FF">
              <w:rPr>
                <w:b/>
              </w:rPr>
              <w:t>Type of evaluation</w:t>
            </w:r>
          </w:p>
        </w:tc>
        <w:tc>
          <w:tcPr>
            <w:tcW w:w="2612" w:type="dxa"/>
          </w:tcPr>
          <w:p w:rsidR="00071B95" w:rsidRPr="00C578FF" w:rsidRDefault="00071B95" w:rsidP="00C578FF">
            <w:pPr>
              <w:pStyle w:val="TableHeading1"/>
              <w:rPr>
                <w:b/>
              </w:rPr>
            </w:pPr>
            <w:r w:rsidRPr="00C578FF">
              <w:rPr>
                <w:b/>
              </w:rPr>
              <w:t>Purpose of evaluation</w:t>
            </w:r>
            <w:r w:rsidRPr="00C578FF">
              <w:rPr>
                <w:b/>
                <w:vertAlign w:val="superscript"/>
              </w:rPr>
              <w:footnoteReference w:id="38"/>
            </w:r>
          </w:p>
        </w:tc>
        <w:tc>
          <w:tcPr>
            <w:tcW w:w="2617" w:type="dxa"/>
          </w:tcPr>
          <w:p w:rsidR="00071B95" w:rsidRPr="00C578FF" w:rsidRDefault="00071B95" w:rsidP="00C578FF">
            <w:pPr>
              <w:pStyle w:val="TableHeading1"/>
              <w:rPr>
                <w:b/>
              </w:rPr>
            </w:pPr>
            <w:r w:rsidRPr="00C578FF">
              <w:rPr>
                <w:b/>
              </w:rPr>
              <w:t>Expected completion date</w:t>
            </w:r>
          </w:p>
        </w:tc>
      </w:tr>
      <w:tr w:rsidR="00657E5A" w:rsidRPr="00071B95" w:rsidTr="00C578FF">
        <w:tc>
          <w:tcPr>
            <w:tcW w:w="2601" w:type="dxa"/>
          </w:tcPr>
          <w:p w:rsidR="00657E5A" w:rsidRPr="00071B95" w:rsidRDefault="00657E5A" w:rsidP="00071B95">
            <w:pPr>
              <w:pStyle w:val="TableTextEntries"/>
            </w:pPr>
            <w:r w:rsidRPr="00D74E30">
              <w:rPr>
                <w:rFonts w:cstheme="minorHAnsi"/>
              </w:rPr>
              <w:t>Transport Sector Support Program</w:t>
            </w:r>
          </w:p>
        </w:tc>
        <w:tc>
          <w:tcPr>
            <w:tcW w:w="2530" w:type="dxa"/>
          </w:tcPr>
          <w:p w:rsidR="00657E5A" w:rsidRPr="00071B95" w:rsidRDefault="00657E5A" w:rsidP="00657E5A">
            <w:pPr>
              <w:pStyle w:val="TableTextEntries"/>
            </w:pPr>
            <w:r w:rsidRPr="00D74E30">
              <w:rPr>
                <w:rFonts w:cstheme="minorHAnsi"/>
              </w:rPr>
              <w:t>INI427</w:t>
            </w:r>
          </w:p>
        </w:tc>
        <w:tc>
          <w:tcPr>
            <w:tcW w:w="2612" w:type="dxa"/>
          </w:tcPr>
          <w:p w:rsidR="00657E5A" w:rsidRPr="00071B95" w:rsidRDefault="00657E5A" w:rsidP="0054471F">
            <w:pPr>
              <w:pStyle w:val="TableTextEntries"/>
            </w:pPr>
            <w:r w:rsidRPr="004B50B0">
              <w:t xml:space="preserve">Independent </w:t>
            </w:r>
            <w:r w:rsidR="0054471F">
              <w:t>c</w:t>
            </w:r>
            <w:r w:rsidRPr="004B50B0">
              <w:t xml:space="preserve">ompletion </w:t>
            </w:r>
            <w:r w:rsidR="0054471F">
              <w:t>r</w:t>
            </w:r>
            <w:r w:rsidRPr="004B50B0">
              <w:t>eport</w:t>
            </w:r>
          </w:p>
        </w:tc>
        <w:tc>
          <w:tcPr>
            <w:tcW w:w="2612" w:type="dxa"/>
          </w:tcPr>
          <w:p w:rsidR="00657E5A" w:rsidRPr="00071B95" w:rsidRDefault="00657E5A" w:rsidP="00071B95">
            <w:pPr>
              <w:pStyle w:val="TableTextEntries"/>
            </w:pPr>
            <w:r>
              <w:t>Impact evaluation</w:t>
            </w:r>
          </w:p>
        </w:tc>
        <w:tc>
          <w:tcPr>
            <w:tcW w:w="2617" w:type="dxa"/>
          </w:tcPr>
          <w:p w:rsidR="00657E5A" w:rsidRPr="00071B95" w:rsidRDefault="00657E5A" w:rsidP="00071B95">
            <w:pPr>
              <w:pStyle w:val="TableTextEntries"/>
            </w:pPr>
            <w:r>
              <w:t>March 2014</w:t>
            </w:r>
          </w:p>
        </w:tc>
      </w:tr>
      <w:tr w:rsidR="00657E5A" w:rsidRPr="00071B95" w:rsidTr="00C578FF">
        <w:tc>
          <w:tcPr>
            <w:tcW w:w="2601" w:type="dxa"/>
          </w:tcPr>
          <w:p w:rsidR="00657E5A" w:rsidRPr="00071B95" w:rsidRDefault="00657E5A" w:rsidP="0054471F">
            <w:pPr>
              <w:pStyle w:val="TableTextEntries"/>
            </w:pPr>
            <w:r w:rsidRPr="00D74E30">
              <w:rPr>
                <w:rFonts w:cstheme="minorHAnsi"/>
              </w:rPr>
              <w:t xml:space="preserve">Vanuatu National Library </w:t>
            </w:r>
            <w:r w:rsidR="0054471F">
              <w:rPr>
                <w:rFonts w:cstheme="minorHAnsi"/>
              </w:rPr>
              <w:t>and</w:t>
            </w:r>
            <w:r w:rsidRPr="00D74E30">
              <w:rPr>
                <w:rFonts w:cstheme="minorHAnsi"/>
              </w:rPr>
              <w:t xml:space="preserve"> Archives</w:t>
            </w:r>
          </w:p>
        </w:tc>
        <w:tc>
          <w:tcPr>
            <w:tcW w:w="2530" w:type="dxa"/>
          </w:tcPr>
          <w:p w:rsidR="00657E5A" w:rsidRPr="00071B95" w:rsidRDefault="00657E5A" w:rsidP="00657E5A">
            <w:pPr>
              <w:pStyle w:val="TableTextEntries"/>
            </w:pPr>
            <w:r w:rsidRPr="00D74E30">
              <w:rPr>
                <w:rFonts w:cstheme="minorHAnsi"/>
              </w:rPr>
              <w:t>INJ898</w:t>
            </w:r>
          </w:p>
        </w:tc>
        <w:tc>
          <w:tcPr>
            <w:tcW w:w="2612" w:type="dxa"/>
          </w:tcPr>
          <w:p w:rsidR="00657E5A" w:rsidRPr="00071B95" w:rsidRDefault="00657E5A" w:rsidP="0054471F">
            <w:pPr>
              <w:pStyle w:val="TableTextEntries"/>
            </w:pPr>
            <w:r w:rsidRPr="004F7C97">
              <w:t xml:space="preserve">Independent </w:t>
            </w:r>
            <w:r w:rsidR="0054471F">
              <w:t>c</w:t>
            </w:r>
            <w:r w:rsidRPr="004F7C97">
              <w:t xml:space="preserve">ompletion </w:t>
            </w:r>
            <w:r w:rsidR="0054471F">
              <w:t>r</w:t>
            </w:r>
            <w:r w:rsidRPr="004F7C97">
              <w:t>eport</w:t>
            </w:r>
          </w:p>
        </w:tc>
        <w:tc>
          <w:tcPr>
            <w:tcW w:w="2612" w:type="dxa"/>
          </w:tcPr>
          <w:p w:rsidR="00657E5A" w:rsidRPr="00071B95" w:rsidRDefault="00657E5A" w:rsidP="0054471F">
            <w:pPr>
              <w:pStyle w:val="TableTextEntries"/>
            </w:pPr>
            <w:r>
              <w:t>Lessons learn</w:t>
            </w:r>
            <w:r w:rsidR="0054471F">
              <w:t>ed</w:t>
            </w:r>
          </w:p>
        </w:tc>
        <w:tc>
          <w:tcPr>
            <w:tcW w:w="2617" w:type="dxa"/>
          </w:tcPr>
          <w:p w:rsidR="00657E5A" w:rsidRPr="00071B95" w:rsidRDefault="00657E5A" w:rsidP="00071B95">
            <w:pPr>
              <w:pStyle w:val="TableTextEntries"/>
            </w:pPr>
            <w:r>
              <w:t>May 2014</w:t>
            </w:r>
          </w:p>
        </w:tc>
      </w:tr>
      <w:tr w:rsidR="00657E5A" w:rsidRPr="00071B95" w:rsidTr="00C578FF">
        <w:tc>
          <w:tcPr>
            <w:tcW w:w="2601" w:type="dxa"/>
          </w:tcPr>
          <w:p w:rsidR="00657E5A" w:rsidRPr="00071B95" w:rsidRDefault="00657E5A" w:rsidP="00071B95">
            <w:pPr>
              <w:pStyle w:val="TableTextEntries"/>
            </w:pPr>
            <w:r w:rsidRPr="00D74E30">
              <w:rPr>
                <w:rFonts w:cstheme="minorHAnsi"/>
              </w:rPr>
              <w:t>Vanuatu Education Road Map</w:t>
            </w:r>
          </w:p>
        </w:tc>
        <w:tc>
          <w:tcPr>
            <w:tcW w:w="2530" w:type="dxa"/>
          </w:tcPr>
          <w:p w:rsidR="00657E5A" w:rsidRPr="00071B95" w:rsidRDefault="00657E5A" w:rsidP="00657E5A">
            <w:pPr>
              <w:pStyle w:val="TableTextEntries"/>
            </w:pPr>
            <w:r w:rsidRPr="00D74E30">
              <w:rPr>
                <w:rFonts w:cstheme="minorHAnsi"/>
                <w:lang w:eastAsia="en-AU"/>
              </w:rPr>
              <w:t>INH937</w:t>
            </w:r>
          </w:p>
        </w:tc>
        <w:tc>
          <w:tcPr>
            <w:tcW w:w="2612" w:type="dxa"/>
          </w:tcPr>
          <w:p w:rsidR="00657E5A" w:rsidRPr="00071B95" w:rsidRDefault="004E6871" w:rsidP="0054471F">
            <w:pPr>
              <w:pStyle w:val="TableTextEntries"/>
            </w:pPr>
            <w:r>
              <w:t>Partner-led review (N</w:t>
            </w:r>
            <w:r w:rsidR="0054471F">
              <w:t>ew Zealand</w:t>
            </w:r>
            <w:r>
              <w:t>)</w:t>
            </w:r>
          </w:p>
        </w:tc>
        <w:tc>
          <w:tcPr>
            <w:tcW w:w="2612" w:type="dxa"/>
          </w:tcPr>
          <w:p w:rsidR="00657E5A" w:rsidRPr="00071B95" w:rsidRDefault="004E6871" w:rsidP="00071B95">
            <w:pPr>
              <w:pStyle w:val="TableTextEntries"/>
            </w:pPr>
            <w:r>
              <w:t>End of program review</w:t>
            </w:r>
          </w:p>
        </w:tc>
        <w:tc>
          <w:tcPr>
            <w:tcW w:w="2617" w:type="dxa"/>
          </w:tcPr>
          <w:p w:rsidR="00657E5A" w:rsidRPr="00071B95" w:rsidRDefault="00EC4E55" w:rsidP="00071B95">
            <w:pPr>
              <w:pStyle w:val="TableTextEntries"/>
            </w:pPr>
            <w:r>
              <w:t xml:space="preserve">April </w:t>
            </w:r>
            <w:r w:rsidR="00657E5A">
              <w:t>2014</w:t>
            </w:r>
          </w:p>
        </w:tc>
      </w:tr>
      <w:tr w:rsidR="00657E5A" w:rsidRPr="00071B95" w:rsidTr="00C578FF">
        <w:tc>
          <w:tcPr>
            <w:tcW w:w="2601" w:type="dxa"/>
          </w:tcPr>
          <w:p w:rsidR="00657E5A" w:rsidRPr="00071B95" w:rsidRDefault="00657E5A" w:rsidP="00071B95">
            <w:pPr>
              <w:pStyle w:val="TableTextEntries"/>
            </w:pPr>
            <w:r>
              <w:t>Village Health Worker Program</w:t>
            </w:r>
          </w:p>
        </w:tc>
        <w:tc>
          <w:tcPr>
            <w:tcW w:w="2530" w:type="dxa"/>
          </w:tcPr>
          <w:p w:rsidR="00657E5A" w:rsidRPr="00071B95" w:rsidRDefault="00657E5A" w:rsidP="00657E5A">
            <w:pPr>
              <w:pStyle w:val="TableTextEntries"/>
            </w:pPr>
            <w:r w:rsidRPr="00296CB1">
              <w:rPr>
                <w:rFonts w:cs="Calibri"/>
              </w:rPr>
              <w:t>INJ438</w:t>
            </w:r>
          </w:p>
        </w:tc>
        <w:tc>
          <w:tcPr>
            <w:tcW w:w="2612" w:type="dxa"/>
          </w:tcPr>
          <w:p w:rsidR="00657E5A" w:rsidRPr="00071B95" w:rsidRDefault="00657E5A" w:rsidP="001E1BF3">
            <w:pPr>
              <w:pStyle w:val="TableTextEntries"/>
            </w:pPr>
            <w:r>
              <w:t xml:space="preserve">Internal </w:t>
            </w:r>
            <w:r w:rsidRPr="001E1BF3">
              <w:t>review of V</w:t>
            </w:r>
            <w:r w:rsidR="001E1BF3" w:rsidRPr="000D4620">
              <w:t>illage Health Worker</w:t>
            </w:r>
            <w:r w:rsidRPr="001E1BF3">
              <w:t xml:space="preserve"> as a m</w:t>
            </w:r>
            <w:r>
              <w:t>echanism for delivering primary health care</w:t>
            </w:r>
          </w:p>
        </w:tc>
        <w:tc>
          <w:tcPr>
            <w:tcW w:w="2612" w:type="dxa"/>
          </w:tcPr>
          <w:p w:rsidR="00657E5A" w:rsidRPr="00071B95" w:rsidRDefault="0054471F" w:rsidP="0054471F">
            <w:pPr>
              <w:pStyle w:val="TableTextEntries"/>
            </w:pPr>
            <w:r>
              <w:t>Exam</w:t>
            </w:r>
            <w:r w:rsidR="001E1BF3">
              <w:t>i</w:t>
            </w:r>
            <w:r>
              <w:t>ne</w:t>
            </w:r>
            <w:r w:rsidR="00657E5A">
              <w:t xml:space="preserve"> future delivery mechanism</w:t>
            </w:r>
          </w:p>
        </w:tc>
        <w:tc>
          <w:tcPr>
            <w:tcW w:w="2617" w:type="dxa"/>
          </w:tcPr>
          <w:p w:rsidR="00657E5A" w:rsidRPr="00071B95" w:rsidRDefault="00657E5A" w:rsidP="00071B95">
            <w:pPr>
              <w:pStyle w:val="TableTextEntries"/>
            </w:pPr>
            <w:r>
              <w:t>February 2014</w:t>
            </w:r>
          </w:p>
        </w:tc>
      </w:tr>
      <w:tr w:rsidR="00657E5A" w:rsidRPr="00071B95" w:rsidTr="00C578FF">
        <w:tc>
          <w:tcPr>
            <w:tcW w:w="2601" w:type="dxa"/>
          </w:tcPr>
          <w:p w:rsidR="00657E5A" w:rsidRPr="00071B95" w:rsidRDefault="00657E5A" w:rsidP="00071B95">
            <w:pPr>
              <w:pStyle w:val="TableTextEntries"/>
            </w:pPr>
            <w:r w:rsidRPr="00D74E30">
              <w:rPr>
                <w:rFonts w:cstheme="minorHAnsi"/>
                <w:bdr w:val="none" w:sz="0" w:space="0" w:color="auto" w:frame="1"/>
                <w:lang w:val="en"/>
              </w:rPr>
              <w:t>Malaria program</w:t>
            </w:r>
          </w:p>
        </w:tc>
        <w:tc>
          <w:tcPr>
            <w:tcW w:w="2530" w:type="dxa"/>
          </w:tcPr>
          <w:p w:rsidR="00657E5A" w:rsidRPr="00071B95" w:rsidRDefault="00657E5A" w:rsidP="00657E5A">
            <w:pPr>
              <w:pStyle w:val="TableTextEntries"/>
            </w:pPr>
            <w:r w:rsidRPr="00296CB1">
              <w:rPr>
                <w:rFonts w:cs="Calibri"/>
              </w:rPr>
              <w:t>INJ438</w:t>
            </w:r>
          </w:p>
        </w:tc>
        <w:tc>
          <w:tcPr>
            <w:tcW w:w="2612" w:type="dxa"/>
          </w:tcPr>
          <w:p w:rsidR="00657E5A" w:rsidRPr="00071B95" w:rsidRDefault="00657E5A" w:rsidP="0054471F">
            <w:pPr>
              <w:pStyle w:val="TableTextEntries"/>
            </w:pPr>
            <w:r>
              <w:t>Partner-led review (W</w:t>
            </w:r>
            <w:r w:rsidR="0054471F">
              <w:t>orld Health Organization</w:t>
            </w:r>
            <w:r>
              <w:t>)</w:t>
            </w:r>
          </w:p>
        </w:tc>
        <w:tc>
          <w:tcPr>
            <w:tcW w:w="2612" w:type="dxa"/>
          </w:tcPr>
          <w:p w:rsidR="00657E5A" w:rsidRPr="00071B95" w:rsidRDefault="0054471F" w:rsidP="0054471F">
            <w:pPr>
              <w:pStyle w:val="TableTextEntries"/>
            </w:pPr>
            <w:r>
              <w:t>I</w:t>
            </w:r>
            <w:r w:rsidR="00657E5A">
              <w:t>mprove existing program</w:t>
            </w:r>
          </w:p>
        </w:tc>
        <w:tc>
          <w:tcPr>
            <w:tcW w:w="2617" w:type="dxa"/>
          </w:tcPr>
          <w:p w:rsidR="00657E5A" w:rsidRPr="00071B95" w:rsidRDefault="00657E5A" w:rsidP="00071B95">
            <w:pPr>
              <w:pStyle w:val="TableTextEntries"/>
            </w:pPr>
            <w:r>
              <w:t>August 2013</w:t>
            </w:r>
          </w:p>
        </w:tc>
      </w:tr>
      <w:tr w:rsidR="00657E5A" w:rsidRPr="00071B95" w:rsidTr="00C578FF">
        <w:tc>
          <w:tcPr>
            <w:tcW w:w="2601" w:type="dxa"/>
          </w:tcPr>
          <w:p w:rsidR="00657E5A" w:rsidRPr="00071B95" w:rsidRDefault="00657E5A" w:rsidP="0054471F">
            <w:pPr>
              <w:pStyle w:val="TableTextEntries"/>
            </w:pPr>
            <w:r w:rsidRPr="00D74E30">
              <w:rPr>
                <w:rFonts w:cstheme="minorHAnsi"/>
                <w:bdr w:val="none" w:sz="0" w:space="0" w:color="auto" w:frame="1"/>
                <w:lang w:val="en"/>
              </w:rPr>
              <w:t xml:space="preserve">HIV </w:t>
            </w:r>
            <w:r w:rsidR="0054471F">
              <w:rPr>
                <w:rFonts w:cstheme="minorHAnsi"/>
                <w:bdr w:val="none" w:sz="0" w:space="0" w:color="auto" w:frame="1"/>
                <w:lang w:val="en"/>
              </w:rPr>
              <w:t>p</w:t>
            </w:r>
            <w:r w:rsidRPr="00D74E30">
              <w:rPr>
                <w:rFonts w:cstheme="minorHAnsi"/>
                <w:bdr w:val="none" w:sz="0" w:space="0" w:color="auto" w:frame="1"/>
                <w:lang w:val="en"/>
              </w:rPr>
              <w:t>rogram</w:t>
            </w:r>
          </w:p>
        </w:tc>
        <w:tc>
          <w:tcPr>
            <w:tcW w:w="2530" w:type="dxa"/>
          </w:tcPr>
          <w:p w:rsidR="00657E5A" w:rsidRPr="00071B95" w:rsidRDefault="00657E5A" w:rsidP="00657E5A">
            <w:pPr>
              <w:pStyle w:val="TableTextEntries"/>
            </w:pPr>
            <w:r w:rsidRPr="00296CB1">
              <w:rPr>
                <w:rFonts w:cs="Calibri"/>
              </w:rPr>
              <w:t>INJ438</w:t>
            </w:r>
          </w:p>
        </w:tc>
        <w:tc>
          <w:tcPr>
            <w:tcW w:w="2612" w:type="dxa"/>
          </w:tcPr>
          <w:p w:rsidR="00657E5A" w:rsidRPr="00071B95" w:rsidRDefault="00657E5A" w:rsidP="000D4620">
            <w:pPr>
              <w:pStyle w:val="TableTextEntries"/>
            </w:pPr>
            <w:r>
              <w:t>Partner-led review</w:t>
            </w:r>
          </w:p>
        </w:tc>
        <w:tc>
          <w:tcPr>
            <w:tcW w:w="2612" w:type="dxa"/>
          </w:tcPr>
          <w:p w:rsidR="00657E5A" w:rsidRPr="00071B95" w:rsidRDefault="00657E5A" w:rsidP="00071B95">
            <w:pPr>
              <w:pStyle w:val="TableTextEntries"/>
            </w:pPr>
            <w:r>
              <w:t>Impact evaluation as the program is ending</w:t>
            </w:r>
          </w:p>
        </w:tc>
        <w:tc>
          <w:tcPr>
            <w:tcW w:w="2617" w:type="dxa"/>
          </w:tcPr>
          <w:p w:rsidR="00657E5A" w:rsidRPr="00071B95" w:rsidRDefault="00657E5A" w:rsidP="00071B95">
            <w:pPr>
              <w:pStyle w:val="TableTextEntries"/>
            </w:pPr>
            <w:r>
              <w:t>May 2014</w:t>
            </w:r>
          </w:p>
        </w:tc>
      </w:tr>
    </w:tbl>
    <w:p w:rsidR="00FD6953" w:rsidRDefault="00FD6953" w:rsidP="00071B95">
      <w:pPr>
        <w:rPr>
          <w:b/>
        </w:rPr>
      </w:pPr>
    </w:p>
    <w:p w:rsidR="00FD6953" w:rsidRDefault="00FD6953" w:rsidP="00071B95">
      <w:pPr>
        <w:rPr>
          <w:b/>
        </w:rPr>
      </w:pPr>
    </w:p>
    <w:sectPr w:rsidR="00FD6953" w:rsidSect="00796F14">
      <w:headerReference w:type="default" r:id="rId18"/>
      <w:footerReference w:type="default" r:id="rId19"/>
      <w:headerReference w:type="first" r:id="rId20"/>
      <w:footerReference w:type="first" r:id="rId21"/>
      <w:pgSz w:w="16838" w:h="11906" w:orient="landscape" w:code="9"/>
      <w:pgMar w:top="1871" w:right="2268" w:bottom="1021" w:left="90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5C" w:rsidRDefault="000D7D5C" w:rsidP="0050529F">
      <w:r>
        <w:separator/>
      </w:r>
    </w:p>
    <w:p w:rsidR="000D7D5C" w:rsidRDefault="000D7D5C"/>
    <w:p w:rsidR="000D7D5C" w:rsidRDefault="000D7D5C"/>
  </w:endnote>
  <w:endnote w:type="continuationSeparator" w:id="0">
    <w:p w:rsidR="000D7D5C" w:rsidRDefault="000D7D5C" w:rsidP="0050529F">
      <w:r>
        <w:continuationSeparator/>
      </w:r>
    </w:p>
    <w:p w:rsidR="000D7D5C" w:rsidRDefault="000D7D5C"/>
    <w:p w:rsidR="000D7D5C" w:rsidRDefault="000D7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Pr="00E31752" w:rsidRDefault="000D7D5C" w:rsidP="00E3175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Aid Program Performance Report 2012−13 Vanuatu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6368" behindDoc="1" locked="0" layoutInCell="1" allowOverlap="1" wp14:anchorId="6F658D88" wp14:editId="25F37D50">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5344" behindDoc="1" locked="0" layoutInCell="1" allowOverlap="1" wp14:anchorId="091B36EA" wp14:editId="7416621B">
              <wp:simplePos x="0" y="0"/>
              <wp:positionH relativeFrom="column">
                <wp:posOffset>0</wp:posOffset>
              </wp:positionH>
              <wp:positionV relativeFrom="paragraph">
                <wp:posOffset>8498840</wp:posOffset>
              </wp:positionV>
              <wp:extent cx="7379970" cy="2181860"/>
              <wp:effectExtent l="0" t="2540" r="1905" b="0"/>
              <wp:wrapNone/>
              <wp:docPr id="1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xgndj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YMYJ3&#10;YwMAAB0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Pr="00E31752" w:rsidRDefault="000D7D5C" w:rsidP="00E3175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Aid Program Performance Report 2012−13 Vanuatu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3296" behindDoc="1" locked="0" layoutInCell="1" allowOverlap="1" wp14:anchorId="41415ADB" wp14:editId="034756E2">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2272" behindDoc="1" locked="0" layoutInCell="1" allowOverlap="1" wp14:anchorId="62DCCEFA" wp14:editId="4BFD3379">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Pr="00E31752" w:rsidRDefault="000D7D5C" w:rsidP="000F058F">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Aid Program Performance Report 2012−13 Vanuatu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20</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09440" behindDoc="1" locked="0" layoutInCell="1" allowOverlap="1" wp14:anchorId="36B4E02B" wp14:editId="54089402">
              <wp:simplePos x="0" y="0"/>
              <wp:positionH relativeFrom="column">
                <wp:posOffset>0</wp:posOffset>
              </wp:positionH>
              <wp:positionV relativeFrom="paragraph">
                <wp:posOffset>8498840</wp:posOffset>
              </wp:positionV>
              <wp:extent cx="7379970" cy="2181860"/>
              <wp:effectExtent l="0" t="2540" r="1905" b="0"/>
              <wp:wrapNone/>
              <wp:docPr id="2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ld4V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pXeF&#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08416" behindDoc="1" locked="0" layoutInCell="1" allowOverlap="1" wp14:anchorId="6822E804" wp14:editId="1E2BD2BF">
              <wp:simplePos x="0" y="0"/>
              <wp:positionH relativeFrom="column">
                <wp:posOffset>0</wp:posOffset>
              </wp:positionH>
              <wp:positionV relativeFrom="paragraph">
                <wp:posOffset>8498840</wp:posOffset>
              </wp:positionV>
              <wp:extent cx="7379970" cy="2181860"/>
              <wp:effectExtent l="0" t="2540" r="1905" b="0"/>
              <wp:wrapNone/>
              <wp:docPr id="2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A9UN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JMd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4cD1&#10;Q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Pr="00E31752" w:rsidRDefault="000D7D5C" w:rsidP="00E31752">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Aid Program Performance Report 2012−13 Vanuatu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21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2512" behindDoc="1" locked="0" layoutInCell="1" allowOverlap="1" wp14:anchorId="577D7189" wp14:editId="02798B89">
              <wp:simplePos x="0" y="0"/>
              <wp:positionH relativeFrom="column">
                <wp:posOffset>0</wp:posOffset>
              </wp:positionH>
              <wp:positionV relativeFrom="paragraph">
                <wp:posOffset>8498840</wp:posOffset>
              </wp:positionV>
              <wp:extent cx="7379970" cy="2181860"/>
              <wp:effectExtent l="0" t="2540" r="1905" b="0"/>
              <wp:wrapNone/>
              <wp:docPr id="22"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Dxl9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K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SEPG&#10;X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1488" behindDoc="1" locked="0" layoutInCell="1" allowOverlap="1" wp14:anchorId="0BEAB66D" wp14:editId="46653B28">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Pr="000F058F" w:rsidRDefault="000D7D5C" w:rsidP="000F058F">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Aid Program Performance Report 2012−13 Vanuatu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74521B">
      <w:rPr>
        <w:rFonts w:ascii="Franklin Gothic Medium" w:eastAsia="Times New Roman" w:hAnsi="Franklin Gothic Medium"/>
        <w:noProof/>
        <w:sz w:val="14"/>
        <w:szCs w:val="14"/>
      </w:rPr>
      <w:t>24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8656" behindDoc="1" locked="0" layoutInCell="1" allowOverlap="1" wp14:anchorId="446F38C6" wp14:editId="79E1E88E">
              <wp:simplePos x="0" y="0"/>
              <wp:positionH relativeFrom="column">
                <wp:posOffset>0</wp:posOffset>
              </wp:positionH>
              <wp:positionV relativeFrom="paragraph">
                <wp:posOffset>8498840</wp:posOffset>
              </wp:positionV>
              <wp:extent cx="7379970" cy="2181860"/>
              <wp:effectExtent l="0" t="2540" r="1905" b="0"/>
              <wp:wrapNone/>
              <wp:docPr id="4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GHdR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ehYflrwV4L+2uBKAqq&#10;GuwBSJyuPUhw/2isOHTwUh7dVnoJ3aYVsQ+ETjRaBfYHAVpw9OTU60KPv5bjqfc/tY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PBh3U&#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7632" behindDoc="1" locked="0" layoutInCell="1" allowOverlap="1" wp14:anchorId="6AA38D9D" wp14:editId="1F7CADF5">
              <wp:simplePos x="0" y="0"/>
              <wp:positionH relativeFrom="column">
                <wp:posOffset>0</wp:posOffset>
              </wp:positionH>
              <wp:positionV relativeFrom="paragraph">
                <wp:posOffset>8498840</wp:posOffset>
              </wp:positionV>
              <wp:extent cx="7379970" cy="2181860"/>
              <wp:effectExtent l="0" t="2540" r="1905" b="0"/>
              <wp:wrapNone/>
              <wp:docPr id="41"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vd8B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hS93&#10;wG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Pr="00E31752" w:rsidRDefault="000D7D5C" w:rsidP="00E31752">
    <w:pPr>
      <w:pStyle w:val="Footer"/>
      <w:tabs>
        <w:tab w:val="clear" w:pos="4513"/>
        <w:tab w:val="clear" w:pos="9026"/>
        <w:tab w:val="right" w:pos="14175"/>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Annual Aid Program Performance Report 2012−13 Vanuatu</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Pr>
        <w:rFonts w:ascii="Franklin Gothic Medium" w:eastAsia="Times New Roman" w:hAnsi="Franklin Gothic Medium"/>
        <w:noProof/>
        <w:sz w:val="14"/>
        <w:szCs w:val="14"/>
      </w:rPr>
      <w:t>24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5584" behindDoc="1" locked="0" layoutInCell="1" allowOverlap="1" wp14:anchorId="2C1A9873" wp14:editId="13573352">
              <wp:simplePos x="0" y="0"/>
              <wp:positionH relativeFrom="column">
                <wp:posOffset>0</wp:posOffset>
              </wp:positionH>
              <wp:positionV relativeFrom="paragraph">
                <wp:posOffset>8498840</wp:posOffset>
              </wp:positionV>
              <wp:extent cx="7379970" cy="2181860"/>
              <wp:effectExtent l="0" t="2540" r="1905" b="0"/>
              <wp:wrapNone/>
              <wp:docPr id="31"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nK6t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aecr&#10;q2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4560" behindDoc="1" locked="0" layoutInCell="1" allowOverlap="1" wp14:anchorId="13588577" wp14:editId="4604F44E">
              <wp:simplePos x="0" y="0"/>
              <wp:positionH relativeFrom="column">
                <wp:posOffset>0</wp:posOffset>
              </wp:positionH>
              <wp:positionV relativeFrom="paragraph">
                <wp:posOffset>8498840</wp:posOffset>
              </wp:positionV>
              <wp:extent cx="7379970" cy="2181860"/>
              <wp:effectExtent l="0" t="2540" r="1905" b="0"/>
              <wp:wrapNone/>
              <wp:docPr id="3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9aA9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z1o&#10;D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5C" w:rsidRDefault="000D7D5C" w:rsidP="0050529F">
      <w:r>
        <w:separator/>
      </w:r>
    </w:p>
    <w:p w:rsidR="000D7D5C" w:rsidRDefault="000D7D5C"/>
    <w:p w:rsidR="000D7D5C" w:rsidRDefault="000D7D5C"/>
  </w:footnote>
  <w:footnote w:type="continuationSeparator" w:id="0">
    <w:p w:rsidR="000D7D5C" w:rsidRDefault="000D7D5C" w:rsidP="0050529F">
      <w:r>
        <w:continuationSeparator/>
      </w:r>
    </w:p>
    <w:p w:rsidR="000D7D5C" w:rsidRDefault="000D7D5C"/>
    <w:p w:rsidR="000D7D5C" w:rsidRDefault="000D7D5C"/>
  </w:footnote>
  <w:footnote w:id="1">
    <w:p w:rsidR="0074521B" w:rsidRDefault="0074521B">
      <w:pPr>
        <w:pStyle w:val="FootnoteText"/>
      </w:pPr>
      <w:r>
        <w:rPr>
          <w:rStyle w:val="FootnoteReference"/>
        </w:rPr>
        <w:footnoteRef/>
      </w:r>
      <w:r>
        <w:t xml:space="preserve"> </w:t>
      </w:r>
      <w:r>
        <w:t>Prior to 2012-13 Aid Program Performance Reports were called Annual Program Performance Reports</w:t>
      </w:r>
      <w:r>
        <w:t>.</w:t>
      </w:r>
    </w:p>
  </w:footnote>
  <w:footnote w:id="2">
    <w:p w:rsidR="000D7D5C" w:rsidRDefault="000D7D5C">
      <w:pPr>
        <w:pStyle w:val="FootnoteText"/>
      </w:pPr>
      <w:r>
        <w:rPr>
          <w:rStyle w:val="FootnoteReference"/>
        </w:rPr>
        <w:footnoteRef/>
      </w:r>
      <w:r>
        <w:t xml:space="preserve"> Population was 234 023 at the 2009 census. A World Bank 2011 estimate puts the population at 245 619.</w:t>
      </w:r>
    </w:p>
  </w:footnote>
  <w:footnote w:id="3">
    <w:p w:rsidR="000D7D5C" w:rsidRPr="00970468" w:rsidRDefault="000D7D5C" w:rsidP="00FE214C">
      <w:pPr>
        <w:pStyle w:val="FootnoteText"/>
        <w:rPr>
          <w:szCs w:val="16"/>
        </w:rPr>
      </w:pPr>
      <w:r w:rsidRPr="00970468">
        <w:rPr>
          <w:szCs w:val="16"/>
        </w:rPr>
        <w:footnoteRef/>
      </w:r>
      <w:r w:rsidRPr="00970468">
        <w:rPr>
          <w:szCs w:val="16"/>
        </w:rPr>
        <w:t xml:space="preserve"> I</w:t>
      </w:r>
      <w:r>
        <w:rPr>
          <w:szCs w:val="16"/>
        </w:rPr>
        <w:t>nternational Monetary Fund, p</w:t>
      </w:r>
      <w:r w:rsidRPr="00970468">
        <w:rPr>
          <w:szCs w:val="16"/>
        </w:rPr>
        <w:t>ress release</w:t>
      </w:r>
      <w:r>
        <w:rPr>
          <w:szCs w:val="16"/>
        </w:rPr>
        <w:t xml:space="preserve">, ‘IMF concludes </w:t>
      </w:r>
      <w:r w:rsidRPr="00970468">
        <w:rPr>
          <w:szCs w:val="16"/>
        </w:rPr>
        <w:t xml:space="preserve">Vanuatu Article IV </w:t>
      </w:r>
      <w:r>
        <w:rPr>
          <w:szCs w:val="16"/>
        </w:rPr>
        <w:t>consultations’,</w:t>
      </w:r>
      <w:r w:rsidRPr="00970468">
        <w:rPr>
          <w:szCs w:val="16"/>
        </w:rPr>
        <w:t xml:space="preserve"> </w:t>
      </w:r>
      <w:r>
        <w:rPr>
          <w:szCs w:val="16"/>
        </w:rPr>
        <w:t>10</w:t>
      </w:r>
      <w:r w:rsidRPr="00970468">
        <w:rPr>
          <w:szCs w:val="16"/>
        </w:rPr>
        <w:t>April 2013</w:t>
      </w:r>
      <w:r>
        <w:rPr>
          <w:szCs w:val="16"/>
        </w:rPr>
        <w:t>.</w:t>
      </w:r>
    </w:p>
  </w:footnote>
  <w:footnote w:id="4">
    <w:p w:rsidR="000D7D5C" w:rsidRPr="00202000" w:rsidRDefault="000D7D5C" w:rsidP="00FE214C">
      <w:pPr>
        <w:pStyle w:val="FootnoteText"/>
        <w:rPr>
          <w:szCs w:val="16"/>
        </w:rPr>
      </w:pPr>
      <w:r w:rsidRPr="00202000">
        <w:rPr>
          <w:rStyle w:val="FootnoteReference"/>
          <w:szCs w:val="16"/>
        </w:rPr>
        <w:footnoteRef/>
      </w:r>
      <w:r>
        <w:rPr>
          <w:szCs w:val="16"/>
        </w:rPr>
        <w:t xml:space="preserve"> Ibid.</w:t>
      </w:r>
    </w:p>
  </w:footnote>
  <w:footnote w:id="5">
    <w:p w:rsidR="000D7D5C" w:rsidRDefault="000D7D5C" w:rsidP="00E31752">
      <w:pPr>
        <w:pStyle w:val="FootnoteText"/>
        <w:jc w:val="both"/>
      </w:pPr>
      <w:r>
        <w:rPr>
          <w:rStyle w:val="FootnoteReference"/>
        </w:rPr>
        <w:footnoteRef/>
      </w:r>
      <w:r>
        <w:t xml:space="preserve"> Department of Foreign Affairs and Trade</w:t>
      </w:r>
      <w:r w:rsidRPr="00E31752">
        <w:rPr>
          <w:color w:val="1F497D" w:themeColor="text2"/>
        </w:rPr>
        <w:t xml:space="preserve">, </w:t>
      </w:r>
      <w:hyperlink r:id="rId1" w:history="1">
        <w:r w:rsidRPr="00E31752">
          <w:rPr>
            <w:color w:val="1F497D" w:themeColor="text2"/>
          </w:rPr>
          <w:t>http://dfat.gov.au/geo/vanuatu/vanuatu_brief.html</w:t>
        </w:r>
      </w:hyperlink>
      <w:r w:rsidRPr="00E31752">
        <w:t>,</w:t>
      </w:r>
      <w:r>
        <w:t xml:space="preserve"> accessed 31 May 2013.</w:t>
      </w:r>
    </w:p>
  </w:footnote>
  <w:footnote w:id="6">
    <w:p w:rsidR="000D7D5C" w:rsidRDefault="000D7D5C" w:rsidP="00F95385">
      <w:pPr>
        <w:pStyle w:val="FootnoteText"/>
      </w:pPr>
      <w:r>
        <w:rPr>
          <w:rStyle w:val="FootnoteReference"/>
        </w:rPr>
        <w:footnoteRef/>
      </w:r>
      <w:r>
        <w:t xml:space="preserve"> </w:t>
      </w:r>
      <w:proofErr w:type="gramStart"/>
      <w:r>
        <w:t>Carnival Australia presentation to the Vanuatu–Australia Business Council, 6 March 2013.</w:t>
      </w:r>
      <w:proofErr w:type="gramEnd"/>
    </w:p>
  </w:footnote>
  <w:footnote w:id="7">
    <w:p w:rsidR="000D7D5C" w:rsidRDefault="000D7D5C">
      <w:pPr>
        <w:pStyle w:val="FootnoteText"/>
      </w:pPr>
      <w:r>
        <w:rPr>
          <w:rStyle w:val="FootnoteReference"/>
        </w:rPr>
        <w:footnoteRef/>
      </w:r>
      <w:r>
        <w:t xml:space="preserve"> </w:t>
      </w:r>
      <w:r>
        <w:rPr>
          <w:szCs w:val="16"/>
        </w:rPr>
        <w:t>Government of Vanuatu, Bureau of Statistics and United Nations Development Programme (UNDP) Pacific Centre, Analysis of the 2010 Households Income and Expenditure Survey, December 2012,</w:t>
      </w:r>
      <w:r w:rsidRPr="00202000">
        <w:rPr>
          <w:szCs w:val="16"/>
        </w:rPr>
        <w:t xml:space="preserve"> (forthcoming publication)</w:t>
      </w:r>
      <w:r>
        <w:rPr>
          <w:szCs w:val="16"/>
        </w:rPr>
        <w:t>.</w:t>
      </w:r>
    </w:p>
  </w:footnote>
  <w:footnote w:id="8">
    <w:p w:rsidR="000D7D5C" w:rsidRDefault="000D7D5C">
      <w:pPr>
        <w:pStyle w:val="FootnoteText"/>
      </w:pPr>
      <w:r>
        <w:rPr>
          <w:rStyle w:val="FootnoteReference"/>
        </w:rPr>
        <w:footnoteRef/>
      </w:r>
      <w:r>
        <w:t xml:space="preserve"> </w:t>
      </w:r>
      <w:r w:rsidRPr="00C3616E">
        <w:rPr>
          <w:szCs w:val="16"/>
        </w:rPr>
        <w:t>World Bank (2013)</w:t>
      </w:r>
      <w:r>
        <w:rPr>
          <w:szCs w:val="16"/>
        </w:rPr>
        <w:t xml:space="preserve">, </w:t>
      </w:r>
      <w:r w:rsidRPr="00C3616E">
        <w:rPr>
          <w:szCs w:val="16"/>
        </w:rPr>
        <w:t>World Development Indicators</w:t>
      </w:r>
      <w:r>
        <w:rPr>
          <w:szCs w:val="16"/>
        </w:rPr>
        <w:t>,</w:t>
      </w:r>
      <w:r w:rsidRPr="00C3616E">
        <w:rPr>
          <w:szCs w:val="16"/>
        </w:rPr>
        <w:t xml:space="preserve"> </w:t>
      </w:r>
      <w:hyperlink r:id="rId2" w:history="1">
        <w:r w:rsidRPr="00427DB6">
          <w:rPr>
            <w:rStyle w:val="Hyperlink"/>
            <w:sz w:val="16"/>
            <w:szCs w:val="16"/>
          </w:rPr>
          <w:t>http://data.worldbank.org/data-catalog/world-development-indicators</w:t>
        </w:r>
      </w:hyperlink>
      <w:r>
        <w:rPr>
          <w:rStyle w:val="Hyperlink"/>
          <w:sz w:val="16"/>
          <w:szCs w:val="16"/>
        </w:rPr>
        <w:t xml:space="preserve"> </w:t>
      </w:r>
      <w:r w:rsidRPr="00872B03">
        <w:rPr>
          <w:rStyle w:val="Hyperlink"/>
          <w:color w:val="auto"/>
          <w:sz w:val="16"/>
          <w:szCs w:val="16"/>
        </w:rPr>
        <w:t>accessed 6</w:t>
      </w:r>
      <w:r w:rsidRPr="00872B03">
        <w:rPr>
          <w:szCs w:val="16"/>
        </w:rPr>
        <w:t xml:space="preserve"> </w:t>
      </w:r>
      <w:r w:rsidRPr="00C3616E">
        <w:rPr>
          <w:szCs w:val="16"/>
        </w:rPr>
        <w:t>May 2013</w:t>
      </w:r>
      <w:r>
        <w:rPr>
          <w:szCs w:val="16"/>
        </w:rPr>
        <w:t>.</w:t>
      </w:r>
    </w:p>
  </w:footnote>
  <w:footnote w:id="9">
    <w:p w:rsidR="000D7D5C" w:rsidRPr="00202000" w:rsidRDefault="000D7D5C" w:rsidP="00A50E9F">
      <w:pPr>
        <w:pStyle w:val="FootnoteText"/>
        <w:rPr>
          <w:szCs w:val="16"/>
        </w:rPr>
      </w:pPr>
      <w:r w:rsidRPr="00202000">
        <w:rPr>
          <w:rStyle w:val="FootnoteReference"/>
          <w:szCs w:val="16"/>
        </w:rPr>
        <w:footnoteRef/>
      </w:r>
      <w:r>
        <w:rPr>
          <w:szCs w:val="16"/>
        </w:rPr>
        <w:t xml:space="preserve"> Ibid., Vanuatu’s per capita income is </w:t>
      </w:r>
      <w:r>
        <w:t>significantly higher than the World Bank low-income country marker of US$1372.</w:t>
      </w:r>
    </w:p>
  </w:footnote>
  <w:footnote w:id="10">
    <w:p w:rsidR="000D7D5C" w:rsidRDefault="000D7D5C" w:rsidP="00A50E9F">
      <w:pPr>
        <w:pStyle w:val="FootnoteText"/>
      </w:pPr>
      <w:r>
        <w:rPr>
          <w:rStyle w:val="FootnoteReference"/>
        </w:rPr>
        <w:footnoteRef/>
      </w:r>
      <w:r>
        <w:t xml:space="preserve"> </w:t>
      </w:r>
      <w:r>
        <w:rPr>
          <w:szCs w:val="16"/>
        </w:rPr>
        <w:t>Government of Vanuatu, Bureau of Statistics and UNDP Pacific Centre, Analysis of the 2010 Households Income and Expenditure Survey, December 2012,</w:t>
      </w:r>
      <w:r w:rsidRPr="00202000">
        <w:rPr>
          <w:szCs w:val="16"/>
        </w:rPr>
        <w:t xml:space="preserve"> (forthcoming publication).</w:t>
      </w:r>
    </w:p>
  </w:footnote>
  <w:footnote w:id="11">
    <w:p w:rsidR="000D7D5C" w:rsidRPr="0033414F" w:rsidRDefault="000D7D5C" w:rsidP="00A50E9F">
      <w:pPr>
        <w:pStyle w:val="FootnoteText"/>
        <w:rPr>
          <w:szCs w:val="16"/>
        </w:rPr>
      </w:pPr>
      <w:r>
        <w:rPr>
          <w:rStyle w:val="FootnoteReference"/>
        </w:rPr>
        <w:footnoteRef/>
      </w:r>
      <w:r>
        <w:t xml:space="preserve"> </w:t>
      </w:r>
      <w:r w:rsidRPr="0033414F">
        <w:rPr>
          <w:szCs w:val="16"/>
        </w:rPr>
        <w:t xml:space="preserve">Vanuatu’s </w:t>
      </w:r>
      <w:proofErr w:type="spellStart"/>
      <w:r w:rsidRPr="0033414F">
        <w:rPr>
          <w:szCs w:val="16"/>
        </w:rPr>
        <w:t>Gini</w:t>
      </w:r>
      <w:proofErr w:type="spellEnd"/>
      <w:r w:rsidRPr="0033414F">
        <w:rPr>
          <w:szCs w:val="16"/>
        </w:rPr>
        <w:t xml:space="preserve"> coefficient declined from 0.41 in 2006 to 0.31 in 2010 signifying a reduction in in</w:t>
      </w:r>
      <w:r>
        <w:rPr>
          <w:szCs w:val="16"/>
        </w:rPr>
        <w:t>equality. See analysis of the 2010 Households Income and Expenditure Survey.</w:t>
      </w:r>
    </w:p>
  </w:footnote>
  <w:footnote w:id="12">
    <w:p w:rsidR="000D7D5C" w:rsidRPr="00202000" w:rsidRDefault="000D7D5C" w:rsidP="00FE214C">
      <w:pPr>
        <w:pStyle w:val="EndnoteText"/>
        <w:rPr>
          <w:sz w:val="16"/>
          <w:szCs w:val="16"/>
          <w:vertAlign w:val="superscript"/>
        </w:rPr>
      </w:pPr>
      <w:r w:rsidRPr="00202000">
        <w:rPr>
          <w:rStyle w:val="FootnoteReference"/>
          <w:szCs w:val="16"/>
        </w:rPr>
        <w:footnoteRef/>
      </w:r>
      <w:r>
        <w:rPr>
          <w:sz w:val="16"/>
          <w:szCs w:val="16"/>
        </w:rPr>
        <w:t xml:space="preserve"> </w:t>
      </w:r>
      <w:proofErr w:type="spellStart"/>
      <w:r>
        <w:rPr>
          <w:sz w:val="16"/>
          <w:szCs w:val="16"/>
        </w:rPr>
        <w:t>op.cit</w:t>
      </w:r>
      <w:proofErr w:type="spellEnd"/>
      <w:r>
        <w:rPr>
          <w:sz w:val="16"/>
          <w:szCs w:val="16"/>
        </w:rPr>
        <w:t xml:space="preserve">. </w:t>
      </w:r>
    </w:p>
  </w:footnote>
  <w:footnote w:id="13">
    <w:p w:rsidR="000D7D5C" w:rsidRPr="00202000" w:rsidRDefault="000D7D5C" w:rsidP="00FE214C">
      <w:pPr>
        <w:pStyle w:val="FootnoteText"/>
        <w:rPr>
          <w:szCs w:val="16"/>
        </w:rPr>
      </w:pPr>
      <w:r w:rsidRPr="00202000">
        <w:rPr>
          <w:rStyle w:val="FootnoteReference"/>
          <w:szCs w:val="16"/>
        </w:rPr>
        <w:footnoteRef/>
      </w:r>
      <w:r w:rsidRPr="00202000">
        <w:rPr>
          <w:szCs w:val="16"/>
        </w:rPr>
        <w:t xml:space="preserve"> </w:t>
      </w:r>
      <w:r>
        <w:rPr>
          <w:szCs w:val="16"/>
        </w:rPr>
        <w:t>Ibid.</w:t>
      </w:r>
    </w:p>
  </w:footnote>
  <w:footnote w:id="14">
    <w:p w:rsidR="000D7D5C" w:rsidRDefault="000D7D5C">
      <w:pPr>
        <w:pStyle w:val="FootnoteText"/>
      </w:pPr>
      <w:r>
        <w:rPr>
          <w:rStyle w:val="FootnoteReference"/>
        </w:rPr>
        <w:footnoteRef/>
      </w:r>
      <w:r>
        <w:t xml:space="preserve"> </w:t>
      </w:r>
      <w:r>
        <w:rPr>
          <w:szCs w:val="16"/>
        </w:rPr>
        <w:t>Ibid.</w:t>
      </w:r>
    </w:p>
  </w:footnote>
  <w:footnote w:id="15">
    <w:p w:rsidR="000D7D5C" w:rsidRPr="00202000" w:rsidRDefault="000D7D5C" w:rsidP="00FE214C">
      <w:pPr>
        <w:pStyle w:val="EndnoteText"/>
        <w:rPr>
          <w:sz w:val="16"/>
          <w:szCs w:val="16"/>
          <w:vertAlign w:val="superscript"/>
        </w:rPr>
      </w:pPr>
      <w:r w:rsidRPr="00202000">
        <w:rPr>
          <w:rStyle w:val="FootnoteReference"/>
          <w:szCs w:val="16"/>
        </w:rPr>
        <w:footnoteRef/>
      </w:r>
      <w:r w:rsidRPr="00202000">
        <w:rPr>
          <w:sz w:val="16"/>
          <w:szCs w:val="16"/>
        </w:rPr>
        <w:t xml:space="preserve"> </w:t>
      </w:r>
      <w:r w:rsidRPr="00202000">
        <w:rPr>
          <w:sz w:val="16"/>
          <w:szCs w:val="16"/>
          <w:lang w:val="en-GB" w:eastAsia="en-US"/>
        </w:rPr>
        <w:t>Pacific Islands Forum Secretariat</w:t>
      </w:r>
      <w:r>
        <w:rPr>
          <w:sz w:val="16"/>
          <w:szCs w:val="16"/>
          <w:lang w:val="en-GB" w:eastAsia="en-US"/>
        </w:rPr>
        <w:t xml:space="preserve">, </w:t>
      </w:r>
      <w:r w:rsidRPr="000D4620">
        <w:rPr>
          <w:i/>
          <w:sz w:val="16"/>
          <w:szCs w:val="16"/>
          <w:lang w:val="en-GB" w:eastAsia="en-US"/>
        </w:rPr>
        <w:t>2012 Pacific Regional MDGs Tracking Report</w:t>
      </w:r>
      <w:r w:rsidRPr="00DA0378">
        <w:rPr>
          <w:sz w:val="16"/>
          <w:szCs w:val="16"/>
          <w:lang w:val="en-GB" w:eastAsia="en-US"/>
        </w:rPr>
        <w:t>,</w:t>
      </w:r>
      <w:r>
        <w:rPr>
          <w:sz w:val="16"/>
          <w:szCs w:val="16"/>
          <w:lang w:val="en-GB" w:eastAsia="en-US"/>
        </w:rPr>
        <w:t xml:space="preserve"> October 2012</w:t>
      </w:r>
      <w:r w:rsidRPr="00202000">
        <w:rPr>
          <w:sz w:val="16"/>
          <w:szCs w:val="16"/>
          <w:lang w:val="en-GB" w:eastAsia="en-US"/>
        </w:rPr>
        <w:t>.</w:t>
      </w:r>
      <w:r>
        <w:rPr>
          <w:sz w:val="16"/>
          <w:szCs w:val="16"/>
          <w:lang w:val="en-GB" w:eastAsia="en-US"/>
        </w:rPr>
        <w:t xml:space="preserve"> Data is based on a 2007 </w:t>
      </w:r>
      <w:r w:rsidRPr="0074235A">
        <w:rPr>
          <w:sz w:val="16"/>
          <w:szCs w:val="16"/>
          <w:lang w:val="en-GB" w:eastAsia="en-US"/>
        </w:rPr>
        <w:t>Multiple Indicator Cluster Survey</w:t>
      </w:r>
      <w:r>
        <w:rPr>
          <w:sz w:val="16"/>
          <w:szCs w:val="16"/>
          <w:lang w:val="en-GB" w:eastAsia="en-US"/>
        </w:rPr>
        <w:t>. The Vanuatu Government will complete a demographic health survey in late 2013. MDG progress will be updated with new data when it is available.</w:t>
      </w:r>
    </w:p>
  </w:footnote>
  <w:footnote w:id="16">
    <w:p w:rsidR="000D7D5C" w:rsidRDefault="000D7D5C">
      <w:pPr>
        <w:pStyle w:val="FootnoteText"/>
      </w:pPr>
      <w:r>
        <w:rPr>
          <w:rStyle w:val="FootnoteReference"/>
        </w:rPr>
        <w:footnoteRef/>
      </w:r>
      <w:r>
        <w:t xml:space="preserve"> The Australian aid program, The Unfinished State: Drivers of Change in Vanuatu, April 2007, </w:t>
      </w:r>
      <w:proofErr w:type="spellStart"/>
      <w:r>
        <w:t>p.iii</w:t>
      </w:r>
      <w:proofErr w:type="spellEnd"/>
    </w:p>
  </w:footnote>
  <w:footnote w:id="17">
    <w:p w:rsidR="000D7D5C" w:rsidRPr="000D4620" w:rsidRDefault="000D7D5C">
      <w:pPr>
        <w:pStyle w:val="FootnoteText"/>
        <w:rPr>
          <w:i/>
        </w:rPr>
      </w:pPr>
      <w:r>
        <w:rPr>
          <w:rStyle w:val="FootnoteReference"/>
        </w:rPr>
        <w:footnoteRef/>
      </w:r>
      <w:r>
        <w:t xml:space="preserve"> </w:t>
      </w:r>
      <w:r w:rsidRPr="0035380D">
        <w:rPr>
          <w:i/>
        </w:rPr>
        <w:t xml:space="preserve">Wan </w:t>
      </w:r>
      <w:proofErr w:type="spellStart"/>
      <w:r w:rsidRPr="0035380D">
        <w:rPr>
          <w:i/>
        </w:rPr>
        <w:t>Smolbag</w:t>
      </w:r>
      <w:proofErr w:type="spellEnd"/>
      <w:r w:rsidRPr="0035380D">
        <w:rPr>
          <w:i/>
        </w:rPr>
        <w:t xml:space="preserve"> Theatre </w:t>
      </w:r>
      <w:r w:rsidRPr="000D4620">
        <w:t>is a non-government organisation based in Vanuatu but operating all over the South Pacific</w:t>
      </w:r>
      <w:r>
        <w:t xml:space="preserve">. </w:t>
      </w:r>
      <w:r w:rsidRPr="0035380D">
        <w:t>Coupled with structured workshops facilitated by actors, the organisation uses drama to inform, raise awareness and encourage public discussion on a range of contemporary health, lifestyle, environment and governance issues.</w:t>
      </w:r>
    </w:p>
  </w:footnote>
  <w:footnote w:id="18">
    <w:p w:rsidR="000D7D5C" w:rsidRDefault="000D7D5C" w:rsidP="0033414F">
      <w:pPr>
        <w:pStyle w:val="FootnoteText"/>
      </w:pPr>
      <w:r>
        <w:rPr>
          <w:rStyle w:val="FootnoteReference"/>
        </w:rPr>
        <w:footnoteRef/>
      </w:r>
      <w:r>
        <w:t xml:space="preserve"> </w:t>
      </w:r>
      <w:proofErr w:type="gramStart"/>
      <w:r>
        <w:t>Ministry of Education, Vanuatu Early Grade Reading Assessment, 2011.</w:t>
      </w:r>
      <w:proofErr w:type="gramEnd"/>
    </w:p>
  </w:footnote>
  <w:footnote w:id="19">
    <w:p w:rsidR="000D7D5C" w:rsidRDefault="000D7D5C" w:rsidP="0033414F">
      <w:pPr>
        <w:pStyle w:val="FootnoteText"/>
      </w:pPr>
      <w:r>
        <w:rPr>
          <w:rStyle w:val="FootnoteReference"/>
        </w:rPr>
        <w:footnoteRef/>
      </w:r>
      <w:r>
        <w:t xml:space="preserve"> Ministry of Education, </w:t>
      </w:r>
      <w:r w:rsidRPr="000D4620">
        <w:rPr>
          <w:i/>
        </w:rPr>
        <w:t xml:space="preserve">Annual Statistical Report </w:t>
      </w:r>
      <w:r w:rsidRPr="000D4620">
        <w:rPr>
          <w:i/>
          <w:szCs w:val="16"/>
        </w:rPr>
        <w:t>2010–11</w:t>
      </w:r>
      <w:r w:rsidRPr="00C53E21">
        <w:rPr>
          <w:szCs w:val="16"/>
        </w:rPr>
        <w:t>,</w:t>
      </w:r>
      <w:r>
        <w:rPr>
          <w:szCs w:val="16"/>
        </w:rPr>
        <w:t xml:space="preserve"> June 2012,</w:t>
      </w:r>
      <w:r w:rsidRPr="00C53E21">
        <w:rPr>
          <w:szCs w:val="16"/>
        </w:rPr>
        <w:t xml:space="preserve"> p. 42</w:t>
      </w:r>
      <w:r>
        <w:rPr>
          <w:szCs w:val="16"/>
        </w:rPr>
        <w:t>.</w:t>
      </w:r>
    </w:p>
  </w:footnote>
  <w:footnote w:id="20">
    <w:p w:rsidR="000D7D5C" w:rsidRDefault="000D7D5C" w:rsidP="0033414F">
      <w:pPr>
        <w:pStyle w:val="FootnoteText"/>
      </w:pPr>
      <w:r>
        <w:rPr>
          <w:rStyle w:val="FootnoteReference"/>
        </w:rPr>
        <w:footnoteRef/>
      </w:r>
      <w:r>
        <w:t xml:space="preserve"> Government of Vanuatu, </w:t>
      </w:r>
      <w:r w:rsidRPr="000D4620">
        <w:rPr>
          <w:i/>
        </w:rPr>
        <w:t>Vanuatu Education Sector Public Expenditure Review</w:t>
      </w:r>
      <w:r>
        <w:t xml:space="preserve">, December </w:t>
      </w:r>
      <w:r w:rsidRPr="002B4CDB">
        <w:t>2012</w:t>
      </w:r>
      <w:r>
        <w:t>, p. 35.</w:t>
      </w:r>
    </w:p>
  </w:footnote>
  <w:footnote w:id="21">
    <w:p w:rsidR="000D7D5C" w:rsidRDefault="000D7D5C">
      <w:pPr>
        <w:pStyle w:val="FootnoteText"/>
      </w:pPr>
      <w:r>
        <w:rPr>
          <w:rStyle w:val="FootnoteReference"/>
        </w:rPr>
        <w:footnoteRef/>
      </w:r>
      <w:r>
        <w:t xml:space="preserve"> Primary school net enrolment rates increased initially with the introduction of school grants in 2010, but have remained static in recent years at around 87 per cent.</w:t>
      </w:r>
    </w:p>
  </w:footnote>
  <w:footnote w:id="22">
    <w:p w:rsidR="000D7D5C" w:rsidRDefault="000D7D5C">
      <w:pPr>
        <w:pStyle w:val="FootnoteText"/>
      </w:pPr>
      <w:r>
        <w:rPr>
          <w:rStyle w:val="FootnoteReference"/>
        </w:rPr>
        <w:footnoteRef/>
      </w:r>
      <w:r>
        <w:t xml:space="preserve"> Government of Vanuatu, </w:t>
      </w:r>
      <w:r w:rsidRPr="000D4620">
        <w:rPr>
          <w:i/>
        </w:rPr>
        <w:t>Vanuatu Education Sector Public Expenditure Review</w:t>
      </w:r>
      <w:r>
        <w:t xml:space="preserve">, December </w:t>
      </w:r>
      <w:r w:rsidRPr="002B4CDB">
        <w:t>2012</w:t>
      </w:r>
      <w:r>
        <w:t>.</w:t>
      </w:r>
    </w:p>
  </w:footnote>
  <w:footnote w:id="23">
    <w:p w:rsidR="000D7D5C" w:rsidRDefault="000D7D5C" w:rsidP="0033414F">
      <w:pPr>
        <w:pStyle w:val="FootnoteText"/>
      </w:pPr>
      <w:r>
        <w:rPr>
          <w:rStyle w:val="FootnoteReference"/>
        </w:rPr>
        <w:footnoteRef/>
      </w:r>
      <w:r>
        <w:t xml:space="preserve"> </w:t>
      </w:r>
      <w:proofErr w:type="gramStart"/>
      <w:r>
        <w:t>Funding for government scholarships increased by 464 per cent from 2007 to 2012 in real terms.</w:t>
      </w:r>
      <w:proofErr w:type="gramEnd"/>
      <w:r>
        <w:t xml:space="preserve"> Government of Vanuatu, Vanuatu Education Sector Public Expenditure Review, December </w:t>
      </w:r>
      <w:r w:rsidRPr="002B4CDB">
        <w:t>2012</w:t>
      </w:r>
      <w:r>
        <w:t xml:space="preserve"> p.26</w:t>
      </w:r>
    </w:p>
  </w:footnote>
  <w:footnote w:id="24">
    <w:p w:rsidR="000D7D5C" w:rsidRDefault="000D7D5C" w:rsidP="0033414F">
      <w:pPr>
        <w:pStyle w:val="FootnoteText"/>
      </w:pPr>
      <w:r>
        <w:rPr>
          <w:rStyle w:val="FootnoteReference"/>
        </w:rPr>
        <w:footnoteRef/>
      </w:r>
      <w:r>
        <w:t xml:space="preserve"> </w:t>
      </w:r>
      <w:proofErr w:type="gramStart"/>
      <w:r>
        <w:t xml:space="preserve">Ministry of Education, Annual Statistical Report </w:t>
      </w:r>
      <w:r w:rsidRPr="00C53E21">
        <w:rPr>
          <w:szCs w:val="16"/>
        </w:rPr>
        <w:t>2010</w:t>
      </w:r>
      <w:r>
        <w:rPr>
          <w:szCs w:val="16"/>
        </w:rPr>
        <w:t>–</w:t>
      </w:r>
      <w:r w:rsidRPr="00C53E21">
        <w:rPr>
          <w:szCs w:val="16"/>
        </w:rPr>
        <w:t>11,</w:t>
      </w:r>
      <w:r>
        <w:rPr>
          <w:szCs w:val="16"/>
        </w:rPr>
        <w:t xml:space="preserve"> June 2012, school numbers, </w:t>
      </w:r>
      <w:r>
        <w:t>p. 29.</w:t>
      </w:r>
      <w:proofErr w:type="gramEnd"/>
    </w:p>
  </w:footnote>
  <w:footnote w:id="25">
    <w:p w:rsidR="000D7D5C" w:rsidRDefault="000D7D5C" w:rsidP="0033414F">
      <w:pPr>
        <w:pStyle w:val="FootnoteText"/>
      </w:pPr>
      <w:r>
        <w:rPr>
          <w:rStyle w:val="FootnoteReference"/>
        </w:rPr>
        <w:footnoteRef/>
      </w:r>
      <w:r>
        <w:t xml:space="preserve"> </w:t>
      </w:r>
      <w:proofErr w:type="gramStart"/>
      <w:r>
        <w:t>Ibid.,</w:t>
      </w:r>
      <w:r w:rsidRPr="00C53E21">
        <w:rPr>
          <w:szCs w:val="16"/>
        </w:rPr>
        <w:t>,</w:t>
      </w:r>
      <w:proofErr w:type="gramEnd"/>
      <w:r>
        <w:rPr>
          <w:szCs w:val="16"/>
        </w:rPr>
        <w:t xml:space="preserve"> June 2012, teacher numbers, </w:t>
      </w:r>
      <w:r>
        <w:t>p. 43.</w:t>
      </w:r>
    </w:p>
  </w:footnote>
  <w:footnote w:id="26">
    <w:p w:rsidR="000D7D5C" w:rsidRDefault="000D7D5C">
      <w:pPr>
        <w:pStyle w:val="FootnoteText"/>
      </w:pPr>
      <w:r>
        <w:rPr>
          <w:rStyle w:val="FootnoteReference"/>
        </w:rPr>
        <w:footnoteRef/>
      </w:r>
      <w:r>
        <w:t xml:space="preserve"> Vanuatu National Statistics Office, </w:t>
      </w:r>
      <w:r w:rsidRPr="000D4620">
        <w:rPr>
          <w:i/>
        </w:rPr>
        <w:t>2009 National Population and Housing Census Analytical Report</w:t>
      </w:r>
      <w:r>
        <w:t>, Vol. 2, May 2011, p. 111.</w:t>
      </w:r>
    </w:p>
  </w:footnote>
  <w:footnote w:id="27">
    <w:p w:rsidR="000D7D5C" w:rsidRDefault="000D7D5C">
      <w:pPr>
        <w:pStyle w:val="FootnoteText"/>
      </w:pPr>
      <w:r>
        <w:rPr>
          <w:rStyle w:val="FootnoteReference"/>
        </w:rPr>
        <w:footnoteRef/>
      </w:r>
      <w:r>
        <w:t xml:space="preserve"> </w:t>
      </w:r>
      <w:proofErr w:type="gramStart"/>
      <w:r>
        <w:t>Vanuatu TVET Strengthening Program Final Evaluation Report, September 2012.</w:t>
      </w:r>
      <w:proofErr w:type="gramEnd"/>
    </w:p>
  </w:footnote>
  <w:footnote w:id="28">
    <w:p w:rsidR="000D7D5C" w:rsidRDefault="000D7D5C" w:rsidP="005B4CE2">
      <w:pPr>
        <w:pStyle w:val="FootnoteText"/>
      </w:pPr>
      <w:r>
        <w:rPr>
          <w:rStyle w:val="FootnoteReference"/>
        </w:rPr>
        <w:footnoteRef/>
      </w:r>
      <w:r>
        <w:t xml:space="preserve"> Vanuatu </w:t>
      </w:r>
      <w:r w:rsidRPr="00590E7D">
        <w:t xml:space="preserve">is on track to further reduce </w:t>
      </w:r>
      <w:r>
        <w:t>its child mortality</w:t>
      </w:r>
      <w:r w:rsidRPr="00590E7D">
        <w:t xml:space="preserve"> rate to at least 25 per 1000 by 2015</w:t>
      </w:r>
      <w:r>
        <w:t xml:space="preserve">. </w:t>
      </w:r>
      <w:r w:rsidRPr="00590E7D">
        <w:t>Similarly, the current infant mortality rate is 25 per 1000 live births and the realistic target is to further reduce this to at least 20 per 1000 live births based on current and planned resources and activities</w:t>
      </w:r>
      <w:r>
        <w:t xml:space="preserve">. </w:t>
      </w:r>
    </w:p>
  </w:footnote>
  <w:footnote w:id="29">
    <w:p w:rsidR="000D7D5C" w:rsidRPr="00735C0D" w:rsidRDefault="000D7D5C" w:rsidP="002456BC">
      <w:pPr>
        <w:pStyle w:val="FootnoteText"/>
        <w:rPr>
          <w:sz w:val="20"/>
        </w:rPr>
      </w:pPr>
      <w:r>
        <w:rPr>
          <w:rStyle w:val="FootnoteReference"/>
        </w:rPr>
        <w:footnoteRef/>
      </w:r>
      <w:r>
        <w:t xml:space="preserve"> </w:t>
      </w:r>
      <w:r w:rsidRPr="00735C0D">
        <w:rPr>
          <w:sz w:val="20"/>
        </w:rPr>
        <w:t>The 2012</w:t>
      </w:r>
      <w:r>
        <w:rPr>
          <w:sz w:val="20"/>
        </w:rPr>
        <w:t xml:space="preserve"> Public Expenditure and Financial Accountability assessment</w:t>
      </w:r>
      <w:r w:rsidRPr="00735C0D">
        <w:rPr>
          <w:sz w:val="20"/>
        </w:rPr>
        <w:t xml:space="preserve"> updates those conducted in 2006 and 2009</w:t>
      </w:r>
      <w:r>
        <w:rPr>
          <w:sz w:val="20"/>
        </w:rPr>
        <w:t>. F</w:t>
      </w:r>
      <w:r w:rsidRPr="00735C0D">
        <w:rPr>
          <w:sz w:val="20"/>
        </w:rPr>
        <w:t>our indicators showed improvement and seven deteriorated</w:t>
      </w:r>
      <w:r>
        <w:rPr>
          <w:sz w:val="20"/>
        </w:rPr>
        <w:t xml:space="preserve">. </w:t>
      </w:r>
      <w:r w:rsidRPr="00735C0D">
        <w:rPr>
          <w:sz w:val="20"/>
        </w:rPr>
        <w:t xml:space="preserve">Budget formulation and aggregate fiscal management (controlled by central agencies) continue to perform reasonably well, but the downstream phases of expenditure management (controlled by line agencies such as </w:t>
      </w:r>
      <w:r>
        <w:rPr>
          <w:sz w:val="20"/>
        </w:rPr>
        <w:t xml:space="preserve">the </w:t>
      </w:r>
      <w:r w:rsidRPr="00735C0D">
        <w:rPr>
          <w:sz w:val="20"/>
        </w:rPr>
        <w:t xml:space="preserve">Ministry of Health or Ministry of Education) and accountability mechanisms (which flow from the Parliament’s demand for </w:t>
      </w:r>
      <w:proofErr w:type="gramStart"/>
      <w:r w:rsidRPr="00735C0D">
        <w:rPr>
          <w:sz w:val="20"/>
        </w:rPr>
        <w:t>accountable</w:t>
      </w:r>
      <w:proofErr w:type="gramEnd"/>
      <w:r w:rsidRPr="00735C0D">
        <w:rPr>
          <w:sz w:val="20"/>
        </w:rPr>
        <w:t xml:space="preserve"> government) continue to lag.</w:t>
      </w:r>
    </w:p>
  </w:footnote>
  <w:footnote w:id="30">
    <w:p w:rsidR="000D7D5C" w:rsidRPr="00022B69" w:rsidRDefault="000D7D5C" w:rsidP="002456BC">
      <w:pPr>
        <w:pStyle w:val="FootnoteText"/>
        <w:rPr>
          <w:sz w:val="20"/>
        </w:rPr>
      </w:pPr>
      <w:r>
        <w:rPr>
          <w:rStyle w:val="FootnoteReference"/>
        </w:rPr>
        <w:footnoteRef/>
      </w:r>
      <w:r>
        <w:t xml:space="preserve"> </w:t>
      </w:r>
      <w:r w:rsidRPr="00022B69">
        <w:rPr>
          <w:sz w:val="20"/>
        </w:rPr>
        <w:t xml:space="preserve">In 2012, 106 visas were granted for </w:t>
      </w:r>
      <w:proofErr w:type="spellStart"/>
      <w:r w:rsidRPr="00022B69">
        <w:rPr>
          <w:sz w:val="20"/>
        </w:rPr>
        <w:t>ni</w:t>
      </w:r>
      <w:proofErr w:type="spellEnd"/>
      <w:r w:rsidRPr="00022B69">
        <w:rPr>
          <w:sz w:val="20"/>
        </w:rPr>
        <w:t>-Vanuatu</w:t>
      </w:r>
      <w:r>
        <w:rPr>
          <w:sz w:val="20"/>
        </w:rPr>
        <w:t xml:space="preserve"> seasonal</w:t>
      </w:r>
      <w:r w:rsidRPr="00022B69">
        <w:rPr>
          <w:sz w:val="20"/>
        </w:rPr>
        <w:t xml:space="preserve"> workers</w:t>
      </w:r>
      <w:r>
        <w:rPr>
          <w:sz w:val="20"/>
        </w:rPr>
        <w:t xml:space="preserve"> in Australia</w:t>
      </w:r>
      <w:r w:rsidRPr="00022B69">
        <w:rPr>
          <w:sz w:val="20"/>
        </w:rPr>
        <w:t>.</w:t>
      </w:r>
    </w:p>
  </w:footnote>
  <w:footnote w:id="31">
    <w:p w:rsidR="000D7D5C" w:rsidRDefault="000D7D5C" w:rsidP="002456BC">
      <w:pPr>
        <w:pStyle w:val="FootnoteText"/>
      </w:pPr>
      <w:r>
        <w:rPr>
          <w:rStyle w:val="FootnoteReference"/>
        </w:rPr>
        <w:footnoteRef/>
      </w:r>
      <w:r>
        <w:t xml:space="preserve"> VWC,</w:t>
      </w:r>
      <w:r w:rsidRPr="00FD6953">
        <w:t xml:space="preserve"> Vanuatu National Survey on Women's Lives and Family Relationships</w:t>
      </w:r>
      <w:r>
        <w:t>, 2011.</w:t>
      </w:r>
    </w:p>
  </w:footnote>
  <w:footnote w:id="32">
    <w:p w:rsidR="000D7D5C" w:rsidRDefault="000D7D5C" w:rsidP="002456BC">
      <w:pPr>
        <w:pStyle w:val="FootnoteText"/>
      </w:pPr>
      <w:r>
        <w:rPr>
          <w:rStyle w:val="FootnoteReference"/>
        </w:rPr>
        <w:footnoteRef/>
      </w:r>
      <w:r>
        <w:t xml:space="preserve"> UNICEF, </w:t>
      </w:r>
      <w:proofErr w:type="gramStart"/>
      <w:r w:rsidRPr="000D4620">
        <w:rPr>
          <w:i/>
        </w:rPr>
        <w:t>Lifting</w:t>
      </w:r>
      <w:proofErr w:type="gramEnd"/>
      <w:r w:rsidRPr="000D4620">
        <w:rPr>
          <w:i/>
        </w:rPr>
        <w:t xml:space="preserve"> the financial burden of child abuse—a Vanuatu case study</w:t>
      </w:r>
      <w:r w:rsidRPr="000B34AD">
        <w:t xml:space="preserve">, </w:t>
      </w:r>
      <w:r>
        <w:t>2011; and VWC, 2011.</w:t>
      </w:r>
    </w:p>
  </w:footnote>
  <w:footnote w:id="33">
    <w:p w:rsidR="000D7D5C" w:rsidRDefault="000D7D5C" w:rsidP="002652D9">
      <w:pPr>
        <w:pStyle w:val="FootnoteText"/>
      </w:pPr>
      <w:r>
        <w:rPr>
          <w:rStyle w:val="FootnoteReference"/>
        </w:rPr>
        <w:footnoteRef/>
      </w:r>
      <w:r>
        <w:t xml:space="preserve"> </w:t>
      </w:r>
      <w:r w:rsidRPr="000B34AD">
        <w:t xml:space="preserve">By way of example, </w:t>
      </w:r>
      <w:proofErr w:type="spellStart"/>
      <w:r w:rsidRPr="000B34AD">
        <w:t>GfG</w:t>
      </w:r>
      <w:proofErr w:type="spellEnd"/>
      <w:r w:rsidRPr="000B34AD">
        <w:t xml:space="preserve"> is one initiative, with 10 activities and 36 agreements</w:t>
      </w:r>
      <w:r>
        <w:t xml:space="preserve">. </w:t>
      </w:r>
      <w:r w:rsidRPr="000B34AD">
        <w:t>Our main education sector program (VERM) is a single initiative, with five activities and 44 agreements</w:t>
      </w:r>
      <w:r>
        <w:t>. The replacement</w:t>
      </w:r>
      <w:r w:rsidRPr="000B34AD">
        <w:t xml:space="preserve"> V</w:t>
      </w:r>
      <w:r>
        <w:t xml:space="preserve">anuatu </w:t>
      </w:r>
      <w:r w:rsidRPr="000B34AD">
        <w:t>E</w:t>
      </w:r>
      <w:r>
        <w:t xml:space="preserve">ducation </w:t>
      </w:r>
      <w:r w:rsidRPr="000B34AD">
        <w:t>S</w:t>
      </w:r>
      <w:r>
        <w:t xml:space="preserve">upport </w:t>
      </w:r>
      <w:r w:rsidRPr="000B34AD">
        <w:t>P</w:t>
      </w:r>
      <w:r>
        <w:t>rogram</w:t>
      </w:r>
      <w:r w:rsidRPr="000B34AD">
        <w:t xml:space="preserve"> </w:t>
      </w:r>
      <w:r>
        <w:t>will have</w:t>
      </w:r>
      <w:r w:rsidRPr="000B34AD">
        <w:t xml:space="preserve"> 5 activities and </w:t>
      </w:r>
      <w:r>
        <w:t>20 agreements.</w:t>
      </w:r>
    </w:p>
  </w:footnote>
  <w:footnote w:id="34">
    <w:p w:rsidR="000D7D5C" w:rsidRDefault="000D7D5C">
      <w:pPr>
        <w:pStyle w:val="FootnoteText"/>
      </w:pPr>
      <w:r>
        <w:rPr>
          <w:rStyle w:val="FootnoteReference"/>
        </w:rPr>
        <w:footnoteRef/>
      </w:r>
      <w:r>
        <w:t xml:space="preserve"> The Evaluation Capacity Building Program is </w:t>
      </w:r>
      <w:r w:rsidRPr="00B603DC">
        <w:t xml:space="preserve">an institutional change program to enhance the quality and </w:t>
      </w:r>
      <w:r>
        <w:t>use</w:t>
      </w:r>
      <w:r w:rsidRPr="00B603DC">
        <w:t xml:space="preserve"> of</w:t>
      </w:r>
      <w:r>
        <w:t xml:space="preserve"> monitoring and evaluation</w:t>
      </w:r>
      <w:r w:rsidRPr="00B603DC">
        <w:t xml:space="preserve"> systems and deliverables and to integrate evaluative thinking into everyday work</w:t>
      </w:r>
      <w:r>
        <w:t xml:space="preserve">. It is being rolled out in Vanuatu, Indonesia, </w:t>
      </w:r>
      <w:proofErr w:type="gramStart"/>
      <w:r>
        <w:t>Timor</w:t>
      </w:r>
      <w:proofErr w:type="gramEnd"/>
      <w:r>
        <w:t>-Leste and through Pacific Regional programs.</w:t>
      </w:r>
    </w:p>
  </w:footnote>
  <w:footnote w:id="35">
    <w:p w:rsidR="000D7D5C" w:rsidRDefault="000D7D5C">
      <w:pPr>
        <w:pStyle w:val="FootnoteText"/>
      </w:pPr>
      <w:r>
        <w:rPr>
          <w:rStyle w:val="FootnoteReference"/>
        </w:rPr>
        <w:footnoteRef/>
      </w:r>
      <w:r w:rsidR="00F37450">
        <w:t xml:space="preserve"> </w:t>
      </w:r>
      <w:proofErr w:type="gramStart"/>
      <w:r w:rsidR="0074521B">
        <w:t>Annual Program Performance Report.</w:t>
      </w:r>
      <w:proofErr w:type="gramEnd"/>
    </w:p>
  </w:footnote>
  <w:footnote w:id="36">
    <w:p w:rsidR="000D7D5C" w:rsidRPr="00071B95" w:rsidRDefault="000D7D5C" w:rsidP="00071B95">
      <w:pPr>
        <w:pStyle w:val="FootnoteText"/>
      </w:pPr>
      <w:r w:rsidRPr="00F77E6A">
        <w:rPr>
          <w:rStyle w:val="FootnoteReference"/>
        </w:rPr>
        <w:footnoteRef/>
      </w:r>
      <w:r w:rsidRPr="00071B95">
        <w:t xml:space="preserve"> ‘</w:t>
      </w:r>
      <w:r>
        <w:t>C</w:t>
      </w:r>
      <w:r w:rsidRPr="00071B95">
        <w:t>ompleted’ means the final version of the report has been received</w:t>
      </w:r>
      <w:r>
        <w:t>.</w:t>
      </w:r>
    </w:p>
  </w:footnote>
  <w:footnote w:id="37">
    <w:p w:rsidR="000D7D5C" w:rsidRPr="00071B95" w:rsidRDefault="000D7D5C" w:rsidP="00071B95">
      <w:pPr>
        <w:pStyle w:val="FootnoteText"/>
      </w:pPr>
      <w:r w:rsidRPr="00F77E6A">
        <w:rPr>
          <w:rStyle w:val="FootnoteReference"/>
        </w:rPr>
        <w:footnoteRef/>
      </w:r>
      <w:r w:rsidRPr="00071B95">
        <w:t xml:space="preserve"> Mid-term review, </w:t>
      </w:r>
      <w:r>
        <w:t>c</w:t>
      </w:r>
      <w:r w:rsidRPr="00071B95">
        <w:t>ompletion report, partner-led evaluation, joint evaluation</w:t>
      </w:r>
    </w:p>
  </w:footnote>
  <w:footnote w:id="38">
    <w:p w:rsidR="000D7D5C" w:rsidRPr="00551C11" w:rsidRDefault="000D7D5C" w:rsidP="00071B95">
      <w:pPr>
        <w:pStyle w:val="FootnoteText"/>
      </w:pPr>
      <w:r w:rsidRPr="00F77E6A">
        <w:rPr>
          <w:rStyle w:val="FootnoteReference"/>
        </w:rPr>
        <w:footnoteRef/>
      </w:r>
      <w:r w:rsidRPr="00071B95">
        <w:t xml:space="preserve"> To inform a future phase of program, improve existing program</w:t>
      </w:r>
      <w:r>
        <w:t xml:space="preserve"> and</w:t>
      </w:r>
      <w:r w:rsidRPr="00071B95">
        <w:t xml:space="preserve">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Default="000D7D5C">
    <w:pPr>
      <w:pStyle w:val="Header"/>
    </w:pPr>
  </w:p>
  <w:p w:rsidR="000D7D5C" w:rsidRDefault="000D7D5C">
    <w:r>
      <w:rPr>
        <w:noProof/>
      </w:rPr>
      <w:drawing>
        <wp:anchor distT="0" distB="0" distL="114300" distR="114300" simplePos="0" relativeHeight="251699200" behindDoc="0" locked="0" layoutInCell="1" allowOverlap="1" wp14:anchorId="0598A845" wp14:editId="4C7C097A">
          <wp:simplePos x="1155700" y="577850"/>
          <wp:positionH relativeFrom="page">
            <wp:align>left</wp:align>
          </wp:positionH>
          <wp:positionV relativeFrom="page">
            <wp:align>top</wp:align>
          </wp:positionV>
          <wp:extent cx="7560000" cy="1440000"/>
          <wp:effectExtent l="0" t="0" r="3175" b="825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Default="000D7D5C">
    <w:pPr>
      <w:pStyle w:val="Header"/>
    </w:pPr>
    <w:r>
      <w:rPr>
        <w:noProof/>
      </w:rPr>
      <w:drawing>
        <wp:anchor distT="0" distB="0" distL="114300" distR="114300" simplePos="0" relativeHeight="251698176" behindDoc="0" locked="0" layoutInCell="1" allowOverlap="1" wp14:anchorId="76FB9402" wp14:editId="2C6A0099">
          <wp:simplePos x="1155700" y="431165"/>
          <wp:positionH relativeFrom="page">
            <wp:align>left</wp:align>
          </wp:positionH>
          <wp:positionV relativeFrom="page">
            <wp:align>top</wp:align>
          </wp:positionV>
          <wp:extent cx="7560000" cy="1890000"/>
          <wp:effectExtent l="0" t="0" r="317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Default="000D7D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Default="000D7D5C">
    <w:pPr>
      <w:pStyle w:val="Header"/>
    </w:pPr>
    <w:r>
      <w:rPr>
        <w:noProof/>
      </w:rPr>
      <w:drawing>
        <wp:anchor distT="0" distB="0" distL="114300" distR="114300" simplePos="0" relativeHeight="251700224" behindDoc="0" locked="0" layoutInCell="1" allowOverlap="1" wp14:anchorId="0FD567FE" wp14:editId="09034648">
          <wp:simplePos x="0" y="0"/>
          <wp:positionH relativeFrom="page">
            <wp:align>left</wp:align>
          </wp:positionH>
          <wp:positionV relativeFrom="page">
            <wp:align>top</wp:align>
          </wp:positionV>
          <wp:extent cx="7560000" cy="1440000"/>
          <wp:effectExtent l="0" t="0" r="3175" b="825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Default="000D7D5C">
    <w:pPr>
      <w:pStyle w:val="Header"/>
    </w:pPr>
  </w:p>
  <w:p w:rsidR="000D7D5C" w:rsidRDefault="000D7D5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5C" w:rsidRDefault="000D7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96268C"/>
    <w:multiLevelType w:val="hybridMultilevel"/>
    <w:tmpl w:val="776A91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6">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7">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00325C4"/>
    <w:multiLevelType w:val="hybridMultilevel"/>
    <w:tmpl w:val="FC26F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7BB5968"/>
    <w:multiLevelType w:val="hybridMultilevel"/>
    <w:tmpl w:val="52329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7">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2E42FC"/>
    <w:multiLevelType w:val="hybridMultilevel"/>
    <w:tmpl w:val="03669E46"/>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21">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5"/>
  </w:num>
  <w:num w:numId="4">
    <w:abstractNumId w:val="15"/>
  </w:num>
  <w:num w:numId="5">
    <w:abstractNumId w:val="4"/>
  </w:num>
  <w:num w:numId="6">
    <w:abstractNumId w:val="13"/>
  </w:num>
  <w:num w:numId="7">
    <w:abstractNumId w:val="11"/>
  </w:num>
  <w:num w:numId="8">
    <w:abstractNumId w:val="10"/>
  </w:num>
  <w:num w:numId="9">
    <w:abstractNumId w:val="17"/>
  </w:num>
  <w:num w:numId="10">
    <w:abstractNumId w:val="3"/>
  </w:num>
  <w:num w:numId="11">
    <w:abstractNumId w:val="12"/>
  </w:num>
  <w:num w:numId="12">
    <w:abstractNumId w:val="19"/>
  </w:num>
  <w:num w:numId="13">
    <w:abstractNumId w:val="6"/>
  </w:num>
  <w:num w:numId="14">
    <w:abstractNumId w:val="21"/>
  </w:num>
  <w:num w:numId="15">
    <w:abstractNumId w:val="22"/>
  </w:num>
  <w:num w:numId="16">
    <w:abstractNumId w:val="8"/>
  </w:num>
  <w:num w:numId="17">
    <w:abstractNumId w:val="0"/>
  </w:num>
  <w:num w:numId="18">
    <w:abstractNumId w:val="1"/>
  </w:num>
  <w:num w:numId="19">
    <w:abstractNumId w:val="2"/>
  </w:num>
  <w:num w:numId="20">
    <w:abstractNumId w:val="5"/>
  </w:num>
  <w:num w:numId="21">
    <w:abstractNumId w:val="5"/>
  </w:num>
  <w:num w:numId="22">
    <w:abstractNumId w:val="1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20"/>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9"/>
  </w:num>
  <w:num w:numId="44">
    <w:abstractNumId w:val="5"/>
  </w:num>
  <w:num w:numId="45">
    <w:abstractNumId w:val="5"/>
  </w:num>
  <w:num w:numId="46">
    <w:abstractNumId w:val="5"/>
  </w:num>
  <w:num w:numId="47">
    <w:abstractNumId w:val="5"/>
  </w:num>
  <w:num w:numId="4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71"/>
    <w:rsid w:val="000004FF"/>
    <w:rsid w:val="000039CF"/>
    <w:rsid w:val="00006215"/>
    <w:rsid w:val="000143D9"/>
    <w:rsid w:val="00017FB0"/>
    <w:rsid w:val="00020121"/>
    <w:rsid w:val="00021A9E"/>
    <w:rsid w:val="00025E4F"/>
    <w:rsid w:val="00025FF1"/>
    <w:rsid w:val="00026BEA"/>
    <w:rsid w:val="00030111"/>
    <w:rsid w:val="0003068C"/>
    <w:rsid w:val="00031100"/>
    <w:rsid w:val="00032D2D"/>
    <w:rsid w:val="00033DC4"/>
    <w:rsid w:val="00041351"/>
    <w:rsid w:val="0004793B"/>
    <w:rsid w:val="00050541"/>
    <w:rsid w:val="00051BD8"/>
    <w:rsid w:val="0005763D"/>
    <w:rsid w:val="00071B95"/>
    <w:rsid w:val="000745E2"/>
    <w:rsid w:val="00076F08"/>
    <w:rsid w:val="000774FD"/>
    <w:rsid w:val="00081282"/>
    <w:rsid w:val="000846B7"/>
    <w:rsid w:val="000979A0"/>
    <w:rsid w:val="000A1618"/>
    <w:rsid w:val="000A3F2C"/>
    <w:rsid w:val="000A4A49"/>
    <w:rsid w:val="000A5A0A"/>
    <w:rsid w:val="000B3121"/>
    <w:rsid w:val="000B34AD"/>
    <w:rsid w:val="000B634A"/>
    <w:rsid w:val="000C1C8B"/>
    <w:rsid w:val="000C232F"/>
    <w:rsid w:val="000C29BF"/>
    <w:rsid w:val="000C6080"/>
    <w:rsid w:val="000C60A8"/>
    <w:rsid w:val="000D2F40"/>
    <w:rsid w:val="000D4620"/>
    <w:rsid w:val="000D7BDE"/>
    <w:rsid w:val="000D7D5C"/>
    <w:rsid w:val="000E3DEC"/>
    <w:rsid w:val="000E7297"/>
    <w:rsid w:val="000F058F"/>
    <w:rsid w:val="00100AA2"/>
    <w:rsid w:val="001028AD"/>
    <w:rsid w:val="00106D8A"/>
    <w:rsid w:val="00112E97"/>
    <w:rsid w:val="00120FC7"/>
    <w:rsid w:val="001366B4"/>
    <w:rsid w:val="00141A30"/>
    <w:rsid w:val="0014411B"/>
    <w:rsid w:val="00150BB8"/>
    <w:rsid w:val="001612CE"/>
    <w:rsid w:val="0016544D"/>
    <w:rsid w:val="0016546E"/>
    <w:rsid w:val="00170FFF"/>
    <w:rsid w:val="00173C6E"/>
    <w:rsid w:val="001805DD"/>
    <w:rsid w:val="00180B19"/>
    <w:rsid w:val="0018196F"/>
    <w:rsid w:val="00181E3F"/>
    <w:rsid w:val="00181F80"/>
    <w:rsid w:val="001829BB"/>
    <w:rsid w:val="00192106"/>
    <w:rsid w:val="00192498"/>
    <w:rsid w:val="0019287F"/>
    <w:rsid w:val="00194806"/>
    <w:rsid w:val="00195D65"/>
    <w:rsid w:val="001A2E89"/>
    <w:rsid w:val="001B0A78"/>
    <w:rsid w:val="001B1A0C"/>
    <w:rsid w:val="001B5FD1"/>
    <w:rsid w:val="001C0303"/>
    <w:rsid w:val="001C1A8A"/>
    <w:rsid w:val="001C1EA0"/>
    <w:rsid w:val="001C507E"/>
    <w:rsid w:val="001C5EF6"/>
    <w:rsid w:val="001C700E"/>
    <w:rsid w:val="001C7117"/>
    <w:rsid w:val="001D20FC"/>
    <w:rsid w:val="001D210A"/>
    <w:rsid w:val="001E13D6"/>
    <w:rsid w:val="001E1BF3"/>
    <w:rsid w:val="001E314E"/>
    <w:rsid w:val="001E5652"/>
    <w:rsid w:val="001E62E0"/>
    <w:rsid w:val="001F3976"/>
    <w:rsid w:val="001F4F68"/>
    <w:rsid w:val="001F7480"/>
    <w:rsid w:val="00201B32"/>
    <w:rsid w:val="00201ECD"/>
    <w:rsid w:val="0020324D"/>
    <w:rsid w:val="00204A07"/>
    <w:rsid w:val="00206282"/>
    <w:rsid w:val="002106EA"/>
    <w:rsid w:val="002115BD"/>
    <w:rsid w:val="00213C5C"/>
    <w:rsid w:val="00214790"/>
    <w:rsid w:val="002225BA"/>
    <w:rsid w:val="00223872"/>
    <w:rsid w:val="00225337"/>
    <w:rsid w:val="00226AF8"/>
    <w:rsid w:val="00231D45"/>
    <w:rsid w:val="00237C4B"/>
    <w:rsid w:val="00242AB4"/>
    <w:rsid w:val="00243B69"/>
    <w:rsid w:val="002456BC"/>
    <w:rsid w:val="00246E5F"/>
    <w:rsid w:val="002652D9"/>
    <w:rsid w:val="00275B8F"/>
    <w:rsid w:val="002849B4"/>
    <w:rsid w:val="0028655D"/>
    <w:rsid w:val="00292C00"/>
    <w:rsid w:val="00295247"/>
    <w:rsid w:val="00295C0E"/>
    <w:rsid w:val="002A1935"/>
    <w:rsid w:val="002A22F7"/>
    <w:rsid w:val="002B0656"/>
    <w:rsid w:val="002B433A"/>
    <w:rsid w:val="002B4CDB"/>
    <w:rsid w:val="002B764B"/>
    <w:rsid w:val="002B79D4"/>
    <w:rsid w:val="002B7B25"/>
    <w:rsid w:val="002C5C9A"/>
    <w:rsid w:val="002D6914"/>
    <w:rsid w:val="002E05D0"/>
    <w:rsid w:val="002E32A4"/>
    <w:rsid w:val="002E3AF4"/>
    <w:rsid w:val="002E7B64"/>
    <w:rsid w:val="002F07F4"/>
    <w:rsid w:val="002F4246"/>
    <w:rsid w:val="002F479A"/>
    <w:rsid w:val="002F5A14"/>
    <w:rsid w:val="002F5AF4"/>
    <w:rsid w:val="002F6040"/>
    <w:rsid w:val="00300B97"/>
    <w:rsid w:val="0030218A"/>
    <w:rsid w:val="00303038"/>
    <w:rsid w:val="00310426"/>
    <w:rsid w:val="0031054B"/>
    <w:rsid w:val="003146AB"/>
    <w:rsid w:val="00315D13"/>
    <w:rsid w:val="00315E5F"/>
    <w:rsid w:val="003175A5"/>
    <w:rsid w:val="003223F8"/>
    <w:rsid w:val="0032292B"/>
    <w:rsid w:val="0032486D"/>
    <w:rsid w:val="003260C0"/>
    <w:rsid w:val="00326B5A"/>
    <w:rsid w:val="003327F8"/>
    <w:rsid w:val="0033414F"/>
    <w:rsid w:val="0034038B"/>
    <w:rsid w:val="00341177"/>
    <w:rsid w:val="00342B46"/>
    <w:rsid w:val="00345B8E"/>
    <w:rsid w:val="00351ACA"/>
    <w:rsid w:val="00352AE5"/>
    <w:rsid w:val="0035380D"/>
    <w:rsid w:val="00357AF7"/>
    <w:rsid w:val="00360662"/>
    <w:rsid w:val="003722EF"/>
    <w:rsid w:val="00372E1B"/>
    <w:rsid w:val="00373699"/>
    <w:rsid w:val="00381983"/>
    <w:rsid w:val="00383294"/>
    <w:rsid w:val="003848BC"/>
    <w:rsid w:val="00387171"/>
    <w:rsid w:val="00395CFA"/>
    <w:rsid w:val="003A2553"/>
    <w:rsid w:val="003A2D7B"/>
    <w:rsid w:val="003A74BF"/>
    <w:rsid w:val="003C7721"/>
    <w:rsid w:val="003D081D"/>
    <w:rsid w:val="003D0EC7"/>
    <w:rsid w:val="003E0E32"/>
    <w:rsid w:val="003E100A"/>
    <w:rsid w:val="003E4982"/>
    <w:rsid w:val="003F1D82"/>
    <w:rsid w:val="00405C01"/>
    <w:rsid w:val="00407892"/>
    <w:rsid w:val="0041185D"/>
    <w:rsid w:val="00413539"/>
    <w:rsid w:val="00413A23"/>
    <w:rsid w:val="00414FD5"/>
    <w:rsid w:val="00415A92"/>
    <w:rsid w:val="004179A4"/>
    <w:rsid w:val="004228CD"/>
    <w:rsid w:val="00426354"/>
    <w:rsid w:val="004310BA"/>
    <w:rsid w:val="00436870"/>
    <w:rsid w:val="00443639"/>
    <w:rsid w:val="00445A3B"/>
    <w:rsid w:val="00451D9E"/>
    <w:rsid w:val="004566DD"/>
    <w:rsid w:val="00460938"/>
    <w:rsid w:val="00466795"/>
    <w:rsid w:val="004723C9"/>
    <w:rsid w:val="004757D7"/>
    <w:rsid w:val="00475D03"/>
    <w:rsid w:val="004860AB"/>
    <w:rsid w:val="004933B8"/>
    <w:rsid w:val="004A6F09"/>
    <w:rsid w:val="004A7400"/>
    <w:rsid w:val="004B11E3"/>
    <w:rsid w:val="004B6A40"/>
    <w:rsid w:val="004C2493"/>
    <w:rsid w:val="004C4A3E"/>
    <w:rsid w:val="004C660D"/>
    <w:rsid w:val="004C7EDF"/>
    <w:rsid w:val="004D1529"/>
    <w:rsid w:val="004D19CE"/>
    <w:rsid w:val="004D2824"/>
    <w:rsid w:val="004D40A2"/>
    <w:rsid w:val="004D4522"/>
    <w:rsid w:val="004D6A05"/>
    <w:rsid w:val="004E2A46"/>
    <w:rsid w:val="004E4137"/>
    <w:rsid w:val="004E5EE0"/>
    <w:rsid w:val="004E6400"/>
    <w:rsid w:val="004E6871"/>
    <w:rsid w:val="004E6E33"/>
    <w:rsid w:val="004F521E"/>
    <w:rsid w:val="004F5B54"/>
    <w:rsid w:val="004F668E"/>
    <w:rsid w:val="00500E96"/>
    <w:rsid w:val="00503974"/>
    <w:rsid w:val="0050529F"/>
    <w:rsid w:val="00511302"/>
    <w:rsid w:val="00513D3A"/>
    <w:rsid w:val="00514B5E"/>
    <w:rsid w:val="00516842"/>
    <w:rsid w:val="0052286C"/>
    <w:rsid w:val="00522AB9"/>
    <w:rsid w:val="00523617"/>
    <w:rsid w:val="00523FB0"/>
    <w:rsid w:val="00524C3A"/>
    <w:rsid w:val="005265B9"/>
    <w:rsid w:val="005268D0"/>
    <w:rsid w:val="00526949"/>
    <w:rsid w:val="00533533"/>
    <w:rsid w:val="0053451C"/>
    <w:rsid w:val="00535E24"/>
    <w:rsid w:val="005440F6"/>
    <w:rsid w:val="0054471F"/>
    <w:rsid w:val="0054557A"/>
    <w:rsid w:val="00546DD6"/>
    <w:rsid w:val="0055771D"/>
    <w:rsid w:val="005578F3"/>
    <w:rsid w:val="00560216"/>
    <w:rsid w:val="00567930"/>
    <w:rsid w:val="00567FCF"/>
    <w:rsid w:val="00570F74"/>
    <w:rsid w:val="00573FBE"/>
    <w:rsid w:val="00575295"/>
    <w:rsid w:val="005823FD"/>
    <w:rsid w:val="005845CB"/>
    <w:rsid w:val="0058498A"/>
    <w:rsid w:val="0058514C"/>
    <w:rsid w:val="00586350"/>
    <w:rsid w:val="00590A75"/>
    <w:rsid w:val="00590E7D"/>
    <w:rsid w:val="0059107C"/>
    <w:rsid w:val="005A18C5"/>
    <w:rsid w:val="005A2C21"/>
    <w:rsid w:val="005B0BAD"/>
    <w:rsid w:val="005B431A"/>
    <w:rsid w:val="005B4CE2"/>
    <w:rsid w:val="005B66F5"/>
    <w:rsid w:val="005B6D97"/>
    <w:rsid w:val="005B7C71"/>
    <w:rsid w:val="005C0C20"/>
    <w:rsid w:val="005C4A6B"/>
    <w:rsid w:val="005C5B4A"/>
    <w:rsid w:val="005D2A59"/>
    <w:rsid w:val="005D57C6"/>
    <w:rsid w:val="005F0C00"/>
    <w:rsid w:val="005F33F2"/>
    <w:rsid w:val="005F3DFF"/>
    <w:rsid w:val="005F4446"/>
    <w:rsid w:val="00605DB3"/>
    <w:rsid w:val="00611AC8"/>
    <w:rsid w:val="006120F8"/>
    <w:rsid w:val="006134D2"/>
    <w:rsid w:val="00617F0C"/>
    <w:rsid w:val="00617F30"/>
    <w:rsid w:val="006256D2"/>
    <w:rsid w:val="00626AF1"/>
    <w:rsid w:val="006415D0"/>
    <w:rsid w:val="00642DBF"/>
    <w:rsid w:val="00642E50"/>
    <w:rsid w:val="00646049"/>
    <w:rsid w:val="006465B0"/>
    <w:rsid w:val="00650E46"/>
    <w:rsid w:val="006545AA"/>
    <w:rsid w:val="006555E3"/>
    <w:rsid w:val="00657108"/>
    <w:rsid w:val="00657E5A"/>
    <w:rsid w:val="00661FEF"/>
    <w:rsid w:val="00663909"/>
    <w:rsid w:val="006652FE"/>
    <w:rsid w:val="006671BC"/>
    <w:rsid w:val="00680679"/>
    <w:rsid w:val="00683FFB"/>
    <w:rsid w:val="00695178"/>
    <w:rsid w:val="00695279"/>
    <w:rsid w:val="00695C8C"/>
    <w:rsid w:val="006C6800"/>
    <w:rsid w:val="006D2E37"/>
    <w:rsid w:val="006D4FDB"/>
    <w:rsid w:val="006E2208"/>
    <w:rsid w:val="006E791B"/>
    <w:rsid w:val="006E7E9F"/>
    <w:rsid w:val="006E7FA8"/>
    <w:rsid w:val="006F415A"/>
    <w:rsid w:val="006F4623"/>
    <w:rsid w:val="006F488D"/>
    <w:rsid w:val="006F4B40"/>
    <w:rsid w:val="00701FEA"/>
    <w:rsid w:val="007027CF"/>
    <w:rsid w:val="007033F0"/>
    <w:rsid w:val="00706DE1"/>
    <w:rsid w:val="007110C9"/>
    <w:rsid w:val="00713505"/>
    <w:rsid w:val="007144AB"/>
    <w:rsid w:val="00714BA3"/>
    <w:rsid w:val="00720E80"/>
    <w:rsid w:val="00721098"/>
    <w:rsid w:val="00725870"/>
    <w:rsid w:val="00727D4E"/>
    <w:rsid w:val="00744362"/>
    <w:rsid w:val="0074521B"/>
    <w:rsid w:val="00750E77"/>
    <w:rsid w:val="00751C24"/>
    <w:rsid w:val="0075358C"/>
    <w:rsid w:val="00761087"/>
    <w:rsid w:val="00766BCF"/>
    <w:rsid w:val="00767F39"/>
    <w:rsid w:val="007726E1"/>
    <w:rsid w:val="00774652"/>
    <w:rsid w:val="00774F4B"/>
    <w:rsid w:val="00776822"/>
    <w:rsid w:val="0079256F"/>
    <w:rsid w:val="00793AAF"/>
    <w:rsid w:val="00796F14"/>
    <w:rsid w:val="007A3C6A"/>
    <w:rsid w:val="007A5821"/>
    <w:rsid w:val="007A5D06"/>
    <w:rsid w:val="007B51E2"/>
    <w:rsid w:val="007B6F31"/>
    <w:rsid w:val="007B741C"/>
    <w:rsid w:val="007C0AF1"/>
    <w:rsid w:val="007C204C"/>
    <w:rsid w:val="007C2C8D"/>
    <w:rsid w:val="007C4287"/>
    <w:rsid w:val="007C5D3B"/>
    <w:rsid w:val="007D5F1C"/>
    <w:rsid w:val="007E2A95"/>
    <w:rsid w:val="007E326D"/>
    <w:rsid w:val="007E6212"/>
    <w:rsid w:val="007F050B"/>
    <w:rsid w:val="007F2841"/>
    <w:rsid w:val="007F2E8A"/>
    <w:rsid w:val="007F6268"/>
    <w:rsid w:val="00801E77"/>
    <w:rsid w:val="00802A66"/>
    <w:rsid w:val="00803097"/>
    <w:rsid w:val="00805BE3"/>
    <w:rsid w:val="00807B16"/>
    <w:rsid w:val="00811633"/>
    <w:rsid w:val="00821541"/>
    <w:rsid w:val="00823627"/>
    <w:rsid w:val="00830647"/>
    <w:rsid w:val="00830E80"/>
    <w:rsid w:val="0083144D"/>
    <w:rsid w:val="008347A9"/>
    <w:rsid w:val="00841281"/>
    <w:rsid w:val="00842BE0"/>
    <w:rsid w:val="00860CDE"/>
    <w:rsid w:val="00871B47"/>
    <w:rsid w:val="00872B03"/>
    <w:rsid w:val="008810FA"/>
    <w:rsid w:val="00884878"/>
    <w:rsid w:val="00885B9C"/>
    <w:rsid w:val="00886AA7"/>
    <w:rsid w:val="008879B4"/>
    <w:rsid w:val="008922A9"/>
    <w:rsid w:val="00894026"/>
    <w:rsid w:val="00895DF4"/>
    <w:rsid w:val="00895F05"/>
    <w:rsid w:val="00896927"/>
    <w:rsid w:val="00896F33"/>
    <w:rsid w:val="00897E16"/>
    <w:rsid w:val="008A144E"/>
    <w:rsid w:val="008A24F3"/>
    <w:rsid w:val="008A3E2B"/>
    <w:rsid w:val="008B479A"/>
    <w:rsid w:val="008B5F65"/>
    <w:rsid w:val="008C11D8"/>
    <w:rsid w:val="008D0682"/>
    <w:rsid w:val="008D1FB2"/>
    <w:rsid w:val="008D27EF"/>
    <w:rsid w:val="008D2DC8"/>
    <w:rsid w:val="008D3281"/>
    <w:rsid w:val="008D34F9"/>
    <w:rsid w:val="008D745E"/>
    <w:rsid w:val="008D76FA"/>
    <w:rsid w:val="008E0915"/>
    <w:rsid w:val="008E1C7A"/>
    <w:rsid w:val="008E54CC"/>
    <w:rsid w:val="008F06F2"/>
    <w:rsid w:val="008F126E"/>
    <w:rsid w:val="008F132F"/>
    <w:rsid w:val="008F2CF2"/>
    <w:rsid w:val="008F4C4B"/>
    <w:rsid w:val="008F5D80"/>
    <w:rsid w:val="008F7A45"/>
    <w:rsid w:val="009019AE"/>
    <w:rsid w:val="00903FB7"/>
    <w:rsid w:val="00911214"/>
    <w:rsid w:val="009129B5"/>
    <w:rsid w:val="00920A04"/>
    <w:rsid w:val="00920F71"/>
    <w:rsid w:val="00923D3D"/>
    <w:rsid w:val="00924CCB"/>
    <w:rsid w:val="0092520A"/>
    <w:rsid w:val="00932FAD"/>
    <w:rsid w:val="00941374"/>
    <w:rsid w:val="00951562"/>
    <w:rsid w:val="00951DC3"/>
    <w:rsid w:val="00954A4F"/>
    <w:rsid w:val="00954EF3"/>
    <w:rsid w:val="0096024F"/>
    <w:rsid w:val="00963B20"/>
    <w:rsid w:val="00965EC3"/>
    <w:rsid w:val="00966130"/>
    <w:rsid w:val="009668EF"/>
    <w:rsid w:val="00970BA4"/>
    <w:rsid w:val="0097258E"/>
    <w:rsid w:val="009729A9"/>
    <w:rsid w:val="0098030D"/>
    <w:rsid w:val="00981E62"/>
    <w:rsid w:val="0098404C"/>
    <w:rsid w:val="009952ED"/>
    <w:rsid w:val="009A0D5C"/>
    <w:rsid w:val="009A1E07"/>
    <w:rsid w:val="009A28D2"/>
    <w:rsid w:val="009A4D39"/>
    <w:rsid w:val="009B1785"/>
    <w:rsid w:val="009B5190"/>
    <w:rsid w:val="009B654F"/>
    <w:rsid w:val="009C16DF"/>
    <w:rsid w:val="009C204B"/>
    <w:rsid w:val="009C4804"/>
    <w:rsid w:val="009D3122"/>
    <w:rsid w:val="009D3524"/>
    <w:rsid w:val="009E0894"/>
    <w:rsid w:val="009E6780"/>
    <w:rsid w:val="009F46B0"/>
    <w:rsid w:val="009F4D99"/>
    <w:rsid w:val="009F50F0"/>
    <w:rsid w:val="009F5F45"/>
    <w:rsid w:val="00A02CDD"/>
    <w:rsid w:val="00A03911"/>
    <w:rsid w:val="00A05140"/>
    <w:rsid w:val="00A1097C"/>
    <w:rsid w:val="00A10DE1"/>
    <w:rsid w:val="00A115F4"/>
    <w:rsid w:val="00A1507C"/>
    <w:rsid w:val="00A1644A"/>
    <w:rsid w:val="00A21F1C"/>
    <w:rsid w:val="00A22538"/>
    <w:rsid w:val="00A247AF"/>
    <w:rsid w:val="00A24DB5"/>
    <w:rsid w:val="00A30B4B"/>
    <w:rsid w:val="00A31E56"/>
    <w:rsid w:val="00A34039"/>
    <w:rsid w:val="00A3552E"/>
    <w:rsid w:val="00A36087"/>
    <w:rsid w:val="00A417FA"/>
    <w:rsid w:val="00A42760"/>
    <w:rsid w:val="00A43F42"/>
    <w:rsid w:val="00A443C7"/>
    <w:rsid w:val="00A453F3"/>
    <w:rsid w:val="00A509C5"/>
    <w:rsid w:val="00A50E9F"/>
    <w:rsid w:val="00A51638"/>
    <w:rsid w:val="00A5337D"/>
    <w:rsid w:val="00A53CC7"/>
    <w:rsid w:val="00A5551F"/>
    <w:rsid w:val="00A63ADF"/>
    <w:rsid w:val="00A65CAA"/>
    <w:rsid w:val="00A74DDB"/>
    <w:rsid w:val="00A766E3"/>
    <w:rsid w:val="00A766FD"/>
    <w:rsid w:val="00A81066"/>
    <w:rsid w:val="00A820E7"/>
    <w:rsid w:val="00A94EC5"/>
    <w:rsid w:val="00A96F37"/>
    <w:rsid w:val="00AA2AF3"/>
    <w:rsid w:val="00AA4F9F"/>
    <w:rsid w:val="00AB3900"/>
    <w:rsid w:val="00AB7215"/>
    <w:rsid w:val="00AC56C2"/>
    <w:rsid w:val="00AC5E19"/>
    <w:rsid w:val="00AC739C"/>
    <w:rsid w:val="00AD127D"/>
    <w:rsid w:val="00AD2748"/>
    <w:rsid w:val="00AD39DD"/>
    <w:rsid w:val="00AE1243"/>
    <w:rsid w:val="00AE451B"/>
    <w:rsid w:val="00AE562D"/>
    <w:rsid w:val="00AE5C52"/>
    <w:rsid w:val="00AF045F"/>
    <w:rsid w:val="00AF0FA2"/>
    <w:rsid w:val="00AF0FDD"/>
    <w:rsid w:val="00AF48DF"/>
    <w:rsid w:val="00AF530F"/>
    <w:rsid w:val="00AF730A"/>
    <w:rsid w:val="00B025E9"/>
    <w:rsid w:val="00B05078"/>
    <w:rsid w:val="00B07C65"/>
    <w:rsid w:val="00B1115D"/>
    <w:rsid w:val="00B14C83"/>
    <w:rsid w:val="00B17A9D"/>
    <w:rsid w:val="00B20E16"/>
    <w:rsid w:val="00B21C2F"/>
    <w:rsid w:val="00B24559"/>
    <w:rsid w:val="00B2764E"/>
    <w:rsid w:val="00B30E77"/>
    <w:rsid w:val="00B3157B"/>
    <w:rsid w:val="00B33F27"/>
    <w:rsid w:val="00B36C53"/>
    <w:rsid w:val="00B44B97"/>
    <w:rsid w:val="00B456CC"/>
    <w:rsid w:val="00B47540"/>
    <w:rsid w:val="00B478EF"/>
    <w:rsid w:val="00B51188"/>
    <w:rsid w:val="00B51BAD"/>
    <w:rsid w:val="00B56551"/>
    <w:rsid w:val="00B57AE9"/>
    <w:rsid w:val="00B603DC"/>
    <w:rsid w:val="00B609D6"/>
    <w:rsid w:val="00B638BD"/>
    <w:rsid w:val="00B64749"/>
    <w:rsid w:val="00B65EB5"/>
    <w:rsid w:val="00B72CEC"/>
    <w:rsid w:val="00B75E95"/>
    <w:rsid w:val="00B80707"/>
    <w:rsid w:val="00B82421"/>
    <w:rsid w:val="00B8322F"/>
    <w:rsid w:val="00B85524"/>
    <w:rsid w:val="00B87675"/>
    <w:rsid w:val="00B915E8"/>
    <w:rsid w:val="00B95043"/>
    <w:rsid w:val="00B979BF"/>
    <w:rsid w:val="00BA3026"/>
    <w:rsid w:val="00BA3EFF"/>
    <w:rsid w:val="00BA4972"/>
    <w:rsid w:val="00BA5FE7"/>
    <w:rsid w:val="00BB0D63"/>
    <w:rsid w:val="00BB1C24"/>
    <w:rsid w:val="00BC330B"/>
    <w:rsid w:val="00BC3E5C"/>
    <w:rsid w:val="00BC4884"/>
    <w:rsid w:val="00BC6774"/>
    <w:rsid w:val="00BC6EEF"/>
    <w:rsid w:val="00BC7980"/>
    <w:rsid w:val="00BD2E2E"/>
    <w:rsid w:val="00BD4D43"/>
    <w:rsid w:val="00BE0D5C"/>
    <w:rsid w:val="00BE1814"/>
    <w:rsid w:val="00BE4374"/>
    <w:rsid w:val="00BE4D8E"/>
    <w:rsid w:val="00BE65E4"/>
    <w:rsid w:val="00BF0AA7"/>
    <w:rsid w:val="00BF2F97"/>
    <w:rsid w:val="00BF35AA"/>
    <w:rsid w:val="00BF4872"/>
    <w:rsid w:val="00BF55CF"/>
    <w:rsid w:val="00C00765"/>
    <w:rsid w:val="00C06287"/>
    <w:rsid w:val="00C15076"/>
    <w:rsid w:val="00C16CD4"/>
    <w:rsid w:val="00C20D5E"/>
    <w:rsid w:val="00C228DC"/>
    <w:rsid w:val="00C22DD2"/>
    <w:rsid w:val="00C23583"/>
    <w:rsid w:val="00C2449B"/>
    <w:rsid w:val="00C26B2E"/>
    <w:rsid w:val="00C30BAA"/>
    <w:rsid w:val="00C3616E"/>
    <w:rsid w:val="00C36C67"/>
    <w:rsid w:val="00C4024D"/>
    <w:rsid w:val="00C4066A"/>
    <w:rsid w:val="00C40D0E"/>
    <w:rsid w:val="00C4171C"/>
    <w:rsid w:val="00C469FC"/>
    <w:rsid w:val="00C5379F"/>
    <w:rsid w:val="00C53E21"/>
    <w:rsid w:val="00C54AB6"/>
    <w:rsid w:val="00C56BAB"/>
    <w:rsid w:val="00C56CA3"/>
    <w:rsid w:val="00C5718C"/>
    <w:rsid w:val="00C578FF"/>
    <w:rsid w:val="00C60D92"/>
    <w:rsid w:val="00C65930"/>
    <w:rsid w:val="00C75AB0"/>
    <w:rsid w:val="00C75F20"/>
    <w:rsid w:val="00C80057"/>
    <w:rsid w:val="00C814F3"/>
    <w:rsid w:val="00C82AA4"/>
    <w:rsid w:val="00C8305C"/>
    <w:rsid w:val="00C850DC"/>
    <w:rsid w:val="00C876B9"/>
    <w:rsid w:val="00C95691"/>
    <w:rsid w:val="00CA1ECD"/>
    <w:rsid w:val="00CA1F32"/>
    <w:rsid w:val="00CA3516"/>
    <w:rsid w:val="00CA4C7F"/>
    <w:rsid w:val="00CA6623"/>
    <w:rsid w:val="00CB57FB"/>
    <w:rsid w:val="00CB6BD5"/>
    <w:rsid w:val="00CD0FA4"/>
    <w:rsid w:val="00CD515E"/>
    <w:rsid w:val="00CD6808"/>
    <w:rsid w:val="00CE1109"/>
    <w:rsid w:val="00CE272F"/>
    <w:rsid w:val="00CE2DF6"/>
    <w:rsid w:val="00CF5974"/>
    <w:rsid w:val="00D028AD"/>
    <w:rsid w:val="00D0608D"/>
    <w:rsid w:val="00D06E87"/>
    <w:rsid w:val="00D06EFC"/>
    <w:rsid w:val="00D1197E"/>
    <w:rsid w:val="00D1619E"/>
    <w:rsid w:val="00D20974"/>
    <w:rsid w:val="00D243C9"/>
    <w:rsid w:val="00D33DA7"/>
    <w:rsid w:val="00D4180A"/>
    <w:rsid w:val="00D4417C"/>
    <w:rsid w:val="00D472D8"/>
    <w:rsid w:val="00D56FF4"/>
    <w:rsid w:val="00D645B1"/>
    <w:rsid w:val="00D6579E"/>
    <w:rsid w:val="00D7130C"/>
    <w:rsid w:val="00D72583"/>
    <w:rsid w:val="00D7263E"/>
    <w:rsid w:val="00D730A4"/>
    <w:rsid w:val="00D74036"/>
    <w:rsid w:val="00D808EE"/>
    <w:rsid w:val="00D824F4"/>
    <w:rsid w:val="00D86767"/>
    <w:rsid w:val="00D93663"/>
    <w:rsid w:val="00D94097"/>
    <w:rsid w:val="00DA0378"/>
    <w:rsid w:val="00DA7DA7"/>
    <w:rsid w:val="00DB0CB2"/>
    <w:rsid w:val="00DB721D"/>
    <w:rsid w:val="00DC131E"/>
    <w:rsid w:val="00DC55C7"/>
    <w:rsid w:val="00DE1A5F"/>
    <w:rsid w:val="00DE55E6"/>
    <w:rsid w:val="00DE67C8"/>
    <w:rsid w:val="00DF2E67"/>
    <w:rsid w:val="00E00BCC"/>
    <w:rsid w:val="00E02A44"/>
    <w:rsid w:val="00E04482"/>
    <w:rsid w:val="00E0482B"/>
    <w:rsid w:val="00E07968"/>
    <w:rsid w:val="00E15F5B"/>
    <w:rsid w:val="00E21918"/>
    <w:rsid w:val="00E2267F"/>
    <w:rsid w:val="00E27B2E"/>
    <w:rsid w:val="00E27C9F"/>
    <w:rsid w:val="00E31752"/>
    <w:rsid w:val="00E446A6"/>
    <w:rsid w:val="00E46A55"/>
    <w:rsid w:val="00E55AB3"/>
    <w:rsid w:val="00E56811"/>
    <w:rsid w:val="00E6139F"/>
    <w:rsid w:val="00E61E1E"/>
    <w:rsid w:val="00E62387"/>
    <w:rsid w:val="00E64572"/>
    <w:rsid w:val="00E64B3B"/>
    <w:rsid w:val="00E67CE0"/>
    <w:rsid w:val="00E71A05"/>
    <w:rsid w:val="00E73953"/>
    <w:rsid w:val="00E774C4"/>
    <w:rsid w:val="00E90B9D"/>
    <w:rsid w:val="00E923F1"/>
    <w:rsid w:val="00E931C0"/>
    <w:rsid w:val="00EA3AEC"/>
    <w:rsid w:val="00EB0E20"/>
    <w:rsid w:val="00EB3D8A"/>
    <w:rsid w:val="00EB4AF9"/>
    <w:rsid w:val="00EB6B13"/>
    <w:rsid w:val="00EB711D"/>
    <w:rsid w:val="00EC16AA"/>
    <w:rsid w:val="00EC4E55"/>
    <w:rsid w:val="00EC7A44"/>
    <w:rsid w:val="00ED200F"/>
    <w:rsid w:val="00ED2536"/>
    <w:rsid w:val="00ED371C"/>
    <w:rsid w:val="00ED75D5"/>
    <w:rsid w:val="00EE0E84"/>
    <w:rsid w:val="00EE308D"/>
    <w:rsid w:val="00EE44C9"/>
    <w:rsid w:val="00EF1030"/>
    <w:rsid w:val="00EF12AC"/>
    <w:rsid w:val="00EF2769"/>
    <w:rsid w:val="00EF35A5"/>
    <w:rsid w:val="00EF3A6E"/>
    <w:rsid w:val="00EF4DF3"/>
    <w:rsid w:val="00F01E7C"/>
    <w:rsid w:val="00F04FB3"/>
    <w:rsid w:val="00F06518"/>
    <w:rsid w:val="00F0799D"/>
    <w:rsid w:val="00F106D3"/>
    <w:rsid w:val="00F1208C"/>
    <w:rsid w:val="00F209D8"/>
    <w:rsid w:val="00F27ED1"/>
    <w:rsid w:val="00F359A3"/>
    <w:rsid w:val="00F37450"/>
    <w:rsid w:val="00F425C3"/>
    <w:rsid w:val="00F438BF"/>
    <w:rsid w:val="00F46297"/>
    <w:rsid w:val="00F5172B"/>
    <w:rsid w:val="00F53655"/>
    <w:rsid w:val="00F56FC2"/>
    <w:rsid w:val="00F6071E"/>
    <w:rsid w:val="00F64B4D"/>
    <w:rsid w:val="00F65284"/>
    <w:rsid w:val="00F67F31"/>
    <w:rsid w:val="00F711FF"/>
    <w:rsid w:val="00F71512"/>
    <w:rsid w:val="00F72414"/>
    <w:rsid w:val="00F74FA5"/>
    <w:rsid w:val="00F77E6A"/>
    <w:rsid w:val="00F81D93"/>
    <w:rsid w:val="00F86C62"/>
    <w:rsid w:val="00F93164"/>
    <w:rsid w:val="00F940A3"/>
    <w:rsid w:val="00F9413F"/>
    <w:rsid w:val="00F94D21"/>
    <w:rsid w:val="00F95385"/>
    <w:rsid w:val="00FA11D0"/>
    <w:rsid w:val="00FA406D"/>
    <w:rsid w:val="00FA4570"/>
    <w:rsid w:val="00FA47DE"/>
    <w:rsid w:val="00FA7EDF"/>
    <w:rsid w:val="00FB118A"/>
    <w:rsid w:val="00FB2159"/>
    <w:rsid w:val="00FB5F61"/>
    <w:rsid w:val="00FC19A6"/>
    <w:rsid w:val="00FC3C87"/>
    <w:rsid w:val="00FC6D66"/>
    <w:rsid w:val="00FD4ADF"/>
    <w:rsid w:val="00FD6953"/>
    <w:rsid w:val="00FE1536"/>
    <w:rsid w:val="00FE214C"/>
    <w:rsid w:val="00FE25EE"/>
    <w:rsid w:val="00FE4491"/>
    <w:rsid w:val="00FE597C"/>
    <w:rsid w:val="00FF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E31752"/>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97258E"/>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97258E"/>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F06518"/>
    <w:pPr>
      <w:keepLines/>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98404C"/>
    <w:pPr>
      <w:spacing w:before="80" w:after="80" w:line="280" w:lineRule="atLeast"/>
    </w:pPr>
    <w:rPr>
      <w:rFonts w:ascii="Franklin Gothic Book" w:eastAsia="Times New Roman" w:hAnsi="Franklin Gothic Book"/>
      <w:iCs/>
      <w:szCs w:val="22"/>
    </w:rPr>
  </w:style>
  <w:style w:type="character" w:customStyle="1" w:styleId="BoxTextChar">
    <w:name w:val="Box Text Char"/>
    <w:link w:val="BoxText"/>
    <w:rsid w:val="0098404C"/>
    <w:rPr>
      <w:rFonts w:ascii="Franklin Gothic Book" w:eastAsia="Times New Roman" w:hAnsi="Franklin Gothic Book"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F06518"/>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98404C"/>
    <w:pPr>
      <w:spacing w:after="0"/>
      <w:contextualSpacing/>
    </w:pPr>
    <w:rPr>
      <w:sz w:val="16"/>
      <w:szCs w:val="20"/>
    </w:rPr>
  </w:style>
  <w:style w:type="character" w:customStyle="1" w:styleId="FootnoteTextChar">
    <w:name w:val="Footnote Text Char"/>
    <w:basedOn w:val="DefaultParagraphFont"/>
    <w:link w:val="FootnoteText"/>
    <w:uiPriority w:val="99"/>
    <w:rsid w:val="0098404C"/>
    <w:rPr>
      <w:rFonts w:ascii="Times New Roman" w:eastAsia="Times New Roman" w:hAnsi="Times New Roman" w:cs="Times New Roman"/>
      <w:sz w:val="16"/>
      <w:szCs w:val="20"/>
    </w:rPr>
  </w:style>
  <w:style w:type="character" w:styleId="FootnoteReference">
    <w:name w:val="footnote reference"/>
    <w:uiPriority w:val="99"/>
    <w:rsid w:val="00F77E6A"/>
    <w:rPr>
      <w:rFonts w:ascii="Times New Roman" w:hAnsi="Times New Roman"/>
      <w:w w:val="100"/>
      <w:position w:val="6"/>
      <w:sz w:val="16"/>
      <w:szCs w:val="12"/>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6A"/>
    <w:pPr>
      <w:spacing w:after="0" w:line="240" w:lineRule="auto"/>
    </w:pPr>
    <w:rPr>
      <w:rFonts w:ascii="Times New Roman" w:eastAsia="SimSun" w:hAnsi="Times New Roman" w:cs="Times New Roman"/>
      <w:sz w:val="20"/>
      <w:szCs w:val="24"/>
    </w:rPr>
  </w:style>
  <w:style w:type="paragraph" w:styleId="Heading1">
    <w:name w:val="heading 1"/>
    <w:basedOn w:val="Normal"/>
    <w:next w:val="Normal"/>
    <w:link w:val="Heading1Char"/>
    <w:qFormat/>
    <w:rsid w:val="0098030D"/>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98030D"/>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535E2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50529F"/>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50529F"/>
    <w:pPr>
      <w:keepNext/>
      <w:numPr>
        <w:ilvl w:val="4"/>
        <w:numId w:val="1"/>
      </w:numPr>
      <w:spacing w:before="320" w:after="0"/>
      <w:outlineLvl w:val="4"/>
    </w:pPr>
    <w:rPr>
      <w:b/>
      <w:color w:val="54534A"/>
    </w:rPr>
  </w:style>
  <w:style w:type="paragraph" w:styleId="Heading6">
    <w:name w:val="heading 6"/>
    <w:basedOn w:val="Heading1"/>
    <w:next w:val="BodyText"/>
    <w:link w:val="Heading6Char"/>
    <w:rsid w:val="0050529F"/>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50529F"/>
    <w:pPr>
      <w:numPr>
        <w:ilvl w:val="6"/>
      </w:numPr>
      <w:outlineLvl w:val="6"/>
    </w:pPr>
    <w:rPr>
      <w:sz w:val="28"/>
    </w:rPr>
  </w:style>
  <w:style w:type="paragraph" w:styleId="Heading8">
    <w:name w:val="heading 8"/>
    <w:basedOn w:val="Heading3"/>
    <w:next w:val="BodyText"/>
    <w:link w:val="Heading8Char"/>
    <w:rsid w:val="0050529F"/>
    <w:pPr>
      <w:numPr>
        <w:ilvl w:val="7"/>
      </w:numPr>
      <w:outlineLvl w:val="7"/>
    </w:pPr>
  </w:style>
  <w:style w:type="paragraph" w:styleId="Heading9">
    <w:name w:val="heading 9"/>
    <w:basedOn w:val="Heading4"/>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0D"/>
    <w:rPr>
      <w:rFonts w:ascii="Franklin Gothic Demi" w:eastAsia="Times New Roman" w:hAnsi="Franklin Gothic Demi" w:cs="Arial"/>
      <w:color w:val="AD495D"/>
      <w:kern w:val="28"/>
      <w:sz w:val="28"/>
      <w:szCs w:val="28"/>
    </w:rPr>
  </w:style>
  <w:style w:type="paragraph" w:styleId="BodyText">
    <w:name w:val="Body Text"/>
    <w:basedOn w:val="Normal"/>
    <w:link w:val="BodyTextChar"/>
    <w:uiPriority w:val="99"/>
    <w:qFormat/>
    <w:rsid w:val="004C4A3E"/>
    <w:pPr>
      <w:spacing w:after="120"/>
    </w:pPr>
    <w:rPr>
      <w:rFonts w:eastAsia="Times New Roman"/>
      <w:sz w:val="22"/>
    </w:rPr>
  </w:style>
  <w:style w:type="character" w:customStyle="1" w:styleId="BodyTextChar">
    <w:name w:val="Body Text Char"/>
    <w:basedOn w:val="DefaultParagraphFont"/>
    <w:link w:val="BodyText"/>
    <w:uiPriority w:val="99"/>
    <w:rsid w:val="004C4A3E"/>
    <w:rPr>
      <w:rFonts w:ascii="Times New Roman" w:eastAsia="Times New Roman" w:hAnsi="Times New Roman" w:cs="Times New Roman"/>
      <w:szCs w:val="24"/>
    </w:rPr>
  </w:style>
  <w:style w:type="character" w:customStyle="1" w:styleId="Heading2Char">
    <w:name w:val="Heading 2 Char"/>
    <w:basedOn w:val="DefaultParagraphFont"/>
    <w:link w:val="Heading2"/>
    <w:rsid w:val="0098030D"/>
    <w:rPr>
      <w:rFonts w:ascii="Franklin Gothic Demi" w:eastAsia="Times New Roman" w:hAnsi="Franklin Gothic Demi" w:cs="Arial"/>
      <w:color w:val="AD495D"/>
      <w:kern w:val="28"/>
      <w:sz w:val="24"/>
      <w:szCs w:val="28"/>
    </w:rPr>
  </w:style>
  <w:style w:type="character" w:customStyle="1" w:styleId="Heading3Char">
    <w:name w:val="Heading 3 Char"/>
    <w:basedOn w:val="DefaultParagraphFont"/>
    <w:link w:val="Heading3"/>
    <w:rsid w:val="00535E24"/>
    <w:rPr>
      <w:rFonts w:ascii="Franklin Gothic Medium" w:eastAsia="Times New Roman" w:hAnsi="Franklin Gothic Medium" w:cs="Times New Roman"/>
      <w:color w:val="54534A"/>
      <w:lang w:eastAsia="zh-CN"/>
    </w:rPr>
  </w:style>
  <w:style w:type="character" w:customStyle="1" w:styleId="Heading4Char">
    <w:name w:val="Heading 4 Char"/>
    <w:basedOn w:val="DefaultParagraphFont"/>
    <w:link w:val="Heading4"/>
    <w:rsid w:val="0050529F"/>
    <w:rPr>
      <w:rFonts w:ascii="Times New Roman" w:eastAsia="Times New Roman" w:hAnsi="Times New Roman" w:cs="Times New Roman"/>
      <w:b/>
      <w:color w:val="54534A"/>
    </w:rPr>
  </w:style>
  <w:style w:type="character" w:customStyle="1" w:styleId="Heading5Char">
    <w:name w:val="Heading 5 Char"/>
    <w:basedOn w:val="DefaultParagraphFont"/>
    <w:link w:val="Heading5"/>
    <w:rsid w:val="0050529F"/>
    <w:rPr>
      <w:rFonts w:ascii="Times New Roman" w:eastAsia="Times New Roman" w:hAnsi="Times New Roman" w:cs="Times New Roman"/>
      <w:b/>
      <w:color w:val="54534A"/>
      <w:szCs w:val="24"/>
    </w:rPr>
  </w:style>
  <w:style w:type="character" w:customStyle="1" w:styleId="Heading6Char">
    <w:name w:val="Heading 6 Char"/>
    <w:basedOn w:val="DefaultParagraphFont"/>
    <w:link w:val="Heading6"/>
    <w:rsid w:val="0050529F"/>
    <w:rPr>
      <w:rFonts w:ascii="Times New Roman" w:eastAsia="Times New Roman" w:hAnsi="Times New Roman" w:cs="Times New Roman"/>
      <w:b/>
      <w:kern w:val="28"/>
      <w:sz w:val="24"/>
      <w:szCs w:val="19"/>
    </w:rPr>
  </w:style>
  <w:style w:type="character" w:customStyle="1" w:styleId="Heading7Char">
    <w:name w:val="Heading 7 Char"/>
    <w:basedOn w:val="DefaultParagraphFont"/>
    <w:link w:val="Heading7"/>
    <w:rsid w:val="0050529F"/>
    <w:rPr>
      <w:rFonts w:ascii="Franklin Gothic Demi" w:eastAsia="Times New Roman" w:hAnsi="Franklin Gothic Demi" w:cs="Times New Roman"/>
      <w:color w:val="5A9A98"/>
      <w:sz w:val="28"/>
      <w:szCs w:val="28"/>
    </w:rPr>
  </w:style>
  <w:style w:type="character" w:customStyle="1" w:styleId="Heading8Char">
    <w:name w:val="Heading 8 Char"/>
    <w:basedOn w:val="DefaultParagraphFont"/>
    <w:link w:val="Heading8"/>
    <w:rsid w:val="0050529F"/>
    <w:rPr>
      <w:rFonts w:ascii="Franklin Gothic Medium" w:eastAsia="Times New Roman" w:hAnsi="Franklin Gothic Medium" w:cs="Times New Roman"/>
      <w:color w:val="54534A"/>
    </w:rPr>
  </w:style>
  <w:style w:type="character" w:customStyle="1" w:styleId="Heading9Char">
    <w:name w:val="Heading 9 Char"/>
    <w:basedOn w:val="DefaultParagraphFont"/>
    <w:link w:val="Heading9"/>
    <w:rsid w:val="0050529F"/>
    <w:rPr>
      <w:rFonts w:ascii="Times New Roman" w:eastAsia="Times New Roman" w:hAnsi="Times New Roman" w:cs="Times New Roman"/>
      <w:b/>
      <w:color w:val="54534A"/>
    </w:rPr>
  </w:style>
  <w:style w:type="paragraph" w:styleId="Date">
    <w:name w:val="Date"/>
    <w:basedOn w:val="Normal"/>
    <w:next w:val="BodyText"/>
    <w:link w:val="DateChar"/>
    <w:semiHidden/>
    <w:qFormat/>
    <w:rsid w:val="00EE44C9"/>
    <w:pPr>
      <w:spacing w:before="120" w:after="1000" w:line="380" w:lineRule="atLeast"/>
    </w:pPr>
    <w:rPr>
      <w:rFonts w:ascii="Franklin Gothic Book" w:eastAsia="Times New Roman" w:hAnsi="Franklin Gothic Book"/>
      <w:color w:val="FFFFFF"/>
      <w:spacing w:val="-10"/>
      <w:kern w:val="28"/>
      <w:sz w:val="24"/>
    </w:rPr>
  </w:style>
  <w:style w:type="paragraph" w:customStyle="1" w:styleId="PublicationDate">
    <w:name w:val="Publication Date"/>
    <w:basedOn w:val="Date"/>
    <w:qFormat/>
    <w:rsid w:val="00E31752"/>
    <w:pPr>
      <w:spacing w:after="480"/>
    </w:pPr>
    <w:rPr>
      <w:rFonts w:ascii="Arial" w:hAnsi="Arial"/>
      <w:color w:val="auto"/>
    </w:rPr>
  </w:style>
  <w:style w:type="paragraph" w:customStyle="1" w:styleId="DocStatus">
    <w:name w:val="DocStatus"/>
    <w:basedOn w:val="Normal"/>
    <w:rsid w:val="004C4A3E"/>
    <w:pPr>
      <w:spacing w:before="120" w:after="60"/>
      <w:jc w:val="center"/>
    </w:pPr>
    <w:rPr>
      <w:rFonts w:ascii="Arial" w:eastAsia="Times New Roman" w:hAnsi="Arial"/>
      <w:b/>
      <w:sz w:val="22"/>
      <w:lang w:eastAsia="en-US"/>
    </w:rPr>
  </w:style>
  <w:style w:type="character" w:customStyle="1" w:styleId="DateChar">
    <w:name w:val="Date Char"/>
    <w:basedOn w:val="DefaultParagraphFont"/>
    <w:link w:val="Date"/>
    <w:rsid w:val="00EE44C9"/>
    <w:rPr>
      <w:rFonts w:ascii="Franklin Gothic Book" w:eastAsia="Times New Roman" w:hAnsi="Franklin Gothic Book" w:cs="Times New Roman"/>
      <w:color w:val="FFFFFF"/>
      <w:spacing w:val="-10"/>
      <w:kern w:val="28"/>
      <w:sz w:val="24"/>
      <w:szCs w:val="24"/>
    </w:rPr>
  </w:style>
  <w:style w:type="paragraph" w:styleId="Title">
    <w:name w:val="Title"/>
    <w:basedOn w:val="Normal"/>
    <w:next w:val="Normal"/>
    <w:link w:val="TitleChar"/>
    <w:qFormat/>
    <w:rsid w:val="0097258E"/>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97258E"/>
    <w:rPr>
      <w:rFonts w:ascii="Arial" w:eastAsia="Times New Roman" w:hAnsi="Arial" w:cs="Times New Roman"/>
      <w:color w:val="AD495D"/>
      <w:spacing w:val="-10"/>
      <w:kern w:val="28"/>
      <w:sz w:val="40"/>
      <w:szCs w:val="20"/>
    </w:rPr>
  </w:style>
  <w:style w:type="paragraph" w:styleId="Header">
    <w:name w:val="header"/>
    <w:basedOn w:val="Normal"/>
    <w:link w:val="HeaderChar"/>
    <w:uiPriority w:val="99"/>
    <w:unhideWhenUsed/>
    <w:rsid w:val="0050529F"/>
    <w:pPr>
      <w:tabs>
        <w:tab w:val="center" w:pos="4513"/>
        <w:tab w:val="right" w:pos="9026"/>
      </w:tabs>
    </w:pPr>
  </w:style>
  <w:style w:type="character" w:customStyle="1" w:styleId="HeaderChar">
    <w:name w:val="Header Char"/>
    <w:basedOn w:val="DefaultParagraphFont"/>
    <w:link w:val="Header"/>
    <w:uiPriority w:val="99"/>
    <w:rsid w:val="0050529F"/>
  </w:style>
  <w:style w:type="paragraph" w:styleId="Footer">
    <w:name w:val="footer"/>
    <w:basedOn w:val="Normal"/>
    <w:link w:val="FooterChar"/>
    <w:unhideWhenUsed/>
    <w:rsid w:val="0050529F"/>
    <w:pPr>
      <w:tabs>
        <w:tab w:val="center" w:pos="4513"/>
        <w:tab w:val="right" w:pos="9026"/>
      </w:tabs>
    </w:pPr>
  </w:style>
  <w:style w:type="character" w:customStyle="1" w:styleId="FooterChar">
    <w:name w:val="Footer Char"/>
    <w:basedOn w:val="DefaultParagraphFont"/>
    <w:link w:val="Footer"/>
    <w:uiPriority w:val="99"/>
    <w:rsid w:val="0050529F"/>
  </w:style>
  <w:style w:type="paragraph" w:styleId="Caption">
    <w:name w:val="caption"/>
    <w:basedOn w:val="Normal"/>
    <w:next w:val="BodyText"/>
    <w:link w:val="CaptionChar"/>
    <w:autoRedefine/>
    <w:uiPriority w:val="99"/>
    <w:qFormat/>
    <w:rsid w:val="00F06518"/>
    <w:pPr>
      <w:keepLines/>
      <w:spacing w:before="80" w:after="80" w:line="280" w:lineRule="atLeast"/>
    </w:pPr>
    <w:rPr>
      <w:rFonts w:ascii="Arial" w:eastAsia="Times New Roman" w:hAnsi="Arial" w:cs="Arial"/>
      <w:color w:val="7E6D5F"/>
      <w:szCs w:val="19"/>
    </w:rPr>
  </w:style>
  <w:style w:type="paragraph" w:customStyle="1" w:styleId="Note">
    <w:name w:val="Note"/>
    <w:basedOn w:val="TableTextEntries"/>
    <w:next w:val="Normal"/>
    <w:link w:val="NoteCharChar"/>
    <w:autoRedefine/>
    <w:rsid w:val="00246E5F"/>
    <w:pPr>
      <w:keepNext/>
      <w:spacing w:before="20" w:after="20" w:line="180" w:lineRule="atLeast"/>
    </w:pPr>
    <w:rPr>
      <w:iCs/>
      <w:sz w:val="14"/>
      <w:szCs w:val="14"/>
      <w:lang w:eastAsia="en-AU"/>
    </w:rPr>
  </w:style>
  <w:style w:type="paragraph" w:customStyle="1" w:styleId="TableTextEntries">
    <w:name w:val="Table Text Entries"/>
    <w:basedOn w:val="Normal"/>
    <w:rsid w:val="0050529F"/>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246E5F"/>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4C4A3E"/>
    <w:pPr>
      <w:jc w:val="left"/>
    </w:pPr>
    <w:rPr>
      <w:b/>
    </w:rPr>
  </w:style>
  <w:style w:type="paragraph" w:customStyle="1" w:styleId="NoteNumber">
    <w:name w:val="Note Number"/>
    <w:basedOn w:val="TableTextEntries"/>
    <w:link w:val="NoteNumberCharChar"/>
    <w:rsid w:val="00701FEA"/>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701FEA"/>
    <w:rPr>
      <w:rFonts w:ascii="Times New Roman" w:eastAsia="Times New Roman" w:hAnsi="Times New Roman" w:cs="Times New Roman"/>
      <w:sz w:val="14"/>
      <w:szCs w:val="14"/>
      <w:lang w:eastAsia="en-US"/>
    </w:rPr>
  </w:style>
  <w:style w:type="paragraph" w:customStyle="1" w:styleId="Ratingbullet">
    <w:name w:val="Rating bullet"/>
    <w:basedOn w:val="TableTextEntries"/>
    <w:semiHidden/>
    <w:rsid w:val="0050529F"/>
    <w:pPr>
      <w:jc w:val="center"/>
    </w:pPr>
    <w:rPr>
      <w:sz w:val="22"/>
      <w:szCs w:val="22"/>
    </w:rPr>
  </w:style>
  <w:style w:type="paragraph" w:styleId="ListParagraph">
    <w:name w:val="List Paragraph"/>
    <w:basedOn w:val="BodyText"/>
    <w:uiPriority w:val="99"/>
    <w:qFormat/>
    <w:rsid w:val="00100AA2"/>
    <w:pPr>
      <w:numPr>
        <w:numId w:val="3"/>
      </w:numPr>
    </w:pPr>
  </w:style>
  <w:style w:type="character" w:customStyle="1" w:styleId="DraftingNote">
    <w:name w:val="Drafting Note"/>
    <w:semiHidden/>
    <w:rsid w:val="0050529F"/>
    <w:rPr>
      <w:rFonts w:ascii="Georgia" w:hAnsi="Georgia"/>
      <w:b/>
      <w:color w:val="FF0000"/>
      <w:sz w:val="19"/>
      <w:szCs w:val="19"/>
      <w:u w:val="dotted"/>
    </w:rPr>
  </w:style>
  <w:style w:type="paragraph" w:customStyle="1" w:styleId="Abbreviation">
    <w:name w:val="Abbreviation"/>
    <w:basedOn w:val="BodyText"/>
    <w:rsid w:val="0050529F"/>
    <w:pPr>
      <w:ind w:left="1418" w:hanging="1418"/>
    </w:pPr>
  </w:style>
  <w:style w:type="paragraph" w:customStyle="1" w:styleId="Ratingamber">
    <w:name w:val="Rating amber"/>
    <w:basedOn w:val="Normal"/>
    <w:semiHidden/>
    <w:rsid w:val="0050529F"/>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50529F"/>
    <w:pPr>
      <w:numPr>
        <w:numId w:val="15"/>
      </w:numPr>
    </w:pPr>
  </w:style>
  <w:style w:type="paragraph" w:styleId="ListBullet2">
    <w:name w:val="List Bullet 2"/>
    <w:basedOn w:val="ListBullet"/>
    <w:rsid w:val="0050529F"/>
    <w:pPr>
      <w:numPr>
        <w:numId w:val="13"/>
      </w:numPr>
      <w:ind w:left="568" w:hanging="284"/>
    </w:pPr>
  </w:style>
  <w:style w:type="paragraph" w:styleId="ListNumber">
    <w:name w:val="List Number"/>
    <w:basedOn w:val="ListBullet"/>
    <w:rsid w:val="0050529F"/>
  </w:style>
  <w:style w:type="paragraph" w:styleId="ListNumber2">
    <w:name w:val="List Number 2"/>
    <w:basedOn w:val="ListNumber"/>
    <w:rsid w:val="0050529F"/>
    <w:pPr>
      <w:numPr>
        <w:numId w:val="14"/>
      </w:numPr>
      <w:ind w:left="568" w:hanging="284"/>
    </w:pPr>
  </w:style>
  <w:style w:type="paragraph" w:customStyle="1" w:styleId="Ratinggreen">
    <w:name w:val="Rating green"/>
    <w:basedOn w:val="Ratingamber"/>
    <w:semiHidden/>
    <w:rsid w:val="0050529F"/>
    <w:pPr>
      <w:numPr>
        <w:numId w:val="12"/>
      </w:numPr>
    </w:pPr>
  </w:style>
  <w:style w:type="paragraph" w:customStyle="1" w:styleId="Reference">
    <w:name w:val="Reference"/>
    <w:basedOn w:val="BodyText"/>
    <w:semiHidden/>
    <w:rsid w:val="0050529F"/>
    <w:pPr>
      <w:keepLines/>
      <w:spacing w:before="60" w:after="60" w:line="260" w:lineRule="atLeast"/>
      <w:ind w:left="284" w:hanging="284"/>
    </w:pPr>
    <w:rPr>
      <w:sz w:val="17"/>
      <w:szCs w:val="17"/>
    </w:rPr>
  </w:style>
  <w:style w:type="paragraph" w:customStyle="1" w:styleId="Contents">
    <w:name w:val="Contents"/>
    <w:basedOn w:val="Normal"/>
    <w:next w:val="BodyText"/>
    <w:semiHidden/>
    <w:rsid w:val="0050529F"/>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50529F"/>
    <w:rPr>
      <w:rFonts w:ascii="Franklin Gothic Medium" w:hAnsi="Franklin Gothic Medium"/>
      <w:color w:val="54534A"/>
      <w:sz w:val="14"/>
      <w:szCs w:val="14"/>
    </w:rPr>
  </w:style>
  <w:style w:type="paragraph" w:styleId="TOC1">
    <w:name w:val="toc 1"/>
    <w:basedOn w:val="BodyText"/>
    <w:next w:val="BodyText"/>
    <w:semiHidden/>
    <w:rsid w:val="0050529F"/>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50529F"/>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50529F"/>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50529F"/>
    <w:rPr>
      <w:rFonts w:ascii="Franklin Gothic Book" w:hAnsi="Franklin Gothic Book"/>
      <w:color w:val="auto"/>
      <w:sz w:val="17"/>
      <w:szCs w:val="17"/>
    </w:rPr>
  </w:style>
  <w:style w:type="paragraph" w:customStyle="1" w:styleId="Invisiblepara">
    <w:name w:val="Invisible para"/>
    <w:basedOn w:val="Normal"/>
    <w:semiHidden/>
    <w:rsid w:val="0050529F"/>
    <w:pPr>
      <w:keepNext/>
      <w:spacing w:before="320" w:line="80" w:lineRule="exact"/>
    </w:pPr>
    <w:rPr>
      <w:rFonts w:eastAsia="Times New Roman"/>
      <w:sz w:val="21"/>
      <w:szCs w:val="20"/>
    </w:rPr>
  </w:style>
  <w:style w:type="paragraph" w:customStyle="1" w:styleId="BoxListBullet">
    <w:name w:val="Box List Bullet"/>
    <w:basedOn w:val="BoxText"/>
    <w:rsid w:val="0050529F"/>
    <w:pPr>
      <w:keepLines/>
      <w:numPr>
        <w:numId w:val="7"/>
      </w:numPr>
      <w:tabs>
        <w:tab w:val="clear" w:pos="284"/>
        <w:tab w:val="num" w:pos="454"/>
      </w:tabs>
      <w:spacing w:before="0"/>
      <w:ind w:left="454" w:hanging="227"/>
    </w:pPr>
    <w:rPr>
      <w:szCs w:val="20"/>
    </w:rPr>
  </w:style>
  <w:style w:type="paragraph" w:customStyle="1" w:styleId="BoxText">
    <w:name w:val="Box Text"/>
    <w:basedOn w:val="Normal"/>
    <w:link w:val="BoxTextChar"/>
    <w:autoRedefine/>
    <w:qFormat/>
    <w:rsid w:val="0098404C"/>
    <w:pPr>
      <w:spacing w:before="80" w:after="80" w:line="280" w:lineRule="atLeast"/>
    </w:pPr>
    <w:rPr>
      <w:rFonts w:ascii="Franklin Gothic Book" w:eastAsia="Times New Roman" w:hAnsi="Franklin Gothic Book"/>
      <w:iCs/>
      <w:szCs w:val="22"/>
    </w:rPr>
  </w:style>
  <w:style w:type="character" w:customStyle="1" w:styleId="BoxTextChar">
    <w:name w:val="Box Text Char"/>
    <w:link w:val="BoxText"/>
    <w:rsid w:val="0098404C"/>
    <w:rPr>
      <w:rFonts w:ascii="Franklin Gothic Book" w:eastAsia="Times New Roman" w:hAnsi="Franklin Gothic Book" w:cs="Times New Roman"/>
      <w:iCs/>
      <w:sz w:val="20"/>
    </w:rPr>
  </w:style>
  <w:style w:type="character" w:customStyle="1" w:styleId="NoteLabel">
    <w:name w:val="Note Label"/>
    <w:rsid w:val="00701FEA"/>
    <w:rPr>
      <w:rFonts w:ascii="Times New Roman" w:hAnsi="Times New Roman"/>
      <w:color w:val="auto"/>
      <w:position w:val="4"/>
      <w:sz w:val="14"/>
      <w:szCs w:val="14"/>
    </w:rPr>
  </w:style>
  <w:style w:type="paragraph" w:customStyle="1" w:styleId="Source">
    <w:name w:val="Source"/>
    <w:basedOn w:val="Note"/>
    <w:next w:val="BodyText"/>
    <w:rsid w:val="0050529F"/>
    <w:pPr>
      <w:spacing w:after="240"/>
    </w:pPr>
  </w:style>
  <w:style w:type="paragraph" w:customStyle="1" w:styleId="BoxHeading1">
    <w:name w:val="Box Heading 1"/>
    <w:basedOn w:val="BoxText"/>
    <w:next w:val="BoxText"/>
    <w:rsid w:val="0050529F"/>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50529F"/>
    <w:pPr>
      <w:spacing w:before="140"/>
    </w:pPr>
    <w:rPr>
      <w:rFonts w:ascii="Franklin Gothic Book" w:hAnsi="Franklin Gothic Book"/>
      <w:i/>
      <w:color w:val="auto"/>
    </w:rPr>
  </w:style>
  <w:style w:type="paragraph" w:customStyle="1" w:styleId="TableListBullet">
    <w:name w:val="Table List Bullet"/>
    <w:basedOn w:val="TableTextEntries"/>
    <w:rsid w:val="0050529F"/>
    <w:pPr>
      <w:numPr>
        <w:numId w:val="9"/>
      </w:numPr>
    </w:pPr>
  </w:style>
  <w:style w:type="paragraph" w:styleId="TableofFigures">
    <w:name w:val="table of figures"/>
    <w:basedOn w:val="BodyText"/>
    <w:next w:val="BodyText"/>
    <w:semiHidden/>
    <w:rsid w:val="0050529F"/>
    <w:pPr>
      <w:tabs>
        <w:tab w:val="left" w:pos="1077"/>
        <w:tab w:val="right" w:pos="8505"/>
      </w:tabs>
      <w:spacing w:before="60" w:line="260" w:lineRule="atLeast"/>
      <w:ind w:left="1077" w:right="567" w:hanging="1077"/>
    </w:pPr>
  </w:style>
  <w:style w:type="paragraph" w:styleId="TOC3">
    <w:name w:val="toc 3"/>
    <w:basedOn w:val="TOC2"/>
    <w:next w:val="BodyText"/>
    <w:semiHidden/>
    <w:rsid w:val="0050529F"/>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50529F"/>
    <w:pPr>
      <w:jc w:val="right"/>
    </w:pPr>
  </w:style>
  <w:style w:type="paragraph" w:customStyle="1" w:styleId="Recommendation">
    <w:name w:val="Recommendation"/>
    <w:basedOn w:val="BodyText"/>
    <w:next w:val="BodyText"/>
    <w:semiHidden/>
    <w:rsid w:val="0050529F"/>
    <w:pPr>
      <w:tabs>
        <w:tab w:val="left" w:pos="284"/>
      </w:tabs>
      <w:ind w:left="284" w:hanging="284"/>
    </w:pPr>
    <w:rPr>
      <w:rFonts w:eastAsia="MS Mincho" w:cs="MS Mincho"/>
      <w:b/>
    </w:rPr>
  </w:style>
  <w:style w:type="paragraph" w:styleId="TOC6">
    <w:name w:val="toc 6"/>
    <w:basedOn w:val="BodyText"/>
    <w:next w:val="BodyText"/>
    <w:semiHidden/>
    <w:rsid w:val="0050529F"/>
    <w:pPr>
      <w:tabs>
        <w:tab w:val="left" w:pos="284"/>
        <w:tab w:val="right" w:pos="8222"/>
      </w:tabs>
      <w:ind w:left="284" w:right="567" w:hanging="284"/>
    </w:pPr>
  </w:style>
  <w:style w:type="character" w:styleId="CommentReference">
    <w:name w:val="annotation reference"/>
    <w:semiHidden/>
    <w:rsid w:val="0050529F"/>
    <w:rPr>
      <w:rFonts w:ascii="Franklin Gothic Medium" w:hAnsi="Franklin Gothic Medium"/>
      <w:vanish/>
      <w:color w:val="FF00FF"/>
      <w:sz w:val="16"/>
      <w:szCs w:val="16"/>
    </w:rPr>
  </w:style>
  <w:style w:type="paragraph" w:styleId="CommentText">
    <w:name w:val="annotation text"/>
    <w:basedOn w:val="BodyText"/>
    <w:link w:val="CommentTextChar"/>
    <w:semiHidden/>
    <w:rsid w:val="0050529F"/>
    <w:pPr>
      <w:spacing w:line="240" w:lineRule="atLeast"/>
    </w:pPr>
    <w:rPr>
      <w:rFonts w:ascii="Calibri" w:hAnsi="Calibri"/>
      <w:sz w:val="18"/>
      <w:szCs w:val="18"/>
    </w:rPr>
  </w:style>
  <w:style w:type="character" w:customStyle="1" w:styleId="CommentTextChar">
    <w:name w:val="Comment Text Char"/>
    <w:basedOn w:val="DefaultParagraphFont"/>
    <w:link w:val="CommentText"/>
    <w:semiHidden/>
    <w:rsid w:val="0050529F"/>
    <w:rPr>
      <w:rFonts w:ascii="Calibri" w:eastAsia="Times New Roman" w:hAnsi="Calibri" w:cs="Times New Roman"/>
      <w:sz w:val="18"/>
      <w:szCs w:val="18"/>
    </w:rPr>
  </w:style>
  <w:style w:type="character" w:styleId="Hyperlink">
    <w:name w:val="Hyperlink"/>
    <w:rsid w:val="0050529F"/>
    <w:rPr>
      <w:color w:val="00467F"/>
      <w:sz w:val="20"/>
      <w:szCs w:val="20"/>
      <w:u w:val="none"/>
    </w:rPr>
  </w:style>
  <w:style w:type="paragraph" w:customStyle="1" w:styleId="ChartText">
    <w:name w:val="Chart Text"/>
    <w:basedOn w:val="BodyText"/>
    <w:semiHidden/>
    <w:rsid w:val="0050529F"/>
    <w:pPr>
      <w:spacing w:before="100" w:line="190" w:lineRule="exact"/>
    </w:pPr>
    <w:rPr>
      <w:rFonts w:ascii="Arial" w:hAnsi="Arial"/>
      <w:sz w:val="17"/>
    </w:rPr>
  </w:style>
  <w:style w:type="paragraph" w:customStyle="1" w:styleId="ChartBoldText">
    <w:name w:val="Chart Bold Text"/>
    <w:basedOn w:val="ChartText"/>
    <w:next w:val="ChartText"/>
    <w:semiHidden/>
    <w:rsid w:val="0050529F"/>
    <w:pPr>
      <w:spacing w:before="0"/>
      <w:jc w:val="center"/>
    </w:pPr>
    <w:rPr>
      <w:rFonts w:ascii="Arial Bold" w:hAnsi="Arial Bold"/>
      <w:b/>
      <w:color w:val="073771"/>
      <w:szCs w:val="17"/>
    </w:rPr>
  </w:style>
  <w:style w:type="paragraph" w:customStyle="1" w:styleId="ChartHighlight">
    <w:name w:val="Chart Highlight"/>
    <w:basedOn w:val="ChartBoldText"/>
    <w:semiHidden/>
    <w:rsid w:val="0050529F"/>
    <w:pPr>
      <w:spacing w:line="210" w:lineRule="exact"/>
    </w:pPr>
    <w:rPr>
      <w:caps/>
      <w:sz w:val="19"/>
    </w:rPr>
  </w:style>
  <w:style w:type="paragraph" w:customStyle="1" w:styleId="ChartListBullet">
    <w:name w:val="Chart List Bullet"/>
    <w:basedOn w:val="TableListBullet"/>
    <w:semiHidden/>
    <w:rsid w:val="0050529F"/>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50529F"/>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50529F"/>
    <w:pPr>
      <w:tabs>
        <w:tab w:val="num" w:pos="227"/>
      </w:tabs>
      <w:spacing w:before="60"/>
      <w:ind w:left="227" w:hanging="227"/>
    </w:pPr>
  </w:style>
  <w:style w:type="paragraph" w:styleId="TOC7">
    <w:name w:val="toc 7"/>
    <w:basedOn w:val="TOC1"/>
    <w:next w:val="TOC1"/>
    <w:semiHidden/>
    <w:rsid w:val="0050529F"/>
    <w:pPr>
      <w:tabs>
        <w:tab w:val="left" w:pos="1418"/>
      </w:tabs>
      <w:ind w:left="1418" w:hanging="1418"/>
    </w:pPr>
  </w:style>
  <w:style w:type="paragraph" w:customStyle="1" w:styleId="Author">
    <w:name w:val="Author"/>
    <w:basedOn w:val="Date"/>
    <w:next w:val="Position"/>
    <w:link w:val="AuthorCharChar"/>
    <w:semiHidden/>
    <w:rsid w:val="0050529F"/>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50529F"/>
    <w:pPr>
      <w:spacing w:before="0"/>
    </w:pPr>
    <w:rPr>
      <w:rFonts w:ascii="Franklin Gothic Book" w:hAnsi="Franklin Gothic Book"/>
    </w:rPr>
  </w:style>
  <w:style w:type="character" w:customStyle="1" w:styleId="PositionCharChar">
    <w:name w:val="Position Char Char"/>
    <w:link w:val="Position"/>
    <w:rsid w:val="0050529F"/>
    <w:rPr>
      <w:rFonts w:ascii="Franklin Gothic Book" w:eastAsia="Times New Roman" w:hAnsi="Franklin Gothic Book" w:cs="Times New Roman"/>
      <w:spacing w:val="-2"/>
      <w:kern w:val="28"/>
      <w:sz w:val="20"/>
      <w:szCs w:val="20"/>
    </w:rPr>
  </w:style>
  <w:style w:type="character" w:customStyle="1" w:styleId="AuthorCharChar">
    <w:name w:val="Author Char Char"/>
    <w:link w:val="Author"/>
    <w:rsid w:val="0050529F"/>
    <w:rPr>
      <w:rFonts w:ascii="Franklin Gothic Medium" w:eastAsia="Times New Roman" w:hAnsi="Franklin Gothic Medium" w:cs="Times New Roman"/>
      <w:spacing w:val="-2"/>
      <w:kern w:val="28"/>
      <w:sz w:val="20"/>
      <w:szCs w:val="20"/>
    </w:rPr>
  </w:style>
  <w:style w:type="paragraph" w:customStyle="1" w:styleId="Client">
    <w:name w:val="Client"/>
    <w:basedOn w:val="Author"/>
    <w:semiHidden/>
    <w:rsid w:val="0050529F"/>
  </w:style>
  <w:style w:type="paragraph" w:customStyle="1" w:styleId="TableHeading1">
    <w:name w:val="Table Heading 1"/>
    <w:basedOn w:val="TableTextEntries"/>
    <w:next w:val="TableTextEntries"/>
    <w:rsid w:val="0050529F"/>
    <w:pPr>
      <w:spacing w:before="80" w:after="80"/>
    </w:pPr>
    <w:rPr>
      <w:rFonts w:ascii="Franklin Gothic Medium" w:hAnsi="Franklin Gothic Medium"/>
    </w:rPr>
  </w:style>
  <w:style w:type="paragraph" w:customStyle="1" w:styleId="TableHeading2">
    <w:name w:val="Table Heading 2"/>
    <w:basedOn w:val="TableHeading1"/>
    <w:next w:val="TableTextEntries"/>
    <w:rsid w:val="0050529F"/>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50529F"/>
    <w:pPr>
      <w:numPr>
        <w:numId w:val="10"/>
      </w:numPr>
    </w:pPr>
  </w:style>
  <w:style w:type="character" w:customStyle="1" w:styleId="TableListBullet2CharChar">
    <w:name w:val="Table List Bullet 2 Char Char"/>
    <w:link w:val="TableListBullet2"/>
    <w:rsid w:val="0050529F"/>
    <w:rPr>
      <w:rFonts w:ascii="Franklin Gothic Book" w:eastAsia="Times New Roman" w:hAnsi="Franklin Gothic Book" w:cs="Times New Roman"/>
      <w:sz w:val="17"/>
      <w:szCs w:val="17"/>
      <w:lang w:eastAsia="en-US"/>
    </w:rPr>
  </w:style>
  <w:style w:type="paragraph" w:customStyle="1" w:styleId="TableListNumber">
    <w:name w:val="Table List Number"/>
    <w:basedOn w:val="TableTextEntries"/>
    <w:rsid w:val="0050529F"/>
    <w:pPr>
      <w:numPr>
        <w:numId w:val="4"/>
      </w:numPr>
    </w:pPr>
  </w:style>
  <w:style w:type="paragraph" w:customStyle="1" w:styleId="TableListNumber2">
    <w:name w:val="Table List Number 2"/>
    <w:basedOn w:val="TableListNumber"/>
    <w:rsid w:val="0050529F"/>
    <w:pPr>
      <w:numPr>
        <w:numId w:val="5"/>
      </w:numPr>
    </w:pPr>
  </w:style>
  <w:style w:type="paragraph" w:customStyle="1" w:styleId="TableUnit">
    <w:name w:val="Table Unit"/>
    <w:basedOn w:val="TableDataColumnHeading"/>
    <w:next w:val="TableDataEntries"/>
    <w:semiHidden/>
    <w:rsid w:val="0050529F"/>
    <w:pPr>
      <w:keepNext/>
    </w:pPr>
    <w:rPr>
      <w:rFonts w:ascii="Franklin Gothic Book" w:hAnsi="Franklin Gothic Book"/>
    </w:rPr>
  </w:style>
  <w:style w:type="character" w:styleId="FollowedHyperlink">
    <w:name w:val="FollowedHyperlink"/>
    <w:semiHidden/>
    <w:rsid w:val="0050529F"/>
    <w:rPr>
      <w:color w:val="333399"/>
      <w:u w:val="none"/>
    </w:rPr>
  </w:style>
  <w:style w:type="paragraph" w:customStyle="1" w:styleId="Blurb">
    <w:name w:val="Blurb"/>
    <w:basedOn w:val="Caption"/>
    <w:semiHidden/>
    <w:rsid w:val="0050529F"/>
    <w:pPr>
      <w:spacing w:before="180" w:after="0"/>
    </w:pPr>
    <w:rPr>
      <w:color w:val="FFFFFF"/>
    </w:rPr>
  </w:style>
  <w:style w:type="paragraph" w:customStyle="1" w:styleId="Figure">
    <w:name w:val="Figure"/>
    <w:basedOn w:val="BodyText"/>
    <w:next w:val="BodyText"/>
    <w:semiHidden/>
    <w:rsid w:val="0050529F"/>
    <w:pPr>
      <w:spacing w:line="200" w:lineRule="atLeast"/>
    </w:pPr>
    <w:rPr>
      <w:sz w:val="18"/>
      <w:szCs w:val="18"/>
    </w:rPr>
  </w:style>
  <w:style w:type="paragraph" w:customStyle="1" w:styleId="BoxListBullet2">
    <w:name w:val="Box List Bullet 2"/>
    <w:basedOn w:val="BoxListBullet"/>
    <w:rsid w:val="0050529F"/>
    <w:pPr>
      <w:numPr>
        <w:numId w:val="6"/>
      </w:numPr>
      <w:tabs>
        <w:tab w:val="clear" w:pos="567"/>
        <w:tab w:val="num" w:pos="227"/>
      </w:tabs>
      <w:ind w:left="227" w:hanging="227"/>
    </w:pPr>
    <w:rPr>
      <w:szCs w:val="18"/>
    </w:rPr>
  </w:style>
  <w:style w:type="paragraph" w:customStyle="1" w:styleId="BoxListNumber">
    <w:name w:val="Box List Number"/>
    <w:basedOn w:val="BoxText"/>
    <w:rsid w:val="0050529F"/>
    <w:pPr>
      <w:numPr>
        <w:numId w:val="8"/>
      </w:numPr>
      <w:tabs>
        <w:tab w:val="clear" w:pos="284"/>
        <w:tab w:val="num" w:pos="567"/>
      </w:tabs>
      <w:spacing w:before="0"/>
      <w:ind w:left="567" w:hanging="283"/>
    </w:pPr>
  </w:style>
  <w:style w:type="paragraph" w:customStyle="1" w:styleId="BoxListNumber2">
    <w:name w:val="Box List Number 2"/>
    <w:basedOn w:val="BoxListNumber"/>
    <w:rsid w:val="0050529F"/>
    <w:pPr>
      <w:tabs>
        <w:tab w:val="clear" w:pos="567"/>
      </w:tabs>
      <w:ind w:left="68" w:hanging="360"/>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before="0" w:line="240" w:lineRule="atLeast"/>
      <w:ind w:left="284"/>
    </w:pPr>
    <w:rPr>
      <w:sz w:val="16"/>
      <w:szCs w:val="16"/>
    </w:rPr>
  </w:style>
  <w:style w:type="paragraph" w:customStyle="1" w:styleId="Appendix">
    <w:name w:val="Appendix"/>
    <w:basedOn w:val="Normal"/>
    <w:semiHidden/>
    <w:rsid w:val="0050529F"/>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50529F"/>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50529F"/>
  </w:style>
  <w:style w:type="paragraph" w:styleId="CommentSubject">
    <w:name w:val="annotation subject"/>
    <w:basedOn w:val="CommentText"/>
    <w:next w:val="CommentText"/>
    <w:link w:val="CommentSubjectChar"/>
    <w:semiHidden/>
    <w:rsid w:val="0050529F"/>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rsid w:val="005052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50529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0529F"/>
    <w:rPr>
      <w:rFonts w:ascii="Tahoma" w:eastAsia="Times New Roman" w:hAnsi="Tahoma" w:cs="Tahoma"/>
      <w:sz w:val="16"/>
      <w:szCs w:val="16"/>
    </w:rPr>
  </w:style>
  <w:style w:type="paragraph" w:customStyle="1" w:styleId="Rating">
    <w:name w:val="Rating"/>
    <w:basedOn w:val="BodyText"/>
    <w:next w:val="BodyText"/>
    <w:semiHidden/>
    <w:rsid w:val="0050529F"/>
    <w:pPr>
      <w:tabs>
        <w:tab w:val="left" w:pos="567"/>
      </w:tabs>
    </w:pPr>
  </w:style>
  <w:style w:type="paragraph" w:customStyle="1" w:styleId="GuidanceText">
    <w:name w:val="Guidance Text"/>
    <w:basedOn w:val="BodyText"/>
    <w:rsid w:val="0050529F"/>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50529F"/>
    <w:pPr>
      <w:spacing w:before="120"/>
    </w:pPr>
    <w:rPr>
      <w:rFonts w:ascii="Arial" w:eastAsia="Times New Roman" w:hAnsi="Arial" w:cs="Arial"/>
      <w:lang w:eastAsia="en-US"/>
    </w:rPr>
  </w:style>
  <w:style w:type="character" w:customStyle="1" w:styleId="List-bullet-1Char">
    <w:name w:val="List-bullet-1 Char"/>
    <w:link w:val="List-bullet-1"/>
    <w:rsid w:val="0050529F"/>
    <w:rPr>
      <w:rFonts w:ascii="Arial" w:eastAsia="Times New Roman" w:hAnsi="Arial" w:cs="Arial"/>
      <w:sz w:val="20"/>
      <w:lang w:eastAsia="en-US"/>
    </w:r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4C4A3E"/>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Quote">
    <w:name w:val="Quote"/>
    <w:basedOn w:val="BodyText"/>
    <w:next w:val="BodyText"/>
    <w:link w:val="QuoteChar"/>
    <w:qFormat/>
    <w:rsid w:val="002A1935"/>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2A1935"/>
    <w:rPr>
      <w:rFonts w:ascii="Georgia" w:eastAsia="Times New Roman" w:hAnsi="Georgia" w:cs="Times New Roman"/>
      <w:sz w:val="17"/>
      <w:szCs w:val="17"/>
    </w:rPr>
  </w:style>
  <w:style w:type="paragraph" w:customStyle="1" w:styleId="List-number-2">
    <w:name w:val="List-number-2"/>
    <w:basedOn w:val="Normal"/>
    <w:rsid w:val="002A1935"/>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2A1935"/>
    <w:pPr>
      <w:numPr>
        <w:numId w:val="16"/>
      </w:numPr>
      <w:spacing w:before="120"/>
    </w:pPr>
    <w:rPr>
      <w:rFonts w:ascii="Arial" w:eastAsia="Times New Roman" w:hAnsi="Arial"/>
      <w:lang w:eastAsia="en-US"/>
    </w:rPr>
  </w:style>
  <w:style w:type="character" w:customStyle="1" w:styleId="List-number-1Char">
    <w:name w:val="List-number-1 Char"/>
    <w:link w:val="List-number-1"/>
    <w:rsid w:val="002A1935"/>
    <w:rPr>
      <w:rFonts w:ascii="Arial" w:eastAsia="Times New Roman" w:hAnsi="Arial" w:cs="Times New Roman"/>
      <w:sz w:val="20"/>
      <w:szCs w:val="24"/>
      <w:lang w:eastAsia="en-US"/>
    </w:rPr>
  </w:style>
  <w:style w:type="paragraph" w:styleId="ListNumber3">
    <w:name w:val="List Number 3"/>
    <w:basedOn w:val="Normal"/>
    <w:rsid w:val="002A1935"/>
    <w:pPr>
      <w:numPr>
        <w:numId w:val="17"/>
      </w:numPr>
      <w:spacing w:after="120" w:line="220" w:lineRule="exact"/>
    </w:pPr>
    <w:rPr>
      <w:rFonts w:ascii="Arial" w:eastAsia="Times New Roman" w:hAnsi="Arial"/>
      <w:sz w:val="18"/>
    </w:rPr>
  </w:style>
  <w:style w:type="paragraph" w:customStyle="1" w:styleId="Issue">
    <w:name w:val="Issue"/>
    <w:basedOn w:val="Normal"/>
    <w:rsid w:val="002A1935"/>
    <w:pPr>
      <w:spacing w:before="120" w:after="100" w:afterAutospacing="1"/>
    </w:pPr>
    <w:rPr>
      <w:rFonts w:eastAsia="Times New Roman"/>
      <w:i/>
      <w:sz w:val="24"/>
      <w:lang w:val="en-GB" w:eastAsia="zh-CN"/>
    </w:rPr>
  </w:style>
  <w:style w:type="paragraph" w:styleId="EndnoteText">
    <w:name w:val="endnote text"/>
    <w:basedOn w:val="Normal"/>
    <w:link w:val="EndnoteTextChar"/>
    <w:rsid w:val="002A1935"/>
    <w:rPr>
      <w:rFonts w:eastAsia="Times New Roman"/>
      <w:szCs w:val="20"/>
    </w:rPr>
  </w:style>
  <w:style w:type="character" w:customStyle="1" w:styleId="EndnoteTextChar">
    <w:name w:val="Endnote Text Char"/>
    <w:basedOn w:val="DefaultParagraphFont"/>
    <w:link w:val="EndnoteText"/>
    <w:rsid w:val="002A1935"/>
    <w:rPr>
      <w:rFonts w:ascii="Times New Roman" w:eastAsia="Times New Roman" w:hAnsi="Times New Roman" w:cs="Times New Roman"/>
      <w:sz w:val="20"/>
      <w:szCs w:val="20"/>
    </w:rPr>
  </w:style>
  <w:style w:type="character" w:styleId="EndnoteReference">
    <w:name w:val="endnote reference"/>
    <w:rsid w:val="002A1935"/>
    <w:rPr>
      <w:vertAlign w:val="superscript"/>
    </w:rPr>
  </w:style>
  <w:style w:type="numbering" w:customStyle="1" w:styleId="StyleBulletedSymbolsymbol95ptLeft063cmHanging">
    <w:name w:val="Style Bulleted Symbol (symbol) 9.5 pt Left:  0.63 cm Hanging:  ..."/>
    <w:basedOn w:val="NoList"/>
    <w:rsid w:val="002A1935"/>
    <w:pPr>
      <w:numPr>
        <w:numId w:val="18"/>
      </w:numPr>
    </w:pPr>
  </w:style>
  <w:style w:type="character" w:customStyle="1" w:styleId="CaptionChar">
    <w:name w:val="Caption Char"/>
    <w:link w:val="Caption"/>
    <w:uiPriority w:val="99"/>
    <w:locked/>
    <w:rsid w:val="00F06518"/>
    <w:rPr>
      <w:rFonts w:ascii="Arial" w:eastAsia="Times New Roman" w:hAnsi="Arial" w:cs="Arial"/>
      <w:color w:val="7E6D5F"/>
      <w:sz w:val="20"/>
      <w:szCs w:val="19"/>
    </w:rPr>
  </w:style>
  <w:style w:type="paragraph" w:customStyle="1" w:styleId="list-number-10">
    <w:name w:val="list-number-1"/>
    <w:basedOn w:val="Normal"/>
    <w:rsid w:val="001612CE"/>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98404C"/>
    <w:pPr>
      <w:spacing w:after="0"/>
      <w:contextualSpacing/>
    </w:pPr>
    <w:rPr>
      <w:sz w:val="16"/>
      <w:szCs w:val="20"/>
    </w:rPr>
  </w:style>
  <w:style w:type="character" w:customStyle="1" w:styleId="FootnoteTextChar">
    <w:name w:val="Footnote Text Char"/>
    <w:basedOn w:val="DefaultParagraphFont"/>
    <w:link w:val="FootnoteText"/>
    <w:uiPriority w:val="99"/>
    <w:rsid w:val="0098404C"/>
    <w:rPr>
      <w:rFonts w:ascii="Times New Roman" w:eastAsia="Times New Roman" w:hAnsi="Times New Roman" w:cs="Times New Roman"/>
      <w:sz w:val="16"/>
      <w:szCs w:val="20"/>
    </w:rPr>
  </w:style>
  <w:style w:type="character" w:styleId="FootnoteReference">
    <w:name w:val="footnote reference"/>
    <w:uiPriority w:val="99"/>
    <w:rsid w:val="00F77E6A"/>
    <w:rPr>
      <w:rFonts w:ascii="Times New Roman" w:hAnsi="Times New Roman"/>
      <w:w w:val="100"/>
      <w:position w:val="6"/>
      <w:sz w:val="16"/>
      <w:szCs w:val="1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2511">
      <w:bodyDiv w:val="1"/>
      <w:marLeft w:val="0"/>
      <w:marRight w:val="0"/>
      <w:marTop w:val="0"/>
      <w:marBottom w:val="0"/>
      <w:divBdr>
        <w:top w:val="none" w:sz="0" w:space="0" w:color="auto"/>
        <w:left w:val="none" w:sz="0" w:space="0" w:color="auto"/>
        <w:bottom w:val="none" w:sz="0" w:space="0" w:color="auto"/>
        <w:right w:val="none" w:sz="0" w:space="0" w:color="auto"/>
      </w:divBdr>
    </w:div>
    <w:div w:id="1117679956">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49603042">
      <w:bodyDiv w:val="1"/>
      <w:marLeft w:val="0"/>
      <w:marRight w:val="0"/>
      <w:marTop w:val="0"/>
      <w:marBottom w:val="0"/>
      <w:divBdr>
        <w:top w:val="none" w:sz="0" w:space="0" w:color="auto"/>
        <w:left w:val="none" w:sz="0" w:space="0" w:color="auto"/>
        <w:bottom w:val="none" w:sz="0" w:space="0" w:color="auto"/>
        <w:right w:val="none" w:sz="0" w:space="0" w:color="auto"/>
      </w:divBdr>
    </w:div>
    <w:div w:id="1379478507">
      <w:bodyDiv w:val="1"/>
      <w:marLeft w:val="0"/>
      <w:marRight w:val="0"/>
      <w:marTop w:val="0"/>
      <w:marBottom w:val="0"/>
      <w:divBdr>
        <w:top w:val="none" w:sz="0" w:space="0" w:color="auto"/>
        <w:left w:val="none" w:sz="0" w:space="0" w:color="auto"/>
        <w:bottom w:val="none" w:sz="0" w:space="0" w:color="auto"/>
        <w:right w:val="none" w:sz="0" w:space="0" w:color="auto"/>
      </w:divBdr>
    </w:div>
    <w:div w:id="1393842965">
      <w:bodyDiv w:val="1"/>
      <w:marLeft w:val="0"/>
      <w:marRight w:val="0"/>
      <w:marTop w:val="0"/>
      <w:marBottom w:val="0"/>
      <w:divBdr>
        <w:top w:val="none" w:sz="0" w:space="0" w:color="auto"/>
        <w:left w:val="none" w:sz="0" w:space="0" w:color="auto"/>
        <w:bottom w:val="none" w:sz="0" w:space="0" w:color="auto"/>
        <w:right w:val="none" w:sz="0" w:space="0" w:color="auto"/>
      </w:divBdr>
    </w:div>
    <w:div w:id="1814325164">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data.worldbank.org/data-catalog/world-development-indicators" TargetMode="External"/><Relationship Id="rId1" Type="http://schemas.openxmlformats.org/officeDocument/2006/relationships/hyperlink" Target="http://dfat.gov.au/geo/vanuatu/vanuatu_brie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41B36C-BA51-41AD-9E1B-45887606BE5E}"/>
</file>

<file path=customXml/itemProps2.xml><?xml version="1.0" encoding="utf-8"?>
<ds:datastoreItem xmlns:ds="http://schemas.openxmlformats.org/officeDocument/2006/customXml" ds:itemID="{48809F30-59F9-46F2-A9D9-E14201BE10B7}"/>
</file>

<file path=customXml/itemProps3.xml><?xml version="1.0" encoding="utf-8"?>
<ds:datastoreItem xmlns:ds="http://schemas.openxmlformats.org/officeDocument/2006/customXml" ds:itemID="{941BEFFC-5919-405F-9CF2-4ED9A02C21A1}"/>
</file>

<file path=customXml/itemProps4.xml><?xml version="1.0" encoding="utf-8"?>
<ds:datastoreItem xmlns:ds="http://schemas.openxmlformats.org/officeDocument/2006/customXml" ds:itemID="{C186C978-3FFC-4A3F-A20E-2AF3B930B2EA}"/>
</file>

<file path=docProps/app.xml><?xml version="1.0" encoding="utf-8"?>
<Properties xmlns="http://schemas.openxmlformats.org/officeDocument/2006/extended-properties" xmlns:vt="http://schemas.openxmlformats.org/officeDocument/2006/docPropsVTypes">
  <Template>Normal.dotm</Template>
  <TotalTime>0</TotalTime>
  <Pages>24</Pages>
  <Words>9682</Words>
  <Characters>55190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2014-01-30T02:43:00Z</dcterms:created>
  <dcterms:modified xsi:type="dcterms:W3CDTF">2014-01-30T02:50:00Z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314500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