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180A" w14:textId="46591101" w:rsidR="00EF6F30" w:rsidRPr="00541517" w:rsidRDefault="00DB4456" w:rsidP="00DB4456">
      <w:pPr>
        <w:pStyle w:val="Heading1"/>
        <w:rPr>
          <w:b/>
          <w:bCs/>
          <w:color w:val="C00000"/>
          <w:sz w:val="32"/>
          <w:szCs w:val="32"/>
        </w:rPr>
      </w:pPr>
      <w:r w:rsidRPr="00541517">
        <w:rPr>
          <w:b/>
          <w:bCs/>
          <w:color w:val="C00000"/>
          <w:sz w:val="32"/>
          <w:szCs w:val="32"/>
        </w:rPr>
        <w:t xml:space="preserve">DFAT Management Response: </w:t>
      </w:r>
      <w:r w:rsidR="00EF6F30" w:rsidRPr="00541517">
        <w:rPr>
          <w:b/>
          <w:bCs/>
          <w:color w:val="C00000"/>
          <w:sz w:val="32"/>
          <w:szCs w:val="32"/>
        </w:rPr>
        <w:t xml:space="preserve">Independent Evaluation of </w:t>
      </w:r>
      <w:r w:rsidR="0080366D" w:rsidRPr="00541517">
        <w:rPr>
          <w:b/>
          <w:bCs/>
          <w:color w:val="C00000"/>
          <w:sz w:val="32"/>
          <w:szCs w:val="32"/>
        </w:rPr>
        <w:t>VAHSI</w:t>
      </w:r>
    </w:p>
    <w:p w14:paraId="14510D86" w14:textId="3841A001" w:rsidR="00385D8A" w:rsidRPr="00541517" w:rsidRDefault="00385D8A" w:rsidP="00385D8A">
      <w:pPr>
        <w:pStyle w:val="Heading2"/>
        <w:rPr>
          <w:color w:val="C00000"/>
        </w:rPr>
      </w:pPr>
      <w:r w:rsidRPr="00541517">
        <w:rPr>
          <w:color w:val="C00000"/>
        </w:rPr>
        <w:t>Background</w:t>
      </w:r>
    </w:p>
    <w:p w14:paraId="5D9BC33F" w14:textId="2D5EC428" w:rsidR="00945488" w:rsidRPr="00DA6D91" w:rsidRDefault="00945488" w:rsidP="00FF3249">
      <w:pPr>
        <w:jc w:val="both"/>
        <w:rPr>
          <w:sz w:val="20"/>
          <w:szCs w:val="20"/>
        </w:rPr>
      </w:pPr>
      <w:r w:rsidRPr="35D70B4B">
        <w:rPr>
          <w:sz w:val="20"/>
          <w:szCs w:val="20"/>
        </w:rPr>
        <w:t>The Vaccine Access and Health Security Initiative (VAHSI)</w:t>
      </w:r>
      <w:r w:rsidR="00942779" w:rsidRPr="35D70B4B">
        <w:rPr>
          <w:sz w:val="20"/>
          <w:szCs w:val="20"/>
        </w:rPr>
        <w:t xml:space="preserve"> </w:t>
      </w:r>
      <w:r w:rsidR="00C851B9" w:rsidRPr="35D70B4B">
        <w:rPr>
          <w:sz w:val="20"/>
          <w:szCs w:val="20"/>
        </w:rPr>
        <w:t>was</w:t>
      </w:r>
      <w:r w:rsidR="00942779" w:rsidRPr="35D70B4B">
        <w:rPr>
          <w:sz w:val="20"/>
          <w:szCs w:val="20"/>
        </w:rPr>
        <w:t xml:space="preserve"> designed to support equitable and inclusive access to</w:t>
      </w:r>
      <w:r w:rsidR="00A61B70" w:rsidRPr="35D70B4B">
        <w:rPr>
          <w:sz w:val="20"/>
          <w:szCs w:val="20"/>
        </w:rPr>
        <w:t xml:space="preserve"> safe and effective</w:t>
      </w:r>
      <w:r w:rsidR="00942779" w:rsidRPr="35D70B4B">
        <w:rPr>
          <w:sz w:val="20"/>
          <w:szCs w:val="20"/>
        </w:rPr>
        <w:t xml:space="preserve"> COVID-19 vaccines tailored to need and supported by Australian technical expertise.</w:t>
      </w:r>
      <w:r w:rsidR="00FF3249" w:rsidRPr="35D70B4B">
        <w:rPr>
          <w:sz w:val="20"/>
          <w:szCs w:val="20"/>
        </w:rPr>
        <w:t xml:space="preserve"> </w:t>
      </w:r>
      <w:r w:rsidR="00CB3093" w:rsidRPr="35D70B4B">
        <w:rPr>
          <w:sz w:val="20"/>
          <w:szCs w:val="20"/>
        </w:rPr>
        <w:t>The Australian Government committed a</w:t>
      </w:r>
      <w:r w:rsidR="00B71BC6" w:rsidRPr="35D70B4B">
        <w:rPr>
          <w:sz w:val="20"/>
          <w:szCs w:val="20"/>
        </w:rPr>
        <w:t xml:space="preserve"> total of AUD6</w:t>
      </w:r>
      <w:r w:rsidR="00F74790">
        <w:rPr>
          <w:sz w:val="20"/>
          <w:szCs w:val="20"/>
        </w:rPr>
        <w:t>42.4</w:t>
      </w:r>
      <w:r w:rsidR="00B71BC6" w:rsidRPr="35D70B4B">
        <w:rPr>
          <w:sz w:val="20"/>
          <w:szCs w:val="20"/>
        </w:rPr>
        <w:t xml:space="preserve"> million </w:t>
      </w:r>
      <w:r w:rsidR="004D615E" w:rsidRPr="35D70B4B">
        <w:rPr>
          <w:sz w:val="20"/>
          <w:szCs w:val="20"/>
        </w:rPr>
        <w:t xml:space="preserve">to VAHSI </w:t>
      </w:r>
      <w:r w:rsidR="00C35B93">
        <w:rPr>
          <w:sz w:val="20"/>
          <w:szCs w:val="20"/>
        </w:rPr>
        <w:t>and co-programmed support delivered as part of Australia’s contribution to the Quad Vaccine Partnership</w:t>
      </w:r>
      <w:r w:rsidR="00F74790">
        <w:rPr>
          <w:sz w:val="20"/>
          <w:szCs w:val="20"/>
        </w:rPr>
        <w:t xml:space="preserve"> and bilateral </w:t>
      </w:r>
      <w:r w:rsidR="00AD3699">
        <w:rPr>
          <w:sz w:val="20"/>
          <w:szCs w:val="20"/>
        </w:rPr>
        <w:t>programming</w:t>
      </w:r>
      <w:r w:rsidR="00C35B93">
        <w:rPr>
          <w:sz w:val="20"/>
          <w:szCs w:val="20"/>
        </w:rPr>
        <w:t xml:space="preserve"> </w:t>
      </w:r>
      <w:r w:rsidR="004D615E" w:rsidRPr="35D70B4B">
        <w:rPr>
          <w:sz w:val="20"/>
          <w:szCs w:val="20"/>
        </w:rPr>
        <w:t xml:space="preserve">to assist countries in the Pacific and Southeast Asia. The overarching objective of VAHSI was to </w:t>
      </w:r>
      <w:r w:rsidR="00A21A51" w:rsidRPr="35D70B4B">
        <w:rPr>
          <w:sz w:val="20"/>
          <w:szCs w:val="20"/>
        </w:rPr>
        <w:t xml:space="preserve">support the efforts of </w:t>
      </w:r>
      <w:r w:rsidR="004D615E" w:rsidRPr="35D70B4B">
        <w:rPr>
          <w:sz w:val="20"/>
          <w:szCs w:val="20"/>
        </w:rPr>
        <w:t xml:space="preserve">countries in the Pacific and Southeast Asia </w:t>
      </w:r>
      <w:r w:rsidR="00A21A51" w:rsidRPr="35D70B4B">
        <w:rPr>
          <w:sz w:val="20"/>
          <w:szCs w:val="20"/>
        </w:rPr>
        <w:t>in</w:t>
      </w:r>
      <w:r w:rsidR="004D615E" w:rsidRPr="35D70B4B">
        <w:rPr>
          <w:sz w:val="20"/>
          <w:szCs w:val="20"/>
        </w:rPr>
        <w:t xml:space="preserve"> procur</w:t>
      </w:r>
      <w:r w:rsidR="00A21A51" w:rsidRPr="35D70B4B">
        <w:rPr>
          <w:sz w:val="20"/>
          <w:szCs w:val="20"/>
        </w:rPr>
        <w:t>ing</w:t>
      </w:r>
      <w:r w:rsidR="004D615E" w:rsidRPr="35D70B4B">
        <w:rPr>
          <w:sz w:val="20"/>
          <w:szCs w:val="20"/>
        </w:rPr>
        <w:t xml:space="preserve"> safe, effective and affordable vaccines </w:t>
      </w:r>
      <w:r w:rsidR="0039287A" w:rsidRPr="35D70B4B">
        <w:rPr>
          <w:sz w:val="20"/>
          <w:szCs w:val="20"/>
        </w:rPr>
        <w:t xml:space="preserve">for </w:t>
      </w:r>
      <w:r w:rsidR="004D615E" w:rsidRPr="35D70B4B">
        <w:rPr>
          <w:sz w:val="20"/>
          <w:szCs w:val="20"/>
        </w:rPr>
        <w:t xml:space="preserve">their populations so that their economies </w:t>
      </w:r>
      <w:r w:rsidR="461941D5" w:rsidRPr="35D70B4B">
        <w:rPr>
          <w:sz w:val="20"/>
          <w:szCs w:val="20"/>
        </w:rPr>
        <w:t xml:space="preserve">could </w:t>
      </w:r>
      <w:r w:rsidR="004D615E" w:rsidRPr="35D70B4B">
        <w:rPr>
          <w:sz w:val="20"/>
          <w:szCs w:val="20"/>
        </w:rPr>
        <w:t>reopen, contributing to economic recovery, national wellbeing and regional stability.</w:t>
      </w:r>
    </w:p>
    <w:p w14:paraId="409CBEE9" w14:textId="30CEB4C3" w:rsidR="00945488" w:rsidRDefault="00945488" w:rsidP="00FF3249">
      <w:pPr>
        <w:jc w:val="both"/>
      </w:pPr>
    </w:p>
    <w:p w14:paraId="310E8583" w14:textId="0E3A0FD7" w:rsidR="00160567" w:rsidRDefault="00974BC2" w:rsidP="00160567">
      <w:pPr>
        <w:spacing w:after="240"/>
        <w:jc w:val="both"/>
        <w:rPr>
          <w:b/>
          <w:bCs/>
          <w:color w:val="C00000"/>
          <w:sz w:val="20"/>
          <w:szCs w:val="20"/>
        </w:rPr>
      </w:pPr>
      <w:r>
        <w:rPr>
          <w:b/>
          <w:bCs/>
          <w:color w:val="C00000"/>
          <w:sz w:val="20"/>
          <w:szCs w:val="20"/>
        </w:rPr>
        <w:t>Image</w:t>
      </w:r>
      <w:r w:rsidRPr="00541517">
        <w:rPr>
          <w:b/>
          <w:bCs/>
          <w:color w:val="C00000"/>
          <w:sz w:val="20"/>
          <w:szCs w:val="20"/>
        </w:rPr>
        <w:t xml:space="preserve"> </w:t>
      </w:r>
      <w:r w:rsidR="008A7C60" w:rsidRPr="00541517">
        <w:rPr>
          <w:b/>
          <w:bCs/>
          <w:color w:val="C00000"/>
          <w:sz w:val="20"/>
          <w:szCs w:val="20"/>
        </w:rPr>
        <w:t xml:space="preserve">1: </w:t>
      </w:r>
      <w:r w:rsidR="0049797F" w:rsidRPr="00541517">
        <w:rPr>
          <w:b/>
          <w:bCs/>
          <w:color w:val="C00000"/>
          <w:sz w:val="20"/>
          <w:szCs w:val="20"/>
        </w:rPr>
        <w:t>Focus of VAHSI</w:t>
      </w:r>
      <w:r w:rsidR="004B78E4">
        <w:rPr>
          <w:b/>
          <w:bCs/>
          <w:color w:val="C00000"/>
          <w:sz w:val="20"/>
          <w:szCs w:val="20"/>
        </w:rPr>
        <w:t xml:space="preserve"> programming</w:t>
      </w:r>
      <w:r w:rsidR="0049797F" w:rsidRPr="00541517">
        <w:rPr>
          <w:b/>
          <w:bCs/>
          <w:color w:val="C00000"/>
          <w:sz w:val="20"/>
          <w:szCs w:val="20"/>
        </w:rPr>
        <w:t xml:space="preserve"> </w:t>
      </w:r>
      <w:r w:rsidR="00363464" w:rsidRPr="00541517">
        <w:rPr>
          <w:b/>
          <w:bCs/>
          <w:color w:val="C00000"/>
          <w:sz w:val="20"/>
          <w:szCs w:val="20"/>
        </w:rPr>
        <w:t xml:space="preserve">between 2020 </w:t>
      </w:r>
      <w:r w:rsidR="004B78E4">
        <w:rPr>
          <w:b/>
          <w:bCs/>
          <w:color w:val="C00000"/>
          <w:sz w:val="20"/>
          <w:szCs w:val="20"/>
        </w:rPr>
        <w:t>to</w:t>
      </w:r>
      <w:r w:rsidR="004B78E4" w:rsidRPr="00541517">
        <w:rPr>
          <w:b/>
          <w:bCs/>
          <w:color w:val="C00000"/>
          <w:sz w:val="20"/>
          <w:szCs w:val="20"/>
        </w:rPr>
        <w:t xml:space="preserve"> </w:t>
      </w:r>
      <w:r w:rsidR="00363464" w:rsidRPr="00541517">
        <w:rPr>
          <w:b/>
          <w:bCs/>
          <w:color w:val="C00000"/>
          <w:sz w:val="20"/>
          <w:szCs w:val="20"/>
        </w:rPr>
        <w:t>2024</w:t>
      </w:r>
    </w:p>
    <w:p w14:paraId="5CC354AA" w14:textId="0BBFA4FE" w:rsidR="00992ECE" w:rsidRPr="00541517" w:rsidRDefault="00992ECE" w:rsidP="00160567">
      <w:pPr>
        <w:spacing w:after="240"/>
        <w:jc w:val="both"/>
        <w:rPr>
          <w:b/>
          <w:bCs/>
          <w:color w:val="C00000"/>
          <w:sz w:val="20"/>
          <w:szCs w:val="20"/>
        </w:rPr>
      </w:pPr>
      <w:r>
        <w:rPr>
          <w:noProof/>
          <w14:ligatures w14:val="standardContextual"/>
        </w:rPr>
        <w:drawing>
          <wp:inline distT="0" distB="0" distL="0" distR="0" wp14:anchorId="52295BDF" wp14:editId="73993287">
            <wp:extent cx="5731510" cy="940435"/>
            <wp:effectExtent l="0" t="0" r="2540" b="0"/>
            <wp:docPr id="1004035076" name="Picture 1" descr="The diagram shows that in 2020 and 2021, the focus of VAHSI programming was rapid deployment of COVID-19 vaccines and delivery support services with a focus on administration of COVID-19 vaccines. From 2022, the focus shifted to providing sustained assistance in strengthening routine immunisation activities. This continued until the end of the program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5076" name="Picture 1" descr="The diagram shows that in 2020 and 2021, the focus of VAHSI programming was rapid deployment of COVID-19 vaccines and delivery support services with a focus on administration of COVID-19 vaccines. From 2022, the focus shifted to providing sustained assistance in strengthening routine immunisation activities. This continued until the end of the program in 2024."/>
                    <pic:cNvPicPr/>
                  </pic:nvPicPr>
                  <pic:blipFill>
                    <a:blip r:embed="rId8"/>
                    <a:stretch>
                      <a:fillRect/>
                    </a:stretch>
                  </pic:blipFill>
                  <pic:spPr>
                    <a:xfrm>
                      <a:off x="0" y="0"/>
                      <a:ext cx="5731510" cy="940435"/>
                    </a:xfrm>
                    <a:prstGeom prst="rect">
                      <a:avLst/>
                    </a:prstGeom>
                  </pic:spPr>
                </pic:pic>
              </a:graphicData>
            </a:graphic>
          </wp:inline>
        </w:drawing>
      </w:r>
    </w:p>
    <w:p w14:paraId="5804A423" w14:textId="12807EBE" w:rsidR="00385D8A" w:rsidRPr="00541517" w:rsidRDefault="00385D8A" w:rsidP="00385D8A">
      <w:pPr>
        <w:pStyle w:val="Heading2"/>
        <w:rPr>
          <w:color w:val="C00000"/>
        </w:rPr>
      </w:pPr>
      <w:r w:rsidRPr="00541517">
        <w:rPr>
          <w:color w:val="C00000"/>
        </w:rPr>
        <w:t>Evaluation summary</w:t>
      </w:r>
    </w:p>
    <w:p w14:paraId="4C8017C9" w14:textId="258ECAE1" w:rsidR="00725269" w:rsidRPr="00DA6D91" w:rsidRDefault="005576B8" w:rsidP="0012351E">
      <w:pPr>
        <w:jc w:val="both"/>
        <w:rPr>
          <w:sz w:val="20"/>
          <w:szCs w:val="20"/>
        </w:rPr>
      </w:pPr>
      <w:r w:rsidRPr="35D70B4B">
        <w:rPr>
          <w:sz w:val="20"/>
          <w:szCs w:val="20"/>
        </w:rPr>
        <w:t xml:space="preserve">In June 2024, DFAT commissioned </w:t>
      </w:r>
      <w:r w:rsidR="00725269" w:rsidRPr="35D70B4B">
        <w:rPr>
          <w:sz w:val="20"/>
          <w:szCs w:val="20"/>
        </w:rPr>
        <w:t xml:space="preserve">an independent evaluation of </w:t>
      </w:r>
      <w:r w:rsidR="005D31FC">
        <w:rPr>
          <w:sz w:val="20"/>
          <w:szCs w:val="20"/>
        </w:rPr>
        <w:t xml:space="preserve">the </w:t>
      </w:r>
      <w:r w:rsidR="00725269" w:rsidRPr="35D70B4B">
        <w:rPr>
          <w:sz w:val="20"/>
          <w:szCs w:val="20"/>
        </w:rPr>
        <w:t>VAHSI investment through the Specialist Health Service</w:t>
      </w:r>
      <w:r w:rsidR="00067338" w:rsidRPr="35D70B4B">
        <w:rPr>
          <w:sz w:val="20"/>
          <w:szCs w:val="20"/>
        </w:rPr>
        <w:t xml:space="preserve">. </w:t>
      </w:r>
      <w:r w:rsidR="006B56A9" w:rsidRPr="35D70B4B">
        <w:rPr>
          <w:sz w:val="20"/>
          <w:szCs w:val="20"/>
        </w:rPr>
        <w:t xml:space="preserve">The </w:t>
      </w:r>
      <w:r w:rsidR="00067338" w:rsidRPr="35D70B4B">
        <w:rPr>
          <w:sz w:val="20"/>
          <w:szCs w:val="20"/>
        </w:rPr>
        <w:t xml:space="preserve">aim of the </w:t>
      </w:r>
      <w:r w:rsidR="006B56A9" w:rsidRPr="35D70B4B">
        <w:rPr>
          <w:sz w:val="20"/>
          <w:szCs w:val="20"/>
        </w:rPr>
        <w:t xml:space="preserve">review </w:t>
      </w:r>
      <w:r w:rsidR="00067338" w:rsidRPr="35D70B4B">
        <w:rPr>
          <w:sz w:val="20"/>
          <w:szCs w:val="20"/>
        </w:rPr>
        <w:t>was t</w:t>
      </w:r>
      <w:r w:rsidR="0012351E" w:rsidRPr="35D70B4B">
        <w:rPr>
          <w:sz w:val="20"/>
          <w:szCs w:val="20"/>
        </w:rPr>
        <w:t>o</w:t>
      </w:r>
      <w:r w:rsidR="006B56A9" w:rsidRPr="35D70B4B">
        <w:rPr>
          <w:sz w:val="20"/>
          <w:szCs w:val="20"/>
        </w:rPr>
        <w:t xml:space="preserve"> assess the extent that these investments achieved their health and strategic outcomes and their performance in areas of gender equality, disability and social </w:t>
      </w:r>
      <w:proofErr w:type="gramStart"/>
      <w:r w:rsidR="006B56A9" w:rsidRPr="35D70B4B">
        <w:rPr>
          <w:sz w:val="20"/>
          <w:szCs w:val="20"/>
        </w:rPr>
        <w:t>inclusion;</w:t>
      </w:r>
      <w:proofErr w:type="gramEnd"/>
      <w:r w:rsidR="006B56A9" w:rsidRPr="35D70B4B">
        <w:rPr>
          <w:sz w:val="20"/>
          <w:szCs w:val="20"/>
        </w:rPr>
        <w:t xml:space="preserve"> and monitoring, evaluation and learning.</w:t>
      </w:r>
      <w:r w:rsidR="0012351E" w:rsidRPr="35D70B4B">
        <w:rPr>
          <w:sz w:val="20"/>
          <w:szCs w:val="20"/>
        </w:rPr>
        <w:t xml:space="preserve"> </w:t>
      </w:r>
      <w:r w:rsidR="006B56A9" w:rsidRPr="35D70B4B">
        <w:rPr>
          <w:sz w:val="20"/>
          <w:szCs w:val="20"/>
        </w:rPr>
        <w:t xml:space="preserve">The findings </w:t>
      </w:r>
      <w:r w:rsidR="52086012" w:rsidRPr="35D70B4B">
        <w:rPr>
          <w:sz w:val="20"/>
          <w:szCs w:val="20"/>
        </w:rPr>
        <w:t>will</w:t>
      </w:r>
      <w:r w:rsidR="006B56A9" w:rsidRPr="35D70B4B">
        <w:rPr>
          <w:sz w:val="20"/>
          <w:szCs w:val="20"/>
        </w:rPr>
        <w:t xml:space="preserve"> inform future DFAT health investments, particularly health emergency responses.</w:t>
      </w:r>
    </w:p>
    <w:p w14:paraId="2112EAC0" w14:textId="77777777" w:rsidR="002D72B1" w:rsidRPr="00DA6D91" w:rsidRDefault="002D72B1" w:rsidP="00FF3249">
      <w:pPr>
        <w:jc w:val="both"/>
        <w:rPr>
          <w:sz w:val="20"/>
          <w:szCs w:val="20"/>
        </w:rPr>
      </w:pPr>
    </w:p>
    <w:p w14:paraId="16ED5E23" w14:textId="14FCEBC3" w:rsidR="00EF6F30" w:rsidRPr="00DA6D91" w:rsidRDefault="009733FE" w:rsidP="00EF6F30">
      <w:pPr>
        <w:rPr>
          <w:rFonts w:cstheme="minorHAnsi"/>
          <w:sz w:val="20"/>
          <w:szCs w:val="20"/>
        </w:rPr>
      </w:pPr>
      <w:r w:rsidRPr="00DA6D91">
        <w:rPr>
          <w:sz w:val="20"/>
          <w:szCs w:val="20"/>
        </w:rPr>
        <w:t xml:space="preserve">The three-person evaluation team of consultants </w:t>
      </w:r>
      <w:r w:rsidR="00446360">
        <w:rPr>
          <w:sz w:val="20"/>
          <w:szCs w:val="20"/>
        </w:rPr>
        <w:t>included</w:t>
      </w:r>
      <w:r w:rsidRPr="00DA6D91">
        <w:rPr>
          <w:sz w:val="20"/>
          <w:szCs w:val="20"/>
        </w:rPr>
        <w:t xml:space="preserve"> a team leader</w:t>
      </w:r>
      <w:r w:rsidR="00357716">
        <w:rPr>
          <w:sz w:val="20"/>
          <w:szCs w:val="20"/>
        </w:rPr>
        <w:t>;</w:t>
      </w:r>
      <w:r w:rsidRPr="00DA6D91">
        <w:rPr>
          <w:sz w:val="20"/>
          <w:szCs w:val="20"/>
        </w:rPr>
        <w:t xml:space="preserve"> a Pacific health expert</w:t>
      </w:r>
      <w:r w:rsidR="00357716">
        <w:rPr>
          <w:sz w:val="20"/>
          <w:szCs w:val="20"/>
        </w:rPr>
        <w:t>;</w:t>
      </w:r>
      <w:r w:rsidRPr="00DA6D91">
        <w:rPr>
          <w:sz w:val="20"/>
          <w:szCs w:val="20"/>
        </w:rPr>
        <w:t xml:space="preserve"> and a </w:t>
      </w:r>
      <w:r w:rsidR="008A4F7B" w:rsidRPr="00DA6D91">
        <w:rPr>
          <w:sz w:val="20"/>
          <w:szCs w:val="20"/>
        </w:rPr>
        <w:t>gender, equality, disability and social inclusion</w:t>
      </w:r>
      <w:r w:rsidR="000B1F48">
        <w:rPr>
          <w:sz w:val="20"/>
          <w:szCs w:val="20"/>
        </w:rPr>
        <w:t xml:space="preserve"> expert</w:t>
      </w:r>
      <w:r w:rsidR="00446360">
        <w:rPr>
          <w:sz w:val="20"/>
          <w:szCs w:val="20"/>
        </w:rPr>
        <w:t>. The</w:t>
      </w:r>
      <w:r w:rsidR="008A4F7B" w:rsidRPr="00DA6D91">
        <w:rPr>
          <w:sz w:val="20"/>
          <w:szCs w:val="20"/>
        </w:rPr>
        <w:t xml:space="preserve"> expert</w:t>
      </w:r>
      <w:r w:rsidR="00446360">
        <w:rPr>
          <w:sz w:val="20"/>
          <w:szCs w:val="20"/>
        </w:rPr>
        <w:t>s</w:t>
      </w:r>
      <w:r w:rsidR="008A4F7B" w:rsidRPr="00DA6D91">
        <w:rPr>
          <w:sz w:val="20"/>
          <w:szCs w:val="20"/>
        </w:rPr>
        <w:t xml:space="preserve"> </w:t>
      </w:r>
      <w:r w:rsidR="00651633" w:rsidRPr="00DA6D91">
        <w:rPr>
          <w:rFonts w:cstheme="minorHAnsi"/>
          <w:sz w:val="20"/>
          <w:szCs w:val="20"/>
        </w:rPr>
        <w:t>conducted a review of documents</w:t>
      </w:r>
      <w:r w:rsidR="00446360">
        <w:rPr>
          <w:rFonts w:cstheme="minorHAnsi"/>
          <w:sz w:val="20"/>
          <w:szCs w:val="20"/>
        </w:rPr>
        <w:t>;</w:t>
      </w:r>
      <w:r w:rsidR="00651633" w:rsidRPr="00DA6D91">
        <w:rPr>
          <w:rFonts w:cstheme="minorHAnsi"/>
          <w:sz w:val="20"/>
          <w:szCs w:val="20"/>
        </w:rPr>
        <w:t xml:space="preserve"> and remote interviews with </w:t>
      </w:r>
      <w:r w:rsidR="0042153E" w:rsidRPr="00DA6D91">
        <w:rPr>
          <w:rFonts w:cstheme="minorHAnsi"/>
          <w:sz w:val="20"/>
          <w:szCs w:val="20"/>
        </w:rPr>
        <w:t>partner Government</w:t>
      </w:r>
      <w:r w:rsidR="00651633" w:rsidRPr="00DA6D91">
        <w:rPr>
          <w:rFonts w:cstheme="minorHAnsi"/>
          <w:sz w:val="20"/>
          <w:szCs w:val="20"/>
        </w:rPr>
        <w:t xml:space="preserve"> personnel</w:t>
      </w:r>
      <w:r w:rsidR="00446360">
        <w:rPr>
          <w:rFonts w:cstheme="minorHAnsi"/>
          <w:sz w:val="20"/>
          <w:szCs w:val="20"/>
        </w:rPr>
        <w:t>,</w:t>
      </w:r>
      <w:r w:rsidR="00624FF2" w:rsidRPr="00DA6D91">
        <w:rPr>
          <w:rFonts w:cstheme="minorHAnsi"/>
          <w:sz w:val="20"/>
          <w:szCs w:val="20"/>
        </w:rPr>
        <w:t xml:space="preserve"> </w:t>
      </w:r>
      <w:r w:rsidR="00651633" w:rsidRPr="00DA6D91">
        <w:rPr>
          <w:rFonts w:cstheme="minorHAnsi"/>
          <w:sz w:val="20"/>
          <w:szCs w:val="20"/>
        </w:rPr>
        <w:t>stakeholders</w:t>
      </w:r>
      <w:r w:rsidR="00446360">
        <w:rPr>
          <w:rFonts w:cstheme="minorHAnsi"/>
          <w:sz w:val="20"/>
          <w:szCs w:val="20"/>
        </w:rPr>
        <w:t xml:space="preserve">, and </w:t>
      </w:r>
      <w:r w:rsidR="00624FF2" w:rsidRPr="00DA6D91">
        <w:rPr>
          <w:rFonts w:cstheme="minorHAnsi"/>
          <w:sz w:val="20"/>
          <w:szCs w:val="20"/>
        </w:rPr>
        <w:t>DFAT officers based in Canberra and</w:t>
      </w:r>
      <w:r w:rsidR="00D83CF9">
        <w:rPr>
          <w:rFonts w:cstheme="minorHAnsi"/>
          <w:sz w:val="20"/>
          <w:szCs w:val="20"/>
        </w:rPr>
        <w:t xml:space="preserve"> at relevant Posts.</w:t>
      </w:r>
    </w:p>
    <w:p w14:paraId="38C700EB" w14:textId="77777777" w:rsidR="00A840DB" w:rsidRPr="00DA6D91" w:rsidRDefault="00A840DB" w:rsidP="00EF6F30">
      <w:pPr>
        <w:rPr>
          <w:rFonts w:cstheme="minorHAnsi"/>
          <w:sz w:val="20"/>
          <w:szCs w:val="20"/>
        </w:rPr>
      </w:pPr>
    </w:p>
    <w:p w14:paraId="1995C13A" w14:textId="6EFB07E6" w:rsidR="00A840DB" w:rsidRPr="00DA6D91" w:rsidRDefault="00385D8A" w:rsidP="35D70B4B">
      <w:pPr>
        <w:rPr>
          <w:sz w:val="20"/>
          <w:szCs w:val="20"/>
        </w:rPr>
      </w:pPr>
      <w:r w:rsidRPr="35D70B4B">
        <w:rPr>
          <w:sz w:val="20"/>
          <w:szCs w:val="20"/>
        </w:rPr>
        <w:t xml:space="preserve">The evaluation was completed </w:t>
      </w:r>
      <w:r w:rsidR="00DD51FD">
        <w:rPr>
          <w:sz w:val="20"/>
          <w:szCs w:val="20"/>
        </w:rPr>
        <w:t>o</w:t>
      </w:r>
      <w:r w:rsidR="408272AE" w:rsidRPr="35D70B4B">
        <w:rPr>
          <w:sz w:val="20"/>
          <w:szCs w:val="20"/>
        </w:rPr>
        <w:t xml:space="preserve">n </w:t>
      </w:r>
      <w:r w:rsidR="00DD51FD">
        <w:rPr>
          <w:sz w:val="20"/>
          <w:szCs w:val="20"/>
        </w:rPr>
        <w:t xml:space="preserve">9 </w:t>
      </w:r>
      <w:r w:rsidRPr="35D70B4B">
        <w:rPr>
          <w:sz w:val="20"/>
          <w:szCs w:val="20"/>
        </w:rPr>
        <w:t>December 2024</w:t>
      </w:r>
      <w:r w:rsidR="00E77506">
        <w:rPr>
          <w:sz w:val="20"/>
          <w:szCs w:val="20"/>
        </w:rPr>
        <w:t xml:space="preserve"> with the report being finalised on 1 April 2025</w:t>
      </w:r>
      <w:r w:rsidRPr="35D70B4B">
        <w:rPr>
          <w:sz w:val="20"/>
          <w:szCs w:val="20"/>
        </w:rPr>
        <w:t>.</w:t>
      </w:r>
      <w:r w:rsidR="00B56DB3" w:rsidRPr="35D70B4B">
        <w:rPr>
          <w:sz w:val="20"/>
          <w:szCs w:val="20"/>
        </w:rPr>
        <w:t xml:space="preserve"> </w:t>
      </w:r>
    </w:p>
    <w:p w14:paraId="7632CD43" w14:textId="77777777" w:rsidR="00CF1C3A" w:rsidRPr="00DA6D91" w:rsidRDefault="00CF1C3A" w:rsidP="002450B9">
      <w:pPr>
        <w:rPr>
          <w:rFonts w:cstheme="minorHAnsi"/>
          <w:sz w:val="20"/>
          <w:szCs w:val="20"/>
        </w:rPr>
      </w:pPr>
    </w:p>
    <w:p w14:paraId="06E6347F" w14:textId="3271F7A3" w:rsidR="006376B3" w:rsidRDefault="00CF1C3A" w:rsidP="35D70B4B">
      <w:pPr>
        <w:jc w:val="both"/>
        <w:rPr>
          <w:sz w:val="20"/>
          <w:szCs w:val="20"/>
        </w:rPr>
      </w:pPr>
      <w:r w:rsidRPr="35D70B4B">
        <w:rPr>
          <w:sz w:val="20"/>
          <w:szCs w:val="20"/>
        </w:rPr>
        <w:t xml:space="preserve">The </w:t>
      </w:r>
      <w:r w:rsidR="00107800" w:rsidRPr="35D70B4B">
        <w:rPr>
          <w:sz w:val="20"/>
          <w:szCs w:val="20"/>
        </w:rPr>
        <w:t xml:space="preserve">evaluation found that </w:t>
      </w:r>
      <w:r w:rsidR="009D2E17" w:rsidRPr="35D70B4B">
        <w:rPr>
          <w:sz w:val="20"/>
          <w:szCs w:val="20"/>
        </w:rPr>
        <w:t xml:space="preserve">VAHSI </w:t>
      </w:r>
      <w:r w:rsidR="00243B13" w:rsidRPr="35D70B4B">
        <w:rPr>
          <w:sz w:val="20"/>
          <w:szCs w:val="20"/>
        </w:rPr>
        <w:t>was effective and efficient in</w:t>
      </w:r>
      <w:r w:rsidR="6EC25088" w:rsidRPr="35D70B4B">
        <w:rPr>
          <w:sz w:val="20"/>
          <w:szCs w:val="20"/>
        </w:rPr>
        <w:t xml:space="preserve"> achieving its main objectives </w:t>
      </w:r>
      <w:proofErr w:type="gramStart"/>
      <w:r w:rsidR="6EC25088" w:rsidRPr="35D70B4B">
        <w:rPr>
          <w:sz w:val="20"/>
          <w:szCs w:val="20"/>
        </w:rPr>
        <w:t>to</w:t>
      </w:r>
      <w:proofErr w:type="gramEnd"/>
      <w:r w:rsidR="006376B3" w:rsidRPr="35D70B4B">
        <w:rPr>
          <w:sz w:val="20"/>
          <w:szCs w:val="20"/>
        </w:rPr>
        <w:t>:</w:t>
      </w:r>
    </w:p>
    <w:p w14:paraId="560901C9" w14:textId="48AF9FD7" w:rsidR="006376B3" w:rsidRPr="006376B3" w:rsidRDefault="00243B13" w:rsidP="006376B3">
      <w:pPr>
        <w:pStyle w:val="ListParagraph"/>
        <w:numPr>
          <w:ilvl w:val="0"/>
          <w:numId w:val="7"/>
        </w:numPr>
        <w:jc w:val="both"/>
        <w:rPr>
          <w:sz w:val="20"/>
          <w:szCs w:val="20"/>
        </w:rPr>
      </w:pPr>
      <w:r w:rsidRPr="35D70B4B">
        <w:rPr>
          <w:sz w:val="20"/>
          <w:szCs w:val="20"/>
        </w:rPr>
        <w:t xml:space="preserve">support </w:t>
      </w:r>
      <w:r w:rsidR="00CD6A59" w:rsidRPr="006376B3">
        <w:rPr>
          <w:sz w:val="20"/>
          <w:szCs w:val="20"/>
        </w:rPr>
        <w:t xml:space="preserve">access to safe </w:t>
      </w:r>
      <w:r w:rsidR="007C1441" w:rsidRPr="006376B3">
        <w:rPr>
          <w:sz w:val="20"/>
          <w:szCs w:val="20"/>
        </w:rPr>
        <w:t>COVID</w:t>
      </w:r>
      <w:r w:rsidR="00E223F8" w:rsidRPr="006376B3">
        <w:rPr>
          <w:sz w:val="20"/>
          <w:szCs w:val="20"/>
        </w:rPr>
        <w:noBreakHyphen/>
      </w:r>
      <w:r w:rsidR="007C1441" w:rsidRPr="006376B3">
        <w:rPr>
          <w:sz w:val="20"/>
          <w:szCs w:val="20"/>
        </w:rPr>
        <w:t>19 vaccin</w:t>
      </w:r>
      <w:r w:rsidR="00CD6A59" w:rsidRPr="006376B3">
        <w:rPr>
          <w:sz w:val="20"/>
          <w:szCs w:val="20"/>
        </w:rPr>
        <w:t>es</w:t>
      </w:r>
      <w:r w:rsidR="009E6609" w:rsidRPr="006376B3">
        <w:rPr>
          <w:sz w:val="20"/>
          <w:szCs w:val="20"/>
        </w:rPr>
        <w:t>;</w:t>
      </w:r>
      <w:r w:rsidR="007C1441" w:rsidRPr="006376B3">
        <w:rPr>
          <w:sz w:val="20"/>
          <w:szCs w:val="20"/>
        </w:rPr>
        <w:t xml:space="preserve"> </w:t>
      </w:r>
      <w:r w:rsidR="00FC78A9" w:rsidRPr="006376B3">
        <w:rPr>
          <w:sz w:val="20"/>
          <w:szCs w:val="20"/>
        </w:rPr>
        <w:t xml:space="preserve">and </w:t>
      </w:r>
    </w:p>
    <w:p w14:paraId="4C9F4823" w14:textId="03F03586" w:rsidR="006376B3" w:rsidRPr="006376B3" w:rsidRDefault="007C1441" w:rsidP="002303E7">
      <w:pPr>
        <w:pStyle w:val="ListParagraph"/>
        <w:numPr>
          <w:ilvl w:val="0"/>
          <w:numId w:val="7"/>
        </w:numPr>
        <w:spacing w:after="0"/>
        <w:jc w:val="both"/>
        <w:rPr>
          <w:sz w:val="20"/>
          <w:szCs w:val="20"/>
        </w:rPr>
      </w:pPr>
      <w:r w:rsidRPr="35D70B4B">
        <w:rPr>
          <w:sz w:val="20"/>
          <w:szCs w:val="20"/>
        </w:rPr>
        <w:t>promot</w:t>
      </w:r>
      <w:r w:rsidR="4ECBF9FF" w:rsidRPr="35D70B4B">
        <w:rPr>
          <w:sz w:val="20"/>
          <w:szCs w:val="20"/>
        </w:rPr>
        <w:t>e</w:t>
      </w:r>
      <w:r w:rsidRPr="35D70B4B">
        <w:rPr>
          <w:sz w:val="20"/>
          <w:szCs w:val="20"/>
        </w:rPr>
        <w:t xml:space="preserve"> COVID-19 and routine immunisation coverage in line with partner country plans. </w:t>
      </w:r>
    </w:p>
    <w:p w14:paraId="192EBCC1" w14:textId="77777777" w:rsidR="006376B3" w:rsidRDefault="006376B3" w:rsidP="00F765DA">
      <w:pPr>
        <w:jc w:val="both"/>
        <w:rPr>
          <w:sz w:val="20"/>
          <w:szCs w:val="20"/>
        </w:rPr>
      </w:pPr>
    </w:p>
    <w:p w14:paraId="13607939" w14:textId="2FC969E1" w:rsidR="00F765DA" w:rsidRPr="00DA6D91" w:rsidRDefault="00F765DA" w:rsidP="00F765DA">
      <w:pPr>
        <w:jc w:val="both"/>
        <w:rPr>
          <w:sz w:val="20"/>
          <w:szCs w:val="20"/>
        </w:rPr>
      </w:pPr>
      <w:r w:rsidRPr="00DA6D91">
        <w:rPr>
          <w:sz w:val="20"/>
          <w:szCs w:val="20"/>
        </w:rPr>
        <w:t>The evaluation identified a range of lessons for future large-scale emergency response</w:t>
      </w:r>
      <w:r w:rsidR="000E2FCE">
        <w:rPr>
          <w:sz w:val="20"/>
          <w:szCs w:val="20"/>
        </w:rPr>
        <w:t>,</w:t>
      </w:r>
      <w:r w:rsidR="00AA0B1E" w:rsidRPr="00DA6D91">
        <w:rPr>
          <w:sz w:val="20"/>
          <w:szCs w:val="20"/>
        </w:rPr>
        <w:t xml:space="preserve"> including establishing </w:t>
      </w:r>
      <w:proofErr w:type="gramStart"/>
      <w:r w:rsidR="00AA0B1E" w:rsidRPr="00DA6D91">
        <w:rPr>
          <w:sz w:val="20"/>
          <w:szCs w:val="20"/>
        </w:rPr>
        <w:t>in</w:t>
      </w:r>
      <w:r w:rsidR="0A8C4059" w:rsidRPr="00DA6D91">
        <w:rPr>
          <w:sz w:val="20"/>
          <w:szCs w:val="20"/>
        </w:rPr>
        <w:t>-</w:t>
      </w:r>
      <w:r w:rsidR="00C72BFC">
        <w:rPr>
          <w:sz w:val="20"/>
          <w:szCs w:val="20"/>
        </w:rPr>
        <w:noBreakHyphen/>
      </w:r>
      <w:proofErr w:type="gramEnd"/>
      <w:r w:rsidR="00AA0B1E" w:rsidRPr="00DA6D91">
        <w:rPr>
          <w:sz w:val="20"/>
          <w:szCs w:val="20"/>
        </w:rPr>
        <w:t xml:space="preserve">country networks </w:t>
      </w:r>
      <w:r w:rsidR="005D2A1B" w:rsidRPr="00DA6D91">
        <w:rPr>
          <w:sz w:val="20"/>
          <w:szCs w:val="20"/>
        </w:rPr>
        <w:t xml:space="preserve">to facilitate a rapid response with </w:t>
      </w:r>
      <w:r w:rsidR="518C4A0A" w:rsidRPr="00DA6D91">
        <w:rPr>
          <w:sz w:val="20"/>
          <w:szCs w:val="20"/>
        </w:rPr>
        <w:t>a focus</w:t>
      </w:r>
      <w:r w:rsidR="005D2A1B" w:rsidRPr="00DA6D91">
        <w:rPr>
          <w:sz w:val="20"/>
          <w:szCs w:val="20"/>
        </w:rPr>
        <w:t xml:space="preserve"> on </w:t>
      </w:r>
      <w:r w:rsidR="00514ABB" w:rsidRPr="00DA6D91">
        <w:rPr>
          <w:sz w:val="20"/>
          <w:szCs w:val="20"/>
        </w:rPr>
        <w:t>marginali</w:t>
      </w:r>
      <w:r w:rsidR="00C72BFC">
        <w:rPr>
          <w:sz w:val="20"/>
          <w:szCs w:val="20"/>
        </w:rPr>
        <w:t>s</w:t>
      </w:r>
      <w:r w:rsidR="00514ABB" w:rsidRPr="00DA6D91">
        <w:rPr>
          <w:sz w:val="20"/>
          <w:szCs w:val="20"/>
        </w:rPr>
        <w:t>ed communities</w:t>
      </w:r>
      <w:r w:rsidR="00611C50">
        <w:rPr>
          <w:sz w:val="20"/>
          <w:szCs w:val="20"/>
        </w:rPr>
        <w:t xml:space="preserve"> and</w:t>
      </w:r>
      <w:r w:rsidR="00B70935" w:rsidRPr="00DA6D91">
        <w:rPr>
          <w:sz w:val="20"/>
          <w:szCs w:val="20"/>
        </w:rPr>
        <w:t xml:space="preserve"> streamlining processes to </w:t>
      </w:r>
      <w:r w:rsidR="1A4CA18B" w:rsidRPr="00DA6D91">
        <w:rPr>
          <w:sz w:val="20"/>
          <w:szCs w:val="20"/>
        </w:rPr>
        <w:t>maximise efficiency</w:t>
      </w:r>
      <w:r w:rsidR="00152C10" w:rsidRPr="00DA6D91">
        <w:rPr>
          <w:sz w:val="20"/>
          <w:szCs w:val="20"/>
        </w:rPr>
        <w:t xml:space="preserve"> and ensuring timely data collection.</w:t>
      </w:r>
    </w:p>
    <w:p w14:paraId="67817961" w14:textId="77777777" w:rsidR="00F374FA" w:rsidRPr="00DA6D91" w:rsidRDefault="00F374FA" w:rsidP="00F765DA">
      <w:pPr>
        <w:jc w:val="both"/>
        <w:rPr>
          <w:sz w:val="20"/>
          <w:szCs w:val="20"/>
        </w:rPr>
      </w:pPr>
    </w:p>
    <w:p w14:paraId="2BE78CEF" w14:textId="1BABC483" w:rsidR="00F374FA" w:rsidRPr="00E77506" w:rsidRDefault="111967E2" w:rsidP="00F765DA">
      <w:pPr>
        <w:jc w:val="both"/>
        <w:rPr>
          <w:rFonts w:cs="Calibri"/>
          <w:sz w:val="20"/>
          <w:szCs w:val="20"/>
          <w:lang w:val="en-ID"/>
        </w:rPr>
      </w:pPr>
      <w:r w:rsidRPr="00E77506">
        <w:rPr>
          <w:rFonts w:cs="Calibri"/>
          <w:sz w:val="20"/>
          <w:szCs w:val="20"/>
          <w:lang w:val="en-ID"/>
        </w:rPr>
        <w:t>Evaluation recommendations and DFAT responses are</w:t>
      </w:r>
      <w:r w:rsidR="00F374FA" w:rsidRPr="00E77506">
        <w:rPr>
          <w:rFonts w:cs="Calibri"/>
          <w:sz w:val="20"/>
          <w:szCs w:val="20"/>
          <w:lang w:val="en-ID"/>
        </w:rPr>
        <w:t xml:space="preserve"> provided </w:t>
      </w:r>
      <w:r w:rsidR="00C10CE0" w:rsidRPr="00E77506">
        <w:rPr>
          <w:rFonts w:cs="Calibri"/>
          <w:sz w:val="20"/>
          <w:szCs w:val="20"/>
          <w:lang w:val="en-ID"/>
        </w:rPr>
        <w:t>below</w:t>
      </w:r>
      <w:r w:rsidR="00F374FA" w:rsidRPr="00E77506">
        <w:rPr>
          <w:rFonts w:cs="Calibri"/>
          <w:sz w:val="20"/>
          <w:szCs w:val="20"/>
          <w:lang w:val="en-ID"/>
        </w:rPr>
        <w:t>.</w:t>
      </w:r>
      <w:r w:rsidR="000039A2" w:rsidRPr="00E77506">
        <w:rPr>
          <w:rFonts w:cs="Calibri"/>
          <w:sz w:val="20"/>
          <w:szCs w:val="20"/>
          <w:lang w:val="en-ID"/>
        </w:rPr>
        <w:t xml:space="preserve"> </w:t>
      </w:r>
      <w:r w:rsidR="00611C50" w:rsidRPr="00E77506">
        <w:rPr>
          <w:rFonts w:cs="Calibri"/>
          <w:sz w:val="20"/>
          <w:szCs w:val="20"/>
          <w:lang w:val="en-ID"/>
        </w:rPr>
        <w:t>T</w:t>
      </w:r>
      <w:r w:rsidR="00313150" w:rsidRPr="00E77506">
        <w:rPr>
          <w:rFonts w:cs="Calibri"/>
          <w:sz w:val="20"/>
          <w:szCs w:val="20"/>
          <w:lang w:val="en-ID"/>
        </w:rPr>
        <w:t xml:space="preserve">he recommendations </w:t>
      </w:r>
      <w:r w:rsidR="008D4CD0" w:rsidRPr="00E77506">
        <w:rPr>
          <w:rFonts w:cs="Calibri"/>
          <w:sz w:val="20"/>
          <w:szCs w:val="20"/>
          <w:lang w:val="en-ID"/>
        </w:rPr>
        <w:t xml:space="preserve">outline </w:t>
      </w:r>
      <w:r w:rsidR="00B87118" w:rsidRPr="00E77506">
        <w:rPr>
          <w:rFonts w:cs="Calibri"/>
          <w:sz w:val="20"/>
          <w:szCs w:val="20"/>
          <w:lang w:val="en-ID"/>
        </w:rPr>
        <w:t>areas of focus for DFAT to better support</w:t>
      </w:r>
      <w:r w:rsidR="00313150" w:rsidRPr="00E77506">
        <w:rPr>
          <w:rFonts w:cs="Calibri"/>
          <w:sz w:val="20"/>
          <w:szCs w:val="20"/>
          <w:lang w:val="en-ID"/>
        </w:rPr>
        <w:t xml:space="preserve"> pandemic preparedness</w:t>
      </w:r>
      <w:r w:rsidR="000039A2" w:rsidRPr="00E77506">
        <w:rPr>
          <w:rFonts w:cs="Calibri"/>
          <w:sz w:val="20"/>
          <w:szCs w:val="20"/>
          <w:lang w:val="en-ID"/>
        </w:rPr>
        <w:t xml:space="preserve"> across the Indo</w:t>
      </w:r>
      <w:r w:rsidR="003C27DC" w:rsidRPr="00E77506">
        <w:rPr>
          <w:rFonts w:cs="Calibri"/>
          <w:sz w:val="20"/>
          <w:szCs w:val="20"/>
          <w:lang w:val="en-ID"/>
        </w:rPr>
        <w:noBreakHyphen/>
      </w:r>
      <w:r w:rsidR="000039A2" w:rsidRPr="00E77506">
        <w:rPr>
          <w:rFonts w:cs="Calibri"/>
          <w:sz w:val="20"/>
          <w:szCs w:val="20"/>
          <w:lang w:val="en-ID"/>
        </w:rPr>
        <w:t>Pacific region</w:t>
      </w:r>
      <w:r w:rsidR="00602BA6" w:rsidRPr="00E77506">
        <w:rPr>
          <w:rFonts w:cs="Calibri"/>
          <w:sz w:val="20"/>
          <w:szCs w:val="20"/>
          <w:lang w:val="en-ID"/>
        </w:rPr>
        <w:t>.</w:t>
      </w:r>
      <w:r w:rsidR="00313150" w:rsidRPr="00E77506">
        <w:rPr>
          <w:rFonts w:cs="Calibri"/>
          <w:sz w:val="20"/>
          <w:szCs w:val="20"/>
          <w:lang w:val="en-ID"/>
        </w:rPr>
        <w:t xml:space="preserve"> </w:t>
      </w:r>
      <w:r w:rsidR="001D0720" w:rsidRPr="00E77506">
        <w:rPr>
          <w:rFonts w:cs="Calibri"/>
          <w:sz w:val="20"/>
          <w:szCs w:val="20"/>
          <w:lang w:val="en-ID"/>
        </w:rPr>
        <w:t>T</w:t>
      </w:r>
      <w:r w:rsidR="00313150" w:rsidRPr="00E77506">
        <w:rPr>
          <w:rFonts w:cs="Calibri"/>
          <w:sz w:val="20"/>
          <w:szCs w:val="20"/>
          <w:lang w:val="en-ID"/>
        </w:rPr>
        <w:t xml:space="preserve">he </w:t>
      </w:r>
      <w:r w:rsidR="00AC011A" w:rsidRPr="00E77506">
        <w:rPr>
          <w:rFonts w:cs="Calibri"/>
          <w:sz w:val="20"/>
          <w:szCs w:val="20"/>
          <w:lang w:val="en-ID"/>
        </w:rPr>
        <w:t>actions</w:t>
      </w:r>
      <w:r w:rsidR="001D0720" w:rsidRPr="00E77506">
        <w:rPr>
          <w:rFonts w:cs="Calibri"/>
          <w:sz w:val="20"/>
          <w:szCs w:val="20"/>
          <w:lang w:val="en-ID"/>
        </w:rPr>
        <w:t xml:space="preserve"> outlined </w:t>
      </w:r>
      <w:r w:rsidR="003C27DC" w:rsidRPr="00E77506">
        <w:rPr>
          <w:rFonts w:cs="Calibri"/>
          <w:sz w:val="20"/>
          <w:szCs w:val="20"/>
          <w:lang w:val="en-ID"/>
        </w:rPr>
        <w:t>below</w:t>
      </w:r>
      <w:r w:rsidR="00AC011A" w:rsidRPr="00E77506">
        <w:rPr>
          <w:rFonts w:cs="Calibri"/>
          <w:sz w:val="20"/>
          <w:szCs w:val="20"/>
          <w:lang w:val="en-ID"/>
        </w:rPr>
        <w:t xml:space="preserve"> will be implemented</w:t>
      </w:r>
      <w:r w:rsidR="001D0720" w:rsidRPr="00E77506">
        <w:rPr>
          <w:rFonts w:cs="Calibri"/>
          <w:sz w:val="20"/>
          <w:szCs w:val="20"/>
          <w:lang w:val="en-ID"/>
        </w:rPr>
        <w:t xml:space="preserve"> by DFAT</w:t>
      </w:r>
      <w:r w:rsidR="00AC011A" w:rsidRPr="00E77506">
        <w:rPr>
          <w:rFonts w:cs="Calibri"/>
          <w:sz w:val="20"/>
          <w:szCs w:val="20"/>
          <w:lang w:val="en-ID"/>
        </w:rPr>
        <w:t xml:space="preserve"> on an ongoing basis</w:t>
      </w:r>
      <w:r w:rsidR="001D0720" w:rsidRPr="00E77506">
        <w:rPr>
          <w:rFonts w:cs="Calibri"/>
          <w:sz w:val="20"/>
          <w:szCs w:val="20"/>
          <w:lang w:val="en-ID"/>
        </w:rPr>
        <w:t>,</w:t>
      </w:r>
      <w:r w:rsidR="00AC011A" w:rsidRPr="00E77506">
        <w:rPr>
          <w:rFonts w:cs="Calibri"/>
          <w:sz w:val="20"/>
          <w:szCs w:val="20"/>
          <w:lang w:val="en-ID"/>
        </w:rPr>
        <w:t xml:space="preserve"> </w:t>
      </w:r>
      <w:r w:rsidR="001D0720" w:rsidRPr="00E77506">
        <w:rPr>
          <w:rFonts w:cs="Calibri"/>
          <w:sz w:val="20"/>
          <w:szCs w:val="20"/>
          <w:lang w:val="en-ID"/>
        </w:rPr>
        <w:t xml:space="preserve">with </w:t>
      </w:r>
      <w:r w:rsidR="07B461A2" w:rsidRPr="00E77506">
        <w:rPr>
          <w:rFonts w:cs="Calibri"/>
          <w:sz w:val="20"/>
          <w:szCs w:val="20"/>
          <w:lang w:val="en-ID"/>
        </w:rPr>
        <w:t>lessons</w:t>
      </w:r>
      <w:r w:rsidR="001D0720" w:rsidRPr="00E77506">
        <w:rPr>
          <w:rFonts w:cs="Calibri"/>
          <w:sz w:val="20"/>
          <w:szCs w:val="20"/>
          <w:lang w:val="en-ID"/>
        </w:rPr>
        <w:t xml:space="preserve"> learned</w:t>
      </w:r>
      <w:r w:rsidR="07B461A2" w:rsidRPr="00E77506">
        <w:rPr>
          <w:rFonts w:cs="Calibri"/>
          <w:sz w:val="20"/>
          <w:szCs w:val="20"/>
          <w:lang w:val="en-ID"/>
        </w:rPr>
        <w:t xml:space="preserve"> </w:t>
      </w:r>
      <w:r w:rsidR="009A0E58" w:rsidRPr="00E77506">
        <w:rPr>
          <w:rFonts w:cs="Calibri"/>
          <w:sz w:val="20"/>
          <w:szCs w:val="20"/>
          <w:lang w:val="en-ID"/>
        </w:rPr>
        <w:t xml:space="preserve">used </w:t>
      </w:r>
      <w:r w:rsidR="000039A2" w:rsidRPr="00E77506">
        <w:rPr>
          <w:rFonts w:cs="Calibri"/>
          <w:sz w:val="20"/>
          <w:szCs w:val="20"/>
          <w:lang w:val="en-ID"/>
        </w:rPr>
        <w:t>to inform future programming.</w:t>
      </w:r>
    </w:p>
    <w:p w14:paraId="20BC774C" w14:textId="77174949" w:rsidR="00CF1C3A" w:rsidRPr="000039A2" w:rsidRDefault="00CF1C3A" w:rsidP="002450B9">
      <w:pPr>
        <w:rPr>
          <w:lang w:val="en-ID"/>
        </w:rPr>
      </w:pPr>
    </w:p>
    <w:p w14:paraId="63A84AB7" w14:textId="77777777" w:rsidR="002635F3" w:rsidRPr="00EE0EDC" w:rsidRDefault="002635F3" w:rsidP="002635F3">
      <w:pPr>
        <w:pStyle w:val="Heading2"/>
        <w:rPr>
          <w:lang w:val="en-US"/>
        </w:rPr>
        <w:sectPr w:rsidR="002635F3" w:rsidRPr="00EE0EDC" w:rsidSect="00C31081">
          <w:headerReference w:type="default" r:id="rId9"/>
          <w:footerReference w:type="default" r:id="rId10"/>
          <w:pgSz w:w="11906" w:h="16838"/>
          <w:pgMar w:top="1440" w:right="1440" w:bottom="1440" w:left="1440" w:header="708" w:footer="708" w:gutter="0"/>
          <w:cols w:space="708"/>
          <w:docGrid w:linePitch="360"/>
        </w:sectPr>
      </w:pPr>
    </w:p>
    <w:p w14:paraId="24204492" w14:textId="58C42BDE" w:rsidR="00EF6F30" w:rsidRDefault="002635F3" w:rsidP="002635F3">
      <w:pPr>
        <w:pStyle w:val="Heading2"/>
        <w:rPr>
          <w:color w:val="C00000"/>
        </w:rPr>
      </w:pPr>
      <w:r w:rsidRPr="00541517">
        <w:rPr>
          <w:color w:val="C00000"/>
        </w:rPr>
        <w:lastRenderedPageBreak/>
        <w:t>Management response to the summary of recommendations</w:t>
      </w:r>
    </w:p>
    <w:p w14:paraId="57D19A0E" w14:textId="77777777" w:rsidR="0047119C" w:rsidRPr="008222FE" w:rsidRDefault="0047119C" w:rsidP="009950AE">
      <w:pPr>
        <w:pStyle w:val="Heading3"/>
      </w:pPr>
      <w:r w:rsidRPr="008222FE">
        <w:t>Recommendation 1</w:t>
      </w:r>
    </w:p>
    <w:p w14:paraId="2483EF56" w14:textId="1F0FF44A" w:rsidR="003E6D2A" w:rsidRPr="009950AE" w:rsidRDefault="0047119C" w:rsidP="0047119C">
      <w:pPr>
        <w:rPr>
          <w:rFonts w:cs="Calibri"/>
          <w:b/>
          <w:bCs/>
          <w:sz w:val="20"/>
          <w:szCs w:val="16"/>
        </w:rPr>
      </w:pPr>
      <w:r w:rsidRPr="009950AE">
        <w:rPr>
          <w:rFonts w:cs="Calibri"/>
          <w:b/>
          <w:bCs/>
          <w:sz w:val="20"/>
          <w:szCs w:val="16"/>
        </w:rPr>
        <w:t xml:space="preserve">DFAT should implement a modality </w:t>
      </w:r>
      <w:proofErr w:type="gramStart"/>
      <w:r w:rsidRPr="009950AE">
        <w:rPr>
          <w:rFonts w:cs="Calibri"/>
          <w:b/>
          <w:bCs/>
          <w:sz w:val="20"/>
          <w:szCs w:val="16"/>
        </w:rPr>
        <w:t>similar to</w:t>
      </w:r>
      <w:proofErr w:type="gramEnd"/>
      <w:r w:rsidRPr="009950AE">
        <w:rPr>
          <w:rFonts w:cs="Calibri"/>
          <w:b/>
          <w:bCs/>
          <w:sz w:val="20"/>
          <w:szCs w:val="16"/>
        </w:rPr>
        <w:t xml:space="preserve"> VAHSI in future emergency situations for provision of vaccines (and potentially other emergency supplies), with emphasis on early bilateral support, as well as maintaining multilateral support</w:t>
      </w:r>
    </w:p>
    <w:p w14:paraId="1A412413" w14:textId="4CA1E8E5" w:rsidR="0047119C" w:rsidRDefault="00B73995" w:rsidP="009F56D8">
      <w:pPr>
        <w:pStyle w:val="Heading4"/>
        <w:rPr>
          <w:rFonts w:cs="Calibri"/>
          <w:sz w:val="20"/>
          <w:szCs w:val="16"/>
        </w:rPr>
      </w:pPr>
      <w:r>
        <w:t xml:space="preserve">DFAT </w:t>
      </w:r>
      <w:r w:rsidR="0047119C">
        <w:t>Response</w:t>
      </w:r>
      <w:r w:rsidR="009F56D8">
        <w:t xml:space="preserve">: </w:t>
      </w:r>
      <w:r w:rsidR="0047119C" w:rsidRPr="009F56D8">
        <w:rPr>
          <w:i w:val="0"/>
          <w:iCs w:val="0"/>
          <w:color w:val="auto"/>
          <w:sz w:val="20"/>
          <w:szCs w:val="20"/>
        </w:rPr>
        <w:t>Noted</w:t>
      </w:r>
    </w:p>
    <w:p w14:paraId="1FEA756C" w14:textId="1B5AC156" w:rsidR="0047119C" w:rsidRPr="0047119C" w:rsidRDefault="00B73995" w:rsidP="002C2079">
      <w:pPr>
        <w:pStyle w:val="Heading4"/>
      </w:pPr>
      <w:r>
        <w:t xml:space="preserve">DFAT </w:t>
      </w:r>
      <w:r w:rsidR="0047119C" w:rsidRPr="0047119C">
        <w:t>Action plan</w:t>
      </w:r>
    </w:p>
    <w:p w14:paraId="1CA1E3EE" w14:textId="0111C9A0" w:rsidR="0047119C" w:rsidRDefault="0047119C" w:rsidP="00763F78">
      <w:pPr>
        <w:spacing w:line="276" w:lineRule="auto"/>
        <w:contextualSpacing/>
        <w:rPr>
          <w:sz w:val="20"/>
          <w:szCs w:val="20"/>
          <w:lang w:val="en-GB"/>
        </w:rPr>
      </w:pPr>
      <w:r>
        <w:rPr>
          <w:sz w:val="20"/>
          <w:szCs w:val="20"/>
          <w:lang w:val="en-GB"/>
        </w:rPr>
        <w:t>DFAT</w:t>
      </w:r>
      <w:r w:rsidRPr="35D70B4B">
        <w:rPr>
          <w:sz w:val="20"/>
          <w:szCs w:val="20"/>
          <w:lang w:val="en-GB"/>
        </w:rPr>
        <w:t xml:space="preserve"> will draw on lessons identified during VAHSI implementation – including the importance of early bilateral support and maintenance of multilateral support in between emergencies – to inform future health </w:t>
      </w:r>
      <w:r>
        <w:rPr>
          <w:sz w:val="20"/>
          <w:szCs w:val="20"/>
          <w:lang w:val="en-GB"/>
        </w:rPr>
        <w:t xml:space="preserve">investments as well as future health </w:t>
      </w:r>
      <w:r w:rsidRPr="35D70B4B">
        <w:rPr>
          <w:sz w:val="20"/>
          <w:szCs w:val="20"/>
          <w:lang w:val="en-GB"/>
        </w:rPr>
        <w:t xml:space="preserve">emergency </w:t>
      </w:r>
      <w:r>
        <w:rPr>
          <w:sz w:val="20"/>
          <w:szCs w:val="20"/>
          <w:lang w:val="en-GB"/>
        </w:rPr>
        <w:t xml:space="preserve">preparedness and </w:t>
      </w:r>
      <w:r w:rsidRPr="35D70B4B">
        <w:rPr>
          <w:sz w:val="20"/>
          <w:szCs w:val="20"/>
          <w:lang w:val="en-GB"/>
        </w:rPr>
        <w:t>response</w:t>
      </w:r>
      <w:r>
        <w:rPr>
          <w:sz w:val="20"/>
          <w:szCs w:val="20"/>
          <w:lang w:val="en-GB"/>
        </w:rPr>
        <w:t xml:space="preserve"> activities</w:t>
      </w:r>
      <w:r w:rsidRPr="35D70B4B">
        <w:rPr>
          <w:sz w:val="20"/>
          <w:szCs w:val="20"/>
          <w:lang w:val="en-GB"/>
        </w:rPr>
        <w:t>.</w:t>
      </w:r>
    </w:p>
    <w:p w14:paraId="09B1DAC9" w14:textId="77777777" w:rsidR="0047119C" w:rsidRDefault="0047119C" w:rsidP="00763F78">
      <w:pPr>
        <w:spacing w:line="276" w:lineRule="auto"/>
        <w:contextualSpacing/>
        <w:rPr>
          <w:sz w:val="20"/>
          <w:szCs w:val="20"/>
        </w:rPr>
      </w:pPr>
    </w:p>
    <w:p w14:paraId="072302C7" w14:textId="2270AE8F" w:rsidR="0047119C" w:rsidRPr="00E77506" w:rsidRDefault="0047119C" w:rsidP="00763F78">
      <w:pPr>
        <w:pStyle w:val="Boxtext"/>
        <w:spacing w:line="276" w:lineRule="auto"/>
        <w:contextualSpacing/>
        <w:rPr>
          <w:rFonts w:asciiTheme="minorHAnsi" w:hAnsiTheme="minorHAnsi" w:cs="Calibri"/>
          <w:sz w:val="20"/>
          <w:szCs w:val="20"/>
        </w:rPr>
      </w:pPr>
      <w:r w:rsidRPr="00E77506">
        <w:rPr>
          <w:rFonts w:asciiTheme="minorHAnsi" w:hAnsiTheme="minorHAnsi" w:cs="Calibri"/>
          <w:sz w:val="20"/>
          <w:szCs w:val="20"/>
        </w:rPr>
        <w:t xml:space="preserve">Australian responses to health emergencies will also be guided by policies on international development and humanitarian assistance. Under the </w:t>
      </w:r>
      <w:r w:rsidRPr="00E77506">
        <w:rPr>
          <w:rFonts w:asciiTheme="minorHAnsi" w:hAnsiTheme="minorHAnsi" w:cs="Calibri"/>
          <w:i/>
          <w:iCs/>
          <w:sz w:val="20"/>
          <w:szCs w:val="20"/>
        </w:rPr>
        <w:t>International Development Policy for a Peaceful, Stable and Prosperous Indo-Pacific</w:t>
      </w:r>
      <w:r w:rsidRPr="00E77506">
        <w:rPr>
          <w:rFonts w:asciiTheme="minorHAnsi" w:hAnsiTheme="minorHAnsi" w:cs="Calibri"/>
          <w:sz w:val="20"/>
          <w:szCs w:val="20"/>
        </w:rPr>
        <w:t xml:space="preserve"> policy, Australia’s approach to development assistance program planning and delivery is underpinned by principles of quality, accountability and responding to partner priorities. </w:t>
      </w:r>
      <w:r w:rsidRPr="00E77506">
        <w:rPr>
          <w:rFonts w:asciiTheme="minorHAnsi" w:hAnsiTheme="minorHAnsi" w:cs="Calibri"/>
          <w:i/>
          <w:iCs/>
          <w:sz w:val="20"/>
          <w:szCs w:val="20"/>
        </w:rPr>
        <w:t>Australia’s Humanitarian Policy: Making a Difference for People in Crisis</w:t>
      </w:r>
      <w:r w:rsidRPr="00E77506">
        <w:rPr>
          <w:rFonts w:asciiTheme="minorHAnsi" w:hAnsiTheme="minorHAnsi" w:cs="Calibri"/>
          <w:sz w:val="20"/>
          <w:szCs w:val="20"/>
        </w:rPr>
        <w:t xml:space="preserve"> outlines how Australia will harness its resources and expertise to better prepare for and respond to humanitarian crises, prioritising readiness, rapid response, advocacy and protection of those most in need. </w:t>
      </w:r>
    </w:p>
    <w:p w14:paraId="652E30C8" w14:textId="77777777" w:rsidR="0047119C" w:rsidRDefault="0047119C" w:rsidP="00763F78">
      <w:pPr>
        <w:pStyle w:val="Boxtext"/>
        <w:spacing w:line="276" w:lineRule="auto"/>
        <w:contextualSpacing/>
        <w:rPr>
          <w:rFonts w:cs="Calibri"/>
          <w:sz w:val="20"/>
          <w:szCs w:val="20"/>
        </w:rPr>
      </w:pPr>
    </w:p>
    <w:p w14:paraId="5C50A39F" w14:textId="60CF08D7" w:rsidR="0047119C" w:rsidRDefault="0047119C" w:rsidP="00763F78">
      <w:pPr>
        <w:spacing w:line="276" w:lineRule="auto"/>
        <w:contextualSpacing/>
        <w:rPr>
          <w:rFonts w:cs="Calibri"/>
          <w:sz w:val="20"/>
          <w:szCs w:val="20"/>
        </w:rPr>
      </w:pPr>
      <w:r w:rsidRPr="35D70B4B">
        <w:rPr>
          <w:rFonts w:cs="Calibri"/>
          <w:sz w:val="20"/>
          <w:szCs w:val="20"/>
        </w:rPr>
        <w:t xml:space="preserve">Ongoing Australian support for improved global, regional and national health outcomes through multilateral mechanisms includes a </w:t>
      </w:r>
      <w:r>
        <w:rPr>
          <w:rFonts w:cs="Calibri"/>
          <w:sz w:val="20"/>
          <w:szCs w:val="20"/>
        </w:rPr>
        <w:t>core voluntary funding</w:t>
      </w:r>
      <w:r w:rsidRPr="35D70B4B">
        <w:rPr>
          <w:rFonts w:cs="Calibri"/>
          <w:sz w:val="20"/>
          <w:szCs w:val="20"/>
        </w:rPr>
        <w:t xml:space="preserve"> to the </w:t>
      </w:r>
      <w:r w:rsidRPr="00B96B27">
        <w:rPr>
          <w:rFonts w:cs="Calibri"/>
          <w:sz w:val="20"/>
          <w:szCs w:val="20"/>
        </w:rPr>
        <w:t>World Health Organi</w:t>
      </w:r>
      <w:r>
        <w:rPr>
          <w:rFonts w:cs="Calibri"/>
          <w:sz w:val="20"/>
          <w:szCs w:val="20"/>
        </w:rPr>
        <w:t>z</w:t>
      </w:r>
      <w:r w:rsidRPr="00B96B27">
        <w:rPr>
          <w:rFonts w:cs="Calibri"/>
          <w:sz w:val="20"/>
          <w:szCs w:val="20"/>
        </w:rPr>
        <w:t>ation (AUD</w:t>
      </w:r>
      <w:r>
        <w:rPr>
          <w:rFonts w:cs="Calibri"/>
          <w:sz w:val="20"/>
          <w:szCs w:val="20"/>
        </w:rPr>
        <w:t>93</w:t>
      </w:r>
      <w:r w:rsidRPr="00B96B27">
        <w:rPr>
          <w:rFonts w:cs="Calibri"/>
          <w:sz w:val="20"/>
          <w:szCs w:val="20"/>
        </w:rPr>
        <w:t> million 2022-202</w:t>
      </w:r>
      <w:r>
        <w:rPr>
          <w:rFonts w:cs="Calibri"/>
          <w:sz w:val="20"/>
          <w:szCs w:val="20"/>
        </w:rPr>
        <w:t>8</w:t>
      </w:r>
      <w:r w:rsidRPr="00B96B27">
        <w:rPr>
          <w:rFonts w:cs="Calibri"/>
          <w:sz w:val="20"/>
          <w:szCs w:val="20"/>
        </w:rPr>
        <w:t>),</w:t>
      </w:r>
      <w:r w:rsidRPr="35D70B4B">
        <w:rPr>
          <w:rFonts w:cs="Calibri"/>
          <w:sz w:val="20"/>
          <w:szCs w:val="20"/>
        </w:rPr>
        <w:t xml:space="preserve"> as well as the WHO Health Emergencies Program</w:t>
      </w:r>
      <w:r w:rsidR="00AD3699">
        <w:rPr>
          <w:rFonts w:cs="Calibri"/>
          <w:sz w:val="20"/>
          <w:szCs w:val="20"/>
        </w:rPr>
        <w:t>me</w:t>
      </w:r>
      <w:r w:rsidRPr="35D70B4B">
        <w:rPr>
          <w:rFonts w:cs="Calibri"/>
          <w:sz w:val="20"/>
          <w:szCs w:val="20"/>
        </w:rPr>
        <w:t xml:space="preserve"> (AUD25 million 2023-2027). Australia also supports </w:t>
      </w:r>
      <w:r w:rsidR="000D7FE7">
        <w:rPr>
          <w:rFonts w:cs="Calibri"/>
          <w:sz w:val="20"/>
          <w:szCs w:val="20"/>
        </w:rPr>
        <w:t>U</w:t>
      </w:r>
      <w:r w:rsidRPr="35D70B4B">
        <w:rPr>
          <w:rFonts w:cs="Calibri"/>
          <w:sz w:val="20"/>
          <w:szCs w:val="20"/>
        </w:rPr>
        <w:t xml:space="preserve">niversal </w:t>
      </w:r>
      <w:r w:rsidR="000D7FE7">
        <w:rPr>
          <w:rFonts w:cs="Calibri"/>
          <w:sz w:val="20"/>
          <w:szCs w:val="20"/>
        </w:rPr>
        <w:t>H</w:t>
      </w:r>
      <w:r w:rsidRPr="35D70B4B">
        <w:rPr>
          <w:rFonts w:cs="Calibri"/>
          <w:sz w:val="20"/>
          <w:szCs w:val="20"/>
        </w:rPr>
        <w:t xml:space="preserve">ealth </w:t>
      </w:r>
      <w:r w:rsidR="000D7FE7">
        <w:rPr>
          <w:rFonts w:cs="Calibri"/>
          <w:sz w:val="20"/>
          <w:szCs w:val="20"/>
        </w:rPr>
        <w:t>C</w:t>
      </w:r>
      <w:r w:rsidRPr="35D70B4B">
        <w:rPr>
          <w:rFonts w:cs="Calibri"/>
          <w:sz w:val="20"/>
          <w:szCs w:val="20"/>
        </w:rPr>
        <w:t xml:space="preserve">overage </w:t>
      </w:r>
      <w:r w:rsidR="00876127">
        <w:rPr>
          <w:rFonts w:cs="Calibri"/>
          <w:sz w:val="20"/>
          <w:szCs w:val="20"/>
        </w:rPr>
        <w:t xml:space="preserve">through its investment in the </w:t>
      </w:r>
      <w:r w:rsidRPr="35D70B4B">
        <w:rPr>
          <w:rFonts w:cs="Calibri"/>
          <w:sz w:val="20"/>
          <w:szCs w:val="20"/>
        </w:rPr>
        <w:t xml:space="preserve">World Bank </w:t>
      </w:r>
      <w:r w:rsidR="00876127">
        <w:rPr>
          <w:rFonts w:cs="Calibri"/>
          <w:sz w:val="20"/>
          <w:szCs w:val="20"/>
        </w:rPr>
        <w:t>(</w:t>
      </w:r>
      <w:r w:rsidRPr="35D70B4B">
        <w:rPr>
          <w:rFonts w:cs="Calibri"/>
          <w:sz w:val="20"/>
          <w:szCs w:val="20"/>
        </w:rPr>
        <w:t>AUD76.7 million 2015-2026)</w:t>
      </w:r>
      <w:r w:rsidR="003F05E3">
        <w:rPr>
          <w:rFonts w:cs="Calibri"/>
          <w:sz w:val="20"/>
          <w:szCs w:val="20"/>
        </w:rPr>
        <w:t>;</w:t>
      </w:r>
      <w:r w:rsidRPr="35D70B4B">
        <w:rPr>
          <w:rFonts w:cs="Calibri"/>
          <w:sz w:val="20"/>
          <w:szCs w:val="20"/>
        </w:rPr>
        <w:t xml:space="preserve"> access to quality sexual and reproductive health services </w:t>
      </w:r>
      <w:r w:rsidR="00B55076">
        <w:rPr>
          <w:rFonts w:cs="Calibri"/>
          <w:sz w:val="20"/>
          <w:szCs w:val="20"/>
        </w:rPr>
        <w:t xml:space="preserve">through its investment in </w:t>
      </w:r>
      <w:r w:rsidR="003F05E3">
        <w:rPr>
          <w:rFonts w:cs="Calibri"/>
          <w:sz w:val="20"/>
          <w:szCs w:val="20"/>
        </w:rPr>
        <w:t xml:space="preserve">the </w:t>
      </w:r>
      <w:r w:rsidR="003F05E3" w:rsidRPr="35D70B4B">
        <w:rPr>
          <w:rFonts w:cs="Calibri"/>
          <w:sz w:val="20"/>
          <w:szCs w:val="20"/>
        </w:rPr>
        <w:t>United Nations Population Fund supplies</w:t>
      </w:r>
      <w:r w:rsidR="003F05E3">
        <w:rPr>
          <w:rFonts w:cs="Calibri"/>
          <w:sz w:val="20"/>
          <w:szCs w:val="20"/>
        </w:rPr>
        <w:t xml:space="preserve"> (</w:t>
      </w:r>
      <w:r>
        <w:rPr>
          <w:rFonts w:cs="Calibri"/>
          <w:sz w:val="20"/>
          <w:szCs w:val="20"/>
        </w:rPr>
        <w:t>AUD15.25 </w:t>
      </w:r>
      <w:r w:rsidRPr="35D70B4B">
        <w:rPr>
          <w:rFonts w:cs="Calibri"/>
          <w:sz w:val="20"/>
          <w:szCs w:val="20"/>
        </w:rPr>
        <w:t xml:space="preserve">million </w:t>
      </w:r>
      <w:r>
        <w:rPr>
          <w:rFonts w:cs="Calibri"/>
          <w:sz w:val="20"/>
          <w:szCs w:val="20"/>
        </w:rPr>
        <w:t>2022</w:t>
      </w:r>
      <w:r w:rsidR="003F05E3">
        <w:rPr>
          <w:rFonts w:cs="Calibri"/>
          <w:sz w:val="20"/>
          <w:szCs w:val="20"/>
        </w:rPr>
        <w:noBreakHyphen/>
      </w:r>
      <w:r w:rsidRPr="35D70B4B">
        <w:rPr>
          <w:rFonts w:cs="Calibri"/>
          <w:sz w:val="20"/>
          <w:szCs w:val="20"/>
        </w:rPr>
        <w:t>20</w:t>
      </w:r>
      <w:r>
        <w:rPr>
          <w:rFonts w:cs="Calibri"/>
          <w:sz w:val="20"/>
          <w:szCs w:val="20"/>
        </w:rPr>
        <w:t>25</w:t>
      </w:r>
      <w:r w:rsidRPr="35D70B4B">
        <w:rPr>
          <w:rFonts w:cs="Calibri"/>
          <w:sz w:val="20"/>
          <w:szCs w:val="20"/>
        </w:rPr>
        <w:t>)</w:t>
      </w:r>
      <w:r w:rsidR="00E30138">
        <w:rPr>
          <w:rFonts w:cs="Calibri"/>
          <w:sz w:val="20"/>
          <w:szCs w:val="20"/>
        </w:rPr>
        <w:t>;</w:t>
      </w:r>
      <w:r w:rsidRPr="35D70B4B">
        <w:rPr>
          <w:rFonts w:cs="Calibri"/>
          <w:sz w:val="20"/>
          <w:szCs w:val="20"/>
        </w:rPr>
        <w:t xml:space="preserve"> immunology, virology and vaccine development </w:t>
      </w:r>
      <w:r w:rsidR="00E30138">
        <w:rPr>
          <w:rFonts w:cs="Calibri"/>
          <w:sz w:val="20"/>
          <w:szCs w:val="20"/>
        </w:rPr>
        <w:t>through</w:t>
      </w:r>
      <w:r w:rsidR="00AA3207">
        <w:rPr>
          <w:rFonts w:cs="Calibri"/>
          <w:sz w:val="20"/>
          <w:szCs w:val="20"/>
        </w:rPr>
        <w:t xml:space="preserve"> contributions to</w:t>
      </w:r>
      <w:r w:rsidR="00E30138">
        <w:rPr>
          <w:rFonts w:cs="Calibri"/>
          <w:sz w:val="20"/>
          <w:szCs w:val="20"/>
        </w:rPr>
        <w:t xml:space="preserve"> </w:t>
      </w:r>
      <w:r w:rsidRPr="35D70B4B">
        <w:rPr>
          <w:rFonts w:cs="Calibri"/>
          <w:sz w:val="20"/>
          <w:szCs w:val="20"/>
        </w:rPr>
        <w:t>Gavi</w:t>
      </w:r>
      <w:r w:rsidR="00AA3207">
        <w:rPr>
          <w:rFonts w:cs="Calibri"/>
          <w:sz w:val="20"/>
          <w:szCs w:val="20"/>
        </w:rPr>
        <w:t>,</w:t>
      </w:r>
      <w:r w:rsidRPr="35D70B4B">
        <w:rPr>
          <w:rFonts w:cs="Calibri"/>
          <w:sz w:val="20"/>
          <w:szCs w:val="20"/>
        </w:rPr>
        <w:t xml:space="preserve"> the Vaccine Alliance </w:t>
      </w:r>
      <w:r w:rsidR="00E30138">
        <w:rPr>
          <w:rFonts w:cs="Calibri"/>
          <w:sz w:val="20"/>
          <w:szCs w:val="20"/>
        </w:rPr>
        <w:t>(</w:t>
      </w:r>
      <w:r w:rsidRPr="35D70B4B">
        <w:rPr>
          <w:rFonts w:cs="Calibri"/>
          <w:sz w:val="20"/>
          <w:szCs w:val="20"/>
        </w:rPr>
        <w:t>AUD</w:t>
      </w:r>
      <w:r w:rsidR="00012357">
        <w:rPr>
          <w:rFonts w:cs="Calibri"/>
          <w:sz w:val="20"/>
          <w:szCs w:val="20"/>
        </w:rPr>
        <w:t>300</w:t>
      </w:r>
      <w:r w:rsidR="00E30138">
        <w:rPr>
          <w:rFonts w:cs="Calibri"/>
          <w:sz w:val="20"/>
          <w:szCs w:val="20"/>
        </w:rPr>
        <w:t> </w:t>
      </w:r>
      <w:r w:rsidRPr="35D70B4B">
        <w:rPr>
          <w:rFonts w:cs="Calibri"/>
          <w:sz w:val="20"/>
          <w:szCs w:val="20"/>
        </w:rPr>
        <w:t>million 20</w:t>
      </w:r>
      <w:r w:rsidR="00012357">
        <w:rPr>
          <w:rFonts w:cs="Calibri"/>
          <w:sz w:val="20"/>
          <w:szCs w:val="20"/>
        </w:rPr>
        <w:t>2</w:t>
      </w:r>
      <w:r w:rsidRPr="35D70B4B">
        <w:rPr>
          <w:rFonts w:cs="Calibri"/>
          <w:sz w:val="20"/>
          <w:szCs w:val="20"/>
        </w:rPr>
        <w:t>1-20</w:t>
      </w:r>
      <w:r w:rsidR="00012357">
        <w:rPr>
          <w:rFonts w:cs="Calibri"/>
          <w:sz w:val="20"/>
          <w:szCs w:val="20"/>
        </w:rPr>
        <w:t>25</w:t>
      </w:r>
      <w:r w:rsidRPr="35D70B4B">
        <w:rPr>
          <w:rFonts w:cs="Calibri"/>
          <w:sz w:val="20"/>
          <w:szCs w:val="20"/>
        </w:rPr>
        <w:t>)</w:t>
      </w:r>
      <w:r w:rsidR="00E30138">
        <w:rPr>
          <w:rFonts w:cs="Calibri"/>
          <w:sz w:val="20"/>
          <w:szCs w:val="20"/>
        </w:rPr>
        <w:t>;</w:t>
      </w:r>
      <w:r w:rsidRPr="35D70B4B">
        <w:rPr>
          <w:rFonts w:cs="Calibri"/>
          <w:sz w:val="20"/>
          <w:szCs w:val="20"/>
        </w:rPr>
        <w:t xml:space="preserve"> and </w:t>
      </w:r>
      <w:r>
        <w:rPr>
          <w:rFonts w:cs="Calibri"/>
          <w:sz w:val="20"/>
          <w:szCs w:val="20"/>
        </w:rPr>
        <w:t xml:space="preserve">supporting </w:t>
      </w:r>
      <w:r w:rsidRPr="35D70B4B">
        <w:rPr>
          <w:rFonts w:cs="Calibri"/>
          <w:sz w:val="20"/>
          <w:szCs w:val="20"/>
        </w:rPr>
        <w:t>pandemic preparedness and response</w:t>
      </w:r>
      <w:r>
        <w:rPr>
          <w:rFonts w:cs="Calibri"/>
          <w:sz w:val="20"/>
          <w:szCs w:val="20"/>
        </w:rPr>
        <w:t xml:space="preserve"> </w:t>
      </w:r>
      <w:r w:rsidR="00E30138">
        <w:rPr>
          <w:rFonts w:cs="Calibri"/>
          <w:sz w:val="20"/>
          <w:szCs w:val="20"/>
        </w:rPr>
        <w:t xml:space="preserve">through </w:t>
      </w:r>
      <w:r w:rsidR="006D2EFE">
        <w:rPr>
          <w:rFonts w:cs="Calibri"/>
          <w:sz w:val="20"/>
          <w:szCs w:val="20"/>
        </w:rPr>
        <w:t xml:space="preserve">our support for </w:t>
      </w:r>
      <w:r w:rsidRPr="35D70B4B">
        <w:rPr>
          <w:rFonts w:cs="Calibri"/>
          <w:sz w:val="20"/>
          <w:szCs w:val="20"/>
        </w:rPr>
        <w:t>the Global Fund</w:t>
      </w:r>
      <w:r w:rsidR="00AA3207">
        <w:rPr>
          <w:rFonts w:cs="Calibri"/>
          <w:sz w:val="20"/>
          <w:szCs w:val="20"/>
        </w:rPr>
        <w:t xml:space="preserve"> to Fight AIDS, Tuberculosis and Malaria</w:t>
      </w:r>
      <w:r w:rsidRPr="35D70B4B">
        <w:rPr>
          <w:rFonts w:cs="Calibri"/>
          <w:sz w:val="20"/>
          <w:szCs w:val="20"/>
        </w:rPr>
        <w:t xml:space="preserve"> </w:t>
      </w:r>
      <w:r w:rsidR="00E30138">
        <w:rPr>
          <w:rFonts w:cs="Calibri"/>
          <w:sz w:val="20"/>
          <w:szCs w:val="20"/>
        </w:rPr>
        <w:t>(</w:t>
      </w:r>
      <w:r w:rsidRPr="35D70B4B">
        <w:rPr>
          <w:rFonts w:cs="Calibri"/>
          <w:sz w:val="20"/>
          <w:szCs w:val="20"/>
        </w:rPr>
        <w:t>AUD266 million 2023-2025).</w:t>
      </w:r>
    </w:p>
    <w:p w14:paraId="01152379" w14:textId="5CDA68E3" w:rsidR="0047119C" w:rsidRDefault="0047119C" w:rsidP="00B0193E">
      <w:pPr>
        <w:pStyle w:val="Heading4"/>
        <w:spacing w:after="0"/>
        <w:rPr>
          <w:i w:val="0"/>
          <w:iCs w:val="0"/>
          <w:color w:val="auto"/>
          <w:sz w:val="20"/>
          <w:szCs w:val="20"/>
        </w:rPr>
      </w:pPr>
      <w:r w:rsidRPr="0047119C">
        <w:t>Timeframe</w:t>
      </w:r>
      <w:r w:rsidR="009F56D8">
        <w:t xml:space="preserve">: </w:t>
      </w:r>
      <w:r w:rsidRPr="009F56D8">
        <w:rPr>
          <w:i w:val="0"/>
          <w:iCs w:val="0"/>
          <w:color w:val="auto"/>
          <w:sz w:val="20"/>
          <w:szCs w:val="20"/>
        </w:rPr>
        <w:t>Ongoing</w:t>
      </w:r>
    </w:p>
    <w:p w14:paraId="4283050F" w14:textId="77777777" w:rsidR="00B0193E" w:rsidRPr="00B0193E" w:rsidRDefault="00B0193E" w:rsidP="00B0193E">
      <w:pPr>
        <w:rPr>
          <w:lang w:val="en-AU"/>
        </w:rPr>
      </w:pPr>
    </w:p>
    <w:p w14:paraId="68DB9624" w14:textId="77777777" w:rsidR="00B73995" w:rsidRPr="008222FE" w:rsidRDefault="00B73995" w:rsidP="00B0193E">
      <w:pPr>
        <w:pStyle w:val="Heading3"/>
        <w:spacing w:before="0"/>
      </w:pPr>
      <w:r w:rsidRPr="008222FE">
        <w:t>Recommendation 2</w:t>
      </w:r>
    </w:p>
    <w:p w14:paraId="4B1BD040" w14:textId="77777777" w:rsidR="00B73995" w:rsidRPr="00267653" w:rsidRDefault="00B73995" w:rsidP="00B73995">
      <w:pPr>
        <w:pStyle w:val="Boxboldhead"/>
        <w:rPr>
          <w:rFonts w:asciiTheme="minorHAnsi" w:hAnsiTheme="minorHAnsi" w:cs="Calibri"/>
          <w:bCs/>
          <w:sz w:val="20"/>
          <w:szCs w:val="20"/>
        </w:rPr>
      </w:pPr>
      <w:r w:rsidRPr="00267653">
        <w:rPr>
          <w:rFonts w:asciiTheme="minorHAnsi" w:hAnsiTheme="minorHAnsi" w:cs="Calibri"/>
          <w:bCs/>
          <w:sz w:val="20"/>
          <w:szCs w:val="20"/>
        </w:rPr>
        <w:t>DFAT should facilitate rapid funding approval processes for delivery support during an emergency context</w:t>
      </w:r>
    </w:p>
    <w:p w14:paraId="2FC30E7C" w14:textId="4E38BFF8" w:rsidR="002C2079" w:rsidRPr="002C2079" w:rsidRDefault="002C2079" w:rsidP="009F56D8">
      <w:pPr>
        <w:pStyle w:val="Heading4"/>
        <w:rPr>
          <w:sz w:val="20"/>
          <w:szCs w:val="20"/>
        </w:rPr>
      </w:pPr>
      <w:r>
        <w:t>DFAT</w:t>
      </w:r>
      <w:r w:rsidR="00806AB1">
        <w:t xml:space="preserve"> </w:t>
      </w:r>
      <w:r>
        <w:t>Response</w:t>
      </w:r>
      <w:r w:rsidR="009F56D8">
        <w:t xml:space="preserve">: </w:t>
      </w:r>
      <w:r w:rsidRPr="009F56D8">
        <w:rPr>
          <w:i w:val="0"/>
          <w:iCs w:val="0"/>
          <w:color w:val="auto"/>
          <w:sz w:val="20"/>
          <w:szCs w:val="20"/>
        </w:rPr>
        <w:t>Agree</w:t>
      </w:r>
    </w:p>
    <w:p w14:paraId="40B0A9AC" w14:textId="77777777" w:rsidR="002C2079" w:rsidRPr="0047119C" w:rsidRDefault="002C2079" w:rsidP="002C2079">
      <w:pPr>
        <w:pStyle w:val="Heading4"/>
      </w:pPr>
      <w:r>
        <w:t xml:space="preserve">DFAT </w:t>
      </w:r>
      <w:r w:rsidRPr="0047119C">
        <w:t>Action plan</w:t>
      </w:r>
    </w:p>
    <w:p w14:paraId="7367B804" w14:textId="77777777" w:rsidR="00310C5F" w:rsidRPr="00267653" w:rsidRDefault="002C2079" w:rsidP="00465DB4">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 xml:space="preserve">The </w:t>
      </w:r>
      <w:r w:rsidRPr="00267653">
        <w:rPr>
          <w:rFonts w:asciiTheme="minorHAnsi" w:hAnsiTheme="minorHAnsi" w:cs="Calibri"/>
          <w:i/>
          <w:iCs/>
          <w:sz w:val="20"/>
          <w:szCs w:val="16"/>
        </w:rPr>
        <w:t>Public Governance, Performance and Accountability Act 2013</w:t>
      </w:r>
      <w:r w:rsidRPr="00267653">
        <w:rPr>
          <w:rFonts w:asciiTheme="minorHAnsi" w:hAnsiTheme="minorHAnsi" w:cs="Calibri"/>
          <w:sz w:val="20"/>
          <w:szCs w:val="16"/>
        </w:rPr>
        <w:t xml:space="preserve"> (PGPA Act) supports the efficient, effective, economical and ethical use of Commonwealth resources. It is a requirement that all funding allocations managed by Commonwealth agencies satisfy the conditions set out in the PGPA Act. This process is central to the Australian Government’s ability to remain accountable to Australians and partners.</w:t>
      </w:r>
      <w:r w:rsidR="00CB4EC3" w:rsidRPr="00267653">
        <w:rPr>
          <w:rFonts w:asciiTheme="minorHAnsi" w:hAnsiTheme="minorHAnsi" w:cs="Calibri"/>
          <w:sz w:val="20"/>
          <w:szCs w:val="16"/>
        </w:rPr>
        <w:t xml:space="preserve"> </w:t>
      </w:r>
    </w:p>
    <w:p w14:paraId="1CF5018C" w14:textId="77777777" w:rsidR="00310C5F" w:rsidRPr="00267653" w:rsidRDefault="00310C5F" w:rsidP="00465DB4">
      <w:pPr>
        <w:pStyle w:val="Boxtext"/>
        <w:spacing w:after="0" w:line="276" w:lineRule="auto"/>
        <w:rPr>
          <w:rFonts w:asciiTheme="minorHAnsi" w:hAnsiTheme="minorHAnsi" w:cs="Calibri"/>
          <w:sz w:val="20"/>
          <w:szCs w:val="16"/>
        </w:rPr>
      </w:pPr>
    </w:p>
    <w:p w14:paraId="2EEF63BC" w14:textId="4389EA79" w:rsidR="002C2079" w:rsidRPr="00267653" w:rsidRDefault="002C2079" w:rsidP="00465DB4">
      <w:pPr>
        <w:pStyle w:val="Boxtext"/>
        <w:spacing w:after="0" w:line="276" w:lineRule="auto"/>
        <w:rPr>
          <w:rFonts w:asciiTheme="minorHAnsi" w:hAnsiTheme="minorHAnsi" w:cs="Calibri"/>
          <w:sz w:val="20"/>
          <w:szCs w:val="16"/>
        </w:rPr>
      </w:pPr>
      <w:r w:rsidRPr="00267653">
        <w:rPr>
          <w:rFonts w:asciiTheme="minorHAnsi" w:hAnsiTheme="minorHAnsi" w:cs="Calibri"/>
          <w:i/>
          <w:iCs/>
          <w:sz w:val="20"/>
          <w:szCs w:val="16"/>
        </w:rPr>
        <w:t>Australia’s Humanitarian Policy: Making a Difference for People in Crisis</w:t>
      </w:r>
      <w:r w:rsidRPr="00267653">
        <w:rPr>
          <w:rFonts w:asciiTheme="minorHAnsi" w:hAnsiTheme="minorHAnsi" w:cs="Calibri"/>
          <w:sz w:val="20"/>
          <w:szCs w:val="16"/>
        </w:rPr>
        <w:t xml:space="preserve"> commits to respond in a timely manner to crises and within 48 hours of a request for assistance from a country in the Indo-Pacific to rapid onset emergencies. This is part of a set of actions committed to deliver effective response to crises </w:t>
      </w:r>
      <w:r w:rsidRPr="00267653">
        <w:rPr>
          <w:rFonts w:asciiTheme="minorHAnsi" w:hAnsiTheme="minorHAnsi" w:cs="Calibri"/>
          <w:sz w:val="20"/>
          <w:szCs w:val="16"/>
        </w:rPr>
        <w:lastRenderedPageBreak/>
        <w:t>and disasters. Australia is building flexible and shock responsive programming to enable quick reallocation of resources and scale up.</w:t>
      </w:r>
    </w:p>
    <w:p w14:paraId="697811BD" w14:textId="06CFE763" w:rsidR="00B73995" w:rsidRDefault="002C2079" w:rsidP="009F56D8">
      <w:pPr>
        <w:pStyle w:val="Heading4"/>
        <w:rPr>
          <w:i w:val="0"/>
          <w:iCs w:val="0"/>
          <w:color w:val="auto"/>
          <w:sz w:val="20"/>
          <w:szCs w:val="20"/>
        </w:rPr>
      </w:pPr>
      <w:r w:rsidRPr="0047119C">
        <w:t>Timeframe</w:t>
      </w:r>
      <w:r w:rsidR="009F56D8">
        <w:t xml:space="preserve">: </w:t>
      </w:r>
      <w:r w:rsidRPr="00CB4EC3">
        <w:rPr>
          <w:i w:val="0"/>
          <w:iCs w:val="0"/>
          <w:color w:val="auto"/>
          <w:sz w:val="20"/>
          <w:szCs w:val="20"/>
        </w:rPr>
        <w:t>Ongoing</w:t>
      </w:r>
    </w:p>
    <w:p w14:paraId="6EFA663A" w14:textId="77777777" w:rsidR="00B0193E" w:rsidRPr="00B0193E" w:rsidRDefault="00B0193E" w:rsidP="00B0193E">
      <w:pPr>
        <w:rPr>
          <w:lang w:val="en-AU"/>
        </w:rPr>
      </w:pPr>
    </w:p>
    <w:p w14:paraId="58B3D6AA" w14:textId="77777777" w:rsidR="002C2079" w:rsidRPr="008222FE" w:rsidRDefault="002C2079" w:rsidP="002C2079">
      <w:pPr>
        <w:pStyle w:val="Heading3"/>
        <w:rPr>
          <w:b/>
          <w:bCs/>
        </w:rPr>
      </w:pPr>
      <w:r w:rsidRPr="008222FE">
        <w:t>Recommendation 3</w:t>
      </w:r>
    </w:p>
    <w:p w14:paraId="398DA818" w14:textId="063F23E2" w:rsidR="002C2079" w:rsidRPr="004A5B1A" w:rsidRDefault="002C2079" w:rsidP="004A5B1A">
      <w:pPr>
        <w:rPr>
          <w:b/>
          <w:bCs/>
          <w:sz w:val="20"/>
          <w:szCs w:val="20"/>
        </w:rPr>
      </w:pPr>
      <w:r w:rsidRPr="004A5B1A">
        <w:rPr>
          <w:b/>
          <w:bCs/>
          <w:sz w:val="20"/>
          <w:szCs w:val="20"/>
        </w:rPr>
        <w:t>During interpandemic periods, DFAT should continue to prioritise investment in immunisation support that will build capacities and strengthen bilateral relationships with country partners, as well as in-country and multi-country agencies</w:t>
      </w:r>
    </w:p>
    <w:p w14:paraId="0BE37295" w14:textId="1D5E9532" w:rsidR="004A5B1A" w:rsidRPr="004A5B1A" w:rsidRDefault="002C2079" w:rsidP="00CA04CE">
      <w:pPr>
        <w:pStyle w:val="Heading4"/>
        <w:rPr>
          <w:sz w:val="20"/>
          <w:szCs w:val="20"/>
        </w:rPr>
      </w:pPr>
      <w:r>
        <w:t>DFAT Response</w:t>
      </w:r>
      <w:r w:rsidR="00CA04CE">
        <w:t xml:space="preserve">: </w:t>
      </w:r>
      <w:r w:rsidR="004A5B1A" w:rsidRPr="00CA04CE">
        <w:rPr>
          <w:i w:val="0"/>
          <w:iCs w:val="0"/>
          <w:color w:val="auto"/>
          <w:sz w:val="20"/>
          <w:szCs w:val="20"/>
        </w:rPr>
        <w:t>Agree</w:t>
      </w:r>
    </w:p>
    <w:p w14:paraId="16AC869F" w14:textId="6799A1DC" w:rsidR="002C2079" w:rsidRDefault="002C2079" w:rsidP="002C2079">
      <w:pPr>
        <w:pStyle w:val="Heading4"/>
      </w:pPr>
      <w:r>
        <w:t xml:space="preserve">DFAT </w:t>
      </w:r>
      <w:r w:rsidRPr="0047119C">
        <w:t>Action plan</w:t>
      </w:r>
    </w:p>
    <w:p w14:paraId="799EE616" w14:textId="77777777" w:rsidR="004A5B1A" w:rsidRPr="00267653" w:rsidRDefault="004A5B1A" w:rsidP="00465DB4">
      <w:pPr>
        <w:pStyle w:val="Boxtext"/>
        <w:spacing w:after="0" w:line="276" w:lineRule="auto"/>
        <w:contextualSpacing/>
        <w:rPr>
          <w:rFonts w:asciiTheme="minorHAnsi" w:hAnsiTheme="minorHAnsi" w:cs="Calibri"/>
          <w:sz w:val="20"/>
          <w:szCs w:val="16"/>
        </w:rPr>
      </w:pPr>
      <w:r w:rsidRPr="00267653">
        <w:rPr>
          <w:rFonts w:asciiTheme="minorHAnsi" w:hAnsiTheme="minorHAnsi" w:cs="Calibri"/>
          <w:sz w:val="20"/>
          <w:szCs w:val="16"/>
        </w:rPr>
        <w:t>Australia recognises the value in continuing to invest in immunisation support that builds national and regional capabilities and strengthens relationships with immunisation partners.</w:t>
      </w:r>
    </w:p>
    <w:p w14:paraId="5FEDCE6E" w14:textId="77777777" w:rsidR="004A5B1A" w:rsidRPr="00267653" w:rsidRDefault="004A5B1A" w:rsidP="00465DB4">
      <w:pPr>
        <w:pStyle w:val="Boxtext"/>
        <w:spacing w:after="0" w:line="276" w:lineRule="auto"/>
        <w:contextualSpacing/>
        <w:rPr>
          <w:rFonts w:asciiTheme="minorHAnsi" w:hAnsiTheme="minorHAnsi" w:cs="Calibri"/>
          <w:sz w:val="20"/>
          <w:szCs w:val="16"/>
        </w:rPr>
      </w:pPr>
    </w:p>
    <w:p w14:paraId="41154D38" w14:textId="4E78CDD4" w:rsidR="004A5B1A" w:rsidRPr="00267653" w:rsidRDefault="004A5B1A" w:rsidP="00465DB4">
      <w:pPr>
        <w:pStyle w:val="Boxtext"/>
        <w:spacing w:after="0" w:line="276" w:lineRule="auto"/>
        <w:contextualSpacing/>
        <w:rPr>
          <w:rFonts w:asciiTheme="minorHAnsi" w:hAnsiTheme="minorHAnsi" w:cs="Calibri"/>
          <w:sz w:val="20"/>
          <w:szCs w:val="16"/>
        </w:rPr>
      </w:pPr>
      <w:r w:rsidRPr="00267653">
        <w:rPr>
          <w:rFonts w:asciiTheme="minorHAnsi" w:hAnsiTheme="minorHAnsi" w:cs="Calibri"/>
          <w:sz w:val="20"/>
          <w:szCs w:val="16"/>
        </w:rPr>
        <w:t xml:space="preserve">Under the Australian Government’s flagship </w:t>
      </w:r>
      <w:r w:rsidRPr="00267653">
        <w:rPr>
          <w:rFonts w:asciiTheme="minorHAnsi" w:hAnsiTheme="minorHAnsi" w:cs="Calibri"/>
          <w:i/>
          <w:iCs/>
          <w:sz w:val="20"/>
          <w:szCs w:val="16"/>
        </w:rPr>
        <w:t>Partnerships for a Healthy Region</w:t>
      </w:r>
      <w:r w:rsidRPr="00267653">
        <w:rPr>
          <w:rFonts w:asciiTheme="minorHAnsi" w:hAnsiTheme="minorHAnsi" w:cs="Calibri"/>
          <w:sz w:val="20"/>
          <w:szCs w:val="16"/>
        </w:rPr>
        <w:t>, Australia continues to invest in immunisation</w:t>
      </w:r>
      <w:r w:rsidR="006D2EFE" w:rsidRPr="00267653">
        <w:rPr>
          <w:rFonts w:asciiTheme="minorHAnsi" w:hAnsiTheme="minorHAnsi" w:cs="Calibri"/>
          <w:sz w:val="20"/>
          <w:szCs w:val="16"/>
        </w:rPr>
        <w:t>, including</w:t>
      </w:r>
      <w:r w:rsidRPr="00267653">
        <w:rPr>
          <w:rFonts w:asciiTheme="minorHAnsi" w:hAnsiTheme="minorHAnsi" w:cs="Calibri"/>
          <w:sz w:val="20"/>
          <w:szCs w:val="16"/>
        </w:rPr>
        <w:t xml:space="preserve"> through the following activities:</w:t>
      </w:r>
    </w:p>
    <w:p w14:paraId="69402F77" w14:textId="4256F41F" w:rsidR="004A5B1A" w:rsidRPr="00267653" w:rsidRDefault="004A5B1A" w:rsidP="00465DB4">
      <w:pPr>
        <w:pStyle w:val="Boxtext"/>
        <w:numPr>
          <w:ilvl w:val="0"/>
          <w:numId w:val="9"/>
        </w:numPr>
        <w:spacing w:after="0" w:line="276" w:lineRule="auto"/>
        <w:contextualSpacing/>
        <w:rPr>
          <w:rFonts w:asciiTheme="minorHAnsi" w:hAnsiTheme="minorHAnsi" w:cs="Calibri"/>
          <w:b/>
          <w:bCs/>
          <w:sz w:val="20"/>
          <w:szCs w:val="16"/>
        </w:rPr>
      </w:pPr>
      <w:r w:rsidRPr="00267653">
        <w:rPr>
          <w:rFonts w:asciiTheme="minorHAnsi" w:hAnsiTheme="minorHAnsi" w:cs="Calibri"/>
          <w:b/>
          <w:bCs/>
          <w:sz w:val="20"/>
          <w:szCs w:val="16"/>
        </w:rPr>
        <w:t>The Elimination Partnership in the Indo-Pacific for Cervical Cancer (EPICC) (AUD16.5 million, 2024</w:t>
      </w:r>
      <w:r w:rsidR="0016635F" w:rsidRPr="00267653">
        <w:rPr>
          <w:rFonts w:asciiTheme="minorHAnsi" w:hAnsiTheme="minorHAnsi" w:cs="Calibri"/>
          <w:b/>
          <w:bCs/>
          <w:sz w:val="20"/>
          <w:szCs w:val="16"/>
        </w:rPr>
        <w:noBreakHyphen/>
        <w:t>20</w:t>
      </w:r>
      <w:r w:rsidRPr="00267653">
        <w:rPr>
          <w:rFonts w:asciiTheme="minorHAnsi" w:hAnsiTheme="minorHAnsi" w:cs="Calibri"/>
          <w:b/>
          <w:bCs/>
          <w:sz w:val="20"/>
          <w:szCs w:val="16"/>
        </w:rPr>
        <w:t xml:space="preserve">28), </w:t>
      </w:r>
      <w:r w:rsidRPr="00267653">
        <w:rPr>
          <w:rFonts w:asciiTheme="minorHAnsi" w:hAnsiTheme="minorHAnsi" w:cs="Calibri"/>
          <w:sz w:val="20"/>
          <w:szCs w:val="16"/>
        </w:rPr>
        <w:t>which includes support for HPV vaccination programs</w:t>
      </w:r>
      <w:r w:rsidR="0016635F" w:rsidRPr="00267653">
        <w:rPr>
          <w:rFonts w:asciiTheme="minorHAnsi" w:hAnsiTheme="minorHAnsi" w:cs="Calibri"/>
          <w:sz w:val="20"/>
          <w:szCs w:val="16"/>
        </w:rPr>
        <w:t>;</w:t>
      </w:r>
      <w:r w:rsidRPr="00267653">
        <w:rPr>
          <w:rFonts w:asciiTheme="minorHAnsi" w:hAnsiTheme="minorHAnsi" w:cs="Calibri"/>
          <w:sz w:val="20"/>
          <w:szCs w:val="16"/>
        </w:rPr>
        <w:t xml:space="preserve"> and</w:t>
      </w:r>
    </w:p>
    <w:p w14:paraId="5E69C511" w14:textId="5A979606" w:rsidR="004A5B1A" w:rsidRPr="00267653" w:rsidRDefault="00EE1CCA" w:rsidP="00465DB4">
      <w:pPr>
        <w:pStyle w:val="Boxtext"/>
        <w:numPr>
          <w:ilvl w:val="0"/>
          <w:numId w:val="9"/>
        </w:numPr>
        <w:spacing w:after="0" w:line="276" w:lineRule="auto"/>
        <w:contextualSpacing/>
        <w:rPr>
          <w:rFonts w:asciiTheme="minorHAnsi" w:hAnsiTheme="minorHAnsi" w:cs="Calibri"/>
          <w:sz w:val="20"/>
          <w:szCs w:val="16"/>
        </w:rPr>
      </w:pPr>
      <w:r w:rsidRPr="00267653">
        <w:rPr>
          <w:rFonts w:asciiTheme="minorHAnsi" w:hAnsiTheme="minorHAnsi" w:cs="Calibri"/>
          <w:sz w:val="20"/>
          <w:szCs w:val="16"/>
        </w:rPr>
        <w:t>support for</w:t>
      </w:r>
      <w:r w:rsidR="004A5B1A" w:rsidRPr="00267653">
        <w:rPr>
          <w:rFonts w:asciiTheme="minorHAnsi" w:hAnsiTheme="minorHAnsi" w:cs="Calibri"/>
          <w:sz w:val="20"/>
          <w:szCs w:val="16"/>
        </w:rPr>
        <w:t xml:space="preserve"> the </w:t>
      </w:r>
      <w:r w:rsidR="004A5B1A" w:rsidRPr="00267653">
        <w:rPr>
          <w:rFonts w:asciiTheme="minorHAnsi" w:hAnsiTheme="minorHAnsi" w:cs="Calibri"/>
          <w:b/>
          <w:bCs/>
          <w:sz w:val="20"/>
          <w:szCs w:val="16"/>
        </w:rPr>
        <w:t xml:space="preserve">National Centre for Immunisation Research and Surveillance </w:t>
      </w:r>
      <w:r w:rsidR="008D1D71" w:rsidRPr="00267653">
        <w:rPr>
          <w:rFonts w:asciiTheme="minorHAnsi" w:hAnsiTheme="minorHAnsi" w:cs="Calibri"/>
          <w:b/>
          <w:bCs/>
          <w:sz w:val="20"/>
          <w:szCs w:val="16"/>
        </w:rPr>
        <w:t xml:space="preserve">and Australian Regional Immunisation Alliance (ARIA) </w:t>
      </w:r>
      <w:r w:rsidR="004A5B1A" w:rsidRPr="00267653">
        <w:rPr>
          <w:rFonts w:asciiTheme="minorHAnsi" w:hAnsiTheme="minorHAnsi" w:cs="Calibri"/>
          <w:b/>
          <w:bCs/>
          <w:sz w:val="20"/>
          <w:szCs w:val="16"/>
        </w:rPr>
        <w:t>(AUD9 million 2024</w:t>
      </w:r>
      <w:r w:rsidR="007D6B72" w:rsidRPr="00267653">
        <w:rPr>
          <w:rFonts w:asciiTheme="minorHAnsi" w:hAnsiTheme="minorHAnsi" w:cs="Calibri"/>
          <w:b/>
          <w:bCs/>
          <w:sz w:val="20"/>
          <w:szCs w:val="16"/>
        </w:rPr>
        <w:t>-</w:t>
      </w:r>
      <w:r w:rsidR="004A5B1A" w:rsidRPr="00267653">
        <w:rPr>
          <w:rFonts w:asciiTheme="minorHAnsi" w:hAnsiTheme="minorHAnsi" w:cs="Calibri"/>
          <w:b/>
          <w:bCs/>
          <w:sz w:val="20"/>
          <w:szCs w:val="16"/>
        </w:rPr>
        <w:t>2028)</w:t>
      </w:r>
      <w:r w:rsidR="004A5B1A" w:rsidRPr="00267653">
        <w:rPr>
          <w:rFonts w:asciiTheme="minorHAnsi" w:hAnsiTheme="minorHAnsi" w:cs="Calibri"/>
          <w:sz w:val="20"/>
          <w:szCs w:val="16"/>
        </w:rPr>
        <w:t xml:space="preserve"> to reduce the incidence of vaccine-preventable diseases in the Pacific and Southeast Asia by strengthening </w:t>
      </w:r>
      <w:r w:rsidR="00295610" w:rsidRPr="00267653">
        <w:rPr>
          <w:rFonts w:asciiTheme="minorHAnsi" w:hAnsiTheme="minorHAnsi" w:cs="Calibri"/>
          <w:sz w:val="20"/>
          <w:szCs w:val="16"/>
        </w:rPr>
        <w:t xml:space="preserve">national </w:t>
      </w:r>
      <w:r w:rsidR="004A5B1A" w:rsidRPr="00267653">
        <w:rPr>
          <w:rFonts w:asciiTheme="minorHAnsi" w:hAnsiTheme="minorHAnsi" w:cs="Calibri"/>
          <w:sz w:val="20"/>
          <w:szCs w:val="16"/>
        </w:rPr>
        <w:t>immunisation systems and increasing equitable access to and coverage of new and existing vaccines. This is a targeted contribution that will provide funding for technical activities in Southeast Asia and Pacific countries.</w:t>
      </w:r>
    </w:p>
    <w:p w14:paraId="1AB9F90A" w14:textId="77777777" w:rsidR="004A5B1A" w:rsidRPr="00267653" w:rsidRDefault="004A5B1A" w:rsidP="00465DB4">
      <w:pPr>
        <w:pStyle w:val="Boxtext"/>
        <w:spacing w:after="0" w:line="276" w:lineRule="auto"/>
        <w:contextualSpacing/>
        <w:rPr>
          <w:rFonts w:asciiTheme="minorHAnsi" w:hAnsiTheme="minorHAnsi" w:cs="Calibri"/>
          <w:sz w:val="20"/>
          <w:szCs w:val="16"/>
        </w:rPr>
      </w:pPr>
    </w:p>
    <w:p w14:paraId="6B93C2A1" w14:textId="57995482" w:rsidR="004A5B1A" w:rsidRPr="00267653" w:rsidRDefault="004A5B1A" w:rsidP="00465DB4">
      <w:pPr>
        <w:pStyle w:val="Boxtext"/>
        <w:spacing w:after="0" w:line="276" w:lineRule="auto"/>
        <w:contextualSpacing/>
        <w:rPr>
          <w:rFonts w:asciiTheme="minorHAnsi" w:hAnsiTheme="minorHAnsi" w:cs="Calibri"/>
          <w:sz w:val="20"/>
          <w:szCs w:val="16"/>
          <w:lang w:val="en-US"/>
        </w:rPr>
      </w:pPr>
      <w:r w:rsidRPr="00267653">
        <w:rPr>
          <w:rFonts w:asciiTheme="minorHAnsi" w:hAnsiTheme="minorHAnsi" w:cs="Calibri"/>
          <w:sz w:val="20"/>
          <w:szCs w:val="16"/>
        </w:rPr>
        <w:t>These partnerships complement Australia’s AUD</w:t>
      </w:r>
      <w:r w:rsidR="00012357" w:rsidRPr="00267653">
        <w:rPr>
          <w:rFonts w:asciiTheme="minorHAnsi" w:hAnsiTheme="minorHAnsi" w:cs="Calibri"/>
          <w:sz w:val="20"/>
          <w:szCs w:val="16"/>
        </w:rPr>
        <w:t>300</w:t>
      </w:r>
      <w:r w:rsidRPr="00267653">
        <w:rPr>
          <w:rFonts w:asciiTheme="minorHAnsi" w:hAnsiTheme="minorHAnsi" w:cs="Calibri"/>
          <w:sz w:val="20"/>
          <w:szCs w:val="16"/>
        </w:rPr>
        <w:t xml:space="preserve"> million (2021-2025) investment in Gavi </w:t>
      </w:r>
      <w:r w:rsidRPr="00267653">
        <w:rPr>
          <w:rFonts w:asciiTheme="minorHAnsi" w:hAnsiTheme="minorHAnsi" w:cs="Calibri"/>
          <w:sz w:val="20"/>
          <w:szCs w:val="16"/>
          <w:lang w:val="en-US"/>
        </w:rPr>
        <w:t>to provide life</w:t>
      </w:r>
      <w:r w:rsidR="00013663" w:rsidRPr="00267653">
        <w:rPr>
          <w:rFonts w:asciiTheme="minorHAnsi" w:hAnsiTheme="minorHAnsi" w:cs="Calibri"/>
          <w:sz w:val="20"/>
          <w:szCs w:val="16"/>
          <w:lang w:val="en-US"/>
        </w:rPr>
        <w:noBreakHyphen/>
      </w:r>
      <w:r w:rsidRPr="00267653">
        <w:rPr>
          <w:rFonts w:asciiTheme="minorHAnsi" w:hAnsiTheme="minorHAnsi" w:cs="Calibri"/>
          <w:sz w:val="20"/>
          <w:szCs w:val="16"/>
          <w:lang w:val="en-US"/>
        </w:rPr>
        <w:t xml:space="preserve">saving immunisation in the world’s poorest countries. Australia’s sustained advocacy as </w:t>
      </w:r>
      <w:r w:rsidR="005641E1" w:rsidRPr="00267653">
        <w:rPr>
          <w:rFonts w:asciiTheme="minorHAnsi" w:hAnsiTheme="minorHAnsi" w:cs="Calibri"/>
          <w:sz w:val="20"/>
          <w:szCs w:val="16"/>
          <w:lang w:val="en-US"/>
        </w:rPr>
        <w:t xml:space="preserve">a </w:t>
      </w:r>
      <w:r w:rsidRPr="00267653">
        <w:rPr>
          <w:rFonts w:asciiTheme="minorHAnsi" w:hAnsiTheme="minorHAnsi" w:cs="Calibri"/>
          <w:sz w:val="20"/>
          <w:szCs w:val="16"/>
          <w:lang w:val="en-US"/>
        </w:rPr>
        <w:t xml:space="preserve">Gavi board member contributed to substantial changes to the </w:t>
      </w:r>
      <w:proofErr w:type="spellStart"/>
      <w:r w:rsidR="00013663" w:rsidRPr="00267653">
        <w:rPr>
          <w:rFonts w:asciiTheme="minorHAnsi" w:hAnsiTheme="minorHAnsi" w:cs="Calibri"/>
          <w:sz w:val="20"/>
          <w:szCs w:val="16"/>
          <w:lang w:val="en-US"/>
        </w:rPr>
        <w:t>organi</w:t>
      </w:r>
      <w:r w:rsidR="00E77506">
        <w:rPr>
          <w:rFonts w:asciiTheme="minorHAnsi" w:hAnsiTheme="minorHAnsi" w:cs="Calibri"/>
          <w:sz w:val="20"/>
          <w:szCs w:val="16"/>
          <w:lang w:val="en-US"/>
        </w:rPr>
        <w:t>s</w:t>
      </w:r>
      <w:r w:rsidR="00013663" w:rsidRPr="00267653">
        <w:rPr>
          <w:rFonts w:asciiTheme="minorHAnsi" w:hAnsiTheme="minorHAnsi" w:cs="Calibri"/>
          <w:sz w:val="20"/>
          <w:szCs w:val="16"/>
          <w:lang w:val="en-US"/>
        </w:rPr>
        <w:t>ation’s</w:t>
      </w:r>
      <w:proofErr w:type="spellEnd"/>
      <w:r w:rsidRPr="00267653">
        <w:rPr>
          <w:rFonts w:asciiTheme="minorHAnsi" w:hAnsiTheme="minorHAnsi" w:cs="Calibri"/>
          <w:sz w:val="20"/>
          <w:szCs w:val="16"/>
          <w:lang w:val="en-US"/>
        </w:rPr>
        <w:t xml:space="preserve"> transition and eligibility policy that addresses specific challenges of Small Island Developing States. The revised policy will extend support provided to Papua</w:t>
      </w:r>
      <w:r w:rsidR="00AA2D0A" w:rsidRPr="00267653">
        <w:rPr>
          <w:rFonts w:asciiTheme="minorHAnsi" w:hAnsiTheme="minorHAnsi" w:cs="Calibri"/>
          <w:sz w:val="20"/>
          <w:szCs w:val="16"/>
          <w:lang w:val="en-US"/>
        </w:rPr>
        <w:t> </w:t>
      </w:r>
      <w:r w:rsidRPr="00267653">
        <w:rPr>
          <w:rFonts w:asciiTheme="minorHAnsi" w:hAnsiTheme="minorHAnsi" w:cs="Calibri"/>
          <w:sz w:val="20"/>
          <w:szCs w:val="16"/>
          <w:lang w:val="en-US"/>
        </w:rPr>
        <w:t xml:space="preserve">New Guinea, the Solomon Islands, Timor-Leste and Laos, which </w:t>
      </w:r>
      <w:r w:rsidR="00AA2D0A" w:rsidRPr="00267653">
        <w:rPr>
          <w:rFonts w:asciiTheme="minorHAnsi" w:hAnsiTheme="minorHAnsi" w:cs="Calibri"/>
          <w:sz w:val="20"/>
          <w:szCs w:val="16"/>
          <w:lang w:val="en-US"/>
        </w:rPr>
        <w:t>were all</w:t>
      </w:r>
      <w:r w:rsidRPr="00267653">
        <w:rPr>
          <w:rFonts w:asciiTheme="minorHAnsi" w:hAnsiTheme="minorHAnsi" w:cs="Calibri"/>
          <w:sz w:val="20"/>
          <w:szCs w:val="16"/>
          <w:lang w:val="en-US"/>
        </w:rPr>
        <w:t xml:space="preserve"> expected to transition out of Gavi support in the next two years. </w:t>
      </w:r>
    </w:p>
    <w:p w14:paraId="1E9E9E11" w14:textId="77777777" w:rsidR="004A5B1A" w:rsidRPr="00E77506" w:rsidRDefault="004A5B1A" w:rsidP="00465DB4">
      <w:pPr>
        <w:spacing w:line="276" w:lineRule="auto"/>
        <w:contextualSpacing/>
      </w:pPr>
    </w:p>
    <w:p w14:paraId="776FB950" w14:textId="627C50BE" w:rsidR="004A5B1A" w:rsidRPr="00E77506" w:rsidRDefault="004A5B1A" w:rsidP="00465DB4">
      <w:pPr>
        <w:spacing w:line="276" w:lineRule="auto"/>
        <w:contextualSpacing/>
        <w:rPr>
          <w:rFonts w:cs="Calibri"/>
          <w:sz w:val="20"/>
          <w:szCs w:val="16"/>
        </w:rPr>
      </w:pPr>
      <w:r w:rsidRPr="00E77506">
        <w:rPr>
          <w:rFonts w:cs="Calibri"/>
          <w:sz w:val="20"/>
          <w:szCs w:val="16"/>
        </w:rPr>
        <w:t>More broadly, DFAT’s core voluntary funding contributes to WHO’s work to build immunisation capacities and we engage constructively through WHO’S governance mechanism to sustain the focus on immunisation between pandemics, particularly in our region.</w:t>
      </w:r>
    </w:p>
    <w:p w14:paraId="47FCF424" w14:textId="77777777" w:rsidR="00307361" w:rsidRDefault="00307361" w:rsidP="00307361">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p w14:paraId="6FD9767C" w14:textId="77777777" w:rsidR="00307361" w:rsidRPr="004A5B1A" w:rsidRDefault="00307361" w:rsidP="004A5B1A">
      <w:pPr>
        <w:contextualSpacing/>
        <w:rPr>
          <w:lang w:val="en-AU"/>
        </w:rPr>
      </w:pPr>
    </w:p>
    <w:p w14:paraId="267BA6EE" w14:textId="77777777" w:rsidR="006C44A8" w:rsidRPr="008222FE" w:rsidRDefault="006C44A8" w:rsidP="00307361">
      <w:pPr>
        <w:pStyle w:val="Heading3"/>
        <w:spacing w:before="0"/>
      </w:pPr>
      <w:r w:rsidRPr="008222FE">
        <w:t>Recommendation 4</w:t>
      </w:r>
    </w:p>
    <w:p w14:paraId="0840514D" w14:textId="6DE11224" w:rsidR="006C44A8" w:rsidRPr="006C44A8" w:rsidRDefault="006C44A8" w:rsidP="006C44A8">
      <w:pPr>
        <w:rPr>
          <w:b/>
          <w:bCs/>
          <w:sz w:val="20"/>
          <w:szCs w:val="20"/>
        </w:rPr>
      </w:pPr>
      <w:r w:rsidRPr="006C44A8">
        <w:rPr>
          <w:b/>
          <w:bCs/>
          <w:sz w:val="20"/>
          <w:szCs w:val="20"/>
        </w:rPr>
        <w:t xml:space="preserve">DFAT should continue to advocate with partner </w:t>
      </w:r>
      <w:r w:rsidR="00182B76">
        <w:rPr>
          <w:b/>
          <w:bCs/>
          <w:sz w:val="20"/>
          <w:szCs w:val="20"/>
        </w:rPr>
        <w:t>G</w:t>
      </w:r>
      <w:r w:rsidRPr="006C44A8">
        <w:rPr>
          <w:b/>
          <w:bCs/>
          <w:sz w:val="20"/>
          <w:szCs w:val="20"/>
        </w:rPr>
        <w:t>overnments for health systems strengthening that builds upon the VAHSI investment and positions countries for more resilience and preparedness for future emergencies.</w:t>
      </w:r>
    </w:p>
    <w:p w14:paraId="1B4B1469" w14:textId="77777777" w:rsidR="00116BEF" w:rsidRPr="004A5B1A" w:rsidRDefault="00116BEF" w:rsidP="00116BEF">
      <w:pPr>
        <w:pStyle w:val="Heading4"/>
        <w:rPr>
          <w:sz w:val="20"/>
          <w:szCs w:val="20"/>
        </w:rPr>
      </w:pPr>
      <w:r>
        <w:t xml:space="preserve">DFAT Response: </w:t>
      </w:r>
      <w:r w:rsidRPr="00CA04CE">
        <w:rPr>
          <w:i w:val="0"/>
          <w:iCs w:val="0"/>
          <w:color w:val="auto"/>
          <w:sz w:val="20"/>
          <w:szCs w:val="20"/>
        </w:rPr>
        <w:t>Agree</w:t>
      </w:r>
    </w:p>
    <w:p w14:paraId="17B112B3" w14:textId="77777777" w:rsidR="002C2079" w:rsidRDefault="002C2079" w:rsidP="002C2079">
      <w:pPr>
        <w:pStyle w:val="Heading4"/>
      </w:pPr>
      <w:r>
        <w:t xml:space="preserve">DFAT </w:t>
      </w:r>
      <w:r w:rsidRPr="0047119C">
        <w:t>Action plan</w:t>
      </w:r>
    </w:p>
    <w:p w14:paraId="305DB0C9" w14:textId="3E15654C" w:rsidR="006844C1" w:rsidRPr="00267653" w:rsidRDefault="006C44A8" w:rsidP="00265A33">
      <w:pPr>
        <w:spacing w:line="276" w:lineRule="auto"/>
        <w:rPr>
          <w:rFonts w:cs="Calibri"/>
          <w:color w:val="000000" w:themeColor="text1"/>
          <w:sz w:val="20"/>
          <w:szCs w:val="16"/>
          <w:lang w:val="en-GB"/>
        </w:rPr>
      </w:pPr>
      <w:r w:rsidRPr="00267653">
        <w:rPr>
          <w:rFonts w:cs="Calibri"/>
          <w:color w:val="000000" w:themeColor="text1"/>
          <w:sz w:val="20"/>
          <w:szCs w:val="16"/>
          <w:lang w:val="en-GB"/>
        </w:rPr>
        <w:t>Under VAHSI, DFAT</w:t>
      </w:r>
      <w:r w:rsidR="00A27AE6" w:rsidRPr="00267653">
        <w:rPr>
          <w:rFonts w:cs="Calibri"/>
          <w:color w:val="000000" w:themeColor="text1"/>
          <w:sz w:val="20"/>
          <w:szCs w:val="16"/>
          <w:lang w:val="en-GB"/>
        </w:rPr>
        <w:t xml:space="preserve"> </w:t>
      </w:r>
      <w:r w:rsidR="00F14806" w:rsidRPr="00267653">
        <w:rPr>
          <w:rFonts w:cs="Calibri"/>
          <w:color w:val="000000" w:themeColor="text1"/>
          <w:sz w:val="20"/>
          <w:szCs w:val="16"/>
          <w:lang w:val="en-GB"/>
        </w:rPr>
        <w:t>funded</w:t>
      </w:r>
      <w:r w:rsidRPr="00267653">
        <w:rPr>
          <w:rFonts w:cs="Calibri"/>
          <w:color w:val="000000" w:themeColor="text1"/>
          <w:sz w:val="20"/>
          <w:szCs w:val="16"/>
          <w:lang w:val="en-GB"/>
        </w:rPr>
        <w:t xml:space="preserve"> the National Centre for Immunisation Research and Surveillance (NCIRS)</w:t>
      </w:r>
      <w:r w:rsidR="00F14806" w:rsidRPr="00267653">
        <w:rPr>
          <w:rFonts w:cs="Calibri"/>
          <w:color w:val="000000" w:themeColor="text1"/>
          <w:sz w:val="20"/>
          <w:szCs w:val="16"/>
          <w:lang w:val="en-GB"/>
        </w:rPr>
        <w:t>,</w:t>
      </w:r>
      <w:r w:rsidRPr="00267653">
        <w:rPr>
          <w:rFonts w:cs="Calibri"/>
          <w:color w:val="000000" w:themeColor="text1"/>
          <w:sz w:val="20"/>
          <w:szCs w:val="16"/>
          <w:lang w:val="en-GB"/>
        </w:rPr>
        <w:t xml:space="preserve"> the Australian Regional Immunisation Alliance (ARIA)</w:t>
      </w:r>
      <w:r w:rsidR="00F14806" w:rsidRPr="00267653">
        <w:rPr>
          <w:rFonts w:cs="Calibri"/>
          <w:color w:val="000000" w:themeColor="text1"/>
          <w:sz w:val="20"/>
          <w:szCs w:val="16"/>
          <w:lang w:val="en-GB"/>
        </w:rPr>
        <w:t>,</w:t>
      </w:r>
      <w:r w:rsidRPr="00267653">
        <w:rPr>
          <w:rFonts w:cs="Calibri"/>
          <w:color w:val="000000" w:themeColor="text1"/>
          <w:sz w:val="20"/>
          <w:szCs w:val="16"/>
          <w:lang w:val="en-GB"/>
        </w:rPr>
        <w:t xml:space="preserve"> and the Therapeutic Goods Administration (TGA) </w:t>
      </w:r>
      <w:r w:rsidR="00F14806" w:rsidRPr="00267653">
        <w:rPr>
          <w:rFonts w:cs="Calibri"/>
          <w:color w:val="000000" w:themeColor="text1"/>
          <w:sz w:val="20"/>
          <w:szCs w:val="16"/>
          <w:lang w:val="en-GB"/>
        </w:rPr>
        <w:t xml:space="preserve">to provide </w:t>
      </w:r>
      <w:r w:rsidRPr="00267653">
        <w:rPr>
          <w:rFonts w:cs="Calibri"/>
          <w:color w:val="000000" w:themeColor="text1"/>
          <w:sz w:val="20"/>
          <w:szCs w:val="16"/>
          <w:lang w:val="en-GB"/>
        </w:rPr>
        <w:t xml:space="preserve">independent expert assistance on vaccine regulation to help partner countries make informed </w:t>
      </w:r>
      <w:r w:rsidRPr="00267653">
        <w:rPr>
          <w:rFonts w:cs="Calibri"/>
          <w:color w:val="000000" w:themeColor="text1"/>
          <w:sz w:val="20"/>
          <w:szCs w:val="16"/>
          <w:lang w:val="en-GB"/>
        </w:rPr>
        <w:lastRenderedPageBreak/>
        <w:t xml:space="preserve">and safe vaccine choices. </w:t>
      </w:r>
    </w:p>
    <w:p w14:paraId="0FFDBAAA" w14:textId="77777777" w:rsidR="006844C1" w:rsidRPr="00267653" w:rsidRDefault="006844C1" w:rsidP="00265A33">
      <w:pPr>
        <w:spacing w:line="276" w:lineRule="auto"/>
        <w:rPr>
          <w:rFonts w:cs="Calibri"/>
          <w:color w:val="000000" w:themeColor="text1"/>
          <w:sz w:val="20"/>
          <w:szCs w:val="16"/>
          <w:lang w:val="en-GB"/>
        </w:rPr>
      </w:pPr>
    </w:p>
    <w:p w14:paraId="2F3EC4F9" w14:textId="3D8770C3" w:rsidR="006C44A8" w:rsidRPr="00267653" w:rsidRDefault="006C44A8" w:rsidP="00265A33">
      <w:pPr>
        <w:spacing w:line="276" w:lineRule="auto"/>
        <w:rPr>
          <w:rFonts w:cs="Calibri"/>
          <w:color w:val="000000" w:themeColor="text1"/>
          <w:sz w:val="20"/>
          <w:szCs w:val="16"/>
          <w:lang w:val="en-GB"/>
        </w:rPr>
      </w:pPr>
      <w:r w:rsidRPr="00267653">
        <w:rPr>
          <w:rFonts w:cs="Calibri"/>
          <w:color w:val="000000" w:themeColor="text1"/>
          <w:sz w:val="20"/>
          <w:szCs w:val="16"/>
          <w:lang w:val="en-GB"/>
        </w:rPr>
        <w:t>DFAT partnerships with NCIRS-ARIA and the TGA will be continued through the Partnerships for a Healthy Region initiative. Under RISE-2 (AUD9 million 2024-2028), NCIRS and ARIA will</w:t>
      </w:r>
      <w:r w:rsidR="00154FF1" w:rsidRPr="00267653">
        <w:rPr>
          <w:rFonts w:cs="Calibri"/>
          <w:color w:val="000000" w:themeColor="text1"/>
          <w:sz w:val="20"/>
          <w:szCs w:val="16"/>
          <w:lang w:val="en-GB"/>
        </w:rPr>
        <w:t xml:space="preserve"> </w:t>
      </w:r>
      <w:r w:rsidRPr="00267653">
        <w:rPr>
          <w:rFonts w:cs="Calibri"/>
          <w:color w:val="000000" w:themeColor="text1"/>
          <w:sz w:val="20"/>
          <w:szCs w:val="16"/>
          <w:lang w:val="en-GB"/>
        </w:rPr>
        <w:t xml:space="preserve">support Ministries of Health and other key partners to strengthen programs across immunisation service delivery and program support; social, behavioural and communication science; </w:t>
      </w:r>
      <w:r w:rsidR="002D6E55" w:rsidRPr="00267653">
        <w:rPr>
          <w:rFonts w:cs="Calibri"/>
          <w:color w:val="000000" w:themeColor="text1"/>
          <w:sz w:val="20"/>
          <w:szCs w:val="16"/>
          <w:lang w:val="en-GB"/>
        </w:rPr>
        <w:t>National Immunisation Technical Advisory Group</w:t>
      </w:r>
      <w:r w:rsidRPr="00267653">
        <w:rPr>
          <w:rFonts w:cs="Calibri"/>
          <w:color w:val="000000" w:themeColor="text1"/>
          <w:sz w:val="20"/>
          <w:szCs w:val="16"/>
          <w:lang w:val="en-GB"/>
        </w:rPr>
        <w:t xml:space="preserve"> strengthening and related policy and planning support</w:t>
      </w:r>
      <w:r w:rsidR="00826080" w:rsidRPr="00267653">
        <w:rPr>
          <w:rFonts w:cs="Calibri"/>
          <w:color w:val="000000" w:themeColor="text1"/>
          <w:sz w:val="20"/>
          <w:szCs w:val="16"/>
          <w:lang w:val="en-GB"/>
        </w:rPr>
        <w:t>;</w:t>
      </w:r>
      <w:r w:rsidRPr="00267653">
        <w:rPr>
          <w:rFonts w:cs="Calibri"/>
          <w:color w:val="000000" w:themeColor="text1"/>
          <w:sz w:val="20"/>
          <w:szCs w:val="16"/>
          <w:lang w:val="en-GB"/>
        </w:rPr>
        <w:t xml:space="preserve"> and cross-sectoral activities. Under the Indo-Pacific Regulatory Strengthening Program (AUD13.3 million 2023-2027), the TGA offers regulatory strengthening and support programs </w:t>
      </w:r>
      <w:r w:rsidR="003D12D9" w:rsidRPr="00267653">
        <w:rPr>
          <w:rFonts w:cs="Calibri"/>
          <w:color w:val="000000" w:themeColor="text1"/>
          <w:sz w:val="20"/>
          <w:szCs w:val="16"/>
          <w:lang w:val="en-GB"/>
        </w:rPr>
        <w:t xml:space="preserve">tailored </w:t>
      </w:r>
      <w:r w:rsidRPr="00267653">
        <w:rPr>
          <w:rFonts w:cs="Calibri"/>
          <w:color w:val="000000" w:themeColor="text1"/>
          <w:sz w:val="20"/>
          <w:szCs w:val="16"/>
          <w:lang w:val="en-GB"/>
        </w:rPr>
        <w:t xml:space="preserve">to </w:t>
      </w:r>
      <w:r w:rsidR="00850C49" w:rsidRPr="00267653">
        <w:rPr>
          <w:rFonts w:cs="Calibri"/>
          <w:color w:val="000000" w:themeColor="text1"/>
          <w:sz w:val="20"/>
          <w:szCs w:val="16"/>
          <w:lang w:val="en-GB"/>
        </w:rPr>
        <w:t xml:space="preserve">support </w:t>
      </w:r>
      <w:r w:rsidRPr="00267653">
        <w:rPr>
          <w:rFonts w:cs="Calibri"/>
          <w:color w:val="000000" w:themeColor="text1"/>
          <w:sz w:val="20"/>
          <w:szCs w:val="16"/>
          <w:lang w:val="en-GB"/>
        </w:rPr>
        <w:t xml:space="preserve">partner country priorities. </w:t>
      </w:r>
    </w:p>
    <w:p w14:paraId="16174AAB" w14:textId="77777777" w:rsidR="006C44A8" w:rsidRPr="00267653" w:rsidRDefault="006C44A8" w:rsidP="00265A33">
      <w:pPr>
        <w:spacing w:line="276" w:lineRule="auto"/>
        <w:rPr>
          <w:rFonts w:cs="Calibri"/>
          <w:color w:val="000000" w:themeColor="text1"/>
          <w:sz w:val="20"/>
          <w:szCs w:val="16"/>
        </w:rPr>
      </w:pPr>
    </w:p>
    <w:p w14:paraId="306D0F17" w14:textId="77777777" w:rsidR="00CC75F5" w:rsidRPr="00267653" w:rsidRDefault="008F496B" w:rsidP="00265A33">
      <w:pPr>
        <w:pStyle w:val="Boxtext"/>
        <w:spacing w:line="276" w:lineRule="auto"/>
        <w:rPr>
          <w:rFonts w:asciiTheme="minorHAnsi" w:hAnsiTheme="minorHAnsi" w:cs="Calibri"/>
          <w:sz w:val="20"/>
          <w:szCs w:val="16"/>
        </w:rPr>
      </w:pPr>
      <w:r w:rsidRPr="00267653">
        <w:rPr>
          <w:rFonts w:asciiTheme="minorHAnsi" w:hAnsiTheme="minorHAnsi" w:cs="Calibri"/>
          <w:sz w:val="20"/>
          <w:szCs w:val="16"/>
        </w:rPr>
        <w:t xml:space="preserve">Other health systems strengthening activities supported through the </w:t>
      </w:r>
      <w:r w:rsidRPr="00267653">
        <w:rPr>
          <w:rFonts w:asciiTheme="minorHAnsi" w:hAnsiTheme="minorHAnsi" w:cs="Calibri"/>
          <w:i/>
          <w:iCs/>
          <w:sz w:val="20"/>
          <w:szCs w:val="16"/>
        </w:rPr>
        <w:t xml:space="preserve">Partnerships for a Healthy Region </w:t>
      </w:r>
      <w:r w:rsidRPr="00267653">
        <w:rPr>
          <w:rFonts w:asciiTheme="minorHAnsi" w:hAnsiTheme="minorHAnsi" w:cs="Calibri"/>
          <w:sz w:val="20"/>
          <w:szCs w:val="16"/>
        </w:rPr>
        <w:t>initiative include:</w:t>
      </w:r>
    </w:p>
    <w:p w14:paraId="3BFDC312" w14:textId="698FD093" w:rsidR="00CA350E" w:rsidRDefault="009C596B" w:rsidP="00265A33">
      <w:pPr>
        <w:pStyle w:val="ListParagraph"/>
        <w:numPr>
          <w:ilvl w:val="0"/>
          <w:numId w:val="11"/>
        </w:numPr>
        <w:spacing w:after="0" w:line="276" w:lineRule="auto"/>
        <w:rPr>
          <w:rFonts w:ascii="Calibri" w:hAnsi="Calibri" w:cs="Calibri"/>
          <w:color w:val="000000" w:themeColor="text1"/>
          <w:sz w:val="20"/>
          <w:szCs w:val="16"/>
          <w:lang w:val="en-GB"/>
        </w:rPr>
      </w:pPr>
      <w:r>
        <w:rPr>
          <w:rFonts w:cs="Calibri"/>
          <w:sz w:val="20"/>
          <w:szCs w:val="16"/>
          <w:lang w:val="en-GB"/>
        </w:rPr>
        <w:t xml:space="preserve">the </w:t>
      </w:r>
      <w:r w:rsidRPr="009E554A">
        <w:rPr>
          <w:rFonts w:cs="Calibri"/>
          <w:i/>
          <w:iCs/>
          <w:sz w:val="20"/>
          <w:szCs w:val="16"/>
          <w:lang w:val="en-GB"/>
        </w:rPr>
        <w:t>Public Health Operations in Emergencies for National Strengthening in the Indo-Pacific</w:t>
      </w:r>
      <w:r w:rsidR="00FA7FB9" w:rsidRPr="00DA097D">
        <w:rPr>
          <w:rFonts w:cs="Calibri"/>
          <w:sz w:val="20"/>
          <w:szCs w:val="16"/>
          <w:lang w:val="en-GB"/>
        </w:rPr>
        <w:t xml:space="preserve"> </w:t>
      </w:r>
      <w:r w:rsidR="007D58DC">
        <w:rPr>
          <w:rFonts w:cs="Calibri"/>
          <w:sz w:val="20"/>
          <w:szCs w:val="16"/>
        </w:rPr>
        <w:t>project</w:t>
      </w:r>
      <w:r w:rsidR="009337DD">
        <w:rPr>
          <w:rFonts w:cs="Calibri"/>
          <w:sz w:val="20"/>
          <w:szCs w:val="16"/>
        </w:rPr>
        <w:t xml:space="preserve"> with</w:t>
      </w:r>
      <w:r w:rsidR="009337DD" w:rsidRPr="00DA097D">
        <w:rPr>
          <w:rFonts w:cs="Calibri"/>
          <w:sz w:val="20"/>
          <w:szCs w:val="16"/>
        </w:rPr>
        <w:t xml:space="preserve"> </w:t>
      </w:r>
      <w:r w:rsidR="006C44A8" w:rsidRPr="00DA097D">
        <w:rPr>
          <w:rFonts w:cs="Calibri"/>
          <w:sz w:val="20"/>
          <w:szCs w:val="16"/>
        </w:rPr>
        <w:t xml:space="preserve">the National Critical Care and Trauma Response Centre </w:t>
      </w:r>
      <w:r w:rsidR="009337DD">
        <w:rPr>
          <w:rFonts w:cs="Calibri"/>
          <w:sz w:val="20"/>
          <w:szCs w:val="16"/>
        </w:rPr>
        <w:t>(</w:t>
      </w:r>
      <w:r w:rsidR="009337DD" w:rsidRPr="001F6628">
        <w:rPr>
          <w:rFonts w:cs="Calibri"/>
          <w:sz w:val="20"/>
          <w:szCs w:val="16"/>
        </w:rPr>
        <w:t>AUD10 million</w:t>
      </w:r>
      <w:r w:rsidR="009337DD">
        <w:rPr>
          <w:rFonts w:cs="Calibri"/>
          <w:sz w:val="20"/>
          <w:szCs w:val="16"/>
        </w:rPr>
        <w:t xml:space="preserve">) </w:t>
      </w:r>
      <w:r w:rsidR="006C44A8" w:rsidRPr="00DA097D">
        <w:rPr>
          <w:rFonts w:cs="Calibri"/>
          <w:sz w:val="20"/>
          <w:szCs w:val="16"/>
        </w:rPr>
        <w:t>to train Pacific and Southeast Asian public health experts to respond to health emergencies domestically and across the region. Key areas of focus for this program include national health workforce capacity building, increased coordination and integration within public health emergency systems, regional workforce capacity building and strengthened networks and enhanced gender equality and inclusion in public health emergency responses. A further AUD5 million is being provided to NCCTRC to strengthen Pacific</w:t>
      </w:r>
      <w:r w:rsidR="0035415A" w:rsidRPr="00DA097D">
        <w:rPr>
          <w:rFonts w:cs="Calibri"/>
          <w:sz w:val="20"/>
          <w:szCs w:val="16"/>
        </w:rPr>
        <w:t> </w:t>
      </w:r>
      <w:r w:rsidR="006C44A8" w:rsidRPr="00DA097D">
        <w:rPr>
          <w:rFonts w:cs="Calibri"/>
          <w:sz w:val="20"/>
          <w:szCs w:val="16"/>
        </w:rPr>
        <w:t>Emergency Medical Teams through the Regional Engagement Program (REP</w:t>
      </w:r>
      <w:proofErr w:type="gramStart"/>
      <w:r w:rsidR="006C44A8" w:rsidRPr="00DA097D">
        <w:rPr>
          <w:rFonts w:cs="Calibri"/>
          <w:sz w:val="20"/>
          <w:szCs w:val="16"/>
        </w:rPr>
        <w:t>)</w:t>
      </w:r>
      <w:r w:rsidR="00567FEF" w:rsidRPr="00DA097D">
        <w:rPr>
          <w:rFonts w:cs="Calibri"/>
          <w:sz w:val="20"/>
          <w:szCs w:val="16"/>
        </w:rPr>
        <w:t>;</w:t>
      </w:r>
      <w:proofErr w:type="gramEnd"/>
    </w:p>
    <w:p w14:paraId="1189106C" w14:textId="6A5CCC43" w:rsidR="00CA350E" w:rsidRPr="00E77506" w:rsidRDefault="007D58DC" w:rsidP="00265A33">
      <w:pPr>
        <w:pStyle w:val="ListParagraph"/>
        <w:numPr>
          <w:ilvl w:val="0"/>
          <w:numId w:val="11"/>
        </w:numPr>
        <w:spacing w:after="0" w:line="276" w:lineRule="auto"/>
      </w:pPr>
      <w:r w:rsidRPr="00267653">
        <w:rPr>
          <w:rFonts w:cs="Calibri"/>
          <w:i/>
          <w:iCs/>
          <w:color w:val="000000" w:themeColor="text1"/>
          <w:sz w:val="20"/>
          <w:szCs w:val="16"/>
          <w:lang w:val="en-GB"/>
        </w:rPr>
        <w:t>Australian Red Cross Strengthening Community Preparedness and Response to Epidemics in the Pacific (Pacific)</w:t>
      </w:r>
      <w:r w:rsidR="001D38D6" w:rsidRPr="00267653">
        <w:rPr>
          <w:rFonts w:cs="Calibri"/>
          <w:color w:val="000000" w:themeColor="text1"/>
          <w:sz w:val="20"/>
          <w:szCs w:val="16"/>
          <w:lang w:val="en-GB"/>
        </w:rPr>
        <w:t xml:space="preserve"> (AUD3 million)</w:t>
      </w:r>
      <w:r w:rsidR="00BD62B9" w:rsidRPr="00267653">
        <w:rPr>
          <w:rFonts w:cs="Calibri"/>
          <w:color w:val="000000" w:themeColor="text1"/>
          <w:sz w:val="20"/>
          <w:szCs w:val="16"/>
          <w:lang w:val="en-GB"/>
        </w:rPr>
        <w:t xml:space="preserve"> project </w:t>
      </w:r>
      <w:r w:rsidR="006C44A8" w:rsidRPr="00267653">
        <w:rPr>
          <w:rFonts w:cs="Calibri"/>
          <w:color w:val="000000" w:themeColor="text1"/>
          <w:sz w:val="20"/>
          <w:szCs w:val="16"/>
          <w:lang w:val="en-GB"/>
        </w:rPr>
        <w:t>to strengthen community preparation and response to epidemic disease threats. The program goal is to strengthen community capacity in Fiji, Solomon Islands and Vanuatu to play a pivotal role in building resilient and equitable health systems to anticipate, prevent, detect and respond effectively to communicable disease threats</w:t>
      </w:r>
      <w:r w:rsidR="001D38D6" w:rsidRPr="00267653">
        <w:rPr>
          <w:rFonts w:cs="Calibri"/>
          <w:color w:val="000000" w:themeColor="text1"/>
          <w:sz w:val="20"/>
          <w:szCs w:val="16"/>
          <w:lang w:val="en-GB"/>
        </w:rPr>
        <w:t>;</w:t>
      </w:r>
      <w:r w:rsidR="00CB5181" w:rsidRPr="00267653">
        <w:rPr>
          <w:rFonts w:cs="Calibri"/>
          <w:color w:val="000000" w:themeColor="text1"/>
          <w:sz w:val="20"/>
          <w:szCs w:val="16"/>
          <w:lang w:val="en-GB"/>
        </w:rPr>
        <w:t xml:space="preserve"> and</w:t>
      </w:r>
    </w:p>
    <w:p w14:paraId="3A12BC74" w14:textId="0515286B" w:rsidR="00961A8F" w:rsidRPr="00E77506" w:rsidRDefault="006B11FB" w:rsidP="00265A33">
      <w:pPr>
        <w:pStyle w:val="ListParagraph"/>
        <w:numPr>
          <w:ilvl w:val="0"/>
          <w:numId w:val="11"/>
        </w:numPr>
        <w:spacing w:after="0" w:line="276" w:lineRule="auto"/>
      </w:pPr>
      <w:r w:rsidRPr="00267653">
        <w:rPr>
          <w:rFonts w:cs="Calibri"/>
          <w:i/>
          <w:iCs/>
          <w:color w:val="000000" w:themeColor="text1"/>
          <w:sz w:val="20"/>
          <w:szCs w:val="16"/>
          <w:lang w:val="en-GB"/>
        </w:rPr>
        <w:t>PAC EVIPP+</w:t>
      </w:r>
      <w:r w:rsidRPr="00267653" w:rsidDel="006B11FB">
        <w:rPr>
          <w:rFonts w:cs="Calibri"/>
          <w:color w:val="000000" w:themeColor="text1"/>
          <w:sz w:val="20"/>
          <w:szCs w:val="16"/>
          <w:lang w:val="en-GB"/>
        </w:rPr>
        <w:t xml:space="preserve"> </w:t>
      </w:r>
      <w:r w:rsidR="00961A8F" w:rsidRPr="00267653">
        <w:rPr>
          <w:rFonts w:cs="Calibri"/>
          <w:color w:val="000000" w:themeColor="text1"/>
          <w:sz w:val="20"/>
          <w:szCs w:val="16"/>
          <w:lang w:val="en-GB"/>
        </w:rPr>
        <w:t>with</w:t>
      </w:r>
      <w:r w:rsidR="006C44A8" w:rsidRPr="00267653">
        <w:rPr>
          <w:rFonts w:cs="Calibri"/>
          <w:color w:val="000000" w:themeColor="text1"/>
          <w:sz w:val="20"/>
          <w:szCs w:val="16"/>
          <w:lang w:val="en-GB"/>
        </w:rPr>
        <w:t xml:space="preserve"> the National Centre for Epidemiology and Population Health</w:t>
      </w:r>
      <w:r w:rsidR="00961A8F" w:rsidRPr="00267653">
        <w:rPr>
          <w:rFonts w:cs="Calibri"/>
          <w:color w:val="000000" w:themeColor="text1"/>
          <w:sz w:val="20"/>
          <w:szCs w:val="16"/>
          <w:lang w:val="en-GB"/>
        </w:rPr>
        <w:t xml:space="preserve"> (AUD7.5 million)</w:t>
      </w:r>
      <w:r w:rsidR="006C44A8" w:rsidRPr="00267653">
        <w:rPr>
          <w:rFonts w:cs="Calibri"/>
          <w:color w:val="000000" w:themeColor="text1"/>
          <w:sz w:val="20"/>
          <w:szCs w:val="16"/>
          <w:lang w:val="en-GB"/>
        </w:rPr>
        <w:t xml:space="preserve"> to support and strengthen regional applied epidemiology workforce activities and provide access to advanced Field Epidemiology Training Programs</w:t>
      </w:r>
      <w:r w:rsidR="00CB5181" w:rsidRPr="00267653">
        <w:rPr>
          <w:rFonts w:cs="Calibri"/>
          <w:color w:val="000000" w:themeColor="text1"/>
          <w:sz w:val="20"/>
          <w:szCs w:val="16"/>
          <w:lang w:val="en-GB"/>
        </w:rPr>
        <w:t>.</w:t>
      </w:r>
    </w:p>
    <w:p w14:paraId="1AF25365" w14:textId="77777777" w:rsidR="006C44A8" w:rsidRPr="00D61840" w:rsidRDefault="006C44A8" w:rsidP="00265A33">
      <w:pPr>
        <w:spacing w:line="276" w:lineRule="auto"/>
        <w:rPr>
          <w:lang w:val="en-GB"/>
        </w:rPr>
      </w:pPr>
    </w:p>
    <w:p w14:paraId="787F968D" w14:textId="50251B7D" w:rsidR="00FC5586" w:rsidRPr="00FC5586" w:rsidRDefault="006C44A8" w:rsidP="00FC5586">
      <w:pPr>
        <w:spacing w:line="276" w:lineRule="auto"/>
        <w:rPr>
          <w:rFonts w:cs="Calibri"/>
          <w:sz w:val="20"/>
          <w:szCs w:val="16"/>
          <w:lang w:val="en-AU"/>
        </w:rPr>
      </w:pPr>
      <w:r w:rsidRPr="008222FE">
        <w:rPr>
          <w:rFonts w:cs="Calibri"/>
          <w:sz w:val="20"/>
          <w:szCs w:val="16"/>
        </w:rPr>
        <w:t>In addition to</w:t>
      </w:r>
      <w:r w:rsidR="00CA350E">
        <w:rPr>
          <w:rFonts w:cs="Calibri"/>
          <w:sz w:val="20"/>
          <w:szCs w:val="16"/>
        </w:rPr>
        <w:t xml:space="preserve"> funding</w:t>
      </w:r>
      <w:r w:rsidRPr="008222FE">
        <w:rPr>
          <w:rFonts w:cs="Calibri"/>
          <w:sz w:val="20"/>
          <w:szCs w:val="16"/>
        </w:rPr>
        <w:t xml:space="preserve"> health systems strengthening activities in the Indo-Pacific, Australia advocate</w:t>
      </w:r>
      <w:r w:rsidR="00AF6BD2">
        <w:rPr>
          <w:rFonts w:cs="Calibri"/>
          <w:sz w:val="20"/>
          <w:szCs w:val="16"/>
        </w:rPr>
        <w:t>s</w:t>
      </w:r>
      <w:r w:rsidRPr="008222FE">
        <w:rPr>
          <w:rFonts w:cs="Calibri"/>
          <w:sz w:val="20"/>
          <w:szCs w:val="16"/>
        </w:rPr>
        <w:t xml:space="preserve"> for the health needs of the region</w:t>
      </w:r>
      <w:r w:rsidR="00AF6BD2">
        <w:rPr>
          <w:rFonts w:cs="Calibri"/>
          <w:sz w:val="20"/>
          <w:szCs w:val="16"/>
        </w:rPr>
        <w:t xml:space="preserve"> in a range of regional and global bodies</w:t>
      </w:r>
      <w:r w:rsidR="0013414B">
        <w:rPr>
          <w:rFonts w:cs="Calibri"/>
          <w:sz w:val="20"/>
          <w:szCs w:val="16"/>
        </w:rPr>
        <w:t xml:space="preserve">, including the World Health Organization and </w:t>
      </w:r>
      <w:r w:rsidR="004C31A9">
        <w:rPr>
          <w:rFonts w:cs="Calibri"/>
          <w:sz w:val="20"/>
          <w:szCs w:val="16"/>
        </w:rPr>
        <w:t>major multilateral funding mechanisms such as Gavi, the Global Fund and the Pandemic Fund</w:t>
      </w:r>
      <w:r w:rsidRPr="008222FE">
        <w:rPr>
          <w:rFonts w:cs="Calibri"/>
          <w:sz w:val="20"/>
          <w:szCs w:val="16"/>
        </w:rPr>
        <w:t xml:space="preserve">. </w:t>
      </w:r>
    </w:p>
    <w:p w14:paraId="30B302B7" w14:textId="37CD39C0" w:rsidR="00CA350E" w:rsidRDefault="00CA350E" w:rsidP="00265A33">
      <w:pPr>
        <w:spacing w:line="276" w:lineRule="auto"/>
        <w:rPr>
          <w:rFonts w:cs="Calibri"/>
          <w:sz w:val="20"/>
          <w:szCs w:val="16"/>
        </w:rPr>
      </w:pPr>
    </w:p>
    <w:p w14:paraId="26128097" w14:textId="77777777" w:rsidR="00525355" w:rsidRPr="00267653" w:rsidRDefault="00525355" w:rsidP="00265A3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lang w:val="en-US"/>
        </w:rPr>
        <w:t>Australia provides health support in over 20 countries across the Pacific and Southeast Asia with regional and multilateral support complementing bilateral programming.</w:t>
      </w:r>
    </w:p>
    <w:p w14:paraId="0AEEFAAA" w14:textId="77777777" w:rsidR="00116BEF" w:rsidRDefault="00116BEF" w:rsidP="00116BEF">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p w14:paraId="6B7E70F2" w14:textId="77777777" w:rsidR="002C2079" w:rsidRPr="002C2079" w:rsidRDefault="002C2079" w:rsidP="0047119C">
      <w:pPr>
        <w:rPr>
          <w:lang w:val="en-AU"/>
        </w:rPr>
      </w:pPr>
    </w:p>
    <w:p w14:paraId="5492EA4D" w14:textId="77777777" w:rsidR="00916E56" w:rsidRPr="008222FE" w:rsidRDefault="00916E56" w:rsidP="006E02BA">
      <w:pPr>
        <w:pStyle w:val="Heading3"/>
        <w:spacing w:before="0"/>
        <w:rPr>
          <w:b/>
          <w:bCs/>
        </w:rPr>
      </w:pPr>
      <w:r w:rsidRPr="008222FE">
        <w:t>Recommendation 5</w:t>
      </w:r>
    </w:p>
    <w:p w14:paraId="5B89E7EA" w14:textId="23337433" w:rsidR="00916E56" w:rsidRPr="00916E56" w:rsidRDefault="00916E56" w:rsidP="00916E56">
      <w:pPr>
        <w:rPr>
          <w:b/>
          <w:bCs/>
          <w:sz w:val="20"/>
          <w:szCs w:val="20"/>
        </w:rPr>
      </w:pPr>
      <w:r w:rsidRPr="00916E56">
        <w:rPr>
          <w:b/>
          <w:bCs/>
          <w:sz w:val="20"/>
          <w:szCs w:val="20"/>
        </w:rPr>
        <w:t>Prior to the end of VAHSI, DFAT should facilitate a knowledge sharing event among VAHSI delivery support partners to share the most salient partner learnings from implementation of the VAHSI initiative in the Indo-Pacific region</w:t>
      </w:r>
    </w:p>
    <w:p w14:paraId="693615FD" w14:textId="77777777" w:rsidR="00116BEF" w:rsidRDefault="00116BEF" w:rsidP="00116BEF">
      <w:pPr>
        <w:pStyle w:val="Heading4"/>
        <w:rPr>
          <w:rFonts w:cs="Calibri"/>
          <w:sz w:val="20"/>
          <w:szCs w:val="16"/>
        </w:rPr>
      </w:pPr>
      <w:r>
        <w:t xml:space="preserve">DFAT Response: </w:t>
      </w:r>
      <w:r w:rsidRPr="009F56D8">
        <w:rPr>
          <w:i w:val="0"/>
          <w:iCs w:val="0"/>
          <w:color w:val="auto"/>
          <w:sz w:val="20"/>
          <w:szCs w:val="20"/>
        </w:rPr>
        <w:t>Noted</w:t>
      </w:r>
    </w:p>
    <w:p w14:paraId="474FA49F" w14:textId="77777777" w:rsidR="006C44A8" w:rsidRDefault="006C44A8" w:rsidP="006C44A8">
      <w:pPr>
        <w:pStyle w:val="Heading4"/>
      </w:pPr>
      <w:r>
        <w:t xml:space="preserve">DFAT </w:t>
      </w:r>
      <w:r w:rsidRPr="0047119C">
        <w:t>Action plan</w:t>
      </w:r>
    </w:p>
    <w:p w14:paraId="1D5E392C" w14:textId="181D794A" w:rsidR="00916E56" w:rsidRPr="00267653" w:rsidRDefault="00916E56" w:rsidP="00265A3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 xml:space="preserve">Australia will identify opportunities to share knowledge, experience and lessons identified by VAHSI partners, including through dissemination and discussion of this evaluation. </w:t>
      </w:r>
    </w:p>
    <w:p w14:paraId="42C40D0C" w14:textId="77777777" w:rsidR="00916E56" w:rsidRPr="00267653" w:rsidRDefault="00916E56" w:rsidP="00265A33">
      <w:pPr>
        <w:pStyle w:val="Boxtext"/>
        <w:spacing w:after="0" w:line="276" w:lineRule="auto"/>
        <w:rPr>
          <w:rFonts w:asciiTheme="minorHAnsi" w:hAnsiTheme="minorHAnsi" w:cs="Calibri"/>
          <w:sz w:val="20"/>
          <w:szCs w:val="16"/>
        </w:rPr>
      </w:pPr>
    </w:p>
    <w:p w14:paraId="57B4100B" w14:textId="4CC3AE86" w:rsidR="00916E56" w:rsidRPr="00267653" w:rsidRDefault="00916E56" w:rsidP="00265A3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 xml:space="preserve">The delivery support activities funded by VAHSI were implemented by 68 </w:t>
      </w:r>
      <w:proofErr w:type="gramStart"/>
      <w:r w:rsidRPr="00267653">
        <w:rPr>
          <w:rFonts w:asciiTheme="minorHAnsi" w:hAnsiTheme="minorHAnsi" w:cs="Calibri"/>
          <w:sz w:val="20"/>
          <w:szCs w:val="16"/>
        </w:rPr>
        <w:t>partners, and</w:t>
      </w:r>
      <w:proofErr w:type="gramEnd"/>
      <w:r w:rsidRPr="00267653">
        <w:rPr>
          <w:rFonts w:asciiTheme="minorHAnsi" w:hAnsiTheme="minorHAnsi" w:cs="Calibri"/>
          <w:sz w:val="20"/>
          <w:szCs w:val="16"/>
        </w:rPr>
        <w:t xml:space="preserve"> convening sessions with all </w:t>
      </w:r>
      <w:r w:rsidR="004C31A9" w:rsidRPr="00267653">
        <w:rPr>
          <w:rFonts w:asciiTheme="minorHAnsi" w:hAnsiTheme="minorHAnsi" w:cs="Calibri"/>
          <w:sz w:val="20"/>
          <w:szCs w:val="16"/>
        </w:rPr>
        <w:t>would be impractical</w:t>
      </w:r>
      <w:r w:rsidRPr="00267653">
        <w:rPr>
          <w:rFonts w:asciiTheme="minorHAnsi" w:hAnsiTheme="minorHAnsi" w:cs="Calibri"/>
          <w:sz w:val="20"/>
          <w:szCs w:val="16"/>
        </w:rPr>
        <w:t xml:space="preserve">. </w:t>
      </w:r>
      <w:r w:rsidR="004C31A9" w:rsidRPr="00267653">
        <w:rPr>
          <w:rFonts w:asciiTheme="minorHAnsi" w:hAnsiTheme="minorHAnsi" w:cs="Calibri"/>
          <w:sz w:val="20"/>
          <w:szCs w:val="16"/>
        </w:rPr>
        <w:t xml:space="preserve">In many cases, key staff may also have moved on </w:t>
      </w:r>
      <w:r w:rsidR="002B5FC8" w:rsidRPr="00267653">
        <w:rPr>
          <w:rFonts w:asciiTheme="minorHAnsi" w:hAnsiTheme="minorHAnsi" w:cs="Calibri"/>
          <w:sz w:val="20"/>
          <w:szCs w:val="16"/>
        </w:rPr>
        <w:t>in the intervening time</w:t>
      </w:r>
      <w:r w:rsidRPr="00267653">
        <w:rPr>
          <w:rFonts w:asciiTheme="minorHAnsi" w:hAnsiTheme="minorHAnsi" w:cs="Calibri"/>
          <w:sz w:val="20"/>
          <w:szCs w:val="16"/>
        </w:rPr>
        <w:t xml:space="preserve">. DFAT considers that a value for money </w:t>
      </w:r>
      <w:r w:rsidR="002B5FC8" w:rsidRPr="00267653">
        <w:rPr>
          <w:rFonts w:asciiTheme="minorHAnsi" w:hAnsiTheme="minorHAnsi" w:cs="Calibri"/>
          <w:sz w:val="20"/>
          <w:szCs w:val="16"/>
        </w:rPr>
        <w:t xml:space="preserve">approach </w:t>
      </w:r>
      <w:r w:rsidRPr="00267653">
        <w:rPr>
          <w:rFonts w:asciiTheme="minorHAnsi" w:hAnsiTheme="minorHAnsi" w:cs="Calibri"/>
          <w:sz w:val="20"/>
          <w:szCs w:val="16"/>
        </w:rPr>
        <w:t xml:space="preserve">is </w:t>
      </w:r>
      <w:r w:rsidR="002B5FC8" w:rsidRPr="00267653">
        <w:rPr>
          <w:rFonts w:asciiTheme="minorHAnsi" w:hAnsiTheme="minorHAnsi" w:cs="Calibri"/>
          <w:sz w:val="20"/>
          <w:szCs w:val="16"/>
        </w:rPr>
        <w:t xml:space="preserve">to </w:t>
      </w:r>
      <w:r w:rsidRPr="00267653">
        <w:rPr>
          <w:rFonts w:asciiTheme="minorHAnsi" w:hAnsiTheme="minorHAnsi" w:cs="Calibri"/>
          <w:sz w:val="20"/>
          <w:szCs w:val="16"/>
        </w:rPr>
        <w:t>ensur</w:t>
      </w:r>
      <w:r w:rsidR="002B5FC8" w:rsidRPr="00267653">
        <w:rPr>
          <w:rFonts w:asciiTheme="minorHAnsi" w:hAnsiTheme="minorHAnsi" w:cs="Calibri"/>
          <w:sz w:val="20"/>
          <w:szCs w:val="16"/>
        </w:rPr>
        <w:t>e</w:t>
      </w:r>
      <w:r w:rsidRPr="00267653">
        <w:rPr>
          <w:rFonts w:asciiTheme="minorHAnsi" w:hAnsiTheme="minorHAnsi" w:cs="Calibri"/>
          <w:sz w:val="20"/>
          <w:szCs w:val="16"/>
        </w:rPr>
        <w:t xml:space="preserve"> that VAHSI partner lessons inform the implementation of </w:t>
      </w:r>
      <w:r w:rsidRPr="00267653">
        <w:rPr>
          <w:rFonts w:asciiTheme="minorHAnsi" w:hAnsiTheme="minorHAnsi" w:cs="Calibri"/>
          <w:i/>
          <w:iCs/>
          <w:sz w:val="20"/>
          <w:szCs w:val="16"/>
        </w:rPr>
        <w:t>Partnerships for a Healthy Region</w:t>
      </w:r>
      <w:r w:rsidRPr="00267653">
        <w:rPr>
          <w:rFonts w:asciiTheme="minorHAnsi" w:hAnsiTheme="minorHAnsi" w:cs="Calibri"/>
          <w:sz w:val="20"/>
          <w:szCs w:val="16"/>
        </w:rPr>
        <w:t xml:space="preserve">, as well as future multilateral funding contributions and emergency responses. </w:t>
      </w:r>
    </w:p>
    <w:p w14:paraId="31D85EF9" w14:textId="77777777" w:rsidR="00916E56" w:rsidRPr="008222FE" w:rsidRDefault="00916E56" w:rsidP="00265A33">
      <w:pPr>
        <w:spacing w:line="276" w:lineRule="auto"/>
        <w:rPr>
          <w:rFonts w:ascii="Calibri" w:hAnsi="Calibri" w:cs="Calibri"/>
          <w:sz w:val="20"/>
          <w:szCs w:val="16"/>
          <w:lang w:val="en-GB"/>
        </w:rPr>
      </w:pPr>
    </w:p>
    <w:p w14:paraId="2DAB71DB" w14:textId="0AB68719" w:rsidR="00916E56" w:rsidRPr="00916E56" w:rsidRDefault="00916E56" w:rsidP="00265A33">
      <w:pPr>
        <w:spacing w:line="276" w:lineRule="auto"/>
        <w:rPr>
          <w:lang w:val="en-AU"/>
        </w:rPr>
      </w:pPr>
      <w:r w:rsidRPr="008222FE">
        <w:rPr>
          <w:rFonts w:cs="Calibri"/>
          <w:sz w:val="20"/>
          <w:szCs w:val="16"/>
        </w:rPr>
        <w:t>Furthermore, lessons identified during VAHSI implementation will be considered in any future health emergency response, including the importance of early bilateral support and maintenance of multilateral support</w:t>
      </w:r>
      <w:r>
        <w:rPr>
          <w:rFonts w:cs="Calibri"/>
          <w:sz w:val="20"/>
          <w:szCs w:val="16"/>
        </w:rPr>
        <w:t>, alongside continued engagement in multilateral policymaking (e.g. during COVID, engagement in COVAX and the ACT Accelerator)</w:t>
      </w:r>
      <w:r w:rsidRPr="008222FE">
        <w:rPr>
          <w:rFonts w:cs="Calibri"/>
          <w:sz w:val="20"/>
          <w:szCs w:val="16"/>
        </w:rPr>
        <w:t xml:space="preserve">. </w:t>
      </w:r>
    </w:p>
    <w:p w14:paraId="26D77FBA" w14:textId="77777777" w:rsidR="00116BEF" w:rsidRDefault="00116BEF" w:rsidP="00116BEF">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p w14:paraId="1595AE18" w14:textId="77777777" w:rsidR="009E554A" w:rsidRDefault="009E554A" w:rsidP="009E554A"/>
    <w:p w14:paraId="4771C4FE" w14:textId="68335D78" w:rsidR="00B3665E" w:rsidRPr="008222FE" w:rsidRDefault="00B3665E" w:rsidP="009E554A">
      <w:pPr>
        <w:pStyle w:val="Heading3"/>
      </w:pPr>
      <w:r w:rsidRPr="008222FE">
        <w:t>Recommendation 6</w:t>
      </w:r>
    </w:p>
    <w:p w14:paraId="694FED0F" w14:textId="729F2B99" w:rsidR="006C44A8" w:rsidRPr="00B3665E" w:rsidRDefault="00B3665E" w:rsidP="009E554A">
      <w:pPr>
        <w:keepNext/>
        <w:keepLines/>
        <w:rPr>
          <w:b/>
          <w:lang w:val="en-AU"/>
        </w:rPr>
      </w:pPr>
      <w:r w:rsidRPr="00B3665E">
        <w:rPr>
          <w:rFonts w:cs="Calibri"/>
          <w:b/>
          <w:sz w:val="20"/>
          <w:szCs w:val="16"/>
        </w:rPr>
        <w:t>DFAT should ensure that future health emergency mechanisms are designed to enable flexible deployment of support, resources and programmatic changes in response to changing partner country needs and priorities</w:t>
      </w:r>
    </w:p>
    <w:p w14:paraId="4458766F" w14:textId="77777777" w:rsidR="00116BEF" w:rsidRPr="004A5B1A" w:rsidRDefault="00116BEF" w:rsidP="009E554A">
      <w:pPr>
        <w:pStyle w:val="Heading4"/>
        <w:rPr>
          <w:sz w:val="20"/>
          <w:szCs w:val="20"/>
        </w:rPr>
      </w:pPr>
      <w:r>
        <w:t xml:space="preserve">DFAT Response: </w:t>
      </w:r>
      <w:r w:rsidRPr="00CA04CE">
        <w:rPr>
          <w:i w:val="0"/>
          <w:iCs w:val="0"/>
          <w:color w:val="auto"/>
          <w:sz w:val="20"/>
          <w:szCs w:val="20"/>
        </w:rPr>
        <w:t>Agree</w:t>
      </w:r>
    </w:p>
    <w:p w14:paraId="3FD007CC" w14:textId="77777777" w:rsidR="00916E56" w:rsidRDefault="00916E56" w:rsidP="00916E56">
      <w:pPr>
        <w:pStyle w:val="Heading4"/>
      </w:pPr>
      <w:r>
        <w:t xml:space="preserve">DFAT </w:t>
      </w:r>
      <w:r w:rsidRPr="0047119C">
        <w:t>Action plan</w:t>
      </w:r>
    </w:p>
    <w:p w14:paraId="25F47B63" w14:textId="2B4F4868" w:rsidR="00B3665E" w:rsidRPr="00267653" w:rsidRDefault="00B3665E" w:rsidP="00C450C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 xml:space="preserve">Australia’s </w:t>
      </w:r>
      <w:r w:rsidRPr="00267653">
        <w:rPr>
          <w:rFonts w:asciiTheme="minorHAnsi" w:hAnsiTheme="minorHAnsi" w:cs="Calibri"/>
          <w:i/>
          <w:iCs/>
          <w:sz w:val="20"/>
          <w:szCs w:val="16"/>
        </w:rPr>
        <w:t xml:space="preserve">International Development Policy for a Peaceful, Stable and Prosperous Indo-Pacific </w:t>
      </w:r>
      <w:r w:rsidRPr="00267653">
        <w:rPr>
          <w:rFonts w:asciiTheme="minorHAnsi" w:hAnsiTheme="minorHAnsi" w:cs="Calibri"/>
          <w:sz w:val="20"/>
          <w:szCs w:val="16"/>
        </w:rPr>
        <w:t xml:space="preserve">acknowledges that a development program that meets the needs of our region </w:t>
      </w:r>
      <w:r w:rsidR="00FC1939" w:rsidRPr="00267653">
        <w:rPr>
          <w:rFonts w:asciiTheme="minorHAnsi" w:hAnsiTheme="minorHAnsi" w:cs="Calibri"/>
          <w:sz w:val="20"/>
          <w:szCs w:val="16"/>
        </w:rPr>
        <w:t xml:space="preserve">should </w:t>
      </w:r>
      <w:r w:rsidRPr="00267653">
        <w:rPr>
          <w:rFonts w:asciiTheme="minorHAnsi" w:hAnsiTheme="minorHAnsi" w:cs="Calibri"/>
          <w:sz w:val="20"/>
          <w:szCs w:val="16"/>
        </w:rPr>
        <w:t xml:space="preserve">be guided by context and partner countries’ priorities. </w:t>
      </w:r>
      <w:r w:rsidR="00FC1939" w:rsidRPr="00267653">
        <w:rPr>
          <w:rFonts w:asciiTheme="minorHAnsi" w:hAnsiTheme="minorHAnsi" w:cs="Calibri"/>
          <w:sz w:val="20"/>
          <w:szCs w:val="16"/>
        </w:rPr>
        <w:t xml:space="preserve">Australia </w:t>
      </w:r>
      <w:r w:rsidRPr="00267653">
        <w:rPr>
          <w:rFonts w:asciiTheme="minorHAnsi" w:hAnsiTheme="minorHAnsi" w:cs="Calibri"/>
          <w:sz w:val="20"/>
          <w:szCs w:val="16"/>
        </w:rPr>
        <w:t xml:space="preserve">endeavours to deploy both Official Development Assistance (ODA) and non-ODA support flexibly and creatively, to achieve the highest quality outcome in each circumstance. </w:t>
      </w:r>
    </w:p>
    <w:p w14:paraId="2F2E4A20" w14:textId="77777777" w:rsidR="00B3665E" w:rsidRPr="00267653" w:rsidRDefault="00B3665E" w:rsidP="00C450C3">
      <w:pPr>
        <w:pStyle w:val="Boxtext"/>
        <w:spacing w:after="0" w:line="276" w:lineRule="auto"/>
        <w:rPr>
          <w:rFonts w:asciiTheme="minorHAnsi" w:hAnsiTheme="minorHAnsi" w:cs="Calibri"/>
          <w:sz w:val="20"/>
          <w:szCs w:val="16"/>
        </w:rPr>
      </w:pPr>
    </w:p>
    <w:p w14:paraId="1DDE7A34" w14:textId="6E89F479" w:rsidR="00B3665E" w:rsidRPr="00267653" w:rsidRDefault="00FC1939" w:rsidP="00C450C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C</w:t>
      </w:r>
      <w:r w:rsidR="00B3665E" w:rsidRPr="00267653">
        <w:rPr>
          <w:rFonts w:asciiTheme="minorHAnsi" w:hAnsiTheme="minorHAnsi" w:cs="Calibri"/>
          <w:sz w:val="20"/>
          <w:szCs w:val="16"/>
        </w:rPr>
        <w:t xml:space="preserve">apacity building and health systems strengthening activities funded </w:t>
      </w:r>
      <w:r w:rsidR="005E0AF9" w:rsidRPr="00267653">
        <w:rPr>
          <w:rFonts w:asciiTheme="minorHAnsi" w:hAnsiTheme="minorHAnsi" w:cs="Calibri"/>
          <w:sz w:val="20"/>
          <w:szCs w:val="16"/>
        </w:rPr>
        <w:t xml:space="preserve">through </w:t>
      </w:r>
      <w:r w:rsidR="00B3665E" w:rsidRPr="00267653">
        <w:rPr>
          <w:rFonts w:asciiTheme="minorHAnsi" w:hAnsiTheme="minorHAnsi" w:cs="Calibri"/>
          <w:sz w:val="20"/>
          <w:szCs w:val="16"/>
        </w:rPr>
        <w:t xml:space="preserve">the </w:t>
      </w:r>
      <w:r w:rsidR="00B3665E" w:rsidRPr="00267653">
        <w:rPr>
          <w:rFonts w:asciiTheme="minorHAnsi" w:hAnsiTheme="minorHAnsi" w:cs="Calibri"/>
          <w:i/>
          <w:iCs/>
          <w:sz w:val="20"/>
          <w:szCs w:val="16"/>
        </w:rPr>
        <w:t>Partnerships for a Healthy Region</w:t>
      </w:r>
      <w:r w:rsidR="00B3665E" w:rsidRPr="00267653">
        <w:rPr>
          <w:rFonts w:asciiTheme="minorHAnsi" w:hAnsiTheme="minorHAnsi" w:cs="Calibri"/>
          <w:sz w:val="20"/>
          <w:szCs w:val="16"/>
        </w:rPr>
        <w:t xml:space="preserve"> initiative </w:t>
      </w:r>
      <w:r w:rsidRPr="00267653">
        <w:rPr>
          <w:rFonts w:asciiTheme="minorHAnsi" w:hAnsiTheme="minorHAnsi" w:cs="Calibri"/>
          <w:sz w:val="20"/>
          <w:szCs w:val="16"/>
        </w:rPr>
        <w:t xml:space="preserve">are designed to </w:t>
      </w:r>
      <w:r w:rsidR="00B3665E" w:rsidRPr="00267653">
        <w:rPr>
          <w:rFonts w:asciiTheme="minorHAnsi" w:hAnsiTheme="minorHAnsi" w:cs="Calibri"/>
          <w:sz w:val="20"/>
          <w:szCs w:val="16"/>
          <w:lang w:val="en-AU"/>
        </w:rPr>
        <w:t>remain responsive to changing partner country needs and priorities</w:t>
      </w:r>
      <w:r w:rsidR="00E5791E" w:rsidRPr="00267653">
        <w:rPr>
          <w:rFonts w:asciiTheme="minorHAnsi" w:hAnsiTheme="minorHAnsi" w:cs="Calibri"/>
          <w:sz w:val="20"/>
          <w:szCs w:val="16"/>
          <w:lang w:val="en-AU"/>
        </w:rPr>
        <w:t>,</w:t>
      </w:r>
      <w:r w:rsidR="00B3665E" w:rsidRPr="00267653">
        <w:rPr>
          <w:rFonts w:asciiTheme="minorHAnsi" w:hAnsiTheme="minorHAnsi" w:cs="Calibri"/>
          <w:sz w:val="20"/>
          <w:szCs w:val="16"/>
          <w:lang w:val="en-AU"/>
        </w:rPr>
        <w:t xml:space="preserve"> with a focus on </w:t>
      </w:r>
      <w:r w:rsidR="00B3665E" w:rsidRPr="00267653">
        <w:rPr>
          <w:rFonts w:asciiTheme="minorHAnsi" w:hAnsiTheme="minorHAnsi" w:cs="Calibri"/>
          <w:sz w:val="20"/>
          <w:szCs w:val="16"/>
        </w:rPr>
        <w:t>supporting local leadership and solutions</w:t>
      </w:r>
      <w:r w:rsidR="00B3665E" w:rsidRPr="00267653">
        <w:rPr>
          <w:rFonts w:asciiTheme="minorHAnsi" w:hAnsiTheme="minorHAnsi" w:cs="Calibri"/>
          <w:sz w:val="20"/>
          <w:szCs w:val="16"/>
          <w:lang w:val="en-AU"/>
        </w:rPr>
        <w:t xml:space="preserve">. </w:t>
      </w:r>
      <w:r w:rsidR="00E5791E" w:rsidRPr="00267653">
        <w:rPr>
          <w:rFonts w:asciiTheme="minorHAnsi" w:hAnsiTheme="minorHAnsi" w:cs="Calibri"/>
          <w:sz w:val="20"/>
          <w:szCs w:val="16"/>
          <w:lang w:val="en-AU"/>
        </w:rPr>
        <w:t xml:space="preserve">In </w:t>
      </w:r>
      <w:r w:rsidR="00E5791E" w:rsidRPr="00267653">
        <w:rPr>
          <w:rFonts w:asciiTheme="minorHAnsi" w:hAnsiTheme="minorHAnsi" w:cs="Calibri"/>
          <w:sz w:val="20"/>
          <w:szCs w:val="16"/>
          <w:lang w:val="en-US"/>
        </w:rPr>
        <w:t xml:space="preserve">a </w:t>
      </w:r>
      <w:r w:rsidR="00B3665E" w:rsidRPr="00267653">
        <w:rPr>
          <w:rFonts w:asciiTheme="minorHAnsi" w:hAnsiTheme="minorHAnsi" w:cs="Calibri"/>
          <w:sz w:val="20"/>
          <w:szCs w:val="16"/>
          <w:lang w:val="en-US"/>
        </w:rPr>
        <w:t>recent example</w:t>
      </w:r>
      <w:r w:rsidR="00E5791E" w:rsidRPr="00267653">
        <w:rPr>
          <w:rFonts w:asciiTheme="minorHAnsi" w:hAnsiTheme="minorHAnsi" w:cs="Calibri"/>
          <w:sz w:val="20"/>
          <w:szCs w:val="16"/>
          <w:lang w:val="en-US"/>
        </w:rPr>
        <w:t>,</w:t>
      </w:r>
      <w:r w:rsidR="00B3665E" w:rsidRPr="00267653">
        <w:rPr>
          <w:rFonts w:asciiTheme="minorHAnsi" w:hAnsiTheme="minorHAnsi" w:cs="Calibri"/>
          <w:sz w:val="20"/>
          <w:szCs w:val="16"/>
          <w:lang w:val="en-US"/>
        </w:rPr>
        <w:t xml:space="preserve"> </w:t>
      </w:r>
      <w:r w:rsidR="005E0AF9" w:rsidRPr="00267653">
        <w:rPr>
          <w:rFonts w:asciiTheme="minorHAnsi" w:hAnsiTheme="minorHAnsi" w:cs="Calibri"/>
          <w:sz w:val="20"/>
          <w:szCs w:val="16"/>
          <w:lang w:val="en-US"/>
        </w:rPr>
        <w:t>DFAT</w:t>
      </w:r>
      <w:r w:rsidR="00B3665E" w:rsidRPr="00267653">
        <w:rPr>
          <w:rFonts w:asciiTheme="minorHAnsi" w:hAnsiTheme="minorHAnsi" w:cs="Calibri"/>
          <w:sz w:val="20"/>
          <w:szCs w:val="16"/>
          <w:lang w:val="en-US"/>
        </w:rPr>
        <w:t xml:space="preserve"> </w:t>
      </w:r>
      <w:r w:rsidR="00864099" w:rsidRPr="00267653">
        <w:rPr>
          <w:rFonts w:asciiTheme="minorHAnsi" w:hAnsiTheme="minorHAnsi" w:cs="Calibri"/>
          <w:sz w:val="20"/>
          <w:szCs w:val="16"/>
          <w:lang w:val="en-US"/>
        </w:rPr>
        <w:t>liais</w:t>
      </w:r>
      <w:r w:rsidR="00E5791E" w:rsidRPr="00267653">
        <w:rPr>
          <w:rFonts w:asciiTheme="minorHAnsi" w:hAnsiTheme="minorHAnsi" w:cs="Calibri"/>
          <w:sz w:val="20"/>
          <w:szCs w:val="16"/>
          <w:lang w:val="en-US"/>
        </w:rPr>
        <w:t>ed</w:t>
      </w:r>
      <w:r w:rsidR="00864099" w:rsidRPr="00267653">
        <w:rPr>
          <w:rFonts w:asciiTheme="minorHAnsi" w:hAnsiTheme="minorHAnsi" w:cs="Calibri"/>
          <w:sz w:val="20"/>
          <w:szCs w:val="16"/>
          <w:lang w:val="en-US"/>
        </w:rPr>
        <w:t xml:space="preserve"> </w:t>
      </w:r>
      <w:r w:rsidR="00B3665E" w:rsidRPr="00267653">
        <w:rPr>
          <w:rFonts w:asciiTheme="minorHAnsi" w:hAnsiTheme="minorHAnsi" w:cs="Calibri"/>
          <w:sz w:val="20"/>
          <w:szCs w:val="16"/>
          <w:lang w:val="en-US"/>
        </w:rPr>
        <w:t xml:space="preserve">with </w:t>
      </w:r>
      <w:r w:rsidR="00E5791E" w:rsidRPr="00267653">
        <w:rPr>
          <w:rFonts w:asciiTheme="minorHAnsi" w:hAnsiTheme="minorHAnsi" w:cs="Calibri"/>
          <w:sz w:val="20"/>
          <w:szCs w:val="16"/>
          <w:lang w:val="en-US"/>
        </w:rPr>
        <w:t xml:space="preserve">Vanuatu’s </w:t>
      </w:r>
      <w:r w:rsidR="00B3665E" w:rsidRPr="00267653">
        <w:rPr>
          <w:rFonts w:asciiTheme="minorHAnsi" w:hAnsiTheme="minorHAnsi" w:cs="Calibri"/>
          <w:sz w:val="20"/>
          <w:szCs w:val="16"/>
          <w:lang w:val="en-US"/>
        </w:rPr>
        <w:t xml:space="preserve">Ministry of Health following the </w:t>
      </w:r>
      <w:r w:rsidR="00E5791E" w:rsidRPr="00267653">
        <w:rPr>
          <w:rFonts w:asciiTheme="minorHAnsi" w:hAnsiTheme="minorHAnsi" w:cs="Calibri"/>
          <w:sz w:val="20"/>
          <w:szCs w:val="16"/>
          <w:lang w:val="en-US"/>
        </w:rPr>
        <w:t xml:space="preserve">December 2024 </w:t>
      </w:r>
      <w:r w:rsidR="00B3665E" w:rsidRPr="00267653">
        <w:rPr>
          <w:rFonts w:asciiTheme="minorHAnsi" w:hAnsiTheme="minorHAnsi" w:cs="Calibri"/>
          <w:sz w:val="20"/>
          <w:szCs w:val="16"/>
          <w:lang w:val="en-US"/>
        </w:rPr>
        <w:t>earthquake around support requirements</w:t>
      </w:r>
      <w:r w:rsidR="00E5791E" w:rsidRPr="00267653">
        <w:rPr>
          <w:rFonts w:asciiTheme="minorHAnsi" w:hAnsiTheme="minorHAnsi" w:cs="Calibri"/>
          <w:sz w:val="20"/>
          <w:szCs w:val="16"/>
          <w:lang w:val="en-US"/>
        </w:rPr>
        <w:t>, subsequently</w:t>
      </w:r>
      <w:r w:rsidR="00B3665E" w:rsidRPr="00267653">
        <w:rPr>
          <w:rFonts w:asciiTheme="minorHAnsi" w:hAnsiTheme="minorHAnsi" w:cs="Calibri"/>
          <w:sz w:val="20"/>
          <w:szCs w:val="16"/>
          <w:lang w:val="en-US"/>
        </w:rPr>
        <w:t xml:space="preserve"> canvassing possible pivots with funded partners. </w:t>
      </w:r>
      <w:r w:rsidR="00267D93" w:rsidRPr="00267653">
        <w:rPr>
          <w:rFonts w:asciiTheme="minorHAnsi" w:hAnsiTheme="minorHAnsi" w:cs="Calibri"/>
          <w:sz w:val="20"/>
          <w:szCs w:val="16"/>
        </w:rPr>
        <w:t>DFAT</w:t>
      </w:r>
      <w:r w:rsidR="00B3665E" w:rsidRPr="00267653">
        <w:rPr>
          <w:rFonts w:asciiTheme="minorHAnsi" w:hAnsiTheme="minorHAnsi" w:cs="Calibri"/>
          <w:sz w:val="20"/>
          <w:szCs w:val="16"/>
          <w:lang w:val="en-AU"/>
        </w:rPr>
        <w:t xml:space="preserve"> will continue to encourage our delivery support partners to liaise with us</w:t>
      </w:r>
      <w:r w:rsidR="00B3665E" w:rsidRPr="00267653">
        <w:rPr>
          <w:rFonts w:asciiTheme="minorHAnsi" w:hAnsiTheme="minorHAnsi" w:cs="Calibri"/>
          <w:sz w:val="20"/>
          <w:szCs w:val="16"/>
          <w:lang w:val="en-US"/>
        </w:rPr>
        <w:t xml:space="preserve"> regarding emerging needs and investigate capacity to support.</w:t>
      </w:r>
    </w:p>
    <w:p w14:paraId="7B02E8CA" w14:textId="77777777" w:rsidR="00B3665E" w:rsidRPr="00267653" w:rsidRDefault="00B3665E" w:rsidP="00C450C3">
      <w:pPr>
        <w:pStyle w:val="Boxtext"/>
        <w:spacing w:after="0" w:line="276" w:lineRule="auto"/>
        <w:rPr>
          <w:rFonts w:asciiTheme="minorHAnsi" w:hAnsiTheme="minorHAnsi" w:cs="Calibri"/>
          <w:sz w:val="20"/>
          <w:szCs w:val="16"/>
        </w:rPr>
      </w:pPr>
    </w:p>
    <w:p w14:paraId="016A7860" w14:textId="77777777" w:rsidR="00116BEF" w:rsidRDefault="00116BEF" w:rsidP="00116BEF">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p w14:paraId="1C7AF234" w14:textId="77777777" w:rsidR="00457BC9" w:rsidRPr="008222FE" w:rsidRDefault="00457BC9" w:rsidP="00457BC9">
      <w:pPr>
        <w:pStyle w:val="Heading3"/>
      </w:pPr>
      <w:r w:rsidRPr="008222FE">
        <w:t>Recommendation 7</w:t>
      </w:r>
    </w:p>
    <w:p w14:paraId="368CF4CB" w14:textId="33AA7854" w:rsidR="00916E56" w:rsidRPr="00457BC9" w:rsidRDefault="00457BC9" w:rsidP="00457BC9">
      <w:pPr>
        <w:rPr>
          <w:b/>
          <w:lang w:val="en-AU"/>
        </w:rPr>
      </w:pPr>
      <w:r w:rsidRPr="00457BC9">
        <w:rPr>
          <w:rFonts w:cs="Calibri"/>
          <w:b/>
          <w:sz w:val="20"/>
          <w:szCs w:val="16"/>
        </w:rPr>
        <w:t xml:space="preserve">If </w:t>
      </w:r>
      <w:proofErr w:type="gramStart"/>
      <w:r w:rsidRPr="00457BC9">
        <w:rPr>
          <w:rFonts w:cs="Calibri"/>
          <w:b/>
          <w:sz w:val="20"/>
          <w:szCs w:val="16"/>
        </w:rPr>
        <w:t>not</w:t>
      </w:r>
      <w:proofErr w:type="gramEnd"/>
      <w:r w:rsidRPr="00457BC9">
        <w:rPr>
          <w:rFonts w:cs="Calibri"/>
          <w:b/>
          <w:sz w:val="20"/>
          <w:szCs w:val="16"/>
        </w:rPr>
        <w:t xml:space="preserve"> already in place, or under development, DFAT should consider establishing an emergency staffing plan to be able to respond quickly to staffing needs in a regional health emergency response</w:t>
      </w:r>
    </w:p>
    <w:p w14:paraId="3BC3B402" w14:textId="77777777" w:rsidR="00116BEF" w:rsidRDefault="00116BEF" w:rsidP="00116BEF">
      <w:pPr>
        <w:pStyle w:val="Heading4"/>
        <w:rPr>
          <w:rFonts w:cs="Calibri"/>
          <w:sz w:val="20"/>
          <w:szCs w:val="16"/>
        </w:rPr>
      </w:pPr>
      <w:r>
        <w:t xml:space="preserve">DFAT Response: </w:t>
      </w:r>
      <w:r w:rsidRPr="009F56D8">
        <w:rPr>
          <w:i w:val="0"/>
          <w:iCs w:val="0"/>
          <w:color w:val="auto"/>
          <w:sz w:val="20"/>
          <w:szCs w:val="20"/>
        </w:rPr>
        <w:t>Noted</w:t>
      </w:r>
    </w:p>
    <w:p w14:paraId="46FC822C" w14:textId="77777777" w:rsidR="00457BC9" w:rsidRDefault="00457BC9" w:rsidP="00457BC9">
      <w:pPr>
        <w:pStyle w:val="Heading4"/>
      </w:pPr>
      <w:r>
        <w:t xml:space="preserve">DFAT </w:t>
      </w:r>
      <w:r w:rsidRPr="0047119C">
        <w:t>Action plan</w:t>
      </w:r>
    </w:p>
    <w:p w14:paraId="72E55A19" w14:textId="77777777" w:rsidR="00117022" w:rsidRPr="00267653" w:rsidRDefault="00457BC9" w:rsidP="00117022">
      <w:pPr>
        <w:pStyle w:val="Boxtext"/>
        <w:spacing w:after="0" w:line="276" w:lineRule="auto"/>
        <w:rPr>
          <w:rFonts w:asciiTheme="minorHAnsi" w:hAnsiTheme="minorHAnsi" w:cs="Calibri"/>
          <w:sz w:val="20"/>
          <w:szCs w:val="16"/>
          <w:lang w:val="en-US"/>
        </w:rPr>
      </w:pPr>
      <w:r w:rsidRPr="00267653">
        <w:rPr>
          <w:rFonts w:asciiTheme="minorHAnsi" w:hAnsiTheme="minorHAnsi" w:cs="Calibri"/>
          <w:sz w:val="20"/>
          <w:szCs w:val="16"/>
          <w:lang w:val="en-US"/>
        </w:rPr>
        <w:t xml:space="preserve">DFAT’s </w:t>
      </w:r>
      <w:r w:rsidRPr="00267653">
        <w:rPr>
          <w:rFonts w:asciiTheme="minorHAnsi" w:hAnsiTheme="minorHAnsi" w:cs="Calibri"/>
          <w:i/>
          <w:iCs/>
          <w:sz w:val="20"/>
          <w:szCs w:val="16"/>
          <w:lang w:val="en-US"/>
        </w:rPr>
        <w:t>International Crisis Management Framework</w:t>
      </w:r>
      <w:r w:rsidRPr="00267653">
        <w:rPr>
          <w:rFonts w:asciiTheme="minorHAnsi" w:hAnsiTheme="minorHAnsi" w:cs="Calibri"/>
          <w:sz w:val="20"/>
          <w:szCs w:val="16"/>
          <w:lang w:val="en-US"/>
        </w:rPr>
        <w:t xml:space="preserve"> is subsidiary to the </w:t>
      </w:r>
      <w:r w:rsidRPr="00267653">
        <w:rPr>
          <w:rFonts w:asciiTheme="minorHAnsi" w:hAnsiTheme="minorHAnsi" w:cs="Calibri"/>
          <w:i/>
          <w:iCs/>
          <w:sz w:val="20"/>
          <w:szCs w:val="16"/>
          <w:lang w:val="en-US"/>
        </w:rPr>
        <w:t>Australian Government Crisis Management Framework</w:t>
      </w:r>
      <w:r w:rsidRPr="00267653">
        <w:rPr>
          <w:rFonts w:asciiTheme="minorHAnsi" w:hAnsiTheme="minorHAnsi" w:cs="Calibri"/>
          <w:sz w:val="20"/>
          <w:szCs w:val="16"/>
          <w:lang w:val="en-US"/>
        </w:rPr>
        <w:t xml:space="preserve"> and promotes effective crisis management, accountability, and transparency.</w:t>
      </w:r>
    </w:p>
    <w:p w14:paraId="1891B75C" w14:textId="77777777" w:rsidR="00117022" w:rsidRPr="00267653" w:rsidRDefault="00117022" w:rsidP="00117022">
      <w:pPr>
        <w:pStyle w:val="Boxtext"/>
        <w:spacing w:after="0" w:line="276" w:lineRule="auto"/>
        <w:rPr>
          <w:rFonts w:asciiTheme="minorHAnsi" w:hAnsiTheme="minorHAnsi" w:cs="Calibri"/>
          <w:sz w:val="20"/>
          <w:szCs w:val="16"/>
          <w:lang w:val="en-US"/>
        </w:rPr>
      </w:pPr>
    </w:p>
    <w:p w14:paraId="76EE80EB" w14:textId="6E53C464" w:rsidR="008A6F4E" w:rsidRPr="00267653" w:rsidRDefault="00457BC9" w:rsidP="00117022">
      <w:pPr>
        <w:pStyle w:val="Boxtext"/>
        <w:spacing w:after="0" w:line="276" w:lineRule="auto"/>
        <w:rPr>
          <w:rFonts w:asciiTheme="minorHAnsi" w:hAnsiTheme="minorHAnsi" w:cs="Calibri"/>
          <w:sz w:val="20"/>
          <w:szCs w:val="16"/>
          <w:lang w:val="en-US"/>
        </w:rPr>
      </w:pPr>
      <w:r w:rsidRPr="00267653">
        <w:rPr>
          <w:rFonts w:asciiTheme="minorHAnsi" w:hAnsiTheme="minorHAnsi" w:cs="Calibri"/>
          <w:sz w:val="20"/>
          <w:szCs w:val="16"/>
          <w:lang w:val="en-US"/>
        </w:rPr>
        <w:t xml:space="preserve">The Department </w:t>
      </w:r>
      <w:r w:rsidR="008A6F4E" w:rsidRPr="00267653">
        <w:rPr>
          <w:rFonts w:asciiTheme="minorHAnsi" w:hAnsiTheme="minorHAnsi" w:cs="Calibri"/>
          <w:sz w:val="20"/>
          <w:szCs w:val="16"/>
          <w:lang w:val="en-US"/>
        </w:rPr>
        <w:t xml:space="preserve">has </w:t>
      </w:r>
      <w:r w:rsidRPr="00267653">
        <w:rPr>
          <w:rFonts w:asciiTheme="minorHAnsi" w:hAnsiTheme="minorHAnsi" w:cs="Calibri"/>
          <w:sz w:val="20"/>
          <w:szCs w:val="16"/>
          <w:lang w:val="en-US"/>
        </w:rPr>
        <w:t xml:space="preserve">developed an </w:t>
      </w:r>
      <w:r w:rsidRPr="00267653">
        <w:rPr>
          <w:rFonts w:asciiTheme="minorHAnsi" w:hAnsiTheme="minorHAnsi" w:cs="Calibri"/>
          <w:i/>
          <w:iCs/>
          <w:sz w:val="20"/>
          <w:szCs w:val="16"/>
          <w:lang w:val="en-US"/>
        </w:rPr>
        <w:t>International Crisis Management Workforce Strategy</w:t>
      </w:r>
      <w:r w:rsidRPr="00267653">
        <w:rPr>
          <w:rFonts w:asciiTheme="minorHAnsi" w:hAnsiTheme="minorHAnsi" w:cs="Calibri"/>
          <w:sz w:val="20"/>
          <w:szCs w:val="16"/>
          <w:lang w:val="en-US"/>
        </w:rPr>
        <w:t xml:space="preserve"> to bolster and </w:t>
      </w:r>
      <w:r w:rsidRPr="00267653">
        <w:rPr>
          <w:rFonts w:asciiTheme="minorHAnsi" w:hAnsiTheme="minorHAnsi" w:cs="Calibri"/>
          <w:sz w:val="20"/>
          <w:szCs w:val="16"/>
          <w:lang w:val="en-US"/>
        </w:rPr>
        <w:lastRenderedPageBreak/>
        <w:t xml:space="preserve">maintain a skilled, experienced crisis workforce to ensure preparedness for crises. </w:t>
      </w:r>
    </w:p>
    <w:p w14:paraId="13A1A119" w14:textId="77777777" w:rsidR="008A6F4E" w:rsidRPr="00267653" w:rsidRDefault="008A6F4E" w:rsidP="00117022">
      <w:pPr>
        <w:pStyle w:val="Boxtext"/>
        <w:spacing w:after="0" w:line="276" w:lineRule="auto"/>
        <w:rPr>
          <w:rFonts w:asciiTheme="minorHAnsi" w:hAnsiTheme="minorHAnsi" w:cs="Calibri"/>
          <w:sz w:val="20"/>
          <w:szCs w:val="16"/>
          <w:lang w:val="en-US"/>
        </w:rPr>
      </w:pPr>
    </w:p>
    <w:p w14:paraId="415F1530" w14:textId="637827F4" w:rsidR="00457BC9" w:rsidRPr="00267653" w:rsidRDefault="00457BC9" w:rsidP="00117022">
      <w:pPr>
        <w:pStyle w:val="Boxtext"/>
        <w:spacing w:after="0" w:line="276" w:lineRule="auto"/>
        <w:rPr>
          <w:rFonts w:asciiTheme="minorHAnsi" w:hAnsiTheme="minorHAnsi"/>
          <w:sz w:val="20"/>
          <w:szCs w:val="20"/>
        </w:rPr>
      </w:pPr>
      <w:r w:rsidRPr="00267653">
        <w:rPr>
          <w:rFonts w:asciiTheme="minorHAnsi" w:hAnsiTheme="minorHAnsi"/>
          <w:sz w:val="20"/>
          <w:szCs w:val="20"/>
        </w:rPr>
        <w:t>The Crisis Response Team</w:t>
      </w:r>
      <w:r w:rsidR="00117022" w:rsidRPr="00267653">
        <w:rPr>
          <w:rFonts w:asciiTheme="minorHAnsi" w:hAnsiTheme="minorHAnsi"/>
          <w:sz w:val="20"/>
          <w:szCs w:val="20"/>
        </w:rPr>
        <w:t> </w:t>
      </w:r>
      <w:r w:rsidRPr="00267653">
        <w:rPr>
          <w:rFonts w:asciiTheme="minorHAnsi" w:hAnsiTheme="minorHAnsi"/>
          <w:sz w:val="20"/>
          <w:szCs w:val="20"/>
        </w:rPr>
        <w:t>(CRT) is comprised of DFAT personnel who are trained, equipped and prepared for rapid deployment overseas in a crisis to support Australia’s whole-of-government response to a crisis. CRT officers bring broad capabilities built through extensive experiences such as civil-military engagement, UN coordination, and logistics and can be deployed within 12-24 hours of a crisis occurring.</w:t>
      </w:r>
    </w:p>
    <w:p w14:paraId="77BCBAF6" w14:textId="77777777" w:rsidR="00457BC9" w:rsidRDefault="00457BC9" w:rsidP="00117022">
      <w:pPr>
        <w:pStyle w:val="Boxtext"/>
        <w:spacing w:after="0" w:line="276" w:lineRule="auto"/>
        <w:rPr>
          <w:rFonts w:cs="Calibri"/>
          <w:sz w:val="20"/>
          <w:szCs w:val="16"/>
        </w:rPr>
      </w:pPr>
    </w:p>
    <w:p w14:paraId="0FDB47D6" w14:textId="6EAB623A" w:rsidR="00457BC9" w:rsidRPr="00457BC9" w:rsidRDefault="008A6F4E" w:rsidP="00117022">
      <w:pPr>
        <w:spacing w:line="276" w:lineRule="auto"/>
        <w:rPr>
          <w:lang w:val="en-AU"/>
        </w:rPr>
      </w:pPr>
      <w:r>
        <w:rPr>
          <w:rFonts w:cs="Calibri"/>
          <w:sz w:val="20"/>
          <w:szCs w:val="16"/>
        </w:rPr>
        <w:t>A parallel</w:t>
      </w:r>
      <w:r w:rsidRPr="008222FE">
        <w:rPr>
          <w:rFonts w:cs="Calibri"/>
          <w:sz w:val="20"/>
          <w:szCs w:val="16"/>
        </w:rPr>
        <w:t xml:space="preserve"> </w:t>
      </w:r>
      <w:r w:rsidR="00457BC9" w:rsidRPr="008222FE">
        <w:rPr>
          <w:rFonts w:cs="Calibri"/>
          <w:sz w:val="20"/>
          <w:szCs w:val="16"/>
        </w:rPr>
        <w:t xml:space="preserve">Crisis Cadre </w:t>
      </w:r>
      <w:r>
        <w:rPr>
          <w:rFonts w:cs="Calibri"/>
          <w:sz w:val="20"/>
          <w:szCs w:val="16"/>
        </w:rPr>
        <w:t>is</w:t>
      </w:r>
      <w:r w:rsidRPr="008222FE">
        <w:rPr>
          <w:rFonts w:cs="Calibri"/>
          <w:sz w:val="20"/>
          <w:szCs w:val="16"/>
        </w:rPr>
        <w:t xml:space="preserve"> </w:t>
      </w:r>
      <w:r w:rsidR="00457BC9" w:rsidRPr="008222FE">
        <w:rPr>
          <w:rFonts w:cs="Calibri"/>
          <w:sz w:val="20"/>
          <w:szCs w:val="16"/>
        </w:rPr>
        <w:t xml:space="preserve">a team of trained and experienced DFAT officers that manage </w:t>
      </w:r>
      <w:r>
        <w:rPr>
          <w:rFonts w:cs="Calibri"/>
          <w:sz w:val="20"/>
          <w:szCs w:val="16"/>
        </w:rPr>
        <w:t xml:space="preserve">Canberra-based </w:t>
      </w:r>
      <w:r w:rsidR="00457BC9" w:rsidRPr="008222FE">
        <w:rPr>
          <w:rFonts w:cs="Calibri"/>
          <w:sz w:val="20"/>
          <w:szCs w:val="16"/>
        </w:rPr>
        <w:t xml:space="preserve">responses to international crises by supporting the operations of the Crisis Centre. The Crisis Cadre works with other areas of the Department who are responding to the crisis, including </w:t>
      </w:r>
      <w:r w:rsidR="00091149">
        <w:rPr>
          <w:rFonts w:cs="Calibri"/>
          <w:sz w:val="20"/>
          <w:szCs w:val="16"/>
        </w:rPr>
        <w:t>p</w:t>
      </w:r>
      <w:r w:rsidR="00457BC9" w:rsidRPr="008222FE">
        <w:rPr>
          <w:rFonts w:cs="Calibri"/>
          <w:sz w:val="20"/>
          <w:szCs w:val="16"/>
        </w:rPr>
        <w:t xml:space="preserve">ortfolio </w:t>
      </w:r>
      <w:r w:rsidR="00091149">
        <w:rPr>
          <w:rFonts w:cs="Calibri"/>
          <w:sz w:val="20"/>
          <w:szCs w:val="16"/>
        </w:rPr>
        <w:t>m</w:t>
      </w:r>
      <w:r w:rsidR="00457BC9" w:rsidRPr="008222FE">
        <w:rPr>
          <w:rFonts w:cs="Calibri"/>
          <w:sz w:val="20"/>
          <w:szCs w:val="16"/>
        </w:rPr>
        <w:t>inisters’ office</w:t>
      </w:r>
      <w:r w:rsidR="00091149">
        <w:rPr>
          <w:rFonts w:cs="Calibri"/>
          <w:sz w:val="20"/>
          <w:szCs w:val="16"/>
        </w:rPr>
        <w:t>s</w:t>
      </w:r>
      <w:r w:rsidR="00457BC9" w:rsidRPr="008222FE">
        <w:rPr>
          <w:rFonts w:cs="Calibri"/>
          <w:sz w:val="20"/>
          <w:szCs w:val="16"/>
        </w:rPr>
        <w:t>, overseas post(s), deployed whole-of-government teams, media outlets and other key stakeholders. Depending on the nature of the crisis, members may also implement humanitarian response activities including the coordination of humanitarian funding and the release of emergency relief supplies.</w:t>
      </w:r>
    </w:p>
    <w:p w14:paraId="4C0794CF" w14:textId="77777777" w:rsidR="00116BEF" w:rsidRDefault="00116BEF" w:rsidP="00116BEF">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p w14:paraId="273E4C35" w14:textId="77777777" w:rsidR="00457BC9" w:rsidRPr="002C2079" w:rsidRDefault="00457BC9" w:rsidP="00457BC9">
      <w:pPr>
        <w:rPr>
          <w:lang w:val="en-AU"/>
        </w:rPr>
      </w:pPr>
    </w:p>
    <w:p w14:paraId="746F8C6C" w14:textId="77777777" w:rsidR="00457BC9" w:rsidRPr="008222FE" w:rsidRDefault="00457BC9" w:rsidP="00880CB2">
      <w:pPr>
        <w:pStyle w:val="Heading3"/>
        <w:spacing w:before="0"/>
        <w:rPr>
          <w:b/>
          <w:bCs/>
        </w:rPr>
      </w:pPr>
      <w:r w:rsidRPr="008222FE">
        <w:t>Recommendation 8</w:t>
      </w:r>
    </w:p>
    <w:p w14:paraId="3932CC61" w14:textId="7A83A7DF" w:rsidR="00B73995" w:rsidRPr="00457BC9" w:rsidRDefault="00457BC9" w:rsidP="00457BC9">
      <w:pPr>
        <w:rPr>
          <w:b/>
          <w:lang w:val="en-AU"/>
        </w:rPr>
      </w:pPr>
      <w:r w:rsidRPr="00457BC9">
        <w:rPr>
          <w:rFonts w:cs="Calibri"/>
          <w:b/>
          <w:sz w:val="20"/>
          <w:szCs w:val="16"/>
        </w:rPr>
        <w:t>DFAT should ensure the development and use of a MEL Plan for complex investments. In addition to a Performance Assessment Framework (PAF), DFAT investments should include an overarching MEL Plan to better articulate broader management of MEL including how different types of data are collected and how progress towards, and achievement of outcomes, are measured (and by whom). This should be communicated to delivery support partners up front in a MEL Guide that describes minimum data and reporting requirements, a process to ensure that these are understood and accepted by all funded delivery support partners, and that systems are in place for ensuring quality/compliance with these requirements. Any changes in data or reporting requirements should be effectively communicated to partners. Where an overarching PAF is focused on End of Program Outcomes – the MEL Plan should include a description of ‘fit for purpose’ tools or processes (for example, Dashboards or streamlined Annual Reports) to better enable DFAT progress monitoring at the investment level.</w:t>
      </w:r>
    </w:p>
    <w:p w14:paraId="549873EC" w14:textId="77777777" w:rsidR="00116BEF" w:rsidRPr="004A5B1A" w:rsidRDefault="00116BEF" w:rsidP="00116BEF">
      <w:pPr>
        <w:pStyle w:val="Heading4"/>
        <w:rPr>
          <w:sz w:val="20"/>
          <w:szCs w:val="20"/>
        </w:rPr>
      </w:pPr>
      <w:r>
        <w:t xml:space="preserve">DFAT Response: </w:t>
      </w:r>
      <w:r w:rsidRPr="00CA04CE">
        <w:rPr>
          <w:i w:val="0"/>
          <w:iCs w:val="0"/>
          <w:color w:val="auto"/>
          <w:sz w:val="20"/>
          <w:szCs w:val="20"/>
        </w:rPr>
        <w:t>Agree</w:t>
      </w:r>
    </w:p>
    <w:p w14:paraId="15B0EDA5" w14:textId="77777777" w:rsidR="00457BC9" w:rsidRDefault="00457BC9" w:rsidP="00457BC9">
      <w:pPr>
        <w:pStyle w:val="Heading4"/>
      </w:pPr>
      <w:r>
        <w:t xml:space="preserve">DFAT </w:t>
      </w:r>
      <w:r w:rsidRPr="0047119C">
        <w:t>Action plan</w:t>
      </w:r>
    </w:p>
    <w:p w14:paraId="7BCCEEBB" w14:textId="29EDA1F1" w:rsidR="00457BC9" w:rsidRPr="00267653" w:rsidRDefault="00457BC9" w:rsidP="00117022">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DFAT’s Design and Monitoring, Evaluation &amp; Learning (MEL) Standards support Australian development assistance programs to achieve high quality monitoring, review, evaluation and learning. Standard investments, most of which have a small number of implementing partners and are designed upfront, require a single MEL framework and plan. Broader initiatives and facilities usually have more diverse activities designed in response to emerging priorities and use a Performance Assessment Framework (PAF) to bring together performance information. VAHSI used the PAF system, and DFAT acknowledge limitations in the consistency of information. Future regional health initiatives will have a MEL Plan that builds on the PAF to set out how data will be collected and analysed to track, assess and improve program performance during implementation. </w:t>
      </w:r>
    </w:p>
    <w:p w14:paraId="42F16F29" w14:textId="77777777" w:rsidR="00457BC9" w:rsidRPr="00E77506" w:rsidRDefault="00457BC9" w:rsidP="00117022">
      <w:pPr>
        <w:spacing w:line="276" w:lineRule="auto"/>
        <w:rPr>
          <w:lang w:val="en-GB"/>
        </w:rPr>
      </w:pPr>
    </w:p>
    <w:p w14:paraId="726DDD3A" w14:textId="72160E62" w:rsidR="00457BC9" w:rsidRPr="00267653" w:rsidRDefault="00457BC9" w:rsidP="00117022">
      <w:pPr>
        <w:pStyle w:val="Boxtext"/>
        <w:spacing w:after="0" w:line="276" w:lineRule="auto"/>
        <w:rPr>
          <w:rFonts w:asciiTheme="minorHAnsi" w:hAnsiTheme="minorHAnsi" w:cs="Calibri"/>
          <w:sz w:val="20"/>
          <w:szCs w:val="16"/>
          <w:lang w:val="en-US"/>
        </w:rPr>
      </w:pPr>
      <w:r w:rsidRPr="00267653">
        <w:rPr>
          <w:rFonts w:asciiTheme="minorHAnsi" w:hAnsiTheme="minorHAnsi" w:cs="Calibri"/>
          <w:sz w:val="20"/>
          <w:szCs w:val="16"/>
          <w:lang w:val="en-US"/>
        </w:rPr>
        <w:t xml:space="preserve">DFAT has developed </w:t>
      </w:r>
      <w:proofErr w:type="gramStart"/>
      <w:r w:rsidRPr="00267653">
        <w:rPr>
          <w:rFonts w:asciiTheme="minorHAnsi" w:hAnsiTheme="minorHAnsi" w:cs="Calibri"/>
          <w:sz w:val="20"/>
          <w:szCs w:val="16"/>
          <w:lang w:val="en-US"/>
        </w:rPr>
        <w:t>a MEL</w:t>
      </w:r>
      <w:proofErr w:type="gramEnd"/>
      <w:r w:rsidRPr="00267653">
        <w:rPr>
          <w:rFonts w:asciiTheme="minorHAnsi" w:hAnsiTheme="minorHAnsi" w:cs="Calibri"/>
          <w:sz w:val="20"/>
          <w:szCs w:val="16"/>
          <w:lang w:val="en-US"/>
        </w:rPr>
        <w:t xml:space="preserve"> plan for the </w:t>
      </w:r>
      <w:r w:rsidRPr="00267653">
        <w:rPr>
          <w:rFonts w:asciiTheme="minorHAnsi" w:hAnsiTheme="minorHAnsi" w:cs="Calibri"/>
          <w:i/>
          <w:iCs/>
          <w:sz w:val="20"/>
          <w:szCs w:val="16"/>
          <w:lang w:val="en-US"/>
        </w:rPr>
        <w:t xml:space="preserve">Partnerships for a Healthy Region Initiative </w:t>
      </w:r>
      <w:r w:rsidRPr="00267653">
        <w:rPr>
          <w:rFonts w:asciiTheme="minorHAnsi" w:hAnsiTheme="minorHAnsi" w:cs="Calibri"/>
          <w:sz w:val="20"/>
          <w:szCs w:val="16"/>
          <w:lang w:val="en-US"/>
        </w:rPr>
        <w:t>and implementing strategies to improve partners’ understanding of and compliance with minimum requirements. This includes holding partner information sessions, establishing a system for reporting against PAF indicators, and a Community of Practice to support partners to progress gender equality and disability equity priorities. DFAT will also publish annual reports that analyse and communicate how well the initiative is performing.   </w:t>
      </w:r>
    </w:p>
    <w:p w14:paraId="453553D0" w14:textId="77777777" w:rsidR="00116BEF" w:rsidRDefault="00116BEF" w:rsidP="00116BEF">
      <w:pPr>
        <w:pStyle w:val="Heading4"/>
        <w:spacing w:after="0"/>
        <w:rPr>
          <w:i w:val="0"/>
          <w:iCs w:val="0"/>
          <w:color w:val="auto"/>
          <w:sz w:val="20"/>
          <w:szCs w:val="20"/>
        </w:rPr>
      </w:pPr>
      <w:r w:rsidRPr="0047119C">
        <w:lastRenderedPageBreak/>
        <w:t>Timeframe</w:t>
      </w:r>
      <w:r>
        <w:t xml:space="preserve">: </w:t>
      </w:r>
      <w:r w:rsidRPr="00CB4EC3">
        <w:rPr>
          <w:i w:val="0"/>
          <w:iCs w:val="0"/>
          <w:color w:val="auto"/>
          <w:sz w:val="20"/>
          <w:szCs w:val="20"/>
        </w:rPr>
        <w:t>Ongoing</w:t>
      </w:r>
    </w:p>
    <w:p w14:paraId="445C319E" w14:textId="77777777" w:rsidR="00880CB2" w:rsidRPr="00880CB2" w:rsidRDefault="00880CB2" w:rsidP="00880CB2">
      <w:pPr>
        <w:rPr>
          <w:lang w:val="en-AU"/>
        </w:rPr>
      </w:pPr>
    </w:p>
    <w:p w14:paraId="2AE08ADE" w14:textId="77777777" w:rsidR="00457BC9" w:rsidRPr="008222FE" w:rsidRDefault="00457BC9" w:rsidP="00EF2287">
      <w:pPr>
        <w:pStyle w:val="Heading3"/>
        <w:spacing w:before="0"/>
        <w:rPr>
          <w:b/>
          <w:bCs/>
        </w:rPr>
      </w:pPr>
      <w:r w:rsidRPr="008222FE">
        <w:t>Recommendation 9</w:t>
      </w:r>
    </w:p>
    <w:p w14:paraId="2A6159BE" w14:textId="033C3301" w:rsidR="00457BC9" w:rsidRPr="00457BC9" w:rsidRDefault="00457BC9" w:rsidP="00EF2287">
      <w:pPr>
        <w:keepNext/>
        <w:keepLines/>
        <w:rPr>
          <w:b/>
          <w:lang w:val="en-AU"/>
        </w:rPr>
      </w:pPr>
      <w:r w:rsidRPr="00457BC9">
        <w:rPr>
          <w:rFonts w:cs="Calibri"/>
          <w:b/>
          <w:sz w:val="20"/>
          <w:szCs w:val="16"/>
        </w:rPr>
        <w:t>In recognition of the significant value-add of OPDs to disability inclusion in these situations, DFAT should ensure ongoing support to OPDs, inclusive of supporting DFAT-funded delivery support partners to foster formal and long-term partnerships with OPDs. There may also be a role for DFAT and its delivery support partners to advocate for the inclusion of OPDs in ministry</w:t>
      </w:r>
      <w:r w:rsidRPr="00457BC9">
        <w:rPr>
          <w:rFonts w:cs="Calibri"/>
          <w:b/>
          <w:sz w:val="20"/>
          <w:szCs w:val="16"/>
        </w:rPr>
        <w:noBreakHyphen/>
        <w:t>level planning and coordination meetings.</w:t>
      </w:r>
    </w:p>
    <w:p w14:paraId="3A91C03A" w14:textId="77777777" w:rsidR="00116BEF" w:rsidRPr="004A5B1A" w:rsidRDefault="00116BEF" w:rsidP="00EF2287">
      <w:pPr>
        <w:pStyle w:val="Heading4"/>
        <w:rPr>
          <w:sz w:val="20"/>
          <w:szCs w:val="20"/>
        </w:rPr>
      </w:pPr>
      <w:r>
        <w:t xml:space="preserve">DFAT Response: </w:t>
      </w:r>
      <w:r w:rsidRPr="00CA04CE">
        <w:rPr>
          <w:i w:val="0"/>
          <w:iCs w:val="0"/>
          <w:color w:val="auto"/>
          <w:sz w:val="20"/>
          <w:szCs w:val="20"/>
        </w:rPr>
        <w:t>Agree</w:t>
      </w:r>
    </w:p>
    <w:p w14:paraId="5A8B9719" w14:textId="77777777" w:rsidR="00457BC9" w:rsidRDefault="00457BC9" w:rsidP="00457BC9">
      <w:pPr>
        <w:pStyle w:val="Heading4"/>
      </w:pPr>
      <w:r>
        <w:t xml:space="preserve">DFAT </w:t>
      </w:r>
      <w:r w:rsidRPr="0047119C">
        <w:t>Action plan</w:t>
      </w:r>
    </w:p>
    <w:p w14:paraId="2598DE17" w14:textId="77777777" w:rsidR="00457BC9" w:rsidRPr="00267653" w:rsidRDefault="00457BC9" w:rsidP="00265A3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Australia pursues disability equity as a core value and priority across foreign policy and development investments.</w:t>
      </w:r>
      <w:r w:rsidRPr="00267653">
        <w:rPr>
          <w:rFonts w:ascii="Arial" w:hAnsi="Arial" w:cs="Arial"/>
          <w:sz w:val="20"/>
          <w:szCs w:val="16"/>
        </w:rPr>
        <w:t> </w:t>
      </w:r>
      <w:r w:rsidRPr="00267653">
        <w:rPr>
          <w:rFonts w:asciiTheme="minorHAnsi" w:hAnsiTheme="minorHAnsi" w:cs="Calibri"/>
          <w:sz w:val="20"/>
          <w:szCs w:val="16"/>
        </w:rPr>
        <w:t>Australia is working with partners in our region to progress disability equity and social inclusion and support the realisation of the right to health for all.</w:t>
      </w:r>
    </w:p>
    <w:p w14:paraId="748CD14C" w14:textId="77777777" w:rsidR="00457BC9" w:rsidRPr="00267653" w:rsidRDefault="00457BC9" w:rsidP="00265A33">
      <w:pPr>
        <w:pStyle w:val="Boxtext"/>
        <w:spacing w:after="0" w:line="276" w:lineRule="auto"/>
        <w:rPr>
          <w:rFonts w:asciiTheme="minorHAnsi" w:hAnsiTheme="minorHAnsi" w:cs="Calibri"/>
          <w:sz w:val="20"/>
          <w:szCs w:val="16"/>
        </w:rPr>
      </w:pPr>
    </w:p>
    <w:p w14:paraId="5946529C" w14:textId="77777777" w:rsidR="00457BC9" w:rsidRPr="00267653" w:rsidRDefault="00457BC9" w:rsidP="00265A33">
      <w:pPr>
        <w:pStyle w:val="Boxtext"/>
        <w:spacing w:after="0" w:line="276" w:lineRule="auto"/>
        <w:rPr>
          <w:rFonts w:asciiTheme="minorHAnsi" w:hAnsiTheme="minorHAnsi" w:cs="Calibri"/>
          <w:sz w:val="20"/>
          <w:szCs w:val="16"/>
        </w:rPr>
      </w:pPr>
      <w:r w:rsidRPr="00267653">
        <w:rPr>
          <w:rFonts w:asciiTheme="minorHAnsi" w:hAnsiTheme="minorHAnsi" w:cs="Calibri"/>
          <w:sz w:val="20"/>
          <w:szCs w:val="16"/>
        </w:rPr>
        <w:t xml:space="preserve">Australia’s </w:t>
      </w:r>
      <w:r w:rsidRPr="00267653">
        <w:rPr>
          <w:rFonts w:asciiTheme="minorHAnsi" w:hAnsiTheme="minorHAnsi" w:cs="Calibri"/>
          <w:i/>
          <w:iCs/>
          <w:sz w:val="20"/>
          <w:szCs w:val="16"/>
        </w:rPr>
        <w:t>International Development Policy for a Peaceful, Stable and Prosperous Indo-Pacific</w:t>
      </w:r>
      <w:r w:rsidRPr="00267653">
        <w:rPr>
          <w:rFonts w:asciiTheme="minorHAnsi" w:hAnsiTheme="minorHAnsi" w:cs="Calibri"/>
          <w:sz w:val="20"/>
          <w:szCs w:val="16"/>
        </w:rPr>
        <w:t xml:space="preserve"> acknowledges that marginalised people are disproportionately impacted by economic shocks, climate change and humanitarian crises; and supporting our region to ensure the benefits of prosperity and stability are extended to all means we must tackle the unequal power systems and structures that stifle economic growth and human development. The policy reinforces the importance of development efforts being led by the experiences and expertise of persons with disabilities.</w:t>
      </w:r>
    </w:p>
    <w:p w14:paraId="79DC0A34" w14:textId="77777777" w:rsidR="00457BC9" w:rsidRPr="00E77506" w:rsidRDefault="00457BC9" w:rsidP="00265A33">
      <w:pPr>
        <w:spacing w:line="276" w:lineRule="auto"/>
        <w:rPr>
          <w:lang w:val="en-GB"/>
        </w:rPr>
      </w:pPr>
    </w:p>
    <w:p w14:paraId="09805D70" w14:textId="06E93FDB" w:rsidR="00457BC9" w:rsidRPr="00267653" w:rsidRDefault="001E6235" w:rsidP="00265A33">
      <w:pPr>
        <w:spacing w:line="276" w:lineRule="auto"/>
        <w:rPr>
          <w:rFonts w:cs="Calibri"/>
          <w:color w:val="000000" w:themeColor="text1"/>
          <w:sz w:val="20"/>
          <w:szCs w:val="16"/>
          <w:lang w:val="en-GB"/>
        </w:rPr>
      </w:pPr>
      <w:r w:rsidRPr="00267653">
        <w:rPr>
          <w:rFonts w:cs="Calibri"/>
          <w:color w:val="000000" w:themeColor="text1"/>
          <w:sz w:val="20"/>
          <w:szCs w:val="16"/>
          <w:lang w:val="en-GB"/>
        </w:rPr>
        <w:t xml:space="preserve">Australia’s </w:t>
      </w:r>
      <w:r w:rsidR="00457BC9" w:rsidRPr="00267653">
        <w:rPr>
          <w:rFonts w:cs="Calibri"/>
          <w:color w:val="000000" w:themeColor="text1"/>
          <w:sz w:val="20"/>
          <w:szCs w:val="16"/>
          <w:lang w:val="en-GB"/>
        </w:rPr>
        <w:t xml:space="preserve">new </w:t>
      </w:r>
      <w:r w:rsidR="00457BC9" w:rsidRPr="00267653">
        <w:rPr>
          <w:rFonts w:cs="Calibri"/>
          <w:i/>
          <w:iCs/>
          <w:color w:val="000000" w:themeColor="text1"/>
          <w:sz w:val="20"/>
          <w:szCs w:val="16"/>
          <w:lang w:val="en-GB"/>
        </w:rPr>
        <w:t>International Disability Equity and Rights Strategy</w:t>
      </w:r>
      <w:r w:rsidR="00457BC9" w:rsidRPr="00267653">
        <w:rPr>
          <w:rFonts w:cs="Calibri"/>
          <w:color w:val="000000" w:themeColor="text1"/>
          <w:sz w:val="20"/>
          <w:szCs w:val="16"/>
          <w:lang w:val="en-GB"/>
        </w:rPr>
        <w:t xml:space="preserve"> (IDEARS) delivers on a commitment under the </w:t>
      </w:r>
      <w:hyperlink r:id="rId11" w:tooltip="Australia’s International Development Policy" w:history="1">
        <w:r w:rsidR="00457BC9" w:rsidRPr="00267653">
          <w:rPr>
            <w:rFonts w:cs="Calibri"/>
            <w:color w:val="000000" w:themeColor="text1"/>
            <w:sz w:val="20"/>
            <w:szCs w:val="16"/>
            <w:lang w:val="en-GB"/>
          </w:rPr>
          <w:t>International Development Policy</w:t>
        </w:r>
      </w:hyperlink>
      <w:r w:rsidR="00457BC9" w:rsidRPr="00267653">
        <w:rPr>
          <w:rFonts w:cs="Calibri"/>
          <w:color w:val="000000" w:themeColor="text1"/>
          <w:sz w:val="20"/>
          <w:szCs w:val="16"/>
          <w:lang w:val="en-GB"/>
        </w:rPr>
        <w:t xml:space="preserve"> to prioritise disability equity and rights as an integral part of Australia’s international engagement. It embeds ‘nothing without us’ as a key principle, recognising the need for people with disability to be listened to, to participate in and to contribute at all stages of policy and program development and across all sectors. </w:t>
      </w:r>
      <w:r w:rsidR="00457BC9" w:rsidRPr="00267653">
        <w:rPr>
          <w:rFonts w:cs="Calibri"/>
          <w:color w:val="000000" w:themeColor="text1"/>
          <w:sz w:val="20"/>
          <w:szCs w:val="16"/>
        </w:rPr>
        <w:t xml:space="preserve">IDEARS commits to investing in ongoing disability movement strengthening by providing core funding and capacity-building support to Organisations for People with Disabilities (OPD), particularly in the Indo-Pacific and advocates for stronger partnerships between OPDs and a range of stakeholders including partner governments. </w:t>
      </w:r>
    </w:p>
    <w:p w14:paraId="1C8D3E92" w14:textId="77777777" w:rsidR="00457BC9" w:rsidRPr="008222FE" w:rsidRDefault="00457BC9" w:rsidP="00265A33">
      <w:pPr>
        <w:pStyle w:val="Boxtext"/>
        <w:spacing w:after="0" w:line="276" w:lineRule="auto"/>
        <w:rPr>
          <w:rFonts w:cs="Calibri"/>
          <w:sz w:val="20"/>
          <w:szCs w:val="16"/>
        </w:rPr>
      </w:pPr>
    </w:p>
    <w:p w14:paraId="1FDABD32" w14:textId="55675D5A" w:rsidR="00457BC9" w:rsidRPr="00457BC9" w:rsidRDefault="00457BC9" w:rsidP="00265A33">
      <w:pPr>
        <w:spacing w:line="276" w:lineRule="auto"/>
        <w:rPr>
          <w:b/>
          <w:bCs/>
          <w:lang w:val="en-AU"/>
        </w:rPr>
      </w:pPr>
      <w:r w:rsidRPr="008222FE">
        <w:rPr>
          <w:rFonts w:cs="Calibri"/>
          <w:sz w:val="20"/>
          <w:szCs w:val="16"/>
        </w:rPr>
        <w:t xml:space="preserve">Disability equity and social inclusion are embedded as cross cutting priorities in the design of the </w:t>
      </w:r>
      <w:r w:rsidRPr="008222FE">
        <w:rPr>
          <w:rFonts w:cs="Calibri"/>
          <w:i/>
          <w:iCs/>
          <w:sz w:val="20"/>
          <w:szCs w:val="16"/>
        </w:rPr>
        <w:t>Partnerships</w:t>
      </w:r>
      <w:r w:rsidR="001D4E9F">
        <w:rPr>
          <w:rFonts w:cs="Calibri"/>
          <w:i/>
          <w:iCs/>
          <w:sz w:val="20"/>
          <w:szCs w:val="16"/>
        </w:rPr>
        <w:t> </w:t>
      </w:r>
      <w:r w:rsidRPr="008222FE">
        <w:rPr>
          <w:rFonts w:cs="Calibri"/>
          <w:i/>
          <w:iCs/>
          <w:sz w:val="20"/>
          <w:szCs w:val="16"/>
        </w:rPr>
        <w:t>for a Healthy Region</w:t>
      </w:r>
      <w:r w:rsidRPr="008222FE">
        <w:rPr>
          <w:rFonts w:cs="Calibri"/>
          <w:sz w:val="20"/>
          <w:szCs w:val="16"/>
        </w:rPr>
        <w:t xml:space="preserve"> initiative. </w:t>
      </w:r>
      <w:r>
        <w:rPr>
          <w:rFonts w:cs="Calibri"/>
          <w:sz w:val="20"/>
          <w:szCs w:val="16"/>
        </w:rPr>
        <w:t xml:space="preserve">Partners are expected to align with the principles, approaches and priorities outlined in the IDEARS, including supporting the meaningful engagement of people with disabilities and their representative organisations into health programming. </w:t>
      </w:r>
      <w:r w:rsidRPr="008222FE">
        <w:rPr>
          <w:rFonts w:cs="Calibri"/>
          <w:sz w:val="20"/>
          <w:szCs w:val="16"/>
        </w:rPr>
        <w:t>DFAT has committed to a new project with CBM Australia to enhance mental health and psychosocial support services and empower people with psychosocial disabilities in Fiji and Philippines</w:t>
      </w:r>
      <w:r>
        <w:rPr>
          <w:rFonts w:cs="Calibri"/>
          <w:sz w:val="20"/>
          <w:szCs w:val="16"/>
        </w:rPr>
        <w:t>, in partnership with OPDs</w:t>
      </w:r>
      <w:r w:rsidRPr="008222FE">
        <w:rPr>
          <w:rFonts w:cs="Calibri"/>
          <w:sz w:val="20"/>
          <w:szCs w:val="16"/>
        </w:rPr>
        <w:t>. The project prioritises voices of people with lived experiences, ensuring the perspectives of individuals with psychosocial disabilities inform policy planning.</w:t>
      </w:r>
    </w:p>
    <w:p w14:paraId="7BD9B58C" w14:textId="72138D49" w:rsidR="00DC1F61" w:rsidRPr="00116BEF" w:rsidRDefault="00116BEF" w:rsidP="00116BEF">
      <w:pPr>
        <w:pStyle w:val="Heading4"/>
        <w:spacing w:after="0"/>
        <w:rPr>
          <w:i w:val="0"/>
          <w:iCs w:val="0"/>
          <w:color w:val="auto"/>
          <w:sz w:val="20"/>
          <w:szCs w:val="20"/>
        </w:rPr>
      </w:pPr>
      <w:r w:rsidRPr="0047119C">
        <w:t>Timeframe</w:t>
      </w:r>
      <w:r>
        <w:t xml:space="preserve">: </w:t>
      </w:r>
      <w:r w:rsidRPr="00CB4EC3">
        <w:rPr>
          <w:i w:val="0"/>
          <w:iCs w:val="0"/>
          <w:color w:val="auto"/>
          <w:sz w:val="20"/>
          <w:szCs w:val="20"/>
        </w:rPr>
        <w:t>Ongoing</w:t>
      </w:r>
    </w:p>
    <w:sectPr w:rsidR="00DC1F61" w:rsidRPr="00116BEF" w:rsidSect="00C310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2087" w14:textId="77777777" w:rsidR="00B0410E" w:rsidRDefault="00B0410E" w:rsidP="00B67F95">
      <w:r>
        <w:separator/>
      </w:r>
    </w:p>
  </w:endnote>
  <w:endnote w:type="continuationSeparator" w:id="0">
    <w:p w14:paraId="74177938" w14:textId="77777777" w:rsidR="00B0410E" w:rsidRDefault="00B0410E" w:rsidP="00B67F95">
      <w:r>
        <w:continuationSeparator/>
      </w:r>
    </w:p>
  </w:endnote>
  <w:endnote w:type="continuationNotice" w:id="1">
    <w:p w14:paraId="5EA21721" w14:textId="77777777" w:rsidR="00B0410E" w:rsidRDefault="00B0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Gotham-Bold">
    <w:altName w:val="Calibri"/>
    <w:charset w:val="00"/>
    <w:family w:val="auto"/>
    <w:pitch w:val="variable"/>
    <w:sig w:usb0="00000003" w:usb1="00000000" w:usb2="00000000" w:usb3="00000000" w:csb0="00000001" w:csb1="00000000"/>
  </w:font>
  <w:font w:name="Gotham-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4670"/>
      <w:docPartObj>
        <w:docPartGallery w:val="Page Numbers (Bottom of Page)"/>
        <w:docPartUnique/>
      </w:docPartObj>
    </w:sdtPr>
    <w:sdtEndPr/>
    <w:sdtContent>
      <w:sdt>
        <w:sdtPr>
          <w:id w:val="-1769616900"/>
          <w:docPartObj>
            <w:docPartGallery w:val="Page Numbers (Top of Page)"/>
            <w:docPartUnique/>
          </w:docPartObj>
        </w:sdtPr>
        <w:sdtEndPr/>
        <w:sdtContent>
          <w:p w14:paraId="6334E312" w14:textId="0ED10D72" w:rsidR="00EF6F30" w:rsidRDefault="00EF6F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1339DE" w14:textId="77777777" w:rsidR="00EF6F30" w:rsidRDefault="00EF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CF07" w14:textId="77777777" w:rsidR="00B0410E" w:rsidRDefault="00B0410E" w:rsidP="00B67F95">
      <w:r>
        <w:separator/>
      </w:r>
    </w:p>
  </w:footnote>
  <w:footnote w:type="continuationSeparator" w:id="0">
    <w:p w14:paraId="2E83F5C2" w14:textId="77777777" w:rsidR="00B0410E" w:rsidRDefault="00B0410E" w:rsidP="00B67F95">
      <w:r>
        <w:continuationSeparator/>
      </w:r>
    </w:p>
  </w:footnote>
  <w:footnote w:type="continuationNotice" w:id="1">
    <w:p w14:paraId="6F6AA780" w14:textId="77777777" w:rsidR="00B0410E" w:rsidRDefault="00B04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ACF9" w14:textId="6844CB58" w:rsidR="0058660E" w:rsidRDefault="0058660E">
    <w:pPr>
      <w:pStyle w:val="Header"/>
    </w:pPr>
    <w:r>
      <w:rPr>
        <w:noProof/>
      </w:rPr>
      <w:drawing>
        <wp:anchor distT="0" distB="0" distL="114300" distR="114300" simplePos="0" relativeHeight="251658240" behindDoc="1" locked="0" layoutInCell="1" allowOverlap="1" wp14:anchorId="0FA43BA9" wp14:editId="0D330AA9">
          <wp:simplePos x="0" y="0"/>
          <wp:positionH relativeFrom="margin">
            <wp:align>left</wp:align>
          </wp:positionH>
          <wp:positionV relativeFrom="paragraph">
            <wp:posOffset>-149225</wp:posOffset>
          </wp:positionV>
          <wp:extent cx="2873829" cy="493193"/>
          <wp:effectExtent l="0" t="0" r="3175" b="2540"/>
          <wp:wrapTight wrapText="bothSides">
            <wp:wrapPolygon edited="0">
              <wp:start x="2005" y="0"/>
              <wp:lineTo x="0" y="5845"/>
              <wp:lineTo x="0" y="17536"/>
              <wp:lineTo x="1575" y="20876"/>
              <wp:lineTo x="14177" y="20876"/>
              <wp:lineTo x="21481" y="20876"/>
              <wp:lineTo x="21481" y="8351"/>
              <wp:lineTo x="3007" y="0"/>
              <wp:lineTo x="2005" y="0"/>
            </wp:wrapPolygon>
          </wp:wrapTight>
          <wp:docPr id="1632016937" name="Picture 1" descr="The logo for the Australian Government Department of Foreign Affairs and Trade is included as the header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16937" name="Picture 1" descr="The logo for the Australian Government Department of Foreign Affairs and Trade is included as the header of this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29" cy="4931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31A89"/>
    <w:multiLevelType w:val="hybridMultilevel"/>
    <w:tmpl w:val="2190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B055E"/>
    <w:multiLevelType w:val="multilevel"/>
    <w:tmpl w:val="421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9B69A"/>
    <w:multiLevelType w:val="hybridMultilevel"/>
    <w:tmpl w:val="C25A962A"/>
    <w:lvl w:ilvl="0" w:tplc="56E2AA0C">
      <w:start w:val="1"/>
      <w:numFmt w:val="bullet"/>
      <w:lvlText w:val="-"/>
      <w:lvlJc w:val="left"/>
      <w:pPr>
        <w:ind w:left="720" w:hanging="360"/>
      </w:pPr>
      <w:rPr>
        <w:rFonts w:ascii="Aptos" w:hAnsi="Aptos" w:hint="default"/>
      </w:rPr>
    </w:lvl>
    <w:lvl w:ilvl="1" w:tplc="0C488E92">
      <w:start w:val="1"/>
      <w:numFmt w:val="bullet"/>
      <w:lvlText w:val="o"/>
      <w:lvlJc w:val="left"/>
      <w:pPr>
        <w:ind w:left="1440" w:hanging="360"/>
      </w:pPr>
      <w:rPr>
        <w:rFonts w:ascii="Courier New" w:hAnsi="Courier New" w:hint="default"/>
      </w:rPr>
    </w:lvl>
    <w:lvl w:ilvl="2" w:tplc="E90E5C26">
      <w:start w:val="1"/>
      <w:numFmt w:val="bullet"/>
      <w:lvlText w:val=""/>
      <w:lvlJc w:val="left"/>
      <w:pPr>
        <w:ind w:left="2160" w:hanging="360"/>
      </w:pPr>
      <w:rPr>
        <w:rFonts w:ascii="Wingdings" w:hAnsi="Wingdings" w:hint="default"/>
      </w:rPr>
    </w:lvl>
    <w:lvl w:ilvl="3" w:tplc="8CC25F3A">
      <w:start w:val="1"/>
      <w:numFmt w:val="bullet"/>
      <w:lvlText w:val=""/>
      <w:lvlJc w:val="left"/>
      <w:pPr>
        <w:ind w:left="2880" w:hanging="360"/>
      </w:pPr>
      <w:rPr>
        <w:rFonts w:ascii="Symbol" w:hAnsi="Symbol" w:hint="default"/>
      </w:rPr>
    </w:lvl>
    <w:lvl w:ilvl="4" w:tplc="B502A44A">
      <w:start w:val="1"/>
      <w:numFmt w:val="bullet"/>
      <w:lvlText w:val="o"/>
      <w:lvlJc w:val="left"/>
      <w:pPr>
        <w:ind w:left="3600" w:hanging="360"/>
      </w:pPr>
      <w:rPr>
        <w:rFonts w:ascii="Courier New" w:hAnsi="Courier New" w:hint="default"/>
      </w:rPr>
    </w:lvl>
    <w:lvl w:ilvl="5" w:tplc="5E50AA0A">
      <w:start w:val="1"/>
      <w:numFmt w:val="bullet"/>
      <w:lvlText w:val=""/>
      <w:lvlJc w:val="left"/>
      <w:pPr>
        <w:ind w:left="4320" w:hanging="360"/>
      </w:pPr>
      <w:rPr>
        <w:rFonts w:ascii="Wingdings" w:hAnsi="Wingdings" w:hint="default"/>
      </w:rPr>
    </w:lvl>
    <w:lvl w:ilvl="6" w:tplc="F484FC5C">
      <w:start w:val="1"/>
      <w:numFmt w:val="bullet"/>
      <w:lvlText w:val=""/>
      <w:lvlJc w:val="left"/>
      <w:pPr>
        <w:ind w:left="5040" w:hanging="360"/>
      </w:pPr>
      <w:rPr>
        <w:rFonts w:ascii="Symbol" w:hAnsi="Symbol" w:hint="default"/>
      </w:rPr>
    </w:lvl>
    <w:lvl w:ilvl="7" w:tplc="23BC68C2">
      <w:start w:val="1"/>
      <w:numFmt w:val="bullet"/>
      <w:lvlText w:val="o"/>
      <w:lvlJc w:val="left"/>
      <w:pPr>
        <w:ind w:left="5760" w:hanging="360"/>
      </w:pPr>
      <w:rPr>
        <w:rFonts w:ascii="Courier New" w:hAnsi="Courier New" w:hint="default"/>
      </w:rPr>
    </w:lvl>
    <w:lvl w:ilvl="8" w:tplc="4AF87334">
      <w:start w:val="1"/>
      <w:numFmt w:val="bullet"/>
      <w:lvlText w:val=""/>
      <w:lvlJc w:val="left"/>
      <w:pPr>
        <w:ind w:left="6480" w:hanging="360"/>
      </w:pPr>
      <w:rPr>
        <w:rFonts w:ascii="Wingdings" w:hAnsi="Wingdings" w:hint="default"/>
      </w:rPr>
    </w:lvl>
  </w:abstractNum>
  <w:abstractNum w:abstractNumId="3" w15:restartNumberingAfterBreak="0">
    <w:nsid w:val="264426A8"/>
    <w:multiLevelType w:val="hybridMultilevel"/>
    <w:tmpl w:val="6FA21D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8A23F5"/>
    <w:multiLevelType w:val="hybridMultilevel"/>
    <w:tmpl w:val="908CE4B2"/>
    <w:lvl w:ilvl="0" w:tplc="0CE4C364">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9A1CF8"/>
    <w:multiLevelType w:val="multilevel"/>
    <w:tmpl w:val="1F26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B46E5"/>
    <w:multiLevelType w:val="multilevel"/>
    <w:tmpl w:val="12E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B0FAC"/>
    <w:multiLevelType w:val="hybridMultilevel"/>
    <w:tmpl w:val="B84E23EA"/>
    <w:lvl w:ilvl="0" w:tplc="0CE4C364">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ED75D5"/>
    <w:multiLevelType w:val="hybridMultilevel"/>
    <w:tmpl w:val="91B0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F31FA"/>
    <w:multiLevelType w:val="hybridMultilevel"/>
    <w:tmpl w:val="0D8A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608EB"/>
    <w:multiLevelType w:val="hybridMultilevel"/>
    <w:tmpl w:val="A314B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A6241B"/>
    <w:multiLevelType w:val="hybridMultilevel"/>
    <w:tmpl w:val="B03A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D24C6"/>
    <w:multiLevelType w:val="hybridMultilevel"/>
    <w:tmpl w:val="F4FA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600768">
    <w:abstractNumId w:val="2"/>
  </w:num>
  <w:num w:numId="2" w16cid:durableId="1637906804">
    <w:abstractNumId w:val="9"/>
  </w:num>
  <w:num w:numId="3" w16cid:durableId="341930062">
    <w:abstractNumId w:val="5"/>
  </w:num>
  <w:num w:numId="4" w16cid:durableId="297730278">
    <w:abstractNumId w:val="1"/>
  </w:num>
  <w:num w:numId="5" w16cid:durableId="920212662">
    <w:abstractNumId w:val="6"/>
  </w:num>
  <w:num w:numId="6" w16cid:durableId="421537953">
    <w:abstractNumId w:val="10"/>
  </w:num>
  <w:num w:numId="7" w16cid:durableId="670063508">
    <w:abstractNumId w:val="4"/>
  </w:num>
  <w:num w:numId="8" w16cid:durableId="1538396805">
    <w:abstractNumId w:val="7"/>
  </w:num>
  <w:num w:numId="9" w16cid:durableId="838615168">
    <w:abstractNumId w:val="8"/>
  </w:num>
  <w:num w:numId="10" w16cid:durableId="635068698">
    <w:abstractNumId w:val="12"/>
  </w:num>
  <w:num w:numId="11" w16cid:durableId="372927598">
    <w:abstractNumId w:val="0"/>
  </w:num>
  <w:num w:numId="12" w16cid:durableId="1877622868">
    <w:abstractNumId w:val="3"/>
  </w:num>
  <w:num w:numId="13" w16cid:durableId="1532910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1"/>
    <w:rsid w:val="000024E5"/>
    <w:rsid w:val="00002B6A"/>
    <w:rsid w:val="000039A2"/>
    <w:rsid w:val="00005964"/>
    <w:rsid w:val="00006270"/>
    <w:rsid w:val="00007DB2"/>
    <w:rsid w:val="00012357"/>
    <w:rsid w:val="0001336A"/>
    <w:rsid w:val="00013663"/>
    <w:rsid w:val="00022E41"/>
    <w:rsid w:val="000240C7"/>
    <w:rsid w:val="00025C91"/>
    <w:rsid w:val="000263B8"/>
    <w:rsid w:val="00032DBA"/>
    <w:rsid w:val="00040631"/>
    <w:rsid w:val="000435A4"/>
    <w:rsid w:val="00047A7A"/>
    <w:rsid w:val="00052B2A"/>
    <w:rsid w:val="00062FE2"/>
    <w:rsid w:val="00067338"/>
    <w:rsid w:val="00072C54"/>
    <w:rsid w:val="00074397"/>
    <w:rsid w:val="00075211"/>
    <w:rsid w:val="00080DFA"/>
    <w:rsid w:val="00084049"/>
    <w:rsid w:val="00084834"/>
    <w:rsid w:val="00087B67"/>
    <w:rsid w:val="00087D37"/>
    <w:rsid w:val="00091102"/>
    <w:rsid w:val="00091149"/>
    <w:rsid w:val="00091664"/>
    <w:rsid w:val="0009521B"/>
    <w:rsid w:val="000965FC"/>
    <w:rsid w:val="00096B93"/>
    <w:rsid w:val="000A0264"/>
    <w:rsid w:val="000A51F8"/>
    <w:rsid w:val="000A6C3E"/>
    <w:rsid w:val="000A7B27"/>
    <w:rsid w:val="000B0B77"/>
    <w:rsid w:val="000B1F48"/>
    <w:rsid w:val="000B4F24"/>
    <w:rsid w:val="000B52B6"/>
    <w:rsid w:val="000B54E2"/>
    <w:rsid w:val="000B66C2"/>
    <w:rsid w:val="000C4D60"/>
    <w:rsid w:val="000C68FD"/>
    <w:rsid w:val="000C7488"/>
    <w:rsid w:val="000D18AB"/>
    <w:rsid w:val="000D18D6"/>
    <w:rsid w:val="000D7FE7"/>
    <w:rsid w:val="000E2FCE"/>
    <w:rsid w:val="000E5049"/>
    <w:rsid w:val="000F2340"/>
    <w:rsid w:val="000F5B5A"/>
    <w:rsid w:val="000F7227"/>
    <w:rsid w:val="000F7B2C"/>
    <w:rsid w:val="00100005"/>
    <w:rsid w:val="0010098B"/>
    <w:rsid w:val="00100B4E"/>
    <w:rsid w:val="00101494"/>
    <w:rsid w:val="001040F8"/>
    <w:rsid w:val="00104470"/>
    <w:rsid w:val="00107501"/>
    <w:rsid w:val="00107800"/>
    <w:rsid w:val="00113B80"/>
    <w:rsid w:val="00115D44"/>
    <w:rsid w:val="00116BEF"/>
    <w:rsid w:val="00117022"/>
    <w:rsid w:val="00117108"/>
    <w:rsid w:val="0012351E"/>
    <w:rsid w:val="001239F6"/>
    <w:rsid w:val="00123AF6"/>
    <w:rsid w:val="00124724"/>
    <w:rsid w:val="00133EE7"/>
    <w:rsid w:val="0013414B"/>
    <w:rsid w:val="00135110"/>
    <w:rsid w:val="00137536"/>
    <w:rsid w:val="00140E9E"/>
    <w:rsid w:val="00141B57"/>
    <w:rsid w:val="00142591"/>
    <w:rsid w:val="0014334E"/>
    <w:rsid w:val="0014460A"/>
    <w:rsid w:val="00152C10"/>
    <w:rsid w:val="00154FF1"/>
    <w:rsid w:val="00160567"/>
    <w:rsid w:val="001618BC"/>
    <w:rsid w:val="001622EF"/>
    <w:rsid w:val="001630B9"/>
    <w:rsid w:val="0016635F"/>
    <w:rsid w:val="00167280"/>
    <w:rsid w:val="00167C94"/>
    <w:rsid w:val="001705EE"/>
    <w:rsid w:val="00170A4E"/>
    <w:rsid w:val="0017201E"/>
    <w:rsid w:val="001739DA"/>
    <w:rsid w:val="0017778C"/>
    <w:rsid w:val="00182B76"/>
    <w:rsid w:val="0019163F"/>
    <w:rsid w:val="001938D8"/>
    <w:rsid w:val="001A207E"/>
    <w:rsid w:val="001A7D33"/>
    <w:rsid w:val="001B1851"/>
    <w:rsid w:val="001B1C8D"/>
    <w:rsid w:val="001B20E3"/>
    <w:rsid w:val="001C18EA"/>
    <w:rsid w:val="001C334B"/>
    <w:rsid w:val="001C47DE"/>
    <w:rsid w:val="001D0720"/>
    <w:rsid w:val="001D0D78"/>
    <w:rsid w:val="001D1504"/>
    <w:rsid w:val="001D38D6"/>
    <w:rsid w:val="001D39D2"/>
    <w:rsid w:val="001D4E9F"/>
    <w:rsid w:val="001D6E13"/>
    <w:rsid w:val="001E0FE1"/>
    <w:rsid w:val="001E204B"/>
    <w:rsid w:val="001E4EBA"/>
    <w:rsid w:val="001E6235"/>
    <w:rsid w:val="001E74CD"/>
    <w:rsid w:val="001F1BB2"/>
    <w:rsid w:val="001F487C"/>
    <w:rsid w:val="001F7691"/>
    <w:rsid w:val="001F7DA4"/>
    <w:rsid w:val="00201F1D"/>
    <w:rsid w:val="002053D1"/>
    <w:rsid w:val="00206A5E"/>
    <w:rsid w:val="00206D27"/>
    <w:rsid w:val="00207597"/>
    <w:rsid w:val="002123A4"/>
    <w:rsid w:val="00212F11"/>
    <w:rsid w:val="00213550"/>
    <w:rsid w:val="00213DED"/>
    <w:rsid w:val="00216D88"/>
    <w:rsid w:val="0022029C"/>
    <w:rsid w:val="00221F30"/>
    <w:rsid w:val="00223857"/>
    <w:rsid w:val="002303E7"/>
    <w:rsid w:val="002310EE"/>
    <w:rsid w:val="00231593"/>
    <w:rsid w:val="00234BCE"/>
    <w:rsid w:val="00235629"/>
    <w:rsid w:val="002430BD"/>
    <w:rsid w:val="00243B13"/>
    <w:rsid w:val="00243C5B"/>
    <w:rsid w:val="002450B9"/>
    <w:rsid w:val="0025454F"/>
    <w:rsid w:val="00262BEF"/>
    <w:rsid w:val="002635F3"/>
    <w:rsid w:val="00265A33"/>
    <w:rsid w:val="00267653"/>
    <w:rsid w:val="00267D93"/>
    <w:rsid w:val="00270B7B"/>
    <w:rsid w:val="00271D82"/>
    <w:rsid w:val="0027328C"/>
    <w:rsid w:val="00273853"/>
    <w:rsid w:val="0027465C"/>
    <w:rsid w:val="00275F35"/>
    <w:rsid w:val="00276831"/>
    <w:rsid w:val="002774BD"/>
    <w:rsid w:val="00281613"/>
    <w:rsid w:val="00286E51"/>
    <w:rsid w:val="00291156"/>
    <w:rsid w:val="00295610"/>
    <w:rsid w:val="002968E6"/>
    <w:rsid w:val="00297072"/>
    <w:rsid w:val="002977E5"/>
    <w:rsid w:val="002A0AA0"/>
    <w:rsid w:val="002A100A"/>
    <w:rsid w:val="002A14A8"/>
    <w:rsid w:val="002A253B"/>
    <w:rsid w:val="002A6173"/>
    <w:rsid w:val="002A706F"/>
    <w:rsid w:val="002B34B9"/>
    <w:rsid w:val="002B401C"/>
    <w:rsid w:val="002B5FC8"/>
    <w:rsid w:val="002B69BC"/>
    <w:rsid w:val="002C2079"/>
    <w:rsid w:val="002C3C86"/>
    <w:rsid w:val="002D3F97"/>
    <w:rsid w:val="002D4661"/>
    <w:rsid w:val="002D6E55"/>
    <w:rsid w:val="002D72B1"/>
    <w:rsid w:val="002D755E"/>
    <w:rsid w:val="002E084F"/>
    <w:rsid w:val="002E449D"/>
    <w:rsid w:val="002F260E"/>
    <w:rsid w:val="00300D06"/>
    <w:rsid w:val="00302A10"/>
    <w:rsid w:val="00307361"/>
    <w:rsid w:val="00310C5F"/>
    <w:rsid w:val="00313150"/>
    <w:rsid w:val="00315F2E"/>
    <w:rsid w:val="003277C0"/>
    <w:rsid w:val="00332DE2"/>
    <w:rsid w:val="00335F4A"/>
    <w:rsid w:val="0033623B"/>
    <w:rsid w:val="00336A30"/>
    <w:rsid w:val="0033779F"/>
    <w:rsid w:val="003439BC"/>
    <w:rsid w:val="00344A71"/>
    <w:rsid w:val="00352829"/>
    <w:rsid w:val="0035415A"/>
    <w:rsid w:val="00356513"/>
    <w:rsid w:val="003573BD"/>
    <w:rsid w:val="00357583"/>
    <w:rsid w:val="00357716"/>
    <w:rsid w:val="00357ED8"/>
    <w:rsid w:val="00362F34"/>
    <w:rsid w:val="00363464"/>
    <w:rsid w:val="00365D0F"/>
    <w:rsid w:val="003748DE"/>
    <w:rsid w:val="00375DB9"/>
    <w:rsid w:val="0038381A"/>
    <w:rsid w:val="0038529E"/>
    <w:rsid w:val="00385D8A"/>
    <w:rsid w:val="00386A29"/>
    <w:rsid w:val="0039287A"/>
    <w:rsid w:val="003941E7"/>
    <w:rsid w:val="003A022C"/>
    <w:rsid w:val="003A09C0"/>
    <w:rsid w:val="003A27E7"/>
    <w:rsid w:val="003A5799"/>
    <w:rsid w:val="003B4456"/>
    <w:rsid w:val="003B4461"/>
    <w:rsid w:val="003C07C4"/>
    <w:rsid w:val="003C0DF9"/>
    <w:rsid w:val="003C27DC"/>
    <w:rsid w:val="003C296E"/>
    <w:rsid w:val="003C46E4"/>
    <w:rsid w:val="003C5773"/>
    <w:rsid w:val="003D04DA"/>
    <w:rsid w:val="003D12D9"/>
    <w:rsid w:val="003D28F4"/>
    <w:rsid w:val="003D5B17"/>
    <w:rsid w:val="003D6AED"/>
    <w:rsid w:val="003D71D9"/>
    <w:rsid w:val="003D7D1B"/>
    <w:rsid w:val="003E0971"/>
    <w:rsid w:val="003E30B7"/>
    <w:rsid w:val="003E3CF1"/>
    <w:rsid w:val="003E6D2A"/>
    <w:rsid w:val="003F05E3"/>
    <w:rsid w:val="003F09E9"/>
    <w:rsid w:val="003F41EA"/>
    <w:rsid w:val="003F7EB1"/>
    <w:rsid w:val="004065EB"/>
    <w:rsid w:val="00411457"/>
    <w:rsid w:val="00414D71"/>
    <w:rsid w:val="00415D3E"/>
    <w:rsid w:val="0042153E"/>
    <w:rsid w:val="00423A06"/>
    <w:rsid w:val="00434FDE"/>
    <w:rsid w:val="004355D7"/>
    <w:rsid w:val="00435A03"/>
    <w:rsid w:val="004412E7"/>
    <w:rsid w:val="00443B6B"/>
    <w:rsid w:val="004447EC"/>
    <w:rsid w:val="00445B3C"/>
    <w:rsid w:val="00446360"/>
    <w:rsid w:val="0045123A"/>
    <w:rsid w:val="00455C5A"/>
    <w:rsid w:val="00457BC9"/>
    <w:rsid w:val="004651BB"/>
    <w:rsid w:val="00465DB4"/>
    <w:rsid w:val="00466C17"/>
    <w:rsid w:val="00470EC7"/>
    <w:rsid w:val="0047119C"/>
    <w:rsid w:val="0047427F"/>
    <w:rsid w:val="004755B4"/>
    <w:rsid w:val="004765D4"/>
    <w:rsid w:val="004773C9"/>
    <w:rsid w:val="00485076"/>
    <w:rsid w:val="00490670"/>
    <w:rsid w:val="00492CF0"/>
    <w:rsid w:val="00495C2B"/>
    <w:rsid w:val="0049797F"/>
    <w:rsid w:val="004A1524"/>
    <w:rsid w:val="004A170D"/>
    <w:rsid w:val="004A36F7"/>
    <w:rsid w:val="004A4A71"/>
    <w:rsid w:val="004A5B1A"/>
    <w:rsid w:val="004A62EA"/>
    <w:rsid w:val="004A7A74"/>
    <w:rsid w:val="004B7005"/>
    <w:rsid w:val="004B78E4"/>
    <w:rsid w:val="004C31A9"/>
    <w:rsid w:val="004C326C"/>
    <w:rsid w:val="004D3699"/>
    <w:rsid w:val="004D554E"/>
    <w:rsid w:val="004D615E"/>
    <w:rsid w:val="004D7E76"/>
    <w:rsid w:val="004E006A"/>
    <w:rsid w:val="004E467A"/>
    <w:rsid w:val="004F053E"/>
    <w:rsid w:val="004F27D5"/>
    <w:rsid w:val="004F55CA"/>
    <w:rsid w:val="0050688B"/>
    <w:rsid w:val="005101EB"/>
    <w:rsid w:val="00510828"/>
    <w:rsid w:val="00511D00"/>
    <w:rsid w:val="00514ABB"/>
    <w:rsid w:val="00514CE5"/>
    <w:rsid w:val="00517C81"/>
    <w:rsid w:val="005210C6"/>
    <w:rsid w:val="00523520"/>
    <w:rsid w:val="00525355"/>
    <w:rsid w:val="00525E19"/>
    <w:rsid w:val="00526299"/>
    <w:rsid w:val="00526E19"/>
    <w:rsid w:val="00531114"/>
    <w:rsid w:val="00536D05"/>
    <w:rsid w:val="00541517"/>
    <w:rsid w:val="00541E28"/>
    <w:rsid w:val="00544609"/>
    <w:rsid w:val="00552E83"/>
    <w:rsid w:val="00553F12"/>
    <w:rsid w:val="0055660E"/>
    <w:rsid w:val="005576B8"/>
    <w:rsid w:val="00557C8F"/>
    <w:rsid w:val="0056018D"/>
    <w:rsid w:val="00562467"/>
    <w:rsid w:val="005641E1"/>
    <w:rsid w:val="00567FEF"/>
    <w:rsid w:val="00570D05"/>
    <w:rsid w:val="00574831"/>
    <w:rsid w:val="00580A99"/>
    <w:rsid w:val="0058340F"/>
    <w:rsid w:val="005853A8"/>
    <w:rsid w:val="0058660E"/>
    <w:rsid w:val="0058793F"/>
    <w:rsid w:val="00590BCE"/>
    <w:rsid w:val="0059388B"/>
    <w:rsid w:val="0059400A"/>
    <w:rsid w:val="005949AC"/>
    <w:rsid w:val="005969B7"/>
    <w:rsid w:val="00597ECA"/>
    <w:rsid w:val="005A2BD2"/>
    <w:rsid w:val="005A3ABA"/>
    <w:rsid w:val="005A4436"/>
    <w:rsid w:val="005A53CB"/>
    <w:rsid w:val="005B2662"/>
    <w:rsid w:val="005B447F"/>
    <w:rsid w:val="005B66C8"/>
    <w:rsid w:val="005B751B"/>
    <w:rsid w:val="005B7A4D"/>
    <w:rsid w:val="005C08B2"/>
    <w:rsid w:val="005C1CB1"/>
    <w:rsid w:val="005C2D88"/>
    <w:rsid w:val="005C58B3"/>
    <w:rsid w:val="005D0588"/>
    <w:rsid w:val="005D0E58"/>
    <w:rsid w:val="005D2A1B"/>
    <w:rsid w:val="005D31FC"/>
    <w:rsid w:val="005D37C0"/>
    <w:rsid w:val="005D411F"/>
    <w:rsid w:val="005D678E"/>
    <w:rsid w:val="005D7315"/>
    <w:rsid w:val="005E0AF9"/>
    <w:rsid w:val="005E1BC6"/>
    <w:rsid w:val="005E3573"/>
    <w:rsid w:val="005E65AF"/>
    <w:rsid w:val="005F015A"/>
    <w:rsid w:val="005F1E2F"/>
    <w:rsid w:val="005F2A5A"/>
    <w:rsid w:val="005F7B7D"/>
    <w:rsid w:val="00602BA6"/>
    <w:rsid w:val="00602F86"/>
    <w:rsid w:val="0060466E"/>
    <w:rsid w:val="00604EAA"/>
    <w:rsid w:val="00611C50"/>
    <w:rsid w:val="00614CB8"/>
    <w:rsid w:val="00616757"/>
    <w:rsid w:val="00616929"/>
    <w:rsid w:val="00617150"/>
    <w:rsid w:val="0062437E"/>
    <w:rsid w:val="00624FF2"/>
    <w:rsid w:val="00630235"/>
    <w:rsid w:val="00632E73"/>
    <w:rsid w:val="00633BF8"/>
    <w:rsid w:val="00634932"/>
    <w:rsid w:val="00635CE9"/>
    <w:rsid w:val="0063744F"/>
    <w:rsid w:val="006376B3"/>
    <w:rsid w:val="006448C5"/>
    <w:rsid w:val="00645045"/>
    <w:rsid w:val="00646526"/>
    <w:rsid w:val="006465C4"/>
    <w:rsid w:val="00646B6F"/>
    <w:rsid w:val="0064714A"/>
    <w:rsid w:val="0064772A"/>
    <w:rsid w:val="00647D1C"/>
    <w:rsid w:val="0065127D"/>
    <w:rsid w:val="00651633"/>
    <w:rsid w:val="00660CE6"/>
    <w:rsid w:val="006614D7"/>
    <w:rsid w:val="0066378E"/>
    <w:rsid w:val="00663DCF"/>
    <w:rsid w:val="006658E7"/>
    <w:rsid w:val="00666337"/>
    <w:rsid w:val="006761EF"/>
    <w:rsid w:val="006844C1"/>
    <w:rsid w:val="00685A0C"/>
    <w:rsid w:val="00685B26"/>
    <w:rsid w:val="00690B39"/>
    <w:rsid w:val="00693277"/>
    <w:rsid w:val="00694B71"/>
    <w:rsid w:val="00694E34"/>
    <w:rsid w:val="006956D2"/>
    <w:rsid w:val="00696140"/>
    <w:rsid w:val="00696EF7"/>
    <w:rsid w:val="006B117F"/>
    <w:rsid w:val="006B11FB"/>
    <w:rsid w:val="006B4D9A"/>
    <w:rsid w:val="006B56A9"/>
    <w:rsid w:val="006B7FD9"/>
    <w:rsid w:val="006C21C9"/>
    <w:rsid w:val="006C3318"/>
    <w:rsid w:val="006C35AA"/>
    <w:rsid w:val="006C3EBC"/>
    <w:rsid w:val="006C44A8"/>
    <w:rsid w:val="006C65ED"/>
    <w:rsid w:val="006C6EAA"/>
    <w:rsid w:val="006D2EFE"/>
    <w:rsid w:val="006D37FE"/>
    <w:rsid w:val="006D5ED2"/>
    <w:rsid w:val="006D7540"/>
    <w:rsid w:val="006E02BA"/>
    <w:rsid w:val="006E199B"/>
    <w:rsid w:val="006E19F1"/>
    <w:rsid w:val="006E6384"/>
    <w:rsid w:val="006F18D4"/>
    <w:rsid w:val="00701B2E"/>
    <w:rsid w:val="00701EB7"/>
    <w:rsid w:val="007020F2"/>
    <w:rsid w:val="007021AF"/>
    <w:rsid w:val="00704076"/>
    <w:rsid w:val="00706086"/>
    <w:rsid w:val="00706CE2"/>
    <w:rsid w:val="007118C2"/>
    <w:rsid w:val="00712192"/>
    <w:rsid w:val="00715A8D"/>
    <w:rsid w:val="0071760A"/>
    <w:rsid w:val="00717C43"/>
    <w:rsid w:val="00720A59"/>
    <w:rsid w:val="007237CE"/>
    <w:rsid w:val="00725269"/>
    <w:rsid w:val="00725B13"/>
    <w:rsid w:val="0072693F"/>
    <w:rsid w:val="00731A60"/>
    <w:rsid w:val="00731A73"/>
    <w:rsid w:val="007355B3"/>
    <w:rsid w:val="00735825"/>
    <w:rsid w:val="00745F98"/>
    <w:rsid w:val="00750D7A"/>
    <w:rsid w:val="00752004"/>
    <w:rsid w:val="00760372"/>
    <w:rsid w:val="0076054E"/>
    <w:rsid w:val="00763F04"/>
    <w:rsid w:val="00763F78"/>
    <w:rsid w:val="007656F0"/>
    <w:rsid w:val="00765BD0"/>
    <w:rsid w:val="00765C44"/>
    <w:rsid w:val="00766F3C"/>
    <w:rsid w:val="00767724"/>
    <w:rsid w:val="007722B1"/>
    <w:rsid w:val="007728D3"/>
    <w:rsid w:val="00774B63"/>
    <w:rsid w:val="00781490"/>
    <w:rsid w:val="007836E4"/>
    <w:rsid w:val="00790147"/>
    <w:rsid w:val="00792B8C"/>
    <w:rsid w:val="00794190"/>
    <w:rsid w:val="007946A9"/>
    <w:rsid w:val="007A4125"/>
    <w:rsid w:val="007A6947"/>
    <w:rsid w:val="007A7735"/>
    <w:rsid w:val="007B2E29"/>
    <w:rsid w:val="007B330B"/>
    <w:rsid w:val="007B5364"/>
    <w:rsid w:val="007C1441"/>
    <w:rsid w:val="007C2E72"/>
    <w:rsid w:val="007C4468"/>
    <w:rsid w:val="007C63F6"/>
    <w:rsid w:val="007D09A0"/>
    <w:rsid w:val="007D2883"/>
    <w:rsid w:val="007D4CEC"/>
    <w:rsid w:val="007D58DC"/>
    <w:rsid w:val="007D6B72"/>
    <w:rsid w:val="007D6BED"/>
    <w:rsid w:val="007D7A7E"/>
    <w:rsid w:val="007E23AA"/>
    <w:rsid w:val="007E40B4"/>
    <w:rsid w:val="007F0EB0"/>
    <w:rsid w:val="007F330D"/>
    <w:rsid w:val="00800FB6"/>
    <w:rsid w:val="0080366D"/>
    <w:rsid w:val="00804CB3"/>
    <w:rsid w:val="0080514C"/>
    <w:rsid w:val="00806AB1"/>
    <w:rsid w:val="0081679E"/>
    <w:rsid w:val="008169FD"/>
    <w:rsid w:val="0082028F"/>
    <w:rsid w:val="0082100D"/>
    <w:rsid w:val="008222FE"/>
    <w:rsid w:val="00826080"/>
    <w:rsid w:val="008331B5"/>
    <w:rsid w:val="00834804"/>
    <w:rsid w:val="0083646C"/>
    <w:rsid w:val="0083733D"/>
    <w:rsid w:val="008411A8"/>
    <w:rsid w:val="008453F4"/>
    <w:rsid w:val="0084545D"/>
    <w:rsid w:val="00845FAA"/>
    <w:rsid w:val="00846E11"/>
    <w:rsid w:val="00850C49"/>
    <w:rsid w:val="008515E4"/>
    <w:rsid w:val="00853098"/>
    <w:rsid w:val="00857EBB"/>
    <w:rsid w:val="008606C4"/>
    <w:rsid w:val="00860F35"/>
    <w:rsid w:val="008625AA"/>
    <w:rsid w:val="00864099"/>
    <w:rsid w:val="00874B39"/>
    <w:rsid w:val="00875065"/>
    <w:rsid w:val="00876127"/>
    <w:rsid w:val="00876589"/>
    <w:rsid w:val="0087752F"/>
    <w:rsid w:val="00880CB2"/>
    <w:rsid w:val="00880E72"/>
    <w:rsid w:val="00881707"/>
    <w:rsid w:val="00890F06"/>
    <w:rsid w:val="008975AE"/>
    <w:rsid w:val="008A1149"/>
    <w:rsid w:val="008A1982"/>
    <w:rsid w:val="008A3700"/>
    <w:rsid w:val="008A466D"/>
    <w:rsid w:val="008A4A97"/>
    <w:rsid w:val="008A4F7B"/>
    <w:rsid w:val="008A6F4E"/>
    <w:rsid w:val="008A7C60"/>
    <w:rsid w:val="008B6F49"/>
    <w:rsid w:val="008C225D"/>
    <w:rsid w:val="008C37E1"/>
    <w:rsid w:val="008C6306"/>
    <w:rsid w:val="008D1D71"/>
    <w:rsid w:val="008D4577"/>
    <w:rsid w:val="008D4CD0"/>
    <w:rsid w:val="008D4DB3"/>
    <w:rsid w:val="008D5E37"/>
    <w:rsid w:val="008D5FEB"/>
    <w:rsid w:val="008D78B3"/>
    <w:rsid w:val="008E3FA8"/>
    <w:rsid w:val="008E5348"/>
    <w:rsid w:val="008F2447"/>
    <w:rsid w:val="008F496B"/>
    <w:rsid w:val="008F4DE3"/>
    <w:rsid w:val="008F56EE"/>
    <w:rsid w:val="008F7AAF"/>
    <w:rsid w:val="0090109F"/>
    <w:rsid w:val="00902ADB"/>
    <w:rsid w:val="00905011"/>
    <w:rsid w:val="009068B1"/>
    <w:rsid w:val="00916E56"/>
    <w:rsid w:val="00921945"/>
    <w:rsid w:val="009234A7"/>
    <w:rsid w:val="00923A2B"/>
    <w:rsid w:val="009248A5"/>
    <w:rsid w:val="00924999"/>
    <w:rsid w:val="009275EF"/>
    <w:rsid w:val="00933631"/>
    <w:rsid w:val="009337DD"/>
    <w:rsid w:val="0093441D"/>
    <w:rsid w:val="00934E35"/>
    <w:rsid w:val="00940748"/>
    <w:rsid w:val="00940C67"/>
    <w:rsid w:val="00942779"/>
    <w:rsid w:val="00945488"/>
    <w:rsid w:val="00946466"/>
    <w:rsid w:val="009505E4"/>
    <w:rsid w:val="00950B52"/>
    <w:rsid w:val="0095272E"/>
    <w:rsid w:val="009546A4"/>
    <w:rsid w:val="009546AD"/>
    <w:rsid w:val="0095478F"/>
    <w:rsid w:val="00955893"/>
    <w:rsid w:val="00955BDE"/>
    <w:rsid w:val="00961A8F"/>
    <w:rsid w:val="0096272A"/>
    <w:rsid w:val="00966105"/>
    <w:rsid w:val="009668D2"/>
    <w:rsid w:val="00971556"/>
    <w:rsid w:val="009733FE"/>
    <w:rsid w:val="0097469C"/>
    <w:rsid w:val="00974BC2"/>
    <w:rsid w:val="009760CA"/>
    <w:rsid w:val="00977896"/>
    <w:rsid w:val="00991E03"/>
    <w:rsid w:val="00992ECE"/>
    <w:rsid w:val="009950AE"/>
    <w:rsid w:val="00995EA8"/>
    <w:rsid w:val="0099717D"/>
    <w:rsid w:val="009A0963"/>
    <w:rsid w:val="009A0E58"/>
    <w:rsid w:val="009A3BC8"/>
    <w:rsid w:val="009B37D9"/>
    <w:rsid w:val="009B482B"/>
    <w:rsid w:val="009C339D"/>
    <w:rsid w:val="009C596B"/>
    <w:rsid w:val="009C5ACC"/>
    <w:rsid w:val="009C63EE"/>
    <w:rsid w:val="009D1E5F"/>
    <w:rsid w:val="009D2304"/>
    <w:rsid w:val="009D2E17"/>
    <w:rsid w:val="009D2E80"/>
    <w:rsid w:val="009D59E5"/>
    <w:rsid w:val="009D76F3"/>
    <w:rsid w:val="009E054F"/>
    <w:rsid w:val="009E24CB"/>
    <w:rsid w:val="009E554A"/>
    <w:rsid w:val="009E5677"/>
    <w:rsid w:val="009E6609"/>
    <w:rsid w:val="009E6BC0"/>
    <w:rsid w:val="009F0961"/>
    <w:rsid w:val="009F17E6"/>
    <w:rsid w:val="009F511E"/>
    <w:rsid w:val="009F56D8"/>
    <w:rsid w:val="00A10D85"/>
    <w:rsid w:val="00A16086"/>
    <w:rsid w:val="00A17F49"/>
    <w:rsid w:val="00A2005B"/>
    <w:rsid w:val="00A21668"/>
    <w:rsid w:val="00A21A51"/>
    <w:rsid w:val="00A2268F"/>
    <w:rsid w:val="00A2794F"/>
    <w:rsid w:val="00A27AE6"/>
    <w:rsid w:val="00A32390"/>
    <w:rsid w:val="00A3318B"/>
    <w:rsid w:val="00A33DFC"/>
    <w:rsid w:val="00A41067"/>
    <w:rsid w:val="00A454D7"/>
    <w:rsid w:val="00A47E5C"/>
    <w:rsid w:val="00A553DA"/>
    <w:rsid w:val="00A61B70"/>
    <w:rsid w:val="00A61EDE"/>
    <w:rsid w:val="00A62F83"/>
    <w:rsid w:val="00A7213D"/>
    <w:rsid w:val="00A74542"/>
    <w:rsid w:val="00A763D2"/>
    <w:rsid w:val="00A76B31"/>
    <w:rsid w:val="00A77420"/>
    <w:rsid w:val="00A80FD4"/>
    <w:rsid w:val="00A83024"/>
    <w:rsid w:val="00A840DB"/>
    <w:rsid w:val="00A8641C"/>
    <w:rsid w:val="00A92A70"/>
    <w:rsid w:val="00A93C50"/>
    <w:rsid w:val="00A94D45"/>
    <w:rsid w:val="00A95E91"/>
    <w:rsid w:val="00A9641B"/>
    <w:rsid w:val="00AA0410"/>
    <w:rsid w:val="00AA0B1E"/>
    <w:rsid w:val="00AA2D0A"/>
    <w:rsid w:val="00AA2D1E"/>
    <w:rsid w:val="00AA3207"/>
    <w:rsid w:val="00AA6368"/>
    <w:rsid w:val="00AB0362"/>
    <w:rsid w:val="00AB220C"/>
    <w:rsid w:val="00AB39FA"/>
    <w:rsid w:val="00AC011A"/>
    <w:rsid w:val="00AC42A3"/>
    <w:rsid w:val="00AC43AE"/>
    <w:rsid w:val="00AD1E5B"/>
    <w:rsid w:val="00AD2243"/>
    <w:rsid w:val="00AD3699"/>
    <w:rsid w:val="00AD45F4"/>
    <w:rsid w:val="00AD7EF0"/>
    <w:rsid w:val="00AE117E"/>
    <w:rsid w:val="00AF045C"/>
    <w:rsid w:val="00AF2893"/>
    <w:rsid w:val="00AF461A"/>
    <w:rsid w:val="00AF6BD2"/>
    <w:rsid w:val="00B0193E"/>
    <w:rsid w:val="00B01E6B"/>
    <w:rsid w:val="00B0410E"/>
    <w:rsid w:val="00B04F90"/>
    <w:rsid w:val="00B12E6B"/>
    <w:rsid w:val="00B1305B"/>
    <w:rsid w:val="00B13D3D"/>
    <w:rsid w:val="00B150E3"/>
    <w:rsid w:val="00B22F35"/>
    <w:rsid w:val="00B251DB"/>
    <w:rsid w:val="00B25605"/>
    <w:rsid w:val="00B257F7"/>
    <w:rsid w:val="00B262E3"/>
    <w:rsid w:val="00B30275"/>
    <w:rsid w:val="00B33B00"/>
    <w:rsid w:val="00B3665E"/>
    <w:rsid w:val="00B37F4A"/>
    <w:rsid w:val="00B42CF0"/>
    <w:rsid w:val="00B45B54"/>
    <w:rsid w:val="00B46D0D"/>
    <w:rsid w:val="00B5080F"/>
    <w:rsid w:val="00B52BC2"/>
    <w:rsid w:val="00B55076"/>
    <w:rsid w:val="00B56DB3"/>
    <w:rsid w:val="00B5780E"/>
    <w:rsid w:val="00B60C85"/>
    <w:rsid w:val="00B650DE"/>
    <w:rsid w:val="00B6641D"/>
    <w:rsid w:val="00B67F95"/>
    <w:rsid w:val="00B70935"/>
    <w:rsid w:val="00B71BC6"/>
    <w:rsid w:val="00B73995"/>
    <w:rsid w:val="00B74DAC"/>
    <w:rsid w:val="00B76F80"/>
    <w:rsid w:val="00B77672"/>
    <w:rsid w:val="00B77C68"/>
    <w:rsid w:val="00B839DF"/>
    <w:rsid w:val="00B859FD"/>
    <w:rsid w:val="00B863DA"/>
    <w:rsid w:val="00B87118"/>
    <w:rsid w:val="00B9075B"/>
    <w:rsid w:val="00B908DB"/>
    <w:rsid w:val="00B90BC7"/>
    <w:rsid w:val="00B94BB9"/>
    <w:rsid w:val="00B959B1"/>
    <w:rsid w:val="00B96B27"/>
    <w:rsid w:val="00B96E9A"/>
    <w:rsid w:val="00B97DCA"/>
    <w:rsid w:val="00BA119B"/>
    <w:rsid w:val="00BA6081"/>
    <w:rsid w:val="00BB2BBB"/>
    <w:rsid w:val="00BB76EC"/>
    <w:rsid w:val="00BC1B59"/>
    <w:rsid w:val="00BC2BE6"/>
    <w:rsid w:val="00BD22F3"/>
    <w:rsid w:val="00BD2BF2"/>
    <w:rsid w:val="00BD3257"/>
    <w:rsid w:val="00BD43EF"/>
    <w:rsid w:val="00BD62B9"/>
    <w:rsid w:val="00BE3CC6"/>
    <w:rsid w:val="00BE5803"/>
    <w:rsid w:val="00BE680D"/>
    <w:rsid w:val="00BF746A"/>
    <w:rsid w:val="00C00190"/>
    <w:rsid w:val="00C006CD"/>
    <w:rsid w:val="00C047A2"/>
    <w:rsid w:val="00C06226"/>
    <w:rsid w:val="00C06725"/>
    <w:rsid w:val="00C10CE0"/>
    <w:rsid w:val="00C1677A"/>
    <w:rsid w:val="00C17BC7"/>
    <w:rsid w:val="00C17DDE"/>
    <w:rsid w:val="00C21EAD"/>
    <w:rsid w:val="00C26534"/>
    <w:rsid w:val="00C265DE"/>
    <w:rsid w:val="00C31081"/>
    <w:rsid w:val="00C35B93"/>
    <w:rsid w:val="00C36EA8"/>
    <w:rsid w:val="00C40469"/>
    <w:rsid w:val="00C42DE6"/>
    <w:rsid w:val="00C431D0"/>
    <w:rsid w:val="00C450C3"/>
    <w:rsid w:val="00C45A1B"/>
    <w:rsid w:val="00C50BA5"/>
    <w:rsid w:val="00C511BC"/>
    <w:rsid w:val="00C520B6"/>
    <w:rsid w:val="00C54029"/>
    <w:rsid w:val="00C57B2C"/>
    <w:rsid w:val="00C60219"/>
    <w:rsid w:val="00C6125C"/>
    <w:rsid w:val="00C61E2D"/>
    <w:rsid w:val="00C72BFC"/>
    <w:rsid w:val="00C73EAB"/>
    <w:rsid w:val="00C76230"/>
    <w:rsid w:val="00C76C38"/>
    <w:rsid w:val="00C776CD"/>
    <w:rsid w:val="00C851B9"/>
    <w:rsid w:val="00C87977"/>
    <w:rsid w:val="00C909FF"/>
    <w:rsid w:val="00C94ED3"/>
    <w:rsid w:val="00C97763"/>
    <w:rsid w:val="00CA04CE"/>
    <w:rsid w:val="00CA1B1D"/>
    <w:rsid w:val="00CA2A20"/>
    <w:rsid w:val="00CA350E"/>
    <w:rsid w:val="00CA3B7C"/>
    <w:rsid w:val="00CA4518"/>
    <w:rsid w:val="00CA66EB"/>
    <w:rsid w:val="00CA6955"/>
    <w:rsid w:val="00CB3093"/>
    <w:rsid w:val="00CB4EC3"/>
    <w:rsid w:val="00CB5181"/>
    <w:rsid w:val="00CB6324"/>
    <w:rsid w:val="00CC75F5"/>
    <w:rsid w:val="00CC7D26"/>
    <w:rsid w:val="00CD056E"/>
    <w:rsid w:val="00CD206E"/>
    <w:rsid w:val="00CD6A59"/>
    <w:rsid w:val="00CE168A"/>
    <w:rsid w:val="00CE4571"/>
    <w:rsid w:val="00CF1245"/>
    <w:rsid w:val="00CF1C3A"/>
    <w:rsid w:val="00CF3E3F"/>
    <w:rsid w:val="00CF6573"/>
    <w:rsid w:val="00CF6E03"/>
    <w:rsid w:val="00D01864"/>
    <w:rsid w:val="00D06F49"/>
    <w:rsid w:val="00D11D09"/>
    <w:rsid w:val="00D133E6"/>
    <w:rsid w:val="00D13415"/>
    <w:rsid w:val="00D1500B"/>
    <w:rsid w:val="00D15BC3"/>
    <w:rsid w:val="00D16CEE"/>
    <w:rsid w:val="00D25F53"/>
    <w:rsid w:val="00D273A3"/>
    <w:rsid w:val="00D31F59"/>
    <w:rsid w:val="00D34ACD"/>
    <w:rsid w:val="00D45D8B"/>
    <w:rsid w:val="00D54224"/>
    <w:rsid w:val="00D55942"/>
    <w:rsid w:val="00D56346"/>
    <w:rsid w:val="00D60CE9"/>
    <w:rsid w:val="00D61400"/>
    <w:rsid w:val="00D61840"/>
    <w:rsid w:val="00D6257D"/>
    <w:rsid w:val="00D650DB"/>
    <w:rsid w:val="00D6673F"/>
    <w:rsid w:val="00D716FC"/>
    <w:rsid w:val="00D8351E"/>
    <w:rsid w:val="00D83CF9"/>
    <w:rsid w:val="00D84227"/>
    <w:rsid w:val="00D915B2"/>
    <w:rsid w:val="00D92CAB"/>
    <w:rsid w:val="00D956FD"/>
    <w:rsid w:val="00D95B0A"/>
    <w:rsid w:val="00D978BC"/>
    <w:rsid w:val="00DA097D"/>
    <w:rsid w:val="00DA110C"/>
    <w:rsid w:val="00DA2556"/>
    <w:rsid w:val="00DA4E42"/>
    <w:rsid w:val="00DA6B95"/>
    <w:rsid w:val="00DA6D91"/>
    <w:rsid w:val="00DB4456"/>
    <w:rsid w:val="00DB480F"/>
    <w:rsid w:val="00DB481D"/>
    <w:rsid w:val="00DB6193"/>
    <w:rsid w:val="00DB6951"/>
    <w:rsid w:val="00DB6A1F"/>
    <w:rsid w:val="00DB6FDE"/>
    <w:rsid w:val="00DC1DE2"/>
    <w:rsid w:val="00DC1F61"/>
    <w:rsid w:val="00DC2CF0"/>
    <w:rsid w:val="00DC51DF"/>
    <w:rsid w:val="00DC5418"/>
    <w:rsid w:val="00DD136A"/>
    <w:rsid w:val="00DD46B0"/>
    <w:rsid w:val="00DD4B3C"/>
    <w:rsid w:val="00DD51FD"/>
    <w:rsid w:val="00DD69B5"/>
    <w:rsid w:val="00DE2251"/>
    <w:rsid w:val="00DE39DC"/>
    <w:rsid w:val="00DF280E"/>
    <w:rsid w:val="00DF4223"/>
    <w:rsid w:val="00DF5FB6"/>
    <w:rsid w:val="00E00243"/>
    <w:rsid w:val="00E012A4"/>
    <w:rsid w:val="00E01A49"/>
    <w:rsid w:val="00E07498"/>
    <w:rsid w:val="00E13587"/>
    <w:rsid w:val="00E14393"/>
    <w:rsid w:val="00E161D6"/>
    <w:rsid w:val="00E1659C"/>
    <w:rsid w:val="00E167E8"/>
    <w:rsid w:val="00E21903"/>
    <w:rsid w:val="00E223F8"/>
    <w:rsid w:val="00E22ED3"/>
    <w:rsid w:val="00E24228"/>
    <w:rsid w:val="00E26999"/>
    <w:rsid w:val="00E27338"/>
    <w:rsid w:val="00E30138"/>
    <w:rsid w:val="00E305C3"/>
    <w:rsid w:val="00E3566E"/>
    <w:rsid w:val="00E37E07"/>
    <w:rsid w:val="00E408AF"/>
    <w:rsid w:val="00E43069"/>
    <w:rsid w:val="00E4598B"/>
    <w:rsid w:val="00E511C2"/>
    <w:rsid w:val="00E573FC"/>
    <w:rsid w:val="00E5791E"/>
    <w:rsid w:val="00E5792F"/>
    <w:rsid w:val="00E57DFB"/>
    <w:rsid w:val="00E614A0"/>
    <w:rsid w:val="00E66657"/>
    <w:rsid w:val="00E71125"/>
    <w:rsid w:val="00E733AD"/>
    <w:rsid w:val="00E73726"/>
    <w:rsid w:val="00E75828"/>
    <w:rsid w:val="00E77506"/>
    <w:rsid w:val="00E80CEA"/>
    <w:rsid w:val="00E81B4D"/>
    <w:rsid w:val="00E81ED0"/>
    <w:rsid w:val="00E85485"/>
    <w:rsid w:val="00EA41B6"/>
    <w:rsid w:val="00EA5AA0"/>
    <w:rsid w:val="00EA6263"/>
    <w:rsid w:val="00EA68CC"/>
    <w:rsid w:val="00EA7D91"/>
    <w:rsid w:val="00EA7F07"/>
    <w:rsid w:val="00EB2E80"/>
    <w:rsid w:val="00EB3FCD"/>
    <w:rsid w:val="00EB404C"/>
    <w:rsid w:val="00EB4F87"/>
    <w:rsid w:val="00EC0AD0"/>
    <w:rsid w:val="00EC4E3B"/>
    <w:rsid w:val="00EC4F47"/>
    <w:rsid w:val="00ED2193"/>
    <w:rsid w:val="00ED3C76"/>
    <w:rsid w:val="00ED6893"/>
    <w:rsid w:val="00ED7B5D"/>
    <w:rsid w:val="00EE0718"/>
    <w:rsid w:val="00EE0EDC"/>
    <w:rsid w:val="00EE1CCA"/>
    <w:rsid w:val="00EE36DF"/>
    <w:rsid w:val="00EE5DE8"/>
    <w:rsid w:val="00EE7AF2"/>
    <w:rsid w:val="00EF2287"/>
    <w:rsid w:val="00EF47C0"/>
    <w:rsid w:val="00EF6F30"/>
    <w:rsid w:val="00F010CF"/>
    <w:rsid w:val="00F022E3"/>
    <w:rsid w:val="00F0260B"/>
    <w:rsid w:val="00F051D7"/>
    <w:rsid w:val="00F06B7D"/>
    <w:rsid w:val="00F10C92"/>
    <w:rsid w:val="00F12B24"/>
    <w:rsid w:val="00F14806"/>
    <w:rsid w:val="00F15856"/>
    <w:rsid w:val="00F176F8"/>
    <w:rsid w:val="00F24212"/>
    <w:rsid w:val="00F30B99"/>
    <w:rsid w:val="00F33431"/>
    <w:rsid w:val="00F374FA"/>
    <w:rsid w:val="00F41627"/>
    <w:rsid w:val="00F446E5"/>
    <w:rsid w:val="00F45786"/>
    <w:rsid w:val="00F46CB4"/>
    <w:rsid w:val="00F5018A"/>
    <w:rsid w:val="00F56101"/>
    <w:rsid w:val="00F628EE"/>
    <w:rsid w:val="00F62BCC"/>
    <w:rsid w:val="00F65B3D"/>
    <w:rsid w:val="00F70231"/>
    <w:rsid w:val="00F70B97"/>
    <w:rsid w:val="00F71912"/>
    <w:rsid w:val="00F71E5D"/>
    <w:rsid w:val="00F72D66"/>
    <w:rsid w:val="00F73158"/>
    <w:rsid w:val="00F73506"/>
    <w:rsid w:val="00F74790"/>
    <w:rsid w:val="00F75B78"/>
    <w:rsid w:val="00F765DA"/>
    <w:rsid w:val="00F8550F"/>
    <w:rsid w:val="00F91292"/>
    <w:rsid w:val="00F91502"/>
    <w:rsid w:val="00F92CB9"/>
    <w:rsid w:val="00F930E7"/>
    <w:rsid w:val="00F96556"/>
    <w:rsid w:val="00FA269B"/>
    <w:rsid w:val="00FA3592"/>
    <w:rsid w:val="00FA3ECA"/>
    <w:rsid w:val="00FA7FB9"/>
    <w:rsid w:val="00FB2BFE"/>
    <w:rsid w:val="00FB3C23"/>
    <w:rsid w:val="00FB3F8F"/>
    <w:rsid w:val="00FB45F6"/>
    <w:rsid w:val="00FB5114"/>
    <w:rsid w:val="00FC1939"/>
    <w:rsid w:val="00FC2398"/>
    <w:rsid w:val="00FC35A0"/>
    <w:rsid w:val="00FC5586"/>
    <w:rsid w:val="00FC587B"/>
    <w:rsid w:val="00FC6B65"/>
    <w:rsid w:val="00FC78A9"/>
    <w:rsid w:val="00FD1E0B"/>
    <w:rsid w:val="00FE4BB9"/>
    <w:rsid w:val="00FE76CE"/>
    <w:rsid w:val="00FF1BB4"/>
    <w:rsid w:val="00FF2D63"/>
    <w:rsid w:val="00FF3249"/>
    <w:rsid w:val="00FF4CBB"/>
    <w:rsid w:val="00FF5570"/>
    <w:rsid w:val="00FF7406"/>
    <w:rsid w:val="0145C5F5"/>
    <w:rsid w:val="02E550C5"/>
    <w:rsid w:val="034BDF32"/>
    <w:rsid w:val="037D8910"/>
    <w:rsid w:val="04C1F12F"/>
    <w:rsid w:val="07B461A2"/>
    <w:rsid w:val="081AF400"/>
    <w:rsid w:val="0831C31F"/>
    <w:rsid w:val="09772282"/>
    <w:rsid w:val="0A8C4059"/>
    <w:rsid w:val="0EEB1D52"/>
    <w:rsid w:val="0F831B30"/>
    <w:rsid w:val="111967E2"/>
    <w:rsid w:val="1356FCC6"/>
    <w:rsid w:val="1591AFA7"/>
    <w:rsid w:val="18B9BDC5"/>
    <w:rsid w:val="1A4CA18B"/>
    <w:rsid w:val="1D73FE4A"/>
    <w:rsid w:val="20182DB7"/>
    <w:rsid w:val="206E4C42"/>
    <w:rsid w:val="20BEE9A5"/>
    <w:rsid w:val="20DD1AA1"/>
    <w:rsid w:val="20EB249D"/>
    <w:rsid w:val="232D25B8"/>
    <w:rsid w:val="23D65427"/>
    <w:rsid w:val="2417A9FC"/>
    <w:rsid w:val="245A3AD2"/>
    <w:rsid w:val="24CDC025"/>
    <w:rsid w:val="24F6E711"/>
    <w:rsid w:val="25891C15"/>
    <w:rsid w:val="265FFDEC"/>
    <w:rsid w:val="2A44E8F9"/>
    <w:rsid w:val="2F1A161E"/>
    <w:rsid w:val="33D8492E"/>
    <w:rsid w:val="35D70B4B"/>
    <w:rsid w:val="35EE612F"/>
    <w:rsid w:val="36A8356F"/>
    <w:rsid w:val="36FA255E"/>
    <w:rsid w:val="396026DA"/>
    <w:rsid w:val="399625F1"/>
    <w:rsid w:val="3A4C7D39"/>
    <w:rsid w:val="3A9CB660"/>
    <w:rsid w:val="3BEE1D42"/>
    <w:rsid w:val="3D88B7C2"/>
    <w:rsid w:val="408272AE"/>
    <w:rsid w:val="418FF75C"/>
    <w:rsid w:val="41AD15E8"/>
    <w:rsid w:val="43DCE0C5"/>
    <w:rsid w:val="461941D5"/>
    <w:rsid w:val="491AEBBF"/>
    <w:rsid w:val="4A94DE5A"/>
    <w:rsid w:val="4C8E682D"/>
    <w:rsid w:val="4E1EC2B3"/>
    <w:rsid w:val="4ECBF9FF"/>
    <w:rsid w:val="4FD58182"/>
    <w:rsid w:val="50AFBC00"/>
    <w:rsid w:val="518C4A0A"/>
    <w:rsid w:val="52086012"/>
    <w:rsid w:val="52453A59"/>
    <w:rsid w:val="53E67762"/>
    <w:rsid w:val="5450C4DE"/>
    <w:rsid w:val="56D8DE08"/>
    <w:rsid w:val="57635D16"/>
    <w:rsid w:val="58255B15"/>
    <w:rsid w:val="589979AA"/>
    <w:rsid w:val="5B1146A1"/>
    <w:rsid w:val="5BF8FDA4"/>
    <w:rsid w:val="5C3058CA"/>
    <w:rsid w:val="5E3A62D1"/>
    <w:rsid w:val="60F5D25B"/>
    <w:rsid w:val="620DCE3B"/>
    <w:rsid w:val="6328E231"/>
    <w:rsid w:val="63728BAD"/>
    <w:rsid w:val="639FA247"/>
    <w:rsid w:val="64656AD1"/>
    <w:rsid w:val="64DCF491"/>
    <w:rsid w:val="664EF201"/>
    <w:rsid w:val="67DEF3AD"/>
    <w:rsid w:val="6CB7F147"/>
    <w:rsid w:val="6EC25088"/>
    <w:rsid w:val="6F858CCE"/>
    <w:rsid w:val="701CFC64"/>
    <w:rsid w:val="7082A0B4"/>
    <w:rsid w:val="73EFCFC7"/>
    <w:rsid w:val="77142C75"/>
    <w:rsid w:val="7854642E"/>
    <w:rsid w:val="7A8D0E3D"/>
    <w:rsid w:val="7AB6E8EC"/>
    <w:rsid w:val="7B7B1584"/>
    <w:rsid w:val="7D6416B5"/>
    <w:rsid w:val="7FDB8D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A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F61"/>
    <w:pPr>
      <w:widowControl w:val="0"/>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DC1F61"/>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unhideWhenUsed/>
    <w:qFormat/>
    <w:rsid w:val="00DC1F61"/>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unhideWhenUsed/>
    <w:qFormat/>
    <w:rsid w:val="00DC1F61"/>
    <w:pPr>
      <w:keepNext/>
      <w:keepLines/>
      <w:widowControl/>
      <w:spacing w:before="160" w:after="80" w:line="278"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unhideWhenUsed/>
    <w:qFormat/>
    <w:rsid w:val="00DC1F61"/>
    <w:pPr>
      <w:keepNext/>
      <w:keepLines/>
      <w:widowControl/>
      <w:spacing w:before="80" w:after="40" w:line="278" w:lineRule="auto"/>
      <w:outlineLvl w:val="3"/>
    </w:pPr>
    <w:rPr>
      <w:rFonts w:eastAsiaTheme="majorEastAsia"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DC1F61"/>
    <w:pPr>
      <w:keepNext/>
      <w:keepLines/>
      <w:widowControl/>
      <w:spacing w:before="80" w:after="40" w:line="278" w:lineRule="auto"/>
      <w:outlineLvl w:val="4"/>
    </w:pPr>
    <w:rPr>
      <w:rFonts w:eastAsiaTheme="majorEastAsia"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DC1F61"/>
    <w:pPr>
      <w:keepNext/>
      <w:keepLines/>
      <w:widowControl/>
      <w:spacing w:before="40" w:line="278" w:lineRule="auto"/>
      <w:outlineLvl w:val="5"/>
    </w:pPr>
    <w:rPr>
      <w:rFonts w:eastAsiaTheme="majorEastAsia"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DC1F61"/>
    <w:pPr>
      <w:keepNext/>
      <w:keepLines/>
      <w:widowControl/>
      <w:spacing w:before="40" w:line="278" w:lineRule="auto"/>
      <w:outlineLvl w:val="6"/>
    </w:pPr>
    <w:rPr>
      <w:rFonts w:eastAsiaTheme="majorEastAsia"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DC1F61"/>
    <w:pPr>
      <w:keepNext/>
      <w:keepLines/>
      <w:widowControl/>
      <w:spacing w:line="278" w:lineRule="auto"/>
      <w:outlineLvl w:val="7"/>
    </w:pPr>
    <w:rPr>
      <w:rFonts w:eastAsiaTheme="majorEastAsia"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DC1F61"/>
    <w:pPr>
      <w:keepNext/>
      <w:keepLines/>
      <w:widowControl/>
      <w:spacing w:line="278" w:lineRule="auto"/>
      <w:outlineLvl w:val="8"/>
    </w:pPr>
    <w:rPr>
      <w:rFonts w:eastAsiaTheme="majorEastAsia"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1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1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1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61"/>
    <w:rPr>
      <w:rFonts w:eastAsiaTheme="majorEastAsia" w:cstheme="majorBidi"/>
      <w:color w:val="272727" w:themeColor="text1" w:themeTint="D8"/>
    </w:rPr>
  </w:style>
  <w:style w:type="paragraph" w:styleId="Title">
    <w:name w:val="Title"/>
    <w:basedOn w:val="Normal"/>
    <w:next w:val="Normal"/>
    <w:link w:val="TitleChar"/>
    <w:uiPriority w:val="10"/>
    <w:qFormat/>
    <w:rsid w:val="00DC1F61"/>
    <w:pPr>
      <w:widowControl/>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DC1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61"/>
    <w:pPr>
      <w:widowControl/>
      <w:numPr>
        <w:ilvl w:val="1"/>
      </w:numPr>
      <w:spacing w:after="160" w:line="278"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DC1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61"/>
    <w:pPr>
      <w:widowControl/>
      <w:spacing w:before="160" w:after="160" w:line="278" w:lineRule="auto"/>
      <w:jc w:val="center"/>
    </w:pPr>
    <w:rPr>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DC1F61"/>
    <w:rPr>
      <w:i/>
      <w:iCs/>
      <w:color w:val="404040" w:themeColor="text1" w:themeTint="BF"/>
    </w:rPr>
  </w:style>
  <w:style w:type="paragraph" w:styleId="ListParagraph">
    <w:name w:val="List Paragraph"/>
    <w:basedOn w:val="Normal"/>
    <w:uiPriority w:val="34"/>
    <w:qFormat/>
    <w:rsid w:val="00DC1F61"/>
    <w:pPr>
      <w:widowControl/>
      <w:spacing w:after="160" w:line="278" w:lineRule="auto"/>
      <w:ind w:left="720"/>
      <w:contextualSpacing/>
    </w:pPr>
    <w:rPr>
      <w:kern w:val="2"/>
      <w:sz w:val="24"/>
      <w:szCs w:val="24"/>
      <w:lang w:val="en-AU"/>
      <w14:ligatures w14:val="standardContextual"/>
    </w:rPr>
  </w:style>
  <w:style w:type="character" w:styleId="IntenseEmphasis">
    <w:name w:val="Intense Emphasis"/>
    <w:basedOn w:val="DefaultParagraphFont"/>
    <w:uiPriority w:val="21"/>
    <w:qFormat/>
    <w:rsid w:val="00DC1F61"/>
    <w:rPr>
      <w:i/>
      <w:iCs/>
      <w:color w:val="0F4761" w:themeColor="accent1" w:themeShade="BF"/>
    </w:rPr>
  </w:style>
  <w:style w:type="paragraph" w:styleId="IntenseQuote">
    <w:name w:val="Intense Quote"/>
    <w:basedOn w:val="Normal"/>
    <w:next w:val="Normal"/>
    <w:link w:val="IntenseQuoteChar"/>
    <w:uiPriority w:val="30"/>
    <w:qFormat/>
    <w:rsid w:val="00DC1F61"/>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DC1F61"/>
    <w:rPr>
      <w:i/>
      <w:iCs/>
      <w:color w:val="0F4761" w:themeColor="accent1" w:themeShade="BF"/>
    </w:rPr>
  </w:style>
  <w:style w:type="character" w:styleId="IntenseReference">
    <w:name w:val="Intense Reference"/>
    <w:basedOn w:val="DefaultParagraphFont"/>
    <w:uiPriority w:val="32"/>
    <w:qFormat/>
    <w:rsid w:val="00DC1F61"/>
    <w:rPr>
      <w:b/>
      <w:bCs/>
      <w:smallCaps/>
      <w:color w:val="0F4761" w:themeColor="accent1" w:themeShade="BF"/>
      <w:spacing w:val="5"/>
    </w:rPr>
  </w:style>
  <w:style w:type="paragraph" w:customStyle="1" w:styleId="Boxtext">
    <w:name w:val="Box text"/>
    <w:basedOn w:val="Normal"/>
    <w:next w:val="Normal"/>
    <w:uiPriority w:val="1"/>
    <w:qFormat/>
    <w:rsid w:val="00DC1F61"/>
    <w:pPr>
      <w:suppressAutoHyphens/>
      <w:autoSpaceDE w:val="0"/>
      <w:autoSpaceDN w:val="0"/>
      <w:adjustRightInd w:val="0"/>
      <w:spacing w:after="57" w:line="260" w:lineRule="atLeast"/>
      <w:textAlignment w:val="center"/>
    </w:pPr>
    <w:rPr>
      <w:rFonts w:ascii="Calibri" w:hAnsi="Calibri" w:cs="Gotham-Book"/>
      <w:color w:val="000000" w:themeColor="text1"/>
      <w:szCs w:val="18"/>
      <w:lang w:val="en-GB"/>
    </w:rPr>
  </w:style>
  <w:style w:type="paragraph" w:customStyle="1" w:styleId="Boxhead">
    <w:name w:val="Box head"/>
    <w:basedOn w:val="Normal"/>
    <w:uiPriority w:val="1"/>
    <w:qFormat/>
    <w:rsid w:val="00DC1F61"/>
    <w:pPr>
      <w:suppressAutoHyphens/>
      <w:autoSpaceDE w:val="0"/>
      <w:autoSpaceDN w:val="0"/>
      <w:adjustRightInd w:val="0"/>
      <w:spacing w:line="220" w:lineRule="atLeast"/>
      <w:textAlignment w:val="center"/>
    </w:pPr>
    <w:rPr>
      <w:rFonts w:ascii="Calibri" w:hAnsi="Calibri" w:cs="Gotham-Bold"/>
      <w:bCs/>
      <w:color w:val="FFFFFF" w:themeColor="background1"/>
      <w:szCs w:val="18"/>
      <w:lang w:val="en-GB"/>
    </w:rPr>
  </w:style>
  <w:style w:type="paragraph" w:customStyle="1" w:styleId="Boxboldhead">
    <w:name w:val="Box bold head"/>
    <w:basedOn w:val="Normal"/>
    <w:uiPriority w:val="1"/>
    <w:qFormat/>
    <w:rsid w:val="00DC1F61"/>
    <w:pPr>
      <w:tabs>
        <w:tab w:val="left" w:pos="0"/>
      </w:tabs>
      <w:suppressAutoHyphens/>
      <w:autoSpaceDE w:val="0"/>
      <w:autoSpaceDN w:val="0"/>
      <w:adjustRightInd w:val="0"/>
      <w:spacing w:after="57" w:line="260" w:lineRule="atLeast"/>
      <w:textAlignment w:val="center"/>
    </w:pPr>
    <w:rPr>
      <w:rFonts w:ascii="Calibri" w:hAnsi="Calibri" w:cs="Gotham-Medium"/>
      <w:b/>
      <w:color w:val="000000" w:themeColor="text1"/>
      <w:szCs w:val="18"/>
      <w:lang w:val="en-GB"/>
    </w:rPr>
  </w:style>
  <w:style w:type="character" w:customStyle="1" w:styleId="Boxtextitalic">
    <w:name w:val="Box text italic"/>
    <w:basedOn w:val="DefaultParagraphFont"/>
    <w:uiPriority w:val="1"/>
    <w:qFormat/>
    <w:rsid w:val="00DC1F61"/>
    <w:rPr>
      <w:rFonts w:ascii="Calibri" w:hAnsi="Calibri"/>
      <w:i/>
      <w:sz w:val="22"/>
    </w:rPr>
  </w:style>
  <w:style w:type="paragraph" w:styleId="Header">
    <w:name w:val="header"/>
    <w:basedOn w:val="Normal"/>
    <w:link w:val="HeaderChar"/>
    <w:uiPriority w:val="99"/>
    <w:unhideWhenUsed/>
    <w:rsid w:val="004651BB"/>
    <w:pPr>
      <w:tabs>
        <w:tab w:val="center" w:pos="4513"/>
        <w:tab w:val="right" w:pos="9026"/>
      </w:tabs>
    </w:pPr>
  </w:style>
  <w:style w:type="character" w:customStyle="1" w:styleId="HeaderChar">
    <w:name w:val="Header Char"/>
    <w:basedOn w:val="DefaultParagraphFont"/>
    <w:link w:val="Header"/>
    <w:uiPriority w:val="99"/>
    <w:rsid w:val="004651BB"/>
    <w:rPr>
      <w:kern w:val="0"/>
      <w:sz w:val="22"/>
      <w:szCs w:val="22"/>
      <w:lang w:val="en-US"/>
      <w14:ligatures w14:val="none"/>
    </w:rPr>
  </w:style>
  <w:style w:type="paragraph" w:styleId="Footer">
    <w:name w:val="footer"/>
    <w:basedOn w:val="Normal"/>
    <w:link w:val="FooterChar"/>
    <w:uiPriority w:val="99"/>
    <w:unhideWhenUsed/>
    <w:rsid w:val="004651BB"/>
    <w:pPr>
      <w:tabs>
        <w:tab w:val="center" w:pos="4513"/>
        <w:tab w:val="right" w:pos="9026"/>
      </w:tabs>
    </w:pPr>
  </w:style>
  <w:style w:type="character" w:customStyle="1" w:styleId="FooterChar">
    <w:name w:val="Footer Char"/>
    <w:basedOn w:val="DefaultParagraphFont"/>
    <w:link w:val="Footer"/>
    <w:uiPriority w:val="99"/>
    <w:rsid w:val="004651BB"/>
    <w:rPr>
      <w:kern w:val="0"/>
      <w:sz w:val="22"/>
      <w:szCs w:val="22"/>
      <w:lang w:val="en-US"/>
      <w14:ligatures w14:val="none"/>
    </w:rPr>
  </w:style>
  <w:style w:type="table" w:styleId="TableGrid">
    <w:name w:val="Table Grid"/>
    <w:basedOn w:val="TableNormal"/>
    <w:uiPriority w:val="39"/>
    <w:rsid w:val="00F9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SReportTable1">
    <w:name w:val="SHS Report Table1"/>
    <w:basedOn w:val="TableNormal"/>
    <w:autoRedefine/>
    <w:uiPriority w:val="99"/>
    <w:qFormat/>
    <w:rsid w:val="008A7C60"/>
    <w:pPr>
      <w:spacing w:after="0" w:line="240" w:lineRule="auto"/>
      <w:contextualSpacing/>
    </w:pPr>
    <w:rPr>
      <w:kern w:val="0"/>
      <w:sz w:val="20"/>
      <w:szCs w:val="20"/>
      <w:lang w:eastAsia="en-AU"/>
      <w14:ligatures w14:val="none"/>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wordWrap/>
        <w:spacing w:beforeLines="0" w:before="0" w:beforeAutospacing="0" w:afterLines="0" w:after="0" w:afterAutospacing="0" w:line="276" w:lineRule="auto"/>
        <w:contextualSpacing w:val="0"/>
      </w:pPr>
      <w:rPr>
        <w:rFonts w:ascii="Calibri" w:hAnsi="Calibri"/>
        <w:b/>
        <w:color w:val="FFFFFF"/>
        <w:sz w:val="22"/>
      </w:rPr>
      <w:tblPr/>
      <w:tcPr>
        <w:shd w:val="clear" w:color="auto" w:fill="DA2926"/>
      </w:tcPr>
    </w:tblStylePr>
    <w:tblStylePr w:type="firstCol">
      <w:rPr>
        <w:rFonts w:ascii="Calibri" w:hAnsi="Calibri"/>
        <w:b w:val="0"/>
        <w:sz w:val="20"/>
      </w:r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921945"/>
    <w:rPr>
      <w:sz w:val="16"/>
      <w:szCs w:val="16"/>
    </w:rPr>
  </w:style>
  <w:style w:type="paragraph" w:styleId="CommentText">
    <w:name w:val="annotation text"/>
    <w:basedOn w:val="Normal"/>
    <w:link w:val="CommentTextChar"/>
    <w:uiPriority w:val="99"/>
    <w:unhideWhenUsed/>
    <w:rsid w:val="00921945"/>
    <w:rPr>
      <w:sz w:val="20"/>
      <w:szCs w:val="20"/>
    </w:rPr>
  </w:style>
  <w:style w:type="character" w:customStyle="1" w:styleId="CommentTextChar">
    <w:name w:val="Comment Text Char"/>
    <w:basedOn w:val="DefaultParagraphFont"/>
    <w:link w:val="CommentText"/>
    <w:uiPriority w:val="99"/>
    <w:rsid w:val="00921945"/>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21945"/>
    <w:rPr>
      <w:b/>
      <w:bCs/>
    </w:rPr>
  </w:style>
  <w:style w:type="character" w:customStyle="1" w:styleId="CommentSubjectChar">
    <w:name w:val="Comment Subject Char"/>
    <w:basedOn w:val="CommentTextChar"/>
    <w:link w:val="CommentSubject"/>
    <w:uiPriority w:val="99"/>
    <w:semiHidden/>
    <w:rsid w:val="00921945"/>
    <w:rPr>
      <w:b/>
      <w:bCs/>
      <w:kern w:val="0"/>
      <w:sz w:val="20"/>
      <w:szCs w:val="20"/>
      <w:lang w:val="en-US"/>
      <w14:ligatures w14:val="none"/>
    </w:rPr>
  </w:style>
  <w:style w:type="paragraph" w:styleId="Revision">
    <w:name w:val="Revision"/>
    <w:hidden/>
    <w:uiPriority w:val="99"/>
    <w:semiHidden/>
    <w:rsid w:val="00375DB9"/>
    <w:pPr>
      <w:spacing w:after="0" w:line="240" w:lineRule="auto"/>
    </w:pPr>
    <w:rPr>
      <w:kern w:val="0"/>
      <w:sz w:val="22"/>
      <w:szCs w:val="22"/>
      <w:lang w:val="en-US"/>
      <w14:ligatures w14:val="none"/>
    </w:rPr>
  </w:style>
  <w:style w:type="table" w:styleId="GridTable5Dark-Accent1">
    <w:name w:val="Grid Table 5 Dark Accent 1"/>
    <w:basedOn w:val="TableNormal"/>
    <w:uiPriority w:val="50"/>
    <w:rsid w:val="00594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Hyperlink">
    <w:name w:val="Hyperlink"/>
    <w:basedOn w:val="DefaultParagraphFont"/>
    <w:uiPriority w:val="99"/>
    <w:unhideWhenUsed/>
    <w:rsid w:val="00D273A3"/>
    <w:rPr>
      <w:color w:val="467886" w:themeColor="hyperlink"/>
      <w:u w:val="single"/>
    </w:rPr>
  </w:style>
  <w:style w:type="character" w:styleId="UnresolvedMention">
    <w:name w:val="Unresolved Mention"/>
    <w:basedOn w:val="DefaultParagraphFont"/>
    <w:uiPriority w:val="99"/>
    <w:semiHidden/>
    <w:unhideWhenUsed/>
    <w:rsid w:val="00D273A3"/>
    <w:rPr>
      <w:color w:val="605E5C"/>
      <w:shd w:val="clear" w:color="auto" w:fill="E1DFDD"/>
    </w:rPr>
  </w:style>
  <w:style w:type="paragraph" w:styleId="FootnoteText">
    <w:name w:val="footnote text"/>
    <w:basedOn w:val="Normal"/>
    <w:link w:val="FootnoteTextChar"/>
    <w:uiPriority w:val="99"/>
    <w:semiHidden/>
    <w:unhideWhenUsed/>
    <w:rsid w:val="00445B3C"/>
    <w:rPr>
      <w:sz w:val="20"/>
      <w:szCs w:val="20"/>
    </w:rPr>
  </w:style>
  <w:style w:type="character" w:customStyle="1" w:styleId="FootnoteTextChar">
    <w:name w:val="Footnote Text Char"/>
    <w:basedOn w:val="DefaultParagraphFont"/>
    <w:link w:val="FootnoteText"/>
    <w:uiPriority w:val="99"/>
    <w:semiHidden/>
    <w:rsid w:val="00445B3C"/>
    <w:rPr>
      <w:kern w:val="0"/>
      <w:sz w:val="20"/>
      <w:szCs w:val="20"/>
      <w:lang w:val="en-US"/>
      <w14:ligatures w14:val="none"/>
    </w:rPr>
  </w:style>
  <w:style w:type="character" w:styleId="FootnoteReference">
    <w:name w:val="footnote reference"/>
    <w:basedOn w:val="DefaultParagraphFont"/>
    <w:uiPriority w:val="99"/>
    <w:semiHidden/>
    <w:unhideWhenUsed/>
    <w:rsid w:val="00445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5425">
      <w:bodyDiv w:val="1"/>
      <w:marLeft w:val="0"/>
      <w:marRight w:val="0"/>
      <w:marTop w:val="0"/>
      <w:marBottom w:val="0"/>
      <w:divBdr>
        <w:top w:val="none" w:sz="0" w:space="0" w:color="auto"/>
        <w:left w:val="none" w:sz="0" w:space="0" w:color="auto"/>
        <w:bottom w:val="none" w:sz="0" w:space="0" w:color="auto"/>
        <w:right w:val="none" w:sz="0" w:space="0" w:color="auto"/>
      </w:divBdr>
    </w:div>
    <w:div w:id="127169715">
      <w:bodyDiv w:val="1"/>
      <w:marLeft w:val="0"/>
      <w:marRight w:val="0"/>
      <w:marTop w:val="0"/>
      <w:marBottom w:val="0"/>
      <w:divBdr>
        <w:top w:val="none" w:sz="0" w:space="0" w:color="auto"/>
        <w:left w:val="none" w:sz="0" w:space="0" w:color="auto"/>
        <w:bottom w:val="none" w:sz="0" w:space="0" w:color="auto"/>
        <w:right w:val="none" w:sz="0" w:space="0" w:color="auto"/>
      </w:divBdr>
    </w:div>
    <w:div w:id="192424619">
      <w:bodyDiv w:val="1"/>
      <w:marLeft w:val="0"/>
      <w:marRight w:val="0"/>
      <w:marTop w:val="0"/>
      <w:marBottom w:val="0"/>
      <w:divBdr>
        <w:top w:val="none" w:sz="0" w:space="0" w:color="auto"/>
        <w:left w:val="none" w:sz="0" w:space="0" w:color="auto"/>
        <w:bottom w:val="none" w:sz="0" w:space="0" w:color="auto"/>
        <w:right w:val="none" w:sz="0" w:space="0" w:color="auto"/>
      </w:divBdr>
    </w:div>
    <w:div w:id="384109599">
      <w:bodyDiv w:val="1"/>
      <w:marLeft w:val="0"/>
      <w:marRight w:val="0"/>
      <w:marTop w:val="0"/>
      <w:marBottom w:val="0"/>
      <w:divBdr>
        <w:top w:val="none" w:sz="0" w:space="0" w:color="auto"/>
        <w:left w:val="none" w:sz="0" w:space="0" w:color="auto"/>
        <w:bottom w:val="none" w:sz="0" w:space="0" w:color="auto"/>
        <w:right w:val="none" w:sz="0" w:space="0" w:color="auto"/>
      </w:divBdr>
    </w:div>
    <w:div w:id="438528905">
      <w:bodyDiv w:val="1"/>
      <w:marLeft w:val="0"/>
      <w:marRight w:val="0"/>
      <w:marTop w:val="0"/>
      <w:marBottom w:val="0"/>
      <w:divBdr>
        <w:top w:val="none" w:sz="0" w:space="0" w:color="auto"/>
        <w:left w:val="none" w:sz="0" w:space="0" w:color="auto"/>
        <w:bottom w:val="none" w:sz="0" w:space="0" w:color="auto"/>
        <w:right w:val="none" w:sz="0" w:space="0" w:color="auto"/>
      </w:divBdr>
    </w:div>
    <w:div w:id="456140958">
      <w:bodyDiv w:val="1"/>
      <w:marLeft w:val="0"/>
      <w:marRight w:val="0"/>
      <w:marTop w:val="0"/>
      <w:marBottom w:val="0"/>
      <w:divBdr>
        <w:top w:val="none" w:sz="0" w:space="0" w:color="auto"/>
        <w:left w:val="none" w:sz="0" w:space="0" w:color="auto"/>
        <w:bottom w:val="none" w:sz="0" w:space="0" w:color="auto"/>
        <w:right w:val="none" w:sz="0" w:space="0" w:color="auto"/>
      </w:divBdr>
      <w:divsChild>
        <w:div w:id="1001543330">
          <w:marLeft w:val="274"/>
          <w:marRight w:val="0"/>
          <w:marTop w:val="0"/>
          <w:marBottom w:val="240"/>
          <w:divBdr>
            <w:top w:val="none" w:sz="0" w:space="0" w:color="auto"/>
            <w:left w:val="none" w:sz="0" w:space="0" w:color="auto"/>
            <w:bottom w:val="none" w:sz="0" w:space="0" w:color="auto"/>
            <w:right w:val="none" w:sz="0" w:space="0" w:color="auto"/>
          </w:divBdr>
        </w:div>
      </w:divsChild>
    </w:div>
    <w:div w:id="654723155">
      <w:bodyDiv w:val="1"/>
      <w:marLeft w:val="0"/>
      <w:marRight w:val="0"/>
      <w:marTop w:val="0"/>
      <w:marBottom w:val="0"/>
      <w:divBdr>
        <w:top w:val="none" w:sz="0" w:space="0" w:color="auto"/>
        <w:left w:val="none" w:sz="0" w:space="0" w:color="auto"/>
        <w:bottom w:val="none" w:sz="0" w:space="0" w:color="auto"/>
        <w:right w:val="none" w:sz="0" w:space="0" w:color="auto"/>
      </w:divBdr>
    </w:div>
    <w:div w:id="716901714">
      <w:bodyDiv w:val="1"/>
      <w:marLeft w:val="0"/>
      <w:marRight w:val="0"/>
      <w:marTop w:val="0"/>
      <w:marBottom w:val="0"/>
      <w:divBdr>
        <w:top w:val="none" w:sz="0" w:space="0" w:color="auto"/>
        <w:left w:val="none" w:sz="0" w:space="0" w:color="auto"/>
        <w:bottom w:val="none" w:sz="0" w:space="0" w:color="auto"/>
        <w:right w:val="none" w:sz="0" w:space="0" w:color="auto"/>
      </w:divBdr>
    </w:div>
    <w:div w:id="900948916">
      <w:bodyDiv w:val="1"/>
      <w:marLeft w:val="0"/>
      <w:marRight w:val="0"/>
      <w:marTop w:val="0"/>
      <w:marBottom w:val="0"/>
      <w:divBdr>
        <w:top w:val="none" w:sz="0" w:space="0" w:color="auto"/>
        <w:left w:val="none" w:sz="0" w:space="0" w:color="auto"/>
        <w:bottom w:val="none" w:sz="0" w:space="0" w:color="auto"/>
        <w:right w:val="none" w:sz="0" w:space="0" w:color="auto"/>
      </w:divBdr>
    </w:div>
    <w:div w:id="979727860">
      <w:bodyDiv w:val="1"/>
      <w:marLeft w:val="0"/>
      <w:marRight w:val="0"/>
      <w:marTop w:val="0"/>
      <w:marBottom w:val="0"/>
      <w:divBdr>
        <w:top w:val="none" w:sz="0" w:space="0" w:color="auto"/>
        <w:left w:val="none" w:sz="0" w:space="0" w:color="auto"/>
        <w:bottom w:val="none" w:sz="0" w:space="0" w:color="auto"/>
        <w:right w:val="none" w:sz="0" w:space="0" w:color="auto"/>
      </w:divBdr>
    </w:div>
    <w:div w:id="1035927618">
      <w:bodyDiv w:val="1"/>
      <w:marLeft w:val="0"/>
      <w:marRight w:val="0"/>
      <w:marTop w:val="0"/>
      <w:marBottom w:val="0"/>
      <w:divBdr>
        <w:top w:val="none" w:sz="0" w:space="0" w:color="auto"/>
        <w:left w:val="none" w:sz="0" w:space="0" w:color="auto"/>
        <w:bottom w:val="none" w:sz="0" w:space="0" w:color="auto"/>
        <w:right w:val="none" w:sz="0" w:space="0" w:color="auto"/>
      </w:divBdr>
    </w:div>
    <w:div w:id="1087727914">
      <w:bodyDiv w:val="1"/>
      <w:marLeft w:val="0"/>
      <w:marRight w:val="0"/>
      <w:marTop w:val="0"/>
      <w:marBottom w:val="0"/>
      <w:divBdr>
        <w:top w:val="none" w:sz="0" w:space="0" w:color="auto"/>
        <w:left w:val="none" w:sz="0" w:space="0" w:color="auto"/>
        <w:bottom w:val="none" w:sz="0" w:space="0" w:color="auto"/>
        <w:right w:val="none" w:sz="0" w:space="0" w:color="auto"/>
      </w:divBdr>
    </w:div>
    <w:div w:id="1102841479">
      <w:bodyDiv w:val="1"/>
      <w:marLeft w:val="0"/>
      <w:marRight w:val="0"/>
      <w:marTop w:val="0"/>
      <w:marBottom w:val="0"/>
      <w:divBdr>
        <w:top w:val="none" w:sz="0" w:space="0" w:color="auto"/>
        <w:left w:val="none" w:sz="0" w:space="0" w:color="auto"/>
        <w:bottom w:val="none" w:sz="0" w:space="0" w:color="auto"/>
        <w:right w:val="none" w:sz="0" w:space="0" w:color="auto"/>
      </w:divBdr>
    </w:div>
    <w:div w:id="1177423964">
      <w:bodyDiv w:val="1"/>
      <w:marLeft w:val="0"/>
      <w:marRight w:val="0"/>
      <w:marTop w:val="0"/>
      <w:marBottom w:val="0"/>
      <w:divBdr>
        <w:top w:val="none" w:sz="0" w:space="0" w:color="auto"/>
        <w:left w:val="none" w:sz="0" w:space="0" w:color="auto"/>
        <w:bottom w:val="none" w:sz="0" w:space="0" w:color="auto"/>
        <w:right w:val="none" w:sz="0" w:space="0" w:color="auto"/>
      </w:divBdr>
    </w:div>
    <w:div w:id="1276448604">
      <w:bodyDiv w:val="1"/>
      <w:marLeft w:val="0"/>
      <w:marRight w:val="0"/>
      <w:marTop w:val="0"/>
      <w:marBottom w:val="0"/>
      <w:divBdr>
        <w:top w:val="none" w:sz="0" w:space="0" w:color="auto"/>
        <w:left w:val="none" w:sz="0" w:space="0" w:color="auto"/>
        <w:bottom w:val="none" w:sz="0" w:space="0" w:color="auto"/>
        <w:right w:val="none" w:sz="0" w:space="0" w:color="auto"/>
      </w:divBdr>
    </w:div>
    <w:div w:id="1462844789">
      <w:bodyDiv w:val="1"/>
      <w:marLeft w:val="0"/>
      <w:marRight w:val="0"/>
      <w:marTop w:val="0"/>
      <w:marBottom w:val="0"/>
      <w:divBdr>
        <w:top w:val="none" w:sz="0" w:space="0" w:color="auto"/>
        <w:left w:val="none" w:sz="0" w:space="0" w:color="auto"/>
        <w:bottom w:val="none" w:sz="0" w:space="0" w:color="auto"/>
        <w:right w:val="none" w:sz="0" w:space="0" w:color="auto"/>
      </w:divBdr>
    </w:div>
    <w:div w:id="1535771371">
      <w:bodyDiv w:val="1"/>
      <w:marLeft w:val="0"/>
      <w:marRight w:val="0"/>
      <w:marTop w:val="0"/>
      <w:marBottom w:val="0"/>
      <w:divBdr>
        <w:top w:val="none" w:sz="0" w:space="0" w:color="auto"/>
        <w:left w:val="none" w:sz="0" w:space="0" w:color="auto"/>
        <w:bottom w:val="none" w:sz="0" w:space="0" w:color="auto"/>
        <w:right w:val="none" w:sz="0" w:space="0" w:color="auto"/>
      </w:divBdr>
    </w:div>
    <w:div w:id="1683505069">
      <w:bodyDiv w:val="1"/>
      <w:marLeft w:val="0"/>
      <w:marRight w:val="0"/>
      <w:marTop w:val="0"/>
      <w:marBottom w:val="0"/>
      <w:divBdr>
        <w:top w:val="none" w:sz="0" w:space="0" w:color="auto"/>
        <w:left w:val="none" w:sz="0" w:space="0" w:color="auto"/>
        <w:bottom w:val="none" w:sz="0" w:space="0" w:color="auto"/>
        <w:right w:val="none" w:sz="0" w:space="0" w:color="auto"/>
      </w:divBdr>
    </w:div>
    <w:div w:id="1744838762">
      <w:bodyDiv w:val="1"/>
      <w:marLeft w:val="0"/>
      <w:marRight w:val="0"/>
      <w:marTop w:val="0"/>
      <w:marBottom w:val="0"/>
      <w:divBdr>
        <w:top w:val="none" w:sz="0" w:space="0" w:color="auto"/>
        <w:left w:val="none" w:sz="0" w:space="0" w:color="auto"/>
        <w:bottom w:val="none" w:sz="0" w:space="0" w:color="auto"/>
        <w:right w:val="none" w:sz="0" w:space="0" w:color="auto"/>
      </w:divBdr>
    </w:div>
    <w:div w:id="1808669993">
      <w:bodyDiv w:val="1"/>
      <w:marLeft w:val="0"/>
      <w:marRight w:val="0"/>
      <w:marTop w:val="0"/>
      <w:marBottom w:val="0"/>
      <w:divBdr>
        <w:top w:val="none" w:sz="0" w:space="0" w:color="auto"/>
        <w:left w:val="none" w:sz="0" w:space="0" w:color="auto"/>
        <w:bottom w:val="none" w:sz="0" w:space="0" w:color="auto"/>
        <w:right w:val="none" w:sz="0" w:space="0" w:color="auto"/>
      </w:divBdr>
    </w:div>
    <w:div w:id="1809088348">
      <w:bodyDiv w:val="1"/>
      <w:marLeft w:val="0"/>
      <w:marRight w:val="0"/>
      <w:marTop w:val="0"/>
      <w:marBottom w:val="0"/>
      <w:divBdr>
        <w:top w:val="none" w:sz="0" w:space="0" w:color="auto"/>
        <w:left w:val="none" w:sz="0" w:space="0" w:color="auto"/>
        <w:bottom w:val="none" w:sz="0" w:space="0" w:color="auto"/>
        <w:right w:val="none" w:sz="0" w:space="0" w:color="auto"/>
      </w:divBdr>
    </w:div>
    <w:div w:id="1897160534">
      <w:bodyDiv w:val="1"/>
      <w:marLeft w:val="0"/>
      <w:marRight w:val="0"/>
      <w:marTop w:val="0"/>
      <w:marBottom w:val="0"/>
      <w:divBdr>
        <w:top w:val="none" w:sz="0" w:space="0" w:color="auto"/>
        <w:left w:val="none" w:sz="0" w:space="0" w:color="auto"/>
        <w:bottom w:val="none" w:sz="0" w:space="0" w:color="auto"/>
        <w:right w:val="none" w:sz="0" w:space="0" w:color="auto"/>
      </w:divBdr>
    </w:div>
    <w:div w:id="2107070504">
      <w:bodyDiv w:val="1"/>
      <w:marLeft w:val="0"/>
      <w:marRight w:val="0"/>
      <w:marTop w:val="0"/>
      <w:marBottom w:val="0"/>
      <w:divBdr>
        <w:top w:val="none" w:sz="0" w:space="0" w:color="auto"/>
        <w:left w:val="none" w:sz="0" w:space="0" w:color="auto"/>
        <w:bottom w:val="none" w:sz="0" w:space="0" w:color="auto"/>
        <w:right w:val="none" w:sz="0" w:space="0" w:color="auto"/>
      </w:divBdr>
    </w:div>
    <w:div w:id="21354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publications/development/australias-international-development-polic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8118-1763-4771-825D-EE78255F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3083</Words>
  <Characters>18165</Characters>
  <Application>Microsoft Office Word</Application>
  <DocSecurity>0</DocSecurity>
  <Lines>465</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Links>
    <vt:vector size="6" baseType="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Independent Evaluation of VAHSI</dc:title>
  <dc:subject/>
  <dc:creator/>
  <cp:keywords>[SEC=OFFICIAL]</cp:keywords>
  <dc:description/>
  <cp:lastModifiedBy/>
  <cp:revision>1</cp:revision>
  <dcterms:created xsi:type="dcterms:W3CDTF">2025-06-16T06:48:00Z</dcterms:created>
  <dcterms:modified xsi:type="dcterms:W3CDTF">2025-06-16T06:50:00Z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v=2022.1;a=SHA256;h=867A71FC38BE2555F08F329D2250F4B5AB991B5BE4E77B426D76BBA23DDBE58F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2025-01-21T01:07:10Z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1EAD3876D55A4DA982E32E145588C99F</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D92B428CF5E05CC2018B7EC79D62E177</vt:lpwstr>
  </property>
  <property fmtid="{D5CDD505-2E9C-101B-9397-08002B2CF9AE}" pid="24" name="PM_Hash_Salt">
    <vt:lpwstr>DAE8F38F3717EBFE852698540CB7A3AA</vt:lpwstr>
  </property>
  <property fmtid="{D5CDD505-2E9C-101B-9397-08002B2CF9AE}" pid="25" name="PM_Hash_SHA1">
    <vt:lpwstr>F30164649F82FFD85ACCBD7455D1D77122653333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