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bookmarkStart w:id="0" w:name="_Toc217188839" w:displacedByCustomXml="next"/>
    <w:bookmarkStart w:id="1" w:name="_Toc217188658" w:displacedByCustomXml="next"/>
    <w:sdt>
      <w:sdtPr>
        <w:id w:val="-452780645"/>
        <w:docPartObj>
          <w:docPartGallery w:val="Cover Pages"/>
          <w:docPartUnique/>
        </w:docPartObj>
      </w:sdtPr>
      <w:sdtEndPr/>
      <w:sdtContent>
        <w:p w14:paraId="642E46B6" w14:textId="09BEC213" w:rsidR="000239C8" w:rsidRPr="006B0C6C" w:rsidRDefault="000239C8" w:rsidP="00D32689"/>
        <w:p w14:paraId="5E5B973F" w14:textId="056C6E1B" w:rsidR="000239C8" w:rsidRPr="006B0C6C" w:rsidRDefault="2F638D31" w:rsidP="009D0D58">
          <w:pPr>
            <w:pStyle w:val="Coverpagereport"/>
            <w:spacing w:before="2040"/>
          </w:pPr>
          <w:r w:rsidRPr="006B0C6C">
            <w:t>VAHSI Independent Evaluation</w:t>
          </w:r>
        </w:p>
        <w:p w14:paraId="7AC631A3" w14:textId="4EC2D4A7" w:rsidR="000239C8" w:rsidRPr="006B0C6C" w:rsidRDefault="2F638D31" w:rsidP="4FB23E30">
          <w:pPr>
            <w:pStyle w:val="Coverpagereport"/>
            <w:rPr>
              <w:b w:val="0"/>
            </w:rPr>
          </w:pPr>
          <w:r w:rsidRPr="006B0C6C">
            <w:rPr>
              <w:b w:val="0"/>
            </w:rPr>
            <w:t>Evaluation Report</w:t>
          </w:r>
          <w:r w:rsidR="00FD01A1" w:rsidRPr="006B0C6C">
            <w:rPr>
              <w:b w:val="0"/>
            </w:rPr>
            <w:t xml:space="preserve"> </w:t>
          </w:r>
        </w:p>
        <w:p w14:paraId="1B4DD2EE" w14:textId="77777777" w:rsidR="003D669E" w:rsidRDefault="003D669E" w:rsidP="4FB23E30">
          <w:pPr>
            <w:pStyle w:val="Coverpagereport"/>
            <w:rPr>
              <w:b w:val="0"/>
            </w:rPr>
          </w:pPr>
        </w:p>
        <w:p w14:paraId="742EA1EC" w14:textId="12845C40" w:rsidR="00731A37" w:rsidRPr="00B87255" w:rsidRDefault="003D669E" w:rsidP="4FB23E30">
          <w:pPr>
            <w:pStyle w:val="Coverpagereport"/>
            <w:rPr>
              <w:bCs/>
            </w:rPr>
          </w:pPr>
          <w:r w:rsidRPr="00B87255">
            <w:rPr>
              <w:bCs/>
            </w:rPr>
            <w:t>FINAL</w:t>
          </w:r>
        </w:p>
        <w:p w14:paraId="663BF857" w14:textId="6EEC0844" w:rsidR="000239C8" w:rsidRPr="006B0C6C" w:rsidRDefault="45AD5D2F" w:rsidP="009D0D58">
          <w:pPr>
            <w:pStyle w:val="Coverpagereport"/>
            <w:spacing w:after="8160"/>
            <w:rPr>
              <w:b w:val="0"/>
            </w:rPr>
          </w:pPr>
          <w:r>
            <w:rPr>
              <w:b w:val="0"/>
            </w:rPr>
            <w:t>Date</w:t>
          </w:r>
          <w:r w:rsidR="7BADF305">
            <w:rPr>
              <w:b w:val="0"/>
            </w:rPr>
            <w:t>:</w:t>
          </w:r>
          <w:r>
            <w:rPr>
              <w:b w:val="0"/>
            </w:rPr>
            <w:t xml:space="preserve"> </w:t>
          </w:r>
          <w:r w:rsidR="001E2711">
            <w:rPr>
              <w:b w:val="0"/>
            </w:rPr>
            <w:t>1 April 2025</w:t>
          </w:r>
        </w:p>
        <w:p w14:paraId="66F9D981" w14:textId="77777777" w:rsidR="009D0D58" w:rsidRPr="00680011" w:rsidRDefault="009D0D58" w:rsidP="009D0D58">
          <w:pPr>
            <w:pStyle w:val="Coverpagelogotext"/>
            <w:jc w:val="left"/>
            <w:rPr>
              <w:color w:val="auto"/>
              <w:sz w:val="28"/>
            </w:rPr>
          </w:pPr>
          <w:r w:rsidRPr="00680011">
            <w:rPr>
              <w:color w:val="auto"/>
            </w:rPr>
            <w:t>Strategic input on health to the Australian Government</w:t>
          </w:r>
        </w:p>
        <w:p w14:paraId="14EEE86A" w14:textId="5AE4176D" w:rsidR="000239C8" w:rsidRPr="006B0C6C" w:rsidRDefault="00123F4A" w:rsidP="00D32689"/>
      </w:sdtContent>
    </w:sdt>
    <w:p w14:paraId="2C56DD03" w14:textId="77777777" w:rsidR="000239C8" w:rsidRPr="006B0C6C" w:rsidRDefault="000239C8" w:rsidP="00D32689">
      <w:pPr>
        <w:sectPr w:rsidR="000239C8" w:rsidRPr="006B0C6C" w:rsidSect="004D3DB5">
          <w:footerReference w:type="default" r:id="rId9"/>
          <w:pgSz w:w="11906" w:h="16838" w:code="9"/>
          <w:pgMar w:top="1440" w:right="1440" w:bottom="1440" w:left="1440" w:header="720" w:footer="720" w:gutter="0"/>
          <w:pgNumType w:start="0"/>
          <w:cols w:space="708"/>
          <w:titlePg/>
          <w:docGrid w:linePitch="360"/>
        </w:sectPr>
      </w:pPr>
    </w:p>
    <w:p w14:paraId="775E05D2" w14:textId="3C48D8C6" w:rsidR="000239C8" w:rsidRPr="006B0C6C" w:rsidRDefault="000239C8" w:rsidP="00D32689">
      <w:pPr>
        <w:pStyle w:val="Non-numberedLevel1heading"/>
      </w:pPr>
      <w:bookmarkStart w:id="2" w:name="_Toc479856685"/>
      <w:r>
        <w:lastRenderedPageBreak/>
        <w:t>Executive Summary</w:t>
      </w:r>
      <w:bookmarkEnd w:id="2"/>
      <w:r w:rsidR="007C7B5E">
        <w:t xml:space="preserve"> </w:t>
      </w:r>
    </w:p>
    <w:p w14:paraId="0B96AAE8" w14:textId="6CB98B89" w:rsidR="00D93D6C" w:rsidRPr="006B0C6C" w:rsidRDefault="48B9C92F" w:rsidP="0A544168">
      <w:pPr>
        <w:jc w:val="both"/>
        <w:rPr>
          <w:b/>
          <w:bCs/>
          <w:u w:val="single"/>
        </w:rPr>
      </w:pPr>
      <w:r w:rsidRPr="006B0C6C">
        <w:rPr>
          <w:b/>
          <w:bCs/>
          <w:u w:val="single"/>
        </w:rPr>
        <w:t>Introduction and Background</w:t>
      </w:r>
    </w:p>
    <w:p w14:paraId="61A36F0E" w14:textId="45DB9389" w:rsidR="6459524F" w:rsidRPr="006B0C6C" w:rsidRDefault="6459524F" w:rsidP="0A544168">
      <w:pPr>
        <w:jc w:val="both"/>
      </w:pPr>
      <w:r w:rsidRPr="006B0C6C">
        <w:t xml:space="preserve">The Vaccine Access and Health Security Initiative (VAHSI) was established to support equitable and inclusive access to COVID-19 vaccines in the Indo-Pacific region, tailored to </w:t>
      </w:r>
      <w:r w:rsidR="00727C94" w:rsidRPr="006B0C6C">
        <w:t xml:space="preserve">country </w:t>
      </w:r>
      <w:r w:rsidRPr="006B0C6C">
        <w:t>need and supported by Australian technical expertise (October 2020 – December 2024).</w:t>
      </w:r>
    </w:p>
    <w:p w14:paraId="6B5E724A" w14:textId="339AAA67" w:rsidR="7A8A52D1" w:rsidRPr="006B0C6C" w:rsidRDefault="738B1849" w:rsidP="0A544168">
      <w:pPr>
        <w:jc w:val="both"/>
      </w:pPr>
      <w:r>
        <w:t xml:space="preserve">In 2020 and 2021, the focus of the initiative was procuring and </w:t>
      </w:r>
      <w:r w:rsidR="00473E91">
        <w:t xml:space="preserve">supplying </w:t>
      </w:r>
      <w:r>
        <w:t>COVID-19 vaccines</w:t>
      </w:r>
      <w:r w:rsidR="4063559D">
        <w:t xml:space="preserve"> to countries</w:t>
      </w:r>
      <w:r>
        <w:t xml:space="preserve">. </w:t>
      </w:r>
      <w:r w:rsidR="06754C5F">
        <w:t xml:space="preserve">In 2022, VAHSI’s scope was expanded to include routine and </w:t>
      </w:r>
      <w:r w:rsidR="00473E91">
        <w:t xml:space="preserve">catch-up </w:t>
      </w:r>
      <w:r w:rsidR="06754C5F">
        <w:t>immunisation for other vaccine</w:t>
      </w:r>
      <w:r w:rsidR="0C562487">
        <w:t>-</w:t>
      </w:r>
      <w:r w:rsidR="06754C5F">
        <w:t xml:space="preserve">preventable diseases (VPDs). In that year, </w:t>
      </w:r>
      <w:r>
        <w:t xml:space="preserve">the initiative continued to </w:t>
      </w:r>
      <w:r w:rsidR="00473E91">
        <w:t>supply</w:t>
      </w:r>
      <w:r w:rsidRPr="00CB41E6">
        <w:t xml:space="preserve"> vaccines</w:t>
      </w:r>
      <w:r w:rsidR="18D57F45" w:rsidRPr="00CB41E6">
        <w:t xml:space="preserve"> to countries</w:t>
      </w:r>
      <w:r w:rsidRPr="00CB41E6">
        <w:t xml:space="preserve">, </w:t>
      </w:r>
      <w:proofErr w:type="gramStart"/>
      <w:r w:rsidRPr="00CB41E6">
        <w:t>and also</w:t>
      </w:r>
      <w:proofErr w:type="gramEnd"/>
      <w:r w:rsidRPr="00CB41E6">
        <w:t xml:space="preserve"> </w:t>
      </w:r>
      <w:r w:rsidR="00473E91">
        <w:t>provided delivery support for immunisation activities, and moved programming from an initial rapid response phase to a longer-term response phase</w:t>
      </w:r>
      <w:r w:rsidRPr="00CB41E6">
        <w:t>. In 2023 and 2024, VAHSI focused</w:t>
      </w:r>
      <w:r w:rsidR="06754C5F" w:rsidRPr="00CB41E6">
        <w:t xml:space="preserve"> solely</w:t>
      </w:r>
      <w:r w:rsidRPr="00CB41E6">
        <w:t xml:space="preserve"> on </w:t>
      </w:r>
      <w:r w:rsidR="00473E91">
        <w:t xml:space="preserve">providing delivery support for immunisation activities in-country. </w:t>
      </w:r>
    </w:p>
    <w:p w14:paraId="14CFB780" w14:textId="715AD623" w:rsidR="351B8CC6" w:rsidRPr="00871A72" w:rsidRDefault="351B8CC6" w:rsidP="00133E7C">
      <w:pPr>
        <w:jc w:val="both"/>
        <w:rPr>
          <w:b/>
          <w:iCs/>
          <w:sz w:val="20"/>
          <w:szCs w:val="16"/>
        </w:rPr>
      </w:pPr>
      <w:r w:rsidRPr="00871A72">
        <w:rPr>
          <w:b/>
          <w:iCs/>
          <w:sz w:val="20"/>
          <w:szCs w:val="16"/>
        </w:rPr>
        <w:t>Table 1: Detail of investment in scope for this evaluation</w:t>
      </w:r>
    </w:p>
    <w:tbl>
      <w:tblPr>
        <w:tblStyle w:val="TableGrid"/>
        <w:tblW w:w="0" w:type="auto"/>
        <w:tblLayout w:type="fixed"/>
        <w:tblLook w:val="04A0" w:firstRow="1" w:lastRow="0" w:firstColumn="1" w:lastColumn="0" w:noHBand="0" w:noVBand="1"/>
      </w:tblPr>
      <w:tblGrid>
        <w:gridCol w:w="3822"/>
        <w:gridCol w:w="3117"/>
        <w:gridCol w:w="2076"/>
      </w:tblGrid>
      <w:tr w:rsidR="0A544168" w:rsidRPr="00123E2D" w14:paraId="29E07054" w14:textId="77777777" w:rsidTr="00477706">
        <w:trPr>
          <w:trHeight w:val="300"/>
          <w:tblHeader/>
        </w:trPr>
        <w:tc>
          <w:tcPr>
            <w:tcW w:w="3822" w:type="dxa"/>
            <w:tcBorders>
              <w:top w:val="single" w:sz="8" w:space="0" w:color="auto"/>
              <w:left w:val="single" w:sz="8" w:space="0" w:color="auto"/>
              <w:bottom w:val="single" w:sz="8" w:space="0" w:color="auto"/>
              <w:right w:val="single" w:sz="8" w:space="0" w:color="auto"/>
            </w:tcBorders>
            <w:shd w:val="clear" w:color="auto" w:fill="DA2926" w:themeFill="accent1"/>
            <w:tcMar>
              <w:left w:w="108" w:type="dxa"/>
              <w:right w:w="108" w:type="dxa"/>
            </w:tcMar>
          </w:tcPr>
          <w:p w14:paraId="3CE21022" w14:textId="7A780236" w:rsidR="0A544168" w:rsidRPr="006B0C6C" w:rsidRDefault="0A544168" w:rsidP="0A544168">
            <w:pPr>
              <w:spacing w:after="0"/>
            </w:pPr>
            <w:r w:rsidRPr="006B0C6C">
              <w:rPr>
                <w:rFonts w:ascii="Calibri" w:eastAsia="Calibri" w:hAnsi="Calibri" w:cs="Calibri"/>
                <w:b/>
                <w:bCs/>
                <w:color w:val="FFFFFF" w:themeColor="background1"/>
                <w:szCs w:val="22"/>
              </w:rPr>
              <w:t>Investment</w:t>
            </w:r>
          </w:p>
        </w:tc>
        <w:tc>
          <w:tcPr>
            <w:tcW w:w="3117" w:type="dxa"/>
            <w:tcBorders>
              <w:top w:val="single" w:sz="8" w:space="0" w:color="auto"/>
              <w:left w:val="single" w:sz="8" w:space="0" w:color="auto"/>
              <w:bottom w:val="single" w:sz="8" w:space="0" w:color="auto"/>
              <w:right w:val="single" w:sz="8" w:space="0" w:color="auto"/>
            </w:tcBorders>
            <w:shd w:val="clear" w:color="auto" w:fill="DA2926" w:themeFill="accent1"/>
            <w:tcMar>
              <w:left w:w="108" w:type="dxa"/>
              <w:right w:w="108" w:type="dxa"/>
            </w:tcMar>
          </w:tcPr>
          <w:p w14:paraId="404DBD6B" w14:textId="792F6075" w:rsidR="0A544168" w:rsidRPr="006B0C6C" w:rsidRDefault="0A544168" w:rsidP="0A544168">
            <w:pPr>
              <w:spacing w:after="0"/>
            </w:pPr>
            <w:r w:rsidRPr="006B0C6C">
              <w:rPr>
                <w:rFonts w:ascii="Calibri" w:eastAsia="Calibri" w:hAnsi="Calibri" w:cs="Calibri"/>
                <w:b/>
                <w:bCs/>
                <w:color w:val="FFFFFF" w:themeColor="background1"/>
                <w:szCs w:val="22"/>
              </w:rPr>
              <w:t>Period</w:t>
            </w:r>
          </w:p>
        </w:tc>
        <w:tc>
          <w:tcPr>
            <w:tcW w:w="2076" w:type="dxa"/>
            <w:tcBorders>
              <w:top w:val="single" w:sz="8" w:space="0" w:color="auto"/>
              <w:left w:val="single" w:sz="8" w:space="0" w:color="auto"/>
              <w:bottom w:val="single" w:sz="8" w:space="0" w:color="auto"/>
              <w:right w:val="single" w:sz="8" w:space="0" w:color="auto"/>
            </w:tcBorders>
            <w:shd w:val="clear" w:color="auto" w:fill="DA2926" w:themeFill="accent1"/>
            <w:tcMar>
              <w:left w:w="108" w:type="dxa"/>
              <w:right w:w="108" w:type="dxa"/>
            </w:tcMar>
          </w:tcPr>
          <w:p w14:paraId="76033C0F" w14:textId="174ABF14" w:rsidR="0A544168" w:rsidRPr="006B0C6C" w:rsidRDefault="0A544168" w:rsidP="0A544168">
            <w:pPr>
              <w:spacing w:after="0"/>
            </w:pPr>
            <w:r w:rsidRPr="006B0C6C">
              <w:rPr>
                <w:rFonts w:ascii="Calibri" w:eastAsia="Calibri" w:hAnsi="Calibri" w:cs="Calibri"/>
                <w:b/>
                <w:bCs/>
                <w:color w:val="FFFFFF" w:themeColor="background1"/>
                <w:szCs w:val="22"/>
              </w:rPr>
              <w:t>Funding (AU</w:t>
            </w:r>
            <w:r w:rsidR="00720DBD" w:rsidRPr="006B0C6C">
              <w:rPr>
                <w:rFonts w:ascii="Calibri" w:eastAsia="Calibri" w:hAnsi="Calibri" w:cs="Calibri"/>
                <w:b/>
                <w:bCs/>
                <w:color w:val="FFFFFF" w:themeColor="background1"/>
                <w:szCs w:val="22"/>
              </w:rPr>
              <w:t>D</w:t>
            </w:r>
            <w:r w:rsidRPr="006B0C6C">
              <w:rPr>
                <w:rFonts w:ascii="Calibri" w:eastAsia="Calibri" w:hAnsi="Calibri" w:cs="Calibri"/>
                <w:b/>
                <w:bCs/>
                <w:color w:val="FFFFFF" w:themeColor="background1"/>
                <w:szCs w:val="22"/>
              </w:rPr>
              <w:t xml:space="preserve"> in millions)</w:t>
            </w:r>
          </w:p>
        </w:tc>
      </w:tr>
      <w:tr w:rsidR="0A544168" w:rsidRPr="00123E2D" w14:paraId="75E08A5A" w14:textId="77777777" w:rsidTr="00E4511F">
        <w:trPr>
          <w:trHeight w:val="300"/>
        </w:trPr>
        <w:tc>
          <w:tcPr>
            <w:tcW w:w="3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6EFE51E" w14:textId="22639C85" w:rsidR="0A544168" w:rsidRPr="006B0C6C" w:rsidRDefault="0A544168" w:rsidP="0A544168">
            <w:pPr>
              <w:spacing w:after="0"/>
            </w:pPr>
            <w:r w:rsidRPr="006B0C6C">
              <w:rPr>
                <w:rFonts w:ascii="Calibri" w:eastAsia="Calibri" w:hAnsi="Calibri" w:cs="Calibri"/>
                <w:szCs w:val="22"/>
              </w:rPr>
              <w:t>VAHSI</w:t>
            </w:r>
          </w:p>
        </w:tc>
        <w:tc>
          <w:tcPr>
            <w:tcW w:w="3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6E319E6" w14:textId="1CB82520" w:rsidR="0A544168" w:rsidRPr="006B0C6C" w:rsidRDefault="0A544168" w:rsidP="0A544168">
            <w:pPr>
              <w:spacing w:after="0"/>
            </w:pPr>
            <w:r w:rsidRPr="006B0C6C">
              <w:rPr>
                <w:rFonts w:ascii="Calibri" w:eastAsia="Calibri" w:hAnsi="Calibri" w:cs="Calibri"/>
                <w:szCs w:val="22"/>
              </w:rPr>
              <w:t>FY20-21 to FY24-25</w:t>
            </w:r>
          </w:p>
        </w:tc>
        <w:tc>
          <w:tcPr>
            <w:tcW w:w="20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25960DE" w14:textId="162138BB" w:rsidR="0A544168" w:rsidRPr="006B0C6C" w:rsidRDefault="0A544168" w:rsidP="00727C94">
            <w:pPr>
              <w:spacing w:after="0"/>
              <w:jc w:val="right"/>
            </w:pPr>
            <w:r w:rsidRPr="006B0C6C">
              <w:rPr>
                <w:rFonts w:ascii="Calibri" w:eastAsia="Calibri" w:hAnsi="Calibri" w:cs="Calibri"/>
                <w:szCs w:val="22"/>
              </w:rPr>
              <w:t>523.2</w:t>
            </w:r>
          </w:p>
        </w:tc>
      </w:tr>
      <w:tr w:rsidR="0A544168" w:rsidRPr="00123E2D" w14:paraId="03D1BBC0" w14:textId="77777777" w:rsidTr="0A544168">
        <w:trPr>
          <w:trHeight w:val="300"/>
        </w:trPr>
        <w:tc>
          <w:tcPr>
            <w:tcW w:w="3822" w:type="dxa"/>
            <w:tcBorders>
              <w:top w:val="single" w:sz="8" w:space="0" w:color="auto"/>
              <w:left w:val="single" w:sz="8" w:space="0" w:color="auto"/>
              <w:bottom w:val="single" w:sz="8" w:space="0" w:color="auto"/>
              <w:right w:val="single" w:sz="8" w:space="0" w:color="auto"/>
            </w:tcBorders>
            <w:tcMar>
              <w:left w:w="108" w:type="dxa"/>
              <w:right w:w="108" w:type="dxa"/>
            </w:tcMar>
          </w:tcPr>
          <w:p w14:paraId="797379A9" w14:textId="50263C89" w:rsidR="0A544168" w:rsidRPr="006B0C6C" w:rsidRDefault="004039A2" w:rsidP="0A544168">
            <w:pPr>
              <w:spacing w:after="0"/>
            </w:pPr>
            <w:r>
              <w:rPr>
                <w:rFonts w:ascii="Calibri" w:eastAsia="Calibri" w:hAnsi="Calibri" w:cs="Calibri"/>
                <w:szCs w:val="22"/>
              </w:rPr>
              <w:t xml:space="preserve">Australia’s contribution to the </w:t>
            </w:r>
            <w:r w:rsidR="0A544168" w:rsidRPr="006B0C6C">
              <w:rPr>
                <w:rFonts w:ascii="Calibri" w:eastAsia="Calibri" w:hAnsi="Calibri" w:cs="Calibri"/>
                <w:szCs w:val="22"/>
              </w:rPr>
              <w:t>Quad Vaccine Partnership</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63923D18" w14:textId="7E8AB3A7" w:rsidR="0A544168" w:rsidRPr="006B0C6C" w:rsidRDefault="0A544168" w:rsidP="0A544168">
            <w:pPr>
              <w:spacing w:after="0"/>
            </w:pPr>
            <w:r w:rsidRPr="006B0C6C">
              <w:rPr>
                <w:rFonts w:ascii="Calibri" w:eastAsia="Calibri" w:hAnsi="Calibri" w:cs="Calibri"/>
                <w:szCs w:val="22"/>
              </w:rPr>
              <w:t>FY21-22</w:t>
            </w:r>
          </w:p>
        </w:tc>
        <w:tc>
          <w:tcPr>
            <w:tcW w:w="2076" w:type="dxa"/>
            <w:tcBorders>
              <w:top w:val="single" w:sz="8" w:space="0" w:color="auto"/>
              <w:left w:val="single" w:sz="8" w:space="0" w:color="auto"/>
              <w:bottom w:val="single" w:sz="8" w:space="0" w:color="auto"/>
              <w:right w:val="single" w:sz="8" w:space="0" w:color="auto"/>
            </w:tcBorders>
            <w:tcMar>
              <w:left w:w="108" w:type="dxa"/>
              <w:right w:w="108" w:type="dxa"/>
            </w:tcMar>
          </w:tcPr>
          <w:p w14:paraId="3F110338" w14:textId="145BE5C7" w:rsidR="0A544168" w:rsidRPr="006B0C6C" w:rsidRDefault="0A544168" w:rsidP="00727C94">
            <w:pPr>
              <w:spacing w:after="0"/>
              <w:jc w:val="right"/>
            </w:pPr>
            <w:r w:rsidRPr="006B0C6C">
              <w:rPr>
                <w:rFonts w:ascii="Calibri" w:eastAsia="Calibri" w:hAnsi="Calibri" w:cs="Calibri"/>
                <w:szCs w:val="22"/>
              </w:rPr>
              <w:t>100</w:t>
            </w:r>
            <w:r w:rsidR="00727C94" w:rsidRPr="006B0C6C">
              <w:rPr>
                <w:rFonts w:ascii="Calibri" w:eastAsia="Calibri" w:hAnsi="Calibri" w:cs="Calibri"/>
                <w:szCs w:val="22"/>
              </w:rPr>
              <w:t>.0</w:t>
            </w:r>
          </w:p>
        </w:tc>
      </w:tr>
      <w:tr w:rsidR="0A544168" w:rsidRPr="00123E2D" w14:paraId="74958D05" w14:textId="77777777" w:rsidTr="00E4511F">
        <w:trPr>
          <w:trHeight w:val="300"/>
        </w:trPr>
        <w:tc>
          <w:tcPr>
            <w:tcW w:w="3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F01DDFA" w14:textId="113E8A9D" w:rsidR="0A544168" w:rsidRPr="006B0C6C" w:rsidRDefault="0A544168" w:rsidP="0A544168">
            <w:pPr>
              <w:spacing w:after="0"/>
            </w:pPr>
            <w:r w:rsidRPr="006B0C6C">
              <w:rPr>
                <w:rFonts w:ascii="Calibri" w:eastAsia="Calibri" w:hAnsi="Calibri" w:cs="Calibri"/>
                <w:szCs w:val="22"/>
              </w:rPr>
              <w:t>Bilateral funding contributed to VAHSI delivery support agreement and vaccine procurement (Vietnam)</w:t>
            </w:r>
          </w:p>
        </w:tc>
        <w:tc>
          <w:tcPr>
            <w:tcW w:w="3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2A57493" w14:textId="5B6E97DD" w:rsidR="0A544168" w:rsidRPr="006B0C6C" w:rsidRDefault="0A544168" w:rsidP="0A544168">
            <w:pPr>
              <w:spacing w:after="0"/>
            </w:pPr>
            <w:r w:rsidRPr="006B0C6C">
              <w:rPr>
                <w:rFonts w:ascii="Calibri" w:eastAsia="Calibri" w:hAnsi="Calibri" w:cs="Calibri"/>
                <w:szCs w:val="22"/>
              </w:rPr>
              <w:t>FY20-21 to FY22-23</w:t>
            </w:r>
          </w:p>
        </w:tc>
        <w:tc>
          <w:tcPr>
            <w:tcW w:w="20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56B8E14" w14:textId="6B906CC9" w:rsidR="0A544168" w:rsidRPr="006B0C6C" w:rsidRDefault="0A544168" w:rsidP="00727C94">
            <w:pPr>
              <w:spacing w:after="0"/>
              <w:jc w:val="right"/>
            </w:pPr>
            <w:r w:rsidRPr="006B0C6C">
              <w:rPr>
                <w:rFonts w:ascii="Calibri" w:eastAsia="Calibri" w:hAnsi="Calibri" w:cs="Calibri"/>
                <w:szCs w:val="22"/>
              </w:rPr>
              <w:t>18.2</w:t>
            </w:r>
          </w:p>
        </w:tc>
      </w:tr>
      <w:tr w:rsidR="0A544168" w:rsidRPr="00123E2D" w14:paraId="353F5585" w14:textId="77777777" w:rsidTr="0A544168">
        <w:trPr>
          <w:trHeight w:val="300"/>
        </w:trPr>
        <w:tc>
          <w:tcPr>
            <w:tcW w:w="3822" w:type="dxa"/>
            <w:tcBorders>
              <w:top w:val="single" w:sz="8" w:space="0" w:color="auto"/>
              <w:left w:val="single" w:sz="8" w:space="0" w:color="auto"/>
              <w:bottom w:val="single" w:sz="8" w:space="0" w:color="auto"/>
              <w:right w:val="single" w:sz="8" w:space="0" w:color="auto"/>
            </w:tcBorders>
            <w:tcMar>
              <w:left w:w="108" w:type="dxa"/>
              <w:right w:w="108" w:type="dxa"/>
            </w:tcMar>
          </w:tcPr>
          <w:p w14:paraId="3F954544" w14:textId="36B82458" w:rsidR="0A544168" w:rsidRPr="006B0C6C" w:rsidRDefault="0A544168" w:rsidP="0A544168">
            <w:pPr>
              <w:spacing w:after="0"/>
            </w:pPr>
            <w:r w:rsidRPr="006B0C6C">
              <w:rPr>
                <w:rFonts w:ascii="Calibri" w:eastAsia="Calibri" w:hAnsi="Calibri" w:cs="Calibri"/>
                <w:szCs w:val="22"/>
              </w:rPr>
              <w:t>Bilateral funding contributed to VAHSI delivery support agreement (Laos)</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731F1468" w14:textId="13571C7E" w:rsidR="0A544168" w:rsidRPr="006B0C6C" w:rsidRDefault="0A544168" w:rsidP="0A544168">
            <w:pPr>
              <w:spacing w:after="0"/>
            </w:pPr>
            <w:r w:rsidRPr="006B0C6C">
              <w:rPr>
                <w:rFonts w:ascii="Calibri" w:eastAsia="Calibri" w:hAnsi="Calibri" w:cs="Calibri"/>
                <w:szCs w:val="22"/>
              </w:rPr>
              <w:t>FY20-21</w:t>
            </w:r>
          </w:p>
        </w:tc>
        <w:tc>
          <w:tcPr>
            <w:tcW w:w="2076" w:type="dxa"/>
            <w:tcBorders>
              <w:top w:val="single" w:sz="8" w:space="0" w:color="auto"/>
              <w:left w:val="single" w:sz="8" w:space="0" w:color="auto"/>
              <w:bottom w:val="single" w:sz="8" w:space="0" w:color="auto"/>
              <w:right w:val="single" w:sz="8" w:space="0" w:color="auto"/>
            </w:tcBorders>
            <w:tcMar>
              <w:left w:w="108" w:type="dxa"/>
              <w:right w:w="108" w:type="dxa"/>
            </w:tcMar>
          </w:tcPr>
          <w:p w14:paraId="778AB860" w14:textId="79FA2805" w:rsidR="0A544168" w:rsidRPr="006B0C6C" w:rsidRDefault="0A544168" w:rsidP="00727C94">
            <w:pPr>
              <w:spacing w:after="0"/>
              <w:jc w:val="right"/>
            </w:pPr>
            <w:r w:rsidRPr="006B0C6C">
              <w:rPr>
                <w:rFonts w:ascii="Calibri" w:eastAsia="Calibri" w:hAnsi="Calibri" w:cs="Calibri"/>
                <w:szCs w:val="22"/>
              </w:rPr>
              <w:t>1</w:t>
            </w:r>
            <w:r w:rsidR="00727C94" w:rsidRPr="006B0C6C">
              <w:rPr>
                <w:rFonts w:ascii="Calibri" w:eastAsia="Calibri" w:hAnsi="Calibri" w:cs="Calibri"/>
                <w:szCs w:val="22"/>
              </w:rPr>
              <w:t>.0</w:t>
            </w:r>
          </w:p>
        </w:tc>
      </w:tr>
      <w:tr w:rsidR="0A544168" w:rsidRPr="00123E2D" w14:paraId="38237BF3" w14:textId="77777777" w:rsidTr="007764E3">
        <w:trPr>
          <w:trHeight w:val="300"/>
        </w:trPr>
        <w:tc>
          <w:tcPr>
            <w:tcW w:w="3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72EBE9A" w14:textId="1A74D582" w:rsidR="0A544168" w:rsidRPr="006B0C6C" w:rsidRDefault="0A544168" w:rsidP="0A544168">
            <w:pPr>
              <w:spacing w:after="0"/>
            </w:pPr>
            <w:r w:rsidRPr="006B0C6C">
              <w:rPr>
                <w:rFonts w:ascii="Calibri" w:eastAsia="Calibri" w:hAnsi="Calibri" w:cs="Calibri"/>
                <w:b/>
                <w:bCs/>
                <w:szCs w:val="22"/>
              </w:rPr>
              <w:t>Total Funding</w:t>
            </w:r>
          </w:p>
        </w:tc>
        <w:tc>
          <w:tcPr>
            <w:tcW w:w="3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3103B5E" w14:textId="0CFEA7CA" w:rsidR="0A544168" w:rsidRPr="006B0C6C" w:rsidRDefault="0A544168" w:rsidP="0A544168">
            <w:pPr>
              <w:spacing w:after="0"/>
            </w:pPr>
            <w:r w:rsidRPr="006B0C6C">
              <w:rPr>
                <w:rFonts w:ascii="Calibri" w:eastAsia="Calibri" w:hAnsi="Calibri" w:cs="Calibri"/>
                <w:szCs w:val="22"/>
              </w:rPr>
              <w:t>FY20-25</w:t>
            </w:r>
          </w:p>
        </w:tc>
        <w:tc>
          <w:tcPr>
            <w:tcW w:w="20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40DF56D" w14:textId="677CDDDB" w:rsidR="0A544168" w:rsidRPr="006B0C6C" w:rsidRDefault="0A544168" w:rsidP="00727C94">
            <w:pPr>
              <w:spacing w:after="0"/>
              <w:jc w:val="right"/>
            </w:pPr>
            <w:r w:rsidRPr="006B0C6C">
              <w:rPr>
                <w:rFonts w:ascii="Calibri" w:eastAsia="Calibri" w:hAnsi="Calibri" w:cs="Calibri"/>
                <w:szCs w:val="22"/>
              </w:rPr>
              <w:t>642.4</w:t>
            </w:r>
          </w:p>
        </w:tc>
      </w:tr>
    </w:tbl>
    <w:p w14:paraId="52B2DA9B" w14:textId="1088A225" w:rsidR="351B8CC6" w:rsidRPr="006B0C6C" w:rsidRDefault="351B8CC6" w:rsidP="0A544168">
      <w:pPr>
        <w:jc w:val="both"/>
      </w:pPr>
      <w:r w:rsidRPr="006B0C6C">
        <w:rPr>
          <w:rFonts w:ascii="Calibri" w:eastAsia="Calibri" w:hAnsi="Calibri" w:cs="Calibri"/>
          <w:szCs w:val="22"/>
        </w:rPr>
        <w:t xml:space="preserve"> </w:t>
      </w:r>
    </w:p>
    <w:p w14:paraId="711A42F6" w14:textId="43CD8A9A" w:rsidR="351B8CC6" w:rsidRPr="006B0C6C" w:rsidRDefault="351B8CC6" w:rsidP="0A544168">
      <w:pPr>
        <w:jc w:val="both"/>
      </w:pPr>
      <w:r w:rsidRPr="006B0C6C">
        <w:rPr>
          <w:rFonts w:ascii="Calibri" w:eastAsia="Calibri" w:hAnsi="Calibri" w:cs="Calibri"/>
          <w:szCs w:val="22"/>
        </w:rPr>
        <w:t>The three components of VAHSI are:</w:t>
      </w:r>
    </w:p>
    <w:p w14:paraId="2705975C" w14:textId="08633EF4" w:rsidR="351B8CC6" w:rsidRPr="00123E2D" w:rsidRDefault="351B8CC6" w:rsidP="33FE3C21">
      <w:pPr>
        <w:pStyle w:val="ListParagraph"/>
        <w:spacing w:after="0"/>
        <w:ind w:left="820"/>
        <w:jc w:val="both"/>
        <w:rPr>
          <w:rFonts w:ascii="Calibri" w:eastAsia="Calibri" w:hAnsi="Calibri" w:cs="Calibri"/>
          <w:lang w:val="en-AU"/>
        </w:rPr>
      </w:pPr>
      <w:r w:rsidRPr="62CC2B41">
        <w:rPr>
          <w:rFonts w:ascii="Calibri" w:eastAsia="Calibri" w:hAnsi="Calibri" w:cs="Calibri"/>
          <w:b/>
          <w:bCs/>
          <w:lang w:val="en-AU"/>
        </w:rPr>
        <w:t>COVID-19 vaccine access</w:t>
      </w:r>
      <w:r w:rsidRPr="62CC2B41">
        <w:rPr>
          <w:rFonts w:ascii="Calibri" w:eastAsia="Calibri" w:hAnsi="Calibri" w:cs="Calibri"/>
          <w:lang w:val="en-AU"/>
        </w:rPr>
        <w:t>: delivery of doses from Australia’s domestic supply and through regional procurement arrangements with UNICEF. In Southeast Asia (SEA) this was supplemented by funding</w:t>
      </w:r>
      <w:r w:rsidR="00B6085E">
        <w:rPr>
          <w:rFonts w:ascii="Calibri" w:eastAsia="Calibri" w:hAnsi="Calibri" w:cs="Calibri"/>
          <w:lang w:val="en-AU"/>
        </w:rPr>
        <w:t xml:space="preserve"> committed as part of Australia’s contribution to the Quad Vaccine Partnership</w:t>
      </w:r>
      <w:r w:rsidRPr="62CC2B41">
        <w:rPr>
          <w:rFonts w:ascii="Calibri" w:eastAsia="Calibri" w:hAnsi="Calibri" w:cs="Calibri"/>
          <w:lang w:val="en-AU"/>
        </w:rPr>
        <w:t>.</w:t>
      </w:r>
    </w:p>
    <w:p w14:paraId="6369B636" w14:textId="0A4282F7" w:rsidR="351B8CC6" w:rsidRPr="00123E2D" w:rsidRDefault="49FDB789" w:rsidP="33FE3C21">
      <w:pPr>
        <w:pStyle w:val="ListParagraph"/>
        <w:spacing w:after="0"/>
        <w:ind w:left="820"/>
        <w:jc w:val="both"/>
        <w:rPr>
          <w:rFonts w:ascii="Calibri" w:eastAsia="Calibri" w:hAnsi="Calibri" w:cs="Calibri"/>
          <w:lang w:val="en-AU"/>
        </w:rPr>
      </w:pPr>
      <w:r w:rsidRPr="33FE3C21">
        <w:rPr>
          <w:rFonts w:ascii="Calibri" w:eastAsia="Calibri" w:hAnsi="Calibri" w:cs="Calibri"/>
          <w:b/>
          <w:bCs/>
          <w:lang w:val="en-AU"/>
        </w:rPr>
        <w:t>In-country d</w:t>
      </w:r>
      <w:r w:rsidR="351B8CC6" w:rsidRPr="33FE3C21">
        <w:rPr>
          <w:rFonts w:ascii="Calibri" w:eastAsia="Calibri" w:hAnsi="Calibri" w:cs="Calibri"/>
          <w:b/>
          <w:bCs/>
          <w:lang w:val="en-AU"/>
        </w:rPr>
        <w:t>elivery support</w:t>
      </w:r>
      <w:r w:rsidR="351B8CC6" w:rsidRPr="33FE3C21">
        <w:rPr>
          <w:rFonts w:ascii="Calibri" w:eastAsia="Calibri" w:hAnsi="Calibri" w:cs="Calibri"/>
          <w:lang w:val="en-AU"/>
        </w:rPr>
        <w:t xml:space="preserve">: Tailored assistance to partner countries’ national COVID-19 vaccination programs, including technical advice to national regulators, support for public communication campaigns, cold chain infrastructure, and other logistics capacity. In SEA this was supplemented by </w:t>
      </w:r>
      <w:r w:rsidR="00720DBD" w:rsidRPr="33FE3C21">
        <w:rPr>
          <w:rFonts w:ascii="Calibri" w:eastAsia="Calibri" w:hAnsi="Calibri" w:cs="Calibri"/>
          <w:lang w:val="en-AU"/>
        </w:rPr>
        <w:t>AUD</w:t>
      </w:r>
      <w:r w:rsidR="351B8CC6" w:rsidRPr="33FE3C21">
        <w:rPr>
          <w:rFonts w:ascii="Calibri" w:eastAsia="Calibri" w:hAnsi="Calibri" w:cs="Calibri"/>
          <w:lang w:val="en-AU"/>
        </w:rPr>
        <w:t xml:space="preserve">24 million </w:t>
      </w:r>
      <w:r w:rsidR="00B6085E">
        <w:rPr>
          <w:rFonts w:ascii="Calibri" w:eastAsia="Calibri" w:hAnsi="Calibri" w:cs="Calibri"/>
          <w:lang w:val="en-AU"/>
        </w:rPr>
        <w:t xml:space="preserve">allocated as part of Australia’s contribution to the </w:t>
      </w:r>
      <w:r w:rsidR="351B8CC6" w:rsidRPr="33FE3C21">
        <w:rPr>
          <w:rFonts w:ascii="Calibri" w:eastAsia="Calibri" w:hAnsi="Calibri" w:cs="Calibri"/>
          <w:lang w:val="en-AU"/>
        </w:rPr>
        <w:t>Quad</w:t>
      </w:r>
      <w:r w:rsidR="00B6085E">
        <w:rPr>
          <w:rFonts w:ascii="Calibri" w:eastAsia="Calibri" w:hAnsi="Calibri" w:cs="Calibri"/>
          <w:lang w:val="en-AU"/>
        </w:rPr>
        <w:t xml:space="preserve"> Vaccine Partnership</w:t>
      </w:r>
      <w:r w:rsidR="007A4396" w:rsidRPr="33FE3C21">
        <w:rPr>
          <w:rFonts w:ascii="Calibri" w:eastAsia="Calibri" w:hAnsi="Calibri" w:cs="Calibri"/>
          <w:lang w:val="en-AU"/>
        </w:rPr>
        <w:t>.</w:t>
      </w:r>
    </w:p>
    <w:p w14:paraId="718C3218" w14:textId="2DE8DD1D" w:rsidR="004B6BA0" w:rsidRDefault="351B8CC6" w:rsidP="006B0C6C">
      <w:pPr>
        <w:pStyle w:val="ListParagraph"/>
        <w:spacing w:after="80"/>
        <w:ind w:left="816" w:hanging="357"/>
        <w:jc w:val="both"/>
        <w:rPr>
          <w:rFonts w:ascii="Calibri" w:eastAsia="Calibri" w:hAnsi="Calibri" w:cs="Calibri"/>
          <w:szCs w:val="22"/>
          <w:lang w:val="en-AU"/>
        </w:rPr>
      </w:pPr>
      <w:r w:rsidRPr="00123E2D">
        <w:rPr>
          <w:rFonts w:ascii="Calibri" w:eastAsia="Calibri" w:hAnsi="Calibri" w:cs="Calibri"/>
          <w:b/>
          <w:bCs/>
          <w:szCs w:val="22"/>
          <w:lang w:val="en-AU"/>
        </w:rPr>
        <w:t>Regional health security architecture</w:t>
      </w:r>
      <w:r w:rsidRPr="00123E2D">
        <w:rPr>
          <w:rFonts w:ascii="Calibri" w:eastAsia="Calibri" w:hAnsi="Calibri" w:cs="Calibri"/>
          <w:szCs w:val="22"/>
          <w:lang w:val="en-AU"/>
        </w:rPr>
        <w:t xml:space="preserve">:  VAHSI allocated </w:t>
      </w:r>
      <w:r w:rsidR="00720DBD" w:rsidRPr="00123E2D">
        <w:rPr>
          <w:rFonts w:ascii="Calibri" w:eastAsia="Calibri" w:hAnsi="Calibri" w:cs="Calibri"/>
          <w:szCs w:val="22"/>
          <w:lang w:val="en-AU"/>
        </w:rPr>
        <w:t>AUD</w:t>
      </w:r>
      <w:r w:rsidRPr="00123E2D">
        <w:rPr>
          <w:rFonts w:ascii="Calibri" w:eastAsia="Calibri" w:hAnsi="Calibri" w:cs="Calibri"/>
          <w:szCs w:val="22"/>
          <w:lang w:val="en-AU"/>
        </w:rPr>
        <w:t>21 million to establish an ASEAN Centre for Public Health Emergencies and Emerging Diseases (ACPHEED) to help SEA prepare for and respond to future pandemics. The establishment of ACPHEED is being implemented separately and on a longer-term timeline than other VAHSI activities and is therefore not in scope for this review.</w:t>
      </w:r>
    </w:p>
    <w:p w14:paraId="3CE9D68B" w14:textId="6E067D31" w:rsidR="001A33CA" w:rsidRPr="00D0772F" w:rsidRDefault="7DF356C5" w:rsidP="0A544168">
      <w:pPr>
        <w:jc w:val="both"/>
        <w:rPr>
          <w:rFonts w:ascii="Calibri" w:eastAsia="Calibri" w:hAnsi="Calibri" w:cs="Calibri"/>
        </w:rPr>
      </w:pPr>
      <w:r w:rsidRPr="006B0C6C">
        <w:rPr>
          <w:rFonts w:ascii="Calibri" w:eastAsia="Calibri" w:hAnsi="Calibri" w:cs="Calibri"/>
        </w:rPr>
        <w:lastRenderedPageBreak/>
        <w:t xml:space="preserve">Recognising that structural inequality results in some communities being more vulnerable than others, </w:t>
      </w:r>
      <w:r w:rsidR="5CB9C98B" w:rsidRPr="006B0C6C">
        <w:rPr>
          <w:rFonts w:ascii="Calibri" w:eastAsia="Calibri" w:hAnsi="Calibri" w:cs="Calibri"/>
        </w:rPr>
        <w:t>the Australian Government Department of Foreign Affairs and Trade (</w:t>
      </w:r>
      <w:r w:rsidRPr="006B0C6C">
        <w:rPr>
          <w:rFonts w:ascii="Calibri" w:eastAsia="Calibri" w:hAnsi="Calibri" w:cs="Calibri"/>
        </w:rPr>
        <w:t>DFAT</w:t>
      </w:r>
      <w:r w:rsidR="0F20E857" w:rsidRPr="006B0C6C">
        <w:rPr>
          <w:rFonts w:ascii="Calibri" w:eastAsia="Calibri" w:hAnsi="Calibri" w:cs="Calibri"/>
        </w:rPr>
        <w:t>)</w:t>
      </w:r>
      <w:r w:rsidRPr="006B0C6C">
        <w:rPr>
          <w:rFonts w:ascii="Calibri" w:eastAsia="Calibri" w:hAnsi="Calibri" w:cs="Calibri"/>
        </w:rPr>
        <w:t xml:space="preserve"> worked with </w:t>
      </w:r>
      <w:r w:rsidR="007B523B">
        <w:rPr>
          <w:rFonts w:ascii="Calibri" w:eastAsia="Calibri" w:hAnsi="Calibri" w:cs="Calibri"/>
        </w:rPr>
        <w:t xml:space="preserve">delivery </w:t>
      </w:r>
      <w:r w:rsidR="00473E91">
        <w:rPr>
          <w:rFonts w:ascii="Calibri" w:eastAsia="Calibri" w:hAnsi="Calibri" w:cs="Calibri"/>
        </w:rPr>
        <w:t xml:space="preserve">support </w:t>
      </w:r>
      <w:r w:rsidRPr="006B0C6C">
        <w:rPr>
          <w:rFonts w:ascii="Calibri" w:eastAsia="Calibri" w:hAnsi="Calibri" w:cs="Calibri"/>
        </w:rPr>
        <w:t xml:space="preserve">partners to advocate for and support equitable and meaningful engagement with diverse stakeholders in planning and safely delivering vaccines and engaging diverse communities through inclusive communications. The end of program outcome for VAHSI reflected the prioritisation of the goal of </w:t>
      </w:r>
      <w:r w:rsidRPr="006B0C6C">
        <w:rPr>
          <w:rFonts w:ascii="Calibri" w:eastAsia="Calibri" w:hAnsi="Calibri" w:cs="Calibri"/>
          <w:i/>
          <w:iCs/>
        </w:rPr>
        <w:t>inclusive</w:t>
      </w:r>
      <w:r w:rsidRPr="006B0C6C">
        <w:rPr>
          <w:rFonts w:ascii="Calibri" w:eastAsia="Calibri" w:hAnsi="Calibri" w:cs="Calibri"/>
        </w:rPr>
        <w:t xml:space="preserve"> recovery.</w:t>
      </w:r>
    </w:p>
    <w:p w14:paraId="6FA00247" w14:textId="5B56DB01" w:rsidR="48B9C92F" w:rsidRPr="006B0C6C" w:rsidRDefault="48B9C92F" w:rsidP="0A544168">
      <w:pPr>
        <w:jc w:val="both"/>
        <w:rPr>
          <w:b/>
          <w:bCs/>
          <w:u w:val="single"/>
        </w:rPr>
      </w:pPr>
      <w:r w:rsidRPr="006B0C6C">
        <w:rPr>
          <w:b/>
          <w:bCs/>
          <w:u w:val="single"/>
        </w:rPr>
        <w:t xml:space="preserve">Evaluation </w:t>
      </w:r>
      <w:r w:rsidR="006906C7">
        <w:rPr>
          <w:b/>
          <w:bCs/>
          <w:u w:val="single"/>
        </w:rPr>
        <w:t>d</w:t>
      </w:r>
      <w:r w:rsidRPr="006B0C6C">
        <w:rPr>
          <w:b/>
          <w:bCs/>
          <w:u w:val="single"/>
        </w:rPr>
        <w:t>esign and methodology</w:t>
      </w:r>
    </w:p>
    <w:p w14:paraId="7A1A6820" w14:textId="7F39337C" w:rsidR="3AD38176" w:rsidRPr="006B0C6C" w:rsidRDefault="3AD38176" w:rsidP="0A544168">
      <w:pPr>
        <w:jc w:val="both"/>
      </w:pPr>
      <w:r w:rsidRPr="006B0C6C">
        <w:t xml:space="preserve">The evaluation has been designed to assess the performance of VAHSI, including co-programmed </w:t>
      </w:r>
      <w:r w:rsidR="0092462B">
        <w:t xml:space="preserve">support delivered as part of Australia’s contribution to the </w:t>
      </w:r>
      <w:r w:rsidRPr="006B0C6C">
        <w:t xml:space="preserve">Quad </w:t>
      </w:r>
      <w:r w:rsidR="0092462B">
        <w:t xml:space="preserve">Vaccine Partnership </w:t>
      </w:r>
      <w:r w:rsidRPr="006B0C6C">
        <w:t xml:space="preserve">and bilateral funding, where these contributed to COVID-19 vaccine access and delivery support activities (excluding ACPHEED establishment). </w:t>
      </w:r>
      <w:r w:rsidR="2799613E" w:rsidRPr="006B0C6C">
        <w:t>The evaluation questions are:</w:t>
      </w:r>
    </w:p>
    <w:p w14:paraId="5131E764" w14:textId="21C5EBD4" w:rsidR="2799613E" w:rsidRPr="006B0C6C" w:rsidRDefault="2799613E" w:rsidP="00C30814">
      <w:pPr>
        <w:pStyle w:val="ListParagraph"/>
        <w:numPr>
          <w:ilvl w:val="0"/>
          <w:numId w:val="6"/>
        </w:numPr>
        <w:jc w:val="both"/>
        <w:rPr>
          <w:lang w:val="en-AU"/>
        </w:rPr>
      </w:pPr>
      <w:r w:rsidRPr="006B0C6C">
        <w:rPr>
          <w:b/>
          <w:bCs/>
          <w:lang w:val="en-AU"/>
        </w:rPr>
        <w:t>EQ1</w:t>
      </w:r>
      <w:r w:rsidR="2E0A8585" w:rsidRPr="006B0C6C">
        <w:rPr>
          <w:rFonts w:ascii="Calibri" w:eastAsia="Calibri" w:hAnsi="Calibri" w:cs="Calibri"/>
          <w:lang w:val="en-AU"/>
        </w:rPr>
        <w:t xml:space="preserve"> - How did VAHSI contribute to safe, effective and accessible COVID-19 vaccine supply; and promote COVID-19 and routine immunisation coverage in line with partner country plans in the Indo-Pacific Region? (Effectiveness – EOPO1 and EOPO2)</w:t>
      </w:r>
    </w:p>
    <w:p w14:paraId="37578EB2" w14:textId="4F1D5CA9" w:rsidR="2799613E" w:rsidRPr="006B0C6C" w:rsidRDefault="2799613E" w:rsidP="0A544168">
      <w:pPr>
        <w:pStyle w:val="ListParagraph"/>
        <w:jc w:val="both"/>
        <w:rPr>
          <w:lang w:val="en-AU"/>
        </w:rPr>
      </w:pPr>
      <w:r w:rsidRPr="006B0C6C">
        <w:rPr>
          <w:b/>
          <w:bCs/>
          <w:lang w:val="en-AU"/>
        </w:rPr>
        <w:t>EQ2</w:t>
      </w:r>
      <w:r w:rsidR="3E4FA27F" w:rsidRPr="006B0C6C">
        <w:rPr>
          <w:lang w:val="en-AU"/>
        </w:rPr>
        <w:t xml:space="preserve"> </w:t>
      </w:r>
      <w:r w:rsidR="3E4FA27F" w:rsidRPr="006B0C6C">
        <w:rPr>
          <w:rFonts w:ascii="Calibri" w:eastAsia="Calibri" w:hAnsi="Calibri" w:cs="Calibri"/>
          <w:lang w:val="en-AU"/>
        </w:rPr>
        <w:t>- How did Australia’s support contribute to stronger relationships between Australia and partner governments? Are there aspects of the support that have been more valued than others, and why? (Effectiveness – EOPO3)</w:t>
      </w:r>
    </w:p>
    <w:p w14:paraId="571FE725" w14:textId="0CB012BF" w:rsidR="2799613E" w:rsidRPr="006B0C6C" w:rsidRDefault="2799613E" w:rsidP="0A544168">
      <w:pPr>
        <w:pStyle w:val="ListParagraph"/>
        <w:jc w:val="both"/>
        <w:rPr>
          <w:lang w:val="en-AU"/>
        </w:rPr>
      </w:pPr>
      <w:r w:rsidRPr="006B0C6C">
        <w:rPr>
          <w:b/>
          <w:bCs/>
          <w:lang w:val="en-AU"/>
        </w:rPr>
        <w:t>EQ3</w:t>
      </w:r>
      <w:r w:rsidR="4E513079" w:rsidRPr="006B0C6C">
        <w:rPr>
          <w:rFonts w:ascii="Calibri" w:eastAsia="Calibri" w:hAnsi="Calibri" w:cs="Calibri"/>
          <w:lang w:val="en-AU"/>
        </w:rPr>
        <w:t xml:space="preserve"> - How has VAHSI made efficient use of Australia and partners’ time, money and resources to achieve outputs and expected outcomes? Was the modality an appropriate mechanism to respond to regional and partner government needs? (Efficiency)</w:t>
      </w:r>
    </w:p>
    <w:p w14:paraId="0E0DC9D3" w14:textId="6ED75795" w:rsidR="2799613E" w:rsidRPr="006B0C6C" w:rsidRDefault="2799613E" w:rsidP="0A544168">
      <w:pPr>
        <w:pStyle w:val="ListParagraph"/>
        <w:jc w:val="both"/>
        <w:rPr>
          <w:rFonts w:ascii="Calibri" w:eastAsia="Calibri" w:hAnsi="Calibri" w:cs="Calibri"/>
          <w:lang w:val="en-AU"/>
        </w:rPr>
      </w:pPr>
      <w:r w:rsidRPr="006B0C6C">
        <w:rPr>
          <w:b/>
          <w:bCs/>
          <w:lang w:val="en-AU"/>
        </w:rPr>
        <w:t>EQ4</w:t>
      </w:r>
      <w:r w:rsidR="7FD6CC3A" w:rsidRPr="006B0C6C">
        <w:rPr>
          <w:rFonts w:ascii="Calibri" w:eastAsia="Calibri" w:hAnsi="Calibri" w:cs="Calibri"/>
          <w:lang w:val="en-AU"/>
        </w:rPr>
        <w:t xml:space="preserve"> - To what extent was VAHSI effective in promoting and progressing gender equality and supporting disability equality and social inclusion processes and outcomes?</w:t>
      </w:r>
    </w:p>
    <w:p w14:paraId="31A717B8" w14:textId="212D87CA" w:rsidR="7388A156" w:rsidRPr="006B0C6C" w:rsidRDefault="2799613E" w:rsidP="0A544168">
      <w:pPr>
        <w:pStyle w:val="ListParagraph"/>
        <w:jc w:val="both"/>
        <w:rPr>
          <w:lang w:val="en-AU"/>
        </w:rPr>
      </w:pPr>
      <w:r w:rsidRPr="006B0C6C">
        <w:rPr>
          <w:b/>
          <w:bCs/>
          <w:lang w:val="en-AU"/>
        </w:rPr>
        <w:t>EQ5</w:t>
      </w:r>
      <w:r w:rsidR="1F73198B" w:rsidRPr="006B0C6C">
        <w:rPr>
          <w:rFonts w:ascii="Calibri" w:eastAsia="Calibri" w:hAnsi="Calibri" w:cs="Calibri"/>
          <w:lang w:val="en-AU"/>
        </w:rPr>
        <w:t xml:space="preserve"> - What lessons can be identified that could inform design and implementation of future large-scale regional health emergency response programs, including on GEDSI? (Lessons for future programs)</w:t>
      </w:r>
    </w:p>
    <w:p w14:paraId="40B80BA5" w14:textId="47050F63" w:rsidR="3AD38176" w:rsidRPr="006B0C6C" w:rsidRDefault="14DCB88E" w:rsidP="0A544168">
      <w:pPr>
        <w:jc w:val="both"/>
      </w:pPr>
      <w:r w:rsidRPr="006B0C6C">
        <w:t xml:space="preserve">The evaluation </w:t>
      </w:r>
      <w:r w:rsidR="0F312266" w:rsidRPr="006B0C6C">
        <w:t>is</w:t>
      </w:r>
      <w:r w:rsidRPr="006B0C6C">
        <w:t xml:space="preserve"> both summative and formative in design to assess effectiveness and efficiency and t</w:t>
      </w:r>
      <w:r w:rsidR="4D34F761" w:rsidRPr="006B0C6C">
        <w:t xml:space="preserve">o </w:t>
      </w:r>
      <w:r w:rsidR="004B6BA0" w:rsidRPr="006B0C6C">
        <w:t xml:space="preserve">identify </w:t>
      </w:r>
      <w:r w:rsidR="4D34F761" w:rsidRPr="006B0C6C">
        <w:t xml:space="preserve">lessons for future programs, </w:t>
      </w:r>
      <w:proofErr w:type="gramStart"/>
      <w:r w:rsidR="4D34F761" w:rsidRPr="006B0C6C">
        <w:t>in particular in</w:t>
      </w:r>
      <w:proofErr w:type="gramEnd"/>
      <w:r w:rsidR="4D34F761" w:rsidRPr="006B0C6C">
        <w:t xml:space="preserve"> health emergencies.</w:t>
      </w:r>
    </w:p>
    <w:p w14:paraId="131D9AD2" w14:textId="2A0A21EC" w:rsidR="001A33CA" w:rsidRPr="00D0772F" w:rsidRDefault="1402E081" w:rsidP="00D0772F">
      <w:pPr>
        <w:jc w:val="both"/>
      </w:pPr>
      <w:r w:rsidRPr="006B0C6C">
        <w:t xml:space="preserve">A desk review of relevant documentation (including partner reporting) and key informant interviews were used to </w:t>
      </w:r>
      <w:r w:rsidR="008C6DF6" w:rsidRPr="006B0C6C">
        <w:t xml:space="preserve">gather </w:t>
      </w:r>
      <w:r w:rsidR="004B6BA0" w:rsidRPr="006B0C6C">
        <w:t xml:space="preserve">and collate </w:t>
      </w:r>
      <w:r w:rsidR="008C6DF6" w:rsidRPr="006B0C6C">
        <w:t>evidence</w:t>
      </w:r>
      <w:r w:rsidRPr="006B0C6C">
        <w:t>.</w:t>
      </w:r>
    </w:p>
    <w:p w14:paraId="66064497" w14:textId="71D8540E" w:rsidR="48B9C92F" w:rsidRPr="006B0C6C" w:rsidRDefault="2ED771D2" w:rsidP="7388A156">
      <w:pPr>
        <w:rPr>
          <w:b/>
          <w:bCs/>
          <w:u w:val="single"/>
        </w:rPr>
      </w:pPr>
      <w:r w:rsidRPr="006B0C6C">
        <w:rPr>
          <w:b/>
          <w:bCs/>
          <w:u w:val="single"/>
        </w:rPr>
        <w:t>Findings</w:t>
      </w:r>
    </w:p>
    <w:p w14:paraId="494F9094" w14:textId="2CBE8074" w:rsidR="51D2F4F1" w:rsidRPr="008632B5" w:rsidRDefault="2ED771D2" w:rsidP="0A544168">
      <w:pPr>
        <w:rPr>
          <w:b/>
          <w:bCs/>
        </w:rPr>
      </w:pPr>
      <w:r w:rsidRPr="008632B5">
        <w:rPr>
          <w:b/>
          <w:bCs/>
        </w:rPr>
        <w:t>EQ1</w:t>
      </w:r>
      <w:r w:rsidR="09CCAE9A" w:rsidRPr="008632B5">
        <w:rPr>
          <w:b/>
          <w:bCs/>
        </w:rPr>
        <w:t xml:space="preserve"> – Effectiveness (EOPO1 &amp; EOPO2)</w:t>
      </w:r>
    </w:p>
    <w:p w14:paraId="2C39C869" w14:textId="2DDD2988" w:rsidR="5B9115EB" w:rsidRPr="008632B5" w:rsidRDefault="5B9115EB" w:rsidP="5EB2BCB1">
      <w:pPr>
        <w:rPr>
          <w:i/>
          <w:iCs/>
        </w:rPr>
      </w:pPr>
      <w:r w:rsidRPr="008632B5">
        <w:rPr>
          <w:i/>
          <w:iCs/>
        </w:rPr>
        <w:t>EOPO1 – Partner governments expand COVID-19 vaccine coverage in a safe and timely manner</w:t>
      </w:r>
    </w:p>
    <w:p w14:paraId="717FB346" w14:textId="112B4D17" w:rsidR="5B9115EB" w:rsidRPr="006B0C6C" w:rsidRDefault="5B9115EB" w:rsidP="5EB2BCB1">
      <w:pPr>
        <w:rPr>
          <w:b/>
          <w:bCs/>
        </w:rPr>
      </w:pPr>
      <w:r w:rsidRPr="008632B5">
        <w:rPr>
          <w:i/>
          <w:iCs/>
        </w:rPr>
        <w:t>EOPO2 – Target populations access vaccination in accordance with each partner country’s COVID-19 National Deployment and Vaccination Plan</w:t>
      </w:r>
      <w:r w:rsidRPr="006B0C6C">
        <w:rPr>
          <w:b/>
          <w:bCs/>
        </w:rPr>
        <w:t xml:space="preserve"> </w:t>
      </w:r>
    </w:p>
    <w:p w14:paraId="4B378CBF" w14:textId="0BE976F9" w:rsidR="005D5F22" w:rsidRDefault="0809F3F5" w:rsidP="0168391D">
      <w:pPr>
        <w:spacing w:after="0"/>
        <w:jc w:val="both"/>
      </w:pPr>
      <w:r>
        <w:t>There is substantial evidence of the effectiveness of VAHSI, both in terms of safe, effective and accessible COVID-19 vaccine supply, and in the promot</w:t>
      </w:r>
      <w:r w:rsidR="4705C793">
        <w:t>ion of COVID-19 and routine immunisation coverage in line with partner country plans in the Indo-Pacific region. End-of-program-outcomes (</w:t>
      </w:r>
      <w:r>
        <w:t>EOPOs</w:t>
      </w:r>
      <w:r w:rsidR="250A98E9">
        <w:t>)</w:t>
      </w:r>
      <w:r>
        <w:t xml:space="preserve"> 1 and 2 are largely on track to be achieved. </w:t>
      </w:r>
      <w:r w:rsidR="156CCAE3" w:rsidRPr="62CC2B41">
        <w:rPr>
          <w:rFonts w:ascii="Calibri" w:eastAsia="Calibri" w:hAnsi="Calibri" w:cs="Calibri"/>
        </w:rPr>
        <w:t xml:space="preserve">With </w:t>
      </w:r>
      <w:r w:rsidR="003F7177" w:rsidRPr="003F7177">
        <w:rPr>
          <w:rFonts w:ascii="Calibri" w:eastAsia="Calibri" w:hAnsi="Calibri" w:cs="Calibri"/>
        </w:rPr>
        <w:t>52,078,270</w:t>
      </w:r>
      <w:r w:rsidR="003F7177">
        <w:rPr>
          <w:rFonts w:ascii="Calibri" w:eastAsia="Calibri" w:hAnsi="Calibri" w:cs="Calibri"/>
        </w:rPr>
        <w:t xml:space="preserve"> </w:t>
      </w:r>
      <w:r w:rsidR="156CCAE3" w:rsidRPr="62CC2B41">
        <w:rPr>
          <w:rFonts w:ascii="Calibri" w:eastAsia="Calibri" w:hAnsi="Calibri" w:cs="Calibri"/>
        </w:rPr>
        <w:t>COVID-19 vaccine doses provided between March 2021 and May 2024, t</w:t>
      </w:r>
      <w:r>
        <w:t xml:space="preserve">he COVID-19 vaccine supply effectively supported </w:t>
      </w:r>
      <w:r w:rsidR="1A514263">
        <w:t xml:space="preserve">partner </w:t>
      </w:r>
      <w:r>
        <w:lastRenderedPageBreak/>
        <w:t xml:space="preserve">countries. VAHSI vaccine delivery support activities were generally </w:t>
      </w:r>
      <w:r w:rsidR="2C85A0A5">
        <w:t>p</w:t>
      </w:r>
      <w:r w:rsidR="763FCB43">
        <w:t>e</w:t>
      </w:r>
      <w:r w:rsidR="16FE5360">
        <w:t>rform</w:t>
      </w:r>
      <w:r w:rsidR="763FCB43">
        <w:t xml:space="preserve">ed </w:t>
      </w:r>
      <w:r>
        <w:t>effectively and improved COVID-19 and routine immunisation coverage</w:t>
      </w:r>
      <w:r w:rsidR="0E76998F">
        <w:t xml:space="preserve">. </w:t>
      </w:r>
      <w:r w:rsidR="60071EF1" w:rsidRPr="62CC2B41">
        <w:rPr>
          <w:rFonts w:ascii="Calibri" w:eastAsia="Calibri" w:hAnsi="Calibri" w:cs="Calibri"/>
        </w:rPr>
        <w:t xml:space="preserve">An extensive quantity and diversity of end-to-end immunisation activities were </w:t>
      </w:r>
      <w:r w:rsidR="00E2DAB5" w:rsidRPr="62CC2B41">
        <w:rPr>
          <w:rFonts w:ascii="Calibri" w:eastAsia="Calibri" w:hAnsi="Calibri" w:cs="Calibri"/>
        </w:rPr>
        <w:t>undertaken</w:t>
      </w:r>
      <w:r w:rsidR="60071EF1" w:rsidRPr="62CC2B41">
        <w:rPr>
          <w:rFonts w:ascii="Calibri" w:eastAsia="Calibri" w:hAnsi="Calibri" w:cs="Calibri"/>
        </w:rPr>
        <w:t>, generally to expectations. These reached sub-nationally and to hard-to-reach populations, to a safe and high-quality standard, in a timely manner, and with flexibility in addressing the changing and complex operational realities of the COVID-19 pandemic. There were little to no reported unexpected outcomes, and the VAHSI investment has contributed to health systems strengthening in the countries assessed in this evaluation.</w:t>
      </w:r>
      <w:r w:rsidR="24087886">
        <w:t xml:space="preserve"> </w:t>
      </w:r>
    </w:p>
    <w:p w14:paraId="0E3E77BE" w14:textId="77777777" w:rsidR="000017BA" w:rsidRPr="006B0C6C" w:rsidRDefault="000017BA" w:rsidP="006B0C6C">
      <w:pPr>
        <w:spacing w:after="0"/>
        <w:jc w:val="both"/>
      </w:pPr>
    </w:p>
    <w:p w14:paraId="04973EED" w14:textId="5B070F09" w:rsidR="48B9C92F" w:rsidRPr="006B0C6C" w:rsidRDefault="2ED771D2" w:rsidP="0A544168">
      <w:pPr>
        <w:jc w:val="both"/>
        <w:rPr>
          <w:b/>
          <w:bCs/>
        </w:rPr>
      </w:pPr>
      <w:r w:rsidRPr="006B0C6C">
        <w:rPr>
          <w:b/>
          <w:bCs/>
        </w:rPr>
        <w:t>EQ2</w:t>
      </w:r>
      <w:r w:rsidR="6944A3EB" w:rsidRPr="006B0C6C">
        <w:rPr>
          <w:b/>
          <w:bCs/>
        </w:rPr>
        <w:t xml:space="preserve"> – </w:t>
      </w:r>
      <w:r w:rsidR="1C8E475F" w:rsidRPr="006B0C6C">
        <w:rPr>
          <w:b/>
          <w:bCs/>
        </w:rPr>
        <w:t>Effectiveness</w:t>
      </w:r>
      <w:r w:rsidR="6944A3EB" w:rsidRPr="006B0C6C">
        <w:rPr>
          <w:b/>
          <w:bCs/>
        </w:rPr>
        <w:t xml:space="preserve"> (EOPO3)</w:t>
      </w:r>
    </w:p>
    <w:p w14:paraId="31DB3AF5" w14:textId="381854DE" w:rsidR="45E26BBC" w:rsidRPr="008632B5" w:rsidRDefault="45E26BBC" w:rsidP="5EB2BCB1">
      <w:pPr>
        <w:jc w:val="both"/>
        <w:rPr>
          <w:i/>
          <w:iCs/>
        </w:rPr>
      </w:pPr>
      <w:r w:rsidRPr="008632B5">
        <w:rPr>
          <w:i/>
          <w:iCs/>
        </w:rPr>
        <w:t>EOPO3 – Australian support to COVID-19 vaccination programs is valued by the region</w:t>
      </w:r>
    </w:p>
    <w:p w14:paraId="007C3089" w14:textId="5A50AE9B" w:rsidR="7388A156" w:rsidRPr="006B0C6C" w:rsidRDefault="6BEE1BDC" w:rsidP="004B6BA0">
      <w:pPr>
        <w:spacing w:after="0" w:line="257" w:lineRule="auto"/>
        <w:jc w:val="both"/>
        <w:rPr>
          <w:rFonts w:ascii="Calibri" w:eastAsia="Calibri" w:hAnsi="Calibri" w:cs="Calibri"/>
        </w:rPr>
      </w:pPr>
      <w:r w:rsidRPr="4A351EF4">
        <w:rPr>
          <w:rFonts w:ascii="Calibri" w:eastAsia="Calibri" w:hAnsi="Calibri" w:cs="Calibri"/>
        </w:rPr>
        <w:t>Based on extensive interview</w:t>
      </w:r>
      <w:r w:rsidR="003B56B9" w:rsidRPr="4A351EF4">
        <w:rPr>
          <w:rFonts w:ascii="Calibri" w:eastAsia="Calibri" w:hAnsi="Calibri" w:cs="Calibri"/>
        </w:rPr>
        <w:t>s</w:t>
      </w:r>
      <w:r w:rsidRPr="4A351EF4">
        <w:rPr>
          <w:rFonts w:ascii="Calibri" w:eastAsia="Calibri" w:hAnsi="Calibri" w:cs="Calibri"/>
        </w:rPr>
        <w:t xml:space="preserve"> and review of documents, the</w:t>
      </w:r>
      <w:r w:rsidR="3FD75526" w:rsidRPr="4A351EF4">
        <w:rPr>
          <w:rFonts w:ascii="Calibri" w:eastAsia="Calibri" w:hAnsi="Calibri" w:cs="Calibri"/>
        </w:rPr>
        <w:t xml:space="preserve"> evaluation </w:t>
      </w:r>
      <w:r w:rsidRPr="4A351EF4">
        <w:rPr>
          <w:rFonts w:ascii="Calibri" w:eastAsia="Calibri" w:hAnsi="Calibri" w:cs="Calibri"/>
        </w:rPr>
        <w:t>found</w:t>
      </w:r>
      <w:r w:rsidR="3FD75526" w:rsidRPr="4A351EF4">
        <w:rPr>
          <w:rFonts w:ascii="Calibri" w:eastAsia="Calibri" w:hAnsi="Calibri" w:cs="Calibri"/>
        </w:rPr>
        <w:t xml:space="preserve"> that VAHSI support contributed to stronger relationships between Australia and partner governments</w:t>
      </w:r>
      <w:r w:rsidRPr="4A351EF4">
        <w:rPr>
          <w:rFonts w:ascii="Calibri" w:eastAsia="Calibri" w:hAnsi="Calibri" w:cs="Calibri"/>
        </w:rPr>
        <w:t xml:space="preserve">. This was particularly evident from </w:t>
      </w:r>
      <w:r w:rsidR="56477C38" w:rsidRPr="4A351EF4">
        <w:rPr>
          <w:rFonts w:ascii="Calibri" w:eastAsia="Calibri" w:hAnsi="Calibri" w:cs="Calibri"/>
        </w:rPr>
        <w:t>qualitative data</w:t>
      </w:r>
      <w:r w:rsidR="5CC82F5C" w:rsidRPr="4A351EF4">
        <w:rPr>
          <w:rFonts w:ascii="Calibri" w:eastAsia="Calibri" w:hAnsi="Calibri" w:cs="Calibri"/>
        </w:rPr>
        <w:t xml:space="preserve"> and KIIs</w:t>
      </w:r>
      <w:r w:rsidR="56477C38" w:rsidRPr="4A351EF4">
        <w:rPr>
          <w:rFonts w:ascii="Calibri" w:eastAsia="Calibri" w:hAnsi="Calibri" w:cs="Calibri"/>
        </w:rPr>
        <w:t xml:space="preserve">. </w:t>
      </w:r>
      <w:r w:rsidR="4FBC8A3E" w:rsidRPr="4A351EF4">
        <w:rPr>
          <w:rFonts w:ascii="Calibri" w:eastAsia="Calibri" w:hAnsi="Calibri" w:cs="Calibri"/>
        </w:rPr>
        <w:t>However, i</w:t>
      </w:r>
      <w:r w:rsidR="56477C38" w:rsidRPr="4A351EF4">
        <w:rPr>
          <w:rFonts w:ascii="Calibri" w:eastAsia="Calibri" w:hAnsi="Calibri" w:cs="Calibri"/>
        </w:rPr>
        <w:t xml:space="preserve">t is </w:t>
      </w:r>
      <w:r w:rsidRPr="4A351EF4">
        <w:rPr>
          <w:rFonts w:ascii="Calibri" w:eastAsia="Calibri" w:hAnsi="Calibri" w:cs="Calibri"/>
        </w:rPr>
        <w:t>unclear</w:t>
      </w:r>
      <w:r w:rsidR="3FD75526" w:rsidRPr="4A351EF4">
        <w:rPr>
          <w:rFonts w:ascii="Calibri" w:eastAsia="Calibri" w:hAnsi="Calibri" w:cs="Calibri"/>
        </w:rPr>
        <w:t xml:space="preserve"> whether this </w:t>
      </w:r>
      <w:r w:rsidRPr="4A351EF4">
        <w:rPr>
          <w:rFonts w:ascii="Calibri" w:eastAsia="Calibri" w:hAnsi="Calibri" w:cs="Calibri"/>
        </w:rPr>
        <w:t xml:space="preserve">impact </w:t>
      </w:r>
      <w:r w:rsidR="3FD75526" w:rsidRPr="4A351EF4">
        <w:rPr>
          <w:rFonts w:ascii="Calibri" w:eastAsia="Calibri" w:hAnsi="Calibri" w:cs="Calibri"/>
        </w:rPr>
        <w:t>will be sustain</w:t>
      </w:r>
      <w:r w:rsidRPr="4A351EF4">
        <w:rPr>
          <w:rFonts w:ascii="Calibri" w:eastAsia="Calibri" w:hAnsi="Calibri" w:cs="Calibri"/>
        </w:rPr>
        <w:t>ed</w:t>
      </w:r>
      <w:r w:rsidR="0577264B" w:rsidRPr="4A351EF4">
        <w:rPr>
          <w:rFonts w:ascii="Calibri" w:eastAsia="Calibri" w:hAnsi="Calibri" w:cs="Calibri"/>
        </w:rPr>
        <w:t xml:space="preserve"> over time and with changes </w:t>
      </w:r>
      <w:r w:rsidR="396EC747" w:rsidRPr="4A351EF4">
        <w:rPr>
          <w:rFonts w:ascii="Calibri" w:eastAsia="Calibri" w:hAnsi="Calibri" w:cs="Calibri"/>
        </w:rPr>
        <w:t>of</w:t>
      </w:r>
      <w:r w:rsidR="0577264B" w:rsidRPr="4A351EF4">
        <w:rPr>
          <w:rFonts w:ascii="Calibri" w:eastAsia="Calibri" w:hAnsi="Calibri" w:cs="Calibri"/>
        </w:rPr>
        <w:t xml:space="preserve"> </w:t>
      </w:r>
      <w:r w:rsidR="003C0D8B">
        <w:rPr>
          <w:rFonts w:ascii="Calibri" w:eastAsia="Calibri" w:hAnsi="Calibri" w:cs="Calibri"/>
        </w:rPr>
        <w:t>g</w:t>
      </w:r>
      <w:r w:rsidR="0577264B" w:rsidRPr="4A351EF4">
        <w:rPr>
          <w:rFonts w:ascii="Calibri" w:eastAsia="Calibri" w:hAnsi="Calibri" w:cs="Calibri"/>
        </w:rPr>
        <w:t>overnment</w:t>
      </w:r>
      <w:r w:rsidR="3FD75526" w:rsidRPr="4A351EF4">
        <w:rPr>
          <w:rFonts w:ascii="Calibri" w:eastAsia="Calibri" w:hAnsi="Calibri" w:cs="Calibri"/>
        </w:rPr>
        <w:t xml:space="preserve">. </w:t>
      </w:r>
      <w:r w:rsidR="62F5D49E" w:rsidRPr="4A351EF4">
        <w:rPr>
          <w:rFonts w:ascii="Calibri" w:eastAsia="Calibri" w:hAnsi="Calibri" w:cs="Calibri"/>
        </w:rPr>
        <w:t xml:space="preserve">With some exceptions, the positive </w:t>
      </w:r>
      <w:r w:rsidRPr="4A351EF4">
        <w:rPr>
          <w:rFonts w:ascii="Calibri" w:eastAsia="Calibri" w:hAnsi="Calibri" w:cs="Calibri"/>
        </w:rPr>
        <w:t xml:space="preserve">impact </w:t>
      </w:r>
      <w:r w:rsidR="62F5D49E" w:rsidRPr="4A351EF4">
        <w:rPr>
          <w:rFonts w:ascii="Calibri" w:eastAsia="Calibri" w:hAnsi="Calibri" w:cs="Calibri"/>
        </w:rPr>
        <w:t xml:space="preserve">was likely stronger in </w:t>
      </w:r>
      <w:r w:rsidRPr="4A351EF4">
        <w:rPr>
          <w:rFonts w:ascii="Calibri" w:eastAsia="Calibri" w:hAnsi="Calibri" w:cs="Calibri"/>
        </w:rPr>
        <w:t xml:space="preserve">the </w:t>
      </w:r>
      <w:r w:rsidR="62F5D49E" w:rsidRPr="4A351EF4">
        <w:rPr>
          <w:rFonts w:ascii="Calibri" w:eastAsia="Calibri" w:hAnsi="Calibri" w:cs="Calibri"/>
        </w:rPr>
        <w:t xml:space="preserve">Pacific than </w:t>
      </w:r>
      <w:r w:rsidRPr="4A351EF4">
        <w:rPr>
          <w:rFonts w:ascii="Calibri" w:eastAsia="Calibri" w:hAnsi="Calibri" w:cs="Calibri"/>
        </w:rPr>
        <w:t>Southeast Asia (</w:t>
      </w:r>
      <w:r w:rsidR="62F5D49E" w:rsidRPr="4A351EF4">
        <w:rPr>
          <w:rFonts w:ascii="Calibri" w:eastAsia="Calibri" w:hAnsi="Calibri" w:cs="Calibri"/>
        </w:rPr>
        <w:t>SEA</w:t>
      </w:r>
      <w:r w:rsidRPr="4A351EF4">
        <w:rPr>
          <w:rFonts w:ascii="Calibri" w:eastAsia="Calibri" w:hAnsi="Calibri" w:cs="Calibri"/>
        </w:rPr>
        <w:t>)</w:t>
      </w:r>
      <w:r w:rsidR="62F5D49E" w:rsidRPr="4A351EF4">
        <w:rPr>
          <w:rFonts w:ascii="Calibri" w:eastAsia="Calibri" w:hAnsi="Calibri" w:cs="Calibri"/>
        </w:rPr>
        <w:t xml:space="preserve"> due to difference in population sizes and therefore the</w:t>
      </w:r>
      <w:r w:rsidR="3FBCFF1E" w:rsidRPr="4A351EF4">
        <w:rPr>
          <w:rFonts w:ascii="Calibri" w:eastAsia="Calibri" w:hAnsi="Calibri" w:cs="Calibri"/>
        </w:rPr>
        <w:t xml:space="preserve"> relative</w:t>
      </w:r>
      <w:r w:rsidR="62F5D49E" w:rsidRPr="4A351EF4">
        <w:rPr>
          <w:rFonts w:ascii="Calibri" w:eastAsia="Calibri" w:hAnsi="Calibri" w:cs="Calibri"/>
        </w:rPr>
        <w:t xml:space="preserve"> </w:t>
      </w:r>
      <w:r w:rsidR="1FB573F1" w:rsidRPr="4A351EF4">
        <w:rPr>
          <w:rFonts w:ascii="Calibri" w:eastAsia="Calibri" w:hAnsi="Calibri" w:cs="Calibri"/>
        </w:rPr>
        <w:t>imp</w:t>
      </w:r>
      <w:r w:rsidR="1FF4A0DC" w:rsidRPr="4A351EF4">
        <w:rPr>
          <w:rFonts w:ascii="Calibri" w:eastAsia="Calibri" w:hAnsi="Calibri" w:cs="Calibri"/>
        </w:rPr>
        <w:t>ortance</w:t>
      </w:r>
      <w:r w:rsidR="1FB573F1" w:rsidRPr="4A351EF4">
        <w:rPr>
          <w:rFonts w:ascii="Calibri" w:eastAsia="Calibri" w:hAnsi="Calibri" w:cs="Calibri"/>
        </w:rPr>
        <w:t xml:space="preserve"> of Australian support. </w:t>
      </w:r>
      <w:r w:rsidRPr="4A351EF4">
        <w:rPr>
          <w:rFonts w:ascii="Calibri" w:eastAsia="Calibri" w:hAnsi="Calibri" w:cs="Calibri"/>
        </w:rPr>
        <w:t xml:space="preserve">Partner </w:t>
      </w:r>
      <w:r w:rsidR="003C0D8B">
        <w:rPr>
          <w:rFonts w:ascii="Calibri" w:eastAsia="Calibri" w:hAnsi="Calibri" w:cs="Calibri"/>
        </w:rPr>
        <w:t>g</w:t>
      </w:r>
      <w:r w:rsidRPr="4A351EF4">
        <w:rPr>
          <w:rFonts w:ascii="Calibri" w:eastAsia="Calibri" w:hAnsi="Calibri" w:cs="Calibri"/>
        </w:rPr>
        <w:t xml:space="preserve">overnments particularly valued </w:t>
      </w:r>
      <w:r w:rsidR="3FD75526" w:rsidRPr="4A351EF4">
        <w:rPr>
          <w:rFonts w:ascii="Calibri" w:eastAsia="Calibri" w:hAnsi="Calibri" w:cs="Calibri"/>
        </w:rPr>
        <w:t xml:space="preserve">the </w:t>
      </w:r>
      <w:r w:rsidR="78182C96" w:rsidRPr="4A351EF4">
        <w:rPr>
          <w:rFonts w:ascii="Calibri" w:eastAsia="Calibri" w:hAnsi="Calibri" w:cs="Calibri"/>
        </w:rPr>
        <w:t xml:space="preserve">vaccines, but also the </w:t>
      </w:r>
      <w:r w:rsidR="3FD75526" w:rsidRPr="4A351EF4">
        <w:rPr>
          <w:rFonts w:ascii="Calibri" w:eastAsia="Calibri" w:hAnsi="Calibri" w:cs="Calibri"/>
        </w:rPr>
        <w:t xml:space="preserve">flexibility of the program and the partnership </w:t>
      </w:r>
      <w:r w:rsidRPr="4A351EF4">
        <w:rPr>
          <w:rFonts w:ascii="Calibri" w:eastAsia="Calibri" w:hAnsi="Calibri" w:cs="Calibri"/>
        </w:rPr>
        <w:t>with Australia</w:t>
      </w:r>
      <w:r w:rsidR="3FD75526" w:rsidRPr="4A351EF4">
        <w:rPr>
          <w:rFonts w:ascii="Calibri" w:eastAsia="Calibri" w:hAnsi="Calibri" w:cs="Calibri"/>
        </w:rPr>
        <w:t xml:space="preserve">. </w:t>
      </w:r>
    </w:p>
    <w:p w14:paraId="20636010" w14:textId="77777777" w:rsidR="004B6BA0" w:rsidRPr="006B0C6C" w:rsidRDefault="004B6BA0" w:rsidP="004B6BA0">
      <w:pPr>
        <w:spacing w:after="0" w:line="257" w:lineRule="auto"/>
        <w:jc w:val="both"/>
        <w:rPr>
          <w:rFonts w:ascii="Calibri" w:eastAsia="Calibri" w:hAnsi="Calibri" w:cs="Calibri"/>
        </w:rPr>
      </w:pPr>
    </w:p>
    <w:p w14:paraId="0886A43E" w14:textId="69D7B0EE" w:rsidR="48B9C92F" w:rsidRPr="006B0C6C" w:rsidRDefault="48B9C92F" w:rsidP="0A544168">
      <w:pPr>
        <w:jc w:val="both"/>
        <w:rPr>
          <w:b/>
          <w:bCs/>
        </w:rPr>
      </w:pPr>
      <w:r w:rsidRPr="006B0C6C">
        <w:rPr>
          <w:b/>
          <w:bCs/>
        </w:rPr>
        <w:t>EQ3</w:t>
      </w:r>
      <w:r w:rsidR="31379B51" w:rsidRPr="006B0C6C">
        <w:rPr>
          <w:b/>
          <w:bCs/>
        </w:rPr>
        <w:t xml:space="preserve"> - Efficiency</w:t>
      </w:r>
    </w:p>
    <w:p w14:paraId="19EC8BC3" w14:textId="45228C84" w:rsidR="7388A156" w:rsidRPr="006B0C6C" w:rsidRDefault="33A4C3BA" w:rsidP="00A106C4">
      <w:pPr>
        <w:spacing w:after="0" w:line="257" w:lineRule="auto"/>
        <w:jc w:val="both"/>
        <w:rPr>
          <w:rFonts w:ascii="Calibri" w:eastAsia="Calibri" w:hAnsi="Calibri" w:cs="Calibri"/>
        </w:rPr>
      </w:pPr>
      <w:r w:rsidRPr="62CC2B41">
        <w:rPr>
          <w:rFonts w:ascii="Calibri" w:eastAsia="Calibri" w:hAnsi="Calibri" w:cs="Calibri"/>
        </w:rPr>
        <w:t xml:space="preserve">There is substantial evidence </w:t>
      </w:r>
      <w:r w:rsidR="4EDF9D48" w:rsidRPr="62CC2B41">
        <w:rPr>
          <w:rFonts w:ascii="Calibri" w:eastAsia="Calibri" w:hAnsi="Calibri" w:cs="Calibri"/>
        </w:rPr>
        <w:t xml:space="preserve">to </w:t>
      </w:r>
      <w:r w:rsidR="004B6BA0" w:rsidRPr="62CC2B41">
        <w:rPr>
          <w:rFonts w:ascii="Calibri" w:eastAsia="Calibri" w:hAnsi="Calibri" w:cs="Calibri"/>
        </w:rPr>
        <w:t xml:space="preserve">demonstrate </w:t>
      </w:r>
      <w:r w:rsidRPr="62CC2B41">
        <w:rPr>
          <w:rFonts w:ascii="Calibri" w:eastAsia="Calibri" w:hAnsi="Calibri" w:cs="Calibri"/>
        </w:rPr>
        <w:t>that the VAHSI program was an efficient use of Australia</w:t>
      </w:r>
      <w:r w:rsidR="004B6BA0" w:rsidRPr="62CC2B41">
        <w:rPr>
          <w:rFonts w:ascii="Calibri" w:eastAsia="Calibri" w:hAnsi="Calibri" w:cs="Calibri"/>
        </w:rPr>
        <w:t>n</w:t>
      </w:r>
      <w:r w:rsidRPr="62CC2B41">
        <w:rPr>
          <w:rFonts w:ascii="Calibri" w:eastAsia="Calibri" w:hAnsi="Calibri" w:cs="Calibri"/>
        </w:rPr>
        <w:t xml:space="preserve"> and partner</w:t>
      </w:r>
      <w:r w:rsidR="009551A4" w:rsidRPr="62CC2B41">
        <w:rPr>
          <w:rFonts w:ascii="Calibri" w:eastAsia="Calibri" w:hAnsi="Calibri" w:cs="Calibri"/>
        </w:rPr>
        <w:t>s’</w:t>
      </w:r>
      <w:r w:rsidRPr="62CC2B41">
        <w:rPr>
          <w:rFonts w:ascii="Calibri" w:eastAsia="Calibri" w:hAnsi="Calibri" w:cs="Calibri"/>
        </w:rPr>
        <w:t xml:space="preserve"> time, money and resources and that VAHSI was an appropriate mechanism to respond to regional and partner government needs. The comprehensiveness of Australia’s response – vaccines, delivery support, technical expertise </w:t>
      </w:r>
      <w:r w:rsidR="00F55D9A" w:rsidRPr="62CC2B41">
        <w:rPr>
          <w:rFonts w:ascii="Calibri" w:eastAsia="Calibri" w:hAnsi="Calibri" w:cs="Calibri"/>
        </w:rPr>
        <w:t xml:space="preserve">– </w:t>
      </w:r>
      <w:r w:rsidRPr="62CC2B41">
        <w:rPr>
          <w:rFonts w:ascii="Calibri" w:eastAsia="Calibri" w:hAnsi="Calibri" w:cs="Calibri"/>
        </w:rPr>
        <w:t xml:space="preserve">was considered efficient </w:t>
      </w:r>
      <w:r w:rsidR="004B6BA0" w:rsidRPr="62CC2B41">
        <w:rPr>
          <w:rFonts w:ascii="Calibri" w:eastAsia="Calibri" w:hAnsi="Calibri" w:cs="Calibri"/>
        </w:rPr>
        <w:t>and highly</w:t>
      </w:r>
      <w:r w:rsidRPr="62CC2B41">
        <w:rPr>
          <w:rFonts w:ascii="Calibri" w:eastAsia="Calibri" w:hAnsi="Calibri" w:cs="Calibri"/>
        </w:rPr>
        <w:t xml:space="preserve"> valued. A</w:t>
      </w:r>
      <w:r w:rsidR="00390B1B" w:rsidRPr="62CC2B41">
        <w:rPr>
          <w:rFonts w:ascii="Calibri" w:eastAsia="Calibri" w:hAnsi="Calibri" w:cs="Calibri"/>
        </w:rPr>
        <w:t xml:space="preserve"> multilateral </w:t>
      </w:r>
      <w:r w:rsidR="62C27FD0" w:rsidRPr="62CC2B41">
        <w:rPr>
          <w:rFonts w:ascii="Calibri" w:eastAsia="Calibri" w:hAnsi="Calibri" w:cs="Calibri"/>
        </w:rPr>
        <w:t xml:space="preserve">vaccine access </w:t>
      </w:r>
      <w:r w:rsidRPr="62CC2B41">
        <w:rPr>
          <w:rFonts w:ascii="Calibri" w:eastAsia="Calibri" w:hAnsi="Calibri" w:cs="Calibri"/>
        </w:rPr>
        <w:t xml:space="preserve">mechanism existed, to which Australia contributed, but </w:t>
      </w:r>
      <w:r w:rsidR="656DA916" w:rsidRPr="62CC2B41">
        <w:rPr>
          <w:rFonts w:ascii="Calibri" w:eastAsia="Calibri" w:hAnsi="Calibri" w:cs="Calibri"/>
        </w:rPr>
        <w:t>th</w:t>
      </w:r>
      <w:r w:rsidR="00390B1B" w:rsidRPr="62CC2B41">
        <w:rPr>
          <w:rFonts w:ascii="Calibri" w:eastAsia="Calibri" w:hAnsi="Calibri" w:cs="Calibri"/>
        </w:rPr>
        <w:t>is</w:t>
      </w:r>
      <w:r w:rsidR="48283540" w:rsidRPr="62CC2B41">
        <w:rPr>
          <w:rFonts w:ascii="Calibri" w:eastAsia="Calibri" w:hAnsi="Calibri" w:cs="Calibri"/>
        </w:rPr>
        <w:t xml:space="preserve"> </w:t>
      </w:r>
      <w:proofErr w:type="gramStart"/>
      <w:r w:rsidR="48283540" w:rsidRPr="62CC2B41">
        <w:rPr>
          <w:rFonts w:ascii="Calibri" w:eastAsia="Calibri" w:hAnsi="Calibri" w:cs="Calibri"/>
        </w:rPr>
        <w:t>mechanism</w:t>
      </w:r>
      <w:r w:rsidR="656DA916" w:rsidRPr="62CC2B41">
        <w:rPr>
          <w:rFonts w:ascii="Calibri" w:eastAsia="Calibri" w:hAnsi="Calibri" w:cs="Calibri"/>
        </w:rPr>
        <w:t xml:space="preserve"> </w:t>
      </w:r>
      <w:r w:rsidR="54D5E5DF" w:rsidRPr="62CC2B41">
        <w:rPr>
          <w:rFonts w:ascii="Calibri" w:eastAsia="Calibri" w:hAnsi="Calibri" w:cs="Calibri"/>
        </w:rPr>
        <w:t xml:space="preserve"> w</w:t>
      </w:r>
      <w:r w:rsidR="00390B1B" w:rsidRPr="62CC2B41">
        <w:rPr>
          <w:rFonts w:ascii="Calibri" w:eastAsia="Calibri" w:hAnsi="Calibri" w:cs="Calibri"/>
        </w:rPr>
        <w:t>as</w:t>
      </w:r>
      <w:proofErr w:type="gramEnd"/>
      <w:r w:rsidR="54D5E5DF" w:rsidRPr="62CC2B41">
        <w:rPr>
          <w:rFonts w:ascii="Calibri" w:eastAsia="Calibri" w:hAnsi="Calibri" w:cs="Calibri"/>
        </w:rPr>
        <w:t xml:space="preserve"> </w:t>
      </w:r>
      <w:r w:rsidRPr="62CC2B41">
        <w:rPr>
          <w:rFonts w:ascii="Calibri" w:eastAsia="Calibri" w:hAnsi="Calibri" w:cs="Calibri"/>
        </w:rPr>
        <w:t xml:space="preserve">notably </w:t>
      </w:r>
      <w:r w:rsidR="4D2C8D5B" w:rsidRPr="62CC2B41">
        <w:rPr>
          <w:rFonts w:ascii="Calibri" w:eastAsia="Calibri" w:hAnsi="Calibri" w:cs="Calibri"/>
        </w:rPr>
        <w:t xml:space="preserve">slower to support countries </w:t>
      </w:r>
      <w:r w:rsidRPr="62CC2B41">
        <w:rPr>
          <w:rFonts w:ascii="Calibri" w:eastAsia="Calibri" w:hAnsi="Calibri" w:cs="Calibri"/>
        </w:rPr>
        <w:t>early in the response.</w:t>
      </w:r>
      <w:r w:rsidR="009C0295" w:rsidRPr="62CC2B41">
        <w:rPr>
          <w:rFonts w:ascii="Calibri" w:eastAsia="Calibri" w:hAnsi="Calibri" w:cs="Calibri"/>
        </w:rPr>
        <w:t xml:space="preserve"> There were some bureaucratic and staffing inefficiencies that could be improved upon for future responses.</w:t>
      </w:r>
    </w:p>
    <w:p w14:paraId="24BDC9FE" w14:textId="77777777" w:rsidR="00A106C4" w:rsidRPr="006B0C6C" w:rsidRDefault="00A106C4" w:rsidP="00A106C4">
      <w:pPr>
        <w:spacing w:after="0" w:line="257" w:lineRule="auto"/>
        <w:jc w:val="both"/>
        <w:rPr>
          <w:rFonts w:ascii="Calibri" w:eastAsia="Calibri" w:hAnsi="Calibri" w:cs="Calibri"/>
        </w:rPr>
      </w:pPr>
    </w:p>
    <w:p w14:paraId="42C9A0BD" w14:textId="2EC3DBC6" w:rsidR="48B9C92F" w:rsidRPr="006B0C6C" w:rsidRDefault="48B9C92F" w:rsidP="0A544168">
      <w:pPr>
        <w:jc w:val="both"/>
        <w:rPr>
          <w:b/>
          <w:bCs/>
        </w:rPr>
      </w:pPr>
      <w:r w:rsidRPr="006B0C6C">
        <w:rPr>
          <w:b/>
          <w:bCs/>
        </w:rPr>
        <w:t>EQ4</w:t>
      </w:r>
      <w:r w:rsidR="0980B06A" w:rsidRPr="006B0C6C">
        <w:rPr>
          <w:b/>
          <w:bCs/>
        </w:rPr>
        <w:t xml:space="preserve"> - GEDSI</w:t>
      </w:r>
    </w:p>
    <w:p w14:paraId="2C23FE1D" w14:textId="59758F66" w:rsidR="005D5F22" w:rsidRDefault="5A60C35A" w:rsidP="00117460">
      <w:pPr>
        <w:spacing w:after="0"/>
        <w:jc w:val="both"/>
        <w:rPr>
          <w:rFonts w:ascii="Calibri" w:eastAsia="Calibri" w:hAnsi="Calibri" w:cs="Calibri"/>
        </w:rPr>
      </w:pPr>
      <w:r w:rsidRPr="006B0C6C">
        <w:rPr>
          <w:rFonts w:ascii="Calibri" w:eastAsia="Calibri" w:hAnsi="Calibri" w:cs="Calibri"/>
        </w:rPr>
        <w:t xml:space="preserve">Overall, </w:t>
      </w:r>
      <w:r w:rsidR="004B6BA0" w:rsidRPr="006B0C6C">
        <w:rPr>
          <w:rFonts w:ascii="Calibri" w:eastAsia="Calibri" w:hAnsi="Calibri" w:cs="Calibri"/>
        </w:rPr>
        <w:t xml:space="preserve">evidence indicates </w:t>
      </w:r>
      <w:r w:rsidRPr="006B0C6C">
        <w:rPr>
          <w:rFonts w:ascii="Calibri" w:eastAsia="Calibri" w:hAnsi="Calibri" w:cs="Calibri"/>
        </w:rPr>
        <w:t xml:space="preserve">that partners delivered GEDSI-sensitive programming. Almost all </w:t>
      </w:r>
      <w:r w:rsidR="004B6BA0" w:rsidRPr="006B0C6C">
        <w:rPr>
          <w:rFonts w:ascii="Calibri" w:eastAsia="Calibri" w:hAnsi="Calibri" w:cs="Calibri"/>
        </w:rPr>
        <w:t xml:space="preserve">partners </w:t>
      </w:r>
      <w:r w:rsidRPr="006B0C6C">
        <w:rPr>
          <w:rFonts w:ascii="Calibri" w:eastAsia="Calibri" w:hAnsi="Calibri" w:cs="Calibri"/>
        </w:rPr>
        <w:t xml:space="preserve">responded to partner </w:t>
      </w:r>
      <w:r w:rsidR="00B37C38">
        <w:rPr>
          <w:rFonts w:ascii="Calibri" w:eastAsia="Calibri" w:hAnsi="Calibri" w:cs="Calibri"/>
        </w:rPr>
        <w:t>g</w:t>
      </w:r>
      <w:r w:rsidRPr="006B0C6C">
        <w:rPr>
          <w:rFonts w:ascii="Calibri" w:eastAsia="Calibri" w:hAnsi="Calibri" w:cs="Calibri"/>
        </w:rPr>
        <w:t>overnment prioritisation of high-risk groups and hard-</w:t>
      </w:r>
      <w:r w:rsidR="004B6BA0" w:rsidRPr="006B0C6C">
        <w:rPr>
          <w:rFonts w:ascii="Calibri" w:eastAsia="Calibri" w:hAnsi="Calibri" w:cs="Calibri"/>
        </w:rPr>
        <w:t>to-</w:t>
      </w:r>
      <w:r w:rsidRPr="006B0C6C">
        <w:rPr>
          <w:rFonts w:ascii="Calibri" w:eastAsia="Calibri" w:hAnsi="Calibri" w:cs="Calibri"/>
        </w:rPr>
        <w:t xml:space="preserve">reach populations and applied </w:t>
      </w:r>
      <w:r w:rsidR="00A106C4" w:rsidRPr="006B0C6C">
        <w:rPr>
          <w:rFonts w:ascii="Calibri" w:eastAsia="Calibri" w:hAnsi="Calibri" w:cs="Calibri"/>
        </w:rPr>
        <w:t xml:space="preserve">knowledge </w:t>
      </w:r>
      <w:r w:rsidRPr="006B0C6C">
        <w:rPr>
          <w:rFonts w:ascii="Calibri" w:eastAsia="Calibri" w:hAnsi="Calibri" w:cs="Calibri"/>
        </w:rPr>
        <w:t xml:space="preserve">of gender barriers to access to interventions. The picture for disability was more mixed, with some partners providing high priority focus on including and reaching people with disabilities and others not having the internal policies and processes to ensure that this occurred. </w:t>
      </w:r>
    </w:p>
    <w:p w14:paraId="214ED7A0" w14:textId="175B7F01" w:rsidR="7388A156" w:rsidRPr="006B0C6C" w:rsidRDefault="5A60C35A" w:rsidP="006B0C6C">
      <w:pPr>
        <w:spacing w:after="0"/>
        <w:jc w:val="both"/>
        <w:rPr>
          <w:rFonts w:ascii="Calibri" w:eastAsia="Calibri" w:hAnsi="Calibri" w:cs="Calibri"/>
        </w:rPr>
      </w:pPr>
      <w:r w:rsidRPr="006B0C6C">
        <w:rPr>
          <w:rFonts w:ascii="Calibri" w:eastAsia="Calibri" w:hAnsi="Calibri" w:cs="Calibri"/>
        </w:rPr>
        <w:t xml:space="preserve"> </w:t>
      </w:r>
    </w:p>
    <w:p w14:paraId="7AACC975" w14:textId="0E77C7E2" w:rsidR="48B9C92F" w:rsidRPr="006B0C6C" w:rsidRDefault="48B9C92F" w:rsidP="0A544168">
      <w:pPr>
        <w:rPr>
          <w:b/>
          <w:bCs/>
        </w:rPr>
      </w:pPr>
      <w:r w:rsidRPr="006B0C6C">
        <w:rPr>
          <w:b/>
          <w:bCs/>
        </w:rPr>
        <w:t>EQ5</w:t>
      </w:r>
      <w:r w:rsidR="6B6BADCE" w:rsidRPr="006B0C6C">
        <w:rPr>
          <w:b/>
          <w:bCs/>
        </w:rPr>
        <w:t xml:space="preserve"> </w:t>
      </w:r>
      <w:r w:rsidR="00F05BC0" w:rsidRPr="006B0C6C">
        <w:rPr>
          <w:b/>
          <w:bCs/>
        </w:rPr>
        <w:t>–</w:t>
      </w:r>
      <w:r w:rsidR="6B6BADCE" w:rsidRPr="006B0C6C">
        <w:rPr>
          <w:b/>
          <w:bCs/>
        </w:rPr>
        <w:t xml:space="preserve"> Lessons</w:t>
      </w:r>
      <w:r w:rsidR="00F05BC0" w:rsidRPr="006B0C6C">
        <w:rPr>
          <w:b/>
          <w:bCs/>
        </w:rPr>
        <w:t xml:space="preserve"> for future programs</w:t>
      </w:r>
    </w:p>
    <w:p w14:paraId="1C82532E" w14:textId="0D39270B" w:rsidR="0032155F" w:rsidRPr="006B0C6C" w:rsidRDefault="0032155F" w:rsidP="00CB41E6">
      <w:pPr>
        <w:jc w:val="both"/>
      </w:pPr>
      <w:r w:rsidRPr="006B0C6C">
        <w:t xml:space="preserve">The evaluation identified a range of lessons </w:t>
      </w:r>
      <w:r w:rsidR="00E02EA6" w:rsidRPr="006B0C6C">
        <w:t>for future large-scale emergency response</w:t>
      </w:r>
      <w:r w:rsidR="00D0772F">
        <w:t>:</w:t>
      </w:r>
    </w:p>
    <w:p w14:paraId="69066FA3" w14:textId="29E57DCC" w:rsidR="00536CE4" w:rsidRPr="006B0C6C" w:rsidRDefault="000017BA" w:rsidP="00CB41E6">
      <w:pPr>
        <w:pStyle w:val="bullet"/>
        <w:jc w:val="both"/>
      </w:pPr>
      <w:r>
        <w:rPr>
          <w:b/>
          <w:bCs/>
        </w:rPr>
        <w:t>B</w:t>
      </w:r>
      <w:r w:rsidR="00691212" w:rsidRPr="00477F8F">
        <w:rPr>
          <w:b/>
          <w:bCs/>
        </w:rPr>
        <w:t>ilateral relationships</w:t>
      </w:r>
      <w:r w:rsidR="001A33CA" w:rsidRPr="00477F8F">
        <w:rPr>
          <w:b/>
          <w:bCs/>
        </w:rPr>
        <w:t xml:space="preserve">: </w:t>
      </w:r>
      <w:r w:rsidR="009549B5" w:rsidRPr="006B0C6C">
        <w:t xml:space="preserve">Strong bilateral health relationships </w:t>
      </w:r>
      <w:r w:rsidR="008D51F7" w:rsidRPr="006B0C6C">
        <w:t xml:space="preserve">and networks enabled faster deployment of resources and a level of trust that might not otherwise have existed. </w:t>
      </w:r>
    </w:p>
    <w:p w14:paraId="1724D209" w14:textId="2C266CE8" w:rsidR="00536CE4" w:rsidRPr="006B0C6C" w:rsidRDefault="000017BA" w:rsidP="00CB41E6">
      <w:pPr>
        <w:pStyle w:val="bullet"/>
        <w:jc w:val="both"/>
      </w:pPr>
      <w:r>
        <w:rPr>
          <w:b/>
          <w:bCs/>
        </w:rPr>
        <w:t>P</w:t>
      </w:r>
      <w:r w:rsidR="00536CE4" w:rsidRPr="00477F8F">
        <w:rPr>
          <w:b/>
          <w:bCs/>
        </w:rPr>
        <w:t>artnerships</w:t>
      </w:r>
      <w:r w:rsidR="001A33CA" w:rsidRPr="00477F8F">
        <w:rPr>
          <w:b/>
          <w:bCs/>
        </w:rPr>
        <w:t xml:space="preserve">: </w:t>
      </w:r>
      <w:r w:rsidR="00F44335" w:rsidRPr="006B0C6C">
        <w:t xml:space="preserve">Established partnerships that could be </w:t>
      </w:r>
      <w:r w:rsidR="006525A7">
        <w:t>leveraged</w:t>
      </w:r>
      <w:r w:rsidR="00F44335" w:rsidRPr="006B0C6C">
        <w:t xml:space="preserve"> from the outset were important in facilitating</w:t>
      </w:r>
      <w:r w:rsidR="00A01BEB" w:rsidRPr="006B0C6C">
        <w:t xml:space="preserve"> a</w:t>
      </w:r>
      <w:r w:rsidR="00F44335" w:rsidRPr="006B0C6C">
        <w:t xml:space="preserve"> rapid response. </w:t>
      </w:r>
      <w:r w:rsidR="00A01BEB" w:rsidRPr="006B0C6C">
        <w:t>As well as delivery support partners,</w:t>
      </w:r>
      <w:r w:rsidR="00536CE4" w:rsidRPr="006B0C6C">
        <w:t xml:space="preserve"> </w:t>
      </w:r>
      <w:r w:rsidR="00A01BEB" w:rsidRPr="006B0C6C">
        <w:t>t</w:t>
      </w:r>
      <w:r w:rsidR="00536CE4" w:rsidRPr="006B0C6C">
        <w:t>his include</w:t>
      </w:r>
      <w:r w:rsidR="008A14AF" w:rsidRPr="006B0C6C">
        <w:t>d the</w:t>
      </w:r>
      <w:r w:rsidR="00536CE4" w:rsidRPr="006B0C6C">
        <w:t xml:space="preserve"> role </w:t>
      </w:r>
      <w:r w:rsidR="008A14AF" w:rsidRPr="006B0C6C">
        <w:t>played by</w:t>
      </w:r>
      <w:r w:rsidR="00536CE4" w:rsidRPr="006B0C6C">
        <w:t xml:space="preserve"> Australian expert research and health institut</w:t>
      </w:r>
      <w:r w:rsidR="00A106C4" w:rsidRPr="006B0C6C">
        <w:t>ions</w:t>
      </w:r>
      <w:r w:rsidR="00536CE4" w:rsidRPr="006B0C6C">
        <w:t xml:space="preserve"> </w:t>
      </w:r>
      <w:r w:rsidR="008A14AF" w:rsidRPr="006B0C6C">
        <w:t>in</w:t>
      </w:r>
      <w:r w:rsidR="00536CE4" w:rsidRPr="006B0C6C">
        <w:t xml:space="preserve"> ensur</w:t>
      </w:r>
      <w:r w:rsidR="008A14AF" w:rsidRPr="006B0C6C">
        <w:t>ing the</w:t>
      </w:r>
      <w:r w:rsidR="00536CE4" w:rsidRPr="006B0C6C">
        <w:t xml:space="preserve"> sharing of best practice and knowledge.</w:t>
      </w:r>
    </w:p>
    <w:p w14:paraId="636E5898" w14:textId="58D25797" w:rsidR="005A0EAF" w:rsidRPr="006B0C6C" w:rsidRDefault="005A0EAF" w:rsidP="00CB41E6">
      <w:pPr>
        <w:pStyle w:val="bullet"/>
        <w:jc w:val="both"/>
      </w:pPr>
      <w:r w:rsidRPr="006B0C6C">
        <w:rPr>
          <w:b/>
          <w:bCs/>
        </w:rPr>
        <w:t>Flexibility and responsiveness</w:t>
      </w:r>
      <w:r w:rsidR="001A33CA" w:rsidRPr="00477F8F">
        <w:rPr>
          <w:b/>
          <w:bCs/>
        </w:rPr>
        <w:t xml:space="preserve">: </w:t>
      </w:r>
      <w:r w:rsidRPr="006B0C6C">
        <w:t xml:space="preserve">Flexibility in </w:t>
      </w:r>
      <w:proofErr w:type="gramStart"/>
      <w:r w:rsidRPr="006B0C6C">
        <w:t>the response</w:t>
      </w:r>
      <w:proofErr w:type="gramEnd"/>
      <w:r w:rsidRPr="006B0C6C">
        <w:t xml:space="preserve">, with proposals tailored to country context, and allowing pivots as needed (e.g. to routine </w:t>
      </w:r>
      <w:proofErr w:type="spellStart"/>
      <w:r w:rsidRPr="006B0C6C">
        <w:t>immunisation</w:t>
      </w:r>
      <w:proofErr w:type="spellEnd"/>
      <w:r w:rsidRPr="006B0C6C">
        <w:t xml:space="preserve"> support) was vital to </w:t>
      </w:r>
      <w:r w:rsidR="00321AEB" w:rsidRPr="006B0C6C">
        <w:t xml:space="preserve">the success of </w:t>
      </w:r>
      <w:r w:rsidRPr="006B0C6C">
        <w:t>VAHSI.</w:t>
      </w:r>
    </w:p>
    <w:p w14:paraId="0FF2D88F" w14:textId="721C709B" w:rsidR="00536CE4" w:rsidRPr="006B0C6C" w:rsidRDefault="00CB0C27" w:rsidP="00CB41E6">
      <w:pPr>
        <w:pStyle w:val="bullet"/>
        <w:jc w:val="both"/>
      </w:pPr>
      <w:r>
        <w:rPr>
          <w:b/>
          <w:bCs/>
        </w:rPr>
        <w:t>Processes</w:t>
      </w:r>
      <w:r w:rsidR="003B5C14">
        <w:rPr>
          <w:b/>
          <w:bCs/>
        </w:rPr>
        <w:t>:</w:t>
      </w:r>
      <w:r w:rsidR="000F62F3" w:rsidRPr="006B0C6C">
        <w:t xml:space="preserve"> S</w:t>
      </w:r>
      <w:r w:rsidR="008D29DC" w:rsidRPr="006B0C6C">
        <w:t>treamlined</w:t>
      </w:r>
      <w:r w:rsidR="003A2EC7" w:rsidRPr="006B0C6C">
        <w:t xml:space="preserve"> </w:t>
      </w:r>
      <w:r w:rsidR="00536CE4" w:rsidRPr="006B0C6C">
        <w:t>processes</w:t>
      </w:r>
      <w:r w:rsidR="003A2EC7" w:rsidRPr="006B0C6C">
        <w:t xml:space="preserve"> for</w:t>
      </w:r>
      <w:r w:rsidR="00536CE4" w:rsidRPr="006B0C6C">
        <w:t xml:space="preserve"> approvals and clearances ensure resources </w:t>
      </w:r>
      <w:r w:rsidR="006525A7">
        <w:t xml:space="preserve">can be </w:t>
      </w:r>
      <w:r w:rsidR="008D29DC" w:rsidRPr="006B0C6C">
        <w:t>allocated quick</w:t>
      </w:r>
      <w:r w:rsidR="00AE4219">
        <w:t>ly</w:t>
      </w:r>
      <w:r w:rsidR="008D29DC" w:rsidRPr="006B0C6C">
        <w:t xml:space="preserve"> and efficiently</w:t>
      </w:r>
      <w:r w:rsidR="00536CE4" w:rsidRPr="006B0C6C">
        <w:t>.</w:t>
      </w:r>
    </w:p>
    <w:p w14:paraId="0041A89E" w14:textId="123F5E74" w:rsidR="00536CE4" w:rsidRPr="006B0C6C" w:rsidRDefault="00496C73" w:rsidP="00CB41E6">
      <w:pPr>
        <w:pStyle w:val="bullet"/>
        <w:jc w:val="both"/>
      </w:pPr>
      <w:r w:rsidRPr="00477F8F">
        <w:rPr>
          <w:b/>
          <w:bCs/>
        </w:rPr>
        <w:t>Resourcing and s</w:t>
      </w:r>
      <w:r w:rsidR="00536CE4" w:rsidRPr="00477F8F">
        <w:rPr>
          <w:b/>
          <w:bCs/>
        </w:rPr>
        <w:t>taffing</w:t>
      </w:r>
      <w:r w:rsidR="001A33CA" w:rsidRPr="00477F8F">
        <w:rPr>
          <w:b/>
          <w:bCs/>
        </w:rPr>
        <w:t xml:space="preserve">: </w:t>
      </w:r>
      <w:r w:rsidR="006525A7">
        <w:t xml:space="preserve">In-country local knowledge, networks, contacts and expertise is vital for implementing large scale response programs such as VAHSI </w:t>
      </w:r>
    </w:p>
    <w:p w14:paraId="604BC14A" w14:textId="4B7722EE" w:rsidR="00536CE4" w:rsidRPr="00477F8F" w:rsidRDefault="00536CE4" w:rsidP="00CB41E6">
      <w:pPr>
        <w:pStyle w:val="bullet"/>
        <w:jc w:val="both"/>
      </w:pPr>
      <w:r w:rsidRPr="7E56B70C">
        <w:rPr>
          <w:b/>
          <w:bCs/>
        </w:rPr>
        <w:t>Data</w:t>
      </w:r>
      <w:r w:rsidR="0081112E" w:rsidRPr="7E56B70C">
        <w:rPr>
          <w:b/>
          <w:bCs/>
        </w:rPr>
        <w:t xml:space="preserve"> and </w:t>
      </w:r>
      <w:r w:rsidR="639A2F83" w:rsidRPr="7E56B70C">
        <w:rPr>
          <w:b/>
          <w:bCs/>
        </w:rPr>
        <w:t>i</w:t>
      </w:r>
      <w:r w:rsidR="0081112E" w:rsidRPr="7E56B70C">
        <w:rPr>
          <w:b/>
          <w:bCs/>
        </w:rPr>
        <w:t>nformation</w:t>
      </w:r>
      <w:r w:rsidR="001A33CA" w:rsidRPr="7E56B70C">
        <w:rPr>
          <w:b/>
          <w:bCs/>
        </w:rPr>
        <w:t xml:space="preserve">: </w:t>
      </w:r>
      <w:r w:rsidR="009445CA">
        <w:t>It is essential to ensure</w:t>
      </w:r>
      <w:r w:rsidR="00712F55">
        <w:t xml:space="preserve"> </w:t>
      </w:r>
      <w:r w:rsidR="00EF2702">
        <w:t xml:space="preserve">timely </w:t>
      </w:r>
      <w:r w:rsidR="00283FDE">
        <w:t>dat</w:t>
      </w:r>
      <w:r w:rsidR="00C14ECE">
        <w:t>a</w:t>
      </w:r>
      <w:r w:rsidR="00283FDE">
        <w:t xml:space="preserve"> collection, </w:t>
      </w:r>
      <w:r w:rsidR="00EF2702">
        <w:t>reporting and</w:t>
      </w:r>
      <w:r>
        <w:t xml:space="preserve"> accurate information on how </w:t>
      </w:r>
      <w:r w:rsidR="008D6421">
        <w:t>a</w:t>
      </w:r>
      <w:r>
        <w:t xml:space="preserve"> country is </w:t>
      </w:r>
      <w:r w:rsidR="008D6421">
        <w:t>managing a</w:t>
      </w:r>
      <w:r>
        <w:t xml:space="preserve"> pandemic</w:t>
      </w:r>
      <w:r w:rsidR="00F85EA2">
        <w:t xml:space="preserve">, including national and sub-national </w:t>
      </w:r>
      <w:proofErr w:type="spellStart"/>
      <w:r w:rsidR="00F85EA2">
        <w:t>immunisation</w:t>
      </w:r>
      <w:proofErr w:type="spellEnd"/>
      <w:r w:rsidR="00F85EA2">
        <w:t xml:space="preserve"> and population data</w:t>
      </w:r>
      <w:r>
        <w:t>.</w:t>
      </w:r>
      <w:r w:rsidR="00585ACC">
        <w:t xml:space="preserve"> Delivery </w:t>
      </w:r>
      <w:r w:rsidR="00473E91">
        <w:t xml:space="preserve">support </w:t>
      </w:r>
      <w:r w:rsidR="00585ACC">
        <w:t xml:space="preserve">partners need to be informed of minimum data requirements at the outset and processes for collecting and </w:t>
      </w:r>
      <w:proofErr w:type="spellStart"/>
      <w:r w:rsidR="00585ACC">
        <w:t>analysing</w:t>
      </w:r>
      <w:proofErr w:type="spellEnd"/>
      <w:r w:rsidR="00585ACC">
        <w:t xml:space="preserve"> th</w:t>
      </w:r>
      <w:r w:rsidR="002E60A3">
        <w:t>ese</w:t>
      </w:r>
      <w:r w:rsidR="00585ACC">
        <w:t xml:space="preserve"> data be made clear – and fit for purpose. </w:t>
      </w:r>
    </w:p>
    <w:p w14:paraId="49CE44F2" w14:textId="4F91E41B" w:rsidR="00977F83" w:rsidRPr="00477F8F" w:rsidRDefault="00977F83" w:rsidP="00CB41E6">
      <w:pPr>
        <w:pStyle w:val="bullet"/>
        <w:jc w:val="both"/>
        <w:rPr>
          <w:b/>
        </w:rPr>
      </w:pPr>
      <w:r w:rsidRPr="006B0C6C">
        <w:rPr>
          <w:b/>
        </w:rPr>
        <w:t xml:space="preserve">Partner </w:t>
      </w:r>
      <w:r w:rsidR="006906C7">
        <w:rPr>
          <w:b/>
        </w:rPr>
        <w:t>s</w:t>
      </w:r>
      <w:r w:rsidRPr="006B0C6C">
        <w:rPr>
          <w:b/>
        </w:rPr>
        <w:t>election (GEDSI)</w:t>
      </w:r>
      <w:r w:rsidR="001A33CA" w:rsidRPr="00477F8F">
        <w:rPr>
          <w:b/>
        </w:rPr>
        <w:t xml:space="preserve">: </w:t>
      </w:r>
      <w:r w:rsidRPr="006B0C6C">
        <w:t>There</w:t>
      </w:r>
      <w:r w:rsidRPr="00477F8F">
        <w:t xml:space="preserve"> are</w:t>
      </w:r>
      <w:r w:rsidRPr="006B0C6C">
        <w:t xml:space="preserve"> significant benefits </w:t>
      </w:r>
      <w:r w:rsidR="006525A7">
        <w:t xml:space="preserve">to </w:t>
      </w:r>
      <w:r w:rsidRPr="006B0C6C">
        <w:t xml:space="preserve">delivery </w:t>
      </w:r>
      <w:r w:rsidR="00473E91">
        <w:t xml:space="preserve">support </w:t>
      </w:r>
      <w:r w:rsidRPr="006B0C6C">
        <w:t xml:space="preserve">partners working with NGOs on the </w:t>
      </w:r>
      <w:proofErr w:type="gramStart"/>
      <w:r w:rsidRPr="006B0C6C">
        <w:t>ground</w:t>
      </w:r>
      <w:proofErr w:type="gramEnd"/>
      <w:r w:rsidRPr="006B0C6C">
        <w:t xml:space="preserve"> that ha</w:t>
      </w:r>
      <w:r w:rsidR="00102CBB">
        <w:t>ve</w:t>
      </w:r>
      <w:r w:rsidRPr="006B0C6C">
        <w:t xml:space="preserve"> pre-existing networks and relationships</w:t>
      </w:r>
      <w:r w:rsidR="006525A7">
        <w:t>. W</w:t>
      </w:r>
      <w:r w:rsidRPr="00477F8F">
        <w:t xml:space="preserve">here these </w:t>
      </w:r>
      <w:r w:rsidR="006525A7">
        <w:t>NGOs</w:t>
      </w:r>
      <w:r w:rsidRPr="00477F8F">
        <w:t xml:space="preserve"> are existing DFAT partners (through the Australian NGO Cooperation Program or Australian Humanitarian Partnership) with an understanding of DF</w:t>
      </w:r>
      <w:r w:rsidR="00913943" w:rsidRPr="00477F8F">
        <w:t>A</w:t>
      </w:r>
      <w:r w:rsidRPr="00477F8F">
        <w:t>T standards</w:t>
      </w:r>
      <w:r w:rsidR="00231D76">
        <w:t>,</w:t>
      </w:r>
      <w:r w:rsidRPr="00477F8F">
        <w:t xml:space="preserve"> attention to GEDSI can be amplified and expedited. </w:t>
      </w:r>
    </w:p>
    <w:p w14:paraId="2B702D0B" w14:textId="41AF50EA" w:rsidR="00913943" w:rsidRDefault="00977F83" w:rsidP="00CB41E6">
      <w:pPr>
        <w:pStyle w:val="bullet"/>
        <w:jc w:val="both"/>
        <w:rPr>
          <w:rFonts w:eastAsia="Calibri" w:cs="Calibri"/>
        </w:rPr>
      </w:pPr>
      <w:r w:rsidRPr="006B0C6C">
        <w:rPr>
          <w:b/>
        </w:rPr>
        <w:t xml:space="preserve">Role of </w:t>
      </w:r>
      <w:proofErr w:type="spellStart"/>
      <w:r w:rsidRPr="006B0C6C">
        <w:rPr>
          <w:b/>
        </w:rPr>
        <w:t>Organisations</w:t>
      </w:r>
      <w:proofErr w:type="spellEnd"/>
      <w:r w:rsidRPr="006B0C6C">
        <w:rPr>
          <w:b/>
        </w:rPr>
        <w:t xml:space="preserve"> of </w:t>
      </w:r>
      <w:r w:rsidR="006525A7">
        <w:rPr>
          <w:b/>
        </w:rPr>
        <w:t>Persons</w:t>
      </w:r>
      <w:r w:rsidR="006525A7" w:rsidRPr="006B0C6C">
        <w:rPr>
          <w:b/>
        </w:rPr>
        <w:t xml:space="preserve"> </w:t>
      </w:r>
      <w:r w:rsidRPr="006B0C6C">
        <w:rPr>
          <w:b/>
        </w:rPr>
        <w:t>with Disabilities (OPDs)</w:t>
      </w:r>
      <w:r w:rsidR="001A33CA" w:rsidRPr="006B0C6C">
        <w:t xml:space="preserve">: </w:t>
      </w:r>
      <w:r w:rsidRPr="006B0C6C">
        <w:rPr>
          <w:rFonts w:eastAsia="Calibri" w:cs="Calibri"/>
        </w:rPr>
        <w:t xml:space="preserve">The clear and strong role of OPDs and the benefits of in-country partners having strong connections (and or formal agreements) with these </w:t>
      </w:r>
      <w:proofErr w:type="spellStart"/>
      <w:r w:rsidRPr="006B0C6C">
        <w:rPr>
          <w:rFonts w:eastAsia="Calibri" w:cs="Calibri"/>
        </w:rPr>
        <w:t>organisations</w:t>
      </w:r>
      <w:proofErr w:type="spellEnd"/>
      <w:r w:rsidRPr="006B0C6C">
        <w:rPr>
          <w:rFonts w:eastAsia="Calibri" w:cs="Calibri"/>
        </w:rPr>
        <w:t xml:space="preserve"> can allow for rapid access to data and provide mechanisms for accessing people with disability for consultation and broader inclusion in subsequent programming.</w:t>
      </w:r>
    </w:p>
    <w:p w14:paraId="4B518E1F" w14:textId="77777777" w:rsidR="00133E7C" w:rsidRPr="00133E7C" w:rsidRDefault="00133E7C" w:rsidP="00133E7C">
      <w:pPr>
        <w:pStyle w:val="bullet"/>
        <w:numPr>
          <w:ilvl w:val="0"/>
          <w:numId w:val="0"/>
        </w:numPr>
        <w:ind w:left="717"/>
        <w:rPr>
          <w:rFonts w:eastAsia="Calibri" w:cs="Calibri"/>
        </w:rPr>
      </w:pPr>
    </w:p>
    <w:p w14:paraId="29AF04F8" w14:textId="5117B5EC" w:rsidR="51D2F4F1" w:rsidRPr="00AC58B3" w:rsidRDefault="1E3767FB" w:rsidP="0A544168">
      <w:pPr>
        <w:rPr>
          <w:b/>
          <w:bCs/>
          <w:u w:val="single"/>
        </w:rPr>
      </w:pPr>
      <w:r w:rsidRPr="00AC58B3">
        <w:rPr>
          <w:b/>
          <w:bCs/>
          <w:u w:val="single"/>
        </w:rPr>
        <w:t>Re</w:t>
      </w:r>
      <w:r w:rsidR="39A06B4C" w:rsidRPr="00AC58B3">
        <w:rPr>
          <w:b/>
          <w:bCs/>
          <w:u w:val="single"/>
        </w:rPr>
        <w:t>commendations</w:t>
      </w:r>
      <w:r w:rsidR="0E20B47C" w:rsidRPr="00AC58B3">
        <w:rPr>
          <w:b/>
          <w:bCs/>
          <w:u w:val="single"/>
        </w:rPr>
        <w:t>:</w:t>
      </w:r>
    </w:p>
    <w:p w14:paraId="2EBB8DD0" w14:textId="629D2EA3" w:rsidR="0032155F" w:rsidRPr="006B0C6C" w:rsidRDefault="0032155F" w:rsidP="0A544168">
      <w:r w:rsidRPr="006B0C6C">
        <w:t xml:space="preserve">The </w:t>
      </w:r>
      <w:r w:rsidR="00A865BE" w:rsidRPr="006B0C6C">
        <w:t xml:space="preserve">following recommendations highlight areas for </w:t>
      </w:r>
      <w:r w:rsidR="006525A7">
        <w:t xml:space="preserve">DFAT </w:t>
      </w:r>
      <w:r w:rsidR="00A865BE" w:rsidRPr="006B0C6C">
        <w:t xml:space="preserve">consideration </w:t>
      </w:r>
      <w:r w:rsidR="006525A7">
        <w:t>in</w:t>
      </w:r>
      <w:r w:rsidR="00A865BE" w:rsidRPr="006B0C6C">
        <w:t xml:space="preserve"> future large-scale emergency health responses</w:t>
      </w:r>
      <w:r w:rsidR="008D6421" w:rsidRPr="006B0C6C">
        <w:t>:</w:t>
      </w:r>
    </w:p>
    <w:p w14:paraId="1066E86A" w14:textId="5FEA78AB" w:rsidR="51D2F4F1" w:rsidRPr="006B0C6C" w:rsidRDefault="7EAC7003" w:rsidP="00C30814">
      <w:pPr>
        <w:pStyle w:val="ListParagraph"/>
        <w:numPr>
          <w:ilvl w:val="0"/>
          <w:numId w:val="20"/>
        </w:numPr>
        <w:jc w:val="both"/>
      </w:pPr>
      <w:r w:rsidRPr="006B0C6C">
        <w:t>DFAT should implement a</w:t>
      </w:r>
      <w:r w:rsidR="76DF916A" w:rsidRPr="006B0C6C">
        <w:t xml:space="preserve"> </w:t>
      </w:r>
      <w:r w:rsidR="3ABF4D95" w:rsidRPr="006B0C6C">
        <w:t xml:space="preserve">modality </w:t>
      </w:r>
      <w:proofErr w:type="gramStart"/>
      <w:r w:rsidR="3ABF4D95" w:rsidRPr="006B0C6C">
        <w:t>similar to</w:t>
      </w:r>
      <w:proofErr w:type="gramEnd"/>
      <w:r w:rsidR="3ABF4D95" w:rsidRPr="006B0C6C">
        <w:t xml:space="preserve"> VAHSI in future emergency situations for provision of vaccines (and potentially other emergency supplies), with emphasis on early bilateral support, as well as maintaining multilateral support.</w:t>
      </w:r>
      <w:r w:rsidR="4BB37E4A" w:rsidRPr="006B0C6C">
        <w:t xml:space="preserve"> </w:t>
      </w:r>
    </w:p>
    <w:p w14:paraId="3766BF5F" w14:textId="3BE53CBD" w:rsidR="51D2F4F1" w:rsidRPr="006B0C6C" w:rsidRDefault="00F03608" w:rsidP="00C30814">
      <w:pPr>
        <w:pStyle w:val="ListParagraph"/>
        <w:numPr>
          <w:ilvl w:val="0"/>
          <w:numId w:val="20"/>
        </w:numPr>
        <w:jc w:val="both"/>
      </w:pPr>
      <w:r>
        <w:t xml:space="preserve">DFAT should </w:t>
      </w:r>
      <w:r w:rsidR="006525A7">
        <w:t xml:space="preserve">facilitate </w:t>
      </w:r>
      <w:r>
        <w:t xml:space="preserve">rapid </w:t>
      </w:r>
      <w:r w:rsidR="3B7A2B83" w:rsidRPr="006B0C6C">
        <w:t>f</w:t>
      </w:r>
      <w:r w:rsidR="4BB37E4A" w:rsidRPr="006B0C6C">
        <w:t xml:space="preserve">unding approval processes </w:t>
      </w:r>
      <w:r w:rsidR="007B586C">
        <w:t>for delivery support proposals</w:t>
      </w:r>
      <w:r w:rsidR="4BB37E4A" w:rsidRPr="006B0C6C">
        <w:t xml:space="preserve"> </w:t>
      </w:r>
      <w:r w:rsidR="3E0F592F" w:rsidRPr="006B0C6C">
        <w:t>during an</w:t>
      </w:r>
      <w:r w:rsidR="4BB37E4A" w:rsidRPr="006B0C6C">
        <w:t xml:space="preserve"> emergency context.</w:t>
      </w:r>
    </w:p>
    <w:p w14:paraId="4B07BC27" w14:textId="5C1236D8" w:rsidR="51D2F4F1" w:rsidRPr="006B0C6C" w:rsidRDefault="008D6421" w:rsidP="00C30814">
      <w:pPr>
        <w:pStyle w:val="ListParagraph"/>
        <w:numPr>
          <w:ilvl w:val="0"/>
          <w:numId w:val="20"/>
        </w:numPr>
        <w:jc w:val="both"/>
      </w:pPr>
      <w:r w:rsidRPr="006B0C6C">
        <w:t xml:space="preserve">During interpandemic periods, DFAT should continue to </w:t>
      </w:r>
      <w:proofErr w:type="spellStart"/>
      <w:r w:rsidR="1AFEE534" w:rsidRPr="006B0C6C">
        <w:t>prioritis</w:t>
      </w:r>
      <w:r w:rsidR="61CAC985" w:rsidRPr="006B0C6C">
        <w:t>e</w:t>
      </w:r>
      <w:proofErr w:type="spellEnd"/>
      <w:r w:rsidR="1AFEE534" w:rsidRPr="006B0C6C">
        <w:t xml:space="preserve"> investment in </w:t>
      </w:r>
      <w:proofErr w:type="spellStart"/>
      <w:r w:rsidR="1AFEE534" w:rsidRPr="006B0C6C">
        <w:t>immunisation</w:t>
      </w:r>
      <w:proofErr w:type="spellEnd"/>
      <w:r w:rsidR="1AFEE534" w:rsidRPr="006B0C6C">
        <w:t xml:space="preserve"> support that will bui</w:t>
      </w:r>
      <w:r w:rsidR="477EB371" w:rsidRPr="006B0C6C">
        <w:t>ld capacities and</w:t>
      </w:r>
      <w:r w:rsidR="1AFEE534" w:rsidRPr="006B0C6C">
        <w:t xml:space="preserve"> </w:t>
      </w:r>
      <w:r w:rsidRPr="006B0C6C">
        <w:t xml:space="preserve">strengthen </w:t>
      </w:r>
      <w:r w:rsidR="51B307C2" w:rsidRPr="006B0C6C">
        <w:t xml:space="preserve">bilateral </w:t>
      </w:r>
      <w:r w:rsidR="270248C0" w:rsidRPr="006B0C6C">
        <w:t xml:space="preserve">relationships with country partners, </w:t>
      </w:r>
      <w:r w:rsidR="59617548" w:rsidRPr="006B0C6C">
        <w:t xml:space="preserve">as well as </w:t>
      </w:r>
      <w:r w:rsidR="270248C0" w:rsidRPr="006B0C6C">
        <w:t>in-country and multi-country agencies</w:t>
      </w:r>
      <w:r w:rsidR="004F73F2">
        <w:t>.</w:t>
      </w:r>
    </w:p>
    <w:p w14:paraId="1BFB40FF" w14:textId="4C585F6B" w:rsidR="51D2F4F1" w:rsidRPr="006B0C6C" w:rsidRDefault="4BB37E4A" w:rsidP="00C30814">
      <w:pPr>
        <w:pStyle w:val="ListParagraph"/>
        <w:numPr>
          <w:ilvl w:val="0"/>
          <w:numId w:val="20"/>
        </w:numPr>
        <w:jc w:val="both"/>
      </w:pPr>
      <w:r w:rsidRPr="006B0C6C">
        <w:t>DFAT should continue to advocate with partner governments for health systems strengthening that build</w:t>
      </w:r>
      <w:r w:rsidR="3E0F592F" w:rsidRPr="006B0C6C">
        <w:t>s</w:t>
      </w:r>
      <w:r w:rsidRPr="006B0C6C">
        <w:t xml:space="preserve"> upon the VAHSI investment and position</w:t>
      </w:r>
      <w:r w:rsidR="3E0F592F" w:rsidRPr="006B0C6C">
        <w:t>s</w:t>
      </w:r>
      <w:r w:rsidRPr="006B0C6C">
        <w:t xml:space="preserve"> countries for more resilience and preparedness for future emergencies.</w:t>
      </w:r>
    </w:p>
    <w:p w14:paraId="677D723E" w14:textId="59CC2AAE" w:rsidR="51D2F4F1" w:rsidRPr="006B0C6C" w:rsidRDefault="027EAEB2" w:rsidP="00C30814">
      <w:pPr>
        <w:pStyle w:val="ListParagraph"/>
        <w:numPr>
          <w:ilvl w:val="0"/>
          <w:numId w:val="20"/>
        </w:numPr>
        <w:jc w:val="both"/>
      </w:pPr>
      <w:r>
        <w:t xml:space="preserve">Prior to the end of VAHSI, </w:t>
      </w:r>
      <w:r w:rsidR="01D22A28">
        <w:t>DFAT should facilitate a</w:t>
      </w:r>
      <w:r w:rsidR="6DE710DD">
        <w:t xml:space="preserve"> knowledge sharing e</w:t>
      </w:r>
      <w:r w:rsidR="75F73253">
        <w:t>vent</w:t>
      </w:r>
      <w:r w:rsidR="6DE710DD">
        <w:t xml:space="preserve"> </w:t>
      </w:r>
      <w:r w:rsidR="4F95E136">
        <w:t>among</w:t>
      </w:r>
      <w:r w:rsidR="6DE710DD">
        <w:t xml:space="preserve"> </w:t>
      </w:r>
      <w:r w:rsidR="01D22A28">
        <w:t xml:space="preserve">VAHSI </w:t>
      </w:r>
      <w:r w:rsidR="6DE710DD">
        <w:t xml:space="preserve">delivery </w:t>
      </w:r>
      <w:r w:rsidR="00473E91">
        <w:t xml:space="preserve">support </w:t>
      </w:r>
      <w:r w:rsidR="6DE710DD">
        <w:t xml:space="preserve">partners to share the most salient partner learnings </w:t>
      </w:r>
      <w:r w:rsidR="01D22A28">
        <w:t xml:space="preserve">from implementation of the VAHSI initiative in </w:t>
      </w:r>
      <w:r w:rsidR="6DE710DD">
        <w:t>the Indo-Pacific region.</w:t>
      </w:r>
    </w:p>
    <w:p w14:paraId="030A7FF1" w14:textId="32F092E8" w:rsidR="009C16B2" w:rsidRDefault="7D4F9C8A" w:rsidP="00C30814">
      <w:pPr>
        <w:pStyle w:val="ListParagraph"/>
        <w:numPr>
          <w:ilvl w:val="0"/>
          <w:numId w:val="20"/>
        </w:numPr>
        <w:jc w:val="both"/>
      </w:pPr>
      <w:r>
        <w:t xml:space="preserve">DFAT should ensure that future health emergency response mechanisms are designed to </w:t>
      </w:r>
      <w:r w:rsidR="745EA49E">
        <w:t xml:space="preserve">enable </w:t>
      </w:r>
      <w:r>
        <w:t>flexible deployment of</w:t>
      </w:r>
      <w:r w:rsidR="58AD943E">
        <w:t xml:space="preserve"> support,</w:t>
      </w:r>
      <w:r>
        <w:t xml:space="preserve"> resources and programmatic changes</w:t>
      </w:r>
      <w:r w:rsidR="58AD943E">
        <w:t xml:space="preserve"> in response to</w:t>
      </w:r>
      <w:r>
        <w:t xml:space="preserve"> changing partner country needs</w:t>
      </w:r>
      <w:r w:rsidR="58AD943E">
        <w:t xml:space="preserve"> and priorities.</w:t>
      </w:r>
    </w:p>
    <w:p w14:paraId="5C4CAD0C" w14:textId="77777777" w:rsidR="00A60467" w:rsidRDefault="6E8AC491" w:rsidP="00C30814">
      <w:pPr>
        <w:pStyle w:val="ListParagraph"/>
        <w:numPr>
          <w:ilvl w:val="0"/>
          <w:numId w:val="20"/>
        </w:numPr>
        <w:jc w:val="both"/>
      </w:pPr>
      <w:r>
        <w:t>If not already in place, or under</w:t>
      </w:r>
      <w:r w:rsidR="57242416">
        <w:t xml:space="preserve"> development</w:t>
      </w:r>
      <w:r>
        <w:t xml:space="preserve">, </w:t>
      </w:r>
      <w:r w:rsidR="510C56A0">
        <w:t xml:space="preserve">DFAT should </w:t>
      </w:r>
      <w:r>
        <w:t>c</w:t>
      </w:r>
      <w:r w:rsidR="50EBE802">
        <w:t xml:space="preserve">onsider </w:t>
      </w:r>
      <w:r w:rsidR="0295D5A8">
        <w:t>establishing</w:t>
      </w:r>
      <w:r w:rsidR="50EBE802">
        <w:t xml:space="preserve"> an emergency</w:t>
      </w:r>
      <w:r w:rsidR="008808DF">
        <w:t xml:space="preserve"> </w:t>
      </w:r>
      <w:r w:rsidR="50EBE802">
        <w:t xml:space="preserve">staffing </w:t>
      </w:r>
      <w:r w:rsidR="50949044">
        <w:t>plan</w:t>
      </w:r>
      <w:r w:rsidR="50EBE802">
        <w:t xml:space="preserve"> </w:t>
      </w:r>
      <w:r w:rsidR="43D0A7BF">
        <w:t xml:space="preserve">to be able to respond quickly to staffing needs in </w:t>
      </w:r>
      <w:r w:rsidR="50EBE802">
        <w:t>a regional health emergency response.</w:t>
      </w:r>
    </w:p>
    <w:p w14:paraId="0BC462C7" w14:textId="03761C9D" w:rsidR="00473E91" w:rsidRDefault="5FC17A75" w:rsidP="00C30814">
      <w:pPr>
        <w:pStyle w:val="ListParagraph"/>
        <w:numPr>
          <w:ilvl w:val="0"/>
          <w:numId w:val="20"/>
        </w:numPr>
        <w:jc w:val="both"/>
      </w:pPr>
      <w:r w:rsidRPr="00A60467">
        <w:t>DFAT should e</w:t>
      </w:r>
      <w:r w:rsidR="6B4E40AE" w:rsidRPr="00A60467">
        <w:t xml:space="preserve">nsure </w:t>
      </w:r>
      <w:r w:rsidRPr="00A60467">
        <w:t xml:space="preserve">the </w:t>
      </w:r>
      <w:r w:rsidR="6B4E40AE" w:rsidRPr="00A60467">
        <w:t>development and use of a</w:t>
      </w:r>
      <w:r w:rsidR="00A60467">
        <w:t>n</w:t>
      </w:r>
      <w:r w:rsidR="6B4E40AE" w:rsidRPr="00A60467">
        <w:t xml:space="preserve"> MEL Plan for complex investments. In addition to a Performance Assessment Framework (PAF), DFAT investments should include an overarching MEL Plan to better articulate broader management of MEL including how different types of data are collected and how progress towards, and achievement of outcomes, are measured </w:t>
      </w:r>
      <w:r w:rsidR="07181602" w:rsidRPr="00A60467">
        <w:t>(</w:t>
      </w:r>
      <w:r w:rsidR="6B4E40AE" w:rsidRPr="00A60467">
        <w:t>and by whom</w:t>
      </w:r>
      <w:r w:rsidR="07181602" w:rsidRPr="00A60467">
        <w:t>)</w:t>
      </w:r>
      <w:r w:rsidR="6B4E40AE" w:rsidRPr="00A60467">
        <w:t>.</w:t>
      </w:r>
      <w:r w:rsidR="7FAD93EB" w:rsidRPr="00A60467">
        <w:t xml:space="preserve"> This should be communicated to delivery </w:t>
      </w:r>
      <w:r w:rsidR="006874E4">
        <w:t xml:space="preserve">support </w:t>
      </w:r>
      <w:r w:rsidR="7FAD93EB" w:rsidRPr="00A60467">
        <w:t xml:space="preserve">partners </w:t>
      </w:r>
      <w:r w:rsidR="006906C7" w:rsidRPr="00A60467">
        <w:t xml:space="preserve">up front </w:t>
      </w:r>
      <w:r w:rsidR="7FAD93EB" w:rsidRPr="00A60467">
        <w:t>in a MEL Guide that describes</w:t>
      </w:r>
      <w:r w:rsidR="00473E91">
        <w:t>:</w:t>
      </w:r>
    </w:p>
    <w:p w14:paraId="798E22A2" w14:textId="77777777" w:rsidR="00473E91" w:rsidRPr="00473E91" w:rsidRDefault="7FAD93EB" w:rsidP="00C30814">
      <w:pPr>
        <w:pStyle w:val="ListParagraph"/>
        <w:numPr>
          <w:ilvl w:val="0"/>
          <w:numId w:val="22"/>
        </w:numPr>
        <w:jc w:val="both"/>
      </w:pPr>
      <w:r w:rsidRPr="00473E91">
        <w:rPr>
          <w:rFonts w:eastAsia="Calibri" w:cs="Calibri"/>
        </w:rPr>
        <w:t xml:space="preserve">minimum data and reporting requirements </w:t>
      </w:r>
    </w:p>
    <w:p w14:paraId="71157658" w14:textId="787C4F4F" w:rsidR="00473E91" w:rsidRPr="00473E91" w:rsidRDefault="7FAD93EB" w:rsidP="00C30814">
      <w:pPr>
        <w:pStyle w:val="ListParagraph"/>
        <w:numPr>
          <w:ilvl w:val="0"/>
          <w:numId w:val="22"/>
        </w:numPr>
        <w:jc w:val="both"/>
      </w:pPr>
      <w:r w:rsidRPr="00473E91">
        <w:rPr>
          <w:rFonts w:eastAsia="Calibri" w:cs="Calibri"/>
        </w:rPr>
        <w:t xml:space="preserve">a process to ensure that these are understood and accepted by all funded delivery </w:t>
      </w:r>
      <w:r w:rsidR="00473E91">
        <w:rPr>
          <w:rFonts w:eastAsia="Calibri" w:cs="Calibri"/>
        </w:rPr>
        <w:t xml:space="preserve">support </w:t>
      </w:r>
      <w:r w:rsidRPr="00473E91">
        <w:rPr>
          <w:rFonts w:eastAsia="Calibri" w:cs="Calibri"/>
        </w:rPr>
        <w:t>partners</w:t>
      </w:r>
      <w:r w:rsidR="00C30814">
        <w:rPr>
          <w:rFonts w:eastAsia="Calibri" w:cs="Calibri"/>
        </w:rPr>
        <w:t>, and</w:t>
      </w:r>
    </w:p>
    <w:p w14:paraId="409C5A51" w14:textId="77777777" w:rsidR="00C30814" w:rsidRDefault="7FAD93EB" w:rsidP="00C30814">
      <w:pPr>
        <w:pStyle w:val="ListParagraph"/>
        <w:numPr>
          <w:ilvl w:val="0"/>
          <w:numId w:val="22"/>
        </w:numPr>
        <w:jc w:val="both"/>
      </w:pPr>
      <w:r w:rsidRPr="00473E91">
        <w:rPr>
          <w:rFonts w:eastAsia="Calibri" w:cs="Calibri"/>
        </w:rPr>
        <w:t>that systems are in place for ensuring quality/compliance with these requirements.</w:t>
      </w:r>
      <w:r w:rsidR="4200821D" w:rsidRPr="4A351EF4">
        <w:t xml:space="preserve"> </w:t>
      </w:r>
    </w:p>
    <w:p w14:paraId="49C0BB41" w14:textId="4C559197" w:rsidR="00A60467" w:rsidRPr="00C30814" w:rsidRDefault="00320849" w:rsidP="00C30814">
      <w:pPr>
        <w:ind w:left="720"/>
        <w:jc w:val="both"/>
      </w:pPr>
      <w:r>
        <w:t xml:space="preserve">Any changes in data or reporting requirements should be effectively communicated to partners. </w:t>
      </w:r>
      <w:r w:rsidR="467D18A5" w:rsidRPr="00C30814">
        <w:rPr>
          <w:rFonts w:ascii="Calibri" w:eastAsia="Calibri" w:hAnsi="Calibri" w:cs="Calibri"/>
          <w:szCs w:val="22"/>
        </w:rPr>
        <w:t>Where an overarching PAF is focused on End of Program Outcomes – the MEL Plan should include a description of ‘fit for purpose’ tools or processes (for example, Dashboards or streamlined Annual Reports) to better enable DFAT progress monitoring at the investment level.</w:t>
      </w:r>
      <w:r w:rsidR="00A60467" w:rsidRPr="00C30814">
        <w:rPr>
          <w:rFonts w:eastAsia="Calibri" w:cs="Calibri"/>
        </w:rPr>
        <w:t xml:space="preserve"> </w:t>
      </w:r>
    </w:p>
    <w:p w14:paraId="362F867B" w14:textId="63D778CB" w:rsidR="000609CC" w:rsidRPr="00C30814" w:rsidRDefault="00A60467" w:rsidP="00C30814">
      <w:pPr>
        <w:pStyle w:val="ListParagraph"/>
        <w:numPr>
          <w:ilvl w:val="0"/>
          <w:numId w:val="20"/>
        </w:numPr>
        <w:jc w:val="both"/>
        <w:rPr>
          <w:rFonts w:ascii="Calibri" w:eastAsia="Calibri" w:hAnsi="Calibri" w:cs="Calibri"/>
          <w:szCs w:val="22"/>
        </w:rPr>
      </w:pPr>
      <w:r w:rsidRPr="00C30814">
        <w:rPr>
          <w:rFonts w:eastAsia="Calibri" w:cs="Calibri"/>
        </w:rPr>
        <w:t>I</w:t>
      </w:r>
      <w:r w:rsidR="2ECB10B7" w:rsidRPr="00C30814">
        <w:rPr>
          <w:rFonts w:eastAsia="Calibri" w:cs="Calibri"/>
        </w:rPr>
        <w:t xml:space="preserve">n recognition of the significant value-add of OPDs to disability inclusion in these situations, DFAT should ensure ongoing support to OPDs, inclusive of supporting DFAT-funded delivery </w:t>
      </w:r>
      <w:r w:rsidR="006874E4">
        <w:rPr>
          <w:rFonts w:eastAsia="Calibri" w:cs="Calibri"/>
        </w:rPr>
        <w:t xml:space="preserve">support </w:t>
      </w:r>
      <w:r w:rsidR="2ECB10B7" w:rsidRPr="00C30814">
        <w:rPr>
          <w:rFonts w:eastAsia="Calibri" w:cs="Calibri"/>
        </w:rPr>
        <w:t xml:space="preserve">partners to foster formal and long-term partnerships with OPDs. There may also be a role for DFAT and its delivery </w:t>
      </w:r>
      <w:r w:rsidR="006874E4">
        <w:rPr>
          <w:rFonts w:eastAsia="Calibri" w:cs="Calibri"/>
        </w:rPr>
        <w:t xml:space="preserve">support </w:t>
      </w:r>
      <w:r w:rsidR="2ECB10B7" w:rsidRPr="00C30814">
        <w:rPr>
          <w:rFonts w:eastAsia="Calibri" w:cs="Calibri"/>
        </w:rPr>
        <w:t>partners to advocate for the inclusion of OPDs in ministry-level planning and coordination meetings.</w:t>
      </w:r>
    </w:p>
    <w:p w14:paraId="159E4462" w14:textId="6E7616F1" w:rsidR="00F003BE" w:rsidRPr="006B0C6C" w:rsidRDefault="00F003BE">
      <w:pPr>
        <w:spacing w:after="160" w:line="259" w:lineRule="auto"/>
      </w:pPr>
      <w:r w:rsidRPr="006B0C6C">
        <w:br w:type="page"/>
      </w:r>
    </w:p>
    <w:bookmarkStart w:id="3" w:name="_Toc479856687" w:displacedByCustomXml="next"/>
    <w:sdt>
      <w:sdtPr>
        <w:rPr>
          <w:rFonts w:asciiTheme="minorHAnsi" w:eastAsia="Times New Roman" w:hAnsiTheme="minorHAnsi" w:cs="Mangal"/>
          <w:color w:val="auto"/>
          <w:sz w:val="22"/>
          <w:szCs w:val="24"/>
          <w:lang w:val="en-AU" w:eastAsia="ja-JP" w:bidi="hi-IN"/>
        </w:rPr>
        <w:id w:val="1924533927"/>
        <w:docPartObj>
          <w:docPartGallery w:val="Table of Contents"/>
          <w:docPartUnique/>
        </w:docPartObj>
      </w:sdtPr>
      <w:sdtEndPr>
        <w:rPr>
          <w:b/>
          <w:bCs/>
          <w:noProof/>
        </w:rPr>
      </w:sdtEndPr>
      <w:sdtContent>
        <w:p w14:paraId="54037A12" w14:textId="3DCB3FCE" w:rsidR="00742523" w:rsidRDefault="00742523">
          <w:pPr>
            <w:pStyle w:val="TOCHeading"/>
          </w:pPr>
          <w:r>
            <w:t>Table of Contents</w:t>
          </w:r>
        </w:p>
        <w:p w14:paraId="1B21AA87" w14:textId="25A7BC84" w:rsidR="00E8051E" w:rsidRDefault="00742523">
          <w:pPr>
            <w:pStyle w:val="TOC1"/>
            <w:rPr>
              <w:rFonts w:eastAsiaTheme="minorEastAsia" w:cstheme="minorBidi"/>
              <w:b w:val="0"/>
              <w:noProof/>
              <w:kern w:val="2"/>
              <w:sz w:val="24"/>
              <w:lang w:eastAsia="en-AU" w:bidi="ar-SA"/>
              <w14:ligatures w14:val="standardContextual"/>
            </w:rPr>
          </w:pPr>
          <w:r>
            <w:fldChar w:fldCharType="begin"/>
          </w:r>
          <w:r>
            <w:instrText xml:space="preserve"> TOC \o "1-3" \h \z \u </w:instrText>
          </w:r>
          <w:r>
            <w:fldChar w:fldCharType="separate"/>
          </w:r>
          <w:hyperlink w:anchor="_Toc200617250" w:history="1">
            <w:r w:rsidR="00E8051E" w:rsidRPr="00AC5A42">
              <w:rPr>
                <w:rStyle w:val="Hyperlink"/>
                <w:noProof/>
              </w:rPr>
              <w:t>1.</w:t>
            </w:r>
            <w:r w:rsidR="00E8051E">
              <w:rPr>
                <w:rFonts w:eastAsiaTheme="minorEastAsia" w:cstheme="minorBidi"/>
                <w:b w:val="0"/>
                <w:noProof/>
                <w:kern w:val="2"/>
                <w:sz w:val="24"/>
                <w:lang w:eastAsia="en-AU" w:bidi="ar-SA"/>
                <w14:ligatures w14:val="standardContextual"/>
              </w:rPr>
              <w:tab/>
            </w:r>
            <w:r w:rsidR="00E8051E" w:rsidRPr="00AC5A42">
              <w:rPr>
                <w:rStyle w:val="Hyperlink"/>
                <w:noProof/>
              </w:rPr>
              <w:t>Introduction</w:t>
            </w:r>
            <w:r w:rsidR="00E8051E">
              <w:rPr>
                <w:noProof/>
                <w:webHidden/>
              </w:rPr>
              <w:tab/>
            </w:r>
            <w:r w:rsidR="00E8051E">
              <w:rPr>
                <w:noProof/>
                <w:webHidden/>
              </w:rPr>
              <w:fldChar w:fldCharType="begin"/>
            </w:r>
            <w:r w:rsidR="00E8051E">
              <w:rPr>
                <w:noProof/>
                <w:webHidden/>
              </w:rPr>
              <w:instrText xml:space="preserve"> PAGEREF _Toc200617250 \h </w:instrText>
            </w:r>
            <w:r w:rsidR="00E8051E">
              <w:rPr>
                <w:noProof/>
                <w:webHidden/>
              </w:rPr>
            </w:r>
            <w:r w:rsidR="00E8051E">
              <w:rPr>
                <w:noProof/>
                <w:webHidden/>
              </w:rPr>
              <w:fldChar w:fldCharType="separate"/>
            </w:r>
            <w:r w:rsidR="00E8051E">
              <w:rPr>
                <w:noProof/>
                <w:webHidden/>
              </w:rPr>
              <w:t>3</w:t>
            </w:r>
            <w:r w:rsidR="00E8051E">
              <w:rPr>
                <w:noProof/>
                <w:webHidden/>
              </w:rPr>
              <w:fldChar w:fldCharType="end"/>
            </w:r>
          </w:hyperlink>
        </w:p>
        <w:p w14:paraId="7597BA08" w14:textId="3CD02F7B" w:rsidR="00E8051E" w:rsidRDefault="00E8051E">
          <w:pPr>
            <w:pStyle w:val="TOC1"/>
            <w:rPr>
              <w:rFonts w:eastAsiaTheme="minorEastAsia" w:cstheme="minorBidi"/>
              <w:b w:val="0"/>
              <w:noProof/>
              <w:kern w:val="2"/>
              <w:sz w:val="24"/>
              <w:lang w:eastAsia="en-AU" w:bidi="ar-SA"/>
              <w14:ligatures w14:val="standardContextual"/>
            </w:rPr>
          </w:pPr>
          <w:hyperlink w:anchor="_Toc200617251" w:history="1">
            <w:r w:rsidRPr="00AC5A42">
              <w:rPr>
                <w:rStyle w:val="Hyperlink"/>
                <w:noProof/>
              </w:rPr>
              <w:t>1.1.</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Context</w:t>
            </w:r>
            <w:r>
              <w:rPr>
                <w:noProof/>
                <w:webHidden/>
              </w:rPr>
              <w:tab/>
            </w:r>
            <w:r>
              <w:rPr>
                <w:noProof/>
                <w:webHidden/>
              </w:rPr>
              <w:fldChar w:fldCharType="begin"/>
            </w:r>
            <w:r>
              <w:rPr>
                <w:noProof/>
                <w:webHidden/>
              </w:rPr>
              <w:instrText xml:space="preserve"> PAGEREF _Toc200617251 \h </w:instrText>
            </w:r>
            <w:r>
              <w:rPr>
                <w:noProof/>
                <w:webHidden/>
              </w:rPr>
            </w:r>
            <w:r>
              <w:rPr>
                <w:noProof/>
                <w:webHidden/>
              </w:rPr>
              <w:fldChar w:fldCharType="separate"/>
            </w:r>
            <w:r>
              <w:rPr>
                <w:noProof/>
                <w:webHidden/>
              </w:rPr>
              <w:t>3</w:t>
            </w:r>
            <w:r>
              <w:rPr>
                <w:noProof/>
                <w:webHidden/>
              </w:rPr>
              <w:fldChar w:fldCharType="end"/>
            </w:r>
          </w:hyperlink>
        </w:p>
        <w:p w14:paraId="58C8BF90" w14:textId="77E5A635" w:rsidR="00E8051E" w:rsidRDefault="00E8051E">
          <w:pPr>
            <w:pStyle w:val="TOC1"/>
            <w:rPr>
              <w:rFonts w:eastAsiaTheme="minorEastAsia" w:cstheme="minorBidi"/>
              <w:b w:val="0"/>
              <w:noProof/>
              <w:kern w:val="2"/>
              <w:sz w:val="24"/>
              <w:lang w:eastAsia="en-AU" w:bidi="ar-SA"/>
              <w14:ligatures w14:val="standardContextual"/>
            </w:rPr>
          </w:pPr>
          <w:hyperlink w:anchor="_Toc200617252" w:history="1">
            <w:r w:rsidRPr="00AC5A42">
              <w:rPr>
                <w:rStyle w:val="Hyperlink"/>
                <w:rFonts w:ascii="Calibri" w:eastAsia="Calibri" w:hAnsi="Calibri" w:cs="Calibri"/>
                <w:noProof/>
              </w:rPr>
              <w:t>1.2.</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Program overview</w:t>
            </w:r>
            <w:r>
              <w:rPr>
                <w:noProof/>
                <w:webHidden/>
              </w:rPr>
              <w:tab/>
            </w:r>
            <w:r>
              <w:rPr>
                <w:noProof/>
                <w:webHidden/>
              </w:rPr>
              <w:fldChar w:fldCharType="begin"/>
            </w:r>
            <w:r>
              <w:rPr>
                <w:noProof/>
                <w:webHidden/>
              </w:rPr>
              <w:instrText xml:space="preserve"> PAGEREF _Toc200617252 \h </w:instrText>
            </w:r>
            <w:r>
              <w:rPr>
                <w:noProof/>
                <w:webHidden/>
              </w:rPr>
            </w:r>
            <w:r>
              <w:rPr>
                <w:noProof/>
                <w:webHidden/>
              </w:rPr>
              <w:fldChar w:fldCharType="separate"/>
            </w:r>
            <w:r>
              <w:rPr>
                <w:noProof/>
                <w:webHidden/>
              </w:rPr>
              <w:t>4</w:t>
            </w:r>
            <w:r>
              <w:rPr>
                <w:noProof/>
                <w:webHidden/>
              </w:rPr>
              <w:fldChar w:fldCharType="end"/>
            </w:r>
          </w:hyperlink>
        </w:p>
        <w:p w14:paraId="2869DE7E" w14:textId="085F2F51" w:rsidR="00E8051E" w:rsidRDefault="00E8051E">
          <w:pPr>
            <w:pStyle w:val="TOC1"/>
            <w:rPr>
              <w:rFonts w:eastAsiaTheme="minorEastAsia" w:cstheme="minorBidi"/>
              <w:b w:val="0"/>
              <w:noProof/>
              <w:kern w:val="2"/>
              <w:sz w:val="24"/>
              <w:lang w:eastAsia="en-AU" w:bidi="ar-SA"/>
              <w14:ligatures w14:val="standardContextual"/>
            </w:rPr>
          </w:pPr>
          <w:hyperlink w:anchor="_Toc200617253" w:history="1">
            <w:r w:rsidRPr="00AC5A42">
              <w:rPr>
                <w:rStyle w:val="Hyperlink"/>
                <w:rFonts w:ascii="Calibri" w:eastAsia="Calibri" w:hAnsi="Calibri" w:cs="Calibri"/>
                <w:noProof/>
              </w:rPr>
              <w:t>1.3.</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Purpose of this evaluation</w:t>
            </w:r>
            <w:r>
              <w:rPr>
                <w:noProof/>
                <w:webHidden/>
              </w:rPr>
              <w:tab/>
            </w:r>
            <w:r>
              <w:rPr>
                <w:noProof/>
                <w:webHidden/>
              </w:rPr>
              <w:fldChar w:fldCharType="begin"/>
            </w:r>
            <w:r>
              <w:rPr>
                <w:noProof/>
                <w:webHidden/>
              </w:rPr>
              <w:instrText xml:space="preserve"> PAGEREF _Toc200617253 \h </w:instrText>
            </w:r>
            <w:r>
              <w:rPr>
                <w:noProof/>
                <w:webHidden/>
              </w:rPr>
            </w:r>
            <w:r>
              <w:rPr>
                <w:noProof/>
                <w:webHidden/>
              </w:rPr>
              <w:fldChar w:fldCharType="separate"/>
            </w:r>
            <w:r>
              <w:rPr>
                <w:noProof/>
                <w:webHidden/>
              </w:rPr>
              <w:t>5</w:t>
            </w:r>
            <w:r>
              <w:rPr>
                <w:noProof/>
                <w:webHidden/>
              </w:rPr>
              <w:fldChar w:fldCharType="end"/>
            </w:r>
          </w:hyperlink>
        </w:p>
        <w:p w14:paraId="00893FD3" w14:textId="27F49215" w:rsidR="00E8051E" w:rsidRDefault="00E8051E">
          <w:pPr>
            <w:pStyle w:val="TOC1"/>
            <w:rPr>
              <w:rFonts w:eastAsiaTheme="minorEastAsia" w:cstheme="minorBidi"/>
              <w:b w:val="0"/>
              <w:noProof/>
              <w:kern w:val="2"/>
              <w:sz w:val="24"/>
              <w:lang w:eastAsia="en-AU" w:bidi="ar-SA"/>
              <w14:ligatures w14:val="standardContextual"/>
            </w:rPr>
          </w:pPr>
          <w:hyperlink w:anchor="_Toc200617254" w:history="1">
            <w:r w:rsidRPr="00AC5A42">
              <w:rPr>
                <w:rStyle w:val="Hyperlink"/>
                <w:noProof/>
              </w:rPr>
              <w:t>2.</w:t>
            </w:r>
            <w:r>
              <w:rPr>
                <w:rFonts w:eastAsiaTheme="minorEastAsia" w:cstheme="minorBidi"/>
                <w:b w:val="0"/>
                <w:noProof/>
                <w:kern w:val="2"/>
                <w:sz w:val="24"/>
                <w:lang w:eastAsia="en-AU" w:bidi="ar-SA"/>
                <w14:ligatures w14:val="standardContextual"/>
              </w:rPr>
              <w:tab/>
            </w:r>
            <w:r w:rsidRPr="00AC5A42">
              <w:rPr>
                <w:rStyle w:val="Hyperlink"/>
                <w:noProof/>
              </w:rPr>
              <w:t>Methodology</w:t>
            </w:r>
            <w:r>
              <w:rPr>
                <w:noProof/>
                <w:webHidden/>
              </w:rPr>
              <w:tab/>
            </w:r>
            <w:r>
              <w:rPr>
                <w:noProof/>
                <w:webHidden/>
              </w:rPr>
              <w:fldChar w:fldCharType="begin"/>
            </w:r>
            <w:r>
              <w:rPr>
                <w:noProof/>
                <w:webHidden/>
              </w:rPr>
              <w:instrText xml:space="preserve"> PAGEREF _Toc200617254 \h </w:instrText>
            </w:r>
            <w:r>
              <w:rPr>
                <w:noProof/>
                <w:webHidden/>
              </w:rPr>
            </w:r>
            <w:r>
              <w:rPr>
                <w:noProof/>
                <w:webHidden/>
              </w:rPr>
              <w:fldChar w:fldCharType="separate"/>
            </w:r>
            <w:r>
              <w:rPr>
                <w:noProof/>
                <w:webHidden/>
              </w:rPr>
              <w:t>5</w:t>
            </w:r>
            <w:r>
              <w:rPr>
                <w:noProof/>
                <w:webHidden/>
              </w:rPr>
              <w:fldChar w:fldCharType="end"/>
            </w:r>
          </w:hyperlink>
        </w:p>
        <w:p w14:paraId="2C623009" w14:textId="54952A54" w:rsidR="00E8051E" w:rsidRDefault="00E8051E">
          <w:pPr>
            <w:pStyle w:val="TOC1"/>
            <w:rPr>
              <w:rFonts w:eastAsiaTheme="minorEastAsia" w:cstheme="minorBidi"/>
              <w:b w:val="0"/>
              <w:noProof/>
              <w:kern w:val="2"/>
              <w:sz w:val="24"/>
              <w:lang w:eastAsia="en-AU" w:bidi="ar-SA"/>
              <w14:ligatures w14:val="standardContextual"/>
            </w:rPr>
          </w:pPr>
          <w:hyperlink w:anchor="_Toc200617255" w:history="1">
            <w:r w:rsidRPr="00AC5A42">
              <w:rPr>
                <w:rStyle w:val="Hyperlink"/>
                <w:rFonts w:ascii="Calibri" w:eastAsia="Calibri" w:hAnsi="Calibri" w:cs="Calibri"/>
                <w:noProof/>
              </w:rPr>
              <w:t>2.1.</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Approach</w:t>
            </w:r>
            <w:r>
              <w:rPr>
                <w:noProof/>
                <w:webHidden/>
              </w:rPr>
              <w:tab/>
            </w:r>
            <w:r>
              <w:rPr>
                <w:noProof/>
                <w:webHidden/>
              </w:rPr>
              <w:fldChar w:fldCharType="begin"/>
            </w:r>
            <w:r>
              <w:rPr>
                <w:noProof/>
                <w:webHidden/>
              </w:rPr>
              <w:instrText xml:space="preserve"> PAGEREF _Toc200617255 \h </w:instrText>
            </w:r>
            <w:r>
              <w:rPr>
                <w:noProof/>
                <w:webHidden/>
              </w:rPr>
            </w:r>
            <w:r>
              <w:rPr>
                <w:noProof/>
                <w:webHidden/>
              </w:rPr>
              <w:fldChar w:fldCharType="separate"/>
            </w:r>
            <w:r>
              <w:rPr>
                <w:noProof/>
                <w:webHidden/>
              </w:rPr>
              <w:t>5</w:t>
            </w:r>
            <w:r>
              <w:rPr>
                <w:noProof/>
                <w:webHidden/>
              </w:rPr>
              <w:fldChar w:fldCharType="end"/>
            </w:r>
          </w:hyperlink>
        </w:p>
        <w:p w14:paraId="4DD98D74" w14:textId="40DE670E" w:rsidR="00E8051E" w:rsidRDefault="00E8051E">
          <w:pPr>
            <w:pStyle w:val="TOC1"/>
            <w:rPr>
              <w:rFonts w:eastAsiaTheme="minorEastAsia" w:cstheme="minorBidi"/>
              <w:b w:val="0"/>
              <w:noProof/>
              <w:kern w:val="2"/>
              <w:sz w:val="24"/>
              <w:lang w:eastAsia="en-AU" w:bidi="ar-SA"/>
              <w14:ligatures w14:val="standardContextual"/>
            </w:rPr>
          </w:pPr>
          <w:hyperlink w:anchor="_Toc200617256" w:history="1">
            <w:r w:rsidRPr="00AC5A42">
              <w:rPr>
                <w:rStyle w:val="Hyperlink"/>
                <w:rFonts w:ascii="Calibri" w:eastAsia="Calibri" w:hAnsi="Calibri" w:cs="Calibri"/>
                <w:noProof/>
              </w:rPr>
              <w:t>2.2.</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Evaluation Questions</w:t>
            </w:r>
            <w:r>
              <w:rPr>
                <w:noProof/>
                <w:webHidden/>
              </w:rPr>
              <w:tab/>
            </w:r>
            <w:r>
              <w:rPr>
                <w:noProof/>
                <w:webHidden/>
              </w:rPr>
              <w:fldChar w:fldCharType="begin"/>
            </w:r>
            <w:r>
              <w:rPr>
                <w:noProof/>
                <w:webHidden/>
              </w:rPr>
              <w:instrText xml:space="preserve"> PAGEREF _Toc200617256 \h </w:instrText>
            </w:r>
            <w:r>
              <w:rPr>
                <w:noProof/>
                <w:webHidden/>
              </w:rPr>
            </w:r>
            <w:r>
              <w:rPr>
                <w:noProof/>
                <w:webHidden/>
              </w:rPr>
              <w:fldChar w:fldCharType="separate"/>
            </w:r>
            <w:r>
              <w:rPr>
                <w:noProof/>
                <w:webHidden/>
              </w:rPr>
              <w:t>6</w:t>
            </w:r>
            <w:r>
              <w:rPr>
                <w:noProof/>
                <w:webHidden/>
              </w:rPr>
              <w:fldChar w:fldCharType="end"/>
            </w:r>
          </w:hyperlink>
        </w:p>
        <w:p w14:paraId="2E148BB9" w14:textId="40A9A7EE" w:rsidR="00E8051E" w:rsidRDefault="00E8051E">
          <w:pPr>
            <w:pStyle w:val="TOC1"/>
            <w:rPr>
              <w:rFonts w:eastAsiaTheme="minorEastAsia" w:cstheme="minorBidi"/>
              <w:b w:val="0"/>
              <w:noProof/>
              <w:kern w:val="2"/>
              <w:sz w:val="24"/>
              <w:lang w:eastAsia="en-AU" w:bidi="ar-SA"/>
              <w14:ligatures w14:val="standardContextual"/>
            </w:rPr>
          </w:pPr>
          <w:hyperlink w:anchor="_Toc200617257" w:history="1">
            <w:r w:rsidRPr="00AC5A42">
              <w:rPr>
                <w:rStyle w:val="Hyperlink"/>
                <w:rFonts w:ascii="Calibri" w:eastAsia="Calibri" w:hAnsi="Calibri" w:cs="Calibri"/>
                <w:noProof/>
              </w:rPr>
              <w:t>2.3.</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Data collection</w:t>
            </w:r>
            <w:r>
              <w:rPr>
                <w:noProof/>
                <w:webHidden/>
              </w:rPr>
              <w:tab/>
            </w:r>
            <w:r>
              <w:rPr>
                <w:noProof/>
                <w:webHidden/>
              </w:rPr>
              <w:fldChar w:fldCharType="begin"/>
            </w:r>
            <w:r>
              <w:rPr>
                <w:noProof/>
                <w:webHidden/>
              </w:rPr>
              <w:instrText xml:space="preserve"> PAGEREF _Toc200617257 \h </w:instrText>
            </w:r>
            <w:r>
              <w:rPr>
                <w:noProof/>
                <w:webHidden/>
              </w:rPr>
            </w:r>
            <w:r>
              <w:rPr>
                <w:noProof/>
                <w:webHidden/>
              </w:rPr>
              <w:fldChar w:fldCharType="separate"/>
            </w:r>
            <w:r>
              <w:rPr>
                <w:noProof/>
                <w:webHidden/>
              </w:rPr>
              <w:t>6</w:t>
            </w:r>
            <w:r>
              <w:rPr>
                <w:noProof/>
                <w:webHidden/>
              </w:rPr>
              <w:fldChar w:fldCharType="end"/>
            </w:r>
          </w:hyperlink>
        </w:p>
        <w:p w14:paraId="6540FBA4" w14:textId="493BB335"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58" w:history="1">
            <w:r w:rsidRPr="00AC5A42">
              <w:rPr>
                <w:rStyle w:val="Hyperlink"/>
                <w:noProof/>
              </w:rPr>
              <w:t>2.3.1.</w:t>
            </w:r>
            <w:r>
              <w:rPr>
                <w:rFonts w:eastAsiaTheme="minorEastAsia" w:cstheme="minorBidi"/>
                <w:noProof/>
                <w:kern w:val="2"/>
                <w:sz w:val="24"/>
                <w:lang w:eastAsia="en-AU" w:bidi="ar-SA"/>
                <w14:ligatures w14:val="standardContextual"/>
              </w:rPr>
              <w:tab/>
            </w:r>
            <w:r w:rsidRPr="00AC5A42">
              <w:rPr>
                <w:rStyle w:val="Hyperlink"/>
                <w:noProof/>
              </w:rPr>
              <w:t>Document review</w:t>
            </w:r>
            <w:r>
              <w:rPr>
                <w:noProof/>
                <w:webHidden/>
              </w:rPr>
              <w:tab/>
            </w:r>
            <w:r>
              <w:rPr>
                <w:noProof/>
                <w:webHidden/>
              </w:rPr>
              <w:fldChar w:fldCharType="begin"/>
            </w:r>
            <w:r>
              <w:rPr>
                <w:noProof/>
                <w:webHidden/>
              </w:rPr>
              <w:instrText xml:space="preserve"> PAGEREF _Toc200617258 \h </w:instrText>
            </w:r>
            <w:r>
              <w:rPr>
                <w:noProof/>
                <w:webHidden/>
              </w:rPr>
            </w:r>
            <w:r>
              <w:rPr>
                <w:noProof/>
                <w:webHidden/>
              </w:rPr>
              <w:fldChar w:fldCharType="separate"/>
            </w:r>
            <w:r>
              <w:rPr>
                <w:noProof/>
                <w:webHidden/>
              </w:rPr>
              <w:t>6</w:t>
            </w:r>
            <w:r>
              <w:rPr>
                <w:noProof/>
                <w:webHidden/>
              </w:rPr>
              <w:fldChar w:fldCharType="end"/>
            </w:r>
          </w:hyperlink>
        </w:p>
        <w:p w14:paraId="0902AEB4" w14:textId="6564EE0C"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59" w:history="1">
            <w:r w:rsidRPr="00AC5A42">
              <w:rPr>
                <w:rStyle w:val="Hyperlink"/>
                <w:noProof/>
              </w:rPr>
              <w:t>2.3.2.</w:t>
            </w:r>
            <w:r>
              <w:rPr>
                <w:rFonts w:eastAsiaTheme="minorEastAsia" w:cstheme="minorBidi"/>
                <w:noProof/>
                <w:kern w:val="2"/>
                <w:sz w:val="24"/>
                <w:lang w:eastAsia="en-AU" w:bidi="ar-SA"/>
                <w14:ligatures w14:val="standardContextual"/>
              </w:rPr>
              <w:tab/>
            </w:r>
            <w:r w:rsidRPr="00AC5A42">
              <w:rPr>
                <w:rStyle w:val="Hyperlink"/>
                <w:noProof/>
              </w:rPr>
              <w:t>Key informant interviews</w:t>
            </w:r>
            <w:r>
              <w:rPr>
                <w:noProof/>
                <w:webHidden/>
              </w:rPr>
              <w:tab/>
            </w:r>
            <w:r>
              <w:rPr>
                <w:noProof/>
                <w:webHidden/>
              </w:rPr>
              <w:fldChar w:fldCharType="begin"/>
            </w:r>
            <w:r>
              <w:rPr>
                <w:noProof/>
                <w:webHidden/>
              </w:rPr>
              <w:instrText xml:space="preserve"> PAGEREF _Toc200617259 \h </w:instrText>
            </w:r>
            <w:r>
              <w:rPr>
                <w:noProof/>
                <w:webHidden/>
              </w:rPr>
            </w:r>
            <w:r>
              <w:rPr>
                <w:noProof/>
                <w:webHidden/>
              </w:rPr>
              <w:fldChar w:fldCharType="separate"/>
            </w:r>
            <w:r>
              <w:rPr>
                <w:noProof/>
                <w:webHidden/>
              </w:rPr>
              <w:t>6</w:t>
            </w:r>
            <w:r>
              <w:rPr>
                <w:noProof/>
                <w:webHidden/>
              </w:rPr>
              <w:fldChar w:fldCharType="end"/>
            </w:r>
          </w:hyperlink>
        </w:p>
        <w:p w14:paraId="46F4E6FD" w14:textId="5844C087"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60" w:history="1">
            <w:r w:rsidRPr="00AC5A42">
              <w:rPr>
                <w:rStyle w:val="Hyperlink"/>
                <w:noProof/>
              </w:rPr>
              <w:t>2.3.3.</w:t>
            </w:r>
            <w:r>
              <w:rPr>
                <w:rFonts w:eastAsiaTheme="minorEastAsia" w:cstheme="minorBidi"/>
                <w:noProof/>
                <w:kern w:val="2"/>
                <w:sz w:val="24"/>
                <w:lang w:eastAsia="en-AU" w:bidi="ar-SA"/>
                <w14:ligatures w14:val="standardContextual"/>
              </w:rPr>
              <w:tab/>
            </w:r>
            <w:r w:rsidRPr="00AC5A42">
              <w:rPr>
                <w:rStyle w:val="Hyperlink"/>
                <w:noProof/>
              </w:rPr>
              <w:t>Data Analysis</w:t>
            </w:r>
            <w:r>
              <w:rPr>
                <w:noProof/>
                <w:webHidden/>
              </w:rPr>
              <w:tab/>
            </w:r>
            <w:r>
              <w:rPr>
                <w:noProof/>
                <w:webHidden/>
              </w:rPr>
              <w:fldChar w:fldCharType="begin"/>
            </w:r>
            <w:r>
              <w:rPr>
                <w:noProof/>
                <w:webHidden/>
              </w:rPr>
              <w:instrText xml:space="preserve"> PAGEREF _Toc200617260 \h </w:instrText>
            </w:r>
            <w:r>
              <w:rPr>
                <w:noProof/>
                <w:webHidden/>
              </w:rPr>
            </w:r>
            <w:r>
              <w:rPr>
                <w:noProof/>
                <w:webHidden/>
              </w:rPr>
              <w:fldChar w:fldCharType="separate"/>
            </w:r>
            <w:r>
              <w:rPr>
                <w:noProof/>
                <w:webHidden/>
              </w:rPr>
              <w:t>7</w:t>
            </w:r>
            <w:r>
              <w:rPr>
                <w:noProof/>
                <w:webHidden/>
              </w:rPr>
              <w:fldChar w:fldCharType="end"/>
            </w:r>
          </w:hyperlink>
        </w:p>
        <w:p w14:paraId="3C4E4935" w14:textId="0F9D5A40" w:rsidR="00E8051E" w:rsidRDefault="00E8051E">
          <w:pPr>
            <w:pStyle w:val="TOC1"/>
            <w:rPr>
              <w:rFonts w:eastAsiaTheme="minorEastAsia" w:cstheme="minorBidi"/>
              <w:b w:val="0"/>
              <w:noProof/>
              <w:kern w:val="2"/>
              <w:sz w:val="24"/>
              <w:lang w:eastAsia="en-AU" w:bidi="ar-SA"/>
              <w14:ligatures w14:val="standardContextual"/>
            </w:rPr>
          </w:pPr>
          <w:hyperlink w:anchor="_Toc200617261" w:history="1">
            <w:r w:rsidRPr="00AC5A42">
              <w:rPr>
                <w:rStyle w:val="Hyperlink"/>
                <w:noProof/>
              </w:rPr>
              <w:t>3.</w:t>
            </w:r>
            <w:r>
              <w:rPr>
                <w:rFonts w:eastAsiaTheme="minorEastAsia" w:cstheme="minorBidi"/>
                <w:b w:val="0"/>
                <w:noProof/>
                <w:kern w:val="2"/>
                <w:sz w:val="24"/>
                <w:lang w:eastAsia="en-AU" w:bidi="ar-SA"/>
                <w14:ligatures w14:val="standardContextual"/>
              </w:rPr>
              <w:tab/>
            </w:r>
            <w:r w:rsidRPr="00AC5A42">
              <w:rPr>
                <w:rStyle w:val="Hyperlink"/>
                <w:noProof/>
              </w:rPr>
              <w:t>Limitations and constraints</w:t>
            </w:r>
            <w:r>
              <w:rPr>
                <w:noProof/>
                <w:webHidden/>
              </w:rPr>
              <w:tab/>
            </w:r>
            <w:r>
              <w:rPr>
                <w:noProof/>
                <w:webHidden/>
              </w:rPr>
              <w:fldChar w:fldCharType="begin"/>
            </w:r>
            <w:r>
              <w:rPr>
                <w:noProof/>
                <w:webHidden/>
              </w:rPr>
              <w:instrText xml:space="preserve"> PAGEREF _Toc200617261 \h </w:instrText>
            </w:r>
            <w:r>
              <w:rPr>
                <w:noProof/>
                <w:webHidden/>
              </w:rPr>
            </w:r>
            <w:r>
              <w:rPr>
                <w:noProof/>
                <w:webHidden/>
              </w:rPr>
              <w:fldChar w:fldCharType="separate"/>
            </w:r>
            <w:r>
              <w:rPr>
                <w:noProof/>
                <w:webHidden/>
              </w:rPr>
              <w:t>7</w:t>
            </w:r>
            <w:r>
              <w:rPr>
                <w:noProof/>
                <w:webHidden/>
              </w:rPr>
              <w:fldChar w:fldCharType="end"/>
            </w:r>
          </w:hyperlink>
        </w:p>
        <w:p w14:paraId="225B532B" w14:textId="275D6D7B" w:rsidR="00E8051E" w:rsidRDefault="00E8051E">
          <w:pPr>
            <w:pStyle w:val="TOC1"/>
            <w:rPr>
              <w:rFonts w:eastAsiaTheme="minorEastAsia" w:cstheme="minorBidi"/>
              <w:b w:val="0"/>
              <w:noProof/>
              <w:kern w:val="2"/>
              <w:sz w:val="24"/>
              <w:lang w:eastAsia="en-AU" w:bidi="ar-SA"/>
              <w14:ligatures w14:val="standardContextual"/>
            </w:rPr>
          </w:pPr>
          <w:hyperlink w:anchor="_Toc200617262" w:history="1">
            <w:r w:rsidRPr="00AC5A42">
              <w:rPr>
                <w:rStyle w:val="Hyperlink"/>
                <w:noProof/>
              </w:rPr>
              <w:t>4.</w:t>
            </w:r>
            <w:r>
              <w:rPr>
                <w:rFonts w:eastAsiaTheme="minorEastAsia" w:cstheme="minorBidi"/>
                <w:b w:val="0"/>
                <w:noProof/>
                <w:kern w:val="2"/>
                <w:sz w:val="24"/>
                <w:lang w:eastAsia="en-AU" w:bidi="ar-SA"/>
                <w14:ligatures w14:val="standardContextual"/>
              </w:rPr>
              <w:tab/>
            </w:r>
            <w:r w:rsidRPr="00AC5A42">
              <w:rPr>
                <w:rStyle w:val="Hyperlink"/>
                <w:noProof/>
              </w:rPr>
              <w:t>EQ1 Findings - Effectiveness of VAHSI</w:t>
            </w:r>
            <w:r>
              <w:rPr>
                <w:noProof/>
                <w:webHidden/>
              </w:rPr>
              <w:tab/>
            </w:r>
            <w:r>
              <w:rPr>
                <w:noProof/>
                <w:webHidden/>
              </w:rPr>
              <w:fldChar w:fldCharType="begin"/>
            </w:r>
            <w:r>
              <w:rPr>
                <w:noProof/>
                <w:webHidden/>
              </w:rPr>
              <w:instrText xml:space="preserve"> PAGEREF _Toc200617262 \h </w:instrText>
            </w:r>
            <w:r>
              <w:rPr>
                <w:noProof/>
                <w:webHidden/>
              </w:rPr>
            </w:r>
            <w:r>
              <w:rPr>
                <w:noProof/>
                <w:webHidden/>
              </w:rPr>
              <w:fldChar w:fldCharType="separate"/>
            </w:r>
            <w:r>
              <w:rPr>
                <w:noProof/>
                <w:webHidden/>
              </w:rPr>
              <w:t>8</w:t>
            </w:r>
            <w:r>
              <w:rPr>
                <w:noProof/>
                <w:webHidden/>
              </w:rPr>
              <w:fldChar w:fldCharType="end"/>
            </w:r>
          </w:hyperlink>
        </w:p>
        <w:p w14:paraId="24925517" w14:textId="30F34AD7" w:rsidR="00E8051E" w:rsidRDefault="00E8051E">
          <w:pPr>
            <w:pStyle w:val="TOC1"/>
            <w:rPr>
              <w:rFonts w:eastAsiaTheme="minorEastAsia" w:cstheme="minorBidi"/>
              <w:b w:val="0"/>
              <w:noProof/>
              <w:kern w:val="2"/>
              <w:sz w:val="24"/>
              <w:lang w:eastAsia="en-AU" w:bidi="ar-SA"/>
              <w14:ligatures w14:val="standardContextual"/>
            </w:rPr>
          </w:pPr>
          <w:hyperlink w:anchor="_Toc200617263" w:history="1">
            <w:r w:rsidRPr="00AC5A42">
              <w:rPr>
                <w:rStyle w:val="Hyperlink"/>
                <w:rFonts w:ascii="Calibri" w:eastAsia="Calibri" w:hAnsi="Calibri" w:cs="Calibri"/>
                <w:noProof/>
              </w:rPr>
              <w:t>4.1.</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Evaluative finding</w:t>
            </w:r>
            <w:r>
              <w:rPr>
                <w:noProof/>
                <w:webHidden/>
              </w:rPr>
              <w:tab/>
            </w:r>
            <w:r>
              <w:rPr>
                <w:noProof/>
                <w:webHidden/>
              </w:rPr>
              <w:fldChar w:fldCharType="begin"/>
            </w:r>
            <w:r>
              <w:rPr>
                <w:noProof/>
                <w:webHidden/>
              </w:rPr>
              <w:instrText xml:space="preserve"> PAGEREF _Toc200617263 \h </w:instrText>
            </w:r>
            <w:r>
              <w:rPr>
                <w:noProof/>
                <w:webHidden/>
              </w:rPr>
            </w:r>
            <w:r>
              <w:rPr>
                <w:noProof/>
                <w:webHidden/>
              </w:rPr>
              <w:fldChar w:fldCharType="separate"/>
            </w:r>
            <w:r>
              <w:rPr>
                <w:noProof/>
                <w:webHidden/>
              </w:rPr>
              <w:t>8</w:t>
            </w:r>
            <w:r>
              <w:rPr>
                <w:noProof/>
                <w:webHidden/>
              </w:rPr>
              <w:fldChar w:fldCharType="end"/>
            </w:r>
          </w:hyperlink>
        </w:p>
        <w:p w14:paraId="1CD71D3D" w14:textId="2AB8AFA8" w:rsidR="00E8051E" w:rsidRDefault="00E8051E">
          <w:pPr>
            <w:pStyle w:val="TOC1"/>
            <w:rPr>
              <w:rFonts w:eastAsiaTheme="minorEastAsia" w:cstheme="minorBidi"/>
              <w:b w:val="0"/>
              <w:noProof/>
              <w:kern w:val="2"/>
              <w:sz w:val="24"/>
              <w:lang w:eastAsia="en-AU" w:bidi="ar-SA"/>
              <w14:ligatures w14:val="standardContextual"/>
            </w:rPr>
          </w:pPr>
          <w:hyperlink w:anchor="_Toc200617264" w:history="1">
            <w:r w:rsidRPr="00AC5A42">
              <w:rPr>
                <w:rStyle w:val="Hyperlink"/>
                <w:rFonts w:ascii="Calibri" w:eastAsia="Calibri" w:hAnsi="Calibri" w:cs="Calibri"/>
                <w:noProof/>
              </w:rPr>
              <w:t>4.2.</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Evidence</w:t>
            </w:r>
            <w:r>
              <w:rPr>
                <w:noProof/>
                <w:webHidden/>
              </w:rPr>
              <w:tab/>
            </w:r>
            <w:r>
              <w:rPr>
                <w:noProof/>
                <w:webHidden/>
              </w:rPr>
              <w:fldChar w:fldCharType="begin"/>
            </w:r>
            <w:r>
              <w:rPr>
                <w:noProof/>
                <w:webHidden/>
              </w:rPr>
              <w:instrText xml:space="preserve"> PAGEREF _Toc200617264 \h </w:instrText>
            </w:r>
            <w:r>
              <w:rPr>
                <w:noProof/>
                <w:webHidden/>
              </w:rPr>
            </w:r>
            <w:r>
              <w:rPr>
                <w:noProof/>
                <w:webHidden/>
              </w:rPr>
              <w:fldChar w:fldCharType="separate"/>
            </w:r>
            <w:r>
              <w:rPr>
                <w:noProof/>
                <w:webHidden/>
              </w:rPr>
              <w:t>8</w:t>
            </w:r>
            <w:r>
              <w:rPr>
                <w:noProof/>
                <w:webHidden/>
              </w:rPr>
              <w:fldChar w:fldCharType="end"/>
            </w:r>
          </w:hyperlink>
        </w:p>
        <w:p w14:paraId="03896463" w14:textId="18CD3EDD"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65" w:history="1">
            <w:r w:rsidRPr="00AC5A42">
              <w:rPr>
                <w:rStyle w:val="Hyperlink"/>
                <w:noProof/>
              </w:rPr>
              <w:t>4.2.1.</w:t>
            </w:r>
            <w:r>
              <w:rPr>
                <w:rFonts w:eastAsiaTheme="minorEastAsia" w:cstheme="minorBidi"/>
                <w:noProof/>
                <w:kern w:val="2"/>
                <w:sz w:val="24"/>
                <w:lang w:eastAsia="en-AU" w:bidi="ar-SA"/>
                <w14:ligatures w14:val="standardContextual"/>
              </w:rPr>
              <w:tab/>
            </w:r>
            <w:r w:rsidRPr="00AC5A42">
              <w:rPr>
                <w:rStyle w:val="Hyperlink"/>
                <w:noProof/>
              </w:rPr>
              <w:t>COVID-19 vaccine supply to countries</w:t>
            </w:r>
            <w:r>
              <w:rPr>
                <w:noProof/>
                <w:webHidden/>
              </w:rPr>
              <w:tab/>
            </w:r>
            <w:r>
              <w:rPr>
                <w:noProof/>
                <w:webHidden/>
              </w:rPr>
              <w:fldChar w:fldCharType="begin"/>
            </w:r>
            <w:r>
              <w:rPr>
                <w:noProof/>
                <w:webHidden/>
              </w:rPr>
              <w:instrText xml:space="preserve"> PAGEREF _Toc200617265 \h </w:instrText>
            </w:r>
            <w:r>
              <w:rPr>
                <w:noProof/>
                <w:webHidden/>
              </w:rPr>
            </w:r>
            <w:r>
              <w:rPr>
                <w:noProof/>
                <w:webHidden/>
              </w:rPr>
              <w:fldChar w:fldCharType="separate"/>
            </w:r>
            <w:r>
              <w:rPr>
                <w:noProof/>
                <w:webHidden/>
              </w:rPr>
              <w:t>8</w:t>
            </w:r>
            <w:r>
              <w:rPr>
                <w:noProof/>
                <w:webHidden/>
              </w:rPr>
              <w:fldChar w:fldCharType="end"/>
            </w:r>
          </w:hyperlink>
        </w:p>
        <w:p w14:paraId="48DCD86C" w14:textId="4A22E178"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66" w:history="1">
            <w:r w:rsidRPr="00AC5A42">
              <w:rPr>
                <w:rStyle w:val="Hyperlink"/>
                <w:noProof/>
              </w:rPr>
              <w:t>4.2.2.</w:t>
            </w:r>
            <w:r>
              <w:rPr>
                <w:rFonts w:eastAsiaTheme="minorEastAsia" w:cstheme="minorBidi"/>
                <w:noProof/>
                <w:kern w:val="2"/>
                <w:sz w:val="24"/>
                <w:lang w:eastAsia="en-AU" w:bidi="ar-SA"/>
                <w14:ligatures w14:val="standardContextual"/>
              </w:rPr>
              <w:tab/>
            </w:r>
            <w:r w:rsidRPr="00AC5A42">
              <w:rPr>
                <w:rStyle w:val="Hyperlink"/>
                <w:noProof/>
              </w:rPr>
              <w:t>VAHSI attributable proportion of total COVID-19 vaccine doses distributed</w:t>
            </w:r>
            <w:r>
              <w:rPr>
                <w:noProof/>
                <w:webHidden/>
              </w:rPr>
              <w:tab/>
            </w:r>
            <w:r>
              <w:rPr>
                <w:noProof/>
                <w:webHidden/>
              </w:rPr>
              <w:fldChar w:fldCharType="begin"/>
            </w:r>
            <w:r>
              <w:rPr>
                <w:noProof/>
                <w:webHidden/>
              </w:rPr>
              <w:instrText xml:space="preserve"> PAGEREF _Toc200617266 \h </w:instrText>
            </w:r>
            <w:r>
              <w:rPr>
                <w:noProof/>
                <w:webHidden/>
              </w:rPr>
            </w:r>
            <w:r>
              <w:rPr>
                <w:noProof/>
                <w:webHidden/>
              </w:rPr>
              <w:fldChar w:fldCharType="separate"/>
            </w:r>
            <w:r>
              <w:rPr>
                <w:noProof/>
                <w:webHidden/>
              </w:rPr>
              <w:t>10</w:t>
            </w:r>
            <w:r>
              <w:rPr>
                <w:noProof/>
                <w:webHidden/>
              </w:rPr>
              <w:fldChar w:fldCharType="end"/>
            </w:r>
          </w:hyperlink>
        </w:p>
        <w:p w14:paraId="5B677263" w14:textId="5B18DF67"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67" w:history="1">
            <w:r w:rsidRPr="00AC5A42">
              <w:rPr>
                <w:rStyle w:val="Hyperlink"/>
                <w:noProof/>
              </w:rPr>
              <w:t>4.2.3.</w:t>
            </w:r>
            <w:r>
              <w:rPr>
                <w:rFonts w:eastAsiaTheme="minorEastAsia" w:cstheme="minorBidi"/>
                <w:noProof/>
                <w:kern w:val="2"/>
                <w:sz w:val="24"/>
                <w:lang w:eastAsia="en-AU" w:bidi="ar-SA"/>
                <w14:ligatures w14:val="standardContextual"/>
              </w:rPr>
              <w:tab/>
            </w:r>
            <w:r w:rsidRPr="00AC5A42">
              <w:rPr>
                <w:rStyle w:val="Hyperlink"/>
                <w:noProof/>
              </w:rPr>
              <w:t>Effectiveness of COVID-19 and routine immunisation delivery support projects</w:t>
            </w:r>
            <w:r>
              <w:rPr>
                <w:noProof/>
                <w:webHidden/>
              </w:rPr>
              <w:tab/>
            </w:r>
            <w:r>
              <w:rPr>
                <w:noProof/>
                <w:webHidden/>
              </w:rPr>
              <w:fldChar w:fldCharType="begin"/>
            </w:r>
            <w:r>
              <w:rPr>
                <w:noProof/>
                <w:webHidden/>
              </w:rPr>
              <w:instrText xml:space="preserve"> PAGEREF _Toc200617267 \h </w:instrText>
            </w:r>
            <w:r>
              <w:rPr>
                <w:noProof/>
                <w:webHidden/>
              </w:rPr>
            </w:r>
            <w:r>
              <w:rPr>
                <w:noProof/>
                <w:webHidden/>
              </w:rPr>
              <w:fldChar w:fldCharType="separate"/>
            </w:r>
            <w:r>
              <w:rPr>
                <w:noProof/>
                <w:webHidden/>
              </w:rPr>
              <w:t>11</w:t>
            </w:r>
            <w:r>
              <w:rPr>
                <w:noProof/>
                <w:webHidden/>
              </w:rPr>
              <w:fldChar w:fldCharType="end"/>
            </w:r>
          </w:hyperlink>
        </w:p>
        <w:p w14:paraId="2A9C20EC" w14:textId="3A760989"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68" w:history="1">
            <w:r w:rsidRPr="00AC5A42">
              <w:rPr>
                <w:rStyle w:val="Hyperlink"/>
                <w:rFonts w:ascii="Calibri" w:eastAsia="Calibri" w:hAnsi="Calibri" w:cs="Calibri"/>
                <w:iCs/>
                <w:noProof/>
              </w:rPr>
              <w:t>4.2.4.</w:t>
            </w:r>
            <w:r>
              <w:rPr>
                <w:rFonts w:eastAsiaTheme="minorEastAsia" w:cstheme="minorBidi"/>
                <w:noProof/>
                <w:kern w:val="2"/>
                <w:sz w:val="24"/>
                <w:lang w:eastAsia="en-AU" w:bidi="ar-SA"/>
                <w14:ligatures w14:val="standardContextual"/>
              </w:rPr>
              <w:tab/>
            </w:r>
            <w:r w:rsidRPr="00AC5A42">
              <w:rPr>
                <w:rStyle w:val="Hyperlink"/>
                <w:noProof/>
              </w:rPr>
              <w:t>Types of vaccine delivery support</w:t>
            </w:r>
            <w:r>
              <w:rPr>
                <w:noProof/>
                <w:webHidden/>
              </w:rPr>
              <w:tab/>
            </w:r>
            <w:r>
              <w:rPr>
                <w:noProof/>
                <w:webHidden/>
              </w:rPr>
              <w:fldChar w:fldCharType="begin"/>
            </w:r>
            <w:r>
              <w:rPr>
                <w:noProof/>
                <w:webHidden/>
              </w:rPr>
              <w:instrText xml:space="preserve"> PAGEREF _Toc200617268 \h </w:instrText>
            </w:r>
            <w:r>
              <w:rPr>
                <w:noProof/>
                <w:webHidden/>
              </w:rPr>
            </w:r>
            <w:r>
              <w:rPr>
                <w:noProof/>
                <w:webHidden/>
              </w:rPr>
              <w:fldChar w:fldCharType="separate"/>
            </w:r>
            <w:r>
              <w:rPr>
                <w:noProof/>
                <w:webHidden/>
              </w:rPr>
              <w:t>12</w:t>
            </w:r>
            <w:r>
              <w:rPr>
                <w:noProof/>
                <w:webHidden/>
              </w:rPr>
              <w:fldChar w:fldCharType="end"/>
            </w:r>
          </w:hyperlink>
        </w:p>
        <w:p w14:paraId="42A7D939" w14:textId="35375639"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69" w:history="1">
            <w:r w:rsidRPr="00AC5A42">
              <w:rPr>
                <w:rStyle w:val="Hyperlink"/>
                <w:iCs/>
                <w:noProof/>
              </w:rPr>
              <w:t>4.2.5.</w:t>
            </w:r>
            <w:r>
              <w:rPr>
                <w:rFonts w:eastAsiaTheme="minorEastAsia" w:cstheme="minorBidi"/>
                <w:noProof/>
                <w:kern w:val="2"/>
                <w:sz w:val="24"/>
                <w:lang w:eastAsia="en-AU" w:bidi="ar-SA"/>
                <w14:ligatures w14:val="standardContextual"/>
              </w:rPr>
              <w:tab/>
            </w:r>
            <w:r w:rsidRPr="00AC5A42">
              <w:rPr>
                <w:rStyle w:val="Hyperlink"/>
                <w:iCs/>
                <w:noProof/>
              </w:rPr>
              <w:t>COVID-19 vaccine targets and coverage</w:t>
            </w:r>
            <w:r>
              <w:rPr>
                <w:noProof/>
                <w:webHidden/>
              </w:rPr>
              <w:tab/>
            </w:r>
            <w:r>
              <w:rPr>
                <w:noProof/>
                <w:webHidden/>
              </w:rPr>
              <w:fldChar w:fldCharType="begin"/>
            </w:r>
            <w:r>
              <w:rPr>
                <w:noProof/>
                <w:webHidden/>
              </w:rPr>
              <w:instrText xml:space="preserve"> PAGEREF _Toc200617269 \h </w:instrText>
            </w:r>
            <w:r>
              <w:rPr>
                <w:noProof/>
                <w:webHidden/>
              </w:rPr>
            </w:r>
            <w:r>
              <w:rPr>
                <w:noProof/>
                <w:webHidden/>
              </w:rPr>
              <w:fldChar w:fldCharType="separate"/>
            </w:r>
            <w:r>
              <w:rPr>
                <w:noProof/>
                <w:webHidden/>
              </w:rPr>
              <w:t>13</w:t>
            </w:r>
            <w:r>
              <w:rPr>
                <w:noProof/>
                <w:webHidden/>
              </w:rPr>
              <w:fldChar w:fldCharType="end"/>
            </w:r>
          </w:hyperlink>
        </w:p>
        <w:p w14:paraId="3C45313B" w14:textId="135BC421"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70" w:history="1">
            <w:r w:rsidRPr="00AC5A42">
              <w:rPr>
                <w:rStyle w:val="Hyperlink"/>
                <w:iCs/>
                <w:noProof/>
              </w:rPr>
              <w:t>4.2.6.</w:t>
            </w:r>
            <w:r>
              <w:rPr>
                <w:rFonts w:eastAsiaTheme="minorEastAsia" w:cstheme="minorBidi"/>
                <w:noProof/>
                <w:kern w:val="2"/>
                <w:sz w:val="24"/>
                <w:lang w:eastAsia="en-AU" w:bidi="ar-SA"/>
                <w14:ligatures w14:val="standardContextual"/>
              </w:rPr>
              <w:tab/>
            </w:r>
            <w:r w:rsidRPr="00AC5A42">
              <w:rPr>
                <w:rStyle w:val="Hyperlink"/>
                <w:iCs/>
                <w:noProof/>
              </w:rPr>
              <w:t>Quality and safety</w:t>
            </w:r>
            <w:r>
              <w:rPr>
                <w:noProof/>
                <w:webHidden/>
              </w:rPr>
              <w:tab/>
            </w:r>
            <w:r>
              <w:rPr>
                <w:noProof/>
                <w:webHidden/>
              </w:rPr>
              <w:fldChar w:fldCharType="begin"/>
            </w:r>
            <w:r>
              <w:rPr>
                <w:noProof/>
                <w:webHidden/>
              </w:rPr>
              <w:instrText xml:space="preserve"> PAGEREF _Toc200617270 \h </w:instrText>
            </w:r>
            <w:r>
              <w:rPr>
                <w:noProof/>
                <w:webHidden/>
              </w:rPr>
            </w:r>
            <w:r>
              <w:rPr>
                <w:noProof/>
                <w:webHidden/>
              </w:rPr>
              <w:fldChar w:fldCharType="separate"/>
            </w:r>
            <w:r>
              <w:rPr>
                <w:noProof/>
                <w:webHidden/>
              </w:rPr>
              <w:t>14</w:t>
            </w:r>
            <w:r>
              <w:rPr>
                <w:noProof/>
                <w:webHidden/>
              </w:rPr>
              <w:fldChar w:fldCharType="end"/>
            </w:r>
          </w:hyperlink>
        </w:p>
        <w:p w14:paraId="457E6FE3" w14:textId="7C5B05AF"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71" w:history="1">
            <w:r w:rsidRPr="00AC5A42">
              <w:rPr>
                <w:rStyle w:val="Hyperlink"/>
                <w:iCs/>
                <w:noProof/>
              </w:rPr>
              <w:t>4.2.7.</w:t>
            </w:r>
            <w:r>
              <w:rPr>
                <w:rFonts w:eastAsiaTheme="minorEastAsia" w:cstheme="minorBidi"/>
                <w:noProof/>
                <w:kern w:val="2"/>
                <w:sz w:val="24"/>
                <w:lang w:eastAsia="en-AU" w:bidi="ar-SA"/>
                <w14:ligatures w14:val="standardContextual"/>
              </w:rPr>
              <w:tab/>
            </w:r>
            <w:r w:rsidRPr="00AC5A42">
              <w:rPr>
                <w:rStyle w:val="Hyperlink"/>
                <w:iCs/>
                <w:noProof/>
              </w:rPr>
              <w:t>Timeliness, challenges and flexibility</w:t>
            </w:r>
            <w:r>
              <w:rPr>
                <w:noProof/>
                <w:webHidden/>
              </w:rPr>
              <w:tab/>
            </w:r>
            <w:r>
              <w:rPr>
                <w:noProof/>
                <w:webHidden/>
              </w:rPr>
              <w:fldChar w:fldCharType="begin"/>
            </w:r>
            <w:r>
              <w:rPr>
                <w:noProof/>
                <w:webHidden/>
              </w:rPr>
              <w:instrText xml:space="preserve"> PAGEREF _Toc200617271 \h </w:instrText>
            </w:r>
            <w:r>
              <w:rPr>
                <w:noProof/>
                <w:webHidden/>
              </w:rPr>
            </w:r>
            <w:r>
              <w:rPr>
                <w:noProof/>
                <w:webHidden/>
              </w:rPr>
              <w:fldChar w:fldCharType="separate"/>
            </w:r>
            <w:r>
              <w:rPr>
                <w:noProof/>
                <w:webHidden/>
              </w:rPr>
              <w:t>16</w:t>
            </w:r>
            <w:r>
              <w:rPr>
                <w:noProof/>
                <w:webHidden/>
              </w:rPr>
              <w:fldChar w:fldCharType="end"/>
            </w:r>
          </w:hyperlink>
        </w:p>
        <w:p w14:paraId="1E972DEF" w14:textId="540565F3"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72" w:history="1">
            <w:r w:rsidRPr="00AC5A42">
              <w:rPr>
                <w:rStyle w:val="Hyperlink"/>
                <w:iCs/>
                <w:noProof/>
              </w:rPr>
              <w:t>4.2.8.</w:t>
            </w:r>
            <w:r>
              <w:rPr>
                <w:rFonts w:eastAsiaTheme="minorEastAsia" w:cstheme="minorBidi"/>
                <w:noProof/>
                <w:kern w:val="2"/>
                <w:sz w:val="24"/>
                <w:lang w:eastAsia="en-AU" w:bidi="ar-SA"/>
                <w14:ligatures w14:val="standardContextual"/>
              </w:rPr>
              <w:tab/>
            </w:r>
            <w:r w:rsidRPr="00AC5A42">
              <w:rPr>
                <w:rStyle w:val="Hyperlink"/>
                <w:iCs/>
                <w:noProof/>
              </w:rPr>
              <w:t>Contribution to health systems strengthening</w:t>
            </w:r>
            <w:r>
              <w:rPr>
                <w:noProof/>
                <w:webHidden/>
              </w:rPr>
              <w:tab/>
            </w:r>
            <w:r>
              <w:rPr>
                <w:noProof/>
                <w:webHidden/>
              </w:rPr>
              <w:fldChar w:fldCharType="begin"/>
            </w:r>
            <w:r>
              <w:rPr>
                <w:noProof/>
                <w:webHidden/>
              </w:rPr>
              <w:instrText xml:space="preserve"> PAGEREF _Toc200617272 \h </w:instrText>
            </w:r>
            <w:r>
              <w:rPr>
                <w:noProof/>
                <w:webHidden/>
              </w:rPr>
            </w:r>
            <w:r>
              <w:rPr>
                <w:noProof/>
                <w:webHidden/>
              </w:rPr>
              <w:fldChar w:fldCharType="separate"/>
            </w:r>
            <w:r>
              <w:rPr>
                <w:noProof/>
                <w:webHidden/>
              </w:rPr>
              <w:t>17</w:t>
            </w:r>
            <w:r>
              <w:rPr>
                <w:noProof/>
                <w:webHidden/>
              </w:rPr>
              <w:fldChar w:fldCharType="end"/>
            </w:r>
          </w:hyperlink>
        </w:p>
        <w:p w14:paraId="28C9F4D4" w14:textId="1A766189" w:rsidR="00E8051E" w:rsidRDefault="00E8051E">
          <w:pPr>
            <w:pStyle w:val="TOC1"/>
            <w:rPr>
              <w:rFonts w:eastAsiaTheme="minorEastAsia" w:cstheme="minorBidi"/>
              <w:b w:val="0"/>
              <w:noProof/>
              <w:kern w:val="2"/>
              <w:sz w:val="24"/>
              <w:lang w:eastAsia="en-AU" w:bidi="ar-SA"/>
              <w14:ligatures w14:val="standardContextual"/>
            </w:rPr>
          </w:pPr>
          <w:hyperlink w:anchor="_Toc200617273" w:history="1">
            <w:r w:rsidRPr="00AC5A42">
              <w:rPr>
                <w:rStyle w:val="Hyperlink"/>
                <w:rFonts w:ascii="Calibri" w:eastAsia="Calibri" w:hAnsi="Calibri" w:cs="Calibri"/>
                <w:noProof/>
              </w:rPr>
              <w:t>4.3.</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Key lessons learned</w:t>
            </w:r>
            <w:r>
              <w:rPr>
                <w:noProof/>
                <w:webHidden/>
              </w:rPr>
              <w:tab/>
            </w:r>
            <w:r>
              <w:rPr>
                <w:noProof/>
                <w:webHidden/>
              </w:rPr>
              <w:fldChar w:fldCharType="begin"/>
            </w:r>
            <w:r>
              <w:rPr>
                <w:noProof/>
                <w:webHidden/>
              </w:rPr>
              <w:instrText xml:space="preserve"> PAGEREF _Toc200617273 \h </w:instrText>
            </w:r>
            <w:r>
              <w:rPr>
                <w:noProof/>
                <w:webHidden/>
              </w:rPr>
            </w:r>
            <w:r>
              <w:rPr>
                <w:noProof/>
                <w:webHidden/>
              </w:rPr>
              <w:fldChar w:fldCharType="separate"/>
            </w:r>
            <w:r>
              <w:rPr>
                <w:noProof/>
                <w:webHidden/>
              </w:rPr>
              <w:t>17</w:t>
            </w:r>
            <w:r>
              <w:rPr>
                <w:noProof/>
                <w:webHidden/>
              </w:rPr>
              <w:fldChar w:fldCharType="end"/>
            </w:r>
          </w:hyperlink>
        </w:p>
        <w:p w14:paraId="66C23C09" w14:textId="5DCDEEC6" w:rsidR="00E8051E" w:rsidRDefault="00E8051E">
          <w:pPr>
            <w:pStyle w:val="TOC1"/>
            <w:rPr>
              <w:rFonts w:eastAsiaTheme="minorEastAsia" w:cstheme="minorBidi"/>
              <w:b w:val="0"/>
              <w:noProof/>
              <w:kern w:val="2"/>
              <w:sz w:val="24"/>
              <w:lang w:eastAsia="en-AU" w:bidi="ar-SA"/>
              <w14:ligatures w14:val="standardContextual"/>
            </w:rPr>
          </w:pPr>
          <w:hyperlink w:anchor="_Toc200617274" w:history="1">
            <w:r w:rsidRPr="00AC5A42">
              <w:rPr>
                <w:rStyle w:val="Hyperlink"/>
                <w:rFonts w:ascii="Calibri" w:eastAsia="Calibri" w:hAnsi="Calibri" w:cs="Calibri"/>
                <w:noProof/>
              </w:rPr>
              <w:t>4.4.</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Recommendations</w:t>
            </w:r>
            <w:r>
              <w:rPr>
                <w:noProof/>
                <w:webHidden/>
              </w:rPr>
              <w:tab/>
            </w:r>
            <w:r>
              <w:rPr>
                <w:noProof/>
                <w:webHidden/>
              </w:rPr>
              <w:fldChar w:fldCharType="begin"/>
            </w:r>
            <w:r>
              <w:rPr>
                <w:noProof/>
                <w:webHidden/>
              </w:rPr>
              <w:instrText xml:space="preserve"> PAGEREF _Toc200617274 \h </w:instrText>
            </w:r>
            <w:r>
              <w:rPr>
                <w:noProof/>
                <w:webHidden/>
              </w:rPr>
            </w:r>
            <w:r>
              <w:rPr>
                <w:noProof/>
                <w:webHidden/>
              </w:rPr>
              <w:fldChar w:fldCharType="separate"/>
            </w:r>
            <w:r>
              <w:rPr>
                <w:noProof/>
                <w:webHidden/>
              </w:rPr>
              <w:t>17</w:t>
            </w:r>
            <w:r>
              <w:rPr>
                <w:noProof/>
                <w:webHidden/>
              </w:rPr>
              <w:fldChar w:fldCharType="end"/>
            </w:r>
          </w:hyperlink>
        </w:p>
        <w:p w14:paraId="44860900" w14:textId="3C06819E" w:rsidR="00E8051E" w:rsidRDefault="00E8051E">
          <w:pPr>
            <w:pStyle w:val="TOC1"/>
            <w:rPr>
              <w:rFonts w:eastAsiaTheme="minorEastAsia" w:cstheme="minorBidi"/>
              <w:b w:val="0"/>
              <w:noProof/>
              <w:kern w:val="2"/>
              <w:sz w:val="24"/>
              <w:lang w:eastAsia="en-AU" w:bidi="ar-SA"/>
              <w14:ligatures w14:val="standardContextual"/>
            </w:rPr>
          </w:pPr>
          <w:hyperlink w:anchor="_Toc200617275" w:history="1">
            <w:r w:rsidRPr="00AC5A42">
              <w:rPr>
                <w:rStyle w:val="Hyperlink"/>
                <w:noProof/>
              </w:rPr>
              <w:t>5.</w:t>
            </w:r>
            <w:r>
              <w:rPr>
                <w:rFonts w:eastAsiaTheme="minorEastAsia" w:cstheme="minorBidi"/>
                <w:b w:val="0"/>
                <w:noProof/>
                <w:kern w:val="2"/>
                <w:sz w:val="24"/>
                <w:lang w:eastAsia="en-AU" w:bidi="ar-SA"/>
                <w14:ligatures w14:val="standardContextual"/>
              </w:rPr>
              <w:tab/>
            </w:r>
            <w:r w:rsidRPr="00AC5A42">
              <w:rPr>
                <w:rStyle w:val="Hyperlink"/>
                <w:noProof/>
              </w:rPr>
              <w:t>EQ2 – Effectiveness EOPO3</w:t>
            </w:r>
            <w:r>
              <w:rPr>
                <w:noProof/>
                <w:webHidden/>
              </w:rPr>
              <w:tab/>
            </w:r>
            <w:r>
              <w:rPr>
                <w:noProof/>
                <w:webHidden/>
              </w:rPr>
              <w:fldChar w:fldCharType="begin"/>
            </w:r>
            <w:r>
              <w:rPr>
                <w:noProof/>
                <w:webHidden/>
              </w:rPr>
              <w:instrText xml:space="preserve"> PAGEREF _Toc200617275 \h </w:instrText>
            </w:r>
            <w:r>
              <w:rPr>
                <w:noProof/>
                <w:webHidden/>
              </w:rPr>
            </w:r>
            <w:r>
              <w:rPr>
                <w:noProof/>
                <w:webHidden/>
              </w:rPr>
              <w:fldChar w:fldCharType="separate"/>
            </w:r>
            <w:r>
              <w:rPr>
                <w:noProof/>
                <w:webHidden/>
              </w:rPr>
              <w:t>18</w:t>
            </w:r>
            <w:r>
              <w:rPr>
                <w:noProof/>
                <w:webHidden/>
              </w:rPr>
              <w:fldChar w:fldCharType="end"/>
            </w:r>
          </w:hyperlink>
        </w:p>
        <w:p w14:paraId="651415C5" w14:textId="30DB930B" w:rsidR="00E8051E" w:rsidRDefault="00E8051E">
          <w:pPr>
            <w:pStyle w:val="TOC1"/>
            <w:rPr>
              <w:rFonts w:eastAsiaTheme="minorEastAsia" w:cstheme="minorBidi"/>
              <w:b w:val="0"/>
              <w:noProof/>
              <w:kern w:val="2"/>
              <w:sz w:val="24"/>
              <w:lang w:eastAsia="en-AU" w:bidi="ar-SA"/>
              <w14:ligatures w14:val="standardContextual"/>
            </w:rPr>
          </w:pPr>
          <w:hyperlink w:anchor="_Toc200617276" w:history="1">
            <w:r w:rsidRPr="00AC5A42">
              <w:rPr>
                <w:rStyle w:val="Hyperlink"/>
                <w:rFonts w:ascii="Calibri" w:eastAsia="Calibri" w:hAnsi="Calibri" w:cs="Calibri"/>
                <w:noProof/>
              </w:rPr>
              <w:t>5.1.</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Evaluative finding</w:t>
            </w:r>
            <w:r>
              <w:rPr>
                <w:noProof/>
                <w:webHidden/>
              </w:rPr>
              <w:tab/>
            </w:r>
            <w:r>
              <w:rPr>
                <w:noProof/>
                <w:webHidden/>
              </w:rPr>
              <w:fldChar w:fldCharType="begin"/>
            </w:r>
            <w:r>
              <w:rPr>
                <w:noProof/>
                <w:webHidden/>
              </w:rPr>
              <w:instrText xml:space="preserve"> PAGEREF _Toc200617276 \h </w:instrText>
            </w:r>
            <w:r>
              <w:rPr>
                <w:noProof/>
                <w:webHidden/>
              </w:rPr>
            </w:r>
            <w:r>
              <w:rPr>
                <w:noProof/>
                <w:webHidden/>
              </w:rPr>
              <w:fldChar w:fldCharType="separate"/>
            </w:r>
            <w:r>
              <w:rPr>
                <w:noProof/>
                <w:webHidden/>
              </w:rPr>
              <w:t>18</w:t>
            </w:r>
            <w:r>
              <w:rPr>
                <w:noProof/>
                <w:webHidden/>
              </w:rPr>
              <w:fldChar w:fldCharType="end"/>
            </w:r>
          </w:hyperlink>
        </w:p>
        <w:p w14:paraId="4E941F6D" w14:textId="29848A2A" w:rsidR="00E8051E" w:rsidRDefault="00E8051E">
          <w:pPr>
            <w:pStyle w:val="TOC1"/>
            <w:rPr>
              <w:rFonts w:eastAsiaTheme="minorEastAsia" w:cstheme="minorBidi"/>
              <w:b w:val="0"/>
              <w:noProof/>
              <w:kern w:val="2"/>
              <w:sz w:val="24"/>
              <w:lang w:eastAsia="en-AU" w:bidi="ar-SA"/>
              <w14:ligatures w14:val="standardContextual"/>
            </w:rPr>
          </w:pPr>
          <w:hyperlink w:anchor="_Toc200617277" w:history="1">
            <w:r w:rsidRPr="00AC5A42">
              <w:rPr>
                <w:rStyle w:val="Hyperlink"/>
                <w:rFonts w:ascii="Calibri" w:eastAsia="Calibri" w:hAnsi="Calibri" w:cs="Calibri"/>
                <w:noProof/>
              </w:rPr>
              <w:t>5.2.</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Evidence</w:t>
            </w:r>
            <w:r>
              <w:rPr>
                <w:noProof/>
                <w:webHidden/>
              </w:rPr>
              <w:tab/>
            </w:r>
            <w:r>
              <w:rPr>
                <w:noProof/>
                <w:webHidden/>
              </w:rPr>
              <w:fldChar w:fldCharType="begin"/>
            </w:r>
            <w:r>
              <w:rPr>
                <w:noProof/>
                <w:webHidden/>
              </w:rPr>
              <w:instrText xml:space="preserve"> PAGEREF _Toc200617277 \h </w:instrText>
            </w:r>
            <w:r>
              <w:rPr>
                <w:noProof/>
                <w:webHidden/>
              </w:rPr>
            </w:r>
            <w:r>
              <w:rPr>
                <w:noProof/>
                <w:webHidden/>
              </w:rPr>
              <w:fldChar w:fldCharType="separate"/>
            </w:r>
            <w:r>
              <w:rPr>
                <w:noProof/>
                <w:webHidden/>
              </w:rPr>
              <w:t>18</w:t>
            </w:r>
            <w:r>
              <w:rPr>
                <w:noProof/>
                <w:webHidden/>
              </w:rPr>
              <w:fldChar w:fldCharType="end"/>
            </w:r>
          </w:hyperlink>
        </w:p>
        <w:p w14:paraId="238671EA" w14:textId="3F9E9DDB"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78" w:history="1">
            <w:r w:rsidRPr="00AC5A42">
              <w:rPr>
                <w:rStyle w:val="Hyperlink"/>
                <w:noProof/>
              </w:rPr>
              <w:t>5.2.1.</w:t>
            </w:r>
            <w:r>
              <w:rPr>
                <w:rFonts w:eastAsiaTheme="minorEastAsia" w:cstheme="minorBidi"/>
                <w:noProof/>
                <w:kern w:val="2"/>
                <w:sz w:val="24"/>
                <w:lang w:eastAsia="en-AU" w:bidi="ar-SA"/>
                <w14:ligatures w14:val="standardContextual"/>
              </w:rPr>
              <w:tab/>
            </w:r>
            <w:r w:rsidRPr="00AC5A42">
              <w:rPr>
                <w:rStyle w:val="Hyperlink"/>
                <w:noProof/>
              </w:rPr>
              <w:t>Stronger relationships</w:t>
            </w:r>
            <w:r>
              <w:rPr>
                <w:noProof/>
                <w:webHidden/>
              </w:rPr>
              <w:tab/>
            </w:r>
            <w:r>
              <w:rPr>
                <w:noProof/>
                <w:webHidden/>
              </w:rPr>
              <w:fldChar w:fldCharType="begin"/>
            </w:r>
            <w:r>
              <w:rPr>
                <w:noProof/>
                <w:webHidden/>
              </w:rPr>
              <w:instrText xml:space="preserve"> PAGEREF _Toc200617278 \h </w:instrText>
            </w:r>
            <w:r>
              <w:rPr>
                <w:noProof/>
                <w:webHidden/>
              </w:rPr>
            </w:r>
            <w:r>
              <w:rPr>
                <w:noProof/>
                <w:webHidden/>
              </w:rPr>
              <w:fldChar w:fldCharType="separate"/>
            </w:r>
            <w:r>
              <w:rPr>
                <w:noProof/>
                <w:webHidden/>
              </w:rPr>
              <w:t>18</w:t>
            </w:r>
            <w:r>
              <w:rPr>
                <w:noProof/>
                <w:webHidden/>
              </w:rPr>
              <w:fldChar w:fldCharType="end"/>
            </w:r>
          </w:hyperlink>
        </w:p>
        <w:p w14:paraId="77CCE543" w14:textId="6EAEE0B5"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79" w:history="1">
            <w:r w:rsidRPr="00AC5A42">
              <w:rPr>
                <w:rStyle w:val="Hyperlink"/>
                <w:noProof/>
              </w:rPr>
              <w:t>5.2.2.</w:t>
            </w:r>
            <w:r>
              <w:rPr>
                <w:rFonts w:eastAsiaTheme="minorEastAsia" w:cstheme="minorBidi"/>
                <w:noProof/>
                <w:kern w:val="2"/>
                <w:sz w:val="24"/>
                <w:lang w:eastAsia="en-AU" w:bidi="ar-SA"/>
                <w14:ligatures w14:val="standardContextual"/>
              </w:rPr>
              <w:tab/>
            </w:r>
            <w:r w:rsidRPr="00AC5A42">
              <w:rPr>
                <w:rStyle w:val="Hyperlink"/>
                <w:noProof/>
              </w:rPr>
              <w:t>Reasons why Australian support strengthened relationships</w:t>
            </w:r>
            <w:r>
              <w:rPr>
                <w:noProof/>
                <w:webHidden/>
              </w:rPr>
              <w:tab/>
            </w:r>
            <w:r>
              <w:rPr>
                <w:noProof/>
                <w:webHidden/>
              </w:rPr>
              <w:fldChar w:fldCharType="begin"/>
            </w:r>
            <w:r>
              <w:rPr>
                <w:noProof/>
                <w:webHidden/>
              </w:rPr>
              <w:instrText xml:space="preserve"> PAGEREF _Toc200617279 \h </w:instrText>
            </w:r>
            <w:r>
              <w:rPr>
                <w:noProof/>
                <w:webHidden/>
              </w:rPr>
            </w:r>
            <w:r>
              <w:rPr>
                <w:noProof/>
                <w:webHidden/>
              </w:rPr>
              <w:fldChar w:fldCharType="separate"/>
            </w:r>
            <w:r>
              <w:rPr>
                <w:noProof/>
                <w:webHidden/>
              </w:rPr>
              <w:t>19</w:t>
            </w:r>
            <w:r>
              <w:rPr>
                <w:noProof/>
                <w:webHidden/>
              </w:rPr>
              <w:fldChar w:fldCharType="end"/>
            </w:r>
          </w:hyperlink>
        </w:p>
        <w:p w14:paraId="0A843195" w14:textId="04C8FAB2"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80" w:history="1">
            <w:r w:rsidRPr="00AC5A42">
              <w:rPr>
                <w:rStyle w:val="Hyperlink"/>
                <w:noProof/>
              </w:rPr>
              <w:t>5.2.3.</w:t>
            </w:r>
            <w:r>
              <w:rPr>
                <w:rFonts w:eastAsiaTheme="minorEastAsia" w:cstheme="minorBidi"/>
                <w:noProof/>
                <w:kern w:val="2"/>
                <w:sz w:val="24"/>
                <w:lang w:eastAsia="en-AU" w:bidi="ar-SA"/>
                <w14:ligatures w14:val="standardContextual"/>
              </w:rPr>
              <w:tab/>
            </w:r>
            <w:r w:rsidRPr="00AC5A42">
              <w:rPr>
                <w:rStyle w:val="Hyperlink"/>
                <w:noProof/>
              </w:rPr>
              <w:t>Vaccines and delivery support</w:t>
            </w:r>
            <w:r>
              <w:rPr>
                <w:noProof/>
                <w:webHidden/>
              </w:rPr>
              <w:tab/>
            </w:r>
            <w:r>
              <w:rPr>
                <w:noProof/>
                <w:webHidden/>
              </w:rPr>
              <w:fldChar w:fldCharType="begin"/>
            </w:r>
            <w:r>
              <w:rPr>
                <w:noProof/>
                <w:webHidden/>
              </w:rPr>
              <w:instrText xml:space="preserve"> PAGEREF _Toc200617280 \h </w:instrText>
            </w:r>
            <w:r>
              <w:rPr>
                <w:noProof/>
                <w:webHidden/>
              </w:rPr>
            </w:r>
            <w:r>
              <w:rPr>
                <w:noProof/>
                <w:webHidden/>
              </w:rPr>
              <w:fldChar w:fldCharType="separate"/>
            </w:r>
            <w:r>
              <w:rPr>
                <w:noProof/>
                <w:webHidden/>
              </w:rPr>
              <w:t>20</w:t>
            </w:r>
            <w:r>
              <w:rPr>
                <w:noProof/>
                <w:webHidden/>
              </w:rPr>
              <w:fldChar w:fldCharType="end"/>
            </w:r>
          </w:hyperlink>
        </w:p>
        <w:p w14:paraId="0C6EC686" w14:textId="04BB0616"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81" w:history="1">
            <w:r w:rsidRPr="00AC5A42">
              <w:rPr>
                <w:rStyle w:val="Hyperlink"/>
                <w:noProof/>
              </w:rPr>
              <w:t>5.2.4.</w:t>
            </w:r>
            <w:r>
              <w:rPr>
                <w:rFonts w:eastAsiaTheme="minorEastAsia" w:cstheme="minorBidi"/>
                <w:noProof/>
                <w:kern w:val="2"/>
                <w:sz w:val="24"/>
                <w:lang w:eastAsia="en-AU" w:bidi="ar-SA"/>
                <w14:ligatures w14:val="standardContextual"/>
              </w:rPr>
              <w:tab/>
            </w:r>
            <w:r w:rsidRPr="00AC5A42">
              <w:rPr>
                <w:rStyle w:val="Hyperlink"/>
                <w:noProof/>
              </w:rPr>
              <w:t>Flexibility of VAHSI</w:t>
            </w:r>
            <w:r>
              <w:rPr>
                <w:noProof/>
                <w:webHidden/>
              </w:rPr>
              <w:tab/>
            </w:r>
            <w:r>
              <w:rPr>
                <w:noProof/>
                <w:webHidden/>
              </w:rPr>
              <w:fldChar w:fldCharType="begin"/>
            </w:r>
            <w:r>
              <w:rPr>
                <w:noProof/>
                <w:webHidden/>
              </w:rPr>
              <w:instrText xml:space="preserve"> PAGEREF _Toc200617281 \h </w:instrText>
            </w:r>
            <w:r>
              <w:rPr>
                <w:noProof/>
                <w:webHidden/>
              </w:rPr>
            </w:r>
            <w:r>
              <w:rPr>
                <w:noProof/>
                <w:webHidden/>
              </w:rPr>
              <w:fldChar w:fldCharType="separate"/>
            </w:r>
            <w:r>
              <w:rPr>
                <w:noProof/>
                <w:webHidden/>
              </w:rPr>
              <w:t>20</w:t>
            </w:r>
            <w:r>
              <w:rPr>
                <w:noProof/>
                <w:webHidden/>
              </w:rPr>
              <w:fldChar w:fldCharType="end"/>
            </w:r>
          </w:hyperlink>
        </w:p>
        <w:p w14:paraId="10C2A84C" w14:textId="1939FFA2"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82" w:history="1">
            <w:r w:rsidRPr="00AC5A42">
              <w:rPr>
                <w:rStyle w:val="Hyperlink"/>
                <w:rFonts w:ascii="Calibri" w:eastAsia="Calibri" w:hAnsi="Calibri" w:cs="Calibri"/>
                <w:noProof/>
              </w:rPr>
              <w:t>5.2.5.</w:t>
            </w:r>
            <w:r>
              <w:rPr>
                <w:rFonts w:eastAsiaTheme="minorEastAsia" w:cstheme="minorBidi"/>
                <w:noProof/>
                <w:kern w:val="2"/>
                <w:sz w:val="24"/>
                <w:lang w:eastAsia="en-AU" w:bidi="ar-SA"/>
                <w14:ligatures w14:val="standardContextual"/>
              </w:rPr>
              <w:tab/>
            </w:r>
            <w:r w:rsidRPr="00AC5A42">
              <w:rPr>
                <w:rStyle w:val="Hyperlink"/>
                <w:rFonts w:ascii="Calibri" w:eastAsia="Calibri" w:hAnsi="Calibri" w:cs="Calibri"/>
                <w:noProof/>
              </w:rPr>
              <w:t>Technical assistance and Australian expertise</w:t>
            </w:r>
            <w:r>
              <w:rPr>
                <w:noProof/>
                <w:webHidden/>
              </w:rPr>
              <w:tab/>
            </w:r>
            <w:r>
              <w:rPr>
                <w:noProof/>
                <w:webHidden/>
              </w:rPr>
              <w:fldChar w:fldCharType="begin"/>
            </w:r>
            <w:r>
              <w:rPr>
                <w:noProof/>
                <w:webHidden/>
              </w:rPr>
              <w:instrText xml:space="preserve"> PAGEREF _Toc200617282 \h </w:instrText>
            </w:r>
            <w:r>
              <w:rPr>
                <w:noProof/>
                <w:webHidden/>
              </w:rPr>
            </w:r>
            <w:r>
              <w:rPr>
                <w:noProof/>
                <w:webHidden/>
              </w:rPr>
              <w:fldChar w:fldCharType="separate"/>
            </w:r>
            <w:r>
              <w:rPr>
                <w:noProof/>
                <w:webHidden/>
              </w:rPr>
              <w:t>20</w:t>
            </w:r>
            <w:r>
              <w:rPr>
                <w:noProof/>
                <w:webHidden/>
              </w:rPr>
              <w:fldChar w:fldCharType="end"/>
            </w:r>
          </w:hyperlink>
        </w:p>
        <w:p w14:paraId="16BF2622" w14:textId="0D04F870"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83" w:history="1">
            <w:r w:rsidRPr="00AC5A42">
              <w:rPr>
                <w:rStyle w:val="Hyperlink"/>
                <w:noProof/>
              </w:rPr>
              <w:t>5.2.6.</w:t>
            </w:r>
            <w:r>
              <w:rPr>
                <w:rFonts w:eastAsiaTheme="minorEastAsia" w:cstheme="minorBidi"/>
                <w:noProof/>
                <w:kern w:val="2"/>
                <w:sz w:val="24"/>
                <w:lang w:eastAsia="en-AU" w:bidi="ar-SA"/>
                <w14:ligatures w14:val="standardContextual"/>
              </w:rPr>
              <w:tab/>
            </w:r>
            <w:r w:rsidRPr="00AC5A42">
              <w:rPr>
                <w:rStyle w:val="Hyperlink"/>
                <w:noProof/>
              </w:rPr>
              <w:t>Relationship building</w:t>
            </w:r>
            <w:r>
              <w:rPr>
                <w:noProof/>
                <w:webHidden/>
              </w:rPr>
              <w:tab/>
            </w:r>
            <w:r>
              <w:rPr>
                <w:noProof/>
                <w:webHidden/>
              </w:rPr>
              <w:fldChar w:fldCharType="begin"/>
            </w:r>
            <w:r>
              <w:rPr>
                <w:noProof/>
                <w:webHidden/>
              </w:rPr>
              <w:instrText xml:space="preserve"> PAGEREF _Toc200617283 \h </w:instrText>
            </w:r>
            <w:r>
              <w:rPr>
                <w:noProof/>
                <w:webHidden/>
              </w:rPr>
            </w:r>
            <w:r>
              <w:rPr>
                <w:noProof/>
                <w:webHidden/>
              </w:rPr>
              <w:fldChar w:fldCharType="separate"/>
            </w:r>
            <w:r>
              <w:rPr>
                <w:noProof/>
                <w:webHidden/>
              </w:rPr>
              <w:t>21</w:t>
            </w:r>
            <w:r>
              <w:rPr>
                <w:noProof/>
                <w:webHidden/>
              </w:rPr>
              <w:fldChar w:fldCharType="end"/>
            </w:r>
          </w:hyperlink>
        </w:p>
        <w:p w14:paraId="3E269482" w14:textId="419FF1D9" w:rsidR="00E8051E" w:rsidRDefault="00E8051E">
          <w:pPr>
            <w:pStyle w:val="TOC1"/>
            <w:rPr>
              <w:rFonts w:eastAsiaTheme="minorEastAsia" w:cstheme="minorBidi"/>
              <w:b w:val="0"/>
              <w:noProof/>
              <w:kern w:val="2"/>
              <w:sz w:val="24"/>
              <w:lang w:eastAsia="en-AU" w:bidi="ar-SA"/>
              <w14:ligatures w14:val="standardContextual"/>
            </w:rPr>
          </w:pPr>
          <w:hyperlink w:anchor="_Toc200617284" w:history="1">
            <w:r w:rsidRPr="00AC5A42">
              <w:rPr>
                <w:rStyle w:val="Hyperlink"/>
                <w:rFonts w:ascii="Calibri" w:eastAsia="Calibri" w:hAnsi="Calibri" w:cs="Calibri"/>
                <w:noProof/>
              </w:rPr>
              <w:t>5.3.</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Key lessons learned</w:t>
            </w:r>
            <w:r>
              <w:rPr>
                <w:noProof/>
                <w:webHidden/>
              </w:rPr>
              <w:tab/>
            </w:r>
            <w:r>
              <w:rPr>
                <w:noProof/>
                <w:webHidden/>
              </w:rPr>
              <w:fldChar w:fldCharType="begin"/>
            </w:r>
            <w:r>
              <w:rPr>
                <w:noProof/>
                <w:webHidden/>
              </w:rPr>
              <w:instrText xml:space="preserve"> PAGEREF _Toc200617284 \h </w:instrText>
            </w:r>
            <w:r>
              <w:rPr>
                <w:noProof/>
                <w:webHidden/>
              </w:rPr>
            </w:r>
            <w:r>
              <w:rPr>
                <w:noProof/>
                <w:webHidden/>
              </w:rPr>
              <w:fldChar w:fldCharType="separate"/>
            </w:r>
            <w:r>
              <w:rPr>
                <w:noProof/>
                <w:webHidden/>
              </w:rPr>
              <w:t>21</w:t>
            </w:r>
            <w:r>
              <w:rPr>
                <w:noProof/>
                <w:webHidden/>
              </w:rPr>
              <w:fldChar w:fldCharType="end"/>
            </w:r>
          </w:hyperlink>
        </w:p>
        <w:p w14:paraId="691C14DE" w14:textId="213D83DE" w:rsidR="00E8051E" w:rsidRDefault="00E8051E">
          <w:pPr>
            <w:pStyle w:val="TOC1"/>
            <w:rPr>
              <w:rFonts w:eastAsiaTheme="minorEastAsia" w:cstheme="minorBidi"/>
              <w:b w:val="0"/>
              <w:noProof/>
              <w:kern w:val="2"/>
              <w:sz w:val="24"/>
              <w:lang w:eastAsia="en-AU" w:bidi="ar-SA"/>
              <w14:ligatures w14:val="standardContextual"/>
            </w:rPr>
          </w:pPr>
          <w:hyperlink w:anchor="_Toc200617285" w:history="1">
            <w:r w:rsidRPr="00AC5A42">
              <w:rPr>
                <w:rStyle w:val="Hyperlink"/>
                <w:rFonts w:ascii="Calibri" w:eastAsia="Calibri" w:hAnsi="Calibri" w:cs="Calibri"/>
                <w:noProof/>
              </w:rPr>
              <w:t>5.4.</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Recommendations</w:t>
            </w:r>
            <w:r>
              <w:rPr>
                <w:noProof/>
                <w:webHidden/>
              </w:rPr>
              <w:tab/>
            </w:r>
            <w:r>
              <w:rPr>
                <w:noProof/>
                <w:webHidden/>
              </w:rPr>
              <w:fldChar w:fldCharType="begin"/>
            </w:r>
            <w:r>
              <w:rPr>
                <w:noProof/>
                <w:webHidden/>
              </w:rPr>
              <w:instrText xml:space="preserve"> PAGEREF _Toc200617285 \h </w:instrText>
            </w:r>
            <w:r>
              <w:rPr>
                <w:noProof/>
                <w:webHidden/>
              </w:rPr>
            </w:r>
            <w:r>
              <w:rPr>
                <w:noProof/>
                <w:webHidden/>
              </w:rPr>
              <w:fldChar w:fldCharType="separate"/>
            </w:r>
            <w:r>
              <w:rPr>
                <w:noProof/>
                <w:webHidden/>
              </w:rPr>
              <w:t>21</w:t>
            </w:r>
            <w:r>
              <w:rPr>
                <w:noProof/>
                <w:webHidden/>
              </w:rPr>
              <w:fldChar w:fldCharType="end"/>
            </w:r>
          </w:hyperlink>
        </w:p>
        <w:p w14:paraId="75597A16" w14:textId="652D7CB7" w:rsidR="00E8051E" w:rsidRDefault="00E8051E">
          <w:pPr>
            <w:pStyle w:val="TOC1"/>
            <w:rPr>
              <w:rFonts w:eastAsiaTheme="minorEastAsia" w:cstheme="minorBidi"/>
              <w:b w:val="0"/>
              <w:noProof/>
              <w:kern w:val="2"/>
              <w:sz w:val="24"/>
              <w:lang w:eastAsia="en-AU" w:bidi="ar-SA"/>
              <w14:ligatures w14:val="standardContextual"/>
            </w:rPr>
          </w:pPr>
          <w:hyperlink w:anchor="_Toc200617286" w:history="1">
            <w:r w:rsidRPr="00AC5A42">
              <w:rPr>
                <w:rStyle w:val="Hyperlink"/>
                <w:noProof/>
              </w:rPr>
              <w:t>6.</w:t>
            </w:r>
            <w:r>
              <w:rPr>
                <w:rFonts w:eastAsiaTheme="minorEastAsia" w:cstheme="minorBidi"/>
                <w:b w:val="0"/>
                <w:noProof/>
                <w:kern w:val="2"/>
                <w:sz w:val="24"/>
                <w:lang w:eastAsia="en-AU" w:bidi="ar-SA"/>
                <w14:ligatures w14:val="standardContextual"/>
              </w:rPr>
              <w:tab/>
            </w:r>
            <w:r w:rsidRPr="00AC5A42">
              <w:rPr>
                <w:rStyle w:val="Hyperlink"/>
                <w:noProof/>
              </w:rPr>
              <w:t>EQ3 – Efficiency</w:t>
            </w:r>
            <w:r>
              <w:rPr>
                <w:noProof/>
                <w:webHidden/>
              </w:rPr>
              <w:tab/>
            </w:r>
            <w:r>
              <w:rPr>
                <w:noProof/>
                <w:webHidden/>
              </w:rPr>
              <w:fldChar w:fldCharType="begin"/>
            </w:r>
            <w:r>
              <w:rPr>
                <w:noProof/>
                <w:webHidden/>
              </w:rPr>
              <w:instrText xml:space="preserve"> PAGEREF _Toc200617286 \h </w:instrText>
            </w:r>
            <w:r>
              <w:rPr>
                <w:noProof/>
                <w:webHidden/>
              </w:rPr>
            </w:r>
            <w:r>
              <w:rPr>
                <w:noProof/>
                <w:webHidden/>
              </w:rPr>
              <w:fldChar w:fldCharType="separate"/>
            </w:r>
            <w:r>
              <w:rPr>
                <w:noProof/>
                <w:webHidden/>
              </w:rPr>
              <w:t>21</w:t>
            </w:r>
            <w:r>
              <w:rPr>
                <w:noProof/>
                <w:webHidden/>
              </w:rPr>
              <w:fldChar w:fldCharType="end"/>
            </w:r>
          </w:hyperlink>
        </w:p>
        <w:p w14:paraId="04AD9E59" w14:textId="39BF12D0" w:rsidR="00E8051E" w:rsidRDefault="00E8051E">
          <w:pPr>
            <w:pStyle w:val="TOC1"/>
            <w:rPr>
              <w:rFonts w:eastAsiaTheme="minorEastAsia" w:cstheme="minorBidi"/>
              <w:b w:val="0"/>
              <w:noProof/>
              <w:kern w:val="2"/>
              <w:sz w:val="24"/>
              <w:lang w:eastAsia="en-AU" w:bidi="ar-SA"/>
              <w14:ligatures w14:val="standardContextual"/>
            </w:rPr>
          </w:pPr>
          <w:hyperlink w:anchor="_Toc200617287" w:history="1">
            <w:r w:rsidRPr="00AC5A42">
              <w:rPr>
                <w:rStyle w:val="Hyperlink"/>
                <w:rFonts w:ascii="Calibri" w:eastAsia="Calibri" w:hAnsi="Calibri" w:cs="Calibri"/>
                <w:noProof/>
              </w:rPr>
              <w:t>6.1.</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Evaluative finding</w:t>
            </w:r>
            <w:r>
              <w:rPr>
                <w:noProof/>
                <w:webHidden/>
              </w:rPr>
              <w:tab/>
            </w:r>
            <w:r>
              <w:rPr>
                <w:noProof/>
                <w:webHidden/>
              </w:rPr>
              <w:fldChar w:fldCharType="begin"/>
            </w:r>
            <w:r>
              <w:rPr>
                <w:noProof/>
                <w:webHidden/>
              </w:rPr>
              <w:instrText xml:space="preserve"> PAGEREF _Toc200617287 \h </w:instrText>
            </w:r>
            <w:r>
              <w:rPr>
                <w:noProof/>
                <w:webHidden/>
              </w:rPr>
            </w:r>
            <w:r>
              <w:rPr>
                <w:noProof/>
                <w:webHidden/>
              </w:rPr>
              <w:fldChar w:fldCharType="separate"/>
            </w:r>
            <w:r>
              <w:rPr>
                <w:noProof/>
                <w:webHidden/>
              </w:rPr>
              <w:t>21</w:t>
            </w:r>
            <w:r>
              <w:rPr>
                <w:noProof/>
                <w:webHidden/>
              </w:rPr>
              <w:fldChar w:fldCharType="end"/>
            </w:r>
          </w:hyperlink>
        </w:p>
        <w:p w14:paraId="13A075A8" w14:textId="57E94292" w:rsidR="00E8051E" w:rsidRDefault="00E8051E">
          <w:pPr>
            <w:pStyle w:val="TOC1"/>
            <w:rPr>
              <w:rFonts w:eastAsiaTheme="minorEastAsia" w:cstheme="minorBidi"/>
              <w:b w:val="0"/>
              <w:noProof/>
              <w:kern w:val="2"/>
              <w:sz w:val="24"/>
              <w:lang w:eastAsia="en-AU" w:bidi="ar-SA"/>
              <w14:ligatures w14:val="standardContextual"/>
            </w:rPr>
          </w:pPr>
          <w:hyperlink w:anchor="_Toc200617288" w:history="1">
            <w:r w:rsidRPr="00AC5A42">
              <w:rPr>
                <w:rStyle w:val="Hyperlink"/>
                <w:rFonts w:ascii="Calibri" w:eastAsia="Calibri" w:hAnsi="Calibri" w:cs="Calibri"/>
                <w:noProof/>
              </w:rPr>
              <w:t>6.2.</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Evidence</w:t>
            </w:r>
            <w:r>
              <w:rPr>
                <w:noProof/>
                <w:webHidden/>
              </w:rPr>
              <w:tab/>
            </w:r>
            <w:r>
              <w:rPr>
                <w:noProof/>
                <w:webHidden/>
              </w:rPr>
              <w:fldChar w:fldCharType="begin"/>
            </w:r>
            <w:r>
              <w:rPr>
                <w:noProof/>
                <w:webHidden/>
              </w:rPr>
              <w:instrText xml:space="preserve"> PAGEREF _Toc200617288 \h </w:instrText>
            </w:r>
            <w:r>
              <w:rPr>
                <w:noProof/>
                <w:webHidden/>
              </w:rPr>
            </w:r>
            <w:r>
              <w:rPr>
                <w:noProof/>
                <w:webHidden/>
              </w:rPr>
              <w:fldChar w:fldCharType="separate"/>
            </w:r>
            <w:r>
              <w:rPr>
                <w:noProof/>
                <w:webHidden/>
              </w:rPr>
              <w:t>22</w:t>
            </w:r>
            <w:r>
              <w:rPr>
                <w:noProof/>
                <w:webHidden/>
              </w:rPr>
              <w:fldChar w:fldCharType="end"/>
            </w:r>
          </w:hyperlink>
        </w:p>
        <w:p w14:paraId="0DCE5FC9" w14:textId="6D803697"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89" w:history="1">
            <w:r w:rsidRPr="00AC5A42">
              <w:rPr>
                <w:rStyle w:val="Hyperlink"/>
                <w:noProof/>
              </w:rPr>
              <w:t>6.2.1.</w:t>
            </w:r>
            <w:r>
              <w:rPr>
                <w:rFonts w:eastAsiaTheme="minorEastAsia" w:cstheme="minorBidi"/>
                <w:noProof/>
                <w:kern w:val="2"/>
                <w:sz w:val="24"/>
                <w:lang w:eastAsia="en-AU" w:bidi="ar-SA"/>
                <w14:ligatures w14:val="standardContextual"/>
              </w:rPr>
              <w:tab/>
            </w:r>
            <w:r w:rsidRPr="00AC5A42">
              <w:rPr>
                <w:rStyle w:val="Hyperlink"/>
                <w:noProof/>
              </w:rPr>
              <w:t>Reporting on efficiency</w:t>
            </w:r>
            <w:r>
              <w:rPr>
                <w:noProof/>
                <w:webHidden/>
              </w:rPr>
              <w:tab/>
            </w:r>
            <w:r>
              <w:rPr>
                <w:noProof/>
                <w:webHidden/>
              </w:rPr>
              <w:fldChar w:fldCharType="begin"/>
            </w:r>
            <w:r>
              <w:rPr>
                <w:noProof/>
                <w:webHidden/>
              </w:rPr>
              <w:instrText xml:space="preserve"> PAGEREF _Toc200617289 \h </w:instrText>
            </w:r>
            <w:r>
              <w:rPr>
                <w:noProof/>
                <w:webHidden/>
              </w:rPr>
            </w:r>
            <w:r>
              <w:rPr>
                <w:noProof/>
                <w:webHidden/>
              </w:rPr>
              <w:fldChar w:fldCharType="separate"/>
            </w:r>
            <w:r>
              <w:rPr>
                <w:noProof/>
                <w:webHidden/>
              </w:rPr>
              <w:t>22</w:t>
            </w:r>
            <w:r>
              <w:rPr>
                <w:noProof/>
                <w:webHidden/>
              </w:rPr>
              <w:fldChar w:fldCharType="end"/>
            </w:r>
          </w:hyperlink>
        </w:p>
        <w:p w14:paraId="413D6CE0" w14:textId="2BB535B6"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90" w:history="1">
            <w:r w:rsidRPr="00AC5A42">
              <w:rPr>
                <w:rStyle w:val="Hyperlink"/>
                <w:noProof/>
              </w:rPr>
              <w:t>6.2.2.</w:t>
            </w:r>
            <w:r>
              <w:rPr>
                <w:rFonts w:eastAsiaTheme="minorEastAsia" w:cstheme="minorBidi"/>
                <w:noProof/>
                <w:kern w:val="2"/>
                <w:sz w:val="24"/>
                <w:lang w:eastAsia="en-AU" w:bidi="ar-SA"/>
                <w14:ligatures w14:val="standardContextual"/>
              </w:rPr>
              <w:tab/>
            </w:r>
            <w:r w:rsidRPr="00AC5A42">
              <w:rPr>
                <w:rStyle w:val="Hyperlink"/>
                <w:noProof/>
              </w:rPr>
              <w:t>Use of existing partners and programs</w:t>
            </w:r>
            <w:r>
              <w:rPr>
                <w:noProof/>
                <w:webHidden/>
              </w:rPr>
              <w:tab/>
            </w:r>
            <w:r>
              <w:rPr>
                <w:noProof/>
                <w:webHidden/>
              </w:rPr>
              <w:fldChar w:fldCharType="begin"/>
            </w:r>
            <w:r>
              <w:rPr>
                <w:noProof/>
                <w:webHidden/>
              </w:rPr>
              <w:instrText xml:space="preserve"> PAGEREF _Toc200617290 \h </w:instrText>
            </w:r>
            <w:r>
              <w:rPr>
                <w:noProof/>
                <w:webHidden/>
              </w:rPr>
            </w:r>
            <w:r>
              <w:rPr>
                <w:noProof/>
                <w:webHidden/>
              </w:rPr>
              <w:fldChar w:fldCharType="separate"/>
            </w:r>
            <w:r>
              <w:rPr>
                <w:noProof/>
                <w:webHidden/>
              </w:rPr>
              <w:t>22</w:t>
            </w:r>
            <w:r>
              <w:rPr>
                <w:noProof/>
                <w:webHidden/>
              </w:rPr>
              <w:fldChar w:fldCharType="end"/>
            </w:r>
          </w:hyperlink>
        </w:p>
        <w:p w14:paraId="6C869275" w14:textId="526AB125"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91" w:history="1">
            <w:r w:rsidRPr="00AC5A42">
              <w:rPr>
                <w:rStyle w:val="Hyperlink"/>
                <w:noProof/>
              </w:rPr>
              <w:t>6.2.3.</w:t>
            </w:r>
            <w:r>
              <w:rPr>
                <w:rFonts w:eastAsiaTheme="minorEastAsia" w:cstheme="minorBidi"/>
                <w:noProof/>
                <w:kern w:val="2"/>
                <w:sz w:val="24"/>
                <w:lang w:eastAsia="en-AU" w:bidi="ar-SA"/>
                <w14:ligatures w14:val="standardContextual"/>
              </w:rPr>
              <w:tab/>
            </w:r>
            <w:r w:rsidRPr="00AC5A42">
              <w:rPr>
                <w:rStyle w:val="Hyperlink"/>
                <w:noProof/>
              </w:rPr>
              <w:t>Fast and flexible</w:t>
            </w:r>
            <w:r>
              <w:rPr>
                <w:noProof/>
                <w:webHidden/>
              </w:rPr>
              <w:tab/>
            </w:r>
            <w:r>
              <w:rPr>
                <w:noProof/>
                <w:webHidden/>
              </w:rPr>
              <w:fldChar w:fldCharType="begin"/>
            </w:r>
            <w:r>
              <w:rPr>
                <w:noProof/>
                <w:webHidden/>
              </w:rPr>
              <w:instrText xml:space="preserve"> PAGEREF _Toc200617291 \h </w:instrText>
            </w:r>
            <w:r>
              <w:rPr>
                <w:noProof/>
                <w:webHidden/>
              </w:rPr>
            </w:r>
            <w:r>
              <w:rPr>
                <w:noProof/>
                <w:webHidden/>
              </w:rPr>
              <w:fldChar w:fldCharType="separate"/>
            </w:r>
            <w:r>
              <w:rPr>
                <w:noProof/>
                <w:webHidden/>
              </w:rPr>
              <w:t>23</w:t>
            </w:r>
            <w:r>
              <w:rPr>
                <w:noProof/>
                <w:webHidden/>
              </w:rPr>
              <w:fldChar w:fldCharType="end"/>
            </w:r>
          </w:hyperlink>
        </w:p>
        <w:p w14:paraId="01AD7E7B" w14:textId="434040E3"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92" w:history="1">
            <w:r w:rsidRPr="00AC5A42">
              <w:rPr>
                <w:rStyle w:val="Hyperlink"/>
                <w:noProof/>
              </w:rPr>
              <w:t>6.2.4.</w:t>
            </w:r>
            <w:r>
              <w:rPr>
                <w:rFonts w:eastAsiaTheme="minorEastAsia" w:cstheme="minorBidi"/>
                <w:noProof/>
                <w:kern w:val="2"/>
                <w:sz w:val="24"/>
                <w:lang w:eastAsia="en-AU" w:bidi="ar-SA"/>
                <w14:ligatures w14:val="standardContextual"/>
              </w:rPr>
              <w:tab/>
            </w:r>
            <w:r w:rsidRPr="00AC5A42">
              <w:rPr>
                <w:rStyle w:val="Hyperlink"/>
                <w:noProof/>
              </w:rPr>
              <w:t>Alternative mechanisms</w:t>
            </w:r>
            <w:r>
              <w:rPr>
                <w:noProof/>
                <w:webHidden/>
              </w:rPr>
              <w:tab/>
            </w:r>
            <w:r>
              <w:rPr>
                <w:noProof/>
                <w:webHidden/>
              </w:rPr>
              <w:fldChar w:fldCharType="begin"/>
            </w:r>
            <w:r>
              <w:rPr>
                <w:noProof/>
                <w:webHidden/>
              </w:rPr>
              <w:instrText xml:space="preserve"> PAGEREF _Toc200617292 \h </w:instrText>
            </w:r>
            <w:r>
              <w:rPr>
                <w:noProof/>
                <w:webHidden/>
              </w:rPr>
            </w:r>
            <w:r>
              <w:rPr>
                <w:noProof/>
                <w:webHidden/>
              </w:rPr>
              <w:fldChar w:fldCharType="separate"/>
            </w:r>
            <w:r>
              <w:rPr>
                <w:noProof/>
                <w:webHidden/>
              </w:rPr>
              <w:t>24</w:t>
            </w:r>
            <w:r>
              <w:rPr>
                <w:noProof/>
                <w:webHidden/>
              </w:rPr>
              <w:fldChar w:fldCharType="end"/>
            </w:r>
          </w:hyperlink>
        </w:p>
        <w:p w14:paraId="77D9DE6A" w14:textId="0DFE707D"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93" w:history="1">
            <w:r w:rsidRPr="00AC5A42">
              <w:rPr>
                <w:rStyle w:val="Hyperlink"/>
                <w:noProof/>
              </w:rPr>
              <w:t>6.2.5.</w:t>
            </w:r>
            <w:r>
              <w:rPr>
                <w:rFonts w:eastAsiaTheme="minorEastAsia" w:cstheme="minorBidi"/>
                <w:noProof/>
                <w:kern w:val="2"/>
                <w:sz w:val="24"/>
                <w:lang w:eastAsia="en-AU" w:bidi="ar-SA"/>
                <w14:ligatures w14:val="standardContextual"/>
              </w:rPr>
              <w:tab/>
            </w:r>
            <w:r w:rsidRPr="00AC5A42">
              <w:rPr>
                <w:rStyle w:val="Hyperlink"/>
                <w:noProof/>
              </w:rPr>
              <w:t>Bureaucratic inefficiencies</w:t>
            </w:r>
            <w:r>
              <w:rPr>
                <w:noProof/>
                <w:webHidden/>
              </w:rPr>
              <w:tab/>
            </w:r>
            <w:r>
              <w:rPr>
                <w:noProof/>
                <w:webHidden/>
              </w:rPr>
              <w:fldChar w:fldCharType="begin"/>
            </w:r>
            <w:r>
              <w:rPr>
                <w:noProof/>
                <w:webHidden/>
              </w:rPr>
              <w:instrText xml:space="preserve"> PAGEREF _Toc200617293 \h </w:instrText>
            </w:r>
            <w:r>
              <w:rPr>
                <w:noProof/>
                <w:webHidden/>
              </w:rPr>
            </w:r>
            <w:r>
              <w:rPr>
                <w:noProof/>
                <w:webHidden/>
              </w:rPr>
              <w:fldChar w:fldCharType="separate"/>
            </w:r>
            <w:r>
              <w:rPr>
                <w:noProof/>
                <w:webHidden/>
              </w:rPr>
              <w:t>24</w:t>
            </w:r>
            <w:r>
              <w:rPr>
                <w:noProof/>
                <w:webHidden/>
              </w:rPr>
              <w:fldChar w:fldCharType="end"/>
            </w:r>
          </w:hyperlink>
        </w:p>
        <w:p w14:paraId="7C368F61" w14:textId="4A75CCD3"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94" w:history="1">
            <w:r w:rsidRPr="00AC5A42">
              <w:rPr>
                <w:rStyle w:val="Hyperlink"/>
                <w:noProof/>
              </w:rPr>
              <w:t>6.2.6.</w:t>
            </w:r>
            <w:r>
              <w:rPr>
                <w:rFonts w:eastAsiaTheme="minorEastAsia" w:cstheme="minorBidi"/>
                <w:noProof/>
                <w:kern w:val="2"/>
                <w:sz w:val="24"/>
                <w:lang w:eastAsia="en-AU" w:bidi="ar-SA"/>
                <w14:ligatures w14:val="standardContextual"/>
              </w:rPr>
              <w:tab/>
            </w:r>
            <w:r w:rsidRPr="00AC5A42">
              <w:rPr>
                <w:rStyle w:val="Hyperlink"/>
                <w:noProof/>
              </w:rPr>
              <w:t>Staffing</w:t>
            </w:r>
            <w:r>
              <w:rPr>
                <w:noProof/>
                <w:webHidden/>
              </w:rPr>
              <w:tab/>
            </w:r>
            <w:r>
              <w:rPr>
                <w:noProof/>
                <w:webHidden/>
              </w:rPr>
              <w:fldChar w:fldCharType="begin"/>
            </w:r>
            <w:r>
              <w:rPr>
                <w:noProof/>
                <w:webHidden/>
              </w:rPr>
              <w:instrText xml:space="preserve"> PAGEREF _Toc200617294 \h </w:instrText>
            </w:r>
            <w:r>
              <w:rPr>
                <w:noProof/>
                <w:webHidden/>
              </w:rPr>
            </w:r>
            <w:r>
              <w:rPr>
                <w:noProof/>
                <w:webHidden/>
              </w:rPr>
              <w:fldChar w:fldCharType="separate"/>
            </w:r>
            <w:r>
              <w:rPr>
                <w:noProof/>
                <w:webHidden/>
              </w:rPr>
              <w:t>24</w:t>
            </w:r>
            <w:r>
              <w:rPr>
                <w:noProof/>
                <w:webHidden/>
              </w:rPr>
              <w:fldChar w:fldCharType="end"/>
            </w:r>
          </w:hyperlink>
        </w:p>
        <w:p w14:paraId="54276B5B" w14:textId="55031859"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295" w:history="1">
            <w:r w:rsidRPr="00AC5A42">
              <w:rPr>
                <w:rStyle w:val="Hyperlink"/>
                <w:noProof/>
              </w:rPr>
              <w:t>6.2.7.</w:t>
            </w:r>
            <w:r>
              <w:rPr>
                <w:rFonts w:eastAsiaTheme="minorEastAsia" w:cstheme="minorBidi"/>
                <w:noProof/>
                <w:kern w:val="2"/>
                <w:sz w:val="24"/>
                <w:lang w:eastAsia="en-AU" w:bidi="ar-SA"/>
                <w14:ligatures w14:val="standardContextual"/>
              </w:rPr>
              <w:tab/>
            </w:r>
            <w:r w:rsidRPr="00AC5A42">
              <w:rPr>
                <w:rStyle w:val="Hyperlink"/>
                <w:noProof/>
              </w:rPr>
              <w:t>Reporting inefficiencies</w:t>
            </w:r>
            <w:r>
              <w:rPr>
                <w:noProof/>
                <w:webHidden/>
              </w:rPr>
              <w:tab/>
            </w:r>
            <w:r>
              <w:rPr>
                <w:noProof/>
                <w:webHidden/>
              </w:rPr>
              <w:fldChar w:fldCharType="begin"/>
            </w:r>
            <w:r>
              <w:rPr>
                <w:noProof/>
                <w:webHidden/>
              </w:rPr>
              <w:instrText xml:space="preserve"> PAGEREF _Toc200617295 \h </w:instrText>
            </w:r>
            <w:r>
              <w:rPr>
                <w:noProof/>
                <w:webHidden/>
              </w:rPr>
            </w:r>
            <w:r>
              <w:rPr>
                <w:noProof/>
                <w:webHidden/>
              </w:rPr>
              <w:fldChar w:fldCharType="separate"/>
            </w:r>
            <w:r>
              <w:rPr>
                <w:noProof/>
                <w:webHidden/>
              </w:rPr>
              <w:t>25</w:t>
            </w:r>
            <w:r>
              <w:rPr>
                <w:noProof/>
                <w:webHidden/>
              </w:rPr>
              <w:fldChar w:fldCharType="end"/>
            </w:r>
          </w:hyperlink>
        </w:p>
        <w:p w14:paraId="074E6A4A" w14:textId="1EE9A746" w:rsidR="00E8051E" w:rsidRDefault="00E8051E">
          <w:pPr>
            <w:pStyle w:val="TOC1"/>
            <w:rPr>
              <w:rFonts w:eastAsiaTheme="minorEastAsia" w:cstheme="minorBidi"/>
              <w:b w:val="0"/>
              <w:noProof/>
              <w:kern w:val="2"/>
              <w:sz w:val="24"/>
              <w:lang w:eastAsia="en-AU" w:bidi="ar-SA"/>
              <w14:ligatures w14:val="standardContextual"/>
            </w:rPr>
          </w:pPr>
          <w:hyperlink w:anchor="_Toc200617296" w:history="1">
            <w:r w:rsidRPr="00AC5A42">
              <w:rPr>
                <w:rStyle w:val="Hyperlink"/>
                <w:rFonts w:ascii="Calibri" w:eastAsia="Calibri" w:hAnsi="Calibri" w:cs="Calibri"/>
                <w:noProof/>
              </w:rPr>
              <w:t>6.3.</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Key lessons learned</w:t>
            </w:r>
            <w:r>
              <w:rPr>
                <w:noProof/>
                <w:webHidden/>
              </w:rPr>
              <w:tab/>
            </w:r>
            <w:r>
              <w:rPr>
                <w:noProof/>
                <w:webHidden/>
              </w:rPr>
              <w:fldChar w:fldCharType="begin"/>
            </w:r>
            <w:r>
              <w:rPr>
                <w:noProof/>
                <w:webHidden/>
              </w:rPr>
              <w:instrText xml:space="preserve"> PAGEREF _Toc200617296 \h </w:instrText>
            </w:r>
            <w:r>
              <w:rPr>
                <w:noProof/>
                <w:webHidden/>
              </w:rPr>
            </w:r>
            <w:r>
              <w:rPr>
                <w:noProof/>
                <w:webHidden/>
              </w:rPr>
              <w:fldChar w:fldCharType="separate"/>
            </w:r>
            <w:r>
              <w:rPr>
                <w:noProof/>
                <w:webHidden/>
              </w:rPr>
              <w:t>25</w:t>
            </w:r>
            <w:r>
              <w:rPr>
                <w:noProof/>
                <w:webHidden/>
              </w:rPr>
              <w:fldChar w:fldCharType="end"/>
            </w:r>
          </w:hyperlink>
        </w:p>
        <w:p w14:paraId="66503F65" w14:textId="4DE79B15" w:rsidR="00E8051E" w:rsidRDefault="00E8051E">
          <w:pPr>
            <w:pStyle w:val="TOC1"/>
            <w:rPr>
              <w:rFonts w:eastAsiaTheme="minorEastAsia" w:cstheme="minorBidi"/>
              <w:b w:val="0"/>
              <w:noProof/>
              <w:kern w:val="2"/>
              <w:sz w:val="24"/>
              <w:lang w:eastAsia="en-AU" w:bidi="ar-SA"/>
              <w14:ligatures w14:val="standardContextual"/>
            </w:rPr>
          </w:pPr>
          <w:hyperlink w:anchor="_Toc200617297" w:history="1">
            <w:r w:rsidRPr="00AC5A42">
              <w:rPr>
                <w:rStyle w:val="Hyperlink"/>
                <w:rFonts w:ascii="Calibri" w:eastAsia="Calibri" w:hAnsi="Calibri" w:cs="Calibri"/>
                <w:noProof/>
              </w:rPr>
              <w:t>6.4.</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Recommendations</w:t>
            </w:r>
            <w:r>
              <w:rPr>
                <w:noProof/>
                <w:webHidden/>
              </w:rPr>
              <w:tab/>
            </w:r>
            <w:r>
              <w:rPr>
                <w:noProof/>
                <w:webHidden/>
              </w:rPr>
              <w:fldChar w:fldCharType="begin"/>
            </w:r>
            <w:r>
              <w:rPr>
                <w:noProof/>
                <w:webHidden/>
              </w:rPr>
              <w:instrText xml:space="preserve"> PAGEREF _Toc200617297 \h </w:instrText>
            </w:r>
            <w:r>
              <w:rPr>
                <w:noProof/>
                <w:webHidden/>
              </w:rPr>
            </w:r>
            <w:r>
              <w:rPr>
                <w:noProof/>
                <w:webHidden/>
              </w:rPr>
              <w:fldChar w:fldCharType="separate"/>
            </w:r>
            <w:r>
              <w:rPr>
                <w:noProof/>
                <w:webHidden/>
              </w:rPr>
              <w:t>25</w:t>
            </w:r>
            <w:r>
              <w:rPr>
                <w:noProof/>
                <w:webHidden/>
              </w:rPr>
              <w:fldChar w:fldCharType="end"/>
            </w:r>
          </w:hyperlink>
        </w:p>
        <w:p w14:paraId="2F9CED78" w14:textId="14DA6D4A" w:rsidR="00E8051E" w:rsidRDefault="00E8051E">
          <w:pPr>
            <w:pStyle w:val="TOC1"/>
            <w:rPr>
              <w:rFonts w:eastAsiaTheme="minorEastAsia" w:cstheme="minorBidi"/>
              <w:b w:val="0"/>
              <w:noProof/>
              <w:kern w:val="2"/>
              <w:sz w:val="24"/>
              <w:lang w:eastAsia="en-AU" w:bidi="ar-SA"/>
              <w14:ligatures w14:val="standardContextual"/>
            </w:rPr>
          </w:pPr>
          <w:hyperlink w:anchor="_Toc200617298" w:history="1">
            <w:r w:rsidRPr="00AC5A42">
              <w:rPr>
                <w:rStyle w:val="Hyperlink"/>
                <w:rFonts w:eastAsia="Calibri"/>
                <w:noProof/>
              </w:rPr>
              <w:t>7.</w:t>
            </w:r>
            <w:r>
              <w:rPr>
                <w:rFonts w:eastAsiaTheme="minorEastAsia" w:cstheme="minorBidi"/>
                <w:b w:val="0"/>
                <w:noProof/>
                <w:kern w:val="2"/>
                <w:sz w:val="24"/>
                <w:lang w:eastAsia="en-AU" w:bidi="ar-SA"/>
                <w14:ligatures w14:val="standardContextual"/>
              </w:rPr>
              <w:tab/>
            </w:r>
            <w:r w:rsidRPr="00AC5A42">
              <w:rPr>
                <w:rStyle w:val="Hyperlink"/>
                <w:rFonts w:eastAsia="Calibri"/>
                <w:noProof/>
              </w:rPr>
              <w:t>EQ4 - Gender, Disability and Social Inclusion</w:t>
            </w:r>
            <w:r>
              <w:rPr>
                <w:noProof/>
                <w:webHidden/>
              </w:rPr>
              <w:tab/>
            </w:r>
            <w:r>
              <w:rPr>
                <w:noProof/>
                <w:webHidden/>
              </w:rPr>
              <w:fldChar w:fldCharType="begin"/>
            </w:r>
            <w:r>
              <w:rPr>
                <w:noProof/>
                <w:webHidden/>
              </w:rPr>
              <w:instrText xml:space="preserve"> PAGEREF _Toc200617298 \h </w:instrText>
            </w:r>
            <w:r>
              <w:rPr>
                <w:noProof/>
                <w:webHidden/>
              </w:rPr>
            </w:r>
            <w:r>
              <w:rPr>
                <w:noProof/>
                <w:webHidden/>
              </w:rPr>
              <w:fldChar w:fldCharType="separate"/>
            </w:r>
            <w:r>
              <w:rPr>
                <w:noProof/>
                <w:webHidden/>
              </w:rPr>
              <w:t>25</w:t>
            </w:r>
            <w:r>
              <w:rPr>
                <w:noProof/>
                <w:webHidden/>
              </w:rPr>
              <w:fldChar w:fldCharType="end"/>
            </w:r>
          </w:hyperlink>
        </w:p>
        <w:p w14:paraId="324EDE06" w14:textId="2209F3FF" w:rsidR="00E8051E" w:rsidRDefault="00E8051E">
          <w:pPr>
            <w:pStyle w:val="TOC1"/>
            <w:rPr>
              <w:rFonts w:eastAsiaTheme="minorEastAsia" w:cstheme="minorBidi"/>
              <w:b w:val="0"/>
              <w:noProof/>
              <w:kern w:val="2"/>
              <w:sz w:val="24"/>
              <w:lang w:eastAsia="en-AU" w:bidi="ar-SA"/>
              <w14:ligatures w14:val="standardContextual"/>
            </w:rPr>
          </w:pPr>
          <w:hyperlink w:anchor="_Toc200617299" w:history="1">
            <w:r w:rsidRPr="00AC5A42">
              <w:rPr>
                <w:rStyle w:val="Hyperlink"/>
                <w:rFonts w:ascii="Calibri" w:eastAsia="Calibri" w:hAnsi="Calibri" w:cs="Calibri"/>
                <w:noProof/>
              </w:rPr>
              <w:t>7.1.</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Evaluative finding</w:t>
            </w:r>
            <w:r>
              <w:rPr>
                <w:noProof/>
                <w:webHidden/>
              </w:rPr>
              <w:tab/>
            </w:r>
            <w:r>
              <w:rPr>
                <w:noProof/>
                <w:webHidden/>
              </w:rPr>
              <w:fldChar w:fldCharType="begin"/>
            </w:r>
            <w:r>
              <w:rPr>
                <w:noProof/>
                <w:webHidden/>
              </w:rPr>
              <w:instrText xml:space="preserve"> PAGEREF _Toc200617299 \h </w:instrText>
            </w:r>
            <w:r>
              <w:rPr>
                <w:noProof/>
                <w:webHidden/>
              </w:rPr>
            </w:r>
            <w:r>
              <w:rPr>
                <w:noProof/>
                <w:webHidden/>
              </w:rPr>
              <w:fldChar w:fldCharType="separate"/>
            </w:r>
            <w:r>
              <w:rPr>
                <w:noProof/>
                <w:webHidden/>
              </w:rPr>
              <w:t>25</w:t>
            </w:r>
            <w:r>
              <w:rPr>
                <w:noProof/>
                <w:webHidden/>
              </w:rPr>
              <w:fldChar w:fldCharType="end"/>
            </w:r>
          </w:hyperlink>
        </w:p>
        <w:p w14:paraId="16A86652" w14:textId="663C23FD" w:rsidR="00E8051E" w:rsidRDefault="00E8051E">
          <w:pPr>
            <w:pStyle w:val="TOC1"/>
            <w:rPr>
              <w:rFonts w:eastAsiaTheme="minorEastAsia" w:cstheme="minorBidi"/>
              <w:b w:val="0"/>
              <w:noProof/>
              <w:kern w:val="2"/>
              <w:sz w:val="24"/>
              <w:lang w:eastAsia="en-AU" w:bidi="ar-SA"/>
              <w14:ligatures w14:val="standardContextual"/>
            </w:rPr>
          </w:pPr>
          <w:hyperlink w:anchor="_Toc200617300" w:history="1">
            <w:r w:rsidRPr="00AC5A42">
              <w:rPr>
                <w:rStyle w:val="Hyperlink"/>
                <w:rFonts w:ascii="Calibri" w:eastAsia="Calibri" w:hAnsi="Calibri" w:cs="Calibri"/>
                <w:noProof/>
              </w:rPr>
              <w:t>7.2.</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Evidence</w:t>
            </w:r>
            <w:r>
              <w:rPr>
                <w:noProof/>
                <w:webHidden/>
              </w:rPr>
              <w:tab/>
            </w:r>
            <w:r>
              <w:rPr>
                <w:noProof/>
                <w:webHidden/>
              </w:rPr>
              <w:fldChar w:fldCharType="begin"/>
            </w:r>
            <w:r>
              <w:rPr>
                <w:noProof/>
                <w:webHidden/>
              </w:rPr>
              <w:instrText xml:space="preserve"> PAGEREF _Toc200617300 \h </w:instrText>
            </w:r>
            <w:r>
              <w:rPr>
                <w:noProof/>
                <w:webHidden/>
              </w:rPr>
            </w:r>
            <w:r>
              <w:rPr>
                <w:noProof/>
                <w:webHidden/>
              </w:rPr>
              <w:fldChar w:fldCharType="separate"/>
            </w:r>
            <w:r>
              <w:rPr>
                <w:noProof/>
                <w:webHidden/>
              </w:rPr>
              <w:t>26</w:t>
            </w:r>
            <w:r>
              <w:rPr>
                <w:noProof/>
                <w:webHidden/>
              </w:rPr>
              <w:fldChar w:fldCharType="end"/>
            </w:r>
          </w:hyperlink>
        </w:p>
        <w:p w14:paraId="556A1EF8" w14:textId="46AF7112"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301" w:history="1">
            <w:r w:rsidRPr="00AC5A42">
              <w:rPr>
                <w:rStyle w:val="Hyperlink"/>
                <w:noProof/>
              </w:rPr>
              <w:t>7.2.1.</w:t>
            </w:r>
            <w:r>
              <w:rPr>
                <w:rFonts w:eastAsiaTheme="minorEastAsia" w:cstheme="minorBidi"/>
                <w:noProof/>
                <w:kern w:val="2"/>
                <w:sz w:val="24"/>
                <w:lang w:eastAsia="en-AU" w:bidi="ar-SA"/>
                <w14:ligatures w14:val="standardContextual"/>
              </w:rPr>
              <w:tab/>
            </w:r>
            <w:r w:rsidRPr="00AC5A42">
              <w:rPr>
                <w:rStyle w:val="Hyperlink"/>
                <w:noProof/>
              </w:rPr>
              <w:t>GEDSI advocacy, policy dialogue and negotiation with delivery support partners</w:t>
            </w:r>
            <w:r>
              <w:rPr>
                <w:noProof/>
                <w:webHidden/>
              </w:rPr>
              <w:tab/>
            </w:r>
            <w:r>
              <w:rPr>
                <w:noProof/>
                <w:webHidden/>
              </w:rPr>
              <w:fldChar w:fldCharType="begin"/>
            </w:r>
            <w:r>
              <w:rPr>
                <w:noProof/>
                <w:webHidden/>
              </w:rPr>
              <w:instrText xml:space="preserve"> PAGEREF _Toc200617301 \h </w:instrText>
            </w:r>
            <w:r>
              <w:rPr>
                <w:noProof/>
                <w:webHidden/>
              </w:rPr>
            </w:r>
            <w:r>
              <w:rPr>
                <w:noProof/>
                <w:webHidden/>
              </w:rPr>
              <w:fldChar w:fldCharType="separate"/>
            </w:r>
            <w:r>
              <w:rPr>
                <w:noProof/>
                <w:webHidden/>
              </w:rPr>
              <w:t>26</w:t>
            </w:r>
            <w:r>
              <w:rPr>
                <w:noProof/>
                <w:webHidden/>
              </w:rPr>
              <w:fldChar w:fldCharType="end"/>
            </w:r>
          </w:hyperlink>
        </w:p>
        <w:p w14:paraId="6332FF5C" w14:textId="5204BB2A"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302" w:history="1">
            <w:r w:rsidRPr="00AC5A42">
              <w:rPr>
                <w:rStyle w:val="Hyperlink"/>
                <w:noProof/>
              </w:rPr>
              <w:t>7.2.2.</w:t>
            </w:r>
            <w:r>
              <w:rPr>
                <w:rFonts w:eastAsiaTheme="minorEastAsia" w:cstheme="minorBidi"/>
                <w:noProof/>
                <w:kern w:val="2"/>
                <w:sz w:val="24"/>
                <w:lang w:eastAsia="en-AU" w:bidi="ar-SA"/>
                <w14:ligatures w14:val="standardContextual"/>
              </w:rPr>
              <w:tab/>
            </w:r>
            <w:r w:rsidRPr="00AC5A42">
              <w:rPr>
                <w:rStyle w:val="Hyperlink"/>
                <w:noProof/>
              </w:rPr>
              <w:t>Consultation and communications</w:t>
            </w:r>
            <w:r>
              <w:rPr>
                <w:noProof/>
                <w:webHidden/>
              </w:rPr>
              <w:tab/>
            </w:r>
            <w:r>
              <w:rPr>
                <w:noProof/>
                <w:webHidden/>
              </w:rPr>
              <w:fldChar w:fldCharType="begin"/>
            </w:r>
            <w:r>
              <w:rPr>
                <w:noProof/>
                <w:webHidden/>
              </w:rPr>
              <w:instrText xml:space="preserve"> PAGEREF _Toc200617302 \h </w:instrText>
            </w:r>
            <w:r>
              <w:rPr>
                <w:noProof/>
                <w:webHidden/>
              </w:rPr>
            </w:r>
            <w:r>
              <w:rPr>
                <w:noProof/>
                <w:webHidden/>
              </w:rPr>
              <w:fldChar w:fldCharType="separate"/>
            </w:r>
            <w:r>
              <w:rPr>
                <w:noProof/>
                <w:webHidden/>
              </w:rPr>
              <w:t>27</w:t>
            </w:r>
            <w:r>
              <w:rPr>
                <w:noProof/>
                <w:webHidden/>
              </w:rPr>
              <w:fldChar w:fldCharType="end"/>
            </w:r>
          </w:hyperlink>
        </w:p>
        <w:p w14:paraId="367B6283" w14:textId="713FB92A"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303" w:history="1">
            <w:r w:rsidRPr="00AC5A42">
              <w:rPr>
                <w:rStyle w:val="Hyperlink"/>
                <w:noProof/>
              </w:rPr>
              <w:t>7.2.3.</w:t>
            </w:r>
            <w:r>
              <w:rPr>
                <w:rFonts w:eastAsiaTheme="minorEastAsia" w:cstheme="minorBidi"/>
                <w:noProof/>
                <w:kern w:val="2"/>
                <w:sz w:val="24"/>
                <w:lang w:eastAsia="en-AU" w:bidi="ar-SA"/>
                <w14:ligatures w14:val="standardContextual"/>
              </w:rPr>
              <w:tab/>
            </w:r>
            <w:r w:rsidRPr="00AC5A42">
              <w:rPr>
                <w:rStyle w:val="Hyperlink"/>
                <w:noProof/>
              </w:rPr>
              <w:t>Community engagement</w:t>
            </w:r>
            <w:r>
              <w:rPr>
                <w:noProof/>
                <w:webHidden/>
              </w:rPr>
              <w:tab/>
            </w:r>
            <w:r>
              <w:rPr>
                <w:noProof/>
                <w:webHidden/>
              </w:rPr>
              <w:fldChar w:fldCharType="begin"/>
            </w:r>
            <w:r>
              <w:rPr>
                <w:noProof/>
                <w:webHidden/>
              </w:rPr>
              <w:instrText xml:space="preserve"> PAGEREF _Toc200617303 \h </w:instrText>
            </w:r>
            <w:r>
              <w:rPr>
                <w:noProof/>
                <w:webHidden/>
              </w:rPr>
            </w:r>
            <w:r>
              <w:rPr>
                <w:noProof/>
                <w:webHidden/>
              </w:rPr>
              <w:fldChar w:fldCharType="separate"/>
            </w:r>
            <w:r>
              <w:rPr>
                <w:noProof/>
                <w:webHidden/>
              </w:rPr>
              <w:t>28</w:t>
            </w:r>
            <w:r>
              <w:rPr>
                <w:noProof/>
                <w:webHidden/>
              </w:rPr>
              <w:fldChar w:fldCharType="end"/>
            </w:r>
          </w:hyperlink>
        </w:p>
        <w:p w14:paraId="367EF942" w14:textId="290A487D"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304" w:history="1">
            <w:r w:rsidRPr="00AC5A42">
              <w:rPr>
                <w:rStyle w:val="Hyperlink"/>
                <w:noProof/>
              </w:rPr>
              <w:t>7.2.4.</w:t>
            </w:r>
            <w:r>
              <w:rPr>
                <w:rFonts w:eastAsiaTheme="minorEastAsia" w:cstheme="minorBidi"/>
                <w:noProof/>
                <w:kern w:val="2"/>
                <w:sz w:val="24"/>
                <w:lang w:eastAsia="en-AU" w:bidi="ar-SA"/>
                <w14:ligatures w14:val="standardContextual"/>
              </w:rPr>
              <w:tab/>
            </w:r>
            <w:r w:rsidRPr="00AC5A42">
              <w:rPr>
                <w:rStyle w:val="Hyperlink"/>
                <w:noProof/>
              </w:rPr>
              <w:t>Monitoring and reporting on GEDSI</w:t>
            </w:r>
            <w:r>
              <w:rPr>
                <w:noProof/>
                <w:webHidden/>
              </w:rPr>
              <w:tab/>
            </w:r>
            <w:r>
              <w:rPr>
                <w:noProof/>
                <w:webHidden/>
              </w:rPr>
              <w:fldChar w:fldCharType="begin"/>
            </w:r>
            <w:r>
              <w:rPr>
                <w:noProof/>
                <w:webHidden/>
              </w:rPr>
              <w:instrText xml:space="preserve"> PAGEREF _Toc200617304 \h </w:instrText>
            </w:r>
            <w:r>
              <w:rPr>
                <w:noProof/>
                <w:webHidden/>
              </w:rPr>
            </w:r>
            <w:r>
              <w:rPr>
                <w:noProof/>
                <w:webHidden/>
              </w:rPr>
              <w:fldChar w:fldCharType="separate"/>
            </w:r>
            <w:r>
              <w:rPr>
                <w:noProof/>
                <w:webHidden/>
              </w:rPr>
              <w:t>30</w:t>
            </w:r>
            <w:r>
              <w:rPr>
                <w:noProof/>
                <w:webHidden/>
              </w:rPr>
              <w:fldChar w:fldCharType="end"/>
            </w:r>
          </w:hyperlink>
        </w:p>
        <w:p w14:paraId="402D1F42" w14:textId="6E2B2547" w:rsidR="00E8051E" w:rsidRDefault="00E8051E">
          <w:pPr>
            <w:pStyle w:val="TOC3"/>
            <w:tabs>
              <w:tab w:val="left" w:pos="1320"/>
              <w:tab w:val="right" w:leader="dot" w:pos="9016"/>
            </w:tabs>
            <w:rPr>
              <w:rFonts w:eastAsiaTheme="minorEastAsia" w:cstheme="minorBidi"/>
              <w:noProof/>
              <w:kern w:val="2"/>
              <w:sz w:val="24"/>
              <w:lang w:eastAsia="en-AU" w:bidi="ar-SA"/>
              <w14:ligatures w14:val="standardContextual"/>
            </w:rPr>
          </w:pPr>
          <w:hyperlink w:anchor="_Toc200617305" w:history="1">
            <w:r w:rsidRPr="00AC5A42">
              <w:rPr>
                <w:rStyle w:val="Hyperlink"/>
                <w:noProof/>
              </w:rPr>
              <w:t>7.2.5.</w:t>
            </w:r>
            <w:r>
              <w:rPr>
                <w:rFonts w:eastAsiaTheme="minorEastAsia" w:cstheme="minorBidi"/>
                <w:noProof/>
                <w:kern w:val="2"/>
                <w:sz w:val="24"/>
                <w:lang w:eastAsia="en-AU" w:bidi="ar-SA"/>
                <w14:ligatures w14:val="standardContextual"/>
              </w:rPr>
              <w:tab/>
            </w:r>
            <w:r w:rsidRPr="00AC5A42">
              <w:rPr>
                <w:rStyle w:val="Hyperlink"/>
                <w:noProof/>
              </w:rPr>
              <w:t>Workforce development</w:t>
            </w:r>
            <w:r>
              <w:rPr>
                <w:noProof/>
                <w:webHidden/>
              </w:rPr>
              <w:tab/>
            </w:r>
            <w:r>
              <w:rPr>
                <w:noProof/>
                <w:webHidden/>
              </w:rPr>
              <w:fldChar w:fldCharType="begin"/>
            </w:r>
            <w:r>
              <w:rPr>
                <w:noProof/>
                <w:webHidden/>
              </w:rPr>
              <w:instrText xml:space="preserve"> PAGEREF _Toc200617305 \h </w:instrText>
            </w:r>
            <w:r>
              <w:rPr>
                <w:noProof/>
                <w:webHidden/>
              </w:rPr>
            </w:r>
            <w:r>
              <w:rPr>
                <w:noProof/>
                <w:webHidden/>
              </w:rPr>
              <w:fldChar w:fldCharType="separate"/>
            </w:r>
            <w:r>
              <w:rPr>
                <w:noProof/>
                <w:webHidden/>
              </w:rPr>
              <w:t>31</w:t>
            </w:r>
            <w:r>
              <w:rPr>
                <w:noProof/>
                <w:webHidden/>
              </w:rPr>
              <w:fldChar w:fldCharType="end"/>
            </w:r>
          </w:hyperlink>
        </w:p>
        <w:p w14:paraId="1E150F5B" w14:textId="7B9DB48F" w:rsidR="00E8051E" w:rsidRDefault="00E8051E">
          <w:pPr>
            <w:pStyle w:val="TOC1"/>
            <w:rPr>
              <w:rFonts w:eastAsiaTheme="minorEastAsia" w:cstheme="minorBidi"/>
              <w:b w:val="0"/>
              <w:noProof/>
              <w:kern w:val="2"/>
              <w:sz w:val="24"/>
              <w:lang w:eastAsia="en-AU" w:bidi="ar-SA"/>
              <w14:ligatures w14:val="standardContextual"/>
            </w:rPr>
          </w:pPr>
          <w:hyperlink w:anchor="_Toc200617306" w:history="1">
            <w:r w:rsidRPr="00AC5A42">
              <w:rPr>
                <w:rStyle w:val="Hyperlink"/>
                <w:rFonts w:ascii="Calibri" w:eastAsia="Calibri" w:hAnsi="Calibri" w:cs="Calibri"/>
                <w:noProof/>
              </w:rPr>
              <w:t>7.3.</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Key lessons learned</w:t>
            </w:r>
            <w:r>
              <w:rPr>
                <w:noProof/>
                <w:webHidden/>
              </w:rPr>
              <w:tab/>
            </w:r>
            <w:r>
              <w:rPr>
                <w:noProof/>
                <w:webHidden/>
              </w:rPr>
              <w:fldChar w:fldCharType="begin"/>
            </w:r>
            <w:r>
              <w:rPr>
                <w:noProof/>
                <w:webHidden/>
              </w:rPr>
              <w:instrText xml:space="preserve"> PAGEREF _Toc200617306 \h </w:instrText>
            </w:r>
            <w:r>
              <w:rPr>
                <w:noProof/>
                <w:webHidden/>
              </w:rPr>
            </w:r>
            <w:r>
              <w:rPr>
                <w:noProof/>
                <w:webHidden/>
              </w:rPr>
              <w:fldChar w:fldCharType="separate"/>
            </w:r>
            <w:r>
              <w:rPr>
                <w:noProof/>
                <w:webHidden/>
              </w:rPr>
              <w:t>31</w:t>
            </w:r>
            <w:r>
              <w:rPr>
                <w:noProof/>
                <w:webHidden/>
              </w:rPr>
              <w:fldChar w:fldCharType="end"/>
            </w:r>
          </w:hyperlink>
        </w:p>
        <w:p w14:paraId="28FACA83" w14:textId="098EAF1B" w:rsidR="00E8051E" w:rsidRDefault="00E8051E">
          <w:pPr>
            <w:pStyle w:val="TOC1"/>
            <w:rPr>
              <w:rFonts w:eastAsiaTheme="minorEastAsia" w:cstheme="minorBidi"/>
              <w:b w:val="0"/>
              <w:noProof/>
              <w:kern w:val="2"/>
              <w:sz w:val="24"/>
              <w:lang w:eastAsia="en-AU" w:bidi="ar-SA"/>
              <w14:ligatures w14:val="standardContextual"/>
            </w:rPr>
          </w:pPr>
          <w:hyperlink w:anchor="_Toc200617307" w:history="1">
            <w:r w:rsidRPr="00AC5A42">
              <w:rPr>
                <w:rStyle w:val="Hyperlink"/>
                <w:rFonts w:ascii="Calibri" w:eastAsia="Calibri" w:hAnsi="Calibri" w:cs="Calibri"/>
                <w:noProof/>
              </w:rPr>
              <w:t>7.4.</w:t>
            </w:r>
            <w:r>
              <w:rPr>
                <w:rFonts w:eastAsiaTheme="minorEastAsia" w:cstheme="minorBidi"/>
                <w:b w:val="0"/>
                <w:noProof/>
                <w:kern w:val="2"/>
                <w:sz w:val="24"/>
                <w:lang w:eastAsia="en-AU" w:bidi="ar-SA"/>
                <w14:ligatures w14:val="standardContextual"/>
              </w:rPr>
              <w:tab/>
            </w:r>
            <w:r w:rsidRPr="00AC5A42">
              <w:rPr>
                <w:rStyle w:val="Hyperlink"/>
                <w:rFonts w:ascii="Calibri" w:eastAsia="Calibri" w:hAnsi="Calibri" w:cs="Calibri"/>
                <w:noProof/>
              </w:rPr>
              <w:t>Recommendations</w:t>
            </w:r>
            <w:r>
              <w:rPr>
                <w:noProof/>
                <w:webHidden/>
              </w:rPr>
              <w:tab/>
            </w:r>
            <w:r>
              <w:rPr>
                <w:noProof/>
                <w:webHidden/>
              </w:rPr>
              <w:fldChar w:fldCharType="begin"/>
            </w:r>
            <w:r>
              <w:rPr>
                <w:noProof/>
                <w:webHidden/>
              </w:rPr>
              <w:instrText xml:space="preserve"> PAGEREF _Toc200617307 \h </w:instrText>
            </w:r>
            <w:r>
              <w:rPr>
                <w:noProof/>
                <w:webHidden/>
              </w:rPr>
            </w:r>
            <w:r>
              <w:rPr>
                <w:noProof/>
                <w:webHidden/>
              </w:rPr>
              <w:fldChar w:fldCharType="separate"/>
            </w:r>
            <w:r>
              <w:rPr>
                <w:noProof/>
                <w:webHidden/>
              </w:rPr>
              <w:t>32</w:t>
            </w:r>
            <w:r>
              <w:rPr>
                <w:noProof/>
                <w:webHidden/>
              </w:rPr>
              <w:fldChar w:fldCharType="end"/>
            </w:r>
          </w:hyperlink>
        </w:p>
        <w:p w14:paraId="3837BCC3" w14:textId="4DF23144" w:rsidR="00E8051E" w:rsidRDefault="00E8051E">
          <w:pPr>
            <w:pStyle w:val="TOC1"/>
            <w:rPr>
              <w:rFonts w:eastAsiaTheme="minorEastAsia" w:cstheme="minorBidi"/>
              <w:b w:val="0"/>
              <w:noProof/>
              <w:kern w:val="2"/>
              <w:sz w:val="24"/>
              <w:lang w:eastAsia="en-AU" w:bidi="ar-SA"/>
              <w14:ligatures w14:val="standardContextual"/>
            </w:rPr>
          </w:pPr>
          <w:hyperlink w:anchor="_Toc200617308" w:history="1">
            <w:r w:rsidRPr="00AC5A42">
              <w:rPr>
                <w:rStyle w:val="Hyperlink"/>
                <w:noProof/>
              </w:rPr>
              <w:t>8.</w:t>
            </w:r>
            <w:r>
              <w:rPr>
                <w:rFonts w:eastAsiaTheme="minorEastAsia" w:cstheme="minorBidi"/>
                <w:b w:val="0"/>
                <w:noProof/>
                <w:kern w:val="2"/>
                <w:sz w:val="24"/>
                <w:lang w:eastAsia="en-AU" w:bidi="ar-SA"/>
                <w14:ligatures w14:val="standardContextual"/>
              </w:rPr>
              <w:tab/>
            </w:r>
            <w:r w:rsidRPr="00AC5A42">
              <w:rPr>
                <w:rStyle w:val="Hyperlink"/>
                <w:noProof/>
              </w:rPr>
              <w:t>EQ5 – Lessons to inform design and implementation of large-scale health emergency response programs</w:t>
            </w:r>
            <w:r>
              <w:rPr>
                <w:noProof/>
                <w:webHidden/>
              </w:rPr>
              <w:tab/>
            </w:r>
            <w:r>
              <w:rPr>
                <w:noProof/>
                <w:webHidden/>
              </w:rPr>
              <w:fldChar w:fldCharType="begin"/>
            </w:r>
            <w:r>
              <w:rPr>
                <w:noProof/>
                <w:webHidden/>
              </w:rPr>
              <w:instrText xml:space="preserve"> PAGEREF _Toc200617308 \h </w:instrText>
            </w:r>
            <w:r>
              <w:rPr>
                <w:noProof/>
                <w:webHidden/>
              </w:rPr>
            </w:r>
            <w:r>
              <w:rPr>
                <w:noProof/>
                <w:webHidden/>
              </w:rPr>
              <w:fldChar w:fldCharType="separate"/>
            </w:r>
            <w:r>
              <w:rPr>
                <w:noProof/>
                <w:webHidden/>
              </w:rPr>
              <w:t>32</w:t>
            </w:r>
            <w:r>
              <w:rPr>
                <w:noProof/>
                <w:webHidden/>
              </w:rPr>
              <w:fldChar w:fldCharType="end"/>
            </w:r>
          </w:hyperlink>
        </w:p>
        <w:p w14:paraId="4D514F05" w14:textId="2D7CC75E" w:rsidR="00E8051E" w:rsidRDefault="00E8051E">
          <w:pPr>
            <w:pStyle w:val="TOC1"/>
            <w:rPr>
              <w:rFonts w:eastAsiaTheme="minorEastAsia" w:cstheme="minorBidi"/>
              <w:b w:val="0"/>
              <w:noProof/>
              <w:kern w:val="2"/>
              <w:sz w:val="24"/>
              <w:lang w:eastAsia="en-AU" w:bidi="ar-SA"/>
              <w14:ligatures w14:val="standardContextual"/>
            </w:rPr>
          </w:pPr>
          <w:hyperlink w:anchor="_Toc200617309" w:history="1">
            <w:r w:rsidRPr="00AC5A42">
              <w:rPr>
                <w:rStyle w:val="Hyperlink"/>
                <w:noProof/>
              </w:rPr>
              <w:t>9.</w:t>
            </w:r>
            <w:r>
              <w:rPr>
                <w:rFonts w:eastAsiaTheme="minorEastAsia" w:cstheme="minorBidi"/>
                <w:b w:val="0"/>
                <w:noProof/>
                <w:kern w:val="2"/>
                <w:sz w:val="24"/>
                <w:lang w:eastAsia="en-AU" w:bidi="ar-SA"/>
                <w14:ligatures w14:val="standardContextual"/>
              </w:rPr>
              <w:tab/>
            </w:r>
            <w:r w:rsidRPr="00AC5A42">
              <w:rPr>
                <w:rStyle w:val="Hyperlink"/>
                <w:noProof/>
              </w:rPr>
              <w:t>Acknowledgements</w:t>
            </w:r>
            <w:r>
              <w:rPr>
                <w:noProof/>
                <w:webHidden/>
              </w:rPr>
              <w:tab/>
            </w:r>
            <w:r>
              <w:rPr>
                <w:noProof/>
                <w:webHidden/>
              </w:rPr>
              <w:fldChar w:fldCharType="begin"/>
            </w:r>
            <w:r>
              <w:rPr>
                <w:noProof/>
                <w:webHidden/>
              </w:rPr>
              <w:instrText xml:space="preserve"> PAGEREF _Toc200617309 \h </w:instrText>
            </w:r>
            <w:r>
              <w:rPr>
                <w:noProof/>
                <w:webHidden/>
              </w:rPr>
            </w:r>
            <w:r>
              <w:rPr>
                <w:noProof/>
                <w:webHidden/>
              </w:rPr>
              <w:fldChar w:fldCharType="separate"/>
            </w:r>
            <w:r>
              <w:rPr>
                <w:noProof/>
                <w:webHidden/>
              </w:rPr>
              <w:t>34</w:t>
            </w:r>
            <w:r>
              <w:rPr>
                <w:noProof/>
                <w:webHidden/>
              </w:rPr>
              <w:fldChar w:fldCharType="end"/>
            </w:r>
          </w:hyperlink>
        </w:p>
        <w:p w14:paraId="435145E9" w14:textId="334E7811" w:rsidR="00E8051E" w:rsidRDefault="00E8051E">
          <w:pPr>
            <w:pStyle w:val="TOC1"/>
            <w:rPr>
              <w:rFonts w:eastAsiaTheme="minorEastAsia" w:cstheme="minorBidi"/>
              <w:b w:val="0"/>
              <w:noProof/>
              <w:kern w:val="2"/>
              <w:sz w:val="24"/>
              <w:lang w:eastAsia="en-AU" w:bidi="ar-SA"/>
              <w14:ligatures w14:val="standardContextual"/>
            </w:rPr>
          </w:pPr>
          <w:hyperlink w:anchor="_Toc200617310" w:history="1">
            <w:r w:rsidRPr="00AC5A42">
              <w:rPr>
                <w:rStyle w:val="Hyperlink"/>
                <w:noProof/>
              </w:rPr>
              <w:t>Annex 1: List of documents reviewed</w:t>
            </w:r>
            <w:r>
              <w:rPr>
                <w:noProof/>
                <w:webHidden/>
              </w:rPr>
              <w:tab/>
            </w:r>
            <w:r>
              <w:rPr>
                <w:noProof/>
                <w:webHidden/>
              </w:rPr>
              <w:fldChar w:fldCharType="begin"/>
            </w:r>
            <w:r>
              <w:rPr>
                <w:noProof/>
                <w:webHidden/>
              </w:rPr>
              <w:instrText xml:space="preserve"> PAGEREF _Toc200617310 \h </w:instrText>
            </w:r>
            <w:r>
              <w:rPr>
                <w:noProof/>
                <w:webHidden/>
              </w:rPr>
            </w:r>
            <w:r>
              <w:rPr>
                <w:noProof/>
                <w:webHidden/>
              </w:rPr>
              <w:fldChar w:fldCharType="separate"/>
            </w:r>
            <w:r>
              <w:rPr>
                <w:noProof/>
                <w:webHidden/>
              </w:rPr>
              <w:t>36</w:t>
            </w:r>
            <w:r>
              <w:rPr>
                <w:noProof/>
                <w:webHidden/>
              </w:rPr>
              <w:fldChar w:fldCharType="end"/>
            </w:r>
          </w:hyperlink>
        </w:p>
        <w:p w14:paraId="1FF3E658" w14:textId="56940CC7" w:rsidR="00E8051E" w:rsidRDefault="00E8051E">
          <w:pPr>
            <w:pStyle w:val="TOC1"/>
            <w:rPr>
              <w:rFonts w:eastAsiaTheme="minorEastAsia" w:cstheme="minorBidi"/>
              <w:b w:val="0"/>
              <w:noProof/>
              <w:kern w:val="2"/>
              <w:sz w:val="24"/>
              <w:lang w:eastAsia="en-AU" w:bidi="ar-SA"/>
              <w14:ligatures w14:val="standardContextual"/>
            </w:rPr>
          </w:pPr>
          <w:hyperlink w:anchor="_Toc200617311" w:history="1">
            <w:r w:rsidRPr="00AC5A42">
              <w:rPr>
                <w:rStyle w:val="Hyperlink"/>
                <w:noProof/>
              </w:rPr>
              <w:t>Annex 2: List of key informants interviewed</w:t>
            </w:r>
            <w:r>
              <w:rPr>
                <w:noProof/>
                <w:webHidden/>
              </w:rPr>
              <w:tab/>
            </w:r>
            <w:r>
              <w:rPr>
                <w:noProof/>
                <w:webHidden/>
              </w:rPr>
              <w:fldChar w:fldCharType="begin"/>
            </w:r>
            <w:r>
              <w:rPr>
                <w:noProof/>
                <w:webHidden/>
              </w:rPr>
              <w:instrText xml:space="preserve"> PAGEREF _Toc200617311 \h </w:instrText>
            </w:r>
            <w:r>
              <w:rPr>
                <w:noProof/>
                <w:webHidden/>
              </w:rPr>
            </w:r>
            <w:r>
              <w:rPr>
                <w:noProof/>
                <w:webHidden/>
              </w:rPr>
              <w:fldChar w:fldCharType="separate"/>
            </w:r>
            <w:r>
              <w:rPr>
                <w:noProof/>
                <w:webHidden/>
              </w:rPr>
              <w:t>42</w:t>
            </w:r>
            <w:r>
              <w:rPr>
                <w:noProof/>
                <w:webHidden/>
              </w:rPr>
              <w:fldChar w:fldCharType="end"/>
            </w:r>
          </w:hyperlink>
        </w:p>
        <w:p w14:paraId="6AD88A9E" w14:textId="122B0E26" w:rsidR="00E8051E" w:rsidRDefault="00E8051E">
          <w:pPr>
            <w:pStyle w:val="TOC1"/>
            <w:rPr>
              <w:rFonts w:eastAsiaTheme="minorEastAsia" w:cstheme="minorBidi"/>
              <w:b w:val="0"/>
              <w:noProof/>
              <w:kern w:val="2"/>
              <w:sz w:val="24"/>
              <w:lang w:eastAsia="en-AU" w:bidi="ar-SA"/>
              <w14:ligatures w14:val="standardContextual"/>
            </w:rPr>
          </w:pPr>
          <w:hyperlink w:anchor="_Toc200617312" w:history="1">
            <w:r w:rsidRPr="00AC5A42">
              <w:rPr>
                <w:rStyle w:val="Hyperlink"/>
                <w:noProof/>
              </w:rPr>
              <w:t>Annex 3: Evaluation plan</w:t>
            </w:r>
            <w:r>
              <w:rPr>
                <w:noProof/>
                <w:webHidden/>
              </w:rPr>
              <w:tab/>
            </w:r>
            <w:r>
              <w:rPr>
                <w:noProof/>
                <w:webHidden/>
              </w:rPr>
              <w:fldChar w:fldCharType="begin"/>
            </w:r>
            <w:r>
              <w:rPr>
                <w:noProof/>
                <w:webHidden/>
              </w:rPr>
              <w:instrText xml:space="preserve"> PAGEREF _Toc200617312 \h </w:instrText>
            </w:r>
            <w:r>
              <w:rPr>
                <w:noProof/>
                <w:webHidden/>
              </w:rPr>
            </w:r>
            <w:r>
              <w:rPr>
                <w:noProof/>
                <w:webHidden/>
              </w:rPr>
              <w:fldChar w:fldCharType="separate"/>
            </w:r>
            <w:r>
              <w:rPr>
                <w:noProof/>
                <w:webHidden/>
              </w:rPr>
              <w:t>45</w:t>
            </w:r>
            <w:r>
              <w:rPr>
                <w:noProof/>
                <w:webHidden/>
              </w:rPr>
              <w:fldChar w:fldCharType="end"/>
            </w:r>
          </w:hyperlink>
        </w:p>
        <w:p w14:paraId="104AC8A3" w14:textId="1704222C" w:rsidR="00E8051E" w:rsidRDefault="00E8051E">
          <w:pPr>
            <w:pStyle w:val="TOC1"/>
            <w:rPr>
              <w:rFonts w:eastAsiaTheme="minorEastAsia" w:cstheme="minorBidi"/>
              <w:b w:val="0"/>
              <w:noProof/>
              <w:kern w:val="2"/>
              <w:sz w:val="24"/>
              <w:lang w:eastAsia="en-AU" w:bidi="ar-SA"/>
              <w14:ligatures w14:val="standardContextual"/>
            </w:rPr>
          </w:pPr>
          <w:hyperlink w:anchor="_Toc200617313" w:history="1">
            <w:r w:rsidRPr="00AC5A42">
              <w:rPr>
                <w:rStyle w:val="Hyperlink"/>
                <w:noProof/>
              </w:rPr>
              <w:t>Annex 7: Data collection tools</w:t>
            </w:r>
            <w:r>
              <w:rPr>
                <w:noProof/>
                <w:webHidden/>
              </w:rPr>
              <w:tab/>
            </w:r>
            <w:r>
              <w:rPr>
                <w:noProof/>
                <w:webHidden/>
              </w:rPr>
              <w:fldChar w:fldCharType="begin"/>
            </w:r>
            <w:r>
              <w:rPr>
                <w:noProof/>
                <w:webHidden/>
              </w:rPr>
              <w:instrText xml:space="preserve"> PAGEREF _Toc200617313 \h </w:instrText>
            </w:r>
            <w:r>
              <w:rPr>
                <w:noProof/>
                <w:webHidden/>
              </w:rPr>
            </w:r>
            <w:r>
              <w:rPr>
                <w:noProof/>
                <w:webHidden/>
              </w:rPr>
              <w:fldChar w:fldCharType="separate"/>
            </w:r>
            <w:r>
              <w:rPr>
                <w:noProof/>
                <w:webHidden/>
              </w:rPr>
              <w:t>61</w:t>
            </w:r>
            <w:r>
              <w:rPr>
                <w:noProof/>
                <w:webHidden/>
              </w:rPr>
              <w:fldChar w:fldCharType="end"/>
            </w:r>
          </w:hyperlink>
        </w:p>
        <w:p w14:paraId="1FFFC4CC" w14:textId="01EC684F" w:rsidR="00E8051E" w:rsidRDefault="00E8051E">
          <w:pPr>
            <w:pStyle w:val="TOC1"/>
            <w:rPr>
              <w:rFonts w:eastAsiaTheme="minorEastAsia" w:cstheme="minorBidi"/>
              <w:b w:val="0"/>
              <w:noProof/>
              <w:kern w:val="2"/>
              <w:sz w:val="24"/>
              <w:lang w:eastAsia="en-AU" w:bidi="ar-SA"/>
              <w14:ligatures w14:val="standardContextual"/>
            </w:rPr>
          </w:pPr>
          <w:hyperlink w:anchor="_Toc200617314" w:history="1">
            <w:r w:rsidRPr="00AC5A42">
              <w:rPr>
                <w:rStyle w:val="Hyperlink"/>
                <w:noProof/>
              </w:rPr>
              <w:t>Annex 8: Number of COVID-19 doses shared from Australia's supply, procured by Australia, or distributed through the COVAX Facility, May 2023</w:t>
            </w:r>
            <w:r>
              <w:rPr>
                <w:noProof/>
                <w:webHidden/>
              </w:rPr>
              <w:tab/>
            </w:r>
            <w:r>
              <w:rPr>
                <w:noProof/>
                <w:webHidden/>
              </w:rPr>
              <w:fldChar w:fldCharType="begin"/>
            </w:r>
            <w:r>
              <w:rPr>
                <w:noProof/>
                <w:webHidden/>
              </w:rPr>
              <w:instrText xml:space="preserve"> PAGEREF _Toc200617314 \h </w:instrText>
            </w:r>
            <w:r>
              <w:rPr>
                <w:noProof/>
                <w:webHidden/>
              </w:rPr>
            </w:r>
            <w:r>
              <w:rPr>
                <w:noProof/>
                <w:webHidden/>
              </w:rPr>
              <w:fldChar w:fldCharType="separate"/>
            </w:r>
            <w:r>
              <w:rPr>
                <w:noProof/>
                <w:webHidden/>
              </w:rPr>
              <w:t>69</w:t>
            </w:r>
            <w:r>
              <w:rPr>
                <w:noProof/>
                <w:webHidden/>
              </w:rPr>
              <w:fldChar w:fldCharType="end"/>
            </w:r>
          </w:hyperlink>
        </w:p>
        <w:p w14:paraId="322D86B3" w14:textId="2FAB6810" w:rsidR="00E8051E" w:rsidRDefault="00E8051E">
          <w:pPr>
            <w:pStyle w:val="TOC1"/>
            <w:rPr>
              <w:rFonts w:eastAsiaTheme="minorEastAsia" w:cstheme="minorBidi"/>
              <w:b w:val="0"/>
              <w:noProof/>
              <w:kern w:val="2"/>
              <w:sz w:val="24"/>
              <w:lang w:eastAsia="en-AU" w:bidi="ar-SA"/>
              <w14:ligatures w14:val="standardContextual"/>
            </w:rPr>
          </w:pPr>
          <w:hyperlink w:anchor="_Toc200617315" w:history="1">
            <w:r w:rsidRPr="00AC5A42">
              <w:rPr>
                <w:rStyle w:val="Hyperlink"/>
                <w:noProof/>
              </w:rPr>
              <w:t>Annex 9: Estimate of VAHSI attributable proportion of total COVID-19 vaccine doses by country and year, 2021 and 2022</w:t>
            </w:r>
            <w:r>
              <w:rPr>
                <w:noProof/>
                <w:webHidden/>
              </w:rPr>
              <w:tab/>
            </w:r>
            <w:r>
              <w:rPr>
                <w:noProof/>
                <w:webHidden/>
              </w:rPr>
              <w:fldChar w:fldCharType="begin"/>
            </w:r>
            <w:r>
              <w:rPr>
                <w:noProof/>
                <w:webHidden/>
              </w:rPr>
              <w:instrText xml:space="preserve"> PAGEREF _Toc200617315 \h </w:instrText>
            </w:r>
            <w:r>
              <w:rPr>
                <w:noProof/>
                <w:webHidden/>
              </w:rPr>
            </w:r>
            <w:r>
              <w:rPr>
                <w:noProof/>
                <w:webHidden/>
              </w:rPr>
              <w:fldChar w:fldCharType="separate"/>
            </w:r>
            <w:r>
              <w:rPr>
                <w:noProof/>
                <w:webHidden/>
              </w:rPr>
              <w:t>71</w:t>
            </w:r>
            <w:r>
              <w:rPr>
                <w:noProof/>
                <w:webHidden/>
              </w:rPr>
              <w:fldChar w:fldCharType="end"/>
            </w:r>
          </w:hyperlink>
        </w:p>
        <w:p w14:paraId="17954A89" w14:textId="0F515D7C" w:rsidR="00E8051E" w:rsidRDefault="00E8051E">
          <w:pPr>
            <w:pStyle w:val="TOC1"/>
            <w:rPr>
              <w:rFonts w:eastAsiaTheme="minorEastAsia" w:cstheme="minorBidi"/>
              <w:b w:val="0"/>
              <w:noProof/>
              <w:kern w:val="2"/>
              <w:sz w:val="24"/>
              <w:lang w:eastAsia="en-AU" w:bidi="ar-SA"/>
              <w14:ligatures w14:val="standardContextual"/>
            </w:rPr>
          </w:pPr>
          <w:hyperlink w:anchor="_Toc200617316" w:history="1">
            <w:r w:rsidRPr="00AC5A42">
              <w:rPr>
                <w:rStyle w:val="Hyperlink"/>
                <w:noProof/>
              </w:rPr>
              <w:t>Annex 10: Challenges reported throughout the pandemic</w:t>
            </w:r>
            <w:r>
              <w:rPr>
                <w:noProof/>
                <w:webHidden/>
              </w:rPr>
              <w:tab/>
            </w:r>
            <w:r>
              <w:rPr>
                <w:noProof/>
                <w:webHidden/>
              </w:rPr>
              <w:fldChar w:fldCharType="begin"/>
            </w:r>
            <w:r>
              <w:rPr>
                <w:noProof/>
                <w:webHidden/>
              </w:rPr>
              <w:instrText xml:space="preserve"> PAGEREF _Toc200617316 \h </w:instrText>
            </w:r>
            <w:r>
              <w:rPr>
                <w:noProof/>
                <w:webHidden/>
              </w:rPr>
            </w:r>
            <w:r>
              <w:rPr>
                <w:noProof/>
                <w:webHidden/>
              </w:rPr>
              <w:fldChar w:fldCharType="separate"/>
            </w:r>
            <w:r>
              <w:rPr>
                <w:noProof/>
                <w:webHidden/>
              </w:rPr>
              <w:t>72</w:t>
            </w:r>
            <w:r>
              <w:rPr>
                <w:noProof/>
                <w:webHidden/>
              </w:rPr>
              <w:fldChar w:fldCharType="end"/>
            </w:r>
          </w:hyperlink>
        </w:p>
        <w:p w14:paraId="55592483" w14:textId="3D27B175" w:rsidR="00E8051E" w:rsidRDefault="00E8051E">
          <w:pPr>
            <w:pStyle w:val="TOC1"/>
            <w:rPr>
              <w:rFonts w:eastAsiaTheme="minorEastAsia" w:cstheme="minorBidi"/>
              <w:b w:val="0"/>
              <w:noProof/>
              <w:kern w:val="2"/>
              <w:sz w:val="24"/>
              <w:lang w:eastAsia="en-AU" w:bidi="ar-SA"/>
              <w14:ligatures w14:val="standardContextual"/>
            </w:rPr>
          </w:pPr>
          <w:hyperlink w:anchor="_Toc200617317" w:history="1">
            <w:r w:rsidRPr="00AC5A42">
              <w:rPr>
                <w:rStyle w:val="Hyperlink"/>
                <w:rFonts w:eastAsia="Calibri"/>
                <w:noProof/>
              </w:rPr>
              <w:t>Annex 11: VAHSI GEDSI Strategy – Key Areas of Focus</w:t>
            </w:r>
            <w:r>
              <w:rPr>
                <w:noProof/>
                <w:webHidden/>
              </w:rPr>
              <w:tab/>
            </w:r>
            <w:r>
              <w:rPr>
                <w:noProof/>
                <w:webHidden/>
              </w:rPr>
              <w:fldChar w:fldCharType="begin"/>
            </w:r>
            <w:r>
              <w:rPr>
                <w:noProof/>
                <w:webHidden/>
              </w:rPr>
              <w:instrText xml:space="preserve"> PAGEREF _Toc200617317 \h </w:instrText>
            </w:r>
            <w:r>
              <w:rPr>
                <w:noProof/>
                <w:webHidden/>
              </w:rPr>
            </w:r>
            <w:r>
              <w:rPr>
                <w:noProof/>
                <w:webHidden/>
              </w:rPr>
              <w:fldChar w:fldCharType="separate"/>
            </w:r>
            <w:r>
              <w:rPr>
                <w:noProof/>
                <w:webHidden/>
              </w:rPr>
              <w:t>73</w:t>
            </w:r>
            <w:r>
              <w:rPr>
                <w:noProof/>
                <w:webHidden/>
              </w:rPr>
              <w:fldChar w:fldCharType="end"/>
            </w:r>
          </w:hyperlink>
        </w:p>
        <w:p w14:paraId="57DA9F03" w14:textId="5F3021CD" w:rsidR="00E8051E" w:rsidRDefault="00E8051E">
          <w:pPr>
            <w:pStyle w:val="TOC1"/>
            <w:rPr>
              <w:rFonts w:eastAsiaTheme="minorEastAsia" w:cstheme="minorBidi"/>
              <w:b w:val="0"/>
              <w:noProof/>
              <w:kern w:val="2"/>
              <w:sz w:val="24"/>
              <w:lang w:eastAsia="en-AU" w:bidi="ar-SA"/>
              <w14:ligatures w14:val="standardContextual"/>
            </w:rPr>
          </w:pPr>
          <w:hyperlink w:anchor="_Toc200617318" w:history="1">
            <w:r w:rsidRPr="00AC5A42">
              <w:rPr>
                <w:rStyle w:val="Hyperlink"/>
                <w:noProof/>
              </w:rPr>
              <w:t>Annex 12: Accessibility description of figures</w:t>
            </w:r>
            <w:r>
              <w:rPr>
                <w:noProof/>
                <w:webHidden/>
              </w:rPr>
              <w:tab/>
            </w:r>
            <w:r>
              <w:rPr>
                <w:noProof/>
                <w:webHidden/>
              </w:rPr>
              <w:fldChar w:fldCharType="begin"/>
            </w:r>
            <w:r>
              <w:rPr>
                <w:noProof/>
                <w:webHidden/>
              </w:rPr>
              <w:instrText xml:space="preserve"> PAGEREF _Toc200617318 \h </w:instrText>
            </w:r>
            <w:r>
              <w:rPr>
                <w:noProof/>
                <w:webHidden/>
              </w:rPr>
            </w:r>
            <w:r>
              <w:rPr>
                <w:noProof/>
                <w:webHidden/>
              </w:rPr>
              <w:fldChar w:fldCharType="separate"/>
            </w:r>
            <w:r>
              <w:rPr>
                <w:noProof/>
                <w:webHidden/>
              </w:rPr>
              <w:t>75</w:t>
            </w:r>
            <w:r>
              <w:rPr>
                <w:noProof/>
                <w:webHidden/>
              </w:rPr>
              <w:fldChar w:fldCharType="end"/>
            </w:r>
          </w:hyperlink>
        </w:p>
        <w:p w14:paraId="791325BB" w14:textId="0CECF1CA" w:rsidR="00E8051E" w:rsidRDefault="00E8051E">
          <w:pPr>
            <w:pStyle w:val="TOC1"/>
            <w:rPr>
              <w:rFonts w:eastAsiaTheme="minorEastAsia" w:cstheme="minorBidi"/>
              <w:b w:val="0"/>
              <w:noProof/>
              <w:kern w:val="2"/>
              <w:sz w:val="24"/>
              <w:lang w:eastAsia="en-AU" w:bidi="ar-SA"/>
              <w14:ligatures w14:val="standardContextual"/>
            </w:rPr>
          </w:pPr>
          <w:hyperlink w:anchor="_Toc200617319" w:history="1">
            <w:r w:rsidRPr="00AC5A42">
              <w:rPr>
                <w:rStyle w:val="Hyperlink"/>
                <w:noProof/>
              </w:rPr>
              <w:t>Annex 13: References</w:t>
            </w:r>
            <w:r>
              <w:rPr>
                <w:noProof/>
                <w:webHidden/>
              </w:rPr>
              <w:tab/>
            </w:r>
            <w:r>
              <w:rPr>
                <w:noProof/>
                <w:webHidden/>
              </w:rPr>
              <w:fldChar w:fldCharType="begin"/>
            </w:r>
            <w:r>
              <w:rPr>
                <w:noProof/>
                <w:webHidden/>
              </w:rPr>
              <w:instrText xml:space="preserve"> PAGEREF _Toc200617319 \h </w:instrText>
            </w:r>
            <w:r>
              <w:rPr>
                <w:noProof/>
                <w:webHidden/>
              </w:rPr>
            </w:r>
            <w:r>
              <w:rPr>
                <w:noProof/>
                <w:webHidden/>
              </w:rPr>
              <w:fldChar w:fldCharType="separate"/>
            </w:r>
            <w:r>
              <w:rPr>
                <w:noProof/>
                <w:webHidden/>
              </w:rPr>
              <w:t>81</w:t>
            </w:r>
            <w:r>
              <w:rPr>
                <w:noProof/>
                <w:webHidden/>
              </w:rPr>
              <w:fldChar w:fldCharType="end"/>
            </w:r>
          </w:hyperlink>
        </w:p>
        <w:p w14:paraId="246EE4AD" w14:textId="6E9B697F" w:rsidR="00742523" w:rsidRDefault="00742523">
          <w:r>
            <w:rPr>
              <w:b/>
              <w:bCs/>
              <w:noProof/>
            </w:rPr>
            <w:fldChar w:fldCharType="end"/>
          </w:r>
        </w:p>
      </w:sdtContent>
    </w:sdt>
    <w:p w14:paraId="327C7359" w14:textId="77777777" w:rsidR="00680011" w:rsidRDefault="00680011" w:rsidP="00D32689"/>
    <w:p w14:paraId="59824A1D" w14:textId="77777777" w:rsidR="00742523" w:rsidRDefault="00742523" w:rsidP="00D32689"/>
    <w:p w14:paraId="320FCADF" w14:textId="77777777" w:rsidR="00742523" w:rsidRDefault="00742523" w:rsidP="00D32689">
      <w:pPr>
        <w:sectPr w:rsidR="00742523" w:rsidSect="004D3DB5">
          <w:headerReference w:type="even" r:id="rId10"/>
          <w:headerReference w:type="default" r:id="rId11"/>
          <w:footerReference w:type="default" r:id="rId12"/>
          <w:headerReference w:type="first" r:id="rId13"/>
          <w:footerReference w:type="first" r:id="rId14"/>
          <w:pgSz w:w="11906" w:h="16838" w:code="9"/>
          <w:pgMar w:top="1440" w:right="1440" w:bottom="1440" w:left="1440" w:header="720" w:footer="720" w:gutter="0"/>
          <w:pgNumType w:fmt="lowerRoman" w:start="1"/>
          <w:cols w:space="720"/>
          <w:docGrid w:linePitch="360"/>
        </w:sectPr>
      </w:pPr>
    </w:p>
    <w:p w14:paraId="22C9850A" w14:textId="0DBEFB32" w:rsidR="000239C8" w:rsidRPr="006B0C6C" w:rsidRDefault="32D3E749" w:rsidP="00D32689">
      <w:pPr>
        <w:pStyle w:val="Non-numberedLevel1heading"/>
      </w:pPr>
      <w:r w:rsidRPr="006B0C6C">
        <w:t>A</w:t>
      </w:r>
      <w:r w:rsidR="44830CB9" w:rsidRPr="006B0C6C">
        <w:t>cronyms</w:t>
      </w:r>
      <w:bookmarkEnd w:id="3"/>
    </w:p>
    <w:tbl>
      <w:tblPr>
        <w:tblStyle w:val="SHSReportTable"/>
        <w:tblW w:w="0" w:type="auto"/>
        <w:tblLook w:val="04A0" w:firstRow="1" w:lastRow="0" w:firstColumn="1" w:lastColumn="0" w:noHBand="0" w:noVBand="1"/>
      </w:tblPr>
      <w:tblGrid>
        <w:gridCol w:w="2405"/>
        <w:gridCol w:w="6611"/>
      </w:tblGrid>
      <w:tr w:rsidR="00BC3C0C" w:rsidRPr="00532C26" w14:paraId="111E9EB4" w14:textId="77777777" w:rsidTr="004777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7BD09E31" w14:textId="4004766C" w:rsidR="00BC3C0C" w:rsidRPr="006B0C6C" w:rsidRDefault="6AE8EAD2" w:rsidP="006B0C6C">
            <w:pPr>
              <w:pStyle w:val="Acronymstabletext"/>
            </w:pPr>
            <w:r w:rsidRPr="006B0C6C">
              <w:t>Acronym</w:t>
            </w:r>
          </w:p>
        </w:tc>
        <w:tc>
          <w:tcPr>
            <w:tcW w:w="6611" w:type="dxa"/>
          </w:tcPr>
          <w:p w14:paraId="0D51AB20" w14:textId="0526DCE8" w:rsidR="00BC3C0C" w:rsidRPr="006B0C6C" w:rsidRDefault="6AE8EAD2" w:rsidP="006B0C6C">
            <w:pPr>
              <w:pStyle w:val="Acronymstabletext"/>
              <w:cnfStyle w:val="100000000000" w:firstRow="1" w:lastRow="0" w:firstColumn="0" w:lastColumn="0" w:oddVBand="0" w:evenVBand="0" w:oddHBand="0" w:evenHBand="0" w:firstRowFirstColumn="0" w:firstRowLastColumn="0" w:lastRowFirstColumn="0" w:lastRowLastColumn="0"/>
            </w:pPr>
            <w:r w:rsidRPr="006B0C6C">
              <w:t>Description</w:t>
            </w:r>
          </w:p>
        </w:tc>
      </w:tr>
      <w:tr w:rsidR="40D7C2F5" w:rsidRPr="00532C26" w14:paraId="0313E5FB"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09590A22" w14:textId="13930969" w:rsidR="25BF6EE4" w:rsidRPr="006B0C6C" w:rsidRDefault="25BF6EE4" w:rsidP="006B0C6C">
            <w:pPr>
              <w:pStyle w:val="Acronymstabletext"/>
            </w:pPr>
            <w:r w:rsidRPr="006B0C6C">
              <w:t>ACPHEED</w:t>
            </w:r>
          </w:p>
        </w:tc>
        <w:tc>
          <w:tcPr>
            <w:tcW w:w="6611" w:type="dxa"/>
          </w:tcPr>
          <w:p w14:paraId="5C458A35" w14:textId="0EA47E70" w:rsidR="25BF6EE4" w:rsidRPr="006B0C6C" w:rsidRDefault="25BF6EE4"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t>ASEAN Centre for Public Health Emergencies and Emerging Diseases</w:t>
            </w:r>
          </w:p>
        </w:tc>
      </w:tr>
      <w:tr w:rsidR="214FDC17" w:rsidRPr="00532C26" w14:paraId="5E2EB8C3"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119CDD9D" w14:textId="2275D5F4" w:rsidR="402CB7F7" w:rsidRPr="006B0C6C" w:rsidRDefault="402CB7F7" w:rsidP="006B0C6C">
            <w:pPr>
              <w:pStyle w:val="Acronymstabletext"/>
            </w:pPr>
            <w:r w:rsidRPr="006B0C6C">
              <w:t>AEFI</w:t>
            </w:r>
          </w:p>
        </w:tc>
        <w:tc>
          <w:tcPr>
            <w:tcW w:w="6611" w:type="dxa"/>
          </w:tcPr>
          <w:p w14:paraId="36F58FFA" w14:textId="2FDC1671" w:rsidR="402CB7F7" w:rsidRPr="006B0C6C" w:rsidRDefault="402CB7F7" w:rsidP="006B0C6C">
            <w:pPr>
              <w:pStyle w:val="Acronymstabletext"/>
              <w:cnfStyle w:val="000000000000" w:firstRow="0" w:lastRow="0" w:firstColumn="0" w:lastColumn="0" w:oddVBand="0" w:evenVBand="0" w:oddHBand="0" w:evenHBand="0" w:firstRowFirstColumn="0" w:firstRowLastColumn="0" w:lastRowFirstColumn="0" w:lastRowLastColumn="0"/>
            </w:pPr>
            <w:r w:rsidRPr="006B0C6C">
              <w:t>Adverse event following immunisation</w:t>
            </w:r>
          </w:p>
        </w:tc>
      </w:tr>
      <w:tr w:rsidR="5EB2BCB1" w:rsidRPr="00532C26" w14:paraId="225725CC"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4F090E58" w14:textId="32FE6270" w:rsidR="04EA9387" w:rsidRPr="006B0C6C" w:rsidRDefault="04EA9387" w:rsidP="006B0C6C">
            <w:pPr>
              <w:pStyle w:val="Acronymstabletext"/>
              <w:rPr>
                <w:rFonts w:ascii="Calibri" w:eastAsia="Calibri" w:hAnsi="Calibri" w:cs="Calibri"/>
              </w:rPr>
            </w:pPr>
            <w:r w:rsidRPr="006B0C6C">
              <w:rPr>
                <w:rFonts w:ascii="Calibri" w:eastAsia="Calibri" w:hAnsi="Calibri" w:cs="Calibri"/>
              </w:rPr>
              <w:t>AETAP</w:t>
            </w:r>
          </w:p>
        </w:tc>
        <w:tc>
          <w:tcPr>
            <w:tcW w:w="6611" w:type="dxa"/>
          </w:tcPr>
          <w:p w14:paraId="6571B7F0" w14:textId="711B37B1" w:rsidR="04EA9387" w:rsidRPr="006B0C6C" w:rsidRDefault="04EA9387" w:rsidP="006B0C6C">
            <w:pPr>
              <w:pStyle w:val="Acronymstable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B0C6C">
              <w:rPr>
                <w:rFonts w:ascii="Calibri" w:eastAsia="Calibri" w:hAnsi="Calibri" w:cs="Calibri"/>
              </w:rPr>
              <w:t>Australian Expert Technical Assistance Program</w:t>
            </w:r>
          </w:p>
        </w:tc>
      </w:tr>
      <w:tr w:rsidR="7388A156" w:rsidRPr="00532C26" w14:paraId="510CCAF5"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77207610" w14:textId="0848FCB0" w:rsidR="63258BCE" w:rsidRPr="006B0C6C" w:rsidRDefault="63258BCE" w:rsidP="006B0C6C">
            <w:pPr>
              <w:pStyle w:val="Acronymstabletext"/>
              <w:rPr>
                <w:rFonts w:ascii="Calibri" w:eastAsia="Calibri" w:hAnsi="Calibri" w:cs="Calibri"/>
              </w:rPr>
            </w:pPr>
            <w:r w:rsidRPr="006B0C6C">
              <w:rPr>
                <w:rFonts w:ascii="Calibri" w:eastAsia="Calibri" w:hAnsi="Calibri" w:cs="Calibri"/>
              </w:rPr>
              <w:t>AHP</w:t>
            </w:r>
          </w:p>
        </w:tc>
        <w:tc>
          <w:tcPr>
            <w:tcW w:w="6611" w:type="dxa"/>
          </w:tcPr>
          <w:p w14:paraId="5AA5CC00" w14:textId="5CC923C4" w:rsidR="63258BCE" w:rsidRPr="006B0C6C" w:rsidRDefault="63258BCE" w:rsidP="006B0C6C">
            <w:pPr>
              <w:pStyle w:val="Acronymstable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6B0C6C">
              <w:rPr>
                <w:rFonts w:ascii="Calibri" w:eastAsia="Calibri" w:hAnsi="Calibri" w:cs="Calibri"/>
              </w:rPr>
              <w:t>Australian Humanitarian Partnership</w:t>
            </w:r>
          </w:p>
        </w:tc>
      </w:tr>
      <w:tr w:rsidR="44C8811F" w:rsidRPr="00532C26" w14:paraId="2320D3DA"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182D7B52" w14:textId="1D3E37C1" w:rsidR="10D9CD50" w:rsidRPr="006B0C6C" w:rsidRDefault="10D9CD50" w:rsidP="006B0C6C">
            <w:pPr>
              <w:pStyle w:val="Acronymstabletext"/>
              <w:rPr>
                <w:rFonts w:ascii="Calibri" w:eastAsia="Calibri" w:hAnsi="Calibri" w:cs="Calibri"/>
              </w:rPr>
            </w:pPr>
            <w:r w:rsidRPr="006B0C6C">
              <w:rPr>
                <w:rFonts w:ascii="Calibri" w:eastAsia="Calibri" w:hAnsi="Calibri" w:cs="Calibri"/>
              </w:rPr>
              <w:t>AIHSP</w:t>
            </w:r>
          </w:p>
        </w:tc>
        <w:tc>
          <w:tcPr>
            <w:tcW w:w="6611" w:type="dxa"/>
          </w:tcPr>
          <w:p w14:paraId="2264A4E7" w14:textId="467EA781" w:rsidR="10D9CD50" w:rsidRPr="006B0C6C" w:rsidRDefault="10D9CD50"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t>Australia Indonesia Health Security Partnership</w:t>
            </w:r>
          </w:p>
        </w:tc>
      </w:tr>
      <w:tr w:rsidR="7388A156" w:rsidRPr="00532C26" w14:paraId="105F9BFD"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5E325F28" w14:textId="78F76DD7" w:rsidR="6FF40F9B" w:rsidRPr="006B0C6C" w:rsidRDefault="6FF40F9B" w:rsidP="006B0C6C">
            <w:pPr>
              <w:pStyle w:val="Acronymstabletext"/>
              <w:rPr>
                <w:rFonts w:ascii="Calibri" w:eastAsia="Calibri" w:hAnsi="Calibri" w:cs="Calibri"/>
              </w:rPr>
            </w:pPr>
            <w:r w:rsidRPr="006B0C6C">
              <w:rPr>
                <w:rFonts w:ascii="Calibri" w:eastAsia="Calibri" w:hAnsi="Calibri" w:cs="Calibri"/>
              </w:rPr>
              <w:t>ANCP</w:t>
            </w:r>
          </w:p>
        </w:tc>
        <w:tc>
          <w:tcPr>
            <w:tcW w:w="6611" w:type="dxa"/>
          </w:tcPr>
          <w:p w14:paraId="61CE50B2" w14:textId="28BD0EC1" w:rsidR="6FF40F9B" w:rsidRPr="006B0C6C" w:rsidRDefault="6FF40F9B" w:rsidP="006B0C6C">
            <w:pPr>
              <w:pStyle w:val="Acronymstable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6B0C6C">
              <w:rPr>
                <w:rFonts w:ascii="Calibri" w:eastAsia="Calibri" w:hAnsi="Calibri" w:cs="Calibri"/>
              </w:rPr>
              <w:t>Australian NGO Cooperation Program</w:t>
            </w:r>
          </w:p>
        </w:tc>
      </w:tr>
      <w:tr w:rsidR="00913943" w:rsidRPr="00532C26" w14:paraId="0BDDA420"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112DFB5A" w14:textId="3314303E" w:rsidR="00913943" w:rsidRPr="00532C26" w:rsidRDefault="00913943" w:rsidP="00913943">
            <w:pPr>
              <w:pStyle w:val="Acronymstabletext"/>
              <w:rPr>
                <w:rFonts w:ascii="Calibri" w:eastAsia="Calibri" w:hAnsi="Calibri" w:cs="Calibri"/>
              </w:rPr>
            </w:pPr>
            <w:r>
              <w:rPr>
                <w:rFonts w:ascii="Calibri" w:eastAsia="Calibri" w:hAnsi="Calibri" w:cs="Calibri"/>
              </w:rPr>
              <w:t>ASEAN</w:t>
            </w:r>
          </w:p>
        </w:tc>
        <w:tc>
          <w:tcPr>
            <w:tcW w:w="6611" w:type="dxa"/>
          </w:tcPr>
          <w:p w14:paraId="2C10641E" w14:textId="60CAD5B1" w:rsidR="00913943" w:rsidRPr="00532C26" w:rsidRDefault="00913943" w:rsidP="00913943">
            <w:pPr>
              <w:pStyle w:val="Acronymstable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Association of Southeast Asian Nations</w:t>
            </w:r>
          </w:p>
        </w:tc>
      </w:tr>
      <w:tr w:rsidR="2F862C6E" w:rsidRPr="00532C26" w14:paraId="00DA7058"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3735D5F4" w14:textId="697634FF" w:rsidR="6C9E44E2" w:rsidRPr="006B0C6C" w:rsidRDefault="6C9E44E2" w:rsidP="006B0C6C">
            <w:pPr>
              <w:pStyle w:val="Acronymstabletext"/>
              <w:rPr>
                <w:rFonts w:ascii="Calibri" w:eastAsia="Calibri" w:hAnsi="Calibri" w:cs="Calibri"/>
              </w:rPr>
            </w:pPr>
            <w:r w:rsidRPr="006B0C6C">
              <w:rPr>
                <w:rFonts w:ascii="Calibri" w:eastAsia="Calibri" w:hAnsi="Calibri" w:cs="Calibri"/>
              </w:rPr>
              <w:t>ATAGI</w:t>
            </w:r>
          </w:p>
        </w:tc>
        <w:tc>
          <w:tcPr>
            <w:tcW w:w="6611" w:type="dxa"/>
          </w:tcPr>
          <w:p w14:paraId="7ADB5339" w14:textId="3B750971" w:rsidR="6C9E44E2" w:rsidRPr="006B0C6C" w:rsidRDefault="6C9E44E2" w:rsidP="006B0C6C">
            <w:pPr>
              <w:pStyle w:val="Acronymstabletext"/>
              <w:cnfStyle w:val="000000000000" w:firstRow="0" w:lastRow="0" w:firstColumn="0" w:lastColumn="0" w:oddVBand="0" w:evenVBand="0" w:oddHBand="0" w:evenHBand="0" w:firstRowFirstColumn="0" w:firstRowLastColumn="0" w:lastRowFirstColumn="0" w:lastRowLastColumn="0"/>
            </w:pPr>
            <w:r w:rsidRPr="006B0C6C">
              <w:t>Australian Technical Advisory Group on Immunisation</w:t>
            </w:r>
          </w:p>
        </w:tc>
      </w:tr>
      <w:tr w:rsidR="214FDC17" w:rsidRPr="00532C26" w14:paraId="489F2120"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649ADC23" w14:textId="4C5910AF" w:rsidR="6D68C94A" w:rsidRPr="006B0C6C" w:rsidRDefault="6D68C94A" w:rsidP="006B0C6C">
            <w:pPr>
              <w:pStyle w:val="Acronymstabletext"/>
            </w:pPr>
            <w:r w:rsidRPr="006B0C6C">
              <w:rPr>
                <w:rFonts w:ascii="Calibri" w:eastAsia="Calibri" w:hAnsi="Calibri" w:cs="Calibri"/>
              </w:rPr>
              <w:t>COVAX</w:t>
            </w:r>
          </w:p>
        </w:tc>
        <w:tc>
          <w:tcPr>
            <w:tcW w:w="6611" w:type="dxa"/>
          </w:tcPr>
          <w:p w14:paraId="121A4B5A" w14:textId="1E17402A" w:rsidR="214FDC17" w:rsidRPr="006B0C6C" w:rsidRDefault="7CEDDE83"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t>COVID-19 Vaccines Global Access</w:t>
            </w:r>
          </w:p>
        </w:tc>
      </w:tr>
      <w:tr w:rsidR="7388A156" w:rsidRPr="00532C26" w14:paraId="26641B84"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2AA252F8" w14:textId="1FB184AF" w:rsidR="00A37863" w:rsidRPr="006B0C6C" w:rsidRDefault="00A37863" w:rsidP="006B0C6C">
            <w:pPr>
              <w:pStyle w:val="Acronymstabletext"/>
              <w:rPr>
                <w:rFonts w:ascii="Calibri" w:eastAsia="Calibri" w:hAnsi="Calibri" w:cs="Calibri"/>
              </w:rPr>
            </w:pPr>
            <w:r w:rsidRPr="006B0C6C">
              <w:rPr>
                <w:rFonts w:ascii="Calibri" w:eastAsia="Calibri" w:hAnsi="Calibri" w:cs="Calibri"/>
              </w:rPr>
              <w:t>CHS</w:t>
            </w:r>
          </w:p>
        </w:tc>
        <w:tc>
          <w:tcPr>
            <w:tcW w:w="6611" w:type="dxa"/>
          </w:tcPr>
          <w:p w14:paraId="4F3AF329" w14:textId="137423CA" w:rsidR="00A37863" w:rsidRPr="006B0C6C" w:rsidRDefault="00A37863" w:rsidP="006B0C6C">
            <w:pPr>
              <w:pStyle w:val="Acronymstabletext"/>
              <w:cnfStyle w:val="000000000000" w:firstRow="0" w:lastRow="0" w:firstColumn="0" w:lastColumn="0" w:oddVBand="0" w:evenVBand="0" w:oddHBand="0" w:evenHBand="0" w:firstRowFirstColumn="0" w:firstRowLastColumn="0" w:lastRowFirstColumn="0" w:lastRowLastColumn="0"/>
            </w:pPr>
            <w:r w:rsidRPr="006B0C6C">
              <w:t>Centre for Health Security</w:t>
            </w:r>
          </w:p>
        </w:tc>
      </w:tr>
      <w:tr w:rsidR="00BC3C0C" w:rsidRPr="00532C26" w14:paraId="391B23BB" w14:textId="77777777" w:rsidTr="62CC2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EBB1C15" w14:textId="357714F3" w:rsidR="00BC3C0C" w:rsidRPr="006B0C6C" w:rsidRDefault="00BC3C0C" w:rsidP="006B0C6C">
            <w:pPr>
              <w:pStyle w:val="Acronymstabletext"/>
            </w:pPr>
            <w:r w:rsidRPr="006B0C6C">
              <w:t>DFAT</w:t>
            </w:r>
          </w:p>
        </w:tc>
        <w:tc>
          <w:tcPr>
            <w:tcW w:w="6611" w:type="dxa"/>
          </w:tcPr>
          <w:p w14:paraId="4B31306A" w14:textId="4DAB950E" w:rsidR="00BC3C0C" w:rsidRPr="006B0C6C" w:rsidRDefault="00BC3C0C"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t>Australian Government Department of Foreign Affairs and Trade</w:t>
            </w:r>
          </w:p>
        </w:tc>
      </w:tr>
      <w:tr w:rsidR="214FDC17" w:rsidRPr="00532C26" w14:paraId="6828DB96"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76A474A5" w14:textId="1FCCCDF2" w:rsidR="5907C05B" w:rsidRPr="006B0C6C" w:rsidRDefault="5907C05B" w:rsidP="006B0C6C">
            <w:pPr>
              <w:pStyle w:val="Acronymstabletext"/>
            </w:pPr>
            <w:r w:rsidRPr="006B0C6C">
              <w:rPr>
                <w:rFonts w:ascii="Calibri" w:eastAsia="Calibri" w:hAnsi="Calibri" w:cs="Calibri"/>
              </w:rPr>
              <w:t>EOPO</w:t>
            </w:r>
          </w:p>
        </w:tc>
        <w:tc>
          <w:tcPr>
            <w:tcW w:w="6611" w:type="dxa"/>
          </w:tcPr>
          <w:p w14:paraId="0D994B1A" w14:textId="38CA03E7" w:rsidR="5907C05B" w:rsidRPr="006B0C6C" w:rsidRDefault="5907C05B" w:rsidP="006B0C6C">
            <w:pPr>
              <w:pStyle w:val="Acronymstabletex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End-of-program outcome</w:t>
            </w:r>
          </w:p>
        </w:tc>
      </w:tr>
      <w:tr w:rsidR="33F2F9ED" w:rsidRPr="00532C26" w14:paraId="4C312DE9"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1D2350C4" w14:textId="4F64EE4B" w:rsidR="1C6ED500" w:rsidRPr="006B0C6C" w:rsidRDefault="1C6ED500" w:rsidP="006B0C6C">
            <w:pPr>
              <w:pStyle w:val="Acronymstabletext"/>
            </w:pPr>
            <w:r w:rsidRPr="006B0C6C">
              <w:t>GAVI</w:t>
            </w:r>
          </w:p>
        </w:tc>
        <w:tc>
          <w:tcPr>
            <w:tcW w:w="6611" w:type="dxa"/>
          </w:tcPr>
          <w:p w14:paraId="6228040A" w14:textId="486C7EB6" w:rsidR="1C6ED500" w:rsidRPr="006B0C6C" w:rsidRDefault="1C6ED500" w:rsidP="006B0C6C">
            <w:pPr>
              <w:pStyle w:val="Acronymstable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B0C6C">
              <w:rPr>
                <w:rFonts w:ascii="Calibri" w:eastAsia="Calibri" w:hAnsi="Calibri" w:cs="Calibri"/>
              </w:rPr>
              <w:t>Gavi, the Vaccine Alliance</w:t>
            </w:r>
          </w:p>
        </w:tc>
      </w:tr>
      <w:tr w:rsidR="7388A156" w:rsidRPr="00532C26" w14:paraId="50A27760"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2EE641F5" w14:textId="04318439" w:rsidR="3253292A" w:rsidRPr="006B0C6C" w:rsidRDefault="3253292A" w:rsidP="006B0C6C">
            <w:pPr>
              <w:pStyle w:val="Acronymstabletext"/>
            </w:pPr>
            <w:r w:rsidRPr="006B0C6C">
              <w:t>GEDSI</w:t>
            </w:r>
          </w:p>
        </w:tc>
        <w:tc>
          <w:tcPr>
            <w:tcW w:w="6611" w:type="dxa"/>
          </w:tcPr>
          <w:p w14:paraId="48C14248" w14:textId="1FD85C97" w:rsidR="3253292A" w:rsidRPr="006B0C6C" w:rsidRDefault="3253292A" w:rsidP="006B0C6C">
            <w:pPr>
              <w:pStyle w:val="Acronymstabletex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Gender, Disability and Social Inclusion</w:t>
            </w:r>
          </w:p>
        </w:tc>
      </w:tr>
      <w:tr w:rsidR="7388A156" w:rsidRPr="00532C26" w14:paraId="25B74B64"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6471A2D4" w14:textId="289E3576" w:rsidR="3253292A" w:rsidRPr="006B0C6C" w:rsidRDefault="3253292A" w:rsidP="006B0C6C">
            <w:pPr>
              <w:pStyle w:val="Acronymstabletext"/>
            </w:pPr>
            <w:r w:rsidRPr="006B0C6C">
              <w:t>GHD</w:t>
            </w:r>
          </w:p>
        </w:tc>
        <w:tc>
          <w:tcPr>
            <w:tcW w:w="6611" w:type="dxa"/>
          </w:tcPr>
          <w:p w14:paraId="195D3342" w14:textId="53A16AB9" w:rsidR="3253292A" w:rsidRPr="006B0C6C" w:rsidRDefault="3253292A"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Global Health Division (DFAT)</w:t>
            </w:r>
          </w:p>
        </w:tc>
      </w:tr>
      <w:tr w:rsidR="40D7C2F5" w:rsidRPr="00532C26" w14:paraId="586BD4FA"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120C0EE2" w14:textId="4A498333" w:rsidR="6515252F" w:rsidRPr="006B0C6C" w:rsidRDefault="6515252F" w:rsidP="006B0C6C">
            <w:pPr>
              <w:pStyle w:val="Acronymstabletext"/>
            </w:pPr>
            <w:r w:rsidRPr="006B0C6C">
              <w:t>GMP</w:t>
            </w:r>
          </w:p>
        </w:tc>
        <w:tc>
          <w:tcPr>
            <w:tcW w:w="6611" w:type="dxa"/>
          </w:tcPr>
          <w:p w14:paraId="37F940CA" w14:textId="4C34C503" w:rsidR="6AF6893C" w:rsidRPr="006B0C6C" w:rsidRDefault="6AF6893C" w:rsidP="006B0C6C">
            <w:pPr>
              <w:pStyle w:val="Acronymstable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6B0C6C">
              <w:rPr>
                <w:rFonts w:ascii="Calibri" w:eastAsia="Calibri" w:hAnsi="Calibri" w:cs="Calibri"/>
              </w:rPr>
              <w:t>Good Manufacturing Practice</w:t>
            </w:r>
          </w:p>
        </w:tc>
      </w:tr>
      <w:tr w:rsidR="7388A156" w:rsidRPr="00532C26" w14:paraId="51BA22E1"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22B46BD5" w14:textId="07B6EDD2" w:rsidR="3253292A" w:rsidRPr="006B0C6C" w:rsidRDefault="3253292A" w:rsidP="006B0C6C">
            <w:pPr>
              <w:pStyle w:val="Acronymstabletext"/>
            </w:pPr>
            <w:r w:rsidRPr="006B0C6C">
              <w:t>HSI</w:t>
            </w:r>
          </w:p>
        </w:tc>
        <w:tc>
          <w:tcPr>
            <w:tcW w:w="6611" w:type="dxa"/>
          </w:tcPr>
          <w:p w14:paraId="1DE20F8E" w14:textId="418E7585" w:rsidR="3253292A" w:rsidRPr="006B0C6C" w:rsidRDefault="3253292A"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Health Security Initiative</w:t>
            </w:r>
          </w:p>
        </w:tc>
      </w:tr>
      <w:tr w:rsidR="00D84EBB" w:rsidRPr="00532C26" w14:paraId="0B40B7FB"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6E8121F4" w14:textId="4E1285CA" w:rsidR="00D84EBB" w:rsidRPr="006B0C6C" w:rsidRDefault="00999AD8" w:rsidP="006B0C6C">
            <w:pPr>
              <w:pStyle w:val="Acronymstabletext"/>
            </w:pPr>
            <w:r w:rsidRPr="006B0C6C">
              <w:t>HSS</w:t>
            </w:r>
          </w:p>
        </w:tc>
        <w:tc>
          <w:tcPr>
            <w:tcW w:w="6611" w:type="dxa"/>
          </w:tcPr>
          <w:p w14:paraId="6B0072CB" w14:textId="7C1BE4EC" w:rsidR="00D84EBB" w:rsidRPr="006B0C6C" w:rsidRDefault="00999AD8" w:rsidP="006B0C6C">
            <w:pPr>
              <w:pStyle w:val="Acronymstable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6B0C6C">
              <w:rPr>
                <w:rFonts w:ascii="Calibri" w:eastAsia="Calibri" w:hAnsi="Calibri" w:cs="Calibri"/>
              </w:rPr>
              <w:t>Health Systems Strengthening</w:t>
            </w:r>
          </w:p>
        </w:tc>
      </w:tr>
      <w:tr w:rsidR="7388A156" w:rsidRPr="00532C26" w14:paraId="4E131139"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11025DA8" w14:textId="57873F51" w:rsidR="2452B0BE" w:rsidRPr="006B0C6C" w:rsidRDefault="2452B0BE" w:rsidP="006B0C6C">
            <w:pPr>
              <w:pStyle w:val="Acronymstabletext"/>
            </w:pPr>
            <w:r w:rsidRPr="006B0C6C">
              <w:t>IEC</w:t>
            </w:r>
          </w:p>
        </w:tc>
        <w:tc>
          <w:tcPr>
            <w:tcW w:w="6611" w:type="dxa"/>
          </w:tcPr>
          <w:p w14:paraId="4560B264" w14:textId="0731FB55" w:rsidR="2452B0BE" w:rsidRPr="006B0C6C" w:rsidRDefault="2452B0BE" w:rsidP="006B0C6C">
            <w:pPr>
              <w:pStyle w:val="Acronymstable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B0C6C">
              <w:rPr>
                <w:rFonts w:ascii="Calibri" w:eastAsia="Calibri" w:hAnsi="Calibri" w:cs="Calibri"/>
              </w:rPr>
              <w:t xml:space="preserve">Information, </w:t>
            </w:r>
            <w:r w:rsidR="5B42F15C" w:rsidRPr="006B0C6C">
              <w:rPr>
                <w:rFonts w:ascii="Calibri" w:eastAsia="Calibri" w:hAnsi="Calibri" w:cs="Calibri"/>
              </w:rPr>
              <w:t>education</w:t>
            </w:r>
            <w:r w:rsidRPr="006B0C6C">
              <w:rPr>
                <w:rFonts w:ascii="Calibri" w:eastAsia="Calibri" w:hAnsi="Calibri" w:cs="Calibri"/>
              </w:rPr>
              <w:t xml:space="preserve"> and communication</w:t>
            </w:r>
          </w:p>
        </w:tc>
      </w:tr>
      <w:tr w:rsidR="2E1252C7" w:rsidRPr="00532C26" w14:paraId="73A5C69F"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1D77E950" w14:textId="2977D7ED" w:rsidR="74C327CF" w:rsidRPr="006B0C6C" w:rsidRDefault="74C327CF" w:rsidP="006B0C6C">
            <w:pPr>
              <w:pStyle w:val="Acronymstabletext"/>
            </w:pPr>
            <w:r w:rsidRPr="006B0C6C">
              <w:t>IMR</w:t>
            </w:r>
          </w:p>
        </w:tc>
        <w:tc>
          <w:tcPr>
            <w:tcW w:w="6611" w:type="dxa"/>
          </w:tcPr>
          <w:p w14:paraId="426645B9" w14:textId="11115609" w:rsidR="74C327CF" w:rsidRPr="006B0C6C" w:rsidRDefault="74C327CF" w:rsidP="006B0C6C">
            <w:pPr>
              <w:pStyle w:val="Acronymstabletext"/>
              <w:cnfStyle w:val="000000000000" w:firstRow="0" w:lastRow="0" w:firstColumn="0" w:lastColumn="0" w:oddVBand="0" w:evenVBand="0" w:oddHBand="0" w:evenHBand="0" w:firstRowFirstColumn="0" w:firstRowLastColumn="0" w:lastRowFirstColumn="0" w:lastRowLastColumn="0"/>
            </w:pPr>
            <w:r w:rsidRPr="006B0C6C">
              <w:t>Investment Monitoring Report</w:t>
            </w:r>
          </w:p>
        </w:tc>
      </w:tr>
      <w:tr w:rsidR="214FDC17" w:rsidRPr="00532C26" w14:paraId="6D84CC5D"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1A276CD9" w14:textId="57235790" w:rsidR="5907C05B" w:rsidRPr="006B0C6C" w:rsidRDefault="5907C05B" w:rsidP="006B0C6C">
            <w:pPr>
              <w:pStyle w:val="Acronymstabletext"/>
            </w:pPr>
            <w:r w:rsidRPr="006B0C6C">
              <w:t>IO</w:t>
            </w:r>
          </w:p>
        </w:tc>
        <w:tc>
          <w:tcPr>
            <w:tcW w:w="6611" w:type="dxa"/>
          </w:tcPr>
          <w:p w14:paraId="44638AD0" w14:textId="15D3F0BE" w:rsidR="5907C05B" w:rsidRPr="006B0C6C" w:rsidRDefault="5907C05B"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t>Intermediate outcome</w:t>
            </w:r>
          </w:p>
        </w:tc>
      </w:tr>
      <w:tr w:rsidR="00BC3C0C" w:rsidRPr="00532C26" w14:paraId="6C6D9A05" w14:textId="77777777" w:rsidTr="62CC2B41">
        <w:tc>
          <w:tcPr>
            <w:cnfStyle w:val="001000000000" w:firstRow="0" w:lastRow="0" w:firstColumn="1" w:lastColumn="0" w:oddVBand="0" w:evenVBand="0" w:oddHBand="0" w:evenHBand="0" w:firstRowFirstColumn="0" w:firstRowLastColumn="0" w:lastRowFirstColumn="0" w:lastRowLastColumn="0"/>
            <w:tcW w:w="2405" w:type="dxa"/>
          </w:tcPr>
          <w:p w14:paraId="613692E0" w14:textId="1112D624" w:rsidR="00BC3C0C" w:rsidRPr="006B0C6C" w:rsidRDefault="652D21E6" w:rsidP="006B0C6C">
            <w:pPr>
              <w:pStyle w:val="Acronymstabletext"/>
            </w:pPr>
            <w:r w:rsidRPr="006B0C6C">
              <w:t>KII</w:t>
            </w:r>
          </w:p>
        </w:tc>
        <w:tc>
          <w:tcPr>
            <w:tcW w:w="6611" w:type="dxa"/>
          </w:tcPr>
          <w:p w14:paraId="05AD8255" w14:textId="0FBE46D1" w:rsidR="00BC3C0C" w:rsidRPr="006B0C6C" w:rsidRDefault="652D21E6" w:rsidP="006B0C6C">
            <w:pPr>
              <w:pStyle w:val="Acronymstabletext"/>
              <w:cnfStyle w:val="000000000000" w:firstRow="0" w:lastRow="0" w:firstColumn="0" w:lastColumn="0" w:oddVBand="0" w:evenVBand="0" w:oddHBand="0" w:evenHBand="0" w:firstRowFirstColumn="0" w:firstRowLastColumn="0" w:lastRowFirstColumn="0" w:lastRowLastColumn="0"/>
            </w:pPr>
            <w:r w:rsidRPr="006B0C6C">
              <w:t>Key Informant Interview</w:t>
            </w:r>
          </w:p>
        </w:tc>
      </w:tr>
      <w:tr w:rsidR="00BC3C0C" w:rsidRPr="00532C26" w14:paraId="7F6D5B2C" w14:textId="77777777" w:rsidTr="62CC2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3BA92EC" w14:textId="2A7E41C5" w:rsidR="00BC3C0C" w:rsidRPr="006B0C6C" w:rsidRDefault="3FD8C59B" w:rsidP="006B0C6C">
            <w:pPr>
              <w:pStyle w:val="Acronymstabletext"/>
            </w:pPr>
            <w:r w:rsidRPr="006B0C6C">
              <w:t>LES</w:t>
            </w:r>
          </w:p>
        </w:tc>
        <w:tc>
          <w:tcPr>
            <w:tcW w:w="6611" w:type="dxa"/>
          </w:tcPr>
          <w:p w14:paraId="67A35128" w14:textId="1DE766F1" w:rsidR="00BC3C0C" w:rsidRPr="006B0C6C" w:rsidRDefault="3FD8C59B"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t>Locally engaged staff</w:t>
            </w:r>
          </w:p>
        </w:tc>
      </w:tr>
      <w:tr w:rsidR="00BC3C0C" w:rsidRPr="00532C26" w14:paraId="1290D956" w14:textId="77777777" w:rsidTr="62CC2B41">
        <w:tc>
          <w:tcPr>
            <w:cnfStyle w:val="001000000000" w:firstRow="0" w:lastRow="0" w:firstColumn="1" w:lastColumn="0" w:oddVBand="0" w:evenVBand="0" w:oddHBand="0" w:evenHBand="0" w:firstRowFirstColumn="0" w:firstRowLastColumn="0" w:lastRowFirstColumn="0" w:lastRowLastColumn="0"/>
            <w:tcW w:w="2405" w:type="dxa"/>
          </w:tcPr>
          <w:p w14:paraId="214F998D" w14:textId="6BBA04E5" w:rsidR="00BC3C0C" w:rsidRPr="006B0C6C" w:rsidRDefault="77D3A769" w:rsidP="006B0C6C">
            <w:pPr>
              <w:pStyle w:val="Acronymstabletext"/>
            </w:pPr>
            <w:r w:rsidRPr="006B0C6C">
              <w:rPr>
                <w:rFonts w:ascii="Calibri" w:eastAsia="Calibri" w:hAnsi="Calibri" w:cs="Calibri"/>
              </w:rPr>
              <w:t>MEL</w:t>
            </w:r>
          </w:p>
        </w:tc>
        <w:tc>
          <w:tcPr>
            <w:tcW w:w="6611" w:type="dxa"/>
          </w:tcPr>
          <w:p w14:paraId="05C285BA" w14:textId="44966397" w:rsidR="00BC3C0C" w:rsidRPr="006B0C6C" w:rsidRDefault="77D3A769" w:rsidP="006B0C6C">
            <w:pPr>
              <w:pStyle w:val="Acronymstabletext"/>
              <w:cnfStyle w:val="000000000000" w:firstRow="0" w:lastRow="0" w:firstColumn="0" w:lastColumn="0" w:oddVBand="0" w:evenVBand="0" w:oddHBand="0" w:evenHBand="0" w:firstRowFirstColumn="0" w:firstRowLastColumn="0" w:lastRowFirstColumn="0" w:lastRowLastColumn="0"/>
            </w:pPr>
            <w:r w:rsidRPr="006B0C6C">
              <w:t>Monitoring, evaluation and learning</w:t>
            </w:r>
          </w:p>
        </w:tc>
      </w:tr>
      <w:tr w:rsidR="7388A156" w:rsidRPr="00532C26" w14:paraId="780EC730"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15C9D8EB" w14:textId="3EF6CE07" w:rsidR="08376DF9" w:rsidRPr="006B0C6C" w:rsidRDefault="08376DF9" w:rsidP="006B0C6C">
            <w:pPr>
              <w:pStyle w:val="Acronymstabletext"/>
              <w:rPr>
                <w:rFonts w:ascii="Calibri" w:eastAsia="Calibri" w:hAnsi="Calibri" w:cs="Calibri"/>
              </w:rPr>
            </w:pPr>
            <w:r w:rsidRPr="006B0C6C">
              <w:rPr>
                <w:rFonts w:ascii="Calibri" w:eastAsia="Calibri" w:hAnsi="Calibri" w:cs="Calibri"/>
              </w:rPr>
              <w:t>MELF</w:t>
            </w:r>
          </w:p>
        </w:tc>
        <w:tc>
          <w:tcPr>
            <w:tcW w:w="6611" w:type="dxa"/>
          </w:tcPr>
          <w:p w14:paraId="5895E585" w14:textId="703309C8" w:rsidR="08376DF9" w:rsidRPr="006B0C6C" w:rsidRDefault="08376DF9"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t>Monitoring, evaluation and learning framework</w:t>
            </w:r>
          </w:p>
        </w:tc>
      </w:tr>
      <w:tr w:rsidR="008B2AEC" w:rsidRPr="00532C26" w14:paraId="57D9C78C" w14:textId="77777777" w:rsidTr="62CC2B41">
        <w:tc>
          <w:tcPr>
            <w:cnfStyle w:val="001000000000" w:firstRow="0" w:lastRow="0" w:firstColumn="1" w:lastColumn="0" w:oddVBand="0" w:evenVBand="0" w:oddHBand="0" w:evenHBand="0" w:firstRowFirstColumn="0" w:firstRowLastColumn="0" w:lastRowFirstColumn="0" w:lastRowLastColumn="0"/>
            <w:tcW w:w="2405" w:type="dxa"/>
          </w:tcPr>
          <w:p w14:paraId="7E230510" w14:textId="72F95548" w:rsidR="008B2AEC" w:rsidRPr="006B0C6C" w:rsidRDefault="77D3A769" w:rsidP="006B0C6C">
            <w:pPr>
              <w:pStyle w:val="Acronymstabletext"/>
            </w:pPr>
            <w:r w:rsidRPr="006B0C6C">
              <w:t>MOH</w:t>
            </w:r>
          </w:p>
        </w:tc>
        <w:tc>
          <w:tcPr>
            <w:tcW w:w="6611" w:type="dxa"/>
          </w:tcPr>
          <w:p w14:paraId="20863631" w14:textId="40D4E503" w:rsidR="008B2AEC" w:rsidRPr="006B0C6C" w:rsidRDefault="77D3A769" w:rsidP="006B0C6C">
            <w:pPr>
              <w:pStyle w:val="Acronymstabletext"/>
              <w:cnfStyle w:val="000000000000" w:firstRow="0" w:lastRow="0" w:firstColumn="0" w:lastColumn="0" w:oddVBand="0" w:evenVBand="0" w:oddHBand="0" w:evenHBand="0" w:firstRowFirstColumn="0" w:firstRowLastColumn="0" w:lastRowFirstColumn="0" w:lastRowLastColumn="0"/>
            </w:pPr>
            <w:r w:rsidRPr="006B0C6C">
              <w:t>Ministry of Health</w:t>
            </w:r>
          </w:p>
        </w:tc>
      </w:tr>
      <w:tr w:rsidR="008B2AEC" w:rsidRPr="00532C26" w14:paraId="60D165EF" w14:textId="77777777" w:rsidTr="62CC2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7A093E8" w14:textId="59E63028" w:rsidR="008B2AEC" w:rsidRPr="006B0C6C" w:rsidRDefault="75FEB8F7" w:rsidP="006B0C6C">
            <w:pPr>
              <w:pStyle w:val="Acronymstabletext"/>
            </w:pPr>
            <w:r w:rsidRPr="006B0C6C">
              <w:rPr>
                <w:rFonts w:ascii="Calibri" w:eastAsia="Calibri" w:hAnsi="Calibri" w:cs="Calibri"/>
              </w:rPr>
              <w:t>NCIRS</w:t>
            </w:r>
          </w:p>
        </w:tc>
        <w:tc>
          <w:tcPr>
            <w:tcW w:w="6611" w:type="dxa"/>
          </w:tcPr>
          <w:p w14:paraId="5656F3BC" w14:textId="4A9D1776" w:rsidR="008B2AEC" w:rsidRPr="006B0C6C" w:rsidRDefault="1AC76998"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t>National Centre for Immunisation Research and Surveillance</w:t>
            </w:r>
          </w:p>
        </w:tc>
      </w:tr>
      <w:tr w:rsidR="7388A156" w:rsidRPr="00532C26" w14:paraId="4F1D4D23"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73299FC4" w14:textId="3760A84B" w:rsidR="62D4BFB9" w:rsidRPr="006B0C6C" w:rsidRDefault="62D4BFB9" w:rsidP="006B0C6C">
            <w:pPr>
              <w:pStyle w:val="Acronymstabletext"/>
              <w:rPr>
                <w:rFonts w:ascii="Calibri" w:eastAsia="Calibri" w:hAnsi="Calibri" w:cs="Calibri"/>
              </w:rPr>
            </w:pPr>
            <w:r w:rsidRPr="006B0C6C">
              <w:rPr>
                <w:rFonts w:ascii="Calibri" w:eastAsia="Calibri" w:hAnsi="Calibri" w:cs="Calibri"/>
              </w:rPr>
              <w:t>NDVP</w:t>
            </w:r>
          </w:p>
        </w:tc>
        <w:tc>
          <w:tcPr>
            <w:tcW w:w="6611" w:type="dxa"/>
          </w:tcPr>
          <w:p w14:paraId="7C8B2739" w14:textId="03C3F24A" w:rsidR="62D4BFB9" w:rsidRPr="006B0C6C" w:rsidRDefault="62D4BFB9" w:rsidP="006B0C6C">
            <w:pPr>
              <w:pStyle w:val="Acronymstable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6B0C6C">
              <w:rPr>
                <w:rFonts w:ascii="Calibri" w:eastAsia="Calibri" w:hAnsi="Calibri" w:cs="Calibri"/>
              </w:rPr>
              <w:t>COVID-19 National Deployment Plans</w:t>
            </w:r>
          </w:p>
        </w:tc>
      </w:tr>
      <w:tr w:rsidR="2E1252C7" w:rsidRPr="00532C26" w14:paraId="31AA6D07"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3BCDA261" w14:textId="291C7D31" w:rsidR="170B583E" w:rsidRPr="006B0C6C" w:rsidRDefault="170B583E" w:rsidP="006B0C6C">
            <w:pPr>
              <w:pStyle w:val="Acronymstabletext"/>
              <w:rPr>
                <w:rFonts w:ascii="Calibri" w:eastAsia="Calibri" w:hAnsi="Calibri" w:cs="Calibri"/>
              </w:rPr>
            </w:pPr>
            <w:r w:rsidRPr="006B0C6C">
              <w:rPr>
                <w:rFonts w:ascii="Calibri" w:eastAsia="Calibri" w:hAnsi="Calibri" w:cs="Calibri"/>
              </w:rPr>
              <w:t>NGO</w:t>
            </w:r>
          </w:p>
        </w:tc>
        <w:tc>
          <w:tcPr>
            <w:tcW w:w="6611" w:type="dxa"/>
          </w:tcPr>
          <w:p w14:paraId="3E58A85F" w14:textId="451FAE87" w:rsidR="170B583E" w:rsidRPr="006B0C6C" w:rsidRDefault="56A552B9" w:rsidP="006B0C6C">
            <w:pPr>
              <w:pStyle w:val="Acronymstable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62CC2B41">
              <w:rPr>
                <w:rFonts w:ascii="Calibri" w:eastAsia="Calibri" w:hAnsi="Calibri" w:cs="Calibri"/>
              </w:rPr>
              <w:t>Non-</w:t>
            </w:r>
            <w:r w:rsidR="005D7CD4" w:rsidRPr="62CC2B41">
              <w:rPr>
                <w:rFonts w:ascii="Calibri" w:eastAsia="Calibri" w:hAnsi="Calibri" w:cs="Calibri"/>
              </w:rPr>
              <w:t>g</w:t>
            </w:r>
            <w:r w:rsidRPr="62CC2B41">
              <w:rPr>
                <w:rFonts w:ascii="Calibri" w:eastAsia="Calibri" w:hAnsi="Calibri" w:cs="Calibri"/>
              </w:rPr>
              <w:t>overnment</w:t>
            </w:r>
            <w:r w:rsidR="005D7CD4" w:rsidRPr="62CC2B41">
              <w:rPr>
                <w:rFonts w:ascii="Calibri" w:eastAsia="Calibri" w:hAnsi="Calibri" w:cs="Calibri"/>
              </w:rPr>
              <w:t>al</w:t>
            </w:r>
            <w:r w:rsidRPr="62CC2B41">
              <w:rPr>
                <w:rFonts w:ascii="Calibri" w:eastAsia="Calibri" w:hAnsi="Calibri" w:cs="Calibri"/>
              </w:rPr>
              <w:t xml:space="preserve"> </w:t>
            </w:r>
            <w:r w:rsidR="005D7CD4" w:rsidRPr="62CC2B41">
              <w:rPr>
                <w:rFonts w:ascii="Calibri" w:eastAsia="Calibri" w:hAnsi="Calibri" w:cs="Calibri"/>
              </w:rPr>
              <w:t>o</w:t>
            </w:r>
            <w:r w:rsidRPr="62CC2B41">
              <w:rPr>
                <w:rFonts w:ascii="Calibri" w:eastAsia="Calibri" w:hAnsi="Calibri" w:cs="Calibri"/>
              </w:rPr>
              <w:t>rganisation</w:t>
            </w:r>
          </w:p>
        </w:tc>
      </w:tr>
      <w:tr w:rsidR="7388A156" w:rsidRPr="00532C26" w14:paraId="437DE8D4"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2AD67F5D" w14:textId="01E22F5A" w:rsidR="1AC76998" w:rsidRPr="006B0C6C" w:rsidRDefault="1AC76998" w:rsidP="006B0C6C">
            <w:pPr>
              <w:pStyle w:val="Acronymstabletext"/>
              <w:rPr>
                <w:rFonts w:ascii="Calibri" w:eastAsia="Calibri" w:hAnsi="Calibri" w:cs="Calibri"/>
              </w:rPr>
            </w:pPr>
            <w:r w:rsidRPr="006B0C6C">
              <w:rPr>
                <w:rFonts w:ascii="Calibri" w:eastAsia="Calibri" w:hAnsi="Calibri" w:cs="Calibri"/>
              </w:rPr>
              <w:t>NITAG</w:t>
            </w:r>
          </w:p>
        </w:tc>
        <w:tc>
          <w:tcPr>
            <w:tcW w:w="6611" w:type="dxa"/>
          </w:tcPr>
          <w:p w14:paraId="4BE3647F" w14:textId="2458359F" w:rsidR="1AC76998" w:rsidRPr="006B0C6C" w:rsidRDefault="1AC76998" w:rsidP="006B0C6C">
            <w:pPr>
              <w:pStyle w:val="Acronymstable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6B0C6C">
              <w:rPr>
                <w:rFonts w:ascii="Calibri" w:eastAsia="Calibri" w:hAnsi="Calibri" w:cs="Calibri"/>
              </w:rPr>
              <w:t>National Immunization Technical Advisory Group</w:t>
            </w:r>
          </w:p>
        </w:tc>
      </w:tr>
      <w:tr w:rsidR="7388A156" w:rsidRPr="00532C26" w14:paraId="6C707B69"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71D9781D" w14:textId="0E64187A" w:rsidR="4DD22CD0" w:rsidRPr="006B0C6C" w:rsidRDefault="4DD22CD0" w:rsidP="006B0C6C">
            <w:pPr>
              <w:pStyle w:val="Acronymstabletext"/>
              <w:rPr>
                <w:rFonts w:ascii="Calibri" w:eastAsia="Calibri" w:hAnsi="Calibri" w:cs="Calibri"/>
              </w:rPr>
            </w:pPr>
            <w:r w:rsidRPr="006B0C6C">
              <w:rPr>
                <w:rFonts w:ascii="Calibri" w:eastAsia="Calibri" w:hAnsi="Calibri" w:cs="Calibri"/>
              </w:rPr>
              <w:t>OPD</w:t>
            </w:r>
          </w:p>
        </w:tc>
        <w:tc>
          <w:tcPr>
            <w:tcW w:w="6611" w:type="dxa"/>
          </w:tcPr>
          <w:p w14:paraId="04211195" w14:textId="36EF3952" w:rsidR="4DD22CD0" w:rsidRPr="006B0C6C" w:rsidRDefault="4DD22CD0" w:rsidP="006B0C6C">
            <w:pPr>
              <w:pStyle w:val="Acronymstable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B0C6C">
              <w:rPr>
                <w:rFonts w:ascii="Calibri" w:eastAsia="Calibri" w:hAnsi="Calibri" w:cs="Calibri"/>
              </w:rPr>
              <w:t>Organisations of People with a Disability</w:t>
            </w:r>
          </w:p>
        </w:tc>
      </w:tr>
      <w:tr w:rsidR="7388A156" w:rsidRPr="00532C26" w14:paraId="2634F9BD"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43BF991D" w14:textId="225C61F0" w:rsidR="1774E1AC" w:rsidRPr="006B0C6C" w:rsidRDefault="1774E1AC" w:rsidP="006B0C6C">
            <w:pPr>
              <w:pStyle w:val="Acronymstabletext"/>
              <w:rPr>
                <w:rFonts w:ascii="Calibri" w:eastAsia="Calibri" w:hAnsi="Calibri" w:cs="Calibri"/>
              </w:rPr>
            </w:pPr>
            <w:r w:rsidRPr="006B0C6C">
              <w:rPr>
                <w:rFonts w:ascii="Calibri" w:eastAsia="Calibri" w:hAnsi="Calibri" w:cs="Calibri"/>
              </w:rPr>
              <w:t>PAF</w:t>
            </w:r>
          </w:p>
        </w:tc>
        <w:tc>
          <w:tcPr>
            <w:tcW w:w="6611" w:type="dxa"/>
          </w:tcPr>
          <w:p w14:paraId="4FF3BABC" w14:textId="2C3BBF5E" w:rsidR="1774E1AC" w:rsidRPr="006B0C6C" w:rsidRDefault="1774E1AC" w:rsidP="006B0C6C">
            <w:pPr>
              <w:pStyle w:val="Acronymstable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6B0C6C">
              <w:rPr>
                <w:rFonts w:ascii="Calibri" w:eastAsia="Calibri" w:hAnsi="Calibri" w:cs="Calibri"/>
              </w:rPr>
              <w:t xml:space="preserve">Performance Assessment </w:t>
            </w:r>
            <w:r w:rsidR="6AB93879" w:rsidRPr="006B0C6C">
              <w:rPr>
                <w:rFonts w:ascii="Calibri" w:eastAsia="Calibri" w:hAnsi="Calibri" w:cs="Calibri"/>
              </w:rPr>
              <w:t>Framework</w:t>
            </w:r>
          </w:p>
        </w:tc>
      </w:tr>
      <w:tr w:rsidR="2F862C6E" w:rsidRPr="00532C26" w14:paraId="4E6426EA"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4EFC79DC" w14:textId="0EBCE4A5" w:rsidR="5393BBC8" w:rsidRPr="006B0C6C" w:rsidRDefault="5393BBC8" w:rsidP="006B0C6C">
            <w:pPr>
              <w:pStyle w:val="Acronymstabletext"/>
              <w:rPr>
                <w:rFonts w:ascii="Calibri" w:eastAsia="Calibri" w:hAnsi="Calibri" w:cs="Calibri"/>
              </w:rPr>
            </w:pPr>
            <w:r w:rsidRPr="006B0C6C">
              <w:rPr>
                <w:rFonts w:ascii="Calibri" w:eastAsia="Calibri" w:hAnsi="Calibri" w:cs="Calibri"/>
              </w:rPr>
              <w:t>PHD</w:t>
            </w:r>
          </w:p>
        </w:tc>
        <w:tc>
          <w:tcPr>
            <w:tcW w:w="6611" w:type="dxa"/>
          </w:tcPr>
          <w:p w14:paraId="2FC75D22" w14:textId="45A1F8BF" w:rsidR="5393BBC8" w:rsidRPr="006B0C6C" w:rsidRDefault="5393BBC8" w:rsidP="006B0C6C">
            <w:pPr>
              <w:pStyle w:val="Acronymstable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B0C6C">
              <w:rPr>
                <w:rFonts w:ascii="Calibri" w:eastAsia="Calibri" w:hAnsi="Calibri" w:cs="Calibri"/>
              </w:rPr>
              <w:t>Partnership for Human Development</w:t>
            </w:r>
          </w:p>
        </w:tc>
      </w:tr>
      <w:tr w:rsidR="7388A156" w:rsidRPr="00532C26" w14:paraId="740A86E3"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11044353" w14:textId="28EFC583" w:rsidR="6AB93879" w:rsidRPr="006B0C6C" w:rsidRDefault="6AB93879" w:rsidP="006B0C6C">
            <w:pPr>
              <w:pStyle w:val="Acronymstabletext"/>
              <w:rPr>
                <w:rFonts w:ascii="Calibri" w:eastAsia="Calibri" w:hAnsi="Calibri" w:cs="Calibri"/>
              </w:rPr>
            </w:pPr>
            <w:r w:rsidRPr="006B0C6C">
              <w:rPr>
                <w:rFonts w:ascii="Calibri" w:eastAsia="Calibri" w:hAnsi="Calibri" w:cs="Calibri"/>
              </w:rPr>
              <w:t>PSU</w:t>
            </w:r>
          </w:p>
        </w:tc>
        <w:tc>
          <w:tcPr>
            <w:tcW w:w="6611" w:type="dxa"/>
          </w:tcPr>
          <w:p w14:paraId="76E68088" w14:textId="7483E35F" w:rsidR="6AB93879" w:rsidRPr="006B0C6C" w:rsidRDefault="6AB93879" w:rsidP="006B0C6C">
            <w:pPr>
              <w:pStyle w:val="Acronymstabletex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Program Support Unit</w:t>
            </w:r>
          </w:p>
        </w:tc>
      </w:tr>
      <w:tr w:rsidR="008B2AEC" w:rsidRPr="00532C26" w14:paraId="20C89471" w14:textId="77777777" w:rsidTr="62CC2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A0BC866" w14:textId="1349FC6E" w:rsidR="008B2AEC" w:rsidRPr="006B0C6C" w:rsidRDefault="75FEB8F7" w:rsidP="006B0C6C">
            <w:pPr>
              <w:pStyle w:val="Acronymstabletext"/>
            </w:pPr>
            <w:r w:rsidRPr="006B0C6C">
              <w:rPr>
                <w:rFonts w:ascii="Calibri" w:eastAsia="Calibri" w:hAnsi="Calibri" w:cs="Calibri"/>
              </w:rPr>
              <w:t>RCCE</w:t>
            </w:r>
          </w:p>
        </w:tc>
        <w:tc>
          <w:tcPr>
            <w:tcW w:w="6611" w:type="dxa"/>
          </w:tcPr>
          <w:p w14:paraId="7113D468" w14:textId="2F7F92BD" w:rsidR="008B2AEC" w:rsidRPr="006B0C6C" w:rsidRDefault="75FEB8F7"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 xml:space="preserve">Risk </w:t>
            </w:r>
            <w:r w:rsidR="00913943">
              <w:rPr>
                <w:rFonts w:ascii="Calibri" w:eastAsia="Calibri" w:hAnsi="Calibri" w:cs="Calibri"/>
              </w:rPr>
              <w:t>C</w:t>
            </w:r>
            <w:r w:rsidRPr="006B0C6C">
              <w:rPr>
                <w:rFonts w:ascii="Calibri" w:eastAsia="Calibri" w:hAnsi="Calibri" w:cs="Calibri"/>
              </w:rPr>
              <w:t xml:space="preserve">ommunication and </w:t>
            </w:r>
            <w:r w:rsidR="00913943">
              <w:rPr>
                <w:rFonts w:ascii="Calibri" w:eastAsia="Calibri" w:hAnsi="Calibri" w:cs="Calibri"/>
              </w:rPr>
              <w:t>C</w:t>
            </w:r>
            <w:r w:rsidRPr="006B0C6C">
              <w:rPr>
                <w:rFonts w:ascii="Calibri" w:eastAsia="Calibri" w:hAnsi="Calibri" w:cs="Calibri"/>
              </w:rPr>
              <w:t xml:space="preserve">ommunity </w:t>
            </w:r>
            <w:r w:rsidR="00913943">
              <w:rPr>
                <w:rFonts w:ascii="Calibri" w:eastAsia="Calibri" w:hAnsi="Calibri" w:cs="Calibri"/>
              </w:rPr>
              <w:t>E</w:t>
            </w:r>
            <w:r w:rsidRPr="006B0C6C">
              <w:rPr>
                <w:rFonts w:ascii="Calibri" w:eastAsia="Calibri" w:hAnsi="Calibri" w:cs="Calibri"/>
              </w:rPr>
              <w:t>ngagement</w:t>
            </w:r>
          </w:p>
        </w:tc>
      </w:tr>
      <w:tr w:rsidR="00532C26" w:rsidRPr="00532C26" w14:paraId="19F601E9" w14:textId="77777777" w:rsidTr="003D669E">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674EB39" w14:textId="43740BE6" w:rsidR="00532C26" w:rsidRPr="003F0544" w:rsidRDefault="00532C26" w:rsidP="006B0C6C">
            <w:pPr>
              <w:pStyle w:val="Acronymstabletext"/>
              <w:rPr>
                <w:rFonts w:ascii="Calibri" w:eastAsia="Calibri" w:hAnsi="Calibri" w:cs="Calibri"/>
              </w:rPr>
            </w:pPr>
            <w:r>
              <w:rPr>
                <w:rFonts w:ascii="Calibri" w:eastAsia="Calibri" w:hAnsi="Calibri" w:cs="Calibri"/>
              </w:rPr>
              <w:t>RHTO</w:t>
            </w:r>
          </w:p>
        </w:tc>
        <w:tc>
          <w:tcPr>
            <w:tcW w:w="0" w:type="dxa"/>
          </w:tcPr>
          <w:p w14:paraId="0E70D708" w14:textId="0699A621" w:rsidR="00532C26" w:rsidRPr="003F0544" w:rsidRDefault="00532C26" w:rsidP="00CB0270">
            <w:pPr>
              <w:pStyle w:val="Disclaimertext"/>
              <w:cnfStyle w:val="000000000000" w:firstRow="0" w:lastRow="0" w:firstColumn="0" w:lastColumn="0" w:oddVBand="0" w:evenVBand="0" w:oddHBand="0" w:evenHBand="0" w:firstRowFirstColumn="0" w:firstRowLastColumn="0" w:lastRowFirstColumn="0" w:lastRowLastColumn="0"/>
            </w:pPr>
            <w:r w:rsidRPr="000017BA">
              <w:rPr>
                <w:rFonts w:ascii="Calibri" w:eastAsia="Calibri" w:hAnsi="Calibri" w:cs="Calibri"/>
                <w:i w:val="0"/>
                <w:iCs w:val="0"/>
                <w:sz w:val="22"/>
                <w:szCs w:val="22"/>
                <w:lang w:eastAsia="en-AU"/>
              </w:rPr>
              <w:t xml:space="preserve">Raes </w:t>
            </w:r>
            <w:proofErr w:type="spellStart"/>
            <w:r w:rsidRPr="000017BA">
              <w:rPr>
                <w:rFonts w:ascii="Calibri" w:eastAsia="Calibri" w:hAnsi="Calibri" w:cs="Calibri"/>
                <w:i w:val="0"/>
                <w:iCs w:val="0"/>
                <w:sz w:val="22"/>
                <w:szCs w:val="22"/>
                <w:lang w:eastAsia="en-AU"/>
              </w:rPr>
              <w:t>Hadomi</w:t>
            </w:r>
            <w:proofErr w:type="spellEnd"/>
            <w:r w:rsidRPr="000017BA">
              <w:rPr>
                <w:rFonts w:ascii="Calibri" w:eastAsia="Calibri" w:hAnsi="Calibri" w:cs="Calibri"/>
                <w:i w:val="0"/>
                <w:iCs w:val="0"/>
                <w:sz w:val="22"/>
                <w:szCs w:val="22"/>
                <w:lang w:eastAsia="en-AU"/>
              </w:rPr>
              <w:t xml:space="preserve"> Timor Oan </w:t>
            </w:r>
          </w:p>
        </w:tc>
      </w:tr>
      <w:tr w:rsidR="7388A156" w:rsidRPr="00532C26" w14:paraId="1C08982C"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193AB44A" w14:textId="00949717" w:rsidR="751B7627" w:rsidRPr="006B0C6C" w:rsidRDefault="751B7627" w:rsidP="006B0C6C">
            <w:pPr>
              <w:pStyle w:val="Acronymstabletext"/>
              <w:rPr>
                <w:rFonts w:ascii="Calibri" w:eastAsia="Calibri" w:hAnsi="Calibri" w:cs="Calibri"/>
              </w:rPr>
            </w:pPr>
            <w:r w:rsidRPr="006B0C6C">
              <w:rPr>
                <w:rFonts w:ascii="Calibri" w:eastAsia="Calibri" w:hAnsi="Calibri" w:cs="Calibri"/>
              </w:rPr>
              <w:t>SAGE</w:t>
            </w:r>
          </w:p>
        </w:tc>
        <w:tc>
          <w:tcPr>
            <w:tcW w:w="6611" w:type="dxa"/>
          </w:tcPr>
          <w:p w14:paraId="66C23AC4" w14:textId="7BC576BD" w:rsidR="751B7627" w:rsidRPr="006B0C6C" w:rsidRDefault="751B7627"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Strategic Advisory Group of Experts on Immunisation (WHO)</w:t>
            </w:r>
          </w:p>
        </w:tc>
      </w:tr>
      <w:tr w:rsidR="7388A156" w:rsidRPr="00532C26" w14:paraId="49391796"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53C52798" w14:textId="015CCDBF" w:rsidR="5DD72D42" w:rsidRPr="006B0C6C" w:rsidRDefault="5DD72D42" w:rsidP="006B0C6C">
            <w:pPr>
              <w:pStyle w:val="Acronymstabletext"/>
            </w:pPr>
            <w:r w:rsidRPr="006B0C6C">
              <w:t>SEA</w:t>
            </w:r>
          </w:p>
        </w:tc>
        <w:tc>
          <w:tcPr>
            <w:tcW w:w="6611" w:type="dxa"/>
          </w:tcPr>
          <w:p w14:paraId="5ADFE620" w14:textId="1517D14E" w:rsidR="5DD72D42" w:rsidRPr="006B0C6C" w:rsidRDefault="5DD72D42" w:rsidP="006B0C6C">
            <w:pPr>
              <w:pStyle w:val="Acronymstable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6B0C6C">
              <w:rPr>
                <w:rFonts w:ascii="Calibri" w:eastAsia="Calibri" w:hAnsi="Calibri" w:cs="Calibri"/>
              </w:rPr>
              <w:t>Southeast Asia</w:t>
            </w:r>
          </w:p>
        </w:tc>
      </w:tr>
      <w:tr w:rsidR="00913943" w:rsidRPr="00532C26" w14:paraId="5704F3E5"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3D4B83C3" w14:textId="5BDCDCA1" w:rsidR="00913943" w:rsidRPr="00532C26" w:rsidRDefault="00913943" w:rsidP="00913943">
            <w:pPr>
              <w:pStyle w:val="Acronymstabletext"/>
            </w:pPr>
            <w:r>
              <w:t>SHS</w:t>
            </w:r>
          </w:p>
        </w:tc>
        <w:tc>
          <w:tcPr>
            <w:tcW w:w="6611" w:type="dxa"/>
          </w:tcPr>
          <w:p w14:paraId="150AB66B" w14:textId="750177A5" w:rsidR="00913943" w:rsidRPr="00532C26" w:rsidRDefault="00913943" w:rsidP="00913943">
            <w:pPr>
              <w:pStyle w:val="Acronymstable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Specialist Health Services</w:t>
            </w:r>
          </w:p>
        </w:tc>
      </w:tr>
      <w:tr w:rsidR="7388A156" w:rsidRPr="00532C26" w14:paraId="0DB8E4A2"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6379D561" w14:textId="7C6F5C40" w:rsidR="25D0FD10" w:rsidRPr="006B0C6C" w:rsidRDefault="25D0FD10" w:rsidP="006B0C6C">
            <w:pPr>
              <w:pStyle w:val="Acronymstabletext"/>
            </w:pPr>
            <w:r w:rsidRPr="006B0C6C">
              <w:t>SIF</w:t>
            </w:r>
          </w:p>
        </w:tc>
        <w:tc>
          <w:tcPr>
            <w:tcW w:w="6611" w:type="dxa"/>
          </w:tcPr>
          <w:p w14:paraId="186E020E" w14:textId="5E2105ED" w:rsidR="25D0FD10" w:rsidRPr="006B0C6C" w:rsidRDefault="25D0FD10" w:rsidP="006B0C6C">
            <w:pPr>
              <w:pStyle w:val="Acronymstable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6B0C6C">
              <w:rPr>
                <w:rFonts w:ascii="Calibri" w:eastAsia="Calibri" w:hAnsi="Calibri" w:cs="Calibri"/>
              </w:rPr>
              <w:t xml:space="preserve">Strategic Investment </w:t>
            </w:r>
            <w:r w:rsidR="7997BAB5" w:rsidRPr="006B0C6C">
              <w:rPr>
                <w:rFonts w:ascii="Calibri" w:eastAsia="Calibri" w:hAnsi="Calibri" w:cs="Calibri"/>
              </w:rPr>
              <w:t>Framework</w:t>
            </w:r>
          </w:p>
        </w:tc>
      </w:tr>
      <w:tr w:rsidR="005B4B08" w:rsidRPr="00532C26" w14:paraId="50931FA8"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69A54D17" w14:textId="2EFB5B47" w:rsidR="005B4B08" w:rsidRPr="006B0C6C" w:rsidRDefault="005B4B08" w:rsidP="006B0C6C">
            <w:pPr>
              <w:pStyle w:val="Acronymstabletext"/>
            </w:pPr>
            <w:r>
              <w:t>SOPs</w:t>
            </w:r>
          </w:p>
        </w:tc>
        <w:tc>
          <w:tcPr>
            <w:tcW w:w="6611" w:type="dxa"/>
          </w:tcPr>
          <w:p w14:paraId="058B6AF6" w14:textId="2E2A6324" w:rsidR="005B4B08" w:rsidRPr="006B0C6C" w:rsidRDefault="005B4B08" w:rsidP="006B0C6C">
            <w:pPr>
              <w:pStyle w:val="Acronymstable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Standard Operating Procedures</w:t>
            </w:r>
          </w:p>
        </w:tc>
      </w:tr>
      <w:tr w:rsidR="008B2AEC" w:rsidRPr="00532C26" w14:paraId="46811398" w14:textId="77777777" w:rsidTr="62CC2B41">
        <w:tc>
          <w:tcPr>
            <w:cnfStyle w:val="001000000000" w:firstRow="0" w:lastRow="0" w:firstColumn="1" w:lastColumn="0" w:oddVBand="0" w:evenVBand="0" w:oddHBand="0" w:evenHBand="0" w:firstRowFirstColumn="0" w:firstRowLastColumn="0" w:lastRowFirstColumn="0" w:lastRowLastColumn="0"/>
            <w:tcW w:w="2405" w:type="dxa"/>
          </w:tcPr>
          <w:p w14:paraId="67505868" w14:textId="40F30140" w:rsidR="008B2AEC" w:rsidRPr="006B0C6C" w:rsidRDefault="75FEB8F7" w:rsidP="006B0C6C">
            <w:pPr>
              <w:pStyle w:val="Acronymstabletext"/>
            </w:pPr>
            <w:r w:rsidRPr="006B0C6C">
              <w:t>TGA</w:t>
            </w:r>
          </w:p>
        </w:tc>
        <w:tc>
          <w:tcPr>
            <w:tcW w:w="6611" w:type="dxa"/>
          </w:tcPr>
          <w:p w14:paraId="105C7855" w14:textId="2DA96611" w:rsidR="008B2AEC" w:rsidRPr="006B0C6C" w:rsidRDefault="75FEB8F7" w:rsidP="006B0C6C">
            <w:pPr>
              <w:pStyle w:val="Acronymstabletex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Therapeutic Goods Administration</w:t>
            </w:r>
          </w:p>
        </w:tc>
      </w:tr>
      <w:tr w:rsidR="2F862C6E" w:rsidRPr="00532C26" w14:paraId="467AE982"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1A3DDCF5" w14:textId="29798D7D" w:rsidR="03F96BAE" w:rsidRPr="006B0C6C" w:rsidRDefault="03F96BAE" w:rsidP="006B0C6C">
            <w:pPr>
              <w:pStyle w:val="Acronymstabletext"/>
              <w:rPr>
                <w:rFonts w:ascii="Calibri" w:eastAsia="Calibri" w:hAnsi="Calibri" w:cs="Calibri"/>
              </w:rPr>
            </w:pPr>
            <w:r w:rsidRPr="006B0C6C">
              <w:rPr>
                <w:rFonts w:ascii="Calibri" w:eastAsia="Calibri" w:hAnsi="Calibri" w:cs="Calibri"/>
              </w:rPr>
              <w:t>TTS</w:t>
            </w:r>
          </w:p>
        </w:tc>
        <w:tc>
          <w:tcPr>
            <w:tcW w:w="6611" w:type="dxa"/>
          </w:tcPr>
          <w:p w14:paraId="0BD84899" w14:textId="2D496DCA" w:rsidR="03F96BAE" w:rsidRPr="006B0C6C" w:rsidRDefault="03F96BAE"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Thrombosis with Thrombocytopaenia Syndrome (a rare AEFI)</w:t>
            </w:r>
          </w:p>
        </w:tc>
      </w:tr>
      <w:tr w:rsidR="214FDC17" w:rsidRPr="00532C26" w14:paraId="5E8CCD36"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5BDBCB62" w14:textId="559ECCF4" w:rsidR="575462D8" w:rsidRPr="006B0C6C" w:rsidRDefault="575462D8" w:rsidP="006B0C6C">
            <w:pPr>
              <w:pStyle w:val="Acronymstabletext"/>
            </w:pPr>
            <w:r w:rsidRPr="006B0C6C">
              <w:rPr>
                <w:rFonts w:ascii="Calibri" w:eastAsia="Calibri" w:hAnsi="Calibri" w:cs="Calibri"/>
              </w:rPr>
              <w:t>UNICEF</w:t>
            </w:r>
          </w:p>
        </w:tc>
        <w:tc>
          <w:tcPr>
            <w:tcW w:w="6611" w:type="dxa"/>
          </w:tcPr>
          <w:p w14:paraId="49FC6E03" w14:textId="4C2D2544" w:rsidR="214FDC17" w:rsidRPr="006B0C6C" w:rsidRDefault="04457FA1" w:rsidP="006B0C6C">
            <w:pPr>
              <w:pStyle w:val="Acronymstabletext"/>
              <w:cnfStyle w:val="000000000000" w:firstRow="0" w:lastRow="0" w:firstColumn="0" w:lastColumn="0" w:oddVBand="0" w:evenVBand="0" w:oddHBand="0" w:evenHBand="0" w:firstRowFirstColumn="0" w:firstRowLastColumn="0" w:lastRowFirstColumn="0" w:lastRowLastColumn="0"/>
            </w:pPr>
            <w:r w:rsidRPr="006B0C6C">
              <w:t xml:space="preserve">United Nations </w:t>
            </w:r>
            <w:r w:rsidR="001A33CA" w:rsidRPr="00477F8F">
              <w:t>Children’s</w:t>
            </w:r>
            <w:r w:rsidRPr="006B0C6C">
              <w:t xml:space="preserve"> Fund</w:t>
            </w:r>
          </w:p>
        </w:tc>
      </w:tr>
      <w:tr w:rsidR="008B2AEC" w:rsidRPr="00532C26" w14:paraId="19B8B938" w14:textId="77777777" w:rsidTr="62CC2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AF17BCC" w14:textId="0318601C" w:rsidR="008B2AEC" w:rsidRPr="006B0C6C" w:rsidRDefault="040936E9" w:rsidP="006B0C6C">
            <w:pPr>
              <w:pStyle w:val="Acronymstabletext"/>
            </w:pPr>
            <w:r w:rsidRPr="006B0C6C">
              <w:t>VAHSI</w:t>
            </w:r>
          </w:p>
        </w:tc>
        <w:tc>
          <w:tcPr>
            <w:tcW w:w="6611" w:type="dxa"/>
          </w:tcPr>
          <w:p w14:paraId="3D26EF57" w14:textId="77E2C1BF" w:rsidR="008B2AEC" w:rsidRPr="006B0C6C" w:rsidRDefault="040936E9"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t>Vaccine Access and Health Security Initiative</w:t>
            </w:r>
          </w:p>
        </w:tc>
      </w:tr>
      <w:tr w:rsidR="40D7C2F5" w:rsidRPr="00532C26" w14:paraId="5D6DAFEE" w14:textId="77777777" w:rsidTr="62CC2B41">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53B62DCB" w14:textId="0BA85696" w:rsidR="063AC321" w:rsidRPr="006B0C6C" w:rsidRDefault="063AC321" w:rsidP="006B0C6C">
            <w:pPr>
              <w:pStyle w:val="Acronymstabletext"/>
              <w:rPr>
                <w:rFonts w:ascii="Calibri" w:eastAsia="Calibri" w:hAnsi="Calibri" w:cs="Calibri"/>
              </w:rPr>
            </w:pPr>
            <w:r w:rsidRPr="006B0C6C">
              <w:rPr>
                <w:rFonts w:ascii="Calibri" w:eastAsia="Calibri" w:hAnsi="Calibri" w:cs="Calibri"/>
              </w:rPr>
              <w:t>VIRAT/VRAF2.0</w:t>
            </w:r>
          </w:p>
        </w:tc>
        <w:tc>
          <w:tcPr>
            <w:tcW w:w="6611" w:type="dxa"/>
          </w:tcPr>
          <w:p w14:paraId="48A87549" w14:textId="7A3B41A4" w:rsidR="063AC321" w:rsidRPr="006B0C6C" w:rsidRDefault="063AC321" w:rsidP="006B0C6C">
            <w:pPr>
              <w:pStyle w:val="Acronymstabletext"/>
              <w:cnfStyle w:val="000000000000" w:firstRow="0" w:lastRow="0" w:firstColumn="0" w:lastColumn="0" w:oddVBand="0" w:evenVBand="0" w:oddHBand="0" w:evenHBand="0" w:firstRowFirstColumn="0" w:firstRowLastColumn="0" w:lastRowFirstColumn="0" w:lastRowLastColumn="0"/>
            </w:pPr>
            <w:r w:rsidRPr="006B0C6C">
              <w:t>A vaccination introduction preparedness/readiness assessment tool developed in Indonesia</w:t>
            </w:r>
          </w:p>
        </w:tc>
      </w:tr>
      <w:tr w:rsidR="40D7C2F5" w:rsidRPr="00532C26" w14:paraId="13164D2C" w14:textId="77777777" w:rsidTr="62CC2B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4D1F66FB" w14:textId="05E2AED2" w:rsidR="7E04D874" w:rsidRPr="006B0C6C" w:rsidRDefault="7E04D874" w:rsidP="006B0C6C">
            <w:pPr>
              <w:pStyle w:val="Acronymstabletext"/>
              <w:rPr>
                <w:rFonts w:ascii="Calibri" w:eastAsia="Calibri" w:hAnsi="Calibri" w:cs="Calibri"/>
              </w:rPr>
            </w:pPr>
            <w:r w:rsidRPr="006B0C6C">
              <w:rPr>
                <w:rFonts w:ascii="Calibri" w:eastAsia="Calibri" w:hAnsi="Calibri" w:cs="Calibri"/>
              </w:rPr>
              <w:t>VPD</w:t>
            </w:r>
          </w:p>
        </w:tc>
        <w:tc>
          <w:tcPr>
            <w:tcW w:w="6611" w:type="dxa"/>
          </w:tcPr>
          <w:p w14:paraId="571DCFF5" w14:textId="7F160AC8" w:rsidR="7E04D874" w:rsidRPr="006B0C6C" w:rsidRDefault="7E04D874"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t>Vaccine-preventable disease</w:t>
            </w:r>
          </w:p>
        </w:tc>
      </w:tr>
      <w:tr w:rsidR="00532C26" w:rsidRPr="00532C26" w14:paraId="61A88885" w14:textId="77777777" w:rsidTr="62CC2B41">
        <w:tc>
          <w:tcPr>
            <w:cnfStyle w:val="001000000000" w:firstRow="0" w:lastRow="0" w:firstColumn="1" w:lastColumn="0" w:oddVBand="0" w:evenVBand="0" w:oddHBand="0" w:evenHBand="0" w:firstRowFirstColumn="0" w:firstRowLastColumn="0" w:lastRowFirstColumn="0" w:lastRowLastColumn="0"/>
            <w:tcW w:w="2405" w:type="dxa"/>
          </w:tcPr>
          <w:p w14:paraId="47190D17" w14:textId="177E9EB5" w:rsidR="00532C26" w:rsidRPr="00477F8F" w:rsidRDefault="00532C26" w:rsidP="006B0C6C">
            <w:pPr>
              <w:pStyle w:val="Acronymstabletext"/>
              <w:rPr>
                <w:rFonts w:ascii="Calibri" w:eastAsia="Calibri" w:hAnsi="Calibri" w:cs="Calibri"/>
              </w:rPr>
            </w:pPr>
            <w:r w:rsidRPr="00477F8F">
              <w:rPr>
                <w:rFonts w:ascii="Calibri" w:eastAsia="Calibri" w:hAnsi="Calibri" w:cs="Calibri"/>
              </w:rPr>
              <w:t>VSPD</w:t>
            </w:r>
          </w:p>
        </w:tc>
        <w:tc>
          <w:tcPr>
            <w:tcW w:w="6611" w:type="dxa"/>
          </w:tcPr>
          <w:p w14:paraId="27181348" w14:textId="03EB9E69" w:rsidR="00532C26" w:rsidRPr="00F52344" w:rsidRDefault="00532C26" w:rsidP="006B0C6C">
            <w:pPr>
              <w:pStyle w:val="Acronymstabletext"/>
              <w:cnfStyle w:val="000000000000" w:firstRow="0" w:lastRow="0" w:firstColumn="0" w:lastColumn="0" w:oddVBand="0" w:evenVBand="0" w:oddHBand="0" w:evenHBand="0" w:firstRowFirstColumn="0" w:firstRowLastColumn="0" w:lastRowFirstColumn="0" w:lastRowLastColumn="0"/>
            </w:pPr>
            <w:r w:rsidRPr="003F0544">
              <w:t>Vanuatu Society for People with Disabi</w:t>
            </w:r>
            <w:r w:rsidRPr="00F52344">
              <w:t>lity</w:t>
            </w:r>
          </w:p>
        </w:tc>
      </w:tr>
      <w:tr w:rsidR="008B2AEC" w:rsidRPr="00532C26" w14:paraId="3D9C4015" w14:textId="77777777" w:rsidTr="62CC2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74F7354" w14:textId="20BCBD30" w:rsidR="008B2AEC" w:rsidRPr="006B0C6C" w:rsidRDefault="7C600C56" w:rsidP="006B0C6C">
            <w:pPr>
              <w:pStyle w:val="Acronymstabletext"/>
            </w:pPr>
            <w:r w:rsidRPr="006B0C6C">
              <w:rPr>
                <w:rFonts w:ascii="Calibri" w:eastAsia="Calibri" w:hAnsi="Calibri" w:cs="Calibri"/>
              </w:rPr>
              <w:t>WHO</w:t>
            </w:r>
          </w:p>
        </w:tc>
        <w:tc>
          <w:tcPr>
            <w:tcW w:w="6611" w:type="dxa"/>
          </w:tcPr>
          <w:p w14:paraId="1E08406C" w14:textId="7196254A" w:rsidR="008B2AEC" w:rsidRPr="006B0C6C" w:rsidRDefault="519420C2" w:rsidP="006B0C6C">
            <w:pPr>
              <w:pStyle w:val="Acronymstabletext"/>
              <w:cnfStyle w:val="000000100000" w:firstRow="0" w:lastRow="0" w:firstColumn="0" w:lastColumn="0" w:oddVBand="0" w:evenVBand="0" w:oddHBand="1" w:evenHBand="0" w:firstRowFirstColumn="0" w:firstRowLastColumn="0" w:lastRowFirstColumn="0" w:lastRowLastColumn="0"/>
            </w:pPr>
            <w:r w:rsidRPr="006B0C6C">
              <w:t>World Health Organization</w:t>
            </w:r>
          </w:p>
        </w:tc>
      </w:tr>
    </w:tbl>
    <w:p w14:paraId="206076F1" w14:textId="26BC5090" w:rsidR="000239C8" w:rsidRPr="006B0C6C" w:rsidRDefault="000239C8" w:rsidP="00D32689">
      <w:pPr>
        <w:rPr>
          <w:rFonts w:eastAsia="HGGothicM"/>
        </w:rPr>
        <w:sectPr w:rsidR="000239C8" w:rsidRPr="006B0C6C" w:rsidSect="004D3DB5">
          <w:pgSz w:w="11906" w:h="16838" w:code="9"/>
          <w:pgMar w:top="1440" w:right="1440" w:bottom="1440" w:left="1440" w:header="720" w:footer="720" w:gutter="0"/>
          <w:pgNumType w:fmt="lowerRoman" w:start="1"/>
          <w:cols w:space="720"/>
          <w:docGrid w:linePitch="360"/>
        </w:sectPr>
      </w:pPr>
    </w:p>
    <w:bookmarkEnd w:id="1"/>
    <w:bookmarkEnd w:id="0"/>
    <w:p w14:paraId="09E3F6D3" w14:textId="5E813330" w:rsidR="006676AE" w:rsidRPr="006B0C6C" w:rsidRDefault="00CF27C0" w:rsidP="00D32689">
      <w:pPr>
        <w:pStyle w:val="Non-numberedLevel1heading"/>
      </w:pPr>
      <w:r w:rsidRPr="006B0C6C">
        <w:t>VAHSI Independent Evaluation</w:t>
      </w:r>
    </w:p>
    <w:p w14:paraId="50FE8BB2" w14:textId="2AD4B348" w:rsidR="001F7ED7" w:rsidRPr="006B0C6C" w:rsidRDefault="001F7ED7" w:rsidP="001F7ED7">
      <w:pPr>
        <w:pStyle w:val="Heading1SHS"/>
      </w:pPr>
      <w:bookmarkStart w:id="4" w:name="_Toc200617250"/>
      <w:r>
        <w:t>Introduction</w:t>
      </w:r>
      <w:bookmarkEnd w:id="4"/>
    </w:p>
    <w:p w14:paraId="3E4AB1CC" w14:textId="0308331C" w:rsidR="00E30E9C" w:rsidRPr="006B0C6C" w:rsidRDefault="7FE049A0" w:rsidP="004A2C53">
      <w:pPr>
        <w:pStyle w:val="Heading2SHS"/>
        <w:ind w:left="142"/>
      </w:pPr>
      <w:r w:rsidRPr="006B0C6C">
        <w:t xml:space="preserve"> </w:t>
      </w:r>
      <w:bookmarkStart w:id="5" w:name="_Toc200617251"/>
      <w:r w:rsidR="28E46C31" w:rsidRPr="004A2C53">
        <w:rPr>
          <w:rFonts w:ascii="Calibri" w:eastAsia="Calibri" w:hAnsi="Calibri" w:cs="Calibri"/>
        </w:rPr>
        <w:t>Context</w:t>
      </w:r>
      <w:bookmarkEnd w:id="5"/>
    </w:p>
    <w:p w14:paraId="2F642481" w14:textId="4B3B81CD" w:rsidR="002B71F3" w:rsidRPr="006B0C6C" w:rsidRDefault="07011177" w:rsidP="0A544168">
      <w:pPr>
        <w:jc w:val="both"/>
      </w:pPr>
      <w:r w:rsidRPr="006B0C6C">
        <w:t>The COVID-19 pandemic</w:t>
      </w:r>
      <w:r w:rsidR="00592C0F" w:rsidRPr="006B0C6C">
        <w:t xml:space="preserve">, caused by severe acute respiratory syndrome </w:t>
      </w:r>
      <w:r w:rsidR="00205999" w:rsidRPr="006B0C6C">
        <w:t>c</w:t>
      </w:r>
      <w:r w:rsidR="00592C0F" w:rsidRPr="006B0C6C">
        <w:t xml:space="preserve">oronavirus </w:t>
      </w:r>
      <w:r w:rsidR="00205999" w:rsidRPr="006B0C6C">
        <w:t>2</w:t>
      </w:r>
      <w:r w:rsidR="00417049">
        <w:t>,</w:t>
      </w:r>
      <w:r w:rsidRPr="006B0C6C">
        <w:t xml:space="preserve"> was among the most profound health</w:t>
      </w:r>
      <w:r w:rsidR="00205999" w:rsidRPr="006B0C6C">
        <w:t>, social</w:t>
      </w:r>
      <w:r w:rsidRPr="006B0C6C">
        <w:t xml:space="preserve"> and econom</w:t>
      </w:r>
      <w:r w:rsidR="334D3675" w:rsidRPr="006B0C6C">
        <w:t>i</w:t>
      </w:r>
      <w:r w:rsidRPr="006B0C6C">
        <w:t xml:space="preserve">c crises that </w:t>
      </w:r>
      <w:r w:rsidR="7FA4A561" w:rsidRPr="006B0C6C">
        <w:t xml:space="preserve">the </w:t>
      </w:r>
      <w:r w:rsidRPr="006B0C6C">
        <w:t>world has experi</w:t>
      </w:r>
      <w:r w:rsidR="68E0F30B" w:rsidRPr="006B0C6C">
        <w:t>e</w:t>
      </w:r>
      <w:r w:rsidRPr="006B0C6C">
        <w:t>nced</w:t>
      </w:r>
      <w:r w:rsidR="00205999" w:rsidRPr="006B0C6C">
        <w:t xml:space="preserve"> in modern times</w:t>
      </w:r>
      <w:r w:rsidRPr="006B0C6C">
        <w:t xml:space="preserve">. </w:t>
      </w:r>
      <w:r w:rsidR="00512345" w:rsidRPr="006B0C6C">
        <w:t>As well as leading to the loss of millions of lives, t</w:t>
      </w:r>
      <w:r w:rsidR="00205999" w:rsidRPr="006B0C6C">
        <w:t xml:space="preserve">he </w:t>
      </w:r>
      <w:r w:rsidR="00A26A80" w:rsidRPr="006B0C6C">
        <w:t>pandemic caused severe economic and social disruption</w:t>
      </w:r>
      <w:r w:rsidR="00784EF3" w:rsidRPr="006B0C6C">
        <w:t>,</w:t>
      </w:r>
      <w:r w:rsidR="5D39A8CF" w:rsidRPr="006B0C6C">
        <w:t xml:space="preserve"> </w:t>
      </w:r>
      <w:r w:rsidR="00A26A80" w:rsidRPr="006B0C6C">
        <w:t>sh</w:t>
      </w:r>
      <w:r w:rsidRPr="006B0C6C">
        <w:t>ut</w:t>
      </w:r>
      <w:r w:rsidR="00A26A80" w:rsidRPr="006B0C6C">
        <w:t>ting</w:t>
      </w:r>
      <w:r w:rsidRPr="006B0C6C">
        <w:t xml:space="preserve"> down economies, di</w:t>
      </w:r>
      <w:r w:rsidR="527DC171" w:rsidRPr="006B0C6C">
        <w:t>srupt</w:t>
      </w:r>
      <w:r w:rsidR="0017637A" w:rsidRPr="006B0C6C">
        <w:t>ing</w:t>
      </w:r>
      <w:r w:rsidR="3C675817" w:rsidRPr="006B0C6C">
        <w:t xml:space="preserve"> </w:t>
      </w:r>
      <w:r w:rsidRPr="006B0C6C">
        <w:t xml:space="preserve">billions of lives and </w:t>
      </w:r>
      <w:r w:rsidR="1A2DF2DF" w:rsidRPr="006B0C6C">
        <w:t>jeopardis</w:t>
      </w:r>
      <w:r w:rsidR="0017637A" w:rsidRPr="006B0C6C">
        <w:t>ing</w:t>
      </w:r>
      <w:r w:rsidRPr="006B0C6C">
        <w:t xml:space="preserve"> deca</w:t>
      </w:r>
      <w:r w:rsidR="62A3BCFE" w:rsidRPr="006B0C6C">
        <w:t>des</w:t>
      </w:r>
      <w:r w:rsidRPr="006B0C6C">
        <w:t xml:space="preserve"> of develop</w:t>
      </w:r>
      <w:r w:rsidR="2F31870D" w:rsidRPr="006B0C6C">
        <w:t>ment</w:t>
      </w:r>
      <w:r w:rsidRPr="006B0C6C">
        <w:t xml:space="preserve"> progress</w:t>
      </w:r>
      <w:r w:rsidR="7909ED56" w:rsidRPr="006B0C6C">
        <w:t xml:space="preserve">. </w:t>
      </w:r>
    </w:p>
    <w:p w14:paraId="53547912" w14:textId="040C033F" w:rsidR="7388A156" w:rsidRPr="006B0C6C" w:rsidRDefault="6C33996A" w:rsidP="0A544168">
      <w:pPr>
        <w:jc w:val="both"/>
      </w:pPr>
      <w:r>
        <w:t xml:space="preserve">Countries in the </w:t>
      </w:r>
      <w:r w:rsidR="39319E98">
        <w:t>South</w:t>
      </w:r>
      <w:r w:rsidR="41E39308">
        <w:t>e</w:t>
      </w:r>
      <w:r w:rsidR="39319E98">
        <w:t>ast Asia</w:t>
      </w:r>
      <w:r w:rsidR="3A2AC451">
        <w:t xml:space="preserve"> (SEA)</w:t>
      </w:r>
      <w:r w:rsidR="39319E98">
        <w:t xml:space="preserve"> and Pacific </w:t>
      </w:r>
      <w:r>
        <w:t>region</w:t>
      </w:r>
      <w:r w:rsidR="39319E98">
        <w:t>s</w:t>
      </w:r>
      <w:r>
        <w:t xml:space="preserve"> were </w:t>
      </w:r>
      <w:r w:rsidR="6B1400B3">
        <w:t>keen</w:t>
      </w:r>
      <w:r>
        <w:t xml:space="preserve"> to access COVID-19 vaccines</w:t>
      </w:r>
      <w:r w:rsidR="38D84C28">
        <w:t xml:space="preserve"> </w:t>
      </w:r>
      <w:r w:rsidR="6B1400B3">
        <w:t>as soon as possible</w:t>
      </w:r>
      <w:r w:rsidR="46B327E8">
        <w:t xml:space="preserve"> to </w:t>
      </w:r>
      <w:r w:rsidR="18403DB0">
        <w:t xml:space="preserve">be able to </w:t>
      </w:r>
      <w:r w:rsidR="46B327E8">
        <w:t>protect their populations and economies</w:t>
      </w:r>
      <w:r w:rsidR="6B1400B3">
        <w:t>. These</w:t>
      </w:r>
      <w:r w:rsidR="38D84C28">
        <w:t xml:space="preserve"> </w:t>
      </w:r>
      <w:r w:rsidR="398DF700">
        <w:t xml:space="preserve">vaccines </w:t>
      </w:r>
      <w:r w:rsidR="38D84C28">
        <w:t xml:space="preserve">were rapidly developed and </w:t>
      </w:r>
      <w:r w:rsidR="77AEBB90">
        <w:t>started to become</w:t>
      </w:r>
      <w:r w:rsidR="38D84C28">
        <w:t xml:space="preserve"> available from December 2020</w:t>
      </w:r>
      <w:r>
        <w:t xml:space="preserve">. Australia </w:t>
      </w:r>
      <w:r w:rsidR="0C1BB544">
        <w:t xml:space="preserve">quickly established that </w:t>
      </w:r>
      <w:r w:rsidR="148F4EAA">
        <w:t xml:space="preserve">it </w:t>
      </w:r>
      <w:r w:rsidR="2E4847C1">
        <w:t xml:space="preserve">could </w:t>
      </w:r>
      <w:r w:rsidR="0C1BB544">
        <w:t>play</w:t>
      </w:r>
      <w:r w:rsidR="148F4EAA">
        <w:t xml:space="preserve"> a crucial role in </w:t>
      </w:r>
      <w:r w:rsidR="380CC043">
        <w:t xml:space="preserve">supporting the region by </w:t>
      </w:r>
      <w:r w:rsidR="148F4EAA">
        <w:t>offerin</w:t>
      </w:r>
      <w:r w:rsidR="44CCF0BB">
        <w:t>g</w:t>
      </w:r>
      <w:r w:rsidR="148F4EAA">
        <w:t xml:space="preserve"> vaccine procurement and </w:t>
      </w:r>
      <w:r w:rsidR="37D68CB2">
        <w:t>supply</w:t>
      </w:r>
      <w:r w:rsidR="148F4EAA">
        <w:t>, policy and plannin</w:t>
      </w:r>
      <w:r w:rsidR="67376317">
        <w:t>g</w:t>
      </w:r>
      <w:r w:rsidR="148F4EAA">
        <w:t xml:space="preserve"> and ensuring safety and quality </w:t>
      </w:r>
      <w:r w:rsidR="380CC043">
        <w:t xml:space="preserve">– the latter </w:t>
      </w:r>
      <w:r w:rsidR="148F4EAA">
        <w:t>informed by expert technical advice to enable equitable and inc</w:t>
      </w:r>
      <w:r w:rsidR="4987BF12">
        <w:t xml:space="preserve">lusive access to safe, </w:t>
      </w:r>
      <w:r w:rsidR="53572EB6">
        <w:t>effective,</w:t>
      </w:r>
      <w:r w:rsidR="4987BF12">
        <w:t xml:space="preserve"> and affordable vaccines</w:t>
      </w:r>
      <w:r w:rsidR="3A3AC31A">
        <w:t xml:space="preserve">. </w:t>
      </w:r>
    </w:p>
    <w:p w14:paraId="5C6B0E83" w14:textId="5BE53418" w:rsidR="009D0C50" w:rsidRPr="006B0C6C" w:rsidRDefault="73BC258B" w:rsidP="0A544168">
      <w:pPr>
        <w:jc w:val="both"/>
      </w:pPr>
      <w:r w:rsidRPr="006B0C6C">
        <w:t xml:space="preserve">The </w:t>
      </w:r>
      <w:r w:rsidR="670A3AC0" w:rsidRPr="006B0C6C">
        <w:t>Australian</w:t>
      </w:r>
      <w:r w:rsidR="00964DCF" w:rsidRPr="006B0C6C">
        <w:t xml:space="preserve"> </w:t>
      </w:r>
      <w:r w:rsidR="005D7CD4">
        <w:t>G</w:t>
      </w:r>
      <w:r w:rsidR="00964DCF" w:rsidRPr="006B0C6C">
        <w:t xml:space="preserve">overnment established the </w:t>
      </w:r>
      <w:r w:rsidRPr="006B0C6C">
        <w:t>Vaccine Access and Health Security Initiative (VAHSI) w</w:t>
      </w:r>
      <w:r w:rsidR="00964DCF" w:rsidRPr="006B0C6C">
        <w:t>ith the goal of</w:t>
      </w:r>
      <w:r w:rsidRPr="006B0C6C">
        <w:t xml:space="preserve"> support</w:t>
      </w:r>
      <w:r w:rsidR="00467BAB" w:rsidRPr="006B0C6C">
        <w:t>ing</w:t>
      </w:r>
      <w:r w:rsidRPr="006B0C6C">
        <w:t xml:space="preserve"> equitable and inclusive access to COVID-19 vaccines in the Indo-Pacific region, tailored to need and supported by Australian technical expertise (October 2020 – December 2024).</w:t>
      </w:r>
    </w:p>
    <w:p w14:paraId="41F50D1E" w14:textId="2A8554F4" w:rsidR="009D0C50" w:rsidRPr="006B0C6C" w:rsidRDefault="73BC258B" w:rsidP="0A544168">
      <w:pPr>
        <w:jc w:val="both"/>
      </w:pPr>
      <w:r w:rsidRPr="006B0C6C">
        <w:t xml:space="preserve">The </w:t>
      </w:r>
      <w:r w:rsidR="005B4B08">
        <w:t>eighteen</w:t>
      </w:r>
      <w:r w:rsidR="005B4B08" w:rsidRPr="006B0C6C">
        <w:t xml:space="preserve"> </w:t>
      </w:r>
      <w:r w:rsidRPr="006B0C6C">
        <w:t xml:space="preserve">countries </w:t>
      </w:r>
      <w:r w:rsidR="00A06AF8" w:rsidRPr="006B0C6C">
        <w:t xml:space="preserve">in the Pacific and Southeast Asia supported by VAHSI </w:t>
      </w:r>
      <w:r w:rsidRPr="006B0C6C">
        <w:t>are:</w:t>
      </w:r>
    </w:p>
    <w:p w14:paraId="2D6AFE3F" w14:textId="77777777" w:rsidR="009D0C50" w:rsidRPr="006B0C6C" w:rsidRDefault="73BC258B" w:rsidP="0A544168">
      <w:pPr>
        <w:jc w:val="both"/>
      </w:pPr>
      <w:r w:rsidRPr="006B0C6C">
        <w:rPr>
          <w:b/>
          <w:bCs/>
        </w:rPr>
        <w:t>Pacific</w:t>
      </w:r>
      <w:r w:rsidRPr="006B0C6C">
        <w:t>:  Fiji, Kiribati, Nauru, Papua New Guinea, Samoa, Solomon Islands, Tonga, Tuvalu, Vanuatu</w:t>
      </w:r>
    </w:p>
    <w:p w14:paraId="28590D5C" w14:textId="77777777" w:rsidR="009D0C50" w:rsidRPr="006B0C6C" w:rsidRDefault="73BC258B" w:rsidP="0A544168">
      <w:pPr>
        <w:jc w:val="both"/>
      </w:pPr>
      <w:r w:rsidRPr="006B0C6C">
        <w:rPr>
          <w:b/>
          <w:bCs/>
        </w:rPr>
        <w:t>Southeast Asia</w:t>
      </w:r>
      <w:r w:rsidRPr="006B0C6C">
        <w:t>:  Cambodia, Indonesia, Laos, Malaysia, Myanmar, Philippines, Thailand, Timor-Leste, Vietnam</w:t>
      </w:r>
    </w:p>
    <w:p w14:paraId="0AD3B337" w14:textId="630275BC" w:rsidR="009D0C50" w:rsidRPr="006B0C6C" w:rsidRDefault="17C53BCB" w:rsidP="0A544168">
      <w:pPr>
        <w:jc w:val="both"/>
      </w:pPr>
      <w:r w:rsidRPr="00CB41E6">
        <w:t xml:space="preserve">In 2020 and 2021, the focus of the initiative was procuring and </w:t>
      </w:r>
      <w:r w:rsidR="00AF535B">
        <w:t>supplying</w:t>
      </w:r>
      <w:r w:rsidRPr="00CB41E6">
        <w:t xml:space="preserve"> COVID-19 vaccines</w:t>
      </w:r>
      <w:r w:rsidR="6CDEB348" w:rsidRPr="00CB41E6">
        <w:t xml:space="preserve"> to countries</w:t>
      </w:r>
      <w:r w:rsidRPr="00CB41E6">
        <w:t xml:space="preserve">. </w:t>
      </w:r>
      <w:r w:rsidR="1FB573F1" w:rsidRPr="00CB41E6">
        <w:t xml:space="preserve">In 2022, the initiative continued to </w:t>
      </w:r>
      <w:r w:rsidR="00AF535B">
        <w:t>supply</w:t>
      </w:r>
      <w:r w:rsidR="1FB573F1" w:rsidRPr="00CB41E6">
        <w:t xml:space="preserve"> vaccines</w:t>
      </w:r>
      <w:r w:rsidR="2BEAE231" w:rsidRPr="00CB41E6">
        <w:t xml:space="preserve"> to </w:t>
      </w:r>
      <w:proofErr w:type="gramStart"/>
      <w:r w:rsidR="2BEAE231" w:rsidRPr="00CB41E6">
        <w:t>countries</w:t>
      </w:r>
      <w:r w:rsidR="1FB573F1" w:rsidRPr="00CB41E6">
        <w:t>, and</w:t>
      </w:r>
      <w:proofErr w:type="gramEnd"/>
      <w:r w:rsidR="1FB573F1" w:rsidRPr="00CB41E6">
        <w:t xml:space="preserve"> also </w:t>
      </w:r>
      <w:r w:rsidR="00AF535B">
        <w:t>offered</w:t>
      </w:r>
      <w:r w:rsidR="1FB573F1" w:rsidRPr="00CB41E6">
        <w:t xml:space="preserve"> partner governments deliver</w:t>
      </w:r>
      <w:r w:rsidR="00AF535B">
        <w:t>y support</w:t>
      </w:r>
      <w:r w:rsidR="1FB573F1" w:rsidRPr="00CB41E6">
        <w:t xml:space="preserve"> </w:t>
      </w:r>
      <w:r w:rsidR="48E4FBF4" w:rsidRPr="00CB41E6">
        <w:t>in-country</w:t>
      </w:r>
      <w:r w:rsidR="1FB573F1" w:rsidRPr="00CB41E6">
        <w:t>. I</w:t>
      </w:r>
      <w:r w:rsidRPr="00CB41E6">
        <w:t>n 2023 and 2024, VAHSI focused on assisting vaccine delivery. This shift from supply</w:t>
      </w:r>
      <w:r w:rsidR="00AF535B">
        <w:t>ing vaccines</w:t>
      </w:r>
      <w:r w:rsidRPr="00CB41E6">
        <w:t xml:space="preserve"> to </w:t>
      </w:r>
      <w:r w:rsidR="00AF535B">
        <w:t xml:space="preserve">providing </w:t>
      </w:r>
      <w:r w:rsidRPr="00CB41E6">
        <w:t>delivery</w:t>
      </w:r>
      <w:r w:rsidR="00AF535B">
        <w:t xml:space="preserve"> support</w:t>
      </w:r>
      <w:r w:rsidRPr="00CB41E6">
        <w:t xml:space="preserve"> </w:t>
      </w:r>
      <w:r w:rsidR="4CAABAC0" w:rsidRPr="00CB41E6">
        <w:t xml:space="preserve">within countries </w:t>
      </w:r>
      <w:r w:rsidRPr="00CB41E6">
        <w:t>reflected a shift in partner government needs and moving from an initial rapid response</w:t>
      </w:r>
      <w:r>
        <w:t xml:space="preserve"> phase to a longer-term response phase.</w:t>
      </w:r>
    </w:p>
    <w:p w14:paraId="21B5D048" w14:textId="0AF12A19" w:rsidR="009D0C50" w:rsidRPr="006B0C6C" w:rsidRDefault="42CE9EB4" w:rsidP="0A544168">
      <w:pPr>
        <w:jc w:val="both"/>
      </w:pPr>
      <w:r>
        <w:t>In 2022, VAHSI’s scope was expanded to include routine and remedial immunisation for other vaccine</w:t>
      </w:r>
      <w:r w:rsidR="2DEFE989">
        <w:t>-</w:t>
      </w:r>
      <w:r>
        <w:t>preventable diseases (VPDs). This addressed an emerging need to increase routine immunisation activities that had not taken place in 2020 and 2021, when partner governments were focused on COVID-19 vaccination</w:t>
      </w:r>
      <w:r w:rsidR="009F1D39">
        <w:t>, and because demand for COVID-19 vaccines had largely been met</w:t>
      </w:r>
      <w:r>
        <w:t>.</w:t>
      </w:r>
    </w:p>
    <w:p w14:paraId="7AEA590F" w14:textId="6D576AF5" w:rsidR="009D0C50" w:rsidRPr="006B0C6C" w:rsidRDefault="42CE9EB4">
      <w:pPr>
        <w:jc w:val="both"/>
      </w:pPr>
      <w:r>
        <w:t xml:space="preserve">VAHSI funding was augmented by </w:t>
      </w:r>
      <w:r w:rsidR="77AEBB90">
        <w:t>AUD</w:t>
      </w:r>
      <w:r>
        <w:t xml:space="preserve">100 million provided </w:t>
      </w:r>
      <w:r w:rsidR="008A5243">
        <w:t>as part of Australia’s contribution to</w:t>
      </w:r>
      <w:r>
        <w:t xml:space="preserve"> the Quad Vaccine Partnership and </w:t>
      </w:r>
      <w:r w:rsidR="77AEBB90">
        <w:t>AUD</w:t>
      </w:r>
      <w:r>
        <w:t xml:space="preserve">19.2 million bilateral funding for activities in Vietnam and Laos (details in </w:t>
      </w:r>
      <w:r w:rsidR="005B4B08">
        <w:t>Table 1</w:t>
      </w:r>
      <w:r>
        <w:t xml:space="preserve"> below). </w:t>
      </w:r>
      <w:r w:rsidR="006A0410">
        <w:t xml:space="preserve">This </w:t>
      </w:r>
      <w:r>
        <w:t>Quad</w:t>
      </w:r>
      <w:r w:rsidR="006A0410">
        <w:t>-related</w:t>
      </w:r>
      <w:r>
        <w:t xml:space="preserve"> funding was co-programmed with VAHSI, supporting vaccine procurement and </w:t>
      </w:r>
      <w:r w:rsidR="5CC8CED4">
        <w:t xml:space="preserve">supply </w:t>
      </w:r>
      <w:r>
        <w:t xml:space="preserve">across </w:t>
      </w:r>
      <w:r w:rsidR="77AEBB90">
        <w:t xml:space="preserve">SEA </w:t>
      </w:r>
      <w:r>
        <w:t xml:space="preserve">with a particular focus on remote areas and vulnerable populations. For the purposes of this </w:t>
      </w:r>
      <w:r w:rsidR="77AEBB90">
        <w:t xml:space="preserve">evaluation </w:t>
      </w:r>
      <w:r>
        <w:t xml:space="preserve">all funding sources that contributed to VAHSI </w:t>
      </w:r>
      <w:r w:rsidR="77AEBB90">
        <w:t>were included</w:t>
      </w:r>
      <w:r>
        <w:t xml:space="preserve"> in scope.</w:t>
      </w:r>
    </w:p>
    <w:p w14:paraId="3CB7F38A" w14:textId="4C0084A6" w:rsidR="009D0C50" w:rsidRPr="006B0C6C" w:rsidRDefault="009D0C50" w:rsidP="009D0C50"/>
    <w:p w14:paraId="765640A3" w14:textId="77777777" w:rsidR="00AD0E18" w:rsidRPr="006B0C6C" w:rsidRDefault="00AD0E18" w:rsidP="009D0C50"/>
    <w:p w14:paraId="65C3ABF5" w14:textId="6BB76979" w:rsidR="009D0C50" w:rsidRPr="00680011" w:rsidRDefault="73BC258B" w:rsidP="006B0C6C">
      <w:pPr>
        <w:jc w:val="both"/>
        <w:rPr>
          <w:b/>
          <w:iCs/>
          <w:sz w:val="20"/>
          <w:szCs w:val="16"/>
        </w:rPr>
      </w:pPr>
      <w:r w:rsidRPr="00680011">
        <w:rPr>
          <w:b/>
          <w:iCs/>
          <w:sz w:val="20"/>
          <w:szCs w:val="16"/>
        </w:rPr>
        <w:t>Table 1: Detail of investment in scope for this evaluation</w:t>
      </w:r>
    </w:p>
    <w:tbl>
      <w:tblPr>
        <w:tblStyle w:val="SHSReportTable"/>
        <w:tblW w:w="8657" w:type="dxa"/>
        <w:tblLook w:val="04A0" w:firstRow="1" w:lastRow="0" w:firstColumn="1" w:lastColumn="0" w:noHBand="0" w:noVBand="1"/>
      </w:tblPr>
      <w:tblGrid>
        <w:gridCol w:w="5272"/>
        <w:gridCol w:w="2152"/>
        <w:gridCol w:w="1233"/>
      </w:tblGrid>
      <w:tr w:rsidR="44C8811F" w:rsidRPr="00123E2D" w14:paraId="5BABAF12" w14:textId="77777777" w:rsidTr="0047770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2" w:type="dxa"/>
            <w:tcBorders>
              <w:bottom w:val="single" w:sz="4" w:space="0" w:color="BFBFBF" w:themeColor="background1" w:themeShade="BF"/>
            </w:tcBorders>
          </w:tcPr>
          <w:p w14:paraId="2B1A6BAE" w14:textId="77777777" w:rsidR="44C8811F" w:rsidRPr="006B0C6C" w:rsidRDefault="44C8811F" w:rsidP="44C8811F">
            <w:r w:rsidRPr="006B0C6C">
              <w:t>Investment</w:t>
            </w:r>
          </w:p>
        </w:tc>
        <w:tc>
          <w:tcPr>
            <w:tcW w:w="2152" w:type="dxa"/>
            <w:tcBorders>
              <w:bottom w:val="single" w:sz="4" w:space="0" w:color="BFBFBF" w:themeColor="background1" w:themeShade="BF"/>
            </w:tcBorders>
          </w:tcPr>
          <w:p w14:paraId="21FB4800" w14:textId="77777777" w:rsidR="44C8811F" w:rsidRPr="006B0C6C" w:rsidRDefault="44C8811F" w:rsidP="44C8811F">
            <w:pPr>
              <w:cnfStyle w:val="100000000000" w:firstRow="1" w:lastRow="0" w:firstColumn="0" w:lastColumn="0" w:oddVBand="0" w:evenVBand="0" w:oddHBand="0" w:evenHBand="0" w:firstRowFirstColumn="0" w:firstRowLastColumn="0" w:lastRowFirstColumn="0" w:lastRowLastColumn="0"/>
            </w:pPr>
            <w:r w:rsidRPr="006B0C6C">
              <w:t>Period</w:t>
            </w:r>
          </w:p>
        </w:tc>
        <w:tc>
          <w:tcPr>
            <w:tcW w:w="1233" w:type="dxa"/>
            <w:tcBorders>
              <w:bottom w:val="single" w:sz="4" w:space="0" w:color="BFBFBF" w:themeColor="background1" w:themeShade="BF"/>
            </w:tcBorders>
          </w:tcPr>
          <w:p w14:paraId="55F73C1C" w14:textId="1D15CC37" w:rsidR="44C8811F" w:rsidRPr="006B0C6C" w:rsidRDefault="44C8811F" w:rsidP="44C8811F">
            <w:pPr>
              <w:cnfStyle w:val="100000000000" w:firstRow="1" w:lastRow="0" w:firstColumn="0" w:lastColumn="0" w:oddVBand="0" w:evenVBand="0" w:oddHBand="0" w:evenHBand="0" w:firstRowFirstColumn="0" w:firstRowLastColumn="0" w:lastRowFirstColumn="0" w:lastRowLastColumn="0"/>
            </w:pPr>
            <w:r w:rsidRPr="006B0C6C">
              <w:t>Funding</w:t>
            </w:r>
            <w:r w:rsidR="002B40F6" w:rsidRPr="006B0C6C">
              <w:t xml:space="preserve"> (</w:t>
            </w:r>
            <w:proofErr w:type="spellStart"/>
            <w:r w:rsidR="002B40F6" w:rsidRPr="006B0C6C">
              <w:t>AUD</w:t>
            </w:r>
            <w:r w:rsidR="00C95939" w:rsidRPr="006B0C6C">
              <w:t>m</w:t>
            </w:r>
            <w:proofErr w:type="spellEnd"/>
            <w:r w:rsidR="002B40F6" w:rsidRPr="006B0C6C">
              <w:t>)</w:t>
            </w:r>
          </w:p>
        </w:tc>
      </w:tr>
      <w:tr w:rsidR="44C8811F" w:rsidRPr="00123E2D" w14:paraId="0EC3666E" w14:textId="77777777" w:rsidTr="00920D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93CDA3" w14:textId="77777777" w:rsidR="44C8811F" w:rsidRPr="006B0C6C" w:rsidRDefault="44C8811F" w:rsidP="44C8811F">
            <w:pPr>
              <w:rPr>
                <w:sz w:val="22"/>
                <w:szCs w:val="22"/>
              </w:rPr>
            </w:pPr>
            <w:r w:rsidRPr="006B0C6C">
              <w:rPr>
                <w:szCs w:val="22"/>
              </w:rPr>
              <w:t>VAHSI</w:t>
            </w:r>
          </w:p>
        </w:tc>
        <w:tc>
          <w:tcPr>
            <w:tcW w:w="2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ED601F" w14:textId="77777777" w:rsidR="44C8811F" w:rsidRPr="006B0C6C" w:rsidRDefault="44C8811F">
            <w:pPr>
              <w:cnfStyle w:val="000000100000" w:firstRow="0" w:lastRow="0" w:firstColumn="0" w:lastColumn="0" w:oddVBand="0" w:evenVBand="0" w:oddHBand="1" w:evenHBand="0" w:firstRowFirstColumn="0" w:firstRowLastColumn="0" w:lastRowFirstColumn="0" w:lastRowLastColumn="0"/>
            </w:pPr>
            <w:r w:rsidRPr="006B0C6C">
              <w:t>FY20-21 to FY24-25</w:t>
            </w:r>
          </w:p>
        </w:tc>
        <w:tc>
          <w:tcPr>
            <w:tcW w:w="1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0E7041" w14:textId="77777777" w:rsidR="44C8811F" w:rsidRPr="006B0C6C" w:rsidRDefault="44C8811F" w:rsidP="00920D24">
            <w:pPr>
              <w:jc w:val="right"/>
              <w:cnfStyle w:val="000000100000" w:firstRow="0" w:lastRow="0" w:firstColumn="0" w:lastColumn="0" w:oddVBand="0" w:evenVBand="0" w:oddHBand="1" w:evenHBand="0" w:firstRowFirstColumn="0" w:firstRowLastColumn="0" w:lastRowFirstColumn="0" w:lastRowLastColumn="0"/>
            </w:pPr>
            <w:r w:rsidRPr="006B0C6C">
              <w:t>523.2</w:t>
            </w:r>
          </w:p>
        </w:tc>
      </w:tr>
      <w:tr w:rsidR="44C8811F" w:rsidRPr="00123E2D" w14:paraId="3A5BB39F" w14:textId="77777777" w:rsidTr="00920D24">
        <w:trPr>
          <w:trHeight w:val="300"/>
        </w:trPr>
        <w:tc>
          <w:tcPr>
            <w:cnfStyle w:val="001000000000" w:firstRow="0" w:lastRow="0" w:firstColumn="1" w:lastColumn="0" w:oddVBand="0" w:evenVBand="0" w:oddHBand="0" w:evenHBand="0" w:firstRowFirstColumn="0" w:firstRowLastColumn="0" w:lastRowFirstColumn="0" w:lastRowLastColumn="0"/>
            <w:tcW w:w="5272" w:type="dxa"/>
            <w:tcBorders>
              <w:top w:val="single" w:sz="4" w:space="0" w:color="BFBFBF" w:themeColor="background1" w:themeShade="BF"/>
            </w:tcBorders>
          </w:tcPr>
          <w:p w14:paraId="1880D955" w14:textId="77777777" w:rsidR="44C8811F" w:rsidRPr="006B0C6C" w:rsidRDefault="44C8811F" w:rsidP="44C8811F">
            <w:pPr>
              <w:rPr>
                <w:sz w:val="22"/>
                <w:szCs w:val="22"/>
              </w:rPr>
            </w:pPr>
            <w:r w:rsidRPr="006B0C6C">
              <w:rPr>
                <w:szCs w:val="22"/>
              </w:rPr>
              <w:t>Quad Vaccine Partnership (Southeast Asia only)</w:t>
            </w:r>
          </w:p>
        </w:tc>
        <w:tc>
          <w:tcPr>
            <w:tcW w:w="2152" w:type="dxa"/>
            <w:tcBorders>
              <w:top w:val="single" w:sz="4" w:space="0" w:color="BFBFBF" w:themeColor="background1" w:themeShade="BF"/>
            </w:tcBorders>
          </w:tcPr>
          <w:p w14:paraId="6C008006" w14:textId="77777777" w:rsidR="44C8811F" w:rsidRPr="006B0C6C" w:rsidRDefault="44C8811F">
            <w:pPr>
              <w:cnfStyle w:val="000000000000" w:firstRow="0" w:lastRow="0" w:firstColumn="0" w:lastColumn="0" w:oddVBand="0" w:evenVBand="0" w:oddHBand="0" w:evenHBand="0" w:firstRowFirstColumn="0" w:firstRowLastColumn="0" w:lastRowFirstColumn="0" w:lastRowLastColumn="0"/>
            </w:pPr>
            <w:r w:rsidRPr="006B0C6C">
              <w:t>FY21-22</w:t>
            </w:r>
          </w:p>
        </w:tc>
        <w:tc>
          <w:tcPr>
            <w:tcW w:w="1233" w:type="dxa"/>
            <w:tcBorders>
              <w:top w:val="single" w:sz="4" w:space="0" w:color="BFBFBF" w:themeColor="background1" w:themeShade="BF"/>
            </w:tcBorders>
          </w:tcPr>
          <w:p w14:paraId="3211E876" w14:textId="51D54D77" w:rsidR="44C8811F" w:rsidRPr="006B0C6C" w:rsidRDefault="44C8811F" w:rsidP="00920D24">
            <w:pPr>
              <w:jc w:val="right"/>
              <w:cnfStyle w:val="000000000000" w:firstRow="0" w:lastRow="0" w:firstColumn="0" w:lastColumn="0" w:oddVBand="0" w:evenVBand="0" w:oddHBand="0" w:evenHBand="0" w:firstRowFirstColumn="0" w:firstRowLastColumn="0" w:lastRowFirstColumn="0" w:lastRowLastColumn="0"/>
            </w:pPr>
            <w:r w:rsidRPr="006B0C6C">
              <w:t>100</w:t>
            </w:r>
            <w:r w:rsidR="00920D24" w:rsidRPr="006B0C6C">
              <w:t>.0</w:t>
            </w:r>
          </w:p>
        </w:tc>
      </w:tr>
      <w:tr w:rsidR="44C8811F" w:rsidRPr="00123E2D" w14:paraId="3DE53F67" w14:textId="77777777" w:rsidTr="00920D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72" w:type="dxa"/>
          </w:tcPr>
          <w:p w14:paraId="5C2AB733" w14:textId="77777777" w:rsidR="44C8811F" w:rsidRPr="006B0C6C" w:rsidRDefault="44C8811F" w:rsidP="44C8811F">
            <w:pPr>
              <w:rPr>
                <w:sz w:val="22"/>
                <w:szCs w:val="22"/>
              </w:rPr>
            </w:pPr>
            <w:r w:rsidRPr="006B0C6C">
              <w:rPr>
                <w:szCs w:val="22"/>
              </w:rPr>
              <w:t>Bilateral funding contributed to VAHSI delivery support agreement and vaccine procurement (Vietnam)</w:t>
            </w:r>
          </w:p>
        </w:tc>
        <w:tc>
          <w:tcPr>
            <w:tcW w:w="2152" w:type="dxa"/>
          </w:tcPr>
          <w:p w14:paraId="5D47CA0B" w14:textId="77777777" w:rsidR="44C8811F" w:rsidRPr="006B0C6C" w:rsidRDefault="44C8811F">
            <w:pPr>
              <w:cnfStyle w:val="000000100000" w:firstRow="0" w:lastRow="0" w:firstColumn="0" w:lastColumn="0" w:oddVBand="0" w:evenVBand="0" w:oddHBand="1" w:evenHBand="0" w:firstRowFirstColumn="0" w:firstRowLastColumn="0" w:lastRowFirstColumn="0" w:lastRowLastColumn="0"/>
            </w:pPr>
            <w:r w:rsidRPr="006B0C6C">
              <w:t>FY20-21 to FY22-23</w:t>
            </w:r>
          </w:p>
        </w:tc>
        <w:tc>
          <w:tcPr>
            <w:tcW w:w="1233" w:type="dxa"/>
          </w:tcPr>
          <w:p w14:paraId="1611009E" w14:textId="77777777" w:rsidR="44C8811F" w:rsidRPr="006B0C6C" w:rsidRDefault="44C8811F" w:rsidP="00920D24">
            <w:pPr>
              <w:jc w:val="right"/>
              <w:cnfStyle w:val="000000100000" w:firstRow="0" w:lastRow="0" w:firstColumn="0" w:lastColumn="0" w:oddVBand="0" w:evenVBand="0" w:oddHBand="1" w:evenHBand="0" w:firstRowFirstColumn="0" w:firstRowLastColumn="0" w:lastRowFirstColumn="0" w:lastRowLastColumn="0"/>
            </w:pPr>
            <w:r w:rsidRPr="006B0C6C">
              <w:t>18.2</w:t>
            </w:r>
          </w:p>
        </w:tc>
      </w:tr>
      <w:tr w:rsidR="44C8811F" w:rsidRPr="00123E2D" w14:paraId="6A43B47A" w14:textId="77777777" w:rsidTr="00920D24">
        <w:trPr>
          <w:trHeight w:val="300"/>
        </w:trPr>
        <w:tc>
          <w:tcPr>
            <w:cnfStyle w:val="001000000000" w:firstRow="0" w:lastRow="0" w:firstColumn="1" w:lastColumn="0" w:oddVBand="0" w:evenVBand="0" w:oddHBand="0" w:evenHBand="0" w:firstRowFirstColumn="0" w:firstRowLastColumn="0" w:lastRowFirstColumn="0" w:lastRowLastColumn="0"/>
            <w:tcW w:w="5272" w:type="dxa"/>
          </w:tcPr>
          <w:p w14:paraId="3B95C526" w14:textId="77777777" w:rsidR="44C8811F" w:rsidRPr="006B0C6C" w:rsidRDefault="44C8811F" w:rsidP="44C8811F">
            <w:pPr>
              <w:rPr>
                <w:sz w:val="22"/>
                <w:szCs w:val="22"/>
              </w:rPr>
            </w:pPr>
            <w:r w:rsidRPr="006B0C6C">
              <w:rPr>
                <w:szCs w:val="22"/>
              </w:rPr>
              <w:t>Bilateral funding contributed to VAHSI delivery support agreement (Laos)</w:t>
            </w:r>
          </w:p>
        </w:tc>
        <w:tc>
          <w:tcPr>
            <w:tcW w:w="2152" w:type="dxa"/>
          </w:tcPr>
          <w:p w14:paraId="0AD5ED7D" w14:textId="77777777" w:rsidR="44C8811F" w:rsidRPr="006B0C6C" w:rsidRDefault="44C8811F">
            <w:pPr>
              <w:cnfStyle w:val="000000000000" w:firstRow="0" w:lastRow="0" w:firstColumn="0" w:lastColumn="0" w:oddVBand="0" w:evenVBand="0" w:oddHBand="0" w:evenHBand="0" w:firstRowFirstColumn="0" w:firstRowLastColumn="0" w:lastRowFirstColumn="0" w:lastRowLastColumn="0"/>
            </w:pPr>
            <w:r w:rsidRPr="006B0C6C">
              <w:t>FY20-21</w:t>
            </w:r>
          </w:p>
        </w:tc>
        <w:tc>
          <w:tcPr>
            <w:tcW w:w="1233" w:type="dxa"/>
          </w:tcPr>
          <w:p w14:paraId="70B92EB8" w14:textId="2F3F9AB2" w:rsidR="44C8811F" w:rsidRPr="006B0C6C" w:rsidRDefault="44C8811F" w:rsidP="00920D24">
            <w:pPr>
              <w:jc w:val="right"/>
              <w:cnfStyle w:val="000000000000" w:firstRow="0" w:lastRow="0" w:firstColumn="0" w:lastColumn="0" w:oddVBand="0" w:evenVBand="0" w:oddHBand="0" w:evenHBand="0" w:firstRowFirstColumn="0" w:firstRowLastColumn="0" w:lastRowFirstColumn="0" w:lastRowLastColumn="0"/>
            </w:pPr>
            <w:r w:rsidRPr="006B0C6C">
              <w:t>1</w:t>
            </w:r>
            <w:r w:rsidR="00920D24" w:rsidRPr="006B0C6C">
              <w:t>.0</w:t>
            </w:r>
          </w:p>
        </w:tc>
      </w:tr>
      <w:tr w:rsidR="44C8811F" w:rsidRPr="00123E2D" w14:paraId="4DB23826" w14:textId="77777777" w:rsidTr="00920D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72" w:type="dxa"/>
          </w:tcPr>
          <w:p w14:paraId="0A49C007" w14:textId="77777777" w:rsidR="44C8811F" w:rsidRPr="006B0C6C" w:rsidRDefault="44C8811F" w:rsidP="44C8811F">
            <w:pPr>
              <w:rPr>
                <w:b/>
                <w:bCs/>
                <w:sz w:val="22"/>
                <w:szCs w:val="22"/>
              </w:rPr>
            </w:pPr>
            <w:r w:rsidRPr="006B0C6C">
              <w:rPr>
                <w:b/>
                <w:bCs/>
                <w:szCs w:val="22"/>
              </w:rPr>
              <w:t>Total Funding</w:t>
            </w:r>
          </w:p>
        </w:tc>
        <w:tc>
          <w:tcPr>
            <w:tcW w:w="2152" w:type="dxa"/>
          </w:tcPr>
          <w:p w14:paraId="2E8A1CEE" w14:textId="77777777" w:rsidR="44C8811F" w:rsidRPr="006B0C6C" w:rsidRDefault="44C8811F">
            <w:pPr>
              <w:cnfStyle w:val="000000100000" w:firstRow="0" w:lastRow="0" w:firstColumn="0" w:lastColumn="0" w:oddVBand="0" w:evenVBand="0" w:oddHBand="1" w:evenHBand="0" w:firstRowFirstColumn="0" w:firstRowLastColumn="0" w:lastRowFirstColumn="0" w:lastRowLastColumn="0"/>
            </w:pPr>
            <w:r w:rsidRPr="006B0C6C">
              <w:t>FY20-25</w:t>
            </w:r>
          </w:p>
        </w:tc>
        <w:tc>
          <w:tcPr>
            <w:tcW w:w="1233" w:type="dxa"/>
          </w:tcPr>
          <w:p w14:paraId="7F8CD573" w14:textId="77777777" w:rsidR="44C8811F" w:rsidRPr="006B0C6C" w:rsidRDefault="44C8811F" w:rsidP="00920D24">
            <w:pPr>
              <w:jc w:val="right"/>
              <w:cnfStyle w:val="000000100000" w:firstRow="0" w:lastRow="0" w:firstColumn="0" w:lastColumn="0" w:oddVBand="0" w:evenVBand="0" w:oddHBand="1" w:evenHBand="0" w:firstRowFirstColumn="0" w:firstRowLastColumn="0" w:lastRowFirstColumn="0" w:lastRowLastColumn="0"/>
            </w:pPr>
            <w:r w:rsidRPr="006B0C6C">
              <w:t>642.4</w:t>
            </w:r>
          </w:p>
        </w:tc>
      </w:tr>
    </w:tbl>
    <w:p w14:paraId="07A1491F" w14:textId="77777777" w:rsidR="000017BA" w:rsidRDefault="000017BA" w:rsidP="0A544168">
      <w:pPr>
        <w:jc w:val="both"/>
      </w:pPr>
    </w:p>
    <w:p w14:paraId="498CDED8" w14:textId="4F86F63C" w:rsidR="009D0C50" w:rsidRPr="006B0C6C" w:rsidRDefault="3D96A4FA" w:rsidP="0A544168">
      <w:pPr>
        <w:jc w:val="both"/>
      </w:pPr>
      <w:r>
        <w:t>The three components of VAHSI are:</w:t>
      </w:r>
    </w:p>
    <w:p w14:paraId="1A076506" w14:textId="26CEFE65" w:rsidR="009D0C50" w:rsidRPr="00CB41E6" w:rsidRDefault="54A9252A" w:rsidP="00C30814">
      <w:pPr>
        <w:numPr>
          <w:ilvl w:val="0"/>
          <w:numId w:val="4"/>
        </w:numPr>
        <w:jc w:val="both"/>
      </w:pPr>
      <w:r w:rsidRPr="62CC2B41">
        <w:rPr>
          <w:b/>
          <w:bCs/>
        </w:rPr>
        <w:t xml:space="preserve">COVID-19 vaccine </w:t>
      </w:r>
      <w:r w:rsidR="00AF535B">
        <w:rPr>
          <w:b/>
          <w:bCs/>
        </w:rPr>
        <w:t>supply</w:t>
      </w:r>
      <w:r w:rsidRPr="00CB41E6">
        <w:t xml:space="preserve">: </w:t>
      </w:r>
      <w:r w:rsidR="00AF535B">
        <w:t xml:space="preserve">Supply </w:t>
      </w:r>
      <w:r w:rsidRPr="00CB41E6">
        <w:t xml:space="preserve">of doses </w:t>
      </w:r>
      <w:r w:rsidR="4A63B159" w:rsidRPr="00CB41E6">
        <w:t xml:space="preserve">to countries </w:t>
      </w:r>
      <w:r w:rsidRPr="00CB41E6">
        <w:t xml:space="preserve">from Australia’s domestic supply and through regional procurement arrangements with UNICEF. In </w:t>
      </w:r>
      <w:r w:rsidR="5377C35D" w:rsidRPr="00CB41E6">
        <w:t>SEA</w:t>
      </w:r>
      <w:r w:rsidRPr="00CB41E6">
        <w:t xml:space="preserve"> this was supplemented by </w:t>
      </w:r>
      <w:r w:rsidR="00AB45E7">
        <w:t xml:space="preserve">support delivered as part of Australia’s contribution to the </w:t>
      </w:r>
      <w:r w:rsidRPr="00CB41E6">
        <w:t xml:space="preserve">Quad </w:t>
      </w:r>
      <w:r w:rsidR="00AB45E7">
        <w:t>Vaccine Partnership</w:t>
      </w:r>
      <w:r w:rsidRPr="00CB41E6">
        <w:t>.</w:t>
      </w:r>
    </w:p>
    <w:p w14:paraId="03A18CC9" w14:textId="59FE9BDA" w:rsidR="009D0C50" w:rsidRPr="00CB41E6" w:rsidRDefault="2CB4E5A6" w:rsidP="00C30814">
      <w:pPr>
        <w:numPr>
          <w:ilvl w:val="0"/>
          <w:numId w:val="4"/>
        </w:numPr>
        <w:jc w:val="both"/>
      </w:pPr>
      <w:r w:rsidRPr="00CB41E6">
        <w:rPr>
          <w:b/>
          <w:bCs/>
        </w:rPr>
        <w:t>In-country d</w:t>
      </w:r>
      <w:r w:rsidR="3D96A4FA" w:rsidRPr="00CB41E6">
        <w:rPr>
          <w:b/>
          <w:bCs/>
        </w:rPr>
        <w:t>elivery support</w:t>
      </w:r>
      <w:r w:rsidR="3D96A4FA" w:rsidRPr="00CB41E6">
        <w:t xml:space="preserve">: Tailored assistance to partner countries’ national COVID-19 vaccination programs, including technical advice to national regulators, support for public communication campaigns, cold chain infrastructure, and other logistics capacity. In SEA this was supplemented by </w:t>
      </w:r>
      <w:r w:rsidR="002B40F6" w:rsidRPr="00CB41E6">
        <w:t>AUD</w:t>
      </w:r>
      <w:r w:rsidR="3D96A4FA" w:rsidRPr="00CB41E6">
        <w:t xml:space="preserve">24 million </w:t>
      </w:r>
      <w:r w:rsidR="00137228">
        <w:t xml:space="preserve">as part of Australia’s contribution to the </w:t>
      </w:r>
      <w:r w:rsidR="3D96A4FA" w:rsidRPr="00CB41E6">
        <w:t xml:space="preserve">Quad </w:t>
      </w:r>
      <w:r w:rsidR="00137228">
        <w:t>Vaccine Partnership</w:t>
      </w:r>
      <w:r w:rsidR="002B40F6" w:rsidRPr="00CB41E6">
        <w:t>.</w:t>
      </w:r>
    </w:p>
    <w:p w14:paraId="26A1D67B" w14:textId="356E66A1" w:rsidR="009D0C50" w:rsidRPr="00CB41E6" w:rsidRDefault="3D96A4FA" w:rsidP="00C30814">
      <w:pPr>
        <w:numPr>
          <w:ilvl w:val="0"/>
          <w:numId w:val="4"/>
        </w:numPr>
        <w:jc w:val="both"/>
      </w:pPr>
      <w:r w:rsidRPr="00CB41E6">
        <w:rPr>
          <w:b/>
          <w:bCs/>
        </w:rPr>
        <w:t>Regional health security architecture</w:t>
      </w:r>
      <w:r w:rsidRPr="00CB41E6">
        <w:t xml:space="preserve">:  VAHSI allocated </w:t>
      </w:r>
      <w:r w:rsidR="002B40F6" w:rsidRPr="00CB41E6">
        <w:t>AUD</w:t>
      </w:r>
      <w:r w:rsidRPr="00CB41E6">
        <w:t>21 million to establish an ASEAN Centre for Public Health Emergencies and Emerging Diseases (ACPHEED) to help SEA prepare for and respond to future pandemics. ASEAN is progressing the required legal framework and financial and administrative arrangements to commence operations. The establishment of ACPHEED is being implemented separately and on a longer-term timeline than other VAHSI activities and is therefore not in scope for this review.</w:t>
      </w:r>
    </w:p>
    <w:p w14:paraId="2C3A03E6" w14:textId="584B6868" w:rsidR="00FE712F" w:rsidRPr="006B0C6C" w:rsidRDefault="3D96A4FA" w:rsidP="002B40F6">
      <w:pPr>
        <w:jc w:val="both"/>
      </w:pPr>
      <w:r w:rsidRPr="00CB41E6">
        <w:t xml:space="preserve">Recognising that structural inequality results in some communities being more vulnerable than others, </w:t>
      </w:r>
      <w:r w:rsidR="002B40F6" w:rsidRPr="00CB41E6">
        <w:t>The Department of Foreign Affairs and Trade (</w:t>
      </w:r>
      <w:r w:rsidRPr="00CB41E6">
        <w:t>DFAT</w:t>
      </w:r>
      <w:r w:rsidR="002B40F6" w:rsidRPr="00CB41E6">
        <w:t>)</w:t>
      </w:r>
      <w:r w:rsidRPr="00CB41E6">
        <w:t xml:space="preserve"> worked with </w:t>
      </w:r>
      <w:r w:rsidR="00231D76" w:rsidRPr="00CB41E6">
        <w:t>delivery</w:t>
      </w:r>
      <w:r w:rsidRPr="00CB41E6">
        <w:t xml:space="preserve"> </w:t>
      </w:r>
      <w:r w:rsidR="006874E4">
        <w:t xml:space="preserve">support </w:t>
      </w:r>
      <w:r w:rsidRPr="00CB41E6">
        <w:t>partners to advocate for</w:t>
      </w:r>
      <w:r w:rsidR="002B40F6" w:rsidRPr="00CB41E6">
        <w:t>,</w:t>
      </w:r>
      <w:r w:rsidRPr="00CB41E6">
        <w:t xml:space="preserve"> and support</w:t>
      </w:r>
      <w:r w:rsidR="002B40F6" w:rsidRPr="00CB41E6">
        <w:t>,</w:t>
      </w:r>
      <w:r w:rsidRPr="00CB41E6">
        <w:t xml:space="preserve"> equitable and meaningful engagement with diverse stakeholders in planning and safely delivering vaccines</w:t>
      </w:r>
      <w:r w:rsidR="6B99AA80" w:rsidRPr="00CB41E6">
        <w:t xml:space="preserve"> within VAHSI countries</w:t>
      </w:r>
      <w:r w:rsidRPr="00CB41E6">
        <w:t xml:space="preserve"> and engaging diverse communities through inclusive communications. The end of program</w:t>
      </w:r>
      <w:r>
        <w:t xml:space="preserve"> outcome for VAHSI reflected the prioritisation of the goal of </w:t>
      </w:r>
      <w:r w:rsidRPr="62CC2B41">
        <w:rPr>
          <w:i/>
          <w:iCs/>
        </w:rPr>
        <w:t>inclusive</w:t>
      </w:r>
      <w:r>
        <w:t xml:space="preserve"> recovery.</w:t>
      </w:r>
    </w:p>
    <w:p w14:paraId="3F84F043" w14:textId="3514DB44" w:rsidR="001F7ED7" w:rsidRPr="004A2C53" w:rsidRDefault="41C04D1B" w:rsidP="004A2C53">
      <w:pPr>
        <w:pStyle w:val="Heading2SHS"/>
        <w:ind w:left="142"/>
        <w:rPr>
          <w:rFonts w:ascii="Calibri" w:eastAsia="Calibri" w:hAnsi="Calibri" w:cs="Calibri"/>
        </w:rPr>
      </w:pPr>
      <w:r w:rsidRPr="004A2C53">
        <w:rPr>
          <w:rFonts w:ascii="Calibri" w:eastAsia="Calibri" w:hAnsi="Calibri" w:cs="Calibri"/>
        </w:rPr>
        <w:t xml:space="preserve"> </w:t>
      </w:r>
      <w:bookmarkStart w:id="6" w:name="_Toc200617252"/>
      <w:r w:rsidR="001F7ED7" w:rsidRPr="004A2C53">
        <w:rPr>
          <w:rFonts w:ascii="Calibri" w:eastAsia="Calibri" w:hAnsi="Calibri" w:cs="Calibri"/>
        </w:rPr>
        <w:t>Program overview</w:t>
      </w:r>
      <w:bookmarkEnd w:id="6"/>
    </w:p>
    <w:p w14:paraId="451CD8FB" w14:textId="5C8802C5" w:rsidR="00EF7FCB" w:rsidRPr="006B0C6C" w:rsidRDefault="005B4B08" w:rsidP="0A544168">
      <w:pPr>
        <w:jc w:val="both"/>
        <w:rPr>
          <w:rFonts w:ascii="Calibri" w:eastAsia="Calibri" w:hAnsi="Calibri" w:cs="Calibri"/>
        </w:rPr>
      </w:pPr>
      <w:r>
        <w:rPr>
          <w:rFonts w:ascii="Calibri" w:eastAsia="Calibri" w:hAnsi="Calibri" w:cs="Calibri"/>
        </w:rPr>
        <w:t>Figure 1</w:t>
      </w:r>
      <w:r w:rsidR="3F9849A6" w:rsidRPr="006B0C6C">
        <w:rPr>
          <w:rFonts w:ascii="Calibri" w:eastAsia="Calibri" w:hAnsi="Calibri" w:cs="Calibri"/>
        </w:rPr>
        <w:t xml:space="preserve"> </w:t>
      </w:r>
      <w:r w:rsidR="48B5D1B7" w:rsidRPr="006B0C6C">
        <w:rPr>
          <w:rFonts w:ascii="Calibri" w:eastAsia="Calibri" w:hAnsi="Calibri" w:cs="Calibri"/>
        </w:rPr>
        <w:t xml:space="preserve">below illustrates how </w:t>
      </w:r>
      <w:r>
        <w:rPr>
          <w:rFonts w:ascii="Calibri" w:eastAsia="Calibri" w:hAnsi="Calibri" w:cs="Calibri"/>
        </w:rPr>
        <w:t xml:space="preserve">VAHSI </w:t>
      </w:r>
      <w:r w:rsidR="48B5D1B7" w:rsidRPr="006B0C6C">
        <w:rPr>
          <w:rFonts w:ascii="Calibri" w:eastAsia="Calibri" w:hAnsi="Calibri" w:cs="Calibri"/>
        </w:rPr>
        <w:t>investment inputs were intended</w:t>
      </w:r>
      <w:r w:rsidR="7B8F9F5B" w:rsidRPr="006B0C6C">
        <w:rPr>
          <w:rFonts w:ascii="Calibri" w:eastAsia="Calibri" w:hAnsi="Calibri" w:cs="Calibri"/>
        </w:rPr>
        <w:t xml:space="preserve"> to </w:t>
      </w:r>
      <w:r w:rsidR="3F9849A6" w:rsidRPr="006B0C6C">
        <w:rPr>
          <w:rFonts w:ascii="Calibri" w:eastAsia="Calibri" w:hAnsi="Calibri" w:cs="Calibri"/>
        </w:rPr>
        <w:t xml:space="preserve">deliver </w:t>
      </w:r>
      <w:r w:rsidR="7B8F9F5B" w:rsidRPr="006B0C6C">
        <w:rPr>
          <w:rFonts w:ascii="Calibri" w:eastAsia="Calibri" w:hAnsi="Calibri" w:cs="Calibri"/>
        </w:rPr>
        <w:t xml:space="preserve">outcomes that would contribute to the achievement of a set of strategic goals </w:t>
      </w:r>
      <w:r w:rsidR="7930473F" w:rsidRPr="006B0C6C">
        <w:rPr>
          <w:rFonts w:ascii="Calibri" w:eastAsia="Calibri" w:hAnsi="Calibri" w:cs="Calibri"/>
        </w:rPr>
        <w:t xml:space="preserve">aligned to the end of investment outcome and overarching objective. </w:t>
      </w:r>
      <w:r>
        <w:rPr>
          <w:rFonts w:ascii="Calibri" w:eastAsia="Calibri" w:hAnsi="Calibri" w:cs="Calibri"/>
        </w:rPr>
        <w:t>The</w:t>
      </w:r>
      <w:r w:rsidR="7930473F" w:rsidRPr="006B0C6C">
        <w:rPr>
          <w:rFonts w:ascii="Calibri" w:eastAsia="Calibri" w:hAnsi="Calibri" w:cs="Calibri"/>
        </w:rPr>
        <w:t xml:space="preserve"> three End of </w:t>
      </w:r>
      <w:r w:rsidR="751B1ECD" w:rsidRPr="006B0C6C">
        <w:rPr>
          <w:rFonts w:ascii="Calibri" w:eastAsia="Calibri" w:hAnsi="Calibri" w:cs="Calibri"/>
        </w:rPr>
        <w:t>Program Outcomes</w:t>
      </w:r>
      <w:r>
        <w:rPr>
          <w:rFonts w:ascii="Calibri" w:eastAsia="Calibri" w:hAnsi="Calibri" w:cs="Calibri"/>
        </w:rPr>
        <w:t xml:space="preserve"> are</w:t>
      </w:r>
      <w:r w:rsidR="249EB22D" w:rsidRPr="006B0C6C">
        <w:rPr>
          <w:rFonts w:ascii="Calibri" w:eastAsia="Calibri" w:hAnsi="Calibri" w:cs="Calibri"/>
        </w:rPr>
        <w:t>:</w:t>
      </w:r>
    </w:p>
    <w:p w14:paraId="2D93E38D" w14:textId="2DDD2988" w:rsidR="4E5A1FD9" w:rsidRPr="006B0C6C" w:rsidRDefault="4E5A1FD9" w:rsidP="371AEC96">
      <w:pPr>
        <w:rPr>
          <w:bCs/>
        </w:rPr>
      </w:pPr>
      <w:r w:rsidRPr="006B0C6C">
        <w:rPr>
          <w:b/>
          <w:bCs/>
        </w:rPr>
        <w:t xml:space="preserve">EOPO1 </w:t>
      </w:r>
      <w:r w:rsidRPr="006B0C6C">
        <w:rPr>
          <w:bCs/>
        </w:rPr>
        <w:t>– Partner governments expand COVID-19 vaccine coverage in a safe and timely manner</w:t>
      </w:r>
    </w:p>
    <w:p w14:paraId="0E83C2CD" w14:textId="5BA0910B" w:rsidR="4E5A1FD9" w:rsidRPr="006B0C6C" w:rsidRDefault="4E5A1FD9" w:rsidP="371AEC96">
      <w:pPr>
        <w:rPr>
          <w:b/>
          <w:bCs/>
        </w:rPr>
      </w:pPr>
      <w:r w:rsidRPr="006B0C6C">
        <w:rPr>
          <w:b/>
          <w:bCs/>
        </w:rPr>
        <w:t xml:space="preserve">EOPO2 </w:t>
      </w:r>
      <w:r w:rsidRPr="006B0C6C">
        <w:rPr>
          <w:bCs/>
        </w:rPr>
        <w:t>– Target populations access vaccination in accordance with each partner country’s COVID-19 National Deployment and Vaccination Plan</w:t>
      </w:r>
    </w:p>
    <w:p w14:paraId="1763EE98" w14:textId="7CB68586" w:rsidR="00920D24" w:rsidRPr="003D669E" w:rsidRDefault="4E5A1FD9" w:rsidP="003D669E">
      <w:pPr>
        <w:jc w:val="both"/>
        <w:rPr>
          <w:b/>
          <w:bCs/>
        </w:rPr>
      </w:pPr>
      <w:r w:rsidRPr="006B0C6C">
        <w:rPr>
          <w:b/>
          <w:bCs/>
        </w:rPr>
        <w:t xml:space="preserve">EOPO3 </w:t>
      </w:r>
      <w:r w:rsidRPr="006B0C6C">
        <w:rPr>
          <w:bCs/>
        </w:rPr>
        <w:t>– Australian support to COVID-19 vaccination programs is valued by the region</w:t>
      </w:r>
    </w:p>
    <w:p w14:paraId="377BFF7D" w14:textId="56ABF036" w:rsidR="009D0C50" w:rsidRPr="00680011" w:rsidRDefault="0E4E4A5D" w:rsidP="44C8811F">
      <w:pPr>
        <w:jc w:val="both"/>
        <w:rPr>
          <w:b/>
          <w:iCs/>
          <w:sz w:val="20"/>
          <w:szCs w:val="16"/>
        </w:rPr>
      </w:pPr>
      <w:r w:rsidRPr="00680011">
        <w:rPr>
          <w:b/>
          <w:iCs/>
          <w:sz w:val="20"/>
          <w:szCs w:val="16"/>
        </w:rPr>
        <w:t>Figure 1</w:t>
      </w:r>
      <w:r w:rsidR="002B40F6" w:rsidRPr="00680011">
        <w:rPr>
          <w:b/>
          <w:iCs/>
          <w:sz w:val="20"/>
          <w:szCs w:val="16"/>
        </w:rPr>
        <w:t>.</w:t>
      </w:r>
      <w:r w:rsidRPr="00680011">
        <w:rPr>
          <w:b/>
          <w:iCs/>
          <w:sz w:val="20"/>
          <w:szCs w:val="16"/>
        </w:rPr>
        <w:t xml:space="preserve"> The VAHSI EOPOs as set out in the Theory of Change (</w:t>
      </w:r>
      <w:proofErr w:type="spellStart"/>
      <w:r w:rsidRPr="00680011">
        <w:rPr>
          <w:b/>
          <w:iCs/>
          <w:sz w:val="20"/>
          <w:szCs w:val="16"/>
        </w:rPr>
        <w:t>ToC</w:t>
      </w:r>
      <w:proofErr w:type="spellEnd"/>
      <w:r w:rsidRPr="00680011">
        <w:rPr>
          <w:b/>
          <w:iCs/>
          <w:sz w:val="20"/>
          <w:szCs w:val="16"/>
        </w:rPr>
        <w:t>) for the initiative</w:t>
      </w:r>
    </w:p>
    <w:p w14:paraId="17611F9A" w14:textId="0D586C77" w:rsidR="009D0C50" w:rsidRPr="006B0C6C" w:rsidRDefault="0E4E4A5D" w:rsidP="001F7ED7">
      <w:r w:rsidRPr="003F0544">
        <w:rPr>
          <w:noProof/>
        </w:rPr>
        <w:drawing>
          <wp:inline distT="0" distB="0" distL="0" distR="0" wp14:anchorId="1139030B" wp14:editId="6CD7448C">
            <wp:extent cx="5762626" cy="2790825"/>
            <wp:effectExtent l="0" t="0" r="0" b="0"/>
            <wp:docPr id="924195918" name="Picture 924195918" descr="This is a program logic diagram for the VAHSI initiative that visually depicts the objective, goal, outcomes, outputs and inputs of the initiative. See annex 12 for full text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95918" name="Picture 924195918" descr="This is a program logic diagram for the VAHSI initiative that visually depicts the objective, goal, outcomes, outputs and inputs of the initiative. See annex 12 for full text version"/>
                    <pic:cNvPicPr/>
                  </pic:nvPicPr>
                  <pic:blipFill>
                    <a:blip r:embed="rId15">
                      <a:extLst>
                        <a:ext uri="{28A0092B-C50C-407E-A947-70E740481C1C}">
                          <a14:useLocalDpi xmlns:a14="http://schemas.microsoft.com/office/drawing/2010/main" val="0"/>
                        </a:ext>
                      </a:extLst>
                    </a:blip>
                    <a:stretch>
                      <a:fillRect/>
                    </a:stretch>
                  </pic:blipFill>
                  <pic:spPr>
                    <a:xfrm>
                      <a:off x="0" y="0"/>
                      <a:ext cx="5762626" cy="2790825"/>
                    </a:xfrm>
                    <a:prstGeom prst="rect">
                      <a:avLst/>
                    </a:prstGeom>
                  </pic:spPr>
                </pic:pic>
              </a:graphicData>
            </a:graphic>
          </wp:inline>
        </w:drawing>
      </w:r>
    </w:p>
    <w:p w14:paraId="39D17244" w14:textId="0671A51E" w:rsidR="001F7ED7" w:rsidRPr="004A2C53" w:rsidRDefault="4E5FD9CD" w:rsidP="004A2C53">
      <w:pPr>
        <w:pStyle w:val="Heading2SHS"/>
        <w:ind w:left="142"/>
        <w:rPr>
          <w:rFonts w:ascii="Calibri" w:eastAsia="Calibri" w:hAnsi="Calibri" w:cs="Calibri"/>
        </w:rPr>
      </w:pPr>
      <w:r w:rsidRPr="004A2C53">
        <w:rPr>
          <w:rFonts w:ascii="Calibri" w:eastAsia="Calibri" w:hAnsi="Calibri" w:cs="Calibri"/>
        </w:rPr>
        <w:t xml:space="preserve"> </w:t>
      </w:r>
      <w:bookmarkStart w:id="7" w:name="_Toc200617253"/>
      <w:r w:rsidR="001F7ED7" w:rsidRPr="004A2C53">
        <w:rPr>
          <w:rFonts w:ascii="Calibri" w:eastAsia="Calibri" w:hAnsi="Calibri" w:cs="Calibri"/>
        </w:rPr>
        <w:t>Purpose of this evaluation</w:t>
      </w:r>
      <w:bookmarkEnd w:id="7"/>
    </w:p>
    <w:p w14:paraId="7090C963" w14:textId="11EC8260" w:rsidR="56C23990" w:rsidRPr="006B0C6C" w:rsidRDefault="56C23990" w:rsidP="0A544168">
      <w:pPr>
        <w:jc w:val="both"/>
      </w:pPr>
      <w:r w:rsidRPr="006B0C6C">
        <w:t xml:space="preserve">The evaluation </w:t>
      </w:r>
      <w:r w:rsidR="002B40F6" w:rsidRPr="006B0C6C">
        <w:t>was</w:t>
      </w:r>
      <w:r w:rsidR="52F59CCC" w:rsidRPr="006B0C6C">
        <w:t xml:space="preserve"> </w:t>
      </w:r>
      <w:r w:rsidRPr="006B0C6C">
        <w:t xml:space="preserve">designed to assess the performance of VAHSI, including co-programmed Quad and bilateral funding, where these contributed to COVID-19 vaccine access and delivery support activities (excluding ACPHEED establishment). The evaluation assessed effectiveness and efficiency, and performance in </w:t>
      </w:r>
      <w:r w:rsidR="002B40F6" w:rsidRPr="006B0C6C">
        <w:t xml:space="preserve">the </w:t>
      </w:r>
      <w:r w:rsidRPr="006B0C6C">
        <w:t xml:space="preserve">areas of gender equality, disability and social inclusion (GEDSI). The evaluation was designed to </w:t>
      </w:r>
      <w:r w:rsidR="005B4B08">
        <w:t>identify</w:t>
      </w:r>
      <w:r w:rsidR="005B4B08" w:rsidRPr="006B0C6C">
        <w:t xml:space="preserve"> </w:t>
      </w:r>
      <w:r w:rsidRPr="006B0C6C">
        <w:t xml:space="preserve">lessons for future programs, in particular </w:t>
      </w:r>
      <w:r w:rsidR="005B4B08">
        <w:t xml:space="preserve">health emergency response </w:t>
      </w:r>
      <w:r w:rsidR="00920D24" w:rsidRPr="006B0C6C">
        <w:t>programs</w:t>
      </w:r>
      <w:r w:rsidRPr="006B0C6C">
        <w:t xml:space="preserve">. </w:t>
      </w:r>
    </w:p>
    <w:p w14:paraId="4AE7D21D" w14:textId="51862C01" w:rsidR="56C23990" w:rsidRPr="006B0C6C" w:rsidRDefault="002B40F6" w:rsidP="0A544168">
      <w:pPr>
        <w:jc w:val="both"/>
      </w:pPr>
      <w:r w:rsidRPr="006B0C6C">
        <w:t>DFAT</w:t>
      </w:r>
      <w:r w:rsidR="56C23990" w:rsidRPr="006B0C6C">
        <w:t xml:space="preserve"> appointed a team under </w:t>
      </w:r>
      <w:r w:rsidR="566490BF" w:rsidRPr="006B0C6C">
        <w:t xml:space="preserve">Specialist Health Services (SHS) to conduct </w:t>
      </w:r>
      <w:r w:rsidR="4130B6AF" w:rsidRPr="006B0C6C">
        <w:t xml:space="preserve">this </w:t>
      </w:r>
      <w:r w:rsidRPr="006B0C6C">
        <w:t>evaluation between</w:t>
      </w:r>
      <w:r w:rsidR="4130B6AF" w:rsidRPr="006B0C6C">
        <w:t xml:space="preserve"> July</w:t>
      </w:r>
      <w:r w:rsidR="566490BF" w:rsidRPr="006B0C6C">
        <w:t>-</w:t>
      </w:r>
      <w:r w:rsidR="7B4252BF" w:rsidRPr="006B0C6C">
        <w:t xml:space="preserve">November </w:t>
      </w:r>
      <w:r w:rsidR="566490BF" w:rsidRPr="006B0C6C">
        <w:t xml:space="preserve">2024.  </w:t>
      </w:r>
    </w:p>
    <w:p w14:paraId="401066A5" w14:textId="42CA3B3E" w:rsidR="566490BF" w:rsidRPr="006B0C6C" w:rsidRDefault="566490BF" w:rsidP="0A544168">
      <w:pPr>
        <w:jc w:val="both"/>
      </w:pPr>
      <w:r w:rsidRPr="006B0C6C">
        <w:t xml:space="preserve">The primary audience for this evaluation is DFAT staff in Canberra and </w:t>
      </w:r>
      <w:r w:rsidR="002B40F6" w:rsidRPr="006B0C6C">
        <w:t>at</w:t>
      </w:r>
      <w:r w:rsidRPr="006B0C6C">
        <w:t xml:space="preserve"> Posts in </w:t>
      </w:r>
      <w:r w:rsidR="4DAD5DFA" w:rsidRPr="006B0C6C">
        <w:t>Southeast</w:t>
      </w:r>
      <w:r w:rsidRPr="006B0C6C">
        <w:t xml:space="preserve"> Asia and the Pacific. </w:t>
      </w:r>
    </w:p>
    <w:p w14:paraId="74E662D5" w14:textId="3142E14C" w:rsidR="44C8811F" w:rsidRPr="006B0C6C" w:rsidRDefault="00BD16C3" w:rsidP="002B40F6">
      <w:pPr>
        <w:jc w:val="both"/>
      </w:pPr>
      <w:r w:rsidRPr="006B0C6C">
        <w:t xml:space="preserve">The final evaluation report, or a version thereof, will be published </w:t>
      </w:r>
      <w:r w:rsidR="00A2098D" w:rsidRPr="006B0C6C">
        <w:t>in mid-2025.</w:t>
      </w:r>
      <w:r w:rsidRPr="006B0C6C">
        <w:t xml:space="preserve"> </w:t>
      </w:r>
    </w:p>
    <w:p w14:paraId="2767888D" w14:textId="0D336B78" w:rsidR="001F7ED7" w:rsidRPr="006B0C6C" w:rsidRDefault="54669658" w:rsidP="001F7ED7">
      <w:pPr>
        <w:pStyle w:val="Heading1SHS"/>
      </w:pPr>
      <w:bookmarkStart w:id="8" w:name="_Toc200617254"/>
      <w:r>
        <w:t>Methodology</w:t>
      </w:r>
      <w:bookmarkEnd w:id="8"/>
    </w:p>
    <w:p w14:paraId="2E3EFB2D" w14:textId="164F1168" w:rsidR="001F7ED7" w:rsidRPr="004A2C53" w:rsidRDefault="460FD26E" w:rsidP="004A2C53">
      <w:pPr>
        <w:pStyle w:val="Heading2SHS"/>
        <w:ind w:left="142"/>
        <w:rPr>
          <w:rFonts w:ascii="Calibri" w:eastAsia="Calibri" w:hAnsi="Calibri" w:cs="Calibri"/>
        </w:rPr>
      </w:pPr>
      <w:bookmarkStart w:id="9" w:name="_Toc200617255"/>
      <w:r w:rsidRPr="004A2C53">
        <w:rPr>
          <w:rFonts w:ascii="Calibri" w:eastAsia="Calibri" w:hAnsi="Calibri" w:cs="Calibri"/>
        </w:rPr>
        <w:t>Approach</w:t>
      </w:r>
      <w:bookmarkEnd w:id="9"/>
    </w:p>
    <w:p w14:paraId="10ECA932" w14:textId="306CE502" w:rsidR="0006544D" w:rsidRPr="006B0C6C" w:rsidRDefault="006A15B0" w:rsidP="0A544168">
      <w:pPr>
        <w:jc w:val="both"/>
      </w:pPr>
      <w:r w:rsidRPr="006B0C6C">
        <w:t xml:space="preserve">The </w:t>
      </w:r>
      <w:r w:rsidR="00436A5A" w:rsidRPr="006B0C6C">
        <w:t xml:space="preserve">detailed </w:t>
      </w:r>
      <w:r w:rsidRPr="006B0C6C">
        <w:t xml:space="preserve">methodology for this evaluation </w:t>
      </w:r>
      <w:r w:rsidR="0006544D" w:rsidRPr="006B0C6C">
        <w:t xml:space="preserve">is </w:t>
      </w:r>
      <w:r w:rsidR="002D3404" w:rsidRPr="006B0C6C">
        <w:t>outlined in the annexed Evaluation Plan</w:t>
      </w:r>
      <w:r w:rsidR="00D70538">
        <w:t xml:space="preserve"> (Annex 3)</w:t>
      </w:r>
      <w:r w:rsidR="002D3404" w:rsidRPr="006B0C6C">
        <w:t>.</w:t>
      </w:r>
    </w:p>
    <w:p w14:paraId="76CAA8B1" w14:textId="384710BD" w:rsidR="199E584C" w:rsidRPr="006B0C6C" w:rsidRDefault="05088C44" w:rsidP="0168391D">
      <w:pPr>
        <w:jc w:val="both"/>
      </w:pPr>
      <w:r w:rsidRPr="7E56B70C">
        <w:rPr>
          <w:b/>
          <w:bCs/>
        </w:rPr>
        <w:t xml:space="preserve">Desk </w:t>
      </w:r>
      <w:r w:rsidR="1C124D51" w:rsidRPr="7E56B70C">
        <w:rPr>
          <w:b/>
          <w:bCs/>
        </w:rPr>
        <w:t>b</w:t>
      </w:r>
      <w:r w:rsidRPr="7E56B70C">
        <w:rPr>
          <w:b/>
          <w:bCs/>
        </w:rPr>
        <w:t>ased</w:t>
      </w:r>
      <w:r w:rsidR="4CACC61C">
        <w:t>. All</w:t>
      </w:r>
      <w:r w:rsidR="6A9D4FD6">
        <w:t xml:space="preserve"> </w:t>
      </w:r>
      <w:r w:rsidR="06377D58">
        <w:t xml:space="preserve">members of the evaluation team were </w:t>
      </w:r>
      <w:r w:rsidR="3B78C543">
        <w:t>home</w:t>
      </w:r>
      <w:r w:rsidR="06377D58">
        <w:t>-based</w:t>
      </w:r>
      <w:r w:rsidR="727A06A5">
        <w:t>.</w:t>
      </w:r>
      <w:r w:rsidR="7E14DBC7">
        <w:t xml:space="preserve"> </w:t>
      </w:r>
      <w:r w:rsidR="11A103A4">
        <w:t>Key Informant Interviews (</w:t>
      </w:r>
      <w:r w:rsidR="7E14DBC7">
        <w:t>KIIs</w:t>
      </w:r>
      <w:r w:rsidR="11A103A4">
        <w:t>)</w:t>
      </w:r>
      <w:r w:rsidR="7E14DBC7">
        <w:t xml:space="preserve"> were undertaken using Zoom or Teams</w:t>
      </w:r>
      <w:r w:rsidR="06377D58">
        <w:t xml:space="preserve">. There </w:t>
      </w:r>
      <w:r w:rsidR="76838739" w:rsidRPr="7E56B70C">
        <w:rPr>
          <w:rFonts w:ascii="Calibri" w:eastAsia="Calibri" w:hAnsi="Calibri" w:cs="Calibri"/>
        </w:rPr>
        <w:t>w</w:t>
      </w:r>
      <w:r w:rsidR="33EB3C1E" w:rsidRPr="7E56B70C">
        <w:rPr>
          <w:rFonts w:ascii="Calibri" w:eastAsia="Calibri" w:hAnsi="Calibri" w:cs="Calibri"/>
        </w:rPr>
        <w:t>ere</w:t>
      </w:r>
      <w:r w:rsidR="76838739" w:rsidRPr="7E56B70C">
        <w:rPr>
          <w:rFonts w:ascii="Calibri" w:eastAsia="Calibri" w:hAnsi="Calibri" w:cs="Calibri"/>
        </w:rPr>
        <w:t xml:space="preserve"> no</w:t>
      </w:r>
      <w:r w:rsidR="06377D58">
        <w:t xml:space="preserve"> </w:t>
      </w:r>
      <w:r w:rsidR="7E14DBC7">
        <w:t xml:space="preserve">face-to-face or </w:t>
      </w:r>
      <w:r w:rsidR="06377D58">
        <w:t>in-country interviews.</w:t>
      </w:r>
    </w:p>
    <w:p w14:paraId="0EFC5490" w14:textId="298C6AF4" w:rsidR="7AF11488" w:rsidRPr="006B0C6C" w:rsidRDefault="05088C44" w:rsidP="005B4B08">
      <w:pPr>
        <w:jc w:val="both"/>
      </w:pPr>
      <w:r w:rsidRPr="7E56B70C">
        <w:rPr>
          <w:b/>
          <w:bCs/>
        </w:rPr>
        <w:t xml:space="preserve">Case </w:t>
      </w:r>
      <w:r w:rsidR="54106D83" w:rsidRPr="7E56B70C">
        <w:rPr>
          <w:b/>
          <w:bCs/>
        </w:rPr>
        <w:t>s</w:t>
      </w:r>
      <w:r w:rsidRPr="7E56B70C">
        <w:rPr>
          <w:b/>
          <w:bCs/>
        </w:rPr>
        <w:t xml:space="preserve">tudy </w:t>
      </w:r>
      <w:r w:rsidR="19A9B12E" w:rsidRPr="7E56B70C">
        <w:rPr>
          <w:b/>
          <w:bCs/>
        </w:rPr>
        <w:t>a</w:t>
      </w:r>
      <w:r w:rsidRPr="7E56B70C">
        <w:rPr>
          <w:b/>
          <w:bCs/>
        </w:rPr>
        <w:t>pproach</w:t>
      </w:r>
      <w:r w:rsidR="2277A76D">
        <w:t>.</w:t>
      </w:r>
      <w:r>
        <w:t xml:space="preserve"> </w:t>
      </w:r>
      <w:r w:rsidR="1789254D">
        <w:t xml:space="preserve">VAHSI was implemented by a wide range of partners across 18 countries. </w:t>
      </w:r>
      <w:r w:rsidR="06377D58">
        <w:t xml:space="preserve">The evaluation team </w:t>
      </w:r>
      <w:r w:rsidR="7A33BD0E">
        <w:t>used a case study appr</w:t>
      </w:r>
      <w:r w:rsidR="2C01C964">
        <w:t>oach</w:t>
      </w:r>
      <w:r w:rsidR="53C6CDF5">
        <w:t>,</w:t>
      </w:r>
      <w:r w:rsidR="2C01C964">
        <w:t xml:space="preserve"> </w:t>
      </w:r>
      <w:r w:rsidR="06377D58">
        <w:t>s</w:t>
      </w:r>
      <w:r w:rsidR="79BB8001">
        <w:t>elect</w:t>
      </w:r>
      <w:r w:rsidR="36E749C6">
        <w:t>ing</w:t>
      </w:r>
      <w:r w:rsidR="79BB8001">
        <w:t xml:space="preserve"> four countries </w:t>
      </w:r>
      <w:r w:rsidR="7B223108">
        <w:t>that reflected VAHSI’s implementation in different development contexts</w:t>
      </w:r>
      <w:r w:rsidR="5519843F">
        <w:t>. These were</w:t>
      </w:r>
      <w:r w:rsidR="79815976">
        <w:t xml:space="preserve"> Indonesia, Timor</w:t>
      </w:r>
      <w:r w:rsidR="4DBA7C8A">
        <w:t>-</w:t>
      </w:r>
      <w:r w:rsidR="79815976">
        <w:t>Leste,</w:t>
      </w:r>
      <w:r w:rsidR="29F23F2F">
        <w:t xml:space="preserve"> Vanuatu</w:t>
      </w:r>
      <w:r w:rsidR="72C1F40C">
        <w:t xml:space="preserve"> and</w:t>
      </w:r>
      <w:r w:rsidR="29F23F2F">
        <w:t xml:space="preserve"> Vietnam</w:t>
      </w:r>
      <w:r w:rsidR="79BB8001">
        <w:t xml:space="preserve">. </w:t>
      </w:r>
      <w:r w:rsidR="3A176421">
        <w:t xml:space="preserve">The selection was based on the likelihood of </w:t>
      </w:r>
      <w:r w:rsidR="20EB0304">
        <w:t xml:space="preserve">sufficient documentation and interviewees being </w:t>
      </w:r>
      <w:r w:rsidR="46FC5F6D">
        <w:t>available</w:t>
      </w:r>
      <w:r w:rsidR="20EB0304">
        <w:t xml:space="preserve"> to inform the evaluation</w:t>
      </w:r>
      <w:r w:rsidR="66D657A4">
        <w:t xml:space="preserve">, to </w:t>
      </w:r>
      <w:r w:rsidR="215A35D2">
        <w:t>ensure</w:t>
      </w:r>
      <w:r w:rsidR="66D657A4">
        <w:t xml:space="preserve"> representation across the two geographical regions (Pacific and SEA)</w:t>
      </w:r>
      <w:r w:rsidR="4254974E">
        <w:t>, and to ensure diversity in terms of size and context</w:t>
      </w:r>
      <w:r w:rsidR="20EB0304">
        <w:t xml:space="preserve">. </w:t>
      </w:r>
      <w:r w:rsidR="09A2CCC4">
        <w:t xml:space="preserve">This approach was taken to </w:t>
      </w:r>
      <w:r w:rsidR="006906C7">
        <w:t>ensure</w:t>
      </w:r>
      <w:r w:rsidR="09A2CCC4">
        <w:t xml:space="preserve"> that case study evidence could inform more general findings across all VAHSI</w:t>
      </w:r>
      <w:r w:rsidR="667955D7">
        <w:t xml:space="preserve"> countries. </w:t>
      </w:r>
      <w:r w:rsidR="3A176421">
        <w:t>Further detail on th</w:t>
      </w:r>
      <w:r w:rsidR="20EB0304">
        <w:t>e case study approach is available in the Evaluation Plan</w:t>
      </w:r>
      <w:r w:rsidR="208A2262">
        <w:t xml:space="preserve"> (Annex 3).</w:t>
      </w:r>
      <w:r w:rsidR="3A176421">
        <w:t xml:space="preserve"> </w:t>
      </w:r>
    </w:p>
    <w:p w14:paraId="3BBA5DCB" w14:textId="53365EE9" w:rsidR="001F7ED7" w:rsidRPr="004A2C53" w:rsidRDefault="460FD26E" w:rsidP="004A2C53">
      <w:pPr>
        <w:pStyle w:val="Heading2SHS"/>
        <w:ind w:left="142"/>
        <w:rPr>
          <w:rFonts w:ascii="Calibri" w:eastAsia="Calibri" w:hAnsi="Calibri" w:cs="Calibri"/>
        </w:rPr>
      </w:pPr>
      <w:bookmarkStart w:id="10" w:name="_Toc200617256"/>
      <w:r w:rsidRPr="004A2C53">
        <w:rPr>
          <w:rFonts w:ascii="Calibri" w:eastAsia="Calibri" w:hAnsi="Calibri" w:cs="Calibri"/>
        </w:rPr>
        <w:t>Evaluation Questions</w:t>
      </w:r>
      <w:bookmarkEnd w:id="10"/>
    </w:p>
    <w:p w14:paraId="0642EC17" w14:textId="1BB1C50D" w:rsidR="07F85B27" w:rsidRPr="006B0C6C" w:rsidRDefault="07F85B27" w:rsidP="7388A156">
      <w:pPr>
        <w:spacing w:after="0"/>
      </w:pPr>
      <w:r w:rsidRPr="006B0C6C">
        <w:rPr>
          <w:rFonts w:ascii="Calibri" w:eastAsia="Calibri" w:hAnsi="Calibri" w:cs="Calibri"/>
        </w:rPr>
        <w:t xml:space="preserve">The </w:t>
      </w:r>
      <w:r w:rsidR="00326484" w:rsidRPr="006B0C6C">
        <w:rPr>
          <w:rFonts w:ascii="Calibri" w:eastAsia="Calibri" w:hAnsi="Calibri" w:cs="Calibri"/>
        </w:rPr>
        <w:t xml:space="preserve">key </w:t>
      </w:r>
      <w:r w:rsidRPr="006B0C6C">
        <w:rPr>
          <w:rFonts w:ascii="Calibri" w:eastAsia="Calibri" w:hAnsi="Calibri" w:cs="Calibri"/>
        </w:rPr>
        <w:t xml:space="preserve">evaluation questions </w:t>
      </w:r>
      <w:r w:rsidR="00326484" w:rsidRPr="006B0C6C">
        <w:rPr>
          <w:rFonts w:ascii="Calibri" w:eastAsia="Calibri" w:hAnsi="Calibri" w:cs="Calibri"/>
        </w:rPr>
        <w:t>were</w:t>
      </w:r>
      <w:r w:rsidRPr="006B0C6C">
        <w:rPr>
          <w:rFonts w:ascii="Calibri" w:eastAsia="Calibri" w:hAnsi="Calibri" w:cs="Calibri"/>
        </w:rPr>
        <w:t>:</w:t>
      </w:r>
    </w:p>
    <w:p w14:paraId="07E34883" w14:textId="1D1687A0" w:rsidR="00326484" w:rsidRPr="006B0C6C" w:rsidRDefault="07F85B27" w:rsidP="00F62F1C">
      <w:pPr>
        <w:pStyle w:val="bullet"/>
      </w:pPr>
      <w:r w:rsidRPr="006B0C6C">
        <w:rPr>
          <w:b/>
          <w:bCs/>
        </w:rPr>
        <w:t>EQ1</w:t>
      </w:r>
      <w:r w:rsidRPr="006B0C6C">
        <w:t xml:space="preserve"> - How did VAHSI contribute to safe, effective and accessible COVID-19 vaccine supply; and promote COVID-19 and routine immuni</w:t>
      </w:r>
      <w:r w:rsidR="006A5D75" w:rsidRPr="006B0C6C">
        <w:t>z</w:t>
      </w:r>
      <w:r w:rsidRPr="006B0C6C">
        <w:t>ation coverage in line with partner country plans in the Indo-Pacific Region? (Effectiveness – EOPO1 and EOPO2)</w:t>
      </w:r>
    </w:p>
    <w:p w14:paraId="0F192125" w14:textId="77777777" w:rsidR="00326484" w:rsidRPr="006B0C6C" w:rsidRDefault="07F85B27" w:rsidP="00F62F1C">
      <w:pPr>
        <w:pStyle w:val="bullet"/>
      </w:pPr>
      <w:r w:rsidRPr="006B0C6C">
        <w:rPr>
          <w:b/>
          <w:bCs/>
          <w:szCs w:val="22"/>
        </w:rPr>
        <w:t>EQ2</w:t>
      </w:r>
      <w:r w:rsidRPr="006B0C6C">
        <w:rPr>
          <w:szCs w:val="22"/>
        </w:rPr>
        <w:t xml:space="preserve"> - How did Australia’s support contribute to stronger relationships between Australia and partner governments? Are there aspects of </w:t>
      </w:r>
      <w:proofErr w:type="gramStart"/>
      <w:r w:rsidRPr="006B0C6C">
        <w:rPr>
          <w:szCs w:val="22"/>
        </w:rPr>
        <w:t>the support</w:t>
      </w:r>
      <w:proofErr w:type="gramEnd"/>
      <w:r w:rsidRPr="006B0C6C">
        <w:rPr>
          <w:szCs w:val="22"/>
        </w:rPr>
        <w:t xml:space="preserve"> that have been more valued than others, and why? (Effectiveness – EOPO3)</w:t>
      </w:r>
    </w:p>
    <w:p w14:paraId="234B6A7E" w14:textId="77777777" w:rsidR="00326484" w:rsidRPr="006B0C6C" w:rsidRDefault="07F85B27" w:rsidP="00F62F1C">
      <w:pPr>
        <w:pStyle w:val="bullet"/>
      </w:pPr>
      <w:r w:rsidRPr="006B0C6C">
        <w:rPr>
          <w:b/>
          <w:bCs/>
          <w:szCs w:val="22"/>
        </w:rPr>
        <w:t>EQ3</w:t>
      </w:r>
      <w:r w:rsidRPr="006B0C6C">
        <w:rPr>
          <w:szCs w:val="22"/>
        </w:rPr>
        <w:t xml:space="preserve"> - How has VAHSI made efficient use of Australia and partners’ time, money and resources to achieve outputs and expected outcomes? Was the modality an appropriate mechanism to respond to regional and partner government needs? (Efficiency)</w:t>
      </w:r>
    </w:p>
    <w:p w14:paraId="14D927AC" w14:textId="77777777" w:rsidR="00326484" w:rsidRPr="006B0C6C" w:rsidRDefault="07F85B27" w:rsidP="00F62F1C">
      <w:pPr>
        <w:pStyle w:val="bullet"/>
      </w:pPr>
      <w:r w:rsidRPr="006B0C6C">
        <w:rPr>
          <w:b/>
          <w:bCs/>
          <w:szCs w:val="22"/>
        </w:rPr>
        <w:t>EQ4</w:t>
      </w:r>
      <w:r w:rsidRPr="006B0C6C">
        <w:rPr>
          <w:szCs w:val="22"/>
        </w:rPr>
        <w:t xml:space="preserve"> - To what extent was VAHSI effective in promoting and progressing gender equality and supporting disability equality and social inclusion processes and outcomes? </w:t>
      </w:r>
    </w:p>
    <w:p w14:paraId="7B614577" w14:textId="2F926528" w:rsidR="001A33CA" w:rsidRPr="005B4B08" w:rsidRDefault="07F85B27" w:rsidP="00F62F1C">
      <w:pPr>
        <w:pStyle w:val="bullet"/>
        <w:rPr>
          <w:szCs w:val="22"/>
        </w:rPr>
      </w:pPr>
      <w:r w:rsidRPr="006B0C6C">
        <w:rPr>
          <w:b/>
          <w:bCs/>
          <w:szCs w:val="22"/>
        </w:rPr>
        <w:t>EQ5</w:t>
      </w:r>
      <w:r w:rsidRPr="006B0C6C">
        <w:rPr>
          <w:szCs w:val="22"/>
        </w:rPr>
        <w:t xml:space="preserve"> - What lessons can be identified that could inform design and implementation of future large-scale regional health emergency response programs, including on GEDSI? (Lessons for future programs)</w:t>
      </w:r>
      <w:r w:rsidR="001A33CA">
        <w:rPr>
          <w:szCs w:val="22"/>
        </w:rPr>
        <w:t>.</w:t>
      </w:r>
    </w:p>
    <w:p w14:paraId="1DE06181" w14:textId="152AE691" w:rsidR="001F7ED7" w:rsidRPr="004A2C53" w:rsidRDefault="001F7ED7" w:rsidP="004A2C53">
      <w:pPr>
        <w:pStyle w:val="Heading2SHS"/>
        <w:ind w:left="142"/>
        <w:rPr>
          <w:rFonts w:ascii="Calibri" w:eastAsia="Calibri" w:hAnsi="Calibri" w:cs="Calibri"/>
        </w:rPr>
      </w:pPr>
      <w:bookmarkStart w:id="11" w:name="_Toc200617257"/>
      <w:r w:rsidRPr="004A2C53">
        <w:rPr>
          <w:rFonts w:ascii="Calibri" w:eastAsia="Calibri" w:hAnsi="Calibri" w:cs="Calibri"/>
        </w:rPr>
        <w:t>Data collection</w:t>
      </w:r>
      <w:bookmarkEnd w:id="11"/>
    </w:p>
    <w:p w14:paraId="1B1714F3" w14:textId="441A992E" w:rsidR="001F7ED7" w:rsidRPr="006B0C6C" w:rsidRDefault="001F7ED7" w:rsidP="0A544168">
      <w:pPr>
        <w:pStyle w:val="Heading3SHS"/>
        <w:jc w:val="both"/>
      </w:pPr>
      <w:bookmarkStart w:id="12" w:name="_Toc200617258"/>
      <w:r w:rsidRPr="006B0C6C">
        <w:t>Document review</w:t>
      </w:r>
      <w:bookmarkEnd w:id="12"/>
    </w:p>
    <w:p w14:paraId="77140E48" w14:textId="1EE31019" w:rsidR="0A544168" w:rsidRPr="006B0C6C" w:rsidRDefault="6DCCABDC" w:rsidP="0A544168">
      <w:pPr>
        <w:jc w:val="both"/>
        <w:rPr>
          <w:lang w:bidi="ar-SA"/>
        </w:rPr>
      </w:pPr>
      <w:r>
        <w:t xml:space="preserve">The evaluation team completed a </w:t>
      </w:r>
      <w:r w:rsidR="34CEAC53">
        <w:t>review of VAHSI program documents, including those relating to the design, implementation, reporting and</w:t>
      </w:r>
      <w:r>
        <w:t xml:space="preserve"> Monitoring, Evaluation and Learning</w:t>
      </w:r>
      <w:r w:rsidR="34CEAC53">
        <w:t xml:space="preserve"> </w:t>
      </w:r>
      <w:r>
        <w:t>(</w:t>
      </w:r>
      <w:r w:rsidR="34CEAC53">
        <w:t>MEL</w:t>
      </w:r>
      <w:r>
        <w:t>)</w:t>
      </w:r>
      <w:r w:rsidR="499074B8">
        <w:t xml:space="preserve"> of VAHSI</w:t>
      </w:r>
      <w:r>
        <w:t>.</w:t>
      </w:r>
      <w:r w:rsidR="41709DE4">
        <w:t xml:space="preserve"> </w:t>
      </w:r>
      <w:r w:rsidR="34CEAC53">
        <w:t xml:space="preserve">This included VAHSI investment design documentation, delivery support proposals and reports, country specific progress reports, and </w:t>
      </w:r>
      <w:r>
        <w:t>I</w:t>
      </w:r>
      <w:r w:rsidR="34CEAC53">
        <w:t xml:space="preserve">nvestment </w:t>
      </w:r>
      <w:r>
        <w:t>M</w:t>
      </w:r>
      <w:r w:rsidR="34CEAC53">
        <w:t xml:space="preserve">onitoring </w:t>
      </w:r>
      <w:r>
        <w:t>R</w:t>
      </w:r>
      <w:r w:rsidR="34CEAC53">
        <w:t>eports</w:t>
      </w:r>
      <w:r>
        <w:t xml:space="preserve"> (IMRs)</w:t>
      </w:r>
      <w:r w:rsidR="34CEAC53">
        <w:t xml:space="preserve">. </w:t>
      </w:r>
      <w:r>
        <w:t xml:space="preserve">The evaluation team also reviewed </w:t>
      </w:r>
      <w:r w:rsidR="34CEAC53">
        <w:t>report</w:t>
      </w:r>
      <w:r w:rsidR="41709DE4">
        <w:t>s</w:t>
      </w:r>
      <w:r w:rsidR="34CEAC53">
        <w:t xml:space="preserve"> and other documentation from </w:t>
      </w:r>
      <w:r w:rsidR="338D8F14">
        <w:t>delivery</w:t>
      </w:r>
      <w:r w:rsidR="34CEAC53">
        <w:t xml:space="preserve"> </w:t>
      </w:r>
      <w:r w:rsidR="006874E4">
        <w:t xml:space="preserve">support </w:t>
      </w:r>
      <w:r w:rsidR="34CEAC53">
        <w:t>partners</w:t>
      </w:r>
      <w:r>
        <w:t>. This provided</w:t>
      </w:r>
      <w:r w:rsidR="34CEAC53">
        <w:t xml:space="preserve"> additional data and </w:t>
      </w:r>
      <w:r>
        <w:t xml:space="preserve">enabled </w:t>
      </w:r>
      <w:r w:rsidR="34CEAC53">
        <w:t xml:space="preserve">additional analysis </w:t>
      </w:r>
      <w:r>
        <w:t xml:space="preserve">to contribute </w:t>
      </w:r>
      <w:r w:rsidR="34CEAC53">
        <w:t xml:space="preserve">to the assessment of the performance of VAHSI. </w:t>
      </w:r>
      <w:r w:rsidR="1817B91A" w:rsidRPr="4717B9FC">
        <w:rPr>
          <w:lang w:bidi="ar-SA"/>
        </w:rPr>
        <w:t>Th</w:t>
      </w:r>
      <w:r w:rsidR="0EC68638" w:rsidRPr="4717B9FC">
        <w:rPr>
          <w:lang w:bidi="ar-SA"/>
        </w:rPr>
        <w:t>e full</w:t>
      </w:r>
      <w:r w:rsidR="1817B91A" w:rsidRPr="4717B9FC">
        <w:rPr>
          <w:lang w:bidi="ar-SA"/>
        </w:rPr>
        <w:t xml:space="preserve"> list</w:t>
      </w:r>
      <w:r w:rsidR="0EC68638" w:rsidRPr="4717B9FC">
        <w:rPr>
          <w:lang w:bidi="ar-SA"/>
        </w:rPr>
        <w:t xml:space="preserve"> of documents reviewed is </w:t>
      </w:r>
      <w:r w:rsidRPr="4717B9FC">
        <w:rPr>
          <w:lang w:bidi="ar-SA"/>
        </w:rPr>
        <w:t xml:space="preserve">included at Annex 1. </w:t>
      </w:r>
    </w:p>
    <w:p w14:paraId="1DE2EA97" w14:textId="4A094CAA" w:rsidR="22511FBF" w:rsidRPr="006B0C6C" w:rsidRDefault="6E40AE12" w:rsidP="005B4B08">
      <w:pPr>
        <w:pStyle w:val="Heading3SHS"/>
        <w:jc w:val="both"/>
      </w:pPr>
      <w:bookmarkStart w:id="13" w:name="_Toc200617259"/>
      <w:r w:rsidRPr="006B0C6C">
        <w:t>Key informant interviews</w:t>
      </w:r>
      <w:bookmarkEnd w:id="13"/>
    </w:p>
    <w:p w14:paraId="4CE6D696" w14:textId="4BE56D00" w:rsidR="006D6460" w:rsidRPr="006B0C6C" w:rsidRDefault="2D363302" w:rsidP="0A544168">
      <w:pPr>
        <w:jc w:val="both"/>
      </w:pPr>
      <w:r>
        <w:t>Over 50</w:t>
      </w:r>
      <w:r w:rsidR="754E4514">
        <w:t xml:space="preserve"> KIIs </w:t>
      </w:r>
      <w:r w:rsidR="2E4332EC">
        <w:t>were</w:t>
      </w:r>
      <w:r w:rsidR="754E4514">
        <w:t xml:space="preserve"> conducted</w:t>
      </w:r>
      <w:r w:rsidR="69F64114">
        <w:t>.</w:t>
      </w:r>
      <w:r w:rsidR="79F40F81">
        <w:t xml:space="preserve"> </w:t>
      </w:r>
      <w:r w:rsidR="1BB4D557">
        <w:t xml:space="preserve">Key informants </w:t>
      </w:r>
      <w:r w:rsidR="79F40F81">
        <w:t>includ</w:t>
      </w:r>
      <w:r w:rsidR="7A408C28">
        <w:t>ed</w:t>
      </w:r>
      <w:r w:rsidR="05E7DA3D">
        <w:t xml:space="preserve"> </w:t>
      </w:r>
      <w:r w:rsidR="79F40F81">
        <w:t>DFAT offic</w:t>
      </w:r>
      <w:r w:rsidR="2E4332EC">
        <w:t>ers</w:t>
      </w:r>
      <w:r w:rsidR="79F40F81">
        <w:t xml:space="preserve"> based</w:t>
      </w:r>
      <w:r w:rsidR="293685EE">
        <w:t xml:space="preserve"> in Canberra</w:t>
      </w:r>
      <w:r w:rsidR="010E5990">
        <w:t xml:space="preserve"> during </w:t>
      </w:r>
      <w:r w:rsidR="0EB63CF8">
        <w:t xml:space="preserve">the </w:t>
      </w:r>
      <w:r w:rsidR="708AE4A9">
        <w:t>design and implementation phases</w:t>
      </w:r>
      <w:r w:rsidR="0EB63CF8">
        <w:t xml:space="preserve"> of </w:t>
      </w:r>
      <w:r w:rsidR="010E5990">
        <w:t>VAHSI,</w:t>
      </w:r>
      <w:r w:rsidR="293685EE">
        <w:t xml:space="preserve"> </w:t>
      </w:r>
      <w:r w:rsidR="275CFAC5">
        <w:t>and</w:t>
      </w:r>
      <w:r w:rsidR="293685EE">
        <w:t xml:space="preserve"> </w:t>
      </w:r>
      <w:r w:rsidR="0C3A0896">
        <w:t xml:space="preserve">DFAT officers who were </w:t>
      </w:r>
      <w:r w:rsidR="293685EE">
        <w:t xml:space="preserve">at </w:t>
      </w:r>
      <w:r w:rsidR="2E4332EC">
        <w:t>P</w:t>
      </w:r>
      <w:r w:rsidR="293685EE">
        <w:t xml:space="preserve">ost </w:t>
      </w:r>
      <w:r w:rsidR="3F3CAAD6">
        <w:t>during all stages of</w:t>
      </w:r>
      <w:r w:rsidR="2DA90DBE">
        <w:t xml:space="preserve"> </w:t>
      </w:r>
      <w:r w:rsidR="526440B1">
        <w:t xml:space="preserve">its </w:t>
      </w:r>
      <w:r w:rsidR="2DA90DBE">
        <w:t>implementation</w:t>
      </w:r>
      <w:r w:rsidR="293685EE">
        <w:t>,</w:t>
      </w:r>
      <w:r w:rsidR="78153F7C">
        <w:t xml:space="preserve"> including </w:t>
      </w:r>
      <w:r w:rsidR="0A74C7C6">
        <w:t>the</w:t>
      </w:r>
      <w:r w:rsidR="78153F7C">
        <w:t xml:space="preserve"> early stages</w:t>
      </w:r>
      <w:r w:rsidR="7C9E2B83">
        <w:t xml:space="preserve"> when strategic challenges were at their greatest</w:t>
      </w:r>
      <w:r w:rsidR="78153F7C">
        <w:t>.</w:t>
      </w:r>
      <w:r w:rsidR="293685EE">
        <w:t xml:space="preserve"> </w:t>
      </w:r>
      <w:r w:rsidR="4E0848C2">
        <w:t>KIIs were also conducted</w:t>
      </w:r>
      <w:r w:rsidR="2E1782FD">
        <w:t xml:space="preserve"> with </w:t>
      </w:r>
      <w:r w:rsidR="293685EE">
        <w:t xml:space="preserve">partner </w:t>
      </w:r>
      <w:r w:rsidR="00213DFE">
        <w:t>g</w:t>
      </w:r>
      <w:r w:rsidR="293685EE">
        <w:t xml:space="preserve">overnment </w:t>
      </w:r>
      <w:r w:rsidR="2E4332EC">
        <w:t xml:space="preserve">representatives </w:t>
      </w:r>
      <w:r w:rsidR="0E5E6F84">
        <w:t xml:space="preserve">(mainly by questionnaire) </w:t>
      </w:r>
      <w:r w:rsidR="24308A72">
        <w:t xml:space="preserve">and </w:t>
      </w:r>
      <w:r w:rsidR="7844A08E">
        <w:t>delivery</w:t>
      </w:r>
      <w:r w:rsidR="24308A72">
        <w:t xml:space="preserve"> </w:t>
      </w:r>
      <w:r w:rsidR="00AF535B">
        <w:t xml:space="preserve">support </w:t>
      </w:r>
      <w:r w:rsidR="0E4D6413">
        <w:t>partners.</w:t>
      </w:r>
      <w:r w:rsidR="754E4514">
        <w:t xml:space="preserve"> </w:t>
      </w:r>
      <w:r w:rsidR="059A86DC">
        <w:t xml:space="preserve">For the </w:t>
      </w:r>
      <w:r w:rsidR="70FEF15A">
        <w:t xml:space="preserve">four case study </w:t>
      </w:r>
      <w:r w:rsidR="059A86DC">
        <w:t>countries</w:t>
      </w:r>
      <w:r w:rsidR="556B40D0">
        <w:t xml:space="preserve"> – Indonesia, Timor-Leste, Vanuatu and Vietnam </w:t>
      </w:r>
      <w:r w:rsidR="00FF5530">
        <w:t xml:space="preserve">– </w:t>
      </w:r>
      <w:r w:rsidR="4A817511">
        <w:t xml:space="preserve">the team interviewed </w:t>
      </w:r>
      <w:r w:rsidR="00A60467">
        <w:t>Australian</w:t>
      </w:r>
      <w:r w:rsidR="00A66727">
        <w:t xml:space="preserve"> </w:t>
      </w:r>
      <w:r w:rsidR="4A817511">
        <w:t xml:space="preserve">DFAT </w:t>
      </w:r>
      <w:r w:rsidR="2E4332EC">
        <w:t>officers</w:t>
      </w:r>
      <w:r w:rsidR="00A66727">
        <w:t xml:space="preserve"> </w:t>
      </w:r>
      <w:r w:rsidR="0018424A">
        <w:t>who were at</w:t>
      </w:r>
      <w:r w:rsidR="71DFA2C6">
        <w:t xml:space="preserve"> </w:t>
      </w:r>
      <w:r w:rsidR="00A66727">
        <w:t xml:space="preserve">post </w:t>
      </w:r>
      <w:r w:rsidR="0018424A">
        <w:t xml:space="preserve">in </w:t>
      </w:r>
      <w:r w:rsidR="00A66727">
        <w:t>these four countries during the response</w:t>
      </w:r>
      <w:r w:rsidR="4A817511">
        <w:t xml:space="preserve">, </w:t>
      </w:r>
      <w:r w:rsidR="03996224">
        <w:t>locally</w:t>
      </w:r>
      <w:r w:rsidR="00BA653C">
        <w:t>-</w:t>
      </w:r>
      <w:r w:rsidR="03996224">
        <w:t xml:space="preserve">engaged </w:t>
      </w:r>
      <w:r w:rsidR="0018424A">
        <w:t>DFAT officers</w:t>
      </w:r>
      <w:r w:rsidR="03996224">
        <w:t xml:space="preserve">, </w:t>
      </w:r>
      <w:r w:rsidR="7844A08E">
        <w:t>delivery</w:t>
      </w:r>
      <w:r w:rsidR="03996224">
        <w:t xml:space="preserve"> </w:t>
      </w:r>
      <w:r w:rsidR="00AF535B">
        <w:t xml:space="preserve">support </w:t>
      </w:r>
      <w:r w:rsidR="03996224">
        <w:t>partner</w:t>
      </w:r>
      <w:r w:rsidR="2E4332EC">
        <w:t>s</w:t>
      </w:r>
      <w:r w:rsidR="03996224">
        <w:t xml:space="preserve"> </w:t>
      </w:r>
      <w:r w:rsidR="46E34509">
        <w:t xml:space="preserve">and </w:t>
      </w:r>
      <w:r w:rsidR="4A817511">
        <w:t xml:space="preserve">partner </w:t>
      </w:r>
      <w:r w:rsidR="00213DFE">
        <w:t>g</w:t>
      </w:r>
      <w:r w:rsidR="4A817511">
        <w:t>overnment officials (where feasible)</w:t>
      </w:r>
      <w:r w:rsidR="46E34509">
        <w:t xml:space="preserve">. The </w:t>
      </w:r>
      <w:r w:rsidR="587CCF96">
        <w:t xml:space="preserve">evaluation </w:t>
      </w:r>
      <w:r w:rsidR="46E34509">
        <w:t>team also interviewed Australian technical agencies that provided technical assistance</w:t>
      </w:r>
      <w:r w:rsidR="2E4332EC">
        <w:t xml:space="preserve"> to various countries during</w:t>
      </w:r>
      <w:r w:rsidR="46E34509">
        <w:t xml:space="preserve"> </w:t>
      </w:r>
      <w:r w:rsidR="2E4332EC">
        <w:t>implementation of the</w:t>
      </w:r>
      <w:r w:rsidR="48753CF9">
        <w:t xml:space="preserve"> </w:t>
      </w:r>
      <w:r w:rsidR="46E34509">
        <w:t xml:space="preserve">VAHSI </w:t>
      </w:r>
      <w:r w:rsidR="2E4332EC">
        <w:t>initiative</w:t>
      </w:r>
      <w:r w:rsidR="15A423C0">
        <w:t>.</w:t>
      </w:r>
      <w:r w:rsidR="74E1FB3C">
        <w:t xml:space="preserve"> The </w:t>
      </w:r>
      <w:r w:rsidR="587CCF96">
        <w:t xml:space="preserve">evaluation </w:t>
      </w:r>
      <w:r w:rsidR="74E1FB3C">
        <w:t xml:space="preserve">team conducted </w:t>
      </w:r>
      <w:r w:rsidR="00320849">
        <w:t xml:space="preserve">additional </w:t>
      </w:r>
      <w:r w:rsidR="74E1FB3C">
        <w:t xml:space="preserve">interviews with DFAT </w:t>
      </w:r>
      <w:r w:rsidR="2E4332EC">
        <w:t xml:space="preserve">officers </w:t>
      </w:r>
      <w:r w:rsidR="74E1FB3C">
        <w:t xml:space="preserve">who had been based in a further four </w:t>
      </w:r>
      <w:r w:rsidR="309CF199">
        <w:t>non-case study VAHSI</w:t>
      </w:r>
      <w:r w:rsidR="4AC92B38">
        <w:t>-supported</w:t>
      </w:r>
      <w:r w:rsidR="309CF199">
        <w:t xml:space="preserve"> </w:t>
      </w:r>
      <w:r w:rsidR="74E1FB3C">
        <w:t>countries</w:t>
      </w:r>
      <w:r w:rsidR="00B3766B">
        <w:t xml:space="preserve"> –</w:t>
      </w:r>
      <w:r w:rsidR="00F60F8C">
        <w:t xml:space="preserve"> Cambodia,</w:t>
      </w:r>
      <w:r w:rsidR="005D0E91">
        <w:t xml:space="preserve"> Fiji,</w:t>
      </w:r>
      <w:r w:rsidR="00F60F8C">
        <w:t xml:space="preserve"> Papua New Guinea, </w:t>
      </w:r>
      <w:r w:rsidR="005D0E91">
        <w:t xml:space="preserve">and </w:t>
      </w:r>
      <w:r w:rsidR="00176FBD">
        <w:t>Solomon Islands</w:t>
      </w:r>
      <w:r w:rsidR="74E1FB3C">
        <w:t>.</w:t>
      </w:r>
    </w:p>
    <w:p w14:paraId="32DB56CD" w14:textId="1C99DDCC" w:rsidR="2F5102AD" w:rsidRPr="006B0C6C" w:rsidRDefault="0C8B51AD" w:rsidP="0A544168">
      <w:pPr>
        <w:jc w:val="both"/>
      </w:pPr>
      <w:r>
        <w:t>From the i</w:t>
      </w:r>
      <w:r w:rsidR="639DA34A">
        <w:t xml:space="preserve">nitial selection </w:t>
      </w:r>
      <w:r w:rsidR="5AACD1E2">
        <w:t xml:space="preserve">of interviewees, </w:t>
      </w:r>
      <w:r w:rsidR="28409001">
        <w:t xml:space="preserve">based on </w:t>
      </w:r>
      <w:r w:rsidR="7242E841">
        <w:t>a</w:t>
      </w:r>
      <w:r w:rsidR="28409001">
        <w:t xml:space="preserve"> </w:t>
      </w:r>
      <w:r w:rsidR="1E33BF61">
        <w:t>suggest</w:t>
      </w:r>
      <w:r w:rsidR="28409001">
        <w:t>ed list</w:t>
      </w:r>
      <w:r w:rsidR="721FDC65">
        <w:t xml:space="preserve"> provided by DFAT</w:t>
      </w:r>
      <w:r w:rsidR="28409001">
        <w:t>,</w:t>
      </w:r>
      <w:r w:rsidR="3D0FFD7B">
        <w:t xml:space="preserve"> </w:t>
      </w:r>
      <w:r w:rsidR="5AACD1E2">
        <w:t xml:space="preserve">additional </w:t>
      </w:r>
      <w:r w:rsidR="163D6DE3">
        <w:t>key informants were identified</w:t>
      </w:r>
      <w:r w:rsidR="6DCCABDC">
        <w:t>,</w:t>
      </w:r>
      <w:r w:rsidR="163D6DE3">
        <w:t xml:space="preserve"> often by the initial key informants. This</w:t>
      </w:r>
      <w:r w:rsidR="639DA34A">
        <w:t xml:space="preserve"> </w:t>
      </w:r>
      <w:r w:rsidR="538CDD87">
        <w:t>‘</w:t>
      </w:r>
      <w:r w:rsidR="639DA34A">
        <w:t>snowballing</w:t>
      </w:r>
      <w:r w:rsidR="538CDD87">
        <w:t>’</w:t>
      </w:r>
      <w:r w:rsidR="639DA34A">
        <w:t xml:space="preserve"> </w:t>
      </w:r>
      <w:r w:rsidR="7A5A1CF2">
        <w:t xml:space="preserve">led to the </w:t>
      </w:r>
      <w:r w:rsidR="49A102CB">
        <w:t xml:space="preserve">evaluation </w:t>
      </w:r>
      <w:r w:rsidR="7A5A1CF2">
        <w:t>team conducting</w:t>
      </w:r>
      <w:r w:rsidR="3D0FFD7B">
        <w:t xml:space="preserve"> further interviews beyond the initial scope.</w:t>
      </w:r>
      <w:r w:rsidR="639DA34A">
        <w:t xml:space="preserve"> </w:t>
      </w:r>
      <w:r w:rsidR="2333C6F3">
        <w:t>A full list of interview</w:t>
      </w:r>
      <w:r w:rsidR="3D0FFD7B">
        <w:t>ee</w:t>
      </w:r>
      <w:r w:rsidR="2333C6F3">
        <w:t xml:space="preserve">s is </w:t>
      </w:r>
      <w:r w:rsidR="6DCCABDC">
        <w:t xml:space="preserve">included at Annex 2. </w:t>
      </w:r>
    </w:p>
    <w:p w14:paraId="7BE6702A" w14:textId="2B4C5254" w:rsidR="1E1FFBB8" w:rsidRPr="006B0C6C" w:rsidRDefault="3814D846" w:rsidP="00752674">
      <w:pPr>
        <w:jc w:val="both"/>
      </w:pPr>
      <w:r>
        <w:t>KIIs we</w:t>
      </w:r>
      <w:r w:rsidR="55AE51C7">
        <w:t>r</w:t>
      </w:r>
      <w:r>
        <w:t xml:space="preserve">e conducted solely by </w:t>
      </w:r>
      <w:r w:rsidR="3EAC6DC0">
        <w:t>t</w:t>
      </w:r>
      <w:r w:rsidR="0C8B51AD">
        <w:t xml:space="preserve">he </w:t>
      </w:r>
      <w:r w:rsidR="3C5C47DB">
        <w:t xml:space="preserve">evaluation </w:t>
      </w:r>
      <w:r w:rsidR="0C8B51AD">
        <w:t>team</w:t>
      </w:r>
      <w:r w:rsidR="2335D085">
        <w:t>. For each KII, the interviewing</w:t>
      </w:r>
      <w:r w:rsidR="0C8B51AD">
        <w:t xml:space="preserve"> member, or members, </w:t>
      </w:r>
      <w:r w:rsidR="55FF76FB">
        <w:t xml:space="preserve">of the evaluation team </w:t>
      </w:r>
      <w:r w:rsidR="3C5C47DB">
        <w:t xml:space="preserve">filed </w:t>
      </w:r>
      <w:r w:rsidR="09CAA19F">
        <w:t xml:space="preserve">a record of </w:t>
      </w:r>
      <w:r w:rsidR="29AE9E5F">
        <w:t>the</w:t>
      </w:r>
      <w:r w:rsidR="09CAA19F">
        <w:t xml:space="preserve"> </w:t>
      </w:r>
      <w:r w:rsidR="3C5C47DB">
        <w:t>KII</w:t>
      </w:r>
      <w:r w:rsidR="5AACD1E2">
        <w:t xml:space="preserve"> in a shared internal team </w:t>
      </w:r>
      <w:r w:rsidR="38BA35D8">
        <w:t>SharePoint</w:t>
      </w:r>
      <w:r w:rsidR="5AACD1E2">
        <w:t xml:space="preserve"> folder. The </w:t>
      </w:r>
      <w:r w:rsidR="2B8E532D">
        <w:t>KII</w:t>
      </w:r>
      <w:r w:rsidR="5AACD1E2">
        <w:t xml:space="preserve">s were not recorded. </w:t>
      </w:r>
      <w:r w:rsidR="00F62F1C">
        <w:t xml:space="preserve">Only </w:t>
      </w:r>
      <w:r w:rsidR="59A5368E">
        <w:t xml:space="preserve">members of the </w:t>
      </w:r>
      <w:r w:rsidR="7D67A5CF">
        <w:t xml:space="preserve">evaluation team attended KIIs. </w:t>
      </w:r>
      <w:r w:rsidR="5AACD1E2">
        <w:t xml:space="preserve">The interview </w:t>
      </w:r>
      <w:r w:rsidR="3C5C47DB">
        <w:t xml:space="preserve">documentation has </w:t>
      </w:r>
      <w:r w:rsidR="5AACD1E2">
        <w:t xml:space="preserve">not been made available to anyone beyond the </w:t>
      </w:r>
      <w:r w:rsidR="148440F1">
        <w:t xml:space="preserve">evaluation </w:t>
      </w:r>
      <w:r w:rsidR="5AACD1E2">
        <w:t>team.</w:t>
      </w:r>
      <w:r w:rsidR="60529A61">
        <w:t xml:space="preserve">  </w:t>
      </w:r>
    </w:p>
    <w:p w14:paraId="6E13B40D" w14:textId="1F87DC46" w:rsidR="666D159C" w:rsidRPr="006B0C6C" w:rsidRDefault="666D159C" w:rsidP="7D4F1B9F">
      <w:pPr>
        <w:pStyle w:val="Heading3SHS"/>
      </w:pPr>
      <w:bookmarkStart w:id="14" w:name="_Toc200617260"/>
      <w:r w:rsidRPr="006B0C6C">
        <w:t>Data Analysis</w:t>
      </w:r>
      <w:bookmarkEnd w:id="14"/>
      <w:r w:rsidRPr="006B0C6C">
        <w:t xml:space="preserve"> </w:t>
      </w:r>
    </w:p>
    <w:p w14:paraId="723264A0" w14:textId="743168BD" w:rsidR="1E1FFBB8" w:rsidRPr="006B0C6C" w:rsidRDefault="7AA60E4A" w:rsidP="0168391D">
      <w:pPr>
        <w:jc w:val="both"/>
      </w:pPr>
      <w:r>
        <w:t xml:space="preserve">The evaluation team </w:t>
      </w:r>
      <w:r w:rsidR="59DA5F5C">
        <w:t xml:space="preserve">developed rubrics and </w:t>
      </w:r>
      <w:r w:rsidR="6F8B7DDA">
        <w:t xml:space="preserve">undertook </w:t>
      </w:r>
      <w:r w:rsidR="59DA5F5C">
        <w:t>thematic analysis to guide document review</w:t>
      </w:r>
      <w:r w:rsidR="13FD0FD7">
        <w:t xml:space="preserve">. </w:t>
      </w:r>
      <w:r w:rsidR="5BDC90B0">
        <w:t>KII notes were reviewed by all team members to ensure</w:t>
      </w:r>
      <w:r w:rsidR="62D6FD4F" w:rsidRPr="4A351EF4">
        <w:rPr>
          <w:rFonts w:ascii="Calibri" w:eastAsia="Calibri" w:hAnsi="Calibri" w:cs="Calibri"/>
          <w:szCs w:val="22"/>
        </w:rPr>
        <w:t xml:space="preserve"> agreement of interpretation</w:t>
      </w:r>
      <w:r w:rsidR="5BDC90B0">
        <w:t xml:space="preserve">. </w:t>
      </w:r>
    </w:p>
    <w:p w14:paraId="6E96CD5A" w14:textId="59531EE3" w:rsidR="1E1FFBB8" w:rsidRPr="006B0C6C" w:rsidRDefault="3C5D924C" w:rsidP="2E1252C7">
      <w:pPr>
        <w:jc w:val="both"/>
        <w:rPr>
          <w:rFonts w:ascii="Calibri" w:eastAsia="Calibri" w:hAnsi="Calibri" w:cs="Calibri"/>
        </w:rPr>
      </w:pPr>
      <w:r w:rsidRPr="006B0C6C">
        <w:rPr>
          <w:rFonts w:ascii="Calibri" w:eastAsia="Calibri" w:hAnsi="Calibri" w:cs="Calibri"/>
        </w:rPr>
        <w:t xml:space="preserve">Initial findings and recommendations were </w:t>
      </w:r>
      <w:r w:rsidR="00B40C3D">
        <w:rPr>
          <w:rFonts w:ascii="Calibri" w:eastAsia="Calibri" w:hAnsi="Calibri" w:cs="Calibri"/>
        </w:rPr>
        <w:t>identified</w:t>
      </w:r>
      <w:r w:rsidR="00B40C3D" w:rsidRPr="006B0C6C">
        <w:rPr>
          <w:rFonts w:ascii="Calibri" w:eastAsia="Calibri" w:hAnsi="Calibri" w:cs="Calibri"/>
        </w:rPr>
        <w:t xml:space="preserve"> </w:t>
      </w:r>
      <w:r w:rsidRPr="006B0C6C">
        <w:rPr>
          <w:rFonts w:ascii="Calibri" w:eastAsia="Calibri" w:hAnsi="Calibri" w:cs="Calibri"/>
        </w:rPr>
        <w:t xml:space="preserve">by the evaluation </w:t>
      </w:r>
      <w:r w:rsidR="3BD950FC" w:rsidRPr="006B0C6C">
        <w:rPr>
          <w:rFonts w:ascii="Calibri" w:eastAsia="Calibri" w:hAnsi="Calibri" w:cs="Calibri"/>
        </w:rPr>
        <w:t>team and</w:t>
      </w:r>
      <w:r w:rsidRPr="006B0C6C">
        <w:rPr>
          <w:rFonts w:ascii="Calibri" w:eastAsia="Calibri" w:hAnsi="Calibri" w:cs="Calibri"/>
        </w:rPr>
        <w:t xml:space="preserve"> presented to DFAT Canberra in an interactive session. The reflections and responses from this</w:t>
      </w:r>
      <w:r w:rsidR="006A6FCC" w:rsidRPr="006B0C6C">
        <w:rPr>
          <w:rFonts w:ascii="Calibri" w:eastAsia="Calibri" w:hAnsi="Calibri" w:cs="Calibri"/>
        </w:rPr>
        <w:t xml:space="preserve"> presentation</w:t>
      </w:r>
      <w:r w:rsidRPr="006B0C6C">
        <w:rPr>
          <w:rFonts w:ascii="Calibri" w:eastAsia="Calibri" w:hAnsi="Calibri" w:cs="Calibri"/>
        </w:rPr>
        <w:t xml:space="preserve"> were captured and included </w:t>
      </w:r>
      <w:r w:rsidR="05159610" w:rsidRPr="006B0C6C">
        <w:rPr>
          <w:rFonts w:ascii="Calibri" w:eastAsia="Calibri" w:hAnsi="Calibri" w:cs="Calibri"/>
        </w:rPr>
        <w:t>in this report</w:t>
      </w:r>
      <w:r w:rsidRPr="006B0C6C">
        <w:rPr>
          <w:rFonts w:ascii="Calibri" w:eastAsia="Calibri" w:hAnsi="Calibri" w:cs="Calibri"/>
        </w:rPr>
        <w:t>.</w:t>
      </w:r>
    </w:p>
    <w:p w14:paraId="35BE409D" w14:textId="7541E3F2" w:rsidR="214FDC17" w:rsidRPr="006B0C6C" w:rsidRDefault="0327E8BF" w:rsidP="006A6FCC">
      <w:pPr>
        <w:jc w:val="both"/>
      </w:pPr>
      <w:r w:rsidRPr="006B0C6C">
        <w:t xml:space="preserve">Further detail of methodology is </w:t>
      </w:r>
      <w:r w:rsidR="63A992E1" w:rsidRPr="006B0C6C">
        <w:t xml:space="preserve">outlined </w:t>
      </w:r>
      <w:r w:rsidRPr="006B0C6C">
        <w:t xml:space="preserve">in the Evaluation Plan (Annex </w:t>
      </w:r>
      <w:r w:rsidR="71119352" w:rsidRPr="006B0C6C">
        <w:t>3</w:t>
      </w:r>
      <w:r w:rsidRPr="006B0C6C">
        <w:t>)</w:t>
      </w:r>
      <w:r w:rsidR="25753C49" w:rsidRPr="006B0C6C">
        <w:t>.</w:t>
      </w:r>
    </w:p>
    <w:p w14:paraId="773A17C7" w14:textId="78A4D266" w:rsidR="001F7ED7" w:rsidRPr="006B0C6C" w:rsidRDefault="4D8DA8ED" w:rsidP="7D4F1B9F">
      <w:pPr>
        <w:pStyle w:val="Heading1SHS"/>
      </w:pPr>
      <w:bookmarkStart w:id="15" w:name="_Toc200617261"/>
      <w:r w:rsidRPr="006B0C6C">
        <w:t>Limitations and constraints</w:t>
      </w:r>
      <w:bookmarkEnd w:id="15"/>
    </w:p>
    <w:p w14:paraId="04DE460C" w14:textId="60228607" w:rsidR="6418639A" w:rsidRPr="006B0C6C" w:rsidRDefault="7A0CECCC" w:rsidP="0168391D">
      <w:pPr>
        <w:jc w:val="both"/>
        <w:rPr>
          <w:rFonts w:ascii="Calibri" w:eastAsia="Calibri" w:hAnsi="Calibri" w:cs="Calibri"/>
        </w:rPr>
      </w:pPr>
      <w:r w:rsidRPr="4A351EF4">
        <w:rPr>
          <w:rFonts w:ascii="Calibri" w:eastAsia="Calibri" w:hAnsi="Calibri" w:cs="Calibri"/>
          <w:b/>
          <w:bCs/>
          <w:u w:val="single"/>
        </w:rPr>
        <w:t xml:space="preserve">Based on a </w:t>
      </w:r>
      <w:r w:rsidR="5E91EF9A" w:rsidRPr="4A351EF4">
        <w:rPr>
          <w:rFonts w:ascii="Calibri" w:eastAsia="Calibri" w:hAnsi="Calibri" w:cs="Calibri"/>
          <w:b/>
          <w:bCs/>
          <w:szCs w:val="22"/>
          <w:u w:val="single"/>
        </w:rPr>
        <w:t xml:space="preserve">purposively selected </w:t>
      </w:r>
      <w:r w:rsidR="1B471A07" w:rsidRPr="4A351EF4">
        <w:rPr>
          <w:rFonts w:ascii="Calibri" w:eastAsia="Calibri" w:hAnsi="Calibri" w:cs="Calibri"/>
          <w:b/>
          <w:bCs/>
          <w:u w:val="single"/>
        </w:rPr>
        <w:t>s</w:t>
      </w:r>
      <w:r w:rsidRPr="4A351EF4">
        <w:rPr>
          <w:rFonts w:ascii="Calibri" w:eastAsia="Calibri" w:hAnsi="Calibri" w:cs="Calibri"/>
          <w:b/>
          <w:bCs/>
          <w:u w:val="single"/>
        </w:rPr>
        <w:t>ample</w:t>
      </w:r>
      <w:r w:rsidRPr="4A351EF4">
        <w:rPr>
          <w:rFonts w:ascii="Calibri" w:eastAsia="Calibri" w:hAnsi="Calibri" w:cs="Calibri"/>
        </w:rPr>
        <w:t>:</w:t>
      </w:r>
      <w:r w:rsidR="232555CC" w:rsidRPr="4A351EF4">
        <w:rPr>
          <w:rFonts w:ascii="Calibri" w:eastAsia="Calibri" w:hAnsi="Calibri" w:cs="Calibri"/>
        </w:rPr>
        <w:t xml:space="preserve"> </w:t>
      </w:r>
      <w:r w:rsidR="2E466731" w:rsidRPr="4A351EF4">
        <w:rPr>
          <w:rFonts w:ascii="Calibri" w:eastAsia="Calibri" w:hAnsi="Calibri" w:cs="Calibri"/>
          <w:szCs w:val="22"/>
        </w:rPr>
        <w:t>COVID-19 vaccine supply to partner countries was assessed for all VAHSI countries</w:t>
      </w:r>
      <w:r w:rsidR="4F4158F5" w:rsidRPr="4A351EF4">
        <w:rPr>
          <w:rFonts w:ascii="Calibri" w:eastAsia="Calibri" w:hAnsi="Calibri" w:cs="Calibri"/>
          <w:szCs w:val="22"/>
        </w:rPr>
        <w:t>, as was the effect of VAHSI on Australia’s relationships with partner</w:t>
      </w:r>
      <w:r w:rsidR="18D59B11" w:rsidRPr="4A351EF4">
        <w:rPr>
          <w:rFonts w:ascii="Calibri" w:eastAsia="Calibri" w:hAnsi="Calibri" w:cs="Calibri"/>
          <w:szCs w:val="22"/>
        </w:rPr>
        <w:t xml:space="preserve"> </w:t>
      </w:r>
      <w:r w:rsidR="002F049F">
        <w:rPr>
          <w:rFonts w:ascii="Calibri" w:eastAsia="Calibri" w:hAnsi="Calibri" w:cs="Calibri"/>
          <w:szCs w:val="22"/>
        </w:rPr>
        <w:t>g</w:t>
      </w:r>
      <w:r w:rsidR="18D59B11" w:rsidRPr="4A351EF4">
        <w:rPr>
          <w:rFonts w:ascii="Calibri" w:eastAsia="Calibri" w:hAnsi="Calibri" w:cs="Calibri"/>
          <w:szCs w:val="22"/>
        </w:rPr>
        <w:t>overnments</w:t>
      </w:r>
      <w:r w:rsidR="2E466731" w:rsidRPr="4A351EF4">
        <w:rPr>
          <w:rFonts w:ascii="Calibri" w:eastAsia="Calibri" w:hAnsi="Calibri" w:cs="Calibri"/>
          <w:szCs w:val="22"/>
        </w:rPr>
        <w:t xml:space="preserve">. </w:t>
      </w:r>
      <w:r w:rsidR="499C6615" w:rsidRPr="4A351EF4">
        <w:rPr>
          <w:rFonts w:ascii="Calibri" w:eastAsia="Calibri" w:hAnsi="Calibri" w:cs="Calibri"/>
          <w:szCs w:val="22"/>
        </w:rPr>
        <w:t>M</w:t>
      </w:r>
      <w:r w:rsidR="2E466731" w:rsidRPr="4A351EF4">
        <w:rPr>
          <w:rFonts w:ascii="Calibri" w:eastAsia="Calibri" w:hAnsi="Calibri" w:cs="Calibri"/>
          <w:szCs w:val="22"/>
        </w:rPr>
        <w:t>ost other e</w:t>
      </w:r>
      <w:r w:rsidR="03CDC6C0" w:rsidRPr="4A351EF4">
        <w:rPr>
          <w:rFonts w:ascii="Calibri" w:eastAsia="Calibri" w:hAnsi="Calibri" w:cs="Calibri"/>
          <w:szCs w:val="22"/>
        </w:rPr>
        <w:t xml:space="preserve">valuation </w:t>
      </w:r>
      <w:r w:rsidR="76ECD961" w:rsidRPr="4A351EF4">
        <w:rPr>
          <w:rFonts w:ascii="Calibri" w:eastAsia="Calibri" w:hAnsi="Calibri" w:cs="Calibri"/>
          <w:szCs w:val="22"/>
        </w:rPr>
        <w:t>assessments were carried out</w:t>
      </w:r>
      <w:r w:rsidR="03CDC6C0" w:rsidRPr="4A351EF4">
        <w:rPr>
          <w:rFonts w:ascii="Calibri" w:eastAsia="Calibri" w:hAnsi="Calibri" w:cs="Calibri"/>
          <w:szCs w:val="22"/>
        </w:rPr>
        <w:t xml:space="preserve"> on </w:t>
      </w:r>
      <w:r w:rsidR="4190E78E" w:rsidRPr="4A351EF4">
        <w:rPr>
          <w:rFonts w:ascii="Calibri" w:eastAsia="Calibri" w:hAnsi="Calibri" w:cs="Calibri"/>
          <w:szCs w:val="22"/>
        </w:rPr>
        <w:t>the four</w:t>
      </w:r>
      <w:r w:rsidR="03CDC6C0" w:rsidRPr="4A351EF4">
        <w:rPr>
          <w:rFonts w:ascii="Calibri" w:eastAsia="Calibri" w:hAnsi="Calibri" w:cs="Calibri"/>
          <w:szCs w:val="22"/>
        </w:rPr>
        <w:t xml:space="preserve"> case study countries</w:t>
      </w:r>
      <w:r w:rsidR="1040C5EC" w:rsidRPr="4A351EF4">
        <w:rPr>
          <w:rFonts w:ascii="Calibri" w:eastAsia="Calibri" w:hAnsi="Calibri" w:cs="Calibri"/>
          <w:szCs w:val="22"/>
        </w:rPr>
        <w:t xml:space="preserve"> selected for in-depth review</w:t>
      </w:r>
      <w:r w:rsidR="03CDC6C0" w:rsidRPr="4A351EF4">
        <w:rPr>
          <w:rFonts w:ascii="Calibri" w:eastAsia="Calibri" w:hAnsi="Calibri" w:cs="Calibri"/>
          <w:szCs w:val="22"/>
        </w:rPr>
        <w:t xml:space="preserve">. GEDSI was assessed in three of the four sample countries (not Vietnam). </w:t>
      </w:r>
      <w:r w:rsidR="05846B94" w:rsidRPr="4A351EF4">
        <w:rPr>
          <w:rFonts w:ascii="Calibri" w:eastAsia="Calibri" w:hAnsi="Calibri" w:cs="Calibri"/>
          <w:szCs w:val="22"/>
        </w:rPr>
        <w:t>E</w:t>
      </w:r>
      <w:r w:rsidR="03CDC6C0" w:rsidRPr="4A351EF4">
        <w:rPr>
          <w:rFonts w:ascii="Calibri" w:eastAsia="Calibri" w:hAnsi="Calibri" w:cs="Calibri"/>
          <w:szCs w:val="22"/>
        </w:rPr>
        <w:t>ffort was made to ensure geographical representation</w:t>
      </w:r>
      <w:r w:rsidR="79E06353" w:rsidRPr="4A351EF4">
        <w:rPr>
          <w:rFonts w:ascii="Calibri" w:eastAsia="Calibri" w:hAnsi="Calibri" w:cs="Calibri"/>
          <w:szCs w:val="22"/>
        </w:rPr>
        <w:t>, different development contexts,</w:t>
      </w:r>
      <w:r w:rsidR="03CDC6C0" w:rsidRPr="4A351EF4">
        <w:rPr>
          <w:rFonts w:ascii="Calibri" w:eastAsia="Calibri" w:hAnsi="Calibri" w:cs="Calibri"/>
          <w:szCs w:val="22"/>
        </w:rPr>
        <w:t xml:space="preserve"> and a mix of large and small countries in the selection of case study countries – </w:t>
      </w:r>
      <w:r w:rsidR="3CE0709B" w:rsidRPr="4A351EF4">
        <w:rPr>
          <w:rFonts w:ascii="Calibri" w:eastAsia="Calibri" w:hAnsi="Calibri" w:cs="Calibri"/>
          <w:szCs w:val="22"/>
        </w:rPr>
        <w:t xml:space="preserve">however, it is recognised that </w:t>
      </w:r>
      <w:r w:rsidR="03CDC6C0" w:rsidRPr="4A351EF4">
        <w:rPr>
          <w:rFonts w:ascii="Calibri" w:eastAsia="Calibri" w:hAnsi="Calibri" w:cs="Calibri"/>
          <w:szCs w:val="22"/>
        </w:rPr>
        <w:t>each country, and its experience of the pandemic</w:t>
      </w:r>
      <w:r w:rsidR="278296D0" w:rsidRPr="4A351EF4">
        <w:rPr>
          <w:rFonts w:ascii="Calibri" w:eastAsia="Calibri" w:hAnsi="Calibri" w:cs="Calibri"/>
          <w:szCs w:val="22"/>
        </w:rPr>
        <w:t>,</w:t>
      </w:r>
      <w:r w:rsidR="03CDC6C0" w:rsidRPr="4A351EF4">
        <w:rPr>
          <w:rFonts w:ascii="Calibri" w:eastAsia="Calibri" w:hAnsi="Calibri" w:cs="Calibri"/>
          <w:szCs w:val="22"/>
        </w:rPr>
        <w:t xml:space="preserve"> was unique. Furthermore, the evaluation team aimed to interview a representative sample of partners and relevant stakeholders. However, due to the sheer volume, not all partners in each of the case study countries were interviewed</w:t>
      </w:r>
      <w:r w:rsidR="04CE366E" w:rsidRPr="4A351EF4">
        <w:rPr>
          <w:rFonts w:ascii="Calibri" w:eastAsia="Calibri" w:hAnsi="Calibri" w:cs="Calibri"/>
        </w:rPr>
        <w:t>.</w:t>
      </w:r>
    </w:p>
    <w:p w14:paraId="0CC81098" w14:textId="70EEB298" w:rsidR="6418639A" w:rsidRPr="006B0C6C" w:rsidRDefault="6418639A" w:rsidP="0A544168">
      <w:pPr>
        <w:jc w:val="both"/>
      </w:pPr>
      <w:r w:rsidRPr="4A351EF4">
        <w:rPr>
          <w:rFonts w:ascii="Calibri" w:eastAsia="Calibri" w:hAnsi="Calibri" w:cs="Calibri"/>
          <w:b/>
          <w:bCs/>
          <w:u w:val="single"/>
        </w:rPr>
        <w:t>Temporality</w:t>
      </w:r>
      <w:r w:rsidRPr="4A351EF4">
        <w:rPr>
          <w:rFonts w:ascii="Calibri" w:eastAsia="Calibri" w:hAnsi="Calibri" w:cs="Calibri"/>
        </w:rPr>
        <w:t xml:space="preserve">: </w:t>
      </w:r>
      <w:r w:rsidR="006A6FCC" w:rsidRPr="4A351EF4">
        <w:rPr>
          <w:rFonts w:ascii="Calibri" w:eastAsia="Calibri" w:hAnsi="Calibri" w:cs="Calibri"/>
        </w:rPr>
        <w:t xml:space="preserve">There were </w:t>
      </w:r>
      <w:r w:rsidR="226ED03F" w:rsidRPr="4A351EF4">
        <w:rPr>
          <w:rFonts w:ascii="Calibri" w:eastAsia="Calibri" w:hAnsi="Calibri" w:cs="Calibri"/>
        </w:rPr>
        <w:t xml:space="preserve">some </w:t>
      </w:r>
      <w:r w:rsidR="006A6FCC" w:rsidRPr="4A351EF4">
        <w:rPr>
          <w:rFonts w:ascii="Calibri" w:eastAsia="Calibri" w:hAnsi="Calibri" w:cs="Calibri"/>
        </w:rPr>
        <w:t>challenges related to i</w:t>
      </w:r>
      <w:r w:rsidRPr="4A351EF4">
        <w:rPr>
          <w:rFonts w:ascii="Calibri" w:eastAsia="Calibri" w:hAnsi="Calibri" w:cs="Calibri"/>
        </w:rPr>
        <w:t xml:space="preserve">nterviewing stakeholders </w:t>
      </w:r>
      <w:r w:rsidR="006A6FCC" w:rsidRPr="4A351EF4">
        <w:rPr>
          <w:rFonts w:ascii="Calibri" w:eastAsia="Calibri" w:hAnsi="Calibri" w:cs="Calibri"/>
        </w:rPr>
        <w:t xml:space="preserve">from partner organisations </w:t>
      </w:r>
      <w:r w:rsidRPr="4A351EF4">
        <w:rPr>
          <w:rFonts w:ascii="Calibri" w:eastAsia="Calibri" w:hAnsi="Calibri" w:cs="Calibri"/>
        </w:rPr>
        <w:t xml:space="preserve">where current incumbents in the case study countries </w:t>
      </w:r>
      <w:r w:rsidR="00B40C3D" w:rsidRPr="4A351EF4">
        <w:rPr>
          <w:rFonts w:ascii="Calibri" w:eastAsia="Calibri" w:hAnsi="Calibri" w:cs="Calibri"/>
        </w:rPr>
        <w:t>had</w:t>
      </w:r>
      <w:r w:rsidRPr="4A351EF4">
        <w:rPr>
          <w:rFonts w:ascii="Calibri" w:eastAsia="Calibri" w:hAnsi="Calibri" w:cs="Calibri"/>
        </w:rPr>
        <w:t xml:space="preserve"> </w:t>
      </w:r>
      <w:r w:rsidR="5FD1E1F7" w:rsidRPr="4A351EF4">
        <w:rPr>
          <w:rFonts w:ascii="Calibri" w:eastAsia="Calibri" w:hAnsi="Calibri" w:cs="Calibri"/>
        </w:rPr>
        <w:t>not</w:t>
      </w:r>
      <w:r w:rsidRPr="4A351EF4">
        <w:rPr>
          <w:rFonts w:ascii="Calibri" w:eastAsia="Calibri" w:hAnsi="Calibri" w:cs="Calibri"/>
        </w:rPr>
        <w:t xml:space="preserve"> been in their role for </w:t>
      </w:r>
      <w:r w:rsidR="1441619F" w:rsidRPr="4A351EF4">
        <w:rPr>
          <w:rFonts w:ascii="Calibri" w:eastAsia="Calibri" w:hAnsi="Calibri" w:cs="Calibri"/>
        </w:rPr>
        <w:t>long</w:t>
      </w:r>
      <w:r w:rsidR="006A6FCC" w:rsidRPr="4A351EF4">
        <w:rPr>
          <w:rFonts w:ascii="Calibri" w:eastAsia="Calibri" w:hAnsi="Calibri" w:cs="Calibri"/>
        </w:rPr>
        <w:t xml:space="preserve">, impacting their ability to </w:t>
      </w:r>
      <w:r w:rsidR="581BBCA3" w:rsidRPr="4A351EF4">
        <w:rPr>
          <w:rFonts w:ascii="Calibri" w:eastAsia="Calibri" w:hAnsi="Calibri" w:cs="Calibri"/>
        </w:rPr>
        <w:t xml:space="preserve">fully </w:t>
      </w:r>
      <w:r w:rsidRPr="4A351EF4">
        <w:rPr>
          <w:rFonts w:ascii="Calibri" w:eastAsia="Calibri" w:hAnsi="Calibri" w:cs="Calibri"/>
        </w:rPr>
        <w:t xml:space="preserve">report on </w:t>
      </w:r>
      <w:r w:rsidR="47BD9BE7" w:rsidRPr="4A351EF4">
        <w:rPr>
          <w:rFonts w:ascii="Calibri" w:eastAsia="Calibri" w:hAnsi="Calibri" w:cs="Calibri"/>
        </w:rPr>
        <w:t>the early</w:t>
      </w:r>
      <w:r w:rsidRPr="4A351EF4">
        <w:rPr>
          <w:rFonts w:ascii="Calibri" w:eastAsia="Calibri" w:hAnsi="Calibri" w:cs="Calibri"/>
        </w:rPr>
        <w:t xml:space="preserve"> phases of the VAHSI program. Conversely, those </w:t>
      </w:r>
      <w:r w:rsidR="00FF0C2B">
        <w:rPr>
          <w:rFonts w:ascii="Calibri" w:eastAsia="Calibri" w:hAnsi="Calibri" w:cs="Calibri"/>
        </w:rPr>
        <w:t>intervi</w:t>
      </w:r>
      <w:r w:rsidR="00625CF0">
        <w:rPr>
          <w:rFonts w:ascii="Calibri" w:eastAsia="Calibri" w:hAnsi="Calibri" w:cs="Calibri"/>
        </w:rPr>
        <w:t xml:space="preserve">ewed who had been </w:t>
      </w:r>
      <w:r w:rsidRPr="4A351EF4">
        <w:rPr>
          <w:rFonts w:ascii="Calibri" w:eastAsia="Calibri" w:hAnsi="Calibri" w:cs="Calibri"/>
        </w:rPr>
        <w:t xml:space="preserve">involved at the outset had often been out of </w:t>
      </w:r>
      <w:r w:rsidR="7425F241" w:rsidRPr="4A351EF4">
        <w:rPr>
          <w:rFonts w:ascii="Calibri" w:eastAsia="Calibri" w:hAnsi="Calibri" w:cs="Calibri"/>
        </w:rPr>
        <w:t xml:space="preserve">their VAHSI-related </w:t>
      </w:r>
      <w:r w:rsidRPr="4A351EF4">
        <w:rPr>
          <w:rFonts w:ascii="Calibri" w:eastAsia="Calibri" w:hAnsi="Calibri" w:cs="Calibri"/>
        </w:rPr>
        <w:t>role for more than two years</w:t>
      </w:r>
      <w:r w:rsidR="480CF292" w:rsidRPr="4A351EF4">
        <w:rPr>
          <w:rFonts w:ascii="Calibri" w:eastAsia="Calibri" w:hAnsi="Calibri" w:cs="Calibri"/>
        </w:rPr>
        <w:t>,</w:t>
      </w:r>
      <w:r w:rsidRPr="4A351EF4">
        <w:rPr>
          <w:rFonts w:ascii="Calibri" w:eastAsia="Calibri" w:hAnsi="Calibri" w:cs="Calibri"/>
        </w:rPr>
        <w:t xml:space="preserve"> </w:t>
      </w:r>
      <w:r w:rsidR="65B587B5" w:rsidRPr="4A351EF4">
        <w:rPr>
          <w:rFonts w:ascii="Calibri" w:eastAsia="Calibri" w:hAnsi="Calibri" w:cs="Calibri"/>
        </w:rPr>
        <w:t>leading</w:t>
      </w:r>
      <w:r w:rsidRPr="4A351EF4">
        <w:rPr>
          <w:rFonts w:ascii="Calibri" w:eastAsia="Calibri" w:hAnsi="Calibri" w:cs="Calibri"/>
        </w:rPr>
        <w:t xml:space="preserve"> to compromised recall. In only very limited instances w</w:t>
      </w:r>
      <w:r w:rsidR="10EF5E9E" w:rsidRPr="4A351EF4">
        <w:rPr>
          <w:rFonts w:ascii="Calibri" w:eastAsia="Calibri" w:hAnsi="Calibri" w:cs="Calibri"/>
        </w:rPr>
        <w:t>as</w:t>
      </w:r>
      <w:r w:rsidRPr="4A351EF4">
        <w:rPr>
          <w:rFonts w:ascii="Calibri" w:eastAsia="Calibri" w:hAnsi="Calibri" w:cs="Calibri"/>
        </w:rPr>
        <w:t xml:space="preserve"> </w:t>
      </w:r>
      <w:r w:rsidR="781C23B6" w:rsidRPr="4A351EF4">
        <w:rPr>
          <w:rFonts w:ascii="Calibri" w:eastAsia="Calibri" w:hAnsi="Calibri" w:cs="Calibri"/>
        </w:rPr>
        <w:t xml:space="preserve">a single </w:t>
      </w:r>
      <w:r w:rsidRPr="4A351EF4">
        <w:rPr>
          <w:rFonts w:ascii="Calibri" w:eastAsia="Calibri" w:hAnsi="Calibri" w:cs="Calibri"/>
        </w:rPr>
        <w:t xml:space="preserve">interviewee able to report </w:t>
      </w:r>
      <w:r w:rsidR="00625CF0">
        <w:rPr>
          <w:rFonts w:ascii="Calibri" w:eastAsia="Calibri" w:hAnsi="Calibri" w:cs="Calibri"/>
        </w:rPr>
        <w:t xml:space="preserve">on </w:t>
      </w:r>
      <w:r w:rsidRPr="4A351EF4">
        <w:rPr>
          <w:rFonts w:ascii="Calibri" w:eastAsia="Calibri" w:hAnsi="Calibri" w:cs="Calibri"/>
        </w:rPr>
        <w:t xml:space="preserve">the full duration of projects / VAHSI </w:t>
      </w:r>
      <w:r w:rsidR="006A6FCC" w:rsidRPr="4A351EF4">
        <w:rPr>
          <w:rFonts w:ascii="Calibri" w:eastAsia="Calibri" w:hAnsi="Calibri" w:cs="Calibri"/>
        </w:rPr>
        <w:t>initiative</w:t>
      </w:r>
      <w:r w:rsidRPr="4A351EF4">
        <w:rPr>
          <w:rFonts w:ascii="Calibri" w:eastAsia="Calibri" w:hAnsi="Calibri" w:cs="Calibri"/>
        </w:rPr>
        <w:t xml:space="preserve">. </w:t>
      </w:r>
    </w:p>
    <w:p w14:paraId="3A0A06B7" w14:textId="7274B857" w:rsidR="6418639A" w:rsidRPr="006B0C6C" w:rsidRDefault="6EF601D4" w:rsidP="4717B9FC">
      <w:pPr>
        <w:jc w:val="both"/>
        <w:rPr>
          <w:rFonts w:ascii="Calibri" w:eastAsia="Calibri" w:hAnsi="Calibri" w:cs="Calibri"/>
        </w:rPr>
      </w:pPr>
      <w:r w:rsidRPr="7E56B70C">
        <w:rPr>
          <w:rFonts w:ascii="Calibri" w:eastAsia="Calibri" w:hAnsi="Calibri" w:cs="Calibri"/>
          <w:b/>
          <w:bCs/>
          <w:u w:val="single"/>
        </w:rPr>
        <w:t>Desk</w:t>
      </w:r>
      <w:r w:rsidR="36865605" w:rsidRPr="7E56B70C">
        <w:rPr>
          <w:rFonts w:ascii="Calibri" w:eastAsia="Calibri" w:hAnsi="Calibri" w:cs="Calibri"/>
          <w:b/>
          <w:bCs/>
          <w:u w:val="single"/>
        </w:rPr>
        <w:t>-b</w:t>
      </w:r>
      <w:r w:rsidRPr="7E56B70C">
        <w:rPr>
          <w:rFonts w:ascii="Calibri" w:eastAsia="Calibri" w:hAnsi="Calibri" w:cs="Calibri"/>
          <w:b/>
          <w:bCs/>
          <w:u w:val="single"/>
        </w:rPr>
        <w:t xml:space="preserve">ased nature of the </w:t>
      </w:r>
      <w:r w:rsidR="00FBFCC5" w:rsidRPr="7E56B70C">
        <w:rPr>
          <w:rFonts w:ascii="Calibri" w:eastAsia="Calibri" w:hAnsi="Calibri" w:cs="Calibri"/>
          <w:b/>
          <w:bCs/>
          <w:u w:val="single"/>
        </w:rPr>
        <w:t>r</w:t>
      </w:r>
      <w:r w:rsidRPr="7E56B70C">
        <w:rPr>
          <w:rFonts w:ascii="Calibri" w:eastAsia="Calibri" w:hAnsi="Calibri" w:cs="Calibri"/>
          <w:b/>
          <w:bCs/>
          <w:u w:val="single"/>
        </w:rPr>
        <w:t>eview</w:t>
      </w:r>
      <w:r w:rsidRPr="7E56B70C">
        <w:rPr>
          <w:rFonts w:ascii="Calibri" w:eastAsia="Calibri" w:hAnsi="Calibri" w:cs="Calibri"/>
        </w:rPr>
        <w:t xml:space="preserve">: This evaluation </w:t>
      </w:r>
      <w:r w:rsidR="71CFB790" w:rsidRPr="7E56B70C">
        <w:rPr>
          <w:rFonts w:ascii="Calibri" w:eastAsia="Calibri" w:hAnsi="Calibri" w:cs="Calibri"/>
        </w:rPr>
        <w:t xml:space="preserve">was desk-based. </w:t>
      </w:r>
      <w:r w:rsidRPr="7E56B70C">
        <w:rPr>
          <w:rFonts w:ascii="Calibri" w:eastAsia="Calibri" w:hAnsi="Calibri" w:cs="Calibri"/>
        </w:rPr>
        <w:t xml:space="preserve"> </w:t>
      </w:r>
      <w:r w:rsidR="2DBCD2DC" w:rsidRPr="7E56B70C">
        <w:rPr>
          <w:rFonts w:ascii="Calibri" w:eastAsia="Calibri" w:hAnsi="Calibri" w:cs="Calibri"/>
        </w:rPr>
        <w:t xml:space="preserve">This meant there were no </w:t>
      </w:r>
      <w:r w:rsidRPr="7E56B70C">
        <w:rPr>
          <w:rFonts w:ascii="Calibri" w:eastAsia="Calibri" w:hAnsi="Calibri" w:cs="Calibri"/>
        </w:rPr>
        <w:t xml:space="preserve">in-country visits </w:t>
      </w:r>
      <w:r w:rsidR="63C04E2C" w:rsidRPr="7E56B70C">
        <w:rPr>
          <w:rFonts w:ascii="Calibri" w:eastAsia="Calibri" w:hAnsi="Calibri" w:cs="Calibri"/>
        </w:rPr>
        <w:t>n</w:t>
      </w:r>
      <w:r w:rsidRPr="7E56B70C">
        <w:rPr>
          <w:rFonts w:ascii="Calibri" w:eastAsia="Calibri" w:hAnsi="Calibri" w:cs="Calibri"/>
        </w:rPr>
        <w:t xml:space="preserve">or any </w:t>
      </w:r>
      <w:r w:rsidR="373AA53F" w:rsidRPr="7E56B70C">
        <w:rPr>
          <w:rFonts w:ascii="Calibri" w:eastAsia="Calibri" w:hAnsi="Calibri" w:cs="Calibri"/>
        </w:rPr>
        <w:t>face-to-face</w:t>
      </w:r>
      <w:r w:rsidRPr="7E56B70C">
        <w:rPr>
          <w:rFonts w:ascii="Calibri" w:eastAsia="Calibri" w:hAnsi="Calibri" w:cs="Calibri"/>
        </w:rPr>
        <w:t xml:space="preserve"> interactions with stakeholders or other members of the </w:t>
      </w:r>
      <w:r w:rsidR="126AAB78" w:rsidRPr="7E56B70C">
        <w:rPr>
          <w:rFonts w:ascii="Calibri" w:eastAsia="Calibri" w:hAnsi="Calibri" w:cs="Calibri"/>
        </w:rPr>
        <w:t>e</w:t>
      </w:r>
      <w:r w:rsidRPr="7E56B70C">
        <w:rPr>
          <w:rFonts w:ascii="Calibri" w:eastAsia="Calibri" w:hAnsi="Calibri" w:cs="Calibri"/>
        </w:rPr>
        <w:t xml:space="preserve">valuation </w:t>
      </w:r>
      <w:r w:rsidR="126AAB78" w:rsidRPr="7E56B70C">
        <w:rPr>
          <w:rFonts w:ascii="Calibri" w:eastAsia="Calibri" w:hAnsi="Calibri" w:cs="Calibri"/>
        </w:rPr>
        <w:t>t</w:t>
      </w:r>
      <w:r w:rsidRPr="7E56B70C">
        <w:rPr>
          <w:rFonts w:ascii="Calibri" w:eastAsia="Calibri" w:hAnsi="Calibri" w:cs="Calibri"/>
        </w:rPr>
        <w:t>eam</w:t>
      </w:r>
      <w:r w:rsidR="4D93E96A" w:rsidRPr="7E56B70C">
        <w:rPr>
          <w:rFonts w:ascii="Calibri" w:eastAsia="Calibri" w:hAnsi="Calibri" w:cs="Calibri"/>
        </w:rPr>
        <w:t>.</w:t>
      </w:r>
      <w:r w:rsidR="683A8B6C" w:rsidRPr="7E56B70C">
        <w:rPr>
          <w:rFonts w:ascii="Calibri" w:eastAsia="Calibri" w:hAnsi="Calibri" w:cs="Calibri"/>
        </w:rPr>
        <w:t xml:space="preserve"> In-country visits can be beneficial as there is greater access to stakeholders and the potential for interviewing other stakeholders who </w:t>
      </w:r>
      <w:r w:rsidR="51FB5549" w:rsidRPr="7E56B70C">
        <w:rPr>
          <w:rFonts w:ascii="Calibri" w:eastAsia="Calibri" w:hAnsi="Calibri" w:cs="Calibri"/>
        </w:rPr>
        <w:t>might not otherwise have</w:t>
      </w:r>
      <w:r w:rsidR="683A8B6C" w:rsidRPr="7E56B70C">
        <w:rPr>
          <w:rFonts w:ascii="Calibri" w:eastAsia="Calibri" w:hAnsi="Calibri" w:cs="Calibri"/>
        </w:rPr>
        <w:t xml:space="preserve"> been identified</w:t>
      </w:r>
      <w:r w:rsidR="4B600FD3" w:rsidRPr="7E56B70C">
        <w:rPr>
          <w:rFonts w:ascii="Calibri" w:eastAsia="Calibri" w:hAnsi="Calibri" w:cs="Calibri"/>
        </w:rPr>
        <w:t xml:space="preserve"> or available</w:t>
      </w:r>
      <w:r w:rsidR="683A8B6C" w:rsidRPr="7E56B70C">
        <w:rPr>
          <w:rFonts w:ascii="Calibri" w:eastAsia="Calibri" w:hAnsi="Calibri" w:cs="Calibri"/>
        </w:rPr>
        <w:t>. In-country presenc</w:t>
      </w:r>
      <w:r w:rsidR="7877AF2C" w:rsidRPr="7E56B70C">
        <w:rPr>
          <w:rFonts w:ascii="Calibri" w:eastAsia="Calibri" w:hAnsi="Calibri" w:cs="Calibri"/>
        </w:rPr>
        <w:t>e can also help with scheduling</w:t>
      </w:r>
      <w:r w:rsidR="2C78B1A9" w:rsidRPr="7E56B70C">
        <w:rPr>
          <w:rFonts w:ascii="Calibri" w:eastAsia="Calibri" w:hAnsi="Calibri" w:cs="Calibri"/>
        </w:rPr>
        <w:t xml:space="preserve"> KIIs and can provide helpful local context</w:t>
      </w:r>
      <w:r w:rsidR="7877AF2C" w:rsidRPr="7E56B70C">
        <w:rPr>
          <w:rFonts w:ascii="Calibri" w:eastAsia="Calibri" w:hAnsi="Calibri" w:cs="Calibri"/>
        </w:rPr>
        <w:t>. For this evaluation, the team were satisfied that a suff</w:t>
      </w:r>
      <w:r w:rsidR="5A47D029" w:rsidRPr="7E56B70C">
        <w:rPr>
          <w:rFonts w:ascii="Calibri" w:eastAsia="Calibri" w:hAnsi="Calibri" w:cs="Calibri"/>
        </w:rPr>
        <w:t>i</w:t>
      </w:r>
      <w:r w:rsidR="7877AF2C" w:rsidRPr="7E56B70C">
        <w:rPr>
          <w:rFonts w:ascii="Calibri" w:eastAsia="Calibri" w:hAnsi="Calibri" w:cs="Calibri"/>
        </w:rPr>
        <w:t>ciently broad range of KIIs took place.</w:t>
      </w:r>
    </w:p>
    <w:p w14:paraId="0B218C6E" w14:textId="3701288C" w:rsidR="000017BA" w:rsidRDefault="788F9EB6" w:rsidP="0A544168">
      <w:pPr>
        <w:jc w:val="both"/>
        <w:rPr>
          <w:rFonts w:ascii="Calibri" w:eastAsia="Calibri" w:hAnsi="Calibri" w:cs="Calibri"/>
        </w:rPr>
      </w:pPr>
      <w:r w:rsidRPr="4A351EF4">
        <w:rPr>
          <w:rFonts w:ascii="Calibri" w:eastAsia="Calibri" w:hAnsi="Calibri" w:cs="Calibri"/>
          <w:b/>
          <w:bCs/>
          <w:u w:val="single"/>
        </w:rPr>
        <w:t>Variability in</w:t>
      </w:r>
      <w:r w:rsidR="0AC9A714" w:rsidRPr="4A351EF4">
        <w:rPr>
          <w:rFonts w:ascii="Calibri" w:eastAsia="Calibri" w:hAnsi="Calibri" w:cs="Calibri"/>
          <w:b/>
          <w:bCs/>
          <w:u w:val="single"/>
        </w:rPr>
        <w:t xml:space="preserve"> data </w:t>
      </w:r>
      <w:r w:rsidR="30A99B1C" w:rsidRPr="4A351EF4">
        <w:rPr>
          <w:rFonts w:ascii="Calibri" w:eastAsia="Calibri" w:hAnsi="Calibri" w:cs="Calibri"/>
          <w:b/>
          <w:bCs/>
          <w:u w:val="single"/>
        </w:rPr>
        <w:t xml:space="preserve">reported in </w:t>
      </w:r>
      <w:r w:rsidR="0EAAC0C0" w:rsidRPr="4A351EF4">
        <w:rPr>
          <w:rFonts w:ascii="Calibri" w:eastAsia="Calibri" w:hAnsi="Calibri" w:cs="Calibri"/>
          <w:b/>
          <w:bCs/>
          <w:u w:val="single"/>
        </w:rPr>
        <w:t>partner reports</w:t>
      </w:r>
      <w:r w:rsidR="367110F4" w:rsidRPr="4A351EF4">
        <w:rPr>
          <w:rFonts w:ascii="Calibri" w:eastAsia="Calibri" w:hAnsi="Calibri" w:cs="Calibri"/>
        </w:rPr>
        <w:t>:</w:t>
      </w:r>
      <w:r w:rsidR="2FC45F55" w:rsidRPr="4A351EF4">
        <w:rPr>
          <w:rFonts w:ascii="Calibri" w:eastAsia="Calibri" w:hAnsi="Calibri" w:cs="Calibri"/>
        </w:rPr>
        <w:t xml:space="preserve"> </w:t>
      </w:r>
      <w:r w:rsidR="4BD1E1C0" w:rsidRPr="4A351EF4">
        <w:rPr>
          <w:rFonts w:ascii="Calibri" w:eastAsia="Calibri" w:hAnsi="Calibri" w:cs="Calibri"/>
        </w:rPr>
        <w:t xml:space="preserve"> Overall</w:t>
      </w:r>
      <w:r w:rsidR="0A56FCBF" w:rsidRPr="4A351EF4">
        <w:rPr>
          <w:rFonts w:ascii="Calibri" w:eastAsia="Calibri" w:hAnsi="Calibri" w:cs="Calibri"/>
        </w:rPr>
        <w:t>,</w:t>
      </w:r>
      <w:r w:rsidR="4BD1E1C0" w:rsidRPr="4A351EF4">
        <w:rPr>
          <w:rFonts w:ascii="Calibri" w:eastAsia="Calibri" w:hAnsi="Calibri" w:cs="Calibri"/>
        </w:rPr>
        <w:t xml:space="preserve"> there was high variability in the quality and completeness of partner reports</w:t>
      </w:r>
      <w:r w:rsidR="0BC222F0" w:rsidRPr="4A351EF4">
        <w:rPr>
          <w:rFonts w:ascii="Calibri" w:eastAsia="Calibri" w:hAnsi="Calibri" w:cs="Calibri"/>
        </w:rPr>
        <w:t xml:space="preserve">. </w:t>
      </w:r>
      <w:r w:rsidR="688FD2E8" w:rsidRPr="4A351EF4">
        <w:rPr>
          <w:rFonts w:ascii="Calibri" w:eastAsia="Calibri" w:hAnsi="Calibri" w:cs="Calibri"/>
        </w:rPr>
        <w:t>As VAHSI is ongoing at the time of this</w:t>
      </w:r>
      <w:r w:rsidR="0A301449" w:rsidRPr="4A351EF4">
        <w:rPr>
          <w:rFonts w:ascii="Calibri" w:eastAsia="Calibri" w:hAnsi="Calibri" w:cs="Calibri"/>
        </w:rPr>
        <w:t xml:space="preserve"> evaluation</w:t>
      </w:r>
      <w:r w:rsidR="57052421" w:rsidRPr="4A351EF4">
        <w:rPr>
          <w:rFonts w:ascii="Calibri" w:eastAsia="Calibri" w:hAnsi="Calibri" w:cs="Calibri"/>
        </w:rPr>
        <w:t>, some</w:t>
      </w:r>
      <w:r w:rsidR="6741FE89" w:rsidRPr="4A351EF4">
        <w:rPr>
          <w:rFonts w:ascii="Calibri" w:eastAsia="Calibri" w:hAnsi="Calibri" w:cs="Calibri"/>
        </w:rPr>
        <w:t xml:space="preserve"> reports </w:t>
      </w:r>
      <w:r w:rsidR="6728C25E" w:rsidRPr="4A351EF4">
        <w:rPr>
          <w:rFonts w:ascii="Calibri" w:eastAsia="Calibri" w:hAnsi="Calibri" w:cs="Calibri"/>
        </w:rPr>
        <w:t>are not yet due to</w:t>
      </w:r>
      <w:r w:rsidR="7973A987" w:rsidRPr="4A351EF4">
        <w:rPr>
          <w:rFonts w:ascii="Calibri" w:eastAsia="Calibri" w:hAnsi="Calibri" w:cs="Calibri"/>
        </w:rPr>
        <w:t xml:space="preserve"> DFAT </w:t>
      </w:r>
      <w:r w:rsidR="15D76FF1" w:rsidRPr="4A351EF4">
        <w:rPr>
          <w:rFonts w:ascii="Calibri" w:eastAsia="Calibri" w:hAnsi="Calibri" w:cs="Calibri"/>
        </w:rPr>
        <w:t xml:space="preserve">and </w:t>
      </w:r>
      <w:r w:rsidR="0CF82961" w:rsidRPr="4A351EF4">
        <w:rPr>
          <w:rFonts w:ascii="Calibri" w:eastAsia="Calibri" w:hAnsi="Calibri" w:cs="Calibri"/>
        </w:rPr>
        <w:t>have not</w:t>
      </w:r>
      <w:r w:rsidR="7973A987" w:rsidRPr="4A351EF4">
        <w:rPr>
          <w:rFonts w:ascii="Calibri" w:eastAsia="Calibri" w:hAnsi="Calibri" w:cs="Calibri"/>
        </w:rPr>
        <w:t xml:space="preserve"> be</w:t>
      </w:r>
      <w:r w:rsidR="71DA26F9" w:rsidRPr="4A351EF4">
        <w:rPr>
          <w:rFonts w:ascii="Calibri" w:eastAsia="Calibri" w:hAnsi="Calibri" w:cs="Calibri"/>
        </w:rPr>
        <w:t>en</w:t>
      </w:r>
      <w:r w:rsidR="7973A987" w:rsidRPr="4A351EF4">
        <w:rPr>
          <w:rFonts w:ascii="Calibri" w:eastAsia="Calibri" w:hAnsi="Calibri" w:cs="Calibri"/>
        </w:rPr>
        <w:t xml:space="preserve"> </w:t>
      </w:r>
      <w:r w:rsidR="02164291" w:rsidRPr="4A351EF4">
        <w:rPr>
          <w:rFonts w:ascii="Calibri" w:eastAsia="Calibri" w:hAnsi="Calibri" w:cs="Calibri"/>
        </w:rPr>
        <w:t>assessed by the</w:t>
      </w:r>
      <w:r w:rsidR="7973A987" w:rsidRPr="4A351EF4">
        <w:rPr>
          <w:rFonts w:ascii="Calibri" w:eastAsia="Calibri" w:hAnsi="Calibri" w:cs="Calibri"/>
        </w:rPr>
        <w:t xml:space="preserve"> evaluation</w:t>
      </w:r>
      <w:r w:rsidR="75AEFB7E" w:rsidRPr="4A351EF4">
        <w:rPr>
          <w:rFonts w:ascii="Calibri" w:eastAsia="Calibri" w:hAnsi="Calibri" w:cs="Calibri"/>
        </w:rPr>
        <w:t xml:space="preserve"> team</w:t>
      </w:r>
      <w:r w:rsidR="2FC45F55" w:rsidRPr="4A351EF4">
        <w:rPr>
          <w:rFonts w:ascii="Calibri" w:eastAsia="Calibri" w:hAnsi="Calibri" w:cs="Calibri"/>
        </w:rPr>
        <w:t xml:space="preserve">. See Annex </w:t>
      </w:r>
      <w:r w:rsidR="25A0648B" w:rsidRPr="4A351EF4">
        <w:rPr>
          <w:rFonts w:ascii="Calibri" w:eastAsia="Calibri" w:hAnsi="Calibri" w:cs="Calibri"/>
        </w:rPr>
        <w:t>1</w:t>
      </w:r>
      <w:r w:rsidR="2FC45F55" w:rsidRPr="4A351EF4">
        <w:rPr>
          <w:rFonts w:ascii="Calibri" w:eastAsia="Calibri" w:hAnsi="Calibri" w:cs="Calibri"/>
        </w:rPr>
        <w:t xml:space="preserve"> for </w:t>
      </w:r>
      <w:r w:rsidR="2672190C" w:rsidRPr="4A351EF4">
        <w:rPr>
          <w:rFonts w:ascii="Calibri" w:eastAsia="Calibri" w:hAnsi="Calibri" w:cs="Calibri"/>
        </w:rPr>
        <w:t xml:space="preserve">a </w:t>
      </w:r>
      <w:r w:rsidR="2FC45F55" w:rsidRPr="4A351EF4">
        <w:rPr>
          <w:rFonts w:ascii="Calibri" w:eastAsia="Calibri" w:hAnsi="Calibri" w:cs="Calibri"/>
        </w:rPr>
        <w:t>list of documents included.</w:t>
      </w:r>
    </w:p>
    <w:p w14:paraId="54E05F2F" w14:textId="77777777" w:rsidR="0017037C" w:rsidRDefault="0017037C" w:rsidP="0A544168">
      <w:pPr>
        <w:jc w:val="both"/>
        <w:rPr>
          <w:rFonts w:ascii="Calibri" w:eastAsia="Calibri" w:hAnsi="Calibri" w:cs="Calibri"/>
        </w:rPr>
      </w:pPr>
    </w:p>
    <w:p w14:paraId="177F6824" w14:textId="7D9D525D" w:rsidR="005B69F5" w:rsidRPr="006B0C6C" w:rsidRDefault="0B01FF5B" w:rsidP="214FDC17">
      <w:pPr>
        <w:pStyle w:val="Heading1SHS"/>
      </w:pPr>
      <w:bookmarkStart w:id="16" w:name="_Toc200617262"/>
      <w:r w:rsidRPr="006B0C6C">
        <w:t>EQ1</w:t>
      </w:r>
      <w:r w:rsidR="472C2869" w:rsidRPr="006B0C6C">
        <w:t xml:space="preserve"> Findings</w:t>
      </w:r>
      <w:r w:rsidR="1289D808" w:rsidRPr="006B0C6C">
        <w:t xml:space="preserve"> - </w:t>
      </w:r>
      <w:r w:rsidR="3377C829" w:rsidRPr="006B0C6C">
        <w:t>Effectiveness of VAHSI</w:t>
      </w:r>
      <w:bookmarkEnd w:id="16"/>
    </w:p>
    <w:p w14:paraId="3CE5FAA3" w14:textId="5CF723AD" w:rsidR="00E4551A" w:rsidRDefault="6ED7860D" w:rsidP="00E4551A">
      <w:pPr>
        <w:spacing w:after="160" w:line="257" w:lineRule="auto"/>
        <w:jc w:val="both"/>
      </w:pPr>
      <w:r w:rsidRPr="006B0C6C">
        <w:rPr>
          <w:rFonts w:ascii="Calibri" w:eastAsia="Calibri" w:hAnsi="Calibri" w:cs="Calibri"/>
        </w:rPr>
        <w:t xml:space="preserve">This </w:t>
      </w:r>
      <w:r w:rsidR="00373183" w:rsidRPr="006B0C6C">
        <w:rPr>
          <w:rFonts w:ascii="Calibri" w:eastAsia="Calibri" w:hAnsi="Calibri" w:cs="Calibri"/>
        </w:rPr>
        <w:t>section</w:t>
      </w:r>
      <w:r w:rsidRPr="006B0C6C">
        <w:rPr>
          <w:rFonts w:ascii="Calibri" w:eastAsia="Calibri" w:hAnsi="Calibri" w:cs="Calibri"/>
        </w:rPr>
        <w:t xml:space="preserve"> provides the </w:t>
      </w:r>
      <w:r w:rsidR="00373183" w:rsidRPr="006B0C6C">
        <w:rPr>
          <w:rFonts w:ascii="Calibri" w:eastAsia="Calibri" w:hAnsi="Calibri" w:cs="Calibri"/>
        </w:rPr>
        <w:t xml:space="preserve">findings from the evaluation on </w:t>
      </w:r>
      <w:r w:rsidRPr="006B0C6C">
        <w:rPr>
          <w:rFonts w:ascii="Calibri" w:eastAsia="Calibri" w:hAnsi="Calibri" w:cs="Calibri"/>
        </w:rPr>
        <w:t xml:space="preserve">the effectiveness of VAHSI in contributing to COVID-19 vaccine access and </w:t>
      </w:r>
      <w:r w:rsidRPr="00A33AB1">
        <w:rPr>
          <w:rFonts w:ascii="Calibri" w:eastAsia="Calibri" w:hAnsi="Calibri" w:cs="Calibri"/>
        </w:rPr>
        <w:t>delivery</w:t>
      </w:r>
      <w:r w:rsidRPr="006B0C6C">
        <w:rPr>
          <w:rFonts w:ascii="Calibri" w:eastAsia="Calibri" w:hAnsi="Calibri" w:cs="Calibri"/>
        </w:rPr>
        <w:t xml:space="preserve"> support. The first evaluation question, “</w:t>
      </w:r>
      <w:r w:rsidR="00B40C3D">
        <w:rPr>
          <w:rFonts w:ascii="Calibri" w:eastAsia="Calibri" w:hAnsi="Calibri" w:cs="Calibri"/>
        </w:rPr>
        <w:t>H</w:t>
      </w:r>
      <w:r w:rsidR="00B40C3D" w:rsidRPr="006B0C6C">
        <w:rPr>
          <w:rFonts w:ascii="Calibri" w:eastAsia="Calibri" w:hAnsi="Calibri" w:cs="Calibri"/>
        </w:rPr>
        <w:t xml:space="preserve">ow </w:t>
      </w:r>
      <w:r w:rsidRPr="006B0C6C">
        <w:rPr>
          <w:rFonts w:ascii="Calibri" w:eastAsia="Calibri" w:hAnsi="Calibri" w:cs="Calibri"/>
        </w:rPr>
        <w:t>did VAHSI contribute to safe, effective and accessible COVID-19 vaccine supply; and promote COVID-19 and routine immunisation coverage in line with partner country plans in the Indo-Pacific Region?”, explores the extent to which VAHSI investments achieved end-of-program outcomes (EOPOs) 1 and 2. These EOPOs are:</w:t>
      </w:r>
    </w:p>
    <w:p w14:paraId="2F8E9B94" w14:textId="4D51242F" w:rsidR="6ED7860D" w:rsidRPr="00E4551A" w:rsidRDefault="163FC0A2" w:rsidP="00E4551A">
      <w:pPr>
        <w:spacing w:after="160" w:line="257" w:lineRule="auto"/>
        <w:jc w:val="both"/>
      </w:pPr>
      <w:r w:rsidRPr="00E4551A">
        <w:rPr>
          <w:rFonts w:ascii="Calibri" w:eastAsia="Calibri" w:hAnsi="Calibri" w:cs="Calibri"/>
          <w:b/>
          <w:bCs/>
        </w:rPr>
        <w:t>EOPO 1:</w:t>
      </w:r>
      <w:r w:rsidRPr="00E4551A">
        <w:rPr>
          <w:rFonts w:ascii="Calibri" w:eastAsia="Calibri" w:hAnsi="Calibri" w:cs="Calibri"/>
        </w:rPr>
        <w:t xml:space="preserve"> Partner governments expand COVID-19 and routine immunisation vaccine coverage in a safe and timely manner</w:t>
      </w:r>
    </w:p>
    <w:p w14:paraId="5A5F31D3" w14:textId="2F6DE74E" w:rsidR="035CA00E" w:rsidRPr="00E4551A" w:rsidRDefault="163FC0A2" w:rsidP="00E4551A">
      <w:pPr>
        <w:spacing w:after="0" w:line="257" w:lineRule="auto"/>
        <w:jc w:val="both"/>
        <w:rPr>
          <w:rFonts w:ascii="Calibri" w:eastAsia="Calibri" w:hAnsi="Calibri" w:cs="Calibri"/>
        </w:rPr>
      </w:pPr>
      <w:r w:rsidRPr="00E4551A">
        <w:rPr>
          <w:rFonts w:ascii="Calibri" w:eastAsia="Calibri" w:hAnsi="Calibri" w:cs="Calibri"/>
          <w:b/>
          <w:bCs/>
        </w:rPr>
        <w:t>EOPO 2:</w:t>
      </w:r>
      <w:r w:rsidRPr="00E4551A">
        <w:rPr>
          <w:rFonts w:ascii="Calibri" w:eastAsia="Calibri" w:hAnsi="Calibri" w:cs="Calibri"/>
        </w:rPr>
        <w:t xml:space="preserve"> </w:t>
      </w:r>
      <w:r w:rsidR="00D46D99" w:rsidRPr="00E4551A">
        <w:rPr>
          <w:rFonts w:ascii="Calibri" w:eastAsia="Calibri" w:hAnsi="Calibri" w:cs="Calibri"/>
        </w:rPr>
        <w:t>T</w:t>
      </w:r>
      <w:r w:rsidRPr="00E4551A">
        <w:rPr>
          <w:rFonts w:ascii="Calibri" w:eastAsia="Calibri" w:hAnsi="Calibri" w:cs="Calibri"/>
        </w:rPr>
        <w:t>arget populations access vaccination in accordance with national COVID-19 planning priorities</w:t>
      </w:r>
    </w:p>
    <w:p w14:paraId="32D94D8E" w14:textId="781390CD" w:rsidR="035CA00E" w:rsidRPr="004A2C53" w:rsidRDefault="758C5AD5" w:rsidP="004A2C53">
      <w:pPr>
        <w:pStyle w:val="Heading2SHS"/>
        <w:ind w:left="142"/>
        <w:rPr>
          <w:rFonts w:ascii="Calibri" w:eastAsia="Calibri" w:hAnsi="Calibri" w:cs="Calibri"/>
        </w:rPr>
      </w:pPr>
      <w:bookmarkStart w:id="17" w:name="_Toc179742119"/>
      <w:bookmarkStart w:id="18" w:name="_Toc179742724"/>
      <w:bookmarkStart w:id="19" w:name="_Toc179743267"/>
      <w:bookmarkStart w:id="20" w:name="_Toc179746157"/>
      <w:bookmarkStart w:id="21" w:name="_Toc200617263"/>
      <w:bookmarkEnd w:id="17"/>
      <w:bookmarkEnd w:id="18"/>
      <w:bookmarkEnd w:id="19"/>
      <w:bookmarkEnd w:id="20"/>
      <w:r w:rsidRPr="004A2C53">
        <w:rPr>
          <w:rFonts w:ascii="Calibri" w:eastAsia="Calibri" w:hAnsi="Calibri" w:cs="Calibri"/>
        </w:rPr>
        <w:t>Evaluative</w:t>
      </w:r>
      <w:r w:rsidR="004A2C53">
        <w:rPr>
          <w:rFonts w:ascii="Calibri" w:eastAsia="Calibri" w:hAnsi="Calibri" w:cs="Calibri"/>
        </w:rPr>
        <w:t xml:space="preserve"> finding</w:t>
      </w:r>
      <w:bookmarkEnd w:id="21"/>
    </w:p>
    <w:p w14:paraId="31B1C72F" w14:textId="352CBFD9" w:rsidR="035CA00E" w:rsidRDefault="32B070F1" w:rsidP="7E56B70C">
      <w:pPr>
        <w:spacing w:after="0" w:line="240" w:lineRule="atLeast"/>
        <w:jc w:val="both"/>
        <w:rPr>
          <w:rFonts w:ascii="Calibri" w:eastAsia="Calibri" w:hAnsi="Calibri" w:cs="Calibri"/>
        </w:rPr>
      </w:pPr>
      <w:r w:rsidRPr="7E56B70C">
        <w:rPr>
          <w:rFonts w:ascii="Calibri" w:eastAsia="Calibri" w:hAnsi="Calibri" w:cs="Calibri"/>
        </w:rPr>
        <w:t xml:space="preserve">Based on assessment of </w:t>
      </w:r>
      <w:r w:rsidR="51E73410" w:rsidRPr="7E56B70C">
        <w:rPr>
          <w:rFonts w:ascii="Calibri" w:eastAsia="Calibri" w:hAnsi="Calibri" w:cs="Calibri"/>
        </w:rPr>
        <w:t xml:space="preserve">both </w:t>
      </w:r>
      <w:r w:rsidRPr="7E56B70C">
        <w:rPr>
          <w:rFonts w:ascii="Calibri" w:eastAsia="Calibri" w:hAnsi="Calibri" w:cs="Calibri"/>
        </w:rPr>
        <w:t xml:space="preserve">COVID-19 vaccine supply </w:t>
      </w:r>
      <w:r w:rsidR="59383C1F" w:rsidRPr="7E56B70C">
        <w:rPr>
          <w:rFonts w:ascii="Calibri" w:eastAsia="Calibri" w:hAnsi="Calibri" w:cs="Calibri"/>
        </w:rPr>
        <w:t>as well as</w:t>
      </w:r>
      <w:r w:rsidRPr="7E56B70C">
        <w:rPr>
          <w:rFonts w:ascii="Calibri" w:eastAsia="Calibri" w:hAnsi="Calibri" w:cs="Calibri"/>
        </w:rPr>
        <w:t xml:space="preserve"> vaccine delivery</w:t>
      </w:r>
      <w:r w:rsidR="00AF535B">
        <w:rPr>
          <w:rFonts w:ascii="Calibri" w:eastAsia="Calibri" w:hAnsi="Calibri" w:cs="Calibri"/>
        </w:rPr>
        <w:t xml:space="preserve"> support</w:t>
      </w:r>
      <w:r w:rsidRPr="7E56B70C">
        <w:rPr>
          <w:rFonts w:ascii="Calibri" w:eastAsia="Calibri" w:hAnsi="Calibri" w:cs="Calibri"/>
        </w:rPr>
        <w:t xml:space="preserve"> projects, </w:t>
      </w:r>
      <w:r w:rsidR="764D149A" w:rsidRPr="7E56B70C">
        <w:rPr>
          <w:rFonts w:ascii="Calibri" w:eastAsia="Calibri" w:hAnsi="Calibri" w:cs="Calibri"/>
        </w:rPr>
        <w:t xml:space="preserve">the evaluation team concludes that VAHSI was effective as an emergency response modality to support countries in the Pacific and SEA, and that EOPOs 1 and 2 will be achieved. </w:t>
      </w:r>
      <w:r w:rsidR="5F31FE4E" w:rsidRPr="7E56B70C">
        <w:rPr>
          <w:rFonts w:ascii="Calibri" w:eastAsia="Calibri" w:hAnsi="Calibri" w:cs="Calibri"/>
        </w:rPr>
        <w:t xml:space="preserve"> Securing COVID-19 vaccines was the highest priority for every country in the world when vaccines became available in 2021, and, recognising this, the Australian </w:t>
      </w:r>
      <w:r w:rsidR="5F31FE4E" w:rsidRPr="0017037C">
        <w:rPr>
          <w:rFonts w:ascii="Calibri" w:eastAsia="Calibri" w:hAnsi="Calibri" w:cs="Calibri"/>
        </w:rPr>
        <w:t xml:space="preserve">Government’s </w:t>
      </w:r>
      <w:r w:rsidR="00AF535B">
        <w:rPr>
          <w:rFonts w:ascii="Calibri" w:eastAsia="Calibri" w:hAnsi="Calibri" w:cs="Calibri"/>
        </w:rPr>
        <w:t>supply</w:t>
      </w:r>
      <w:r w:rsidR="5F31FE4E" w:rsidRPr="0017037C">
        <w:rPr>
          <w:rFonts w:ascii="Calibri" w:eastAsia="Calibri" w:hAnsi="Calibri" w:cs="Calibri"/>
        </w:rPr>
        <w:t xml:space="preserve"> of COVID-19 vaccines </w:t>
      </w:r>
      <w:r w:rsidR="016831CC" w:rsidRPr="0017037C">
        <w:rPr>
          <w:rFonts w:ascii="Calibri" w:eastAsia="Calibri" w:hAnsi="Calibri" w:cs="Calibri"/>
        </w:rPr>
        <w:t xml:space="preserve">to countries </w:t>
      </w:r>
      <w:r w:rsidR="00F62F1C" w:rsidRPr="0017037C">
        <w:rPr>
          <w:rFonts w:ascii="Calibri" w:eastAsia="Calibri" w:hAnsi="Calibri" w:cs="Calibri"/>
        </w:rPr>
        <w:t>was expected</w:t>
      </w:r>
      <w:r w:rsidR="5F31FE4E" w:rsidRPr="0017037C">
        <w:rPr>
          <w:rFonts w:ascii="Calibri" w:eastAsia="Calibri" w:hAnsi="Calibri" w:cs="Calibri"/>
        </w:rPr>
        <w:t xml:space="preserve"> to be a highly effective form of assistance. This </w:t>
      </w:r>
      <w:r w:rsidR="466A49F1" w:rsidRPr="0017037C">
        <w:rPr>
          <w:rFonts w:ascii="Calibri" w:eastAsia="Calibri" w:hAnsi="Calibri" w:cs="Calibri"/>
        </w:rPr>
        <w:t xml:space="preserve">expectation </w:t>
      </w:r>
      <w:r w:rsidR="5F31FE4E" w:rsidRPr="0017037C">
        <w:rPr>
          <w:rFonts w:ascii="Calibri" w:eastAsia="Calibri" w:hAnsi="Calibri" w:cs="Calibri"/>
        </w:rPr>
        <w:t>was realised: countries</w:t>
      </w:r>
      <w:r w:rsidR="764D149A" w:rsidRPr="0017037C">
        <w:rPr>
          <w:rFonts w:ascii="Calibri" w:eastAsia="Calibri" w:hAnsi="Calibri" w:cs="Calibri"/>
        </w:rPr>
        <w:t xml:space="preserve"> and delivery </w:t>
      </w:r>
      <w:r w:rsidR="00AF535B">
        <w:rPr>
          <w:rFonts w:ascii="Calibri" w:eastAsia="Calibri" w:hAnsi="Calibri" w:cs="Calibri"/>
        </w:rPr>
        <w:t xml:space="preserve">support </w:t>
      </w:r>
      <w:r w:rsidR="764D149A" w:rsidRPr="0017037C">
        <w:rPr>
          <w:rFonts w:ascii="Calibri" w:eastAsia="Calibri" w:hAnsi="Calibri" w:cs="Calibri"/>
        </w:rPr>
        <w:t xml:space="preserve">partners indicated that Australian Government support through VAHSI was significant and directly benefitted the COVID-19 response. Through VAHSI, Australia </w:t>
      </w:r>
      <w:r w:rsidR="00AF535B">
        <w:rPr>
          <w:rFonts w:ascii="Calibri" w:eastAsia="Calibri" w:hAnsi="Calibri" w:cs="Calibri"/>
        </w:rPr>
        <w:t>supplied</w:t>
      </w:r>
      <w:r w:rsidR="764D149A" w:rsidRPr="7E56B70C">
        <w:rPr>
          <w:rFonts w:ascii="Calibri" w:eastAsia="Calibri" w:hAnsi="Calibri" w:cs="Calibri"/>
        </w:rPr>
        <w:t xml:space="preserve"> </w:t>
      </w:r>
      <w:r w:rsidR="003F7177" w:rsidRPr="003F7177">
        <w:rPr>
          <w:rFonts w:ascii="Calibri" w:eastAsia="Calibri" w:hAnsi="Calibri" w:cs="Calibri"/>
        </w:rPr>
        <w:t>52,078,270</w:t>
      </w:r>
      <w:r w:rsidR="003F7177">
        <w:rPr>
          <w:rFonts w:ascii="Calibri" w:eastAsia="Calibri" w:hAnsi="Calibri" w:cs="Calibri"/>
        </w:rPr>
        <w:t xml:space="preserve"> </w:t>
      </w:r>
      <w:r w:rsidR="764D149A" w:rsidRPr="7E56B70C">
        <w:rPr>
          <w:rFonts w:ascii="Calibri" w:eastAsia="Calibri" w:hAnsi="Calibri" w:cs="Calibri"/>
        </w:rPr>
        <w:t>vaccines to countries in the region, in a timely, safe and accessible manner.</w:t>
      </w:r>
      <w:r w:rsidR="256B4E85" w:rsidRPr="7E56B70C">
        <w:rPr>
          <w:rFonts w:ascii="Calibri" w:eastAsia="Calibri" w:hAnsi="Calibri" w:cs="Calibri"/>
        </w:rPr>
        <w:t xml:space="preserve"> In most cases, it was not solely COVID-19 vaccines that were </w:t>
      </w:r>
      <w:r w:rsidR="00AF535B">
        <w:rPr>
          <w:rFonts w:ascii="Calibri" w:eastAsia="Calibri" w:hAnsi="Calibri" w:cs="Calibri"/>
        </w:rPr>
        <w:t>supplied</w:t>
      </w:r>
      <w:r w:rsidR="256B4E85" w:rsidRPr="7E56B70C">
        <w:rPr>
          <w:rFonts w:ascii="Calibri" w:eastAsia="Calibri" w:hAnsi="Calibri" w:cs="Calibri"/>
        </w:rPr>
        <w:t>; the Australian Government provided equipment to help facilitate vaccine administration, COVID-19 rapid antigen tests, and other supplies – all of which have in turn beneficially impacted the effectiveness of the response.</w:t>
      </w:r>
      <w:r w:rsidR="764D149A" w:rsidRPr="7E56B70C">
        <w:rPr>
          <w:rFonts w:ascii="Calibri" w:eastAsia="Calibri" w:hAnsi="Calibri" w:cs="Calibri"/>
        </w:rPr>
        <w:t xml:space="preserve"> VAHSI </w:t>
      </w:r>
      <w:r w:rsidR="0820FB58" w:rsidRPr="7E56B70C">
        <w:rPr>
          <w:rFonts w:ascii="Calibri" w:eastAsia="Calibri" w:hAnsi="Calibri" w:cs="Calibri"/>
        </w:rPr>
        <w:t xml:space="preserve">also </w:t>
      </w:r>
      <w:r w:rsidR="764D149A" w:rsidRPr="7E56B70C">
        <w:rPr>
          <w:rFonts w:ascii="Calibri" w:eastAsia="Calibri" w:hAnsi="Calibri" w:cs="Calibri"/>
        </w:rPr>
        <w:t>provided significant</w:t>
      </w:r>
      <w:r w:rsidR="3B73AEF1" w:rsidRPr="7E56B70C">
        <w:rPr>
          <w:rFonts w:ascii="Calibri" w:eastAsia="Calibri" w:hAnsi="Calibri" w:cs="Calibri"/>
        </w:rPr>
        <w:t>,</w:t>
      </w:r>
      <w:r w:rsidR="764D149A" w:rsidRPr="7E56B70C">
        <w:rPr>
          <w:rFonts w:ascii="Calibri" w:eastAsia="Calibri" w:hAnsi="Calibri" w:cs="Calibri"/>
        </w:rPr>
        <w:t xml:space="preserve"> effective support </w:t>
      </w:r>
      <w:r w:rsidR="11095427" w:rsidRPr="7E56B70C">
        <w:rPr>
          <w:rFonts w:ascii="Calibri" w:eastAsia="Calibri" w:hAnsi="Calibri" w:cs="Calibri"/>
        </w:rPr>
        <w:t>to countries</w:t>
      </w:r>
      <w:r w:rsidR="3EC1E1CD" w:rsidRPr="7E56B70C">
        <w:rPr>
          <w:rFonts w:ascii="Calibri" w:eastAsia="Calibri" w:hAnsi="Calibri" w:cs="Calibri"/>
        </w:rPr>
        <w:t xml:space="preserve"> </w:t>
      </w:r>
      <w:r w:rsidR="11895814" w:rsidRPr="7E56B70C">
        <w:rPr>
          <w:rFonts w:ascii="Calibri" w:eastAsia="Calibri" w:hAnsi="Calibri" w:cs="Calibri"/>
        </w:rPr>
        <w:t>through</w:t>
      </w:r>
      <w:r w:rsidR="764D149A" w:rsidRPr="7E56B70C">
        <w:rPr>
          <w:rFonts w:ascii="Calibri" w:eastAsia="Calibri" w:hAnsi="Calibri" w:cs="Calibri"/>
        </w:rPr>
        <w:t xml:space="preserve"> vaccine delivery support projects</w:t>
      </w:r>
      <w:r w:rsidR="00EE79D4" w:rsidRPr="7E56B70C">
        <w:rPr>
          <w:rFonts w:ascii="Calibri" w:eastAsia="Calibri" w:hAnsi="Calibri" w:cs="Calibri"/>
        </w:rPr>
        <w:t xml:space="preserve"> </w:t>
      </w:r>
      <w:r w:rsidR="006D7DA5" w:rsidRPr="7E56B70C">
        <w:rPr>
          <w:rFonts w:ascii="Calibri" w:eastAsia="Calibri" w:hAnsi="Calibri" w:cs="Calibri"/>
        </w:rPr>
        <w:t xml:space="preserve">comprising </w:t>
      </w:r>
      <w:r w:rsidR="008B663B" w:rsidRPr="7E56B70C">
        <w:rPr>
          <w:rFonts w:ascii="Calibri" w:eastAsia="Calibri" w:hAnsi="Calibri" w:cs="Calibri"/>
        </w:rPr>
        <w:t>numerous and diverse</w:t>
      </w:r>
      <w:r w:rsidR="008C1939" w:rsidRPr="7E56B70C">
        <w:rPr>
          <w:rFonts w:ascii="Calibri" w:eastAsia="Calibri" w:hAnsi="Calibri" w:cs="Calibri"/>
        </w:rPr>
        <w:t xml:space="preserve"> activities</w:t>
      </w:r>
      <w:r w:rsidR="00227C71" w:rsidRPr="7E56B70C">
        <w:rPr>
          <w:rFonts w:ascii="Calibri" w:eastAsia="Calibri" w:hAnsi="Calibri" w:cs="Calibri"/>
        </w:rPr>
        <w:t xml:space="preserve"> (</w:t>
      </w:r>
      <w:r w:rsidR="001344AF" w:rsidRPr="7E56B70C">
        <w:rPr>
          <w:rFonts w:ascii="Calibri" w:eastAsia="Calibri" w:hAnsi="Calibri" w:cs="Calibri"/>
        </w:rPr>
        <w:t>described in detail in 4.2.</w:t>
      </w:r>
      <w:r w:rsidR="006E2BA7" w:rsidRPr="7E56B70C">
        <w:rPr>
          <w:rFonts w:ascii="Calibri" w:eastAsia="Calibri" w:hAnsi="Calibri" w:cs="Calibri"/>
        </w:rPr>
        <w:t>4</w:t>
      </w:r>
      <w:r w:rsidR="001344AF" w:rsidRPr="7E56B70C">
        <w:rPr>
          <w:rFonts w:ascii="Calibri" w:eastAsia="Calibri" w:hAnsi="Calibri" w:cs="Calibri"/>
        </w:rPr>
        <w:t>)</w:t>
      </w:r>
      <w:r w:rsidR="008C1939" w:rsidRPr="7E56B70C">
        <w:rPr>
          <w:rFonts w:ascii="Calibri" w:eastAsia="Calibri" w:hAnsi="Calibri" w:cs="Calibri"/>
        </w:rPr>
        <w:t xml:space="preserve">. </w:t>
      </w:r>
      <w:r w:rsidR="00007A87" w:rsidRPr="7E56B70C">
        <w:rPr>
          <w:rFonts w:ascii="Calibri" w:eastAsia="Calibri" w:hAnsi="Calibri" w:cs="Calibri"/>
        </w:rPr>
        <w:t xml:space="preserve">Achievements </w:t>
      </w:r>
      <w:r w:rsidR="001344AF" w:rsidRPr="7E56B70C">
        <w:rPr>
          <w:rFonts w:ascii="Calibri" w:eastAsia="Calibri" w:hAnsi="Calibri" w:cs="Calibri"/>
        </w:rPr>
        <w:t xml:space="preserve">of these projects </w:t>
      </w:r>
      <w:r w:rsidR="00007A87" w:rsidRPr="7E56B70C">
        <w:rPr>
          <w:rFonts w:ascii="Calibri" w:eastAsia="Calibri" w:hAnsi="Calibri" w:cs="Calibri"/>
        </w:rPr>
        <w:t xml:space="preserve">include </w:t>
      </w:r>
      <w:r w:rsidR="764D149A" w:rsidRPr="7E56B70C">
        <w:rPr>
          <w:rFonts w:ascii="Calibri" w:eastAsia="Calibri" w:hAnsi="Calibri" w:cs="Calibri"/>
        </w:rPr>
        <w:t>the following</w:t>
      </w:r>
      <w:r w:rsidRPr="7E56B70C">
        <w:rPr>
          <w:rFonts w:ascii="Calibri" w:eastAsia="Calibri" w:hAnsi="Calibri" w:cs="Calibri"/>
        </w:rPr>
        <w:t xml:space="preserve">:  </w:t>
      </w:r>
    </w:p>
    <w:p w14:paraId="0E379591" w14:textId="77777777" w:rsidR="00982383" w:rsidRDefault="00982383" w:rsidP="00F83E7C">
      <w:pPr>
        <w:spacing w:after="0" w:line="240" w:lineRule="atLeast"/>
        <w:jc w:val="both"/>
        <w:rPr>
          <w:rFonts w:ascii="Calibri" w:eastAsia="Calibri" w:hAnsi="Calibri" w:cs="Calibri"/>
        </w:rPr>
      </w:pPr>
    </w:p>
    <w:p w14:paraId="7028F757" w14:textId="02D0C4E4" w:rsidR="00F62F1C" w:rsidRPr="00982383" w:rsidRDefault="00F62F1C" w:rsidP="00F83E7C">
      <w:pPr>
        <w:pStyle w:val="bullet"/>
        <w:spacing w:line="240" w:lineRule="atLeast"/>
      </w:pPr>
      <w:r>
        <w:t xml:space="preserve">Improved COVID-19 and routine </w:t>
      </w:r>
      <w:proofErr w:type="spellStart"/>
      <w:r>
        <w:t>immunisation</w:t>
      </w:r>
      <w:proofErr w:type="spellEnd"/>
      <w:r>
        <w:t xml:space="preserve"> coverage</w:t>
      </w:r>
    </w:p>
    <w:p w14:paraId="53C37474" w14:textId="1E1E05DE" w:rsidR="035CA00E" w:rsidRPr="00F62F1C" w:rsidRDefault="00556E67" w:rsidP="00F62F1C">
      <w:pPr>
        <w:pStyle w:val="bullet"/>
      </w:pPr>
      <w:r>
        <w:t>R</w:t>
      </w:r>
      <w:r w:rsidR="18DACB28">
        <w:t>eached</w:t>
      </w:r>
      <w:r w:rsidR="339708DA">
        <w:t xml:space="preserve"> sub-national </w:t>
      </w:r>
      <w:r w:rsidR="18DACB28">
        <w:t xml:space="preserve">levels </w:t>
      </w:r>
      <w:r w:rsidR="339708DA">
        <w:t xml:space="preserve">and/or to hard-to-reach populations  </w:t>
      </w:r>
    </w:p>
    <w:p w14:paraId="0E7796E3" w14:textId="00D3E17B" w:rsidR="035CA00E" w:rsidRPr="00F62F1C" w:rsidRDefault="004571AB" w:rsidP="00F62F1C">
      <w:pPr>
        <w:pStyle w:val="bullet"/>
      </w:pPr>
      <w:r>
        <w:t>D</w:t>
      </w:r>
      <w:r w:rsidR="1A0AF817">
        <w:t xml:space="preserve">elivered </w:t>
      </w:r>
      <w:r w:rsidR="000201D2">
        <w:t xml:space="preserve">in a timely manner given the emergency context and </w:t>
      </w:r>
      <w:r w:rsidR="1A0AF817">
        <w:t>to safe and high-quality standards</w:t>
      </w:r>
    </w:p>
    <w:p w14:paraId="04F2F1F6" w14:textId="5B7DEF44" w:rsidR="035CA00E" w:rsidRPr="006B0C6C" w:rsidRDefault="00976AB1" w:rsidP="00F62F1C">
      <w:pPr>
        <w:pStyle w:val="bullet"/>
      </w:pPr>
      <w:r>
        <w:t>D</w:t>
      </w:r>
      <w:r w:rsidR="18DACB28">
        <w:t>emonstrated f</w:t>
      </w:r>
      <w:r w:rsidR="1EC7A817">
        <w:t xml:space="preserve">lexibility and adaptability to changing contexts  </w:t>
      </w:r>
    </w:p>
    <w:p w14:paraId="16DE58AB" w14:textId="373F366F" w:rsidR="035CA00E" w:rsidRPr="006B0C6C" w:rsidRDefault="6A17F7CE" w:rsidP="004A2C53">
      <w:pPr>
        <w:pStyle w:val="Heading2SHS"/>
        <w:ind w:left="142"/>
        <w:rPr>
          <w:rFonts w:ascii="Calibri" w:eastAsia="Calibri" w:hAnsi="Calibri" w:cs="Calibri"/>
        </w:rPr>
      </w:pPr>
      <w:r w:rsidRPr="004A2C53">
        <w:rPr>
          <w:rFonts w:ascii="Calibri" w:eastAsia="Calibri" w:hAnsi="Calibri" w:cs="Calibri"/>
        </w:rPr>
        <w:t xml:space="preserve"> </w:t>
      </w:r>
      <w:bookmarkStart w:id="22" w:name="_Toc200617264"/>
      <w:r w:rsidR="32212271" w:rsidRPr="004A2C53">
        <w:rPr>
          <w:rFonts w:ascii="Calibri" w:eastAsia="Calibri" w:hAnsi="Calibri" w:cs="Calibri"/>
        </w:rPr>
        <w:t>Evidence</w:t>
      </w:r>
      <w:bookmarkEnd w:id="22"/>
      <w:r w:rsidR="32212271" w:rsidRPr="004A2C53">
        <w:rPr>
          <w:rFonts w:ascii="Calibri" w:eastAsia="Calibri" w:hAnsi="Calibri" w:cs="Calibri"/>
        </w:rPr>
        <w:t xml:space="preserve"> </w:t>
      </w:r>
    </w:p>
    <w:p w14:paraId="7CB7FA7C" w14:textId="6532D335" w:rsidR="741996B2" w:rsidRPr="006B0C6C" w:rsidRDefault="741996B2" w:rsidP="006B0C6C">
      <w:pPr>
        <w:jc w:val="both"/>
        <w:rPr>
          <w:rFonts w:ascii="Calibri" w:eastAsia="Calibri" w:hAnsi="Calibri" w:cs="Calibri"/>
        </w:rPr>
      </w:pPr>
      <w:r w:rsidRPr="4A351EF4">
        <w:rPr>
          <w:rFonts w:ascii="Calibri" w:eastAsia="Calibri" w:hAnsi="Calibri" w:cs="Calibri"/>
        </w:rPr>
        <w:t xml:space="preserve">Findings </w:t>
      </w:r>
      <w:r w:rsidR="5185CE2D" w:rsidRPr="4A351EF4">
        <w:rPr>
          <w:rFonts w:ascii="Calibri" w:eastAsia="Calibri" w:hAnsi="Calibri" w:cs="Calibri"/>
        </w:rPr>
        <w:t xml:space="preserve">within this section </w:t>
      </w:r>
      <w:r w:rsidRPr="4A351EF4">
        <w:rPr>
          <w:rFonts w:ascii="Calibri" w:eastAsia="Calibri" w:hAnsi="Calibri" w:cs="Calibri"/>
        </w:rPr>
        <w:t>are structured according to the two main VAHSI priorities of (</w:t>
      </w:r>
      <w:proofErr w:type="spellStart"/>
      <w:r w:rsidRPr="4A351EF4">
        <w:rPr>
          <w:rFonts w:ascii="Calibri" w:eastAsia="Calibri" w:hAnsi="Calibri" w:cs="Calibri"/>
        </w:rPr>
        <w:t>i</w:t>
      </w:r>
      <w:proofErr w:type="spellEnd"/>
      <w:r w:rsidRPr="4A351EF4">
        <w:rPr>
          <w:rFonts w:ascii="Calibri" w:eastAsia="Calibri" w:hAnsi="Calibri" w:cs="Calibri"/>
        </w:rPr>
        <w:t>) COVID-19 vaccine supply to countries, and (ii) VAHSI vaccine delivery support projects.</w:t>
      </w:r>
    </w:p>
    <w:p w14:paraId="1ACD6DFD" w14:textId="67027A27" w:rsidR="2F8C6F6C" w:rsidRPr="006B0C6C" w:rsidRDefault="099F151D" w:rsidP="7388A156">
      <w:pPr>
        <w:pStyle w:val="Heading3SHS"/>
        <w:jc w:val="both"/>
      </w:pPr>
      <w:bookmarkStart w:id="23" w:name="_Toc200617265"/>
      <w:r>
        <w:t xml:space="preserve">COVID-19 vaccine supply </w:t>
      </w:r>
      <w:r w:rsidR="38E528BE">
        <w:t>to countries</w:t>
      </w:r>
      <w:bookmarkEnd w:id="23"/>
      <w:r w:rsidR="38E528BE">
        <w:t xml:space="preserve"> </w:t>
      </w:r>
    </w:p>
    <w:p w14:paraId="7435884F" w14:textId="7F78C3A3" w:rsidR="000017BA" w:rsidRPr="006B0C6C" w:rsidRDefault="66C1C10C" w:rsidP="7388A156">
      <w:pPr>
        <w:spacing w:after="160" w:line="257" w:lineRule="auto"/>
        <w:jc w:val="both"/>
        <w:rPr>
          <w:rFonts w:ascii="Calibri" w:eastAsia="Calibri" w:hAnsi="Calibri" w:cs="Calibri"/>
        </w:rPr>
      </w:pPr>
      <w:r w:rsidRPr="006B0C6C">
        <w:rPr>
          <w:rFonts w:ascii="Calibri" w:eastAsia="Calibri" w:hAnsi="Calibri" w:cs="Calibri"/>
        </w:rPr>
        <w:t>The quantity of COVID-19 vaccine</w:t>
      </w:r>
      <w:r w:rsidR="52644135">
        <w:rPr>
          <w:rFonts w:ascii="Calibri" w:eastAsia="Calibri" w:hAnsi="Calibri" w:cs="Calibri"/>
        </w:rPr>
        <w:t>s</w:t>
      </w:r>
      <w:r w:rsidRPr="006B0C6C">
        <w:rPr>
          <w:rFonts w:ascii="Calibri" w:eastAsia="Calibri" w:hAnsi="Calibri" w:cs="Calibri"/>
        </w:rPr>
        <w:t xml:space="preserve"> distributed through VAHSI has no precedent with any prior </w:t>
      </w:r>
      <w:r w:rsidR="52644135">
        <w:rPr>
          <w:rFonts w:ascii="Calibri" w:eastAsia="Calibri" w:hAnsi="Calibri" w:cs="Calibri"/>
        </w:rPr>
        <w:t xml:space="preserve">Australian Government </w:t>
      </w:r>
      <w:r w:rsidRPr="006B0C6C">
        <w:rPr>
          <w:rFonts w:ascii="Calibri" w:eastAsia="Calibri" w:hAnsi="Calibri" w:cs="Calibri"/>
        </w:rPr>
        <w:t xml:space="preserve">international health or development program. From March 2021 to May 2024, the Australian Government </w:t>
      </w:r>
      <w:r w:rsidR="00AF535B">
        <w:rPr>
          <w:rFonts w:ascii="Calibri" w:eastAsia="Calibri" w:hAnsi="Calibri" w:cs="Calibri"/>
        </w:rPr>
        <w:t>supplied</w:t>
      </w:r>
      <w:r w:rsidR="6E52E417" w:rsidRPr="006B0C6C">
        <w:rPr>
          <w:rFonts w:ascii="Calibri" w:eastAsia="Calibri" w:hAnsi="Calibri" w:cs="Calibri"/>
        </w:rPr>
        <w:t xml:space="preserve"> </w:t>
      </w:r>
      <w:r w:rsidR="003F7177" w:rsidRPr="003F7177">
        <w:rPr>
          <w:rFonts w:ascii="Calibri" w:eastAsia="Calibri" w:hAnsi="Calibri" w:cs="Calibri"/>
        </w:rPr>
        <w:t>52,078,270</w:t>
      </w:r>
      <w:r w:rsidR="003F7177">
        <w:rPr>
          <w:rFonts w:ascii="Calibri" w:eastAsia="Calibri" w:hAnsi="Calibri" w:cs="Calibri"/>
        </w:rPr>
        <w:t xml:space="preserve"> </w:t>
      </w:r>
      <w:r w:rsidRPr="006B0C6C">
        <w:rPr>
          <w:rFonts w:ascii="Calibri" w:eastAsia="Calibri" w:hAnsi="Calibri" w:cs="Calibri"/>
        </w:rPr>
        <w:t xml:space="preserve">COVID-19 vaccine doses </w:t>
      </w:r>
      <w:r w:rsidR="52644135">
        <w:rPr>
          <w:rFonts w:ascii="Calibri" w:eastAsia="Calibri" w:hAnsi="Calibri" w:cs="Calibri"/>
        </w:rPr>
        <w:t>through</w:t>
      </w:r>
      <w:r w:rsidRPr="006B0C6C">
        <w:rPr>
          <w:rFonts w:ascii="Calibri" w:eastAsia="Calibri" w:hAnsi="Calibri" w:cs="Calibri"/>
        </w:rPr>
        <w:t xml:space="preserve"> over 150 deliveries to countries</w:t>
      </w:r>
      <w:r w:rsidR="375965E8">
        <w:rPr>
          <w:rFonts w:ascii="Calibri" w:eastAsia="Calibri" w:hAnsi="Calibri" w:cs="Calibri"/>
        </w:rPr>
        <w:t>.</w:t>
      </w:r>
      <w:r w:rsidR="00E01BB8">
        <w:rPr>
          <w:rStyle w:val="EndnoteReference"/>
          <w:rFonts w:ascii="Calibri" w:eastAsia="Calibri" w:hAnsi="Calibri" w:cs="Calibri"/>
        </w:rPr>
        <w:endnoteReference w:id="2"/>
      </w:r>
      <w:r w:rsidRPr="006B0C6C">
        <w:rPr>
          <w:rFonts w:ascii="Calibri" w:eastAsia="Calibri" w:hAnsi="Calibri" w:cs="Calibri"/>
        </w:rPr>
        <w:t xml:space="preserve"> These vaccines were either from Australia's own supply</w:t>
      </w:r>
      <w:r w:rsidR="461F07F2" w:rsidRPr="006B0C6C">
        <w:rPr>
          <w:rFonts w:ascii="Calibri" w:eastAsia="Calibri" w:hAnsi="Calibri" w:cs="Calibri"/>
        </w:rPr>
        <w:t>;</w:t>
      </w:r>
      <w:r w:rsidRPr="006B0C6C">
        <w:rPr>
          <w:rFonts w:ascii="Calibri" w:eastAsia="Calibri" w:hAnsi="Calibri" w:cs="Calibri"/>
        </w:rPr>
        <w:t xml:space="preserve"> procured by Australia for partner countries</w:t>
      </w:r>
      <w:r w:rsidR="461F07F2" w:rsidRPr="006B0C6C">
        <w:rPr>
          <w:rFonts w:ascii="Calibri" w:eastAsia="Calibri" w:hAnsi="Calibri" w:cs="Calibri"/>
        </w:rPr>
        <w:t>;</w:t>
      </w:r>
      <w:r w:rsidRPr="006B0C6C">
        <w:rPr>
          <w:rFonts w:ascii="Calibri" w:eastAsia="Calibri" w:hAnsi="Calibri" w:cs="Calibri"/>
        </w:rPr>
        <w:t xml:space="preserve"> or </w:t>
      </w:r>
      <w:r w:rsidR="5ECD70C4" w:rsidRPr="62CC2B41">
        <w:rPr>
          <w:rFonts w:ascii="Calibri" w:eastAsia="Calibri" w:hAnsi="Calibri" w:cs="Calibri"/>
        </w:rPr>
        <w:t xml:space="preserve">the small number </w:t>
      </w:r>
      <w:r w:rsidRPr="006B0C6C">
        <w:rPr>
          <w:rFonts w:ascii="Calibri" w:eastAsia="Calibri" w:hAnsi="Calibri" w:cs="Calibri"/>
        </w:rPr>
        <w:t xml:space="preserve">distributed through the COVAX Facility (Table </w:t>
      </w:r>
      <w:r w:rsidR="54124269" w:rsidRPr="006B0C6C">
        <w:rPr>
          <w:rFonts w:ascii="Calibri" w:eastAsia="Calibri" w:hAnsi="Calibri" w:cs="Calibri"/>
        </w:rPr>
        <w:t>2</w:t>
      </w:r>
      <w:r w:rsidRPr="006B0C6C">
        <w:rPr>
          <w:rFonts w:ascii="Calibri" w:eastAsia="Calibri" w:hAnsi="Calibri" w:cs="Calibri"/>
        </w:rPr>
        <w:t xml:space="preserve">). Reflecting the development of COVID-19 vaccines internationally and progression of the public response to the pandemic, the initial distributions were of </w:t>
      </w:r>
      <w:r w:rsidR="45E2A9A5" w:rsidRPr="006B0C6C">
        <w:rPr>
          <w:rFonts w:ascii="Calibri" w:eastAsia="Calibri" w:hAnsi="Calibri" w:cs="Calibri"/>
        </w:rPr>
        <w:t>AstraZeneca</w:t>
      </w:r>
      <w:r w:rsidRPr="006B0C6C">
        <w:rPr>
          <w:rFonts w:ascii="Calibri" w:eastAsia="Calibri" w:hAnsi="Calibri" w:cs="Calibri"/>
        </w:rPr>
        <w:t xml:space="preserve"> vaccines, followed by Pfizer vaccines from December 2021, Moderna vaccines from April 2022, Pfizer paediatric vaccines from July 2022, and BA.1 booster doses from May 2023</w:t>
      </w:r>
      <w:r w:rsidR="006698FA" w:rsidRPr="006B0C6C">
        <w:rPr>
          <w:rFonts w:ascii="Calibri" w:eastAsia="Calibri" w:hAnsi="Calibri" w:cs="Calibri"/>
        </w:rPr>
        <w:t xml:space="preserve"> (Annex </w:t>
      </w:r>
      <w:r w:rsidR="43362530" w:rsidRPr="006B0C6C">
        <w:rPr>
          <w:rFonts w:ascii="Calibri" w:eastAsia="Calibri" w:hAnsi="Calibri" w:cs="Calibri"/>
        </w:rPr>
        <w:t>5</w:t>
      </w:r>
      <w:r w:rsidR="006698FA" w:rsidRPr="006B0C6C">
        <w:rPr>
          <w:rFonts w:ascii="Calibri" w:eastAsia="Calibri" w:hAnsi="Calibri" w:cs="Calibri"/>
        </w:rPr>
        <w:t>)</w:t>
      </w:r>
      <w:r w:rsidRPr="006B0C6C">
        <w:rPr>
          <w:rFonts w:ascii="Calibri" w:eastAsia="Calibri" w:hAnsi="Calibri" w:cs="Calibri"/>
        </w:rPr>
        <w:t xml:space="preserve">. </w:t>
      </w:r>
    </w:p>
    <w:p w14:paraId="63B65065" w14:textId="76C63664" w:rsidR="26286CA6" w:rsidRPr="006B0C6C" w:rsidRDefault="7F3B52F2" w:rsidP="006B0C6C">
      <w:pPr>
        <w:spacing w:after="160" w:line="259" w:lineRule="auto"/>
        <w:rPr>
          <w:rFonts w:ascii="Calibri" w:eastAsia="Calibri" w:hAnsi="Calibri" w:cs="Calibri"/>
          <w:b/>
          <w:bCs/>
        </w:rPr>
      </w:pPr>
      <w:r w:rsidRPr="00680011">
        <w:rPr>
          <w:b/>
          <w:bCs/>
          <w:sz w:val="20"/>
          <w:szCs w:val="20"/>
        </w:rPr>
        <w:t xml:space="preserve">Table </w:t>
      </w:r>
      <w:r w:rsidR="008A1E6E" w:rsidRPr="00680011">
        <w:rPr>
          <w:b/>
          <w:bCs/>
          <w:sz w:val="20"/>
          <w:szCs w:val="20"/>
        </w:rPr>
        <w:t>2</w:t>
      </w:r>
      <w:r w:rsidRPr="00680011">
        <w:rPr>
          <w:b/>
          <w:bCs/>
          <w:sz w:val="20"/>
          <w:szCs w:val="20"/>
        </w:rPr>
        <w:t>: Summary of number of COVID-19 vaccine doses shared to countries through</w:t>
      </w:r>
      <w:r w:rsidRPr="006B0C6C">
        <w:rPr>
          <w:rFonts w:ascii="Calibri" w:eastAsia="Calibri" w:hAnsi="Calibri" w:cs="Calibri"/>
          <w:b/>
          <w:bCs/>
        </w:rPr>
        <w:t xml:space="preserve"> </w:t>
      </w:r>
      <w:r w:rsidRPr="00680011">
        <w:rPr>
          <w:b/>
          <w:bCs/>
          <w:sz w:val="20"/>
          <w:szCs w:val="20"/>
        </w:rPr>
        <w:t>VAHSI</w:t>
      </w:r>
      <w:r w:rsidRPr="006B0C6C">
        <w:rPr>
          <w:rFonts w:ascii="Calibri" w:eastAsia="Calibri" w:hAnsi="Calibri" w:cs="Calibri"/>
          <w:b/>
          <w:bCs/>
        </w:rPr>
        <w:t xml:space="preserve"> </w:t>
      </w:r>
    </w:p>
    <w:tbl>
      <w:tblPr>
        <w:tblStyle w:val="SHSReportTable"/>
        <w:tblW w:w="9075" w:type="dxa"/>
        <w:tblLayout w:type="fixed"/>
        <w:tblLook w:val="04A0" w:firstRow="1" w:lastRow="0" w:firstColumn="1" w:lastColumn="0" w:noHBand="0" w:noVBand="1"/>
      </w:tblPr>
      <w:tblGrid>
        <w:gridCol w:w="3025"/>
        <w:gridCol w:w="3025"/>
        <w:gridCol w:w="3025"/>
      </w:tblGrid>
      <w:tr w:rsidR="44C8811F" w:rsidRPr="00123E2D" w14:paraId="35F504FA" w14:textId="77777777" w:rsidTr="00477706">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01031E94" w14:textId="3AC5A710" w:rsidR="44C8811F" w:rsidRPr="006B0C6C" w:rsidRDefault="129BB642" w:rsidP="7388A156">
            <w:pPr>
              <w:spacing w:after="0"/>
              <w:jc w:val="both"/>
              <w:rPr>
                <w:rFonts w:ascii="Calibri" w:eastAsia="Calibri" w:hAnsi="Calibri" w:cs="Calibri"/>
                <w:b w:val="0"/>
                <w:bCs/>
              </w:rPr>
            </w:pPr>
            <w:r w:rsidRPr="006B0C6C">
              <w:rPr>
                <w:rFonts w:ascii="Calibri" w:eastAsia="Calibri" w:hAnsi="Calibri" w:cs="Calibri"/>
                <w:bCs/>
              </w:rPr>
              <w:t>Country</w:t>
            </w:r>
          </w:p>
        </w:tc>
        <w:tc>
          <w:tcPr>
            <w:tcW w:w="3025" w:type="dxa"/>
            <w:tcMar>
              <w:left w:w="108" w:type="dxa"/>
              <w:right w:w="108" w:type="dxa"/>
            </w:tcMar>
          </w:tcPr>
          <w:p w14:paraId="6D765C53" w14:textId="1BD508AD" w:rsidR="44C8811F" w:rsidRPr="006B0C6C" w:rsidRDefault="129BB642" w:rsidP="7388A156">
            <w:pPr>
              <w:spacing w:after="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ertAlign w:val="superscript"/>
              </w:rPr>
            </w:pPr>
            <w:r w:rsidRPr="006B0C6C">
              <w:rPr>
                <w:rFonts w:ascii="Calibri" w:eastAsia="Calibri" w:hAnsi="Calibri" w:cs="Calibri"/>
                <w:bCs/>
              </w:rPr>
              <w:t>No. deliveries</w:t>
            </w:r>
            <w:r w:rsidR="25CBA094" w:rsidRPr="006B0C6C">
              <w:rPr>
                <w:rFonts w:ascii="Calibri" w:eastAsia="Calibri" w:hAnsi="Calibri" w:cs="Calibri"/>
                <w:bCs/>
                <w:vertAlign w:val="superscript"/>
              </w:rPr>
              <w:t>2</w:t>
            </w:r>
          </w:p>
        </w:tc>
        <w:tc>
          <w:tcPr>
            <w:tcW w:w="3025" w:type="dxa"/>
            <w:tcMar>
              <w:left w:w="108" w:type="dxa"/>
              <w:right w:w="108" w:type="dxa"/>
            </w:tcMar>
          </w:tcPr>
          <w:p w14:paraId="18CE12B3" w14:textId="6C6F48A8" w:rsidR="44C8811F" w:rsidRPr="006B0C6C" w:rsidRDefault="129BB642" w:rsidP="7388A156">
            <w:pPr>
              <w:spacing w:after="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rPr>
            </w:pPr>
            <w:r w:rsidRPr="006B0C6C">
              <w:rPr>
                <w:rFonts w:ascii="Calibri" w:eastAsia="Calibri" w:hAnsi="Calibri" w:cs="Calibri"/>
                <w:bCs/>
              </w:rPr>
              <w:t>No. doses delivered</w:t>
            </w:r>
          </w:p>
        </w:tc>
      </w:tr>
      <w:tr w:rsidR="44C8811F" w:rsidRPr="00123E2D" w14:paraId="4401C152" w14:textId="77777777" w:rsidTr="7D4F1B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1D6FA3E9" w14:textId="70AE9432" w:rsidR="44C8811F" w:rsidRPr="006B0C6C" w:rsidRDefault="129BB642" w:rsidP="7388A156">
            <w:pPr>
              <w:spacing w:after="0"/>
              <w:jc w:val="both"/>
            </w:pPr>
            <w:r w:rsidRPr="006B0C6C">
              <w:rPr>
                <w:rFonts w:ascii="Calibri" w:eastAsia="Calibri" w:hAnsi="Calibri" w:cs="Calibri"/>
              </w:rPr>
              <w:t>Cambodia</w:t>
            </w:r>
          </w:p>
        </w:tc>
        <w:tc>
          <w:tcPr>
            <w:tcW w:w="3025" w:type="dxa"/>
            <w:tcMar>
              <w:left w:w="108" w:type="dxa"/>
              <w:right w:w="108" w:type="dxa"/>
            </w:tcMar>
          </w:tcPr>
          <w:p w14:paraId="7099BE03" w14:textId="7779ED57" w:rsidR="44C8811F" w:rsidRPr="006B0C6C" w:rsidRDefault="7802DBE2" w:rsidP="33F2F9ED">
            <w:pPr>
              <w:tabs>
                <w:tab w:val="left" w:pos="576"/>
              </w:tabs>
              <w:spacing w:after="0"/>
              <w:jc w:val="center"/>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4</w:t>
            </w:r>
          </w:p>
        </w:tc>
        <w:tc>
          <w:tcPr>
            <w:tcW w:w="3025" w:type="dxa"/>
            <w:tcMar>
              <w:left w:w="108" w:type="dxa"/>
              <w:right w:w="108" w:type="dxa"/>
            </w:tcMar>
          </w:tcPr>
          <w:p w14:paraId="6A2F5D17" w14:textId="277B45C7" w:rsidR="44C8811F" w:rsidRPr="006B0C6C" w:rsidRDefault="7802DBE2" w:rsidP="00902F68">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2,830,530</w:t>
            </w:r>
          </w:p>
        </w:tc>
      </w:tr>
      <w:tr w:rsidR="44C8811F" w:rsidRPr="00123E2D" w14:paraId="31B70C59" w14:textId="77777777" w:rsidTr="7D4F1B9F">
        <w:trPr>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6D4C207A" w14:textId="3CFD5854" w:rsidR="44C8811F" w:rsidRPr="006B0C6C" w:rsidRDefault="129BB642" w:rsidP="7388A156">
            <w:pPr>
              <w:spacing w:after="0"/>
              <w:jc w:val="both"/>
            </w:pPr>
            <w:r w:rsidRPr="006B0C6C">
              <w:rPr>
                <w:rFonts w:ascii="Calibri" w:eastAsia="Calibri" w:hAnsi="Calibri" w:cs="Calibri"/>
              </w:rPr>
              <w:t>Indonesia</w:t>
            </w:r>
          </w:p>
        </w:tc>
        <w:tc>
          <w:tcPr>
            <w:tcW w:w="3025" w:type="dxa"/>
            <w:tcMar>
              <w:left w:w="108" w:type="dxa"/>
              <w:right w:w="108" w:type="dxa"/>
            </w:tcMar>
          </w:tcPr>
          <w:p w14:paraId="13E8A186" w14:textId="5E324E6F" w:rsidR="44C8811F" w:rsidRPr="006B0C6C" w:rsidRDefault="7802DBE2" w:rsidP="33F2F9ED">
            <w:pPr>
              <w:spacing w:after="0"/>
              <w:jc w:val="center"/>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7</w:t>
            </w:r>
          </w:p>
        </w:tc>
        <w:tc>
          <w:tcPr>
            <w:tcW w:w="3025" w:type="dxa"/>
            <w:tcMar>
              <w:left w:w="108" w:type="dxa"/>
              <w:right w:w="108" w:type="dxa"/>
            </w:tcMar>
          </w:tcPr>
          <w:p w14:paraId="4E6A633B" w14:textId="073C30A9" w:rsidR="44C8811F" w:rsidRPr="006B0C6C" w:rsidRDefault="7802DBE2" w:rsidP="00902F68">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8,395,000</w:t>
            </w:r>
          </w:p>
        </w:tc>
      </w:tr>
      <w:tr w:rsidR="44C8811F" w:rsidRPr="00123E2D" w14:paraId="034551EE" w14:textId="77777777" w:rsidTr="7D4F1B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5ABC9E46" w14:textId="75BAA616" w:rsidR="44C8811F" w:rsidRPr="006B0C6C" w:rsidRDefault="129BB642" w:rsidP="7388A156">
            <w:pPr>
              <w:spacing w:after="0"/>
              <w:jc w:val="both"/>
            </w:pPr>
            <w:r w:rsidRPr="006B0C6C">
              <w:rPr>
                <w:rFonts w:ascii="Calibri" w:eastAsia="Calibri" w:hAnsi="Calibri" w:cs="Calibri"/>
              </w:rPr>
              <w:t>Laos</w:t>
            </w:r>
          </w:p>
        </w:tc>
        <w:tc>
          <w:tcPr>
            <w:tcW w:w="3025" w:type="dxa"/>
            <w:tcMar>
              <w:left w:w="108" w:type="dxa"/>
              <w:right w:w="108" w:type="dxa"/>
            </w:tcMar>
          </w:tcPr>
          <w:p w14:paraId="7EDBB2F8" w14:textId="316759C1" w:rsidR="44C8811F" w:rsidRPr="006B0C6C" w:rsidRDefault="7802DBE2" w:rsidP="33F2F9ED">
            <w:pPr>
              <w:spacing w:after="0"/>
              <w:jc w:val="center"/>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4</w:t>
            </w:r>
          </w:p>
        </w:tc>
        <w:tc>
          <w:tcPr>
            <w:tcW w:w="3025" w:type="dxa"/>
            <w:tcMar>
              <w:left w:w="108" w:type="dxa"/>
              <w:right w:w="108" w:type="dxa"/>
            </w:tcMar>
          </w:tcPr>
          <w:p w14:paraId="6C1A6B3E" w14:textId="22391931" w:rsidR="44C8811F" w:rsidRPr="006B0C6C" w:rsidRDefault="7802DBE2" w:rsidP="00902F68">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1,504,780</w:t>
            </w:r>
          </w:p>
        </w:tc>
      </w:tr>
      <w:tr w:rsidR="44C8811F" w:rsidRPr="00123E2D" w14:paraId="10C78445" w14:textId="77777777" w:rsidTr="7D4F1B9F">
        <w:trPr>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134B4260" w14:textId="54A2DA59" w:rsidR="44C8811F" w:rsidRPr="006B0C6C" w:rsidRDefault="129BB642" w:rsidP="7388A156">
            <w:pPr>
              <w:spacing w:after="0"/>
              <w:jc w:val="both"/>
            </w:pPr>
            <w:r w:rsidRPr="006B0C6C">
              <w:rPr>
                <w:rFonts w:ascii="Calibri" w:eastAsia="Calibri" w:hAnsi="Calibri" w:cs="Calibri"/>
              </w:rPr>
              <w:t>Papua New Guinea</w:t>
            </w:r>
          </w:p>
        </w:tc>
        <w:tc>
          <w:tcPr>
            <w:tcW w:w="3025" w:type="dxa"/>
            <w:tcMar>
              <w:left w:w="108" w:type="dxa"/>
              <w:right w:w="108" w:type="dxa"/>
            </w:tcMar>
          </w:tcPr>
          <w:p w14:paraId="7A2A4204" w14:textId="7A6CC2D3" w:rsidR="44C8811F" w:rsidRPr="006B0C6C" w:rsidRDefault="7802DBE2" w:rsidP="33F2F9ED">
            <w:pPr>
              <w:spacing w:after="0"/>
              <w:jc w:val="center"/>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14</w:t>
            </w:r>
          </w:p>
        </w:tc>
        <w:tc>
          <w:tcPr>
            <w:tcW w:w="3025" w:type="dxa"/>
            <w:tcMar>
              <w:left w:w="108" w:type="dxa"/>
              <w:right w:w="108" w:type="dxa"/>
            </w:tcMar>
          </w:tcPr>
          <w:p w14:paraId="3386A9F4" w14:textId="3833347C" w:rsidR="44C8811F" w:rsidRPr="006B0C6C" w:rsidRDefault="7802DBE2" w:rsidP="00902F68">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335,270</w:t>
            </w:r>
          </w:p>
        </w:tc>
      </w:tr>
      <w:tr w:rsidR="44C8811F" w:rsidRPr="00123E2D" w14:paraId="2652D16C" w14:textId="77777777" w:rsidTr="7D4F1B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2F2CF92F" w14:textId="1F7E45A7" w:rsidR="44C8811F" w:rsidRPr="006B0C6C" w:rsidRDefault="129BB642" w:rsidP="7388A156">
            <w:pPr>
              <w:spacing w:after="0"/>
              <w:jc w:val="both"/>
            </w:pPr>
            <w:r w:rsidRPr="006B0C6C">
              <w:rPr>
                <w:rFonts w:ascii="Calibri" w:eastAsia="Calibri" w:hAnsi="Calibri" w:cs="Calibri"/>
              </w:rPr>
              <w:t>Philippines</w:t>
            </w:r>
          </w:p>
        </w:tc>
        <w:tc>
          <w:tcPr>
            <w:tcW w:w="3025" w:type="dxa"/>
            <w:tcMar>
              <w:left w:w="108" w:type="dxa"/>
              <w:right w:w="108" w:type="dxa"/>
            </w:tcMar>
          </w:tcPr>
          <w:p w14:paraId="1F563180" w14:textId="610F8877" w:rsidR="44C8811F" w:rsidRPr="006B0C6C" w:rsidRDefault="7802DBE2" w:rsidP="33F2F9ED">
            <w:pPr>
              <w:spacing w:after="0"/>
              <w:jc w:val="center"/>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7</w:t>
            </w:r>
          </w:p>
        </w:tc>
        <w:tc>
          <w:tcPr>
            <w:tcW w:w="3025" w:type="dxa"/>
            <w:tcMar>
              <w:left w:w="108" w:type="dxa"/>
              <w:right w:w="108" w:type="dxa"/>
            </w:tcMar>
          </w:tcPr>
          <w:p w14:paraId="1333D5E5" w14:textId="155ED11A" w:rsidR="44C8811F" w:rsidRPr="006B0C6C" w:rsidRDefault="7802DBE2" w:rsidP="00902F68">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8,132,080</w:t>
            </w:r>
          </w:p>
        </w:tc>
      </w:tr>
      <w:tr w:rsidR="44C8811F" w:rsidRPr="00123E2D" w14:paraId="4E4F02F2" w14:textId="77777777" w:rsidTr="7D4F1B9F">
        <w:trPr>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4AB6BAB5" w14:textId="78254D97" w:rsidR="44C8811F" w:rsidRPr="006B0C6C" w:rsidRDefault="129BB642" w:rsidP="7388A156">
            <w:pPr>
              <w:spacing w:after="0"/>
              <w:jc w:val="both"/>
            </w:pPr>
            <w:r w:rsidRPr="006B0C6C">
              <w:rPr>
                <w:rFonts w:ascii="Calibri" w:eastAsia="Calibri" w:hAnsi="Calibri" w:cs="Calibri"/>
              </w:rPr>
              <w:t>Thailand</w:t>
            </w:r>
          </w:p>
        </w:tc>
        <w:tc>
          <w:tcPr>
            <w:tcW w:w="3025" w:type="dxa"/>
            <w:tcMar>
              <w:left w:w="108" w:type="dxa"/>
              <w:right w:w="108" w:type="dxa"/>
            </w:tcMar>
          </w:tcPr>
          <w:p w14:paraId="5A2AFABB" w14:textId="4ED6C561" w:rsidR="44C8811F" w:rsidRPr="006B0C6C" w:rsidRDefault="7802DBE2" w:rsidP="33F2F9ED">
            <w:pPr>
              <w:spacing w:after="0"/>
              <w:jc w:val="center"/>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w:t>
            </w:r>
          </w:p>
        </w:tc>
        <w:tc>
          <w:tcPr>
            <w:tcW w:w="3025" w:type="dxa"/>
            <w:tcMar>
              <w:left w:w="108" w:type="dxa"/>
              <w:right w:w="108" w:type="dxa"/>
            </w:tcMar>
          </w:tcPr>
          <w:p w14:paraId="66B31C4E" w14:textId="45C642E6" w:rsidR="44C8811F" w:rsidRPr="006B0C6C" w:rsidRDefault="7802DBE2" w:rsidP="00902F68">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452,790</w:t>
            </w:r>
          </w:p>
        </w:tc>
      </w:tr>
      <w:tr w:rsidR="44C8811F" w:rsidRPr="00123E2D" w14:paraId="2733279F" w14:textId="77777777" w:rsidTr="7D4F1B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01DBB721" w14:textId="134AA4D4" w:rsidR="44C8811F" w:rsidRPr="006B0C6C" w:rsidRDefault="129BB642" w:rsidP="7388A156">
            <w:pPr>
              <w:spacing w:after="0"/>
              <w:jc w:val="both"/>
            </w:pPr>
            <w:r w:rsidRPr="006B0C6C">
              <w:rPr>
                <w:rFonts w:ascii="Calibri" w:eastAsia="Calibri" w:hAnsi="Calibri" w:cs="Calibri"/>
              </w:rPr>
              <w:t>Timor-Leste</w:t>
            </w:r>
          </w:p>
        </w:tc>
        <w:tc>
          <w:tcPr>
            <w:tcW w:w="3025" w:type="dxa"/>
            <w:tcMar>
              <w:left w:w="108" w:type="dxa"/>
              <w:right w:w="108" w:type="dxa"/>
            </w:tcMar>
          </w:tcPr>
          <w:p w14:paraId="5A17C4DB" w14:textId="1630A4C3" w:rsidR="44C8811F" w:rsidRPr="006B0C6C" w:rsidRDefault="7802DBE2" w:rsidP="33F2F9ED">
            <w:pPr>
              <w:spacing w:after="0"/>
              <w:jc w:val="center"/>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13</w:t>
            </w:r>
          </w:p>
        </w:tc>
        <w:tc>
          <w:tcPr>
            <w:tcW w:w="3025" w:type="dxa"/>
            <w:tcMar>
              <w:left w:w="108" w:type="dxa"/>
              <w:right w:w="108" w:type="dxa"/>
            </w:tcMar>
          </w:tcPr>
          <w:p w14:paraId="077B0D31" w14:textId="2DA597A0" w:rsidR="44C8811F" w:rsidRPr="006B0C6C" w:rsidRDefault="7802DBE2" w:rsidP="00902F68">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1,190,040</w:t>
            </w:r>
          </w:p>
        </w:tc>
      </w:tr>
      <w:tr w:rsidR="44C8811F" w:rsidRPr="00123E2D" w14:paraId="3B1A0FA5" w14:textId="77777777" w:rsidTr="7D4F1B9F">
        <w:trPr>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4A771027" w14:textId="63B6F045" w:rsidR="44C8811F" w:rsidRPr="006B0C6C" w:rsidRDefault="129BB642" w:rsidP="7388A156">
            <w:pPr>
              <w:spacing w:after="0"/>
              <w:jc w:val="both"/>
            </w:pPr>
            <w:r w:rsidRPr="006B0C6C">
              <w:rPr>
                <w:rFonts w:ascii="Calibri" w:eastAsia="Calibri" w:hAnsi="Calibri" w:cs="Calibri"/>
              </w:rPr>
              <w:t>Vietnam</w:t>
            </w:r>
          </w:p>
        </w:tc>
        <w:tc>
          <w:tcPr>
            <w:tcW w:w="3025" w:type="dxa"/>
            <w:tcMar>
              <w:left w:w="108" w:type="dxa"/>
              <w:right w:w="108" w:type="dxa"/>
            </w:tcMar>
          </w:tcPr>
          <w:p w14:paraId="61BB9929" w14:textId="4651FA36" w:rsidR="44C8811F" w:rsidRPr="006B0C6C" w:rsidRDefault="7802DBE2" w:rsidP="33F2F9ED">
            <w:pPr>
              <w:spacing w:after="0"/>
              <w:jc w:val="center"/>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23</w:t>
            </w:r>
          </w:p>
        </w:tc>
        <w:tc>
          <w:tcPr>
            <w:tcW w:w="3025" w:type="dxa"/>
            <w:tcMar>
              <w:left w:w="108" w:type="dxa"/>
              <w:right w:w="108" w:type="dxa"/>
            </w:tcMar>
          </w:tcPr>
          <w:p w14:paraId="0593778B" w14:textId="638B7743" w:rsidR="44C8811F" w:rsidRPr="006B0C6C" w:rsidRDefault="7802DBE2" w:rsidP="00902F68">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26,461,860</w:t>
            </w:r>
          </w:p>
        </w:tc>
      </w:tr>
      <w:tr w:rsidR="44C8811F" w:rsidRPr="00123E2D" w14:paraId="7C24C536" w14:textId="77777777" w:rsidTr="7D4F1B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48A86B15" w14:textId="387D54EF" w:rsidR="44C8811F" w:rsidRPr="006B0C6C" w:rsidRDefault="129BB642" w:rsidP="7388A156">
            <w:pPr>
              <w:spacing w:after="0"/>
              <w:jc w:val="both"/>
            </w:pPr>
            <w:r w:rsidRPr="006B0C6C">
              <w:rPr>
                <w:rFonts w:ascii="Calibri" w:eastAsia="Calibri" w:hAnsi="Calibri" w:cs="Calibri"/>
              </w:rPr>
              <w:t>Fiji</w:t>
            </w:r>
          </w:p>
        </w:tc>
        <w:tc>
          <w:tcPr>
            <w:tcW w:w="3025" w:type="dxa"/>
            <w:tcMar>
              <w:left w:w="108" w:type="dxa"/>
              <w:right w:w="108" w:type="dxa"/>
            </w:tcMar>
          </w:tcPr>
          <w:p w14:paraId="3EF7356E" w14:textId="452B8B93" w:rsidR="44C8811F" w:rsidRPr="006B0C6C" w:rsidRDefault="7802DBE2" w:rsidP="33F2F9ED">
            <w:pPr>
              <w:spacing w:after="0"/>
              <w:jc w:val="center"/>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28</w:t>
            </w:r>
          </w:p>
        </w:tc>
        <w:tc>
          <w:tcPr>
            <w:tcW w:w="3025" w:type="dxa"/>
            <w:tcMar>
              <w:left w:w="108" w:type="dxa"/>
              <w:right w:w="108" w:type="dxa"/>
            </w:tcMar>
          </w:tcPr>
          <w:p w14:paraId="5343AB26" w14:textId="20412258" w:rsidR="44C8811F" w:rsidRPr="006B0C6C" w:rsidRDefault="7802DBE2" w:rsidP="00902F68">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1,651,100</w:t>
            </w:r>
          </w:p>
        </w:tc>
      </w:tr>
      <w:tr w:rsidR="44C8811F" w:rsidRPr="00123E2D" w14:paraId="32498124" w14:textId="77777777" w:rsidTr="7D4F1B9F">
        <w:trPr>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064802A5" w14:textId="5A676423" w:rsidR="44C8811F" w:rsidRPr="006B0C6C" w:rsidRDefault="129BB642" w:rsidP="7388A156">
            <w:pPr>
              <w:spacing w:after="0"/>
              <w:jc w:val="both"/>
            </w:pPr>
            <w:r w:rsidRPr="006B0C6C">
              <w:rPr>
                <w:rFonts w:ascii="Calibri" w:eastAsia="Calibri" w:hAnsi="Calibri" w:cs="Calibri"/>
              </w:rPr>
              <w:t>Kiribati</w:t>
            </w:r>
          </w:p>
        </w:tc>
        <w:tc>
          <w:tcPr>
            <w:tcW w:w="3025" w:type="dxa"/>
            <w:tcMar>
              <w:left w:w="108" w:type="dxa"/>
              <w:right w:w="108" w:type="dxa"/>
            </w:tcMar>
          </w:tcPr>
          <w:p w14:paraId="7CC70810" w14:textId="42A01E25" w:rsidR="44C8811F" w:rsidRPr="006B0C6C" w:rsidRDefault="7802DBE2" w:rsidP="33F2F9ED">
            <w:pPr>
              <w:spacing w:after="0"/>
              <w:jc w:val="center"/>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4</w:t>
            </w:r>
          </w:p>
        </w:tc>
        <w:tc>
          <w:tcPr>
            <w:tcW w:w="3025" w:type="dxa"/>
            <w:tcMar>
              <w:left w:w="108" w:type="dxa"/>
              <w:right w:w="108" w:type="dxa"/>
            </w:tcMar>
          </w:tcPr>
          <w:p w14:paraId="1E6ED033" w14:textId="25306970" w:rsidR="44C8811F" w:rsidRPr="006B0C6C" w:rsidRDefault="7802DBE2" w:rsidP="00902F68">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50,500</w:t>
            </w:r>
          </w:p>
        </w:tc>
      </w:tr>
      <w:tr w:rsidR="44C8811F" w:rsidRPr="00123E2D" w14:paraId="5324D43A" w14:textId="77777777" w:rsidTr="7D4F1B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3545CFC5" w14:textId="0055C2F2" w:rsidR="44C8811F" w:rsidRPr="006B0C6C" w:rsidRDefault="129BB642" w:rsidP="7388A156">
            <w:pPr>
              <w:spacing w:after="0"/>
              <w:jc w:val="both"/>
            </w:pPr>
            <w:r w:rsidRPr="006B0C6C">
              <w:rPr>
                <w:rFonts w:ascii="Calibri" w:eastAsia="Calibri" w:hAnsi="Calibri" w:cs="Calibri"/>
              </w:rPr>
              <w:t>Nauru</w:t>
            </w:r>
          </w:p>
        </w:tc>
        <w:tc>
          <w:tcPr>
            <w:tcW w:w="3025" w:type="dxa"/>
            <w:tcMar>
              <w:left w:w="108" w:type="dxa"/>
              <w:right w:w="108" w:type="dxa"/>
            </w:tcMar>
          </w:tcPr>
          <w:p w14:paraId="0E7708DB" w14:textId="76C76CFC" w:rsidR="44C8811F" w:rsidRPr="006B0C6C" w:rsidRDefault="7802DBE2" w:rsidP="33F2F9ED">
            <w:pPr>
              <w:spacing w:after="0"/>
              <w:jc w:val="center"/>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7</w:t>
            </w:r>
          </w:p>
        </w:tc>
        <w:tc>
          <w:tcPr>
            <w:tcW w:w="3025" w:type="dxa"/>
            <w:tcMar>
              <w:left w:w="108" w:type="dxa"/>
              <w:right w:w="108" w:type="dxa"/>
            </w:tcMar>
          </w:tcPr>
          <w:p w14:paraId="6CF75E61" w14:textId="0624549B" w:rsidR="44C8811F" w:rsidRPr="006B0C6C" w:rsidRDefault="7802DBE2" w:rsidP="00902F68">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24,280</w:t>
            </w:r>
          </w:p>
        </w:tc>
      </w:tr>
      <w:tr w:rsidR="44C8811F" w:rsidRPr="00123E2D" w14:paraId="3C5842BA" w14:textId="77777777" w:rsidTr="7D4F1B9F">
        <w:trPr>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49A00B91" w14:textId="34D37EB8" w:rsidR="44C8811F" w:rsidRPr="006B0C6C" w:rsidRDefault="129BB642" w:rsidP="7388A156">
            <w:pPr>
              <w:spacing w:after="0"/>
              <w:jc w:val="both"/>
            </w:pPr>
            <w:r w:rsidRPr="006B0C6C">
              <w:rPr>
                <w:rFonts w:ascii="Calibri" w:eastAsia="Calibri" w:hAnsi="Calibri" w:cs="Calibri"/>
              </w:rPr>
              <w:t>Samoa</w:t>
            </w:r>
          </w:p>
        </w:tc>
        <w:tc>
          <w:tcPr>
            <w:tcW w:w="3025" w:type="dxa"/>
            <w:tcMar>
              <w:left w:w="108" w:type="dxa"/>
              <w:right w:w="108" w:type="dxa"/>
            </w:tcMar>
          </w:tcPr>
          <w:p w14:paraId="2C2C6333" w14:textId="2C45BFF7" w:rsidR="44C8811F" w:rsidRPr="006B0C6C" w:rsidRDefault="7802DBE2" w:rsidP="33F2F9ED">
            <w:pPr>
              <w:spacing w:after="0"/>
              <w:jc w:val="center"/>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8</w:t>
            </w:r>
          </w:p>
        </w:tc>
        <w:tc>
          <w:tcPr>
            <w:tcW w:w="3025" w:type="dxa"/>
            <w:tcMar>
              <w:left w:w="108" w:type="dxa"/>
              <w:right w:w="108" w:type="dxa"/>
            </w:tcMar>
          </w:tcPr>
          <w:p w14:paraId="53B522D5" w14:textId="2DCA3DA9" w:rsidR="44C8811F" w:rsidRPr="006B0C6C" w:rsidRDefault="7802DBE2" w:rsidP="00902F68">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175,150</w:t>
            </w:r>
          </w:p>
        </w:tc>
      </w:tr>
      <w:tr w:rsidR="44C8811F" w:rsidRPr="00123E2D" w14:paraId="61B1151D" w14:textId="77777777" w:rsidTr="7D4F1B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3C0DB903" w14:textId="73879C49" w:rsidR="44C8811F" w:rsidRPr="006B0C6C" w:rsidRDefault="129BB642" w:rsidP="7388A156">
            <w:pPr>
              <w:spacing w:after="0"/>
              <w:jc w:val="both"/>
            </w:pPr>
            <w:r w:rsidRPr="006B0C6C">
              <w:rPr>
                <w:rFonts w:ascii="Calibri" w:eastAsia="Calibri" w:hAnsi="Calibri" w:cs="Calibri"/>
              </w:rPr>
              <w:t>Solomon Islands</w:t>
            </w:r>
          </w:p>
        </w:tc>
        <w:tc>
          <w:tcPr>
            <w:tcW w:w="3025" w:type="dxa"/>
            <w:tcMar>
              <w:left w:w="108" w:type="dxa"/>
              <w:right w:w="108" w:type="dxa"/>
            </w:tcMar>
          </w:tcPr>
          <w:p w14:paraId="3AFA998B" w14:textId="7919DBC1" w:rsidR="44C8811F" w:rsidRPr="006B0C6C" w:rsidRDefault="7802DBE2" w:rsidP="33F2F9ED">
            <w:pPr>
              <w:spacing w:after="0"/>
              <w:jc w:val="center"/>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11</w:t>
            </w:r>
          </w:p>
        </w:tc>
        <w:tc>
          <w:tcPr>
            <w:tcW w:w="3025" w:type="dxa"/>
            <w:tcMar>
              <w:left w:w="108" w:type="dxa"/>
              <w:right w:w="108" w:type="dxa"/>
            </w:tcMar>
          </w:tcPr>
          <w:p w14:paraId="16D3AC89" w14:textId="54B8A60D" w:rsidR="44C8811F" w:rsidRPr="006B0C6C" w:rsidRDefault="7802DBE2" w:rsidP="00902F68">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618,200</w:t>
            </w:r>
          </w:p>
        </w:tc>
      </w:tr>
      <w:tr w:rsidR="44C8811F" w:rsidRPr="00123E2D" w14:paraId="58C0BA0A" w14:textId="77777777" w:rsidTr="7D4F1B9F">
        <w:trPr>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2C796B1A" w14:textId="53D31E04" w:rsidR="44C8811F" w:rsidRPr="006B0C6C" w:rsidRDefault="129BB642" w:rsidP="7388A156">
            <w:pPr>
              <w:spacing w:after="0"/>
              <w:jc w:val="both"/>
            </w:pPr>
            <w:r w:rsidRPr="006B0C6C">
              <w:rPr>
                <w:rFonts w:ascii="Calibri" w:eastAsia="Calibri" w:hAnsi="Calibri" w:cs="Calibri"/>
              </w:rPr>
              <w:t>Tonga</w:t>
            </w:r>
          </w:p>
        </w:tc>
        <w:tc>
          <w:tcPr>
            <w:tcW w:w="3025" w:type="dxa"/>
            <w:tcMar>
              <w:left w:w="108" w:type="dxa"/>
              <w:right w:w="108" w:type="dxa"/>
            </w:tcMar>
          </w:tcPr>
          <w:p w14:paraId="5F39184C" w14:textId="7122A340" w:rsidR="44C8811F" w:rsidRPr="006B0C6C" w:rsidRDefault="7802DBE2" w:rsidP="33F2F9ED">
            <w:pPr>
              <w:spacing w:after="0"/>
              <w:jc w:val="center"/>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4</w:t>
            </w:r>
          </w:p>
        </w:tc>
        <w:tc>
          <w:tcPr>
            <w:tcW w:w="3025" w:type="dxa"/>
            <w:tcMar>
              <w:left w:w="108" w:type="dxa"/>
              <w:right w:w="108" w:type="dxa"/>
            </w:tcMar>
          </w:tcPr>
          <w:p w14:paraId="0CB4C94F" w14:textId="439F31C3" w:rsidR="44C8811F" w:rsidRPr="006B0C6C" w:rsidRDefault="7802DBE2" w:rsidP="00902F68">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76,190</w:t>
            </w:r>
          </w:p>
        </w:tc>
      </w:tr>
      <w:tr w:rsidR="44C8811F" w:rsidRPr="00123E2D" w14:paraId="57CCDDDD" w14:textId="77777777" w:rsidTr="7D4F1B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7B36C6B2" w14:textId="6C1FFE22" w:rsidR="44C8811F" w:rsidRPr="006B0C6C" w:rsidRDefault="129BB642" w:rsidP="7388A156">
            <w:pPr>
              <w:spacing w:after="0"/>
              <w:jc w:val="both"/>
            </w:pPr>
            <w:r w:rsidRPr="006B0C6C">
              <w:rPr>
                <w:rFonts w:ascii="Calibri" w:eastAsia="Calibri" w:hAnsi="Calibri" w:cs="Calibri"/>
              </w:rPr>
              <w:t>Tuvalu</w:t>
            </w:r>
          </w:p>
        </w:tc>
        <w:tc>
          <w:tcPr>
            <w:tcW w:w="3025" w:type="dxa"/>
            <w:tcMar>
              <w:left w:w="108" w:type="dxa"/>
              <w:right w:w="108" w:type="dxa"/>
            </w:tcMar>
          </w:tcPr>
          <w:p w14:paraId="1CBF229C" w14:textId="1DC2D2A4" w:rsidR="44C8811F" w:rsidRPr="006B0C6C" w:rsidRDefault="7802DBE2" w:rsidP="33F2F9ED">
            <w:pPr>
              <w:spacing w:after="0"/>
              <w:jc w:val="center"/>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6</w:t>
            </w:r>
          </w:p>
        </w:tc>
        <w:tc>
          <w:tcPr>
            <w:tcW w:w="3025" w:type="dxa"/>
            <w:tcMar>
              <w:left w:w="108" w:type="dxa"/>
              <w:right w:w="108" w:type="dxa"/>
            </w:tcMar>
          </w:tcPr>
          <w:p w14:paraId="775DBDE9" w14:textId="139E152D" w:rsidR="44C8811F" w:rsidRPr="006B0C6C" w:rsidRDefault="7802DBE2" w:rsidP="00902F68">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20,500</w:t>
            </w:r>
          </w:p>
        </w:tc>
      </w:tr>
      <w:tr w:rsidR="44C8811F" w:rsidRPr="00123E2D" w14:paraId="7F73C7E1" w14:textId="77777777" w:rsidTr="7D4F1B9F">
        <w:trPr>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018FDE24" w14:textId="46C638A2" w:rsidR="44C8811F" w:rsidRPr="006B0C6C" w:rsidRDefault="129BB642" w:rsidP="7388A156">
            <w:pPr>
              <w:spacing w:after="0"/>
              <w:jc w:val="both"/>
            </w:pPr>
            <w:r w:rsidRPr="006B0C6C">
              <w:rPr>
                <w:rFonts w:ascii="Calibri" w:eastAsia="Calibri" w:hAnsi="Calibri" w:cs="Calibri"/>
              </w:rPr>
              <w:t>Vanuatu</w:t>
            </w:r>
          </w:p>
        </w:tc>
        <w:tc>
          <w:tcPr>
            <w:tcW w:w="3025" w:type="dxa"/>
            <w:tcMar>
              <w:left w:w="108" w:type="dxa"/>
              <w:right w:w="108" w:type="dxa"/>
            </w:tcMar>
          </w:tcPr>
          <w:p w14:paraId="5D65342B" w14:textId="507A0F44" w:rsidR="44C8811F" w:rsidRPr="006B0C6C" w:rsidRDefault="7802DBE2" w:rsidP="33F2F9ED">
            <w:pPr>
              <w:spacing w:after="0"/>
              <w:jc w:val="center"/>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7</w:t>
            </w:r>
          </w:p>
        </w:tc>
        <w:tc>
          <w:tcPr>
            <w:tcW w:w="3025" w:type="dxa"/>
            <w:tcMar>
              <w:left w:w="108" w:type="dxa"/>
              <w:right w:w="108" w:type="dxa"/>
            </w:tcMar>
          </w:tcPr>
          <w:p w14:paraId="0D1F58EC" w14:textId="5966B2C5" w:rsidR="44C8811F" w:rsidRPr="006B0C6C" w:rsidRDefault="7802DBE2" w:rsidP="00902F68">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160,000</w:t>
            </w:r>
          </w:p>
        </w:tc>
      </w:tr>
      <w:tr w:rsidR="44C8811F" w:rsidRPr="00123E2D" w14:paraId="014CE699" w14:textId="77777777" w:rsidTr="7D4F1B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25" w:type="dxa"/>
            <w:tcMar>
              <w:left w:w="108" w:type="dxa"/>
              <w:right w:w="108" w:type="dxa"/>
            </w:tcMar>
          </w:tcPr>
          <w:p w14:paraId="2E68A1F5" w14:textId="3284668D" w:rsidR="44C8811F" w:rsidRPr="006B0C6C" w:rsidRDefault="129BB642" w:rsidP="7388A156">
            <w:pPr>
              <w:spacing w:after="0"/>
              <w:jc w:val="both"/>
            </w:pPr>
            <w:r w:rsidRPr="006B0C6C">
              <w:rPr>
                <w:rFonts w:ascii="Calibri" w:eastAsia="Calibri" w:hAnsi="Calibri" w:cs="Calibri"/>
                <w:b/>
                <w:bCs/>
              </w:rPr>
              <w:t>Total</w:t>
            </w:r>
          </w:p>
        </w:tc>
        <w:tc>
          <w:tcPr>
            <w:tcW w:w="3025" w:type="dxa"/>
            <w:tcMar>
              <w:left w:w="108" w:type="dxa"/>
              <w:right w:w="108" w:type="dxa"/>
            </w:tcMar>
          </w:tcPr>
          <w:p w14:paraId="7BA5C323" w14:textId="4F61AD63" w:rsidR="44C8811F" w:rsidRPr="006B0C6C" w:rsidRDefault="003F7177" w:rsidP="33F2F9ED">
            <w:pPr>
              <w:spacing w:after="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b/>
                <w:bCs/>
              </w:rPr>
              <w:t>148</w:t>
            </w:r>
          </w:p>
        </w:tc>
        <w:tc>
          <w:tcPr>
            <w:tcW w:w="3025" w:type="dxa"/>
            <w:tcMar>
              <w:left w:w="108" w:type="dxa"/>
              <w:right w:w="108" w:type="dxa"/>
            </w:tcMar>
          </w:tcPr>
          <w:p w14:paraId="241D5834" w14:textId="77777777" w:rsidR="008C0216" w:rsidRDefault="008C0216" w:rsidP="008C02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2"/>
                <w:lang w:eastAsia="en-AU" w:bidi="ar-SA"/>
              </w:rPr>
            </w:pPr>
            <w:r>
              <w:rPr>
                <w:rFonts w:ascii="Calibri" w:hAnsi="Calibri" w:cs="Calibri"/>
                <w:b/>
                <w:bCs/>
                <w:color w:val="000000"/>
                <w:szCs w:val="22"/>
              </w:rPr>
              <w:t>52,078,270</w:t>
            </w:r>
          </w:p>
          <w:p w14:paraId="75418BCD" w14:textId="3A7C62A9" w:rsidR="44C8811F" w:rsidRPr="006B0C6C" w:rsidRDefault="44C8811F" w:rsidP="00902F68">
            <w:pPr>
              <w:spacing w:after="0"/>
              <w:jc w:val="right"/>
              <w:cnfStyle w:val="000000100000" w:firstRow="0" w:lastRow="0" w:firstColumn="0" w:lastColumn="0" w:oddVBand="0" w:evenVBand="0" w:oddHBand="1" w:evenHBand="0" w:firstRowFirstColumn="0" w:firstRowLastColumn="0" w:lastRowFirstColumn="0" w:lastRowLastColumn="0"/>
            </w:pPr>
          </w:p>
        </w:tc>
      </w:tr>
    </w:tbl>
    <w:p w14:paraId="34D10A60" w14:textId="14579219" w:rsidR="214FDC17" w:rsidRPr="006B0C6C" w:rsidRDefault="7F3B52F2" w:rsidP="7388A156">
      <w:pPr>
        <w:jc w:val="both"/>
        <w:rPr>
          <w:rFonts w:ascii="Calibri" w:eastAsia="Calibri" w:hAnsi="Calibri" w:cs="Calibri"/>
        </w:rPr>
      </w:pPr>
      <w:r w:rsidRPr="006B0C6C">
        <w:rPr>
          <w:rFonts w:ascii="Calibri" w:eastAsia="Calibri" w:hAnsi="Calibri" w:cs="Calibri"/>
          <w:sz w:val="20"/>
          <w:szCs w:val="20"/>
        </w:rPr>
        <w:t>Notes: Shared from Australia's supply, procured by Australia for partner countries, or distributed through the COVAX Facility. Data to 9 May 2023.</w:t>
      </w:r>
      <w:r w:rsidR="2B91BD90" w:rsidRPr="006B0C6C">
        <w:rPr>
          <w:rFonts w:ascii="Calibri" w:eastAsia="Calibri" w:hAnsi="Calibri" w:cs="Calibri"/>
          <w:sz w:val="20"/>
          <w:szCs w:val="20"/>
          <w:vertAlign w:val="superscript"/>
        </w:rPr>
        <w:t>2</w:t>
      </w:r>
      <w:r w:rsidR="008D2AB0" w:rsidRPr="006B0C6C">
        <w:rPr>
          <w:rFonts w:ascii="Calibri" w:eastAsia="Calibri" w:hAnsi="Calibri" w:cs="Calibri"/>
          <w:sz w:val="20"/>
          <w:szCs w:val="20"/>
          <w:vertAlign w:val="superscript"/>
        </w:rPr>
        <w:t xml:space="preserve"> </w:t>
      </w:r>
      <w:r w:rsidRPr="006B0C6C">
        <w:rPr>
          <w:rFonts w:ascii="Calibri" w:eastAsia="Calibri" w:hAnsi="Calibri" w:cs="Calibri"/>
          <w:sz w:val="20"/>
          <w:szCs w:val="20"/>
        </w:rPr>
        <w:t>In these numbers it is assumed that multiple shipments of different vaccine types recorded as arriving on the same day were packaged as one shipment</w:t>
      </w:r>
      <w:r w:rsidR="00532C26">
        <w:rPr>
          <w:rFonts w:ascii="Calibri" w:eastAsia="Calibri" w:hAnsi="Calibri" w:cs="Calibri"/>
          <w:sz w:val="20"/>
          <w:szCs w:val="20"/>
        </w:rPr>
        <w:t>.</w:t>
      </w:r>
      <w:r w:rsidR="00E01BB8" w:rsidRPr="006B0C6C">
        <w:rPr>
          <w:rStyle w:val="EndnoteReference"/>
          <w:rFonts w:ascii="Calibri" w:eastAsia="Calibri" w:hAnsi="Calibri" w:cs="Calibri"/>
          <w:sz w:val="20"/>
          <w:szCs w:val="20"/>
        </w:rPr>
        <w:endnoteReference w:id="3"/>
      </w:r>
      <w:r w:rsidRPr="006B0C6C">
        <w:rPr>
          <w:rFonts w:ascii="Calibri" w:eastAsia="Calibri" w:hAnsi="Calibri" w:cs="Calibri"/>
        </w:rPr>
        <w:t xml:space="preserve"> </w:t>
      </w:r>
      <w:r w:rsidR="00532C26" w:rsidRPr="003F0544" w:rsidDel="00532C26">
        <w:rPr>
          <w:rFonts w:ascii="Calibri" w:eastAsia="Calibri" w:hAnsi="Calibri" w:cs="Calibri"/>
        </w:rPr>
        <w:t xml:space="preserve"> </w:t>
      </w:r>
    </w:p>
    <w:p w14:paraId="625C91A3" w14:textId="133430D3" w:rsidR="2F8C6F6C" w:rsidRPr="00894D86" w:rsidRDefault="257F6128" w:rsidP="006B0C6C">
      <w:pPr>
        <w:jc w:val="both"/>
        <w:rPr>
          <w:b/>
          <w:bCs/>
          <w:i/>
        </w:rPr>
      </w:pPr>
      <w:r w:rsidRPr="00894D86">
        <w:rPr>
          <w:b/>
          <w:bCs/>
          <w:i/>
        </w:rPr>
        <w:t>Timeliness of COVID-19 vaccine distribution</w:t>
      </w:r>
    </w:p>
    <w:p w14:paraId="055ED87A" w14:textId="21C2051D" w:rsidR="000017BA" w:rsidRDefault="3C09603A" w:rsidP="7388A156">
      <w:pPr>
        <w:spacing w:after="160" w:line="257" w:lineRule="auto"/>
        <w:jc w:val="both"/>
      </w:pPr>
      <w:r w:rsidRPr="33FE3C21">
        <w:rPr>
          <w:rFonts w:ascii="Calibri" w:eastAsia="Calibri" w:hAnsi="Calibri" w:cs="Calibri"/>
        </w:rPr>
        <w:t>Based on</w:t>
      </w:r>
      <w:r w:rsidR="482444E6" w:rsidRPr="33FE3C21">
        <w:rPr>
          <w:rFonts w:ascii="Calibri" w:eastAsia="Calibri" w:hAnsi="Calibri" w:cs="Calibri"/>
        </w:rPr>
        <w:t xml:space="preserve"> vaccine delivery data and consistent</w:t>
      </w:r>
      <w:r w:rsidRPr="33FE3C21">
        <w:rPr>
          <w:rFonts w:ascii="Calibri" w:eastAsia="Calibri" w:hAnsi="Calibri" w:cs="Calibri"/>
        </w:rPr>
        <w:t xml:space="preserve">ly </w:t>
      </w:r>
      <w:r w:rsidR="482444E6" w:rsidRPr="33FE3C21">
        <w:rPr>
          <w:rFonts w:ascii="Calibri" w:eastAsia="Calibri" w:hAnsi="Calibri" w:cs="Calibri"/>
        </w:rPr>
        <w:t xml:space="preserve">positive feedback </w:t>
      </w:r>
      <w:r w:rsidRPr="33FE3C21">
        <w:rPr>
          <w:rFonts w:ascii="Calibri" w:eastAsia="Calibri" w:hAnsi="Calibri" w:cs="Calibri"/>
        </w:rPr>
        <w:t xml:space="preserve">on Australia’s </w:t>
      </w:r>
      <w:r w:rsidR="482444E6" w:rsidRPr="33FE3C21">
        <w:rPr>
          <w:rFonts w:ascii="Calibri" w:eastAsia="Calibri" w:hAnsi="Calibri" w:cs="Calibri"/>
        </w:rPr>
        <w:t xml:space="preserve">rapid response, </w:t>
      </w:r>
      <w:r w:rsidRPr="33FE3C21">
        <w:rPr>
          <w:rFonts w:ascii="Calibri" w:eastAsia="Calibri" w:hAnsi="Calibri" w:cs="Calibri"/>
        </w:rPr>
        <w:t xml:space="preserve">the evaluation found </w:t>
      </w:r>
      <w:r w:rsidR="6237DBA3" w:rsidRPr="33FE3C21">
        <w:rPr>
          <w:rFonts w:ascii="Calibri" w:eastAsia="Calibri" w:hAnsi="Calibri" w:cs="Calibri"/>
        </w:rPr>
        <w:t xml:space="preserve">that </w:t>
      </w:r>
      <w:r w:rsidRPr="33FE3C21">
        <w:rPr>
          <w:rFonts w:ascii="Calibri" w:eastAsia="Calibri" w:hAnsi="Calibri" w:cs="Calibri"/>
        </w:rPr>
        <w:t>COVID-19 vaccines were distributed in a timely manner</w:t>
      </w:r>
      <w:r w:rsidR="30B865D7" w:rsidRPr="33FE3C21">
        <w:rPr>
          <w:rFonts w:ascii="Calibri" w:eastAsia="Calibri" w:hAnsi="Calibri" w:cs="Calibri"/>
        </w:rPr>
        <w:t>,</w:t>
      </w:r>
      <w:r w:rsidRPr="33FE3C21">
        <w:rPr>
          <w:rFonts w:ascii="Calibri" w:eastAsia="Calibri" w:hAnsi="Calibri" w:cs="Calibri"/>
        </w:rPr>
        <w:t xml:space="preserve"> </w:t>
      </w:r>
      <w:r w:rsidR="482444E6" w:rsidRPr="33FE3C21">
        <w:rPr>
          <w:rFonts w:ascii="Calibri" w:eastAsia="Calibri" w:hAnsi="Calibri" w:cs="Calibri"/>
        </w:rPr>
        <w:t xml:space="preserve">particularly to Pacific Island </w:t>
      </w:r>
      <w:r w:rsidR="2E07BD99" w:rsidRPr="33FE3C21">
        <w:rPr>
          <w:rFonts w:ascii="Calibri" w:eastAsia="Calibri" w:hAnsi="Calibri" w:cs="Calibri"/>
        </w:rPr>
        <w:t>countries</w:t>
      </w:r>
      <w:r w:rsidR="482444E6" w:rsidRPr="33FE3C21">
        <w:rPr>
          <w:rFonts w:ascii="Calibri" w:eastAsia="Calibri" w:hAnsi="Calibri" w:cs="Calibri"/>
        </w:rPr>
        <w:t xml:space="preserve">. </w:t>
      </w:r>
      <w:r w:rsidR="39813EC0" w:rsidRPr="33FE3C21">
        <w:rPr>
          <w:rFonts w:ascii="Calibri" w:eastAsia="Calibri" w:hAnsi="Calibri" w:cs="Calibri"/>
        </w:rPr>
        <w:t xml:space="preserve">Feedback through reports and KIIs unanimously </w:t>
      </w:r>
      <w:r w:rsidR="00F11EFB" w:rsidRPr="33FE3C21">
        <w:rPr>
          <w:rFonts w:ascii="Calibri" w:eastAsia="Calibri" w:hAnsi="Calibri" w:cs="Calibri"/>
        </w:rPr>
        <w:t>demonstrated</w:t>
      </w:r>
      <w:r w:rsidR="39813EC0" w:rsidRPr="33FE3C21">
        <w:rPr>
          <w:rFonts w:ascii="Calibri" w:eastAsia="Calibri" w:hAnsi="Calibri" w:cs="Calibri"/>
        </w:rPr>
        <w:t xml:space="preserve"> that </w:t>
      </w:r>
      <w:r w:rsidR="482444E6" w:rsidRPr="33FE3C21">
        <w:rPr>
          <w:rFonts w:ascii="Calibri" w:eastAsia="Calibri" w:hAnsi="Calibri" w:cs="Calibri"/>
        </w:rPr>
        <w:t xml:space="preserve">Australia </w:t>
      </w:r>
      <w:r w:rsidRPr="33FE3C21">
        <w:rPr>
          <w:rFonts w:ascii="Calibri" w:eastAsia="Calibri" w:hAnsi="Calibri" w:cs="Calibri"/>
        </w:rPr>
        <w:t xml:space="preserve">responded </w:t>
      </w:r>
      <w:r w:rsidR="482444E6" w:rsidRPr="33FE3C21">
        <w:rPr>
          <w:rFonts w:ascii="Calibri" w:eastAsia="Calibri" w:hAnsi="Calibri" w:cs="Calibri"/>
        </w:rPr>
        <w:t xml:space="preserve">early, particularly to small island </w:t>
      </w:r>
      <w:r w:rsidR="2E07BD99" w:rsidRPr="33FE3C21">
        <w:rPr>
          <w:rFonts w:ascii="Calibri" w:eastAsia="Calibri" w:hAnsi="Calibri" w:cs="Calibri"/>
        </w:rPr>
        <w:t xml:space="preserve">countries </w:t>
      </w:r>
      <w:r w:rsidR="482444E6" w:rsidRPr="0017037C">
        <w:rPr>
          <w:rFonts w:ascii="Calibri" w:eastAsia="Calibri" w:hAnsi="Calibri" w:cs="Calibri"/>
        </w:rPr>
        <w:t>vulnerable</w:t>
      </w:r>
      <w:r w:rsidRPr="0017037C">
        <w:rPr>
          <w:rFonts w:ascii="Calibri" w:eastAsia="Calibri" w:hAnsi="Calibri" w:cs="Calibri"/>
        </w:rPr>
        <w:t xml:space="preserve"> to COVID-19,</w:t>
      </w:r>
      <w:r w:rsidR="482444E6" w:rsidRPr="0017037C">
        <w:rPr>
          <w:rFonts w:ascii="Calibri" w:eastAsia="Calibri" w:hAnsi="Calibri" w:cs="Calibri"/>
        </w:rPr>
        <w:t xml:space="preserve"> </w:t>
      </w:r>
      <w:r w:rsidR="00FB424E" w:rsidRPr="0017037C">
        <w:rPr>
          <w:rFonts w:ascii="Calibri" w:eastAsia="Calibri" w:hAnsi="Calibri" w:cs="Calibri"/>
        </w:rPr>
        <w:t xml:space="preserve">which </w:t>
      </w:r>
      <w:r w:rsidR="000B1BAF" w:rsidRPr="0017037C">
        <w:rPr>
          <w:rFonts w:ascii="Calibri" w:eastAsia="Calibri" w:hAnsi="Calibri" w:cs="Calibri"/>
        </w:rPr>
        <w:t>faced challenges</w:t>
      </w:r>
      <w:r w:rsidR="005468F3" w:rsidRPr="0017037C">
        <w:rPr>
          <w:rFonts w:ascii="Calibri" w:eastAsia="Calibri" w:hAnsi="Calibri" w:cs="Calibri"/>
        </w:rPr>
        <w:t xml:space="preserve"> accessing vaccines through</w:t>
      </w:r>
      <w:r w:rsidR="30DA3836" w:rsidRPr="0017037C">
        <w:rPr>
          <w:rFonts w:ascii="Calibri" w:eastAsia="Calibri" w:hAnsi="Calibri" w:cs="Calibri"/>
        </w:rPr>
        <w:t xml:space="preserve"> </w:t>
      </w:r>
      <w:r w:rsidR="482444E6" w:rsidRPr="0017037C">
        <w:rPr>
          <w:rFonts w:ascii="Calibri" w:eastAsia="Calibri" w:hAnsi="Calibri" w:cs="Calibri"/>
        </w:rPr>
        <w:t xml:space="preserve">the COVAX mechanism. </w:t>
      </w:r>
      <w:r w:rsidRPr="0017037C">
        <w:rPr>
          <w:rFonts w:ascii="Calibri" w:eastAsia="Calibri" w:hAnsi="Calibri" w:cs="Calibri"/>
        </w:rPr>
        <w:t xml:space="preserve">Reports and KII feedback </w:t>
      </w:r>
      <w:r w:rsidR="26C95259" w:rsidRPr="0017037C">
        <w:rPr>
          <w:rFonts w:ascii="Calibri" w:eastAsia="Calibri" w:hAnsi="Calibri" w:cs="Calibri"/>
        </w:rPr>
        <w:t xml:space="preserve">identified this as a key achievement and success of the initiative. </w:t>
      </w:r>
      <w:r w:rsidR="482444E6" w:rsidRPr="0017037C">
        <w:rPr>
          <w:rFonts w:ascii="Calibri" w:eastAsia="Calibri" w:hAnsi="Calibri" w:cs="Calibri"/>
        </w:rPr>
        <w:t>Whil</w:t>
      </w:r>
      <w:r w:rsidR="59E509A3" w:rsidRPr="0017037C">
        <w:rPr>
          <w:rFonts w:ascii="Calibri" w:eastAsia="Calibri" w:hAnsi="Calibri" w:cs="Calibri"/>
        </w:rPr>
        <w:t>e</w:t>
      </w:r>
      <w:r w:rsidR="482444E6" w:rsidRPr="0017037C">
        <w:rPr>
          <w:rFonts w:ascii="Calibri" w:eastAsia="Calibri" w:hAnsi="Calibri" w:cs="Calibri"/>
        </w:rPr>
        <w:t xml:space="preserve"> the timeliness of early </w:t>
      </w:r>
      <w:r w:rsidR="26C95259" w:rsidRPr="0017037C">
        <w:rPr>
          <w:rFonts w:ascii="Calibri" w:eastAsia="Calibri" w:hAnsi="Calibri" w:cs="Calibri"/>
        </w:rPr>
        <w:t xml:space="preserve">vaccine </w:t>
      </w:r>
      <w:r w:rsidR="00E63204">
        <w:rPr>
          <w:rFonts w:ascii="Calibri" w:eastAsia="Calibri" w:hAnsi="Calibri" w:cs="Calibri"/>
        </w:rPr>
        <w:t>supplies</w:t>
      </w:r>
      <w:r w:rsidR="482444E6" w:rsidRPr="0017037C">
        <w:rPr>
          <w:rFonts w:ascii="Calibri" w:eastAsia="Calibri" w:hAnsi="Calibri" w:cs="Calibri"/>
        </w:rPr>
        <w:t xml:space="preserve"> </w:t>
      </w:r>
      <w:r w:rsidR="7315A3EA" w:rsidRPr="0017037C">
        <w:rPr>
          <w:rFonts w:ascii="Calibri" w:eastAsia="Calibri" w:hAnsi="Calibri" w:cs="Calibri"/>
        </w:rPr>
        <w:t xml:space="preserve">to countries </w:t>
      </w:r>
      <w:r w:rsidR="482444E6" w:rsidRPr="0017037C">
        <w:rPr>
          <w:rFonts w:ascii="Calibri" w:eastAsia="Calibri" w:hAnsi="Calibri" w:cs="Calibri"/>
        </w:rPr>
        <w:t xml:space="preserve">is most marked to Pacific Island </w:t>
      </w:r>
      <w:r w:rsidR="2E07BD99" w:rsidRPr="0017037C">
        <w:rPr>
          <w:rFonts w:ascii="Calibri" w:eastAsia="Calibri" w:hAnsi="Calibri" w:cs="Calibri"/>
        </w:rPr>
        <w:t>countries</w:t>
      </w:r>
      <w:r w:rsidR="482444E6" w:rsidRPr="0017037C">
        <w:rPr>
          <w:rFonts w:ascii="Calibri" w:eastAsia="Calibri" w:hAnsi="Calibri" w:cs="Calibri"/>
        </w:rPr>
        <w:t xml:space="preserve">, the volume </w:t>
      </w:r>
      <w:r w:rsidR="00E63204">
        <w:rPr>
          <w:rFonts w:ascii="Calibri" w:eastAsia="Calibri" w:hAnsi="Calibri" w:cs="Calibri"/>
        </w:rPr>
        <w:t>supplied</w:t>
      </w:r>
      <w:r w:rsidR="482444E6" w:rsidRPr="0017037C">
        <w:rPr>
          <w:rFonts w:ascii="Calibri" w:eastAsia="Calibri" w:hAnsi="Calibri" w:cs="Calibri"/>
        </w:rPr>
        <w:t xml:space="preserve"> to </w:t>
      </w:r>
      <w:r w:rsidR="26C95259" w:rsidRPr="0017037C">
        <w:rPr>
          <w:rFonts w:ascii="Calibri" w:eastAsia="Calibri" w:hAnsi="Calibri" w:cs="Calibri"/>
        </w:rPr>
        <w:t>SEA</w:t>
      </w:r>
      <w:r w:rsidR="482444E6" w:rsidRPr="0017037C">
        <w:rPr>
          <w:rFonts w:ascii="Calibri" w:eastAsia="Calibri" w:hAnsi="Calibri" w:cs="Calibri"/>
        </w:rPr>
        <w:t xml:space="preserve"> </w:t>
      </w:r>
      <w:r w:rsidR="08D6C136" w:rsidRPr="0017037C">
        <w:rPr>
          <w:rFonts w:ascii="Calibri" w:eastAsia="Calibri" w:hAnsi="Calibri" w:cs="Calibri"/>
        </w:rPr>
        <w:t xml:space="preserve">countries </w:t>
      </w:r>
      <w:r w:rsidR="482444E6" w:rsidRPr="0017037C">
        <w:rPr>
          <w:rFonts w:ascii="Calibri" w:eastAsia="Calibri" w:hAnsi="Calibri" w:cs="Calibri"/>
        </w:rPr>
        <w:t>is equally significant, frequently in the millions of doses per country (Figure</w:t>
      </w:r>
      <w:r w:rsidR="2B492BEE" w:rsidRPr="0017037C">
        <w:rPr>
          <w:rFonts w:ascii="Calibri" w:eastAsia="Calibri" w:hAnsi="Calibri" w:cs="Calibri"/>
        </w:rPr>
        <w:t>s</w:t>
      </w:r>
      <w:r w:rsidR="482444E6" w:rsidRPr="0017037C">
        <w:rPr>
          <w:rFonts w:ascii="Calibri" w:eastAsia="Calibri" w:hAnsi="Calibri" w:cs="Calibri"/>
        </w:rPr>
        <w:t xml:space="preserve"> </w:t>
      </w:r>
      <w:r w:rsidR="4BAFF838" w:rsidRPr="0017037C">
        <w:rPr>
          <w:rFonts w:ascii="Calibri" w:eastAsia="Calibri" w:hAnsi="Calibri" w:cs="Calibri"/>
        </w:rPr>
        <w:t>2</w:t>
      </w:r>
      <w:r w:rsidR="47AA8C4B" w:rsidRPr="0017037C">
        <w:rPr>
          <w:rFonts w:ascii="Calibri" w:eastAsia="Calibri" w:hAnsi="Calibri" w:cs="Calibri"/>
        </w:rPr>
        <w:t xml:space="preserve"> and </w:t>
      </w:r>
      <w:r w:rsidR="0394538D" w:rsidRPr="0017037C">
        <w:rPr>
          <w:rFonts w:ascii="Calibri" w:eastAsia="Calibri" w:hAnsi="Calibri" w:cs="Calibri"/>
        </w:rPr>
        <w:t>3</w:t>
      </w:r>
      <w:r w:rsidR="482444E6" w:rsidRPr="0017037C">
        <w:rPr>
          <w:rFonts w:ascii="Calibri" w:eastAsia="Calibri" w:hAnsi="Calibri" w:cs="Calibri"/>
        </w:rPr>
        <w:t xml:space="preserve">). </w:t>
      </w:r>
      <w:r w:rsidR="1DA0B183" w:rsidRPr="0017037C">
        <w:rPr>
          <w:rFonts w:ascii="Calibri" w:eastAsia="Calibri" w:hAnsi="Calibri" w:cs="Calibri"/>
        </w:rPr>
        <w:t xml:space="preserve">Of all the doses </w:t>
      </w:r>
      <w:r w:rsidR="00E63204">
        <w:rPr>
          <w:rFonts w:ascii="Calibri" w:eastAsia="Calibri" w:hAnsi="Calibri" w:cs="Calibri"/>
        </w:rPr>
        <w:t>supplied</w:t>
      </w:r>
      <w:r w:rsidR="1DA0B183" w:rsidRPr="0017037C">
        <w:rPr>
          <w:rFonts w:ascii="Calibri" w:eastAsia="Calibri" w:hAnsi="Calibri" w:cs="Calibri"/>
        </w:rPr>
        <w:t xml:space="preserve"> to the Pacific </w:t>
      </w:r>
      <w:r w:rsidR="3B640633" w:rsidRPr="0017037C">
        <w:rPr>
          <w:rFonts w:ascii="Calibri" w:eastAsia="Calibri" w:hAnsi="Calibri" w:cs="Calibri"/>
        </w:rPr>
        <w:t>Island countries</w:t>
      </w:r>
      <w:r w:rsidR="363F00EC" w:rsidRPr="0017037C">
        <w:rPr>
          <w:rFonts w:ascii="Calibri" w:eastAsia="Calibri" w:hAnsi="Calibri" w:cs="Calibri"/>
        </w:rPr>
        <w:t xml:space="preserve"> </w:t>
      </w:r>
      <w:r w:rsidR="1DA0B183" w:rsidRPr="0017037C">
        <w:rPr>
          <w:rFonts w:ascii="Calibri" w:eastAsia="Calibri" w:hAnsi="Calibri" w:cs="Calibri"/>
        </w:rPr>
        <w:t xml:space="preserve">over close to three years, 40.1% were </w:t>
      </w:r>
      <w:r w:rsidR="00E63204">
        <w:rPr>
          <w:rFonts w:ascii="Calibri" w:eastAsia="Calibri" w:hAnsi="Calibri" w:cs="Calibri"/>
        </w:rPr>
        <w:t>supplied</w:t>
      </w:r>
      <w:r w:rsidR="1DA0B183" w:rsidRPr="0017037C">
        <w:rPr>
          <w:rFonts w:ascii="Calibri" w:eastAsia="Calibri" w:hAnsi="Calibri" w:cs="Calibri"/>
        </w:rPr>
        <w:t xml:space="preserve"> within the first four months</w:t>
      </w:r>
      <w:r w:rsidR="25249A1B" w:rsidRPr="0017037C">
        <w:rPr>
          <w:rFonts w:ascii="Calibri" w:eastAsia="Calibri" w:hAnsi="Calibri" w:cs="Calibri"/>
        </w:rPr>
        <w:t xml:space="preserve"> of </w:t>
      </w:r>
      <w:r w:rsidR="5156B1CE" w:rsidRPr="0017037C">
        <w:rPr>
          <w:rFonts w:ascii="Calibri" w:eastAsia="Calibri" w:hAnsi="Calibri" w:cs="Calibri"/>
        </w:rPr>
        <w:t xml:space="preserve">the commencement of </w:t>
      </w:r>
      <w:r w:rsidR="08F06614" w:rsidRPr="0017037C">
        <w:rPr>
          <w:rFonts w:ascii="Calibri" w:eastAsia="Calibri" w:hAnsi="Calibri" w:cs="Calibri"/>
        </w:rPr>
        <w:t>vaccine</w:t>
      </w:r>
      <w:r w:rsidR="25249A1B" w:rsidRPr="0017037C">
        <w:rPr>
          <w:rFonts w:ascii="Calibri" w:eastAsia="Calibri" w:hAnsi="Calibri" w:cs="Calibri"/>
        </w:rPr>
        <w:t xml:space="preserve"> deliveries</w:t>
      </w:r>
      <w:r w:rsidR="1DA0B183" w:rsidRPr="0017037C">
        <w:rPr>
          <w:rFonts w:ascii="Calibri" w:eastAsia="Calibri" w:hAnsi="Calibri" w:cs="Calibri"/>
        </w:rPr>
        <w:t>.</w:t>
      </w:r>
    </w:p>
    <w:p w14:paraId="64065688" w14:textId="638D3193" w:rsidR="5075454F" w:rsidRPr="006B0C6C" w:rsidRDefault="000017BA" w:rsidP="2E1252C7">
      <w:pPr>
        <w:spacing w:after="160" w:line="257" w:lineRule="auto"/>
        <w:jc w:val="both"/>
        <w:rPr>
          <w:b/>
          <w:bCs/>
          <w:color w:val="808080" w:themeColor="background1" w:themeShade="80"/>
          <w:sz w:val="20"/>
          <w:szCs w:val="20"/>
        </w:rPr>
      </w:pPr>
      <w:bookmarkStart w:id="24" w:name="_Hlk199480533"/>
      <w:r w:rsidRPr="00680011">
        <w:rPr>
          <w:b/>
          <w:bCs/>
          <w:sz w:val="20"/>
          <w:szCs w:val="20"/>
        </w:rPr>
        <w:t xml:space="preserve">Figure 2: Number of VAHSI COVID-19 vaccine doses </w:t>
      </w:r>
      <w:r w:rsidR="00E63204">
        <w:rPr>
          <w:b/>
          <w:bCs/>
          <w:sz w:val="20"/>
          <w:szCs w:val="20"/>
        </w:rPr>
        <w:t>supplied</w:t>
      </w:r>
      <w:r w:rsidRPr="00680011">
        <w:rPr>
          <w:b/>
          <w:bCs/>
          <w:sz w:val="20"/>
          <w:szCs w:val="20"/>
        </w:rPr>
        <w:t xml:space="preserve"> by month, Pacific Island Countries</w:t>
      </w:r>
      <w:bookmarkEnd w:id="24"/>
      <w:r w:rsidRPr="00680011">
        <w:rPr>
          <w:rStyle w:val="EndnoteReference"/>
          <w:b/>
          <w:bCs/>
          <w:sz w:val="20"/>
          <w:szCs w:val="20"/>
        </w:rPr>
        <w:endnoteReference w:id="4"/>
      </w:r>
      <w:r w:rsidRPr="00680011">
        <w:rPr>
          <w:b/>
          <w:bCs/>
          <w:sz w:val="20"/>
          <w:szCs w:val="20"/>
        </w:rPr>
        <w:t xml:space="preserve"> </w:t>
      </w:r>
      <w:r w:rsidR="002D319D" w:rsidRPr="002D319D">
        <w:rPr>
          <w:b/>
          <w:bCs/>
          <w:noProof/>
          <w:color w:val="808080" w:themeColor="background1" w:themeShade="80"/>
          <w:sz w:val="20"/>
          <w:szCs w:val="20"/>
        </w:rPr>
        <w:drawing>
          <wp:inline distT="0" distB="0" distL="0" distR="0" wp14:anchorId="0C5F4D7B" wp14:editId="596A782B">
            <wp:extent cx="5784850" cy="2415540"/>
            <wp:effectExtent l="0" t="0" r="6350" b="3810"/>
            <wp:docPr id="947854783" name="Picture 1" descr="Figure 3 shows the number of VAHSI COVID-19 vaccine doses supplied by month in Pacific countries. See annex 10 for full dat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54783" name="Picture 1" descr="Figure 3 shows the number of VAHSI COVID-19 vaccine doses supplied by month in Pacific countries. See annex 10 for full data table."/>
                    <pic:cNvPicPr/>
                  </pic:nvPicPr>
                  <pic:blipFill>
                    <a:blip r:embed="rId16"/>
                    <a:stretch>
                      <a:fillRect/>
                    </a:stretch>
                  </pic:blipFill>
                  <pic:spPr>
                    <a:xfrm>
                      <a:off x="0" y="0"/>
                      <a:ext cx="5834713" cy="2436361"/>
                    </a:xfrm>
                    <a:prstGeom prst="rect">
                      <a:avLst/>
                    </a:prstGeom>
                  </pic:spPr>
                </pic:pic>
              </a:graphicData>
            </a:graphic>
          </wp:inline>
        </w:drawing>
      </w:r>
      <w:r w:rsidR="69FB3347" w:rsidRPr="006B0C6C">
        <w:rPr>
          <w:b/>
          <w:bCs/>
          <w:color w:val="808080" w:themeColor="background1" w:themeShade="80"/>
          <w:sz w:val="20"/>
          <w:szCs w:val="20"/>
        </w:rPr>
        <w:t xml:space="preserve"> </w:t>
      </w:r>
    </w:p>
    <w:p w14:paraId="7AC622E1" w14:textId="79D2DCCE" w:rsidR="7388A156" w:rsidRPr="006B0C6C" w:rsidRDefault="000017BA" w:rsidP="2E1252C7">
      <w:pPr>
        <w:spacing w:after="160" w:line="257" w:lineRule="auto"/>
        <w:jc w:val="both"/>
        <w:rPr>
          <w:b/>
          <w:bCs/>
          <w:color w:val="808080" w:themeColor="background1" w:themeShade="80"/>
          <w:sz w:val="20"/>
          <w:szCs w:val="20"/>
        </w:rPr>
      </w:pPr>
      <w:r w:rsidRPr="00680011">
        <w:rPr>
          <w:b/>
          <w:bCs/>
          <w:sz w:val="20"/>
          <w:szCs w:val="20"/>
        </w:rPr>
        <w:t xml:space="preserve">Figure 3: Number of VAHSI COVID-19 vaccine doses </w:t>
      </w:r>
      <w:r w:rsidR="00E63204">
        <w:rPr>
          <w:b/>
          <w:bCs/>
          <w:sz w:val="20"/>
          <w:szCs w:val="20"/>
        </w:rPr>
        <w:t>supplied</w:t>
      </w:r>
      <w:r w:rsidRPr="00680011">
        <w:rPr>
          <w:b/>
          <w:bCs/>
          <w:sz w:val="20"/>
          <w:szCs w:val="20"/>
        </w:rPr>
        <w:t xml:space="preserve"> by month, Southeast Asian </w:t>
      </w:r>
      <w:r w:rsidR="00936F97" w:rsidRPr="00680011">
        <w:rPr>
          <w:b/>
          <w:bCs/>
          <w:sz w:val="20"/>
          <w:szCs w:val="20"/>
        </w:rPr>
        <w:t>Countries</w:t>
      </w:r>
      <w:r w:rsidRPr="00680011">
        <w:rPr>
          <w:rStyle w:val="EndnoteReference"/>
          <w:b/>
          <w:bCs/>
          <w:sz w:val="20"/>
          <w:szCs w:val="20"/>
        </w:rPr>
        <w:endnoteReference w:id="5"/>
      </w:r>
      <w:r w:rsidR="002D319D" w:rsidRPr="002D319D">
        <w:rPr>
          <w:b/>
          <w:bCs/>
          <w:noProof/>
          <w:color w:val="808080" w:themeColor="background1" w:themeShade="80"/>
          <w:sz w:val="20"/>
          <w:szCs w:val="20"/>
        </w:rPr>
        <w:drawing>
          <wp:inline distT="0" distB="0" distL="0" distR="0" wp14:anchorId="3BE4BCC9" wp14:editId="59DF2BF5">
            <wp:extent cx="5839460" cy="2461260"/>
            <wp:effectExtent l="0" t="0" r="8890" b="0"/>
            <wp:docPr id="1012408126" name="Picture 1" descr="Figure 3 shows the number of VAHSI COVID-19 vaccine doses supplied by month in Southeast Asian countries. See annex 12 for full dat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08126" name="Picture 1" descr="Figure 3 shows the number of VAHSI COVID-19 vaccine doses supplied by month in Southeast Asian countries. See annex 12 for full data table."/>
                    <pic:cNvPicPr/>
                  </pic:nvPicPr>
                  <pic:blipFill>
                    <a:blip r:embed="rId17"/>
                    <a:stretch>
                      <a:fillRect/>
                    </a:stretch>
                  </pic:blipFill>
                  <pic:spPr>
                    <a:xfrm>
                      <a:off x="0" y="0"/>
                      <a:ext cx="5853388" cy="2467130"/>
                    </a:xfrm>
                    <a:prstGeom prst="rect">
                      <a:avLst/>
                    </a:prstGeom>
                  </pic:spPr>
                </pic:pic>
              </a:graphicData>
            </a:graphic>
          </wp:inline>
        </w:drawing>
      </w:r>
    </w:p>
    <w:p w14:paraId="495366EE" w14:textId="45E0E0CF" w:rsidR="214FDC17" w:rsidRPr="006B0C6C" w:rsidRDefault="311FBB37" w:rsidP="7388A156">
      <w:pPr>
        <w:jc w:val="both"/>
      </w:pPr>
      <w:r w:rsidRPr="7E56B70C">
        <w:rPr>
          <w:rFonts w:ascii="Calibri" w:eastAsia="Calibri" w:hAnsi="Calibri" w:cs="Calibri"/>
        </w:rPr>
        <w:t>Based on</w:t>
      </w:r>
      <w:r w:rsidR="3D5A5B78" w:rsidRPr="7E56B70C">
        <w:rPr>
          <w:rFonts w:ascii="Calibri" w:eastAsia="Calibri" w:hAnsi="Calibri" w:cs="Calibri"/>
        </w:rPr>
        <w:t xml:space="preserve"> </w:t>
      </w:r>
      <w:r w:rsidR="3D5A5B78" w:rsidRPr="0017037C">
        <w:rPr>
          <w:rFonts w:ascii="Calibri" w:eastAsia="Calibri" w:hAnsi="Calibri" w:cs="Calibri"/>
        </w:rPr>
        <w:t xml:space="preserve">this </w:t>
      </w:r>
      <w:r w:rsidR="0031662F" w:rsidRPr="0017037C">
        <w:rPr>
          <w:rFonts w:ascii="Calibri" w:eastAsia="Calibri" w:hAnsi="Calibri" w:cs="Calibri"/>
        </w:rPr>
        <w:t>evaluation</w:t>
      </w:r>
      <w:r w:rsidR="3D5A5B78" w:rsidRPr="0017037C">
        <w:rPr>
          <w:rFonts w:ascii="Calibri" w:eastAsia="Calibri" w:hAnsi="Calibri" w:cs="Calibri"/>
        </w:rPr>
        <w:t xml:space="preserve">, VAHSI COVID-19 vaccine doses are assessed as </w:t>
      </w:r>
      <w:r w:rsidR="0031662F" w:rsidRPr="0017037C">
        <w:rPr>
          <w:rFonts w:ascii="Calibri" w:eastAsia="Calibri" w:hAnsi="Calibri" w:cs="Calibri"/>
        </w:rPr>
        <w:t xml:space="preserve">being </w:t>
      </w:r>
      <w:r w:rsidR="3D5A5B78" w:rsidRPr="0017037C">
        <w:rPr>
          <w:rFonts w:ascii="Calibri" w:eastAsia="Calibri" w:hAnsi="Calibri" w:cs="Calibri"/>
        </w:rPr>
        <w:t xml:space="preserve">effectively </w:t>
      </w:r>
      <w:r w:rsidR="00E63204">
        <w:rPr>
          <w:rFonts w:ascii="Calibri" w:eastAsia="Calibri" w:hAnsi="Calibri" w:cs="Calibri"/>
        </w:rPr>
        <w:t>supplied</w:t>
      </w:r>
      <w:r w:rsidR="29C89967" w:rsidRPr="0017037C">
        <w:rPr>
          <w:rFonts w:ascii="Calibri" w:eastAsia="Calibri" w:hAnsi="Calibri" w:cs="Calibri"/>
        </w:rPr>
        <w:t xml:space="preserve"> to countries</w:t>
      </w:r>
      <w:r w:rsidR="3D5A5B78" w:rsidRPr="0017037C">
        <w:rPr>
          <w:rFonts w:ascii="Calibri" w:eastAsia="Calibri" w:hAnsi="Calibri" w:cs="Calibri"/>
        </w:rPr>
        <w:t xml:space="preserve"> in a timely manner to countries throughout</w:t>
      </w:r>
      <w:r w:rsidR="3D5A5B78" w:rsidRPr="7E56B70C">
        <w:rPr>
          <w:rFonts w:ascii="Calibri" w:eastAsia="Calibri" w:hAnsi="Calibri" w:cs="Calibri"/>
        </w:rPr>
        <w:t xml:space="preserve"> the Pacific and S</w:t>
      </w:r>
      <w:r w:rsidR="5E5C26BA" w:rsidRPr="7E56B70C">
        <w:rPr>
          <w:rFonts w:ascii="Calibri" w:eastAsia="Calibri" w:hAnsi="Calibri" w:cs="Calibri"/>
        </w:rPr>
        <w:t>EA</w:t>
      </w:r>
      <w:r w:rsidR="3D5A5B78" w:rsidRPr="7E56B70C">
        <w:rPr>
          <w:rFonts w:ascii="Calibri" w:eastAsia="Calibri" w:hAnsi="Calibri" w:cs="Calibri"/>
        </w:rPr>
        <w:t>.</w:t>
      </w:r>
    </w:p>
    <w:p w14:paraId="2F007E51" w14:textId="52E47FE6" w:rsidR="2F8C6F6C" w:rsidRPr="006B0C6C" w:rsidRDefault="548ADD0A" w:rsidP="28FD34D3">
      <w:pPr>
        <w:pStyle w:val="Heading3SHS"/>
        <w:jc w:val="both"/>
        <w:rPr>
          <w:rStyle w:val="Heading4SHSChar"/>
          <w:b/>
          <w:i w:val="0"/>
        </w:rPr>
      </w:pPr>
      <w:bookmarkStart w:id="25" w:name="_Toc200617266"/>
      <w:r w:rsidRPr="4608E2EE">
        <w:rPr>
          <w:rStyle w:val="Heading4SHSChar"/>
          <w:b/>
          <w:i w:val="0"/>
        </w:rPr>
        <w:t>VAHSI attributable proportion of total COVID-19 vaccine doses distributed</w:t>
      </w:r>
      <w:bookmarkEnd w:id="25"/>
    </w:p>
    <w:p w14:paraId="6E4658ED" w14:textId="5E21E0DF" w:rsidR="00F11EFB" w:rsidRPr="003D669E" w:rsidRDefault="1D26E3A2" w:rsidP="7388A156">
      <w:pPr>
        <w:spacing w:after="160" w:line="257" w:lineRule="auto"/>
        <w:jc w:val="both"/>
        <w:rPr>
          <w:rFonts w:ascii="Calibri" w:eastAsia="Calibri" w:hAnsi="Calibri" w:cs="Calibri"/>
        </w:rPr>
      </w:pPr>
      <w:r w:rsidRPr="4608E2EE">
        <w:rPr>
          <w:rFonts w:ascii="Calibri" w:eastAsia="Calibri" w:hAnsi="Calibri" w:cs="Calibri"/>
        </w:rPr>
        <w:t xml:space="preserve">Figure </w:t>
      </w:r>
      <w:r w:rsidR="4260540C" w:rsidRPr="4608E2EE">
        <w:rPr>
          <w:rFonts w:ascii="Calibri" w:eastAsia="Calibri" w:hAnsi="Calibri" w:cs="Calibri"/>
        </w:rPr>
        <w:t>4</w:t>
      </w:r>
      <w:r w:rsidR="11D7409F" w:rsidRPr="4608E2EE">
        <w:rPr>
          <w:rFonts w:ascii="Calibri" w:eastAsia="Calibri" w:hAnsi="Calibri" w:cs="Calibri"/>
        </w:rPr>
        <w:t xml:space="preserve"> show</w:t>
      </w:r>
      <w:r w:rsidR="38D4E297" w:rsidRPr="4608E2EE">
        <w:rPr>
          <w:rFonts w:ascii="Calibri" w:eastAsia="Calibri" w:hAnsi="Calibri" w:cs="Calibri"/>
        </w:rPr>
        <w:t>s</w:t>
      </w:r>
      <w:r w:rsidR="11D7409F" w:rsidRPr="4608E2EE">
        <w:rPr>
          <w:rFonts w:ascii="Calibri" w:eastAsia="Calibri" w:hAnsi="Calibri" w:cs="Calibri"/>
        </w:rPr>
        <w:t xml:space="preserve"> that the COVID-19 vaccines </w:t>
      </w:r>
      <w:r w:rsidR="642A5407" w:rsidRPr="4608E2EE">
        <w:rPr>
          <w:rFonts w:ascii="Calibri" w:eastAsia="Calibri" w:hAnsi="Calibri" w:cs="Calibri"/>
        </w:rPr>
        <w:t xml:space="preserve">delivered </w:t>
      </w:r>
      <w:r w:rsidR="11D7409F" w:rsidRPr="4608E2EE">
        <w:rPr>
          <w:rFonts w:ascii="Calibri" w:eastAsia="Calibri" w:hAnsi="Calibri" w:cs="Calibri"/>
        </w:rPr>
        <w:t>through VAHSI generally constituted a large proportion of the total number of doses that Pacific Island nations received, in 2021 and increasing as a proportion of the total in 2022</w:t>
      </w:r>
      <w:r w:rsidR="6AC7DED3" w:rsidRPr="4608E2EE">
        <w:rPr>
          <w:rStyle w:val="FootnoteReference"/>
          <w:rFonts w:ascii="Calibri" w:eastAsia="Calibri" w:hAnsi="Calibri" w:cs="Calibri"/>
        </w:rPr>
        <w:footnoteReference w:id="2"/>
      </w:r>
      <w:r w:rsidR="11D7409F" w:rsidRPr="4608E2EE">
        <w:rPr>
          <w:rFonts w:ascii="Calibri" w:eastAsia="Calibri" w:hAnsi="Calibri" w:cs="Calibri"/>
        </w:rPr>
        <w:t>. Whil</w:t>
      </w:r>
      <w:r w:rsidR="38F1442E" w:rsidRPr="4608E2EE">
        <w:rPr>
          <w:rFonts w:ascii="Calibri" w:eastAsia="Calibri" w:hAnsi="Calibri" w:cs="Calibri"/>
        </w:rPr>
        <w:t>e</w:t>
      </w:r>
      <w:r w:rsidR="11D7409F" w:rsidRPr="4608E2EE">
        <w:rPr>
          <w:rFonts w:ascii="Calibri" w:eastAsia="Calibri" w:hAnsi="Calibri" w:cs="Calibri"/>
        </w:rPr>
        <w:t xml:space="preserve"> large in volume overall, when measured against hundreds of millions of doses administered to large populations, VAHSI</w:t>
      </w:r>
      <w:r w:rsidR="10A9F21F" w:rsidRPr="4608E2EE">
        <w:rPr>
          <w:rFonts w:ascii="Calibri" w:eastAsia="Calibri" w:hAnsi="Calibri" w:cs="Calibri"/>
        </w:rPr>
        <w:t>-supplied</w:t>
      </w:r>
      <w:r w:rsidR="642A5407" w:rsidRPr="4608E2EE">
        <w:rPr>
          <w:rFonts w:ascii="Calibri" w:eastAsia="Calibri" w:hAnsi="Calibri" w:cs="Calibri"/>
        </w:rPr>
        <w:t xml:space="preserve"> </w:t>
      </w:r>
      <w:r w:rsidR="11D7409F" w:rsidRPr="4608E2EE">
        <w:rPr>
          <w:rFonts w:ascii="Calibri" w:eastAsia="Calibri" w:hAnsi="Calibri" w:cs="Calibri"/>
        </w:rPr>
        <w:t xml:space="preserve">vaccines did not comprise a large proportion of the total </w:t>
      </w:r>
      <w:r w:rsidR="642A5407" w:rsidRPr="4608E2EE">
        <w:rPr>
          <w:rFonts w:ascii="Calibri" w:eastAsia="Calibri" w:hAnsi="Calibri" w:cs="Calibri"/>
        </w:rPr>
        <w:t xml:space="preserve">COVID-19 </w:t>
      </w:r>
      <w:r w:rsidR="11D7409F" w:rsidRPr="4608E2EE">
        <w:rPr>
          <w:rFonts w:ascii="Calibri" w:eastAsia="Calibri" w:hAnsi="Calibri" w:cs="Calibri"/>
        </w:rPr>
        <w:t xml:space="preserve">vaccines that </w:t>
      </w:r>
      <w:r w:rsidR="49A7502F" w:rsidRPr="4608E2EE">
        <w:rPr>
          <w:rFonts w:ascii="Calibri" w:eastAsia="Calibri" w:hAnsi="Calibri" w:cs="Calibri"/>
        </w:rPr>
        <w:t>Southeast</w:t>
      </w:r>
      <w:r w:rsidR="11D7409F" w:rsidRPr="4608E2EE">
        <w:rPr>
          <w:rFonts w:ascii="Calibri" w:eastAsia="Calibri" w:hAnsi="Calibri" w:cs="Calibri"/>
        </w:rPr>
        <w:t xml:space="preserve"> Asian nations received, </w:t>
      </w:r>
      <w:r w:rsidR="5FEA541F" w:rsidRPr="4608E2EE">
        <w:rPr>
          <w:rFonts w:ascii="Calibri" w:eastAsia="Calibri" w:hAnsi="Calibri" w:cs="Calibri"/>
        </w:rPr>
        <w:t>except for</w:t>
      </w:r>
      <w:r w:rsidR="11D7409F" w:rsidRPr="4608E2EE">
        <w:rPr>
          <w:rFonts w:ascii="Calibri" w:eastAsia="Calibri" w:hAnsi="Calibri" w:cs="Calibri"/>
        </w:rPr>
        <w:t xml:space="preserve"> the smaller nation of Laos (</w:t>
      </w:r>
      <w:r w:rsidR="1BBF3BDF" w:rsidRPr="4608E2EE">
        <w:rPr>
          <w:rFonts w:ascii="Calibri" w:eastAsia="Calibri" w:hAnsi="Calibri" w:cs="Calibri"/>
        </w:rPr>
        <w:t>Annex 6</w:t>
      </w:r>
      <w:r w:rsidR="11D7409F" w:rsidRPr="4608E2EE">
        <w:rPr>
          <w:rFonts w:ascii="Calibri" w:eastAsia="Calibri" w:hAnsi="Calibri" w:cs="Calibri"/>
        </w:rPr>
        <w:t>). Larger populations often received hundreds of millions of COVID-19 vaccine doses from other sources</w:t>
      </w:r>
      <w:r w:rsidR="223FF64A" w:rsidRPr="4608E2EE">
        <w:rPr>
          <w:rFonts w:ascii="Calibri" w:eastAsia="Calibri" w:hAnsi="Calibri" w:cs="Calibri"/>
        </w:rPr>
        <w:t xml:space="preserve">. </w:t>
      </w:r>
    </w:p>
    <w:p w14:paraId="23AB2DD6" w14:textId="77777777" w:rsidR="0017037C" w:rsidRPr="00680011" w:rsidRDefault="0017037C" w:rsidP="7388A156">
      <w:pPr>
        <w:spacing w:after="160" w:line="257" w:lineRule="auto"/>
        <w:jc w:val="both"/>
        <w:rPr>
          <w:b/>
          <w:bCs/>
          <w:sz w:val="20"/>
          <w:szCs w:val="20"/>
        </w:rPr>
      </w:pPr>
    </w:p>
    <w:p w14:paraId="02C377D4" w14:textId="77EB9474" w:rsidR="000017BA" w:rsidRPr="006B0C6C" w:rsidRDefault="000017BA" w:rsidP="7388A156">
      <w:pPr>
        <w:spacing w:after="160" w:line="257" w:lineRule="auto"/>
        <w:jc w:val="both"/>
        <w:rPr>
          <w:rFonts w:ascii="Calibri" w:eastAsia="Calibri" w:hAnsi="Calibri" w:cs="Calibri"/>
        </w:rPr>
      </w:pPr>
      <w:r w:rsidRPr="00680011">
        <w:rPr>
          <w:b/>
          <w:bCs/>
          <w:sz w:val="20"/>
          <w:szCs w:val="20"/>
        </w:rPr>
        <w:t xml:space="preserve">Figure 4: Estimate of VAHSI attributable proportion of total COVID-19 vaccine doses by </w:t>
      </w:r>
      <w:r w:rsidR="4523CBAB" w:rsidRPr="00680011">
        <w:rPr>
          <w:b/>
          <w:bCs/>
          <w:sz w:val="20"/>
          <w:szCs w:val="20"/>
        </w:rPr>
        <w:t>region</w:t>
      </w:r>
      <w:r w:rsidRPr="00680011">
        <w:rPr>
          <w:rStyle w:val="FootnoteReference"/>
          <w:b/>
          <w:bCs/>
          <w:sz w:val="20"/>
          <w:szCs w:val="20"/>
        </w:rPr>
        <w:footnoteReference w:id="3"/>
      </w:r>
      <w:r w:rsidR="4523CBAB" w:rsidRPr="00680011">
        <w:rPr>
          <w:b/>
          <w:bCs/>
          <w:sz w:val="20"/>
          <w:szCs w:val="20"/>
        </w:rPr>
        <w:t xml:space="preserve"> </w:t>
      </w:r>
      <w:r w:rsidRPr="00680011">
        <w:rPr>
          <w:b/>
          <w:bCs/>
          <w:sz w:val="20"/>
          <w:szCs w:val="20"/>
        </w:rPr>
        <w:t>and year, 2021 and 2022</w:t>
      </w:r>
      <w:r w:rsidRPr="00680011">
        <w:rPr>
          <w:rStyle w:val="EndnoteReference"/>
          <w:b/>
          <w:bCs/>
          <w:sz w:val="20"/>
          <w:szCs w:val="20"/>
        </w:rPr>
        <w:endnoteReference w:id="6"/>
      </w:r>
      <w:r w:rsidRPr="00680011">
        <w:rPr>
          <w:b/>
          <w:bCs/>
          <w:sz w:val="20"/>
          <w:szCs w:val="20"/>
        </w:rPr>
        <w:t xml:space="preserve"> </w:t>
      </w:r>
    </w:p>
    <w:p w14:paraId="08250340" w14:textId="57BC573C" w:rsidR="7388A156" w:rsidRPr="006B0C6C" w:rsidRDefault="00A179B2" w:rsidP="4608E2EE">
      <w:pPr>
        <w:spacing w:after="160" w:line="257" w:lineRule="auto"/>
        <w:jc w:val="both"/>
        <w:rPr>
          <w:b/>
          <w:bCs/>
          <w:color w:val="808080" w:themeColor="background1" w:themeShade="80"/>
          <w:sz w:val="20"/>
          <w:szCs w:val="20"/>
        </w:rPr>
      </w:pPr>
      <w:r w:rsidRPr="00A179B2">
        <w:rPr>
          <w:b/>
          <w:bCs/>
          <w:noProof/>
          <w:color w:val="808080" w:themeColor="background1" w:themeShade="80"/>
          <w:sz w:val="20"/>
          <w:szCs w:val="20"/>
        </w:rPr>
        <w:drawing>
          <wp:inline distT="0" distB="0" distL="0" distR="0" wp14:anchorId="6F6B848B" wp14:editId="543B5A55">
            <wp:extent cx="5732145" cy="2158365"/>
            <wp:effectExtent l="0" t="0" r="1905" b="0"/>
            <wp:docPr id="1532795656" name="Picture 1" descr="Figure 4 shows the estimate fo VAHSI-attributable proportion of total COVID-19 vaccine doses by region and year, 2021 and 2022. See annex 12 for mor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95656" name="Picture 1" descr="Figure 4 shows the estimate fo VAHSI-attributable proportion of total COVID-19 vaccine doses by region and year, 2021 and 2022. See annex 12 for more detail."/>
                    <pic:cNvPicPr/>
                  </pic:nvPicPr>
                  <pic:blipFill>
                    <a:blip r:embed="rId18"/>
                    <a:stretch>
                      <a:fillRect/>
                    </a:stretch>
                  </pic:blipFill>
                  <pic:spPr>
                    <a:xfrm>
                      <a:off x="0" y="0"/>
                      <a:ext cx="5732145" cy="2158365"/>
                    </a:xfrm>
                    <a:prstGeom prst="rect">
                      <a:avLst/>
                    </a:prstGeom>
                  </pic:spPr>
                </pic:pic>
              </a:graphicData>
            </a:graphic>
          </wp:inline>
        </w:drawing>
      </w:r>
      <w:r w:rsidR="7B36016A" w:rsidRPr="4608E2EE">
        <w:rPr>
          <w:b/>
          <w:bCs/>
          <w:color w:val="808080" w:themeColor="background1" w:themeShade="80"/>
          <w:sz w:val="20"/>
          <w:szCs w:val="20"/>
        </w:rPr>
        <w:t xml:space="preserve"> </w:t>
      </w:r>
    </w:p>
    <w:p w14:paraId="70BEA02D" w14:textId="665A565A" w:rsidR="005B69F5" w:rsidRPr="006B0C6C" w:rsidRDefault="634FE8DA" w:rsidP="7388A156">
      <w:pPr>
        <w:jc w:val="both"/>
      </w:pPr>
      <w:r w:rsidRPr="7E56B70C">
        <w:rPr>
          <w:rFonts w:ascii="Calibri" w:eastAsia="Calibri" w:hAnsi="Calibri" w:cs="Calibri"/>
        </w:rPr>
        <w:t xml:space="preserve">The counterfactual is that in the absence of the VAHSI </w:t>
      </w:r>
      <w:r w:rsidR="008E0AC4" w:rsidRPr="7E56B70C">
        <w:rPr>
          <w:rFonts w:ascii="Calibri" w:eastAsia="Calibri" w:hAnsi="Calibri" w:cs="Calibri"/>
        </w:rPr>
        <w:t xml:space="preserve">COVID-19 vaccine </w:t>
      </w:r>
      <w:r w:rsidRPr="7E56B70C">
        <w:rPr>
          <w:rFonts w:ascii="Calibri" w:eastAsia="Calibri" w:hAnsi="Calibri" w:cs="Calibri"/>
        </w:rPr>
        <w:t xml:space="preserve">doses being distributed, Pacific Island </w:t>
      </w:r>
      <w:r w:rsidR="008E0AC4" w:rsidRPr="7E56B70C">
        <w:rPr>
          <w:rFonts w:ascii="Calibri" w:eastAsia="Calibri" w:hAnsi="Calibri" w:cs="Calibri"/>
        </w:rPr>
        <w:t xml:space="preserve">countries </w:t>
      </w:r>
      <w:r w:rsidRPr="7E56B70C">
        <w:rPr>
          <w:rFonts w:ascii="Calibri" w:eastAsia="Calibri" w:hAnsi="Calibri" w:cs="Calibri"/>
        </w:rPr>
        <w:t xml:space="preserve">and smaller </w:t>
      </w:r>
      <w:r w:rsidR="008E0AC4" w:rsidRPr="7E56B70C">
        <w:rPr>
          <w:rFonts w:ascii="Calibri" w:eastAsia="Calibri" w:hAnsi="Calibri" w:cs="Calibri"/>
        </w:rPr>
        <w:t xml:space="preserve">countries </w:t>
      </w:r>
      <w:r w:rsidRPr="7E56B70C">
        <w:rPr>
          <w:rFonts w:ascii="Calibri" w:eastAsia="Calibri" w:hAnsi="Calibri" w:cs="Calibri"/>
        </w:rPr>
        <w:t xml:space="preserve">in </w:t>
      </w:r>
      <w:r w:rsidR="131698B7" w:rsidRPr="7E56B70C">
        <w:rPr>
          <w:rFonts w:ascii="Calibri" w:eastAsia="Calibri" w:hAnsi="Calibri" w:cs="Calibri"/>
        </w:rPr>
        <w:t>S</w:t>
      </w:r>
      <w:r w:rsidR="7513BB9A" w:rsidRPr="7E56B70C">
        <w:rPr>
          <w:rFonts w:ascii="Calibri" w:eastAsia="Calibri" w:hAnsi="Calibri" w:cs="Calibri"/>
        </w:rPr>
        <w:t>EA</w:t>
      </w:r>
      <w:r w:rsidRPr="7E56B70C">
        <w:rPr>
          <w:rFonts w:ascii="Calibri" w:eastAsia="Calibri" w:hAnsi="Calibri" w:cs="Calibri"/>
        </w:rPr>
        <w:t xml:space="preserve"> would have been considerably worse off, unless they could </w:t>
      </w:r>
      <w:r w:rsidR="4EE2193E" w:rsidRPr="7E56B70C">
        <w:rPr>
          <w:rFonts w:ascii="Calibri" w:eastAsia="Calibri" w:hAnsi="Calibri" w:cs="Calibri"/>
        </w:rPr>
        <w:t xml:space="preserve">have </w:t>
      </w:r>
      <w:r w:rsidRPr="7E56B70C">
        <w:rPr>
          <w:rFonts w:ascii="Calibri" w:eastAsia="Calibri" w:hAnsi="Calibri" w:cs="Calibri"/>
        </w:rPr>
        <w:t>secure</w:t>
      </w:r>
      <w:r w:rsidR="6C845A4F" w:rsidRPr="7E56B70C">
        <w:rPr>
          <w:rFonts w:ascii="Calibri" w:eastAsia="Calibri" w:hAnsi="Calibri" w:cs="Calibri"/>
        </w:rPr>
        <w:t>d</w:t>
      </w:r>
      <w:r w:rsidRPr="7E56B70C">
        <w:rPr>
          <w:rFonts w:ascii="Calibri" w:eastAsia="Calibri" w:hAnsi="Calibri" w:cs="Calibri"/>
        </w:rPr>
        <w:t xml:space="preserve"> doses from other sources. This measure, whil</w:t>
      </w:r>
      <w:r w:rsidR="001843A2" w:rsidRPr="7E56B70C">
        <w:rPr>
          <w:rFonts w:ascii="Calibri" w:eastAsia="Calibri" w:hAnsi="Calibri" w:cs="Calibri"/>
        </w:rPr>
        <w:t>e</w:t>
      </w:r>
      <w:r w:rsidRPr="7E56B70C">
        <w:rPr>
          <w:rFonts w:ascii="Calibri" w:eastAsia="Calibri" w:hAnsi="Calibri" w:cs="Calibri"/>
        </w:rPr>
        <w:t xml:space="preserve"> generalised, provides further evidence of effectiveness of the VAHSI COVID-19 vaccine support to </w:t>
      </w:r>
      <w:r w:rsidR="008E0AC4" w:rsidRPr="7E56B70C">
        <w:rPr>
          <w:rFonts w:ascii="Calibri" w:eastAsia="Calibri" w:hAnsi="Calibri" w:cs="Calibri"/>
        </w:rPr>
        <w:t xml:space="preserve">countries </w:t>
      </w:r>
      <w:r w:rsidR="45B4243B" w:rsidRPr="7E56B70C">
        <w:rPr>
          <w:rFonts w:ascii="Calibri" w:eastAsia="Calibri" w:hAnsi="Calibri" w:cs="Calibri"/>
        </w:rPr>
        <w:t>that</w:t>
      </w:r>
      <w:r w:rsidRPr="7E56B70C">
        <w:rPr>
          <w:rFonts w:ascii="Calibri" w:eastAsia="Calibri" w:hAnsi="Calibri" w:cs="Calibri"/>
        </w:rPr>
        <w:t xml:space="preserve"> critically needed it.</w:t>
      </w:r>
    </w:p>
    <w:p w14:paraId="6EA74AFC" w14:textId="676E0E6F" w:rsidR="412463FB" w:rsidRPr="006B0C6C" w:rsidRDefault="42C12F80" w:rsidP="006B0C6C">
      <w:pPr>
        <w:pStyle w:val="Heading3SHS"/>
      </w:pPr>
      <w:r w:rsidRPr="006B0C6C">
        <w:t xml:space="preserve"> </w:t>
      </w:r>
      <w:bookmarkStart w:id="26" w:name="_Toc200617267"/>
      <w:r w:rsidR="220EF6A4" w:rsidRPr="006B0C6C">
        <w:t>Effectiveness of COVID-19 and routine immunisation delivery support projects</w:t>
      </w:r>
      <w:bookmarkEnd w:id="26"/>
    </w:p>
    <w:p w14:paraId="6863EC70" w14:textId="43E6531B" w:rsidR="2426DAC1" w:rsidRPr="006B0C6C" w:rsidRDefault="008E0AC4" w:rsidP="44C8811F">
      <w:pPr>
        <w:spacing w:after="160" w:line="257" w:lineRule="auto"/>
        <w:jc w:val="both"/>
      </w:pPr>
      <w:r w:rsidRPr="4A351EF4">
        <w:rPr>
          <w:rFonts w:ascii="Calibri" w:eastAsia="Calibri" w:hAnsi="Calibri" w:cs="Calibri"/>
        </w:rPr>
        <w:t xml:space="preserve">For the purposes of the evaluation, this was assessed in </w:t>
      </w:r>
      <w:r w:rsidR="3C877FE1" w:rsidRPr="4A351EF4">
        <w:rPr>
          <w:rFonts w:ascii="Calibri" w:eastAsia="Calibri" w:hAnsi="Calibri" w:cs="Calibri"/>
        </w:rPr>
        <w:t xml:space="preserve">the four </w:t>
      </w:r>
      <w:r w:rsidR="67B3A439" w:rsidRPr="4A351EF4">
        <w:rPr>
          <w:rFonts w:ascii="Calibri" w:eastAsia="Calibri" w:hAnsi="Calibri" w:cs="Calibri"/>
        </w:rPr>
        <w:t xml:space="preserve">selected </w:t>
      </w:r>
      <w:r w:rsidR="3C877FE1" w:rsidRPr="4A351EF4">
        <w:rPr>
          <w:rFonts w:ascii="Calibri" w:eastAsia="Calibri" w:hAnsi="Calibri" w:cs="Calibri"/>
        </w:rPr>
        <w:t xml:space="preserve">countries of Indonesia, Timor-Leste, Vanuatu and Vietnam. This section of the report combines quantitative and qualitative evidence, </w:t>
      </w:r>
      <w:r w:rsidR="7043CBC7" w:rsidRPr="4A351EF4">
        <w:rPr>
          <w:rFonts w:ascii="Calibri" w:eastAsia="Calibri" w:hAnsi="Calibri" w:cs="Calibri"/>
        </w:rPr>
        <w:t>from</w:t>
      </w:r>
      <w:r w:rsidR="3C877FE1" w:rsidRPr="4A351EF4">
        <w:rPr>
          <w:rFonts w:ascii="Calibri" w:eastAsia="Calibri" w:hAnsi="Calibri" w:cs="Calibri"/>
        </w:rPr>
        <w:t xml:space="preserve"> </w:t>
      </w:r>
      <w:r w:rsidR="38918231" w:rsidRPr="4A351EF4">
        <w:rPr>
          <w:rFonts w:ascii="Calibri" w:eastAsia="Calibri" w:hAnsi="Calibri" w:cs="Calibri"/>
        </w:rPr>
        <w:t xml:space="preserve">all </w:t>
      </w:r>
      <w:r w:rsidR="3C877FE1" w:rsidRPr="4A351EF4">
        <w:rPr>
          <w:rFonts w:ascii="Calibri" w:eastAsia="Calibri" w:hAnsi="Calibri" w:cs="Calibri"/>
        </w:rPr>
        <w:t xml:space="preserve">KIIs, and all available delivery support proposals and milestone project reports for these countries. </w:t>
      </w:r>
      <w:r w:rsidRPr="4A351EF4">
        <w:rPr>
          <w:rFonts w:ascii="Calibri" w:eastAsia="Calibri" w:hAnsi="Calibri" w:cs="Calibri"/>
        </w:rPr>
        <w:t xml:space="preserve">It is important to note that </w:t>
      </w:r>
      <w:r w:rsidR="3C877FE1" w:rsidRPr="4A351EF4">
        <w:rPr>
          <w:rFonts w:ascii="Calibri" w:eastAsia="Calibri" w:hAnsi="Calibri" w:cs="Calibri"/>
        </w:rPr>
        <w:t xml:space="preserve">final reports for most of the vaccine delivery support projects </w:t>
      </w:r>
      <w:r w:rsidR="003E355A" w:rsidRPr="4A351EF4">
        <w:rPr>
          <w:rFonts w:ascii="Calibri" w:eastAsia="Calibri" w:hAnsi="Calibri" w:cs="Calibri"/>
        </w:rPr>
        <w:t>were not included</w:t>
      </w:r>
      <w:r w:rsidR="3C877FE1" w:rsidRPr="4A351EF4">
        <w:rPr>
          <w:rFonts w:ascii="Calibri" w:eastAsia="Calibri" w:hAnsi="Calibri" w:cs="Calibri"/>
        </w:rPr>
        <w:t xml:space="preserve"> as</w:t>
      </w:r>
      <w:r w:rsidR="42572645" w:rsidRPr="4A351EF4">
        <w:rPr>
          <w:rFonts w:ascii="Calibri" w:eastAsia="Calibri" w:hAnsi="Calibri" w:cs="Calibri"/>
        </w:rPr>
        <w:t xml:space="preserve"> at the time of writing</w:t>
      </w:r>
      <w:r w:rsidR="3C877FE1" w:rsidRPr="4A351EF4">
        <w:rPr>
          <w:rFonts w:ascii="Calibri" w:eastAsia="Calibri" w:hAnsi="Calibri" w:cs="Calibri"/>
        </w:rPr>
        <w:t xml:space="preserve"> many </w:t>
      </w:r>
      <w:r w:rsidR="65617D61" w:rsidRPr="4A351EF4">
        <w:rPr>
          <w:rFonts w:ascii="Calibri" w:eastAsia="Calibri" w:hAnsi="Calibri" w:cs="Calibri"/>
        </w:rPr>
        <w:t xml:space="preserve">have not yet been </w:t>
      </w:r>
      <w:r w:rsidR="00DD579D" w:rsidRPr="4A351EF4">
        <w:rPr>
          <w:rFonts w:ascii="Calibri" w:eastAsia="Calibri" w:hAnsi="Calibri" w:cs="Calibri"/>
        </w:rPr>
        <w:t>received by</w:t>
      </w:r>
      <w:r w:rsidRPr="4A351EF4">
        <w:rPr>
          <w:rFonts w:ascii="Calibri" w:eastAsia="Calibri" w:hAnsi="Calibri" w:cs="Calibri"/>
        </w:rPr>
        <w:t xml:space="preserve"> DFAT</w:t>
      </w:r>
      <w:r w:rsidR="3C877FE1" w:rsidRPr="4A351EF4">
        <w:rPr>
          <w:rFonts w:ascii="Calibri" w:eastAsia="Calibri" w:hAnsi="Calibri" w:cs="Calibri"/>
        </w:rPr>
        <w:t xml:space="preserve">. </w:t>
      </w:r>
    </w:p>
    <w:p w14:paraId="2100E9F6" w14:textId="6F84EE82" w:rsidR="3C877FE1" w:rsidRDefault="3C877FE1" w:rsidP="4608E2EE">
      <w:pPr>
        <w:spacing w:after="160" w:line="257" w:lineRule="auto"/>
        <w:jc w:val="both"/>
        <w:rPr>
          <w:rFonts w:ascii="Calibri" w:eastAsia="Calibri" w:hAnsi="Calibri" w:cs="Calibri"/>
        </w:rPr>
      </w:pPr>
      <w:r w:rsidRPr="62CC2B41">
        <w:rPr>
          <w:rFonts w:ascii="Calibri" w:eastAsia="Calibri" w:hAnsi="Calibri" w:cs="Calibri"/>
        </w:rPr>
        <w:t>Several delivery</w:t>
      </w:r>
      <w:r w:rsidR="006874E4">
        <w:rPr>
          <w:rFonts w:ascii="Calibri" w:eastAsia="Calibri" w:hAnsi="Calibri" w:cs="Calibri"/>
        </w:rPr>
        <w:t xml:space="preserve"> support</w:t>
      </w:r>
      <w:r w:rsidRPr="62CC2B41">
        <w:rPr>
          <w:rFonts w:ascii="Calibri" w:eastAsia="Calibri" w:hAnsi="Calibri" w:cs="Calibri"/>
        </w:rPr>
        <w:t xml:space="preserve"> partners received multiple grants </w:t>
      </w:r>
      <w:r w:rsidR="4F3E36B5" w:rsidRPr="62CC2B41">
        <w:rPr>
          <w:rFonts w:ascii="Calibri" w:eastAsia="Calibri" w:hAnsi="Calibri" w:cs="Calibri"/>
        </w:rPr>
        <w:t xml:space="preserve">through </w:t>
      </w:r>
      <w:r w:rsidRPr="62CC2B41">
        <w:rPr>
          <w:rFonts w:ascii="Calibri" w:eastAsia="Calibri" w:hAnsi="Calibri" w:cs="Calibri"/>
        </w:rPr>
        <w:t xml:space="preserve">VAHSI, often with overlapping time periods and/or in response to required </w:t>
      </w:r>
      <w:r w:rsidR="36B665AB" w:rsidRPr="62CC2B41">
        <w:rPr>
          <w:rFonts w:ascii="Calibri" w:eastAsia="Calibri" w:hAnsi="Calibri" w:cs="Calibri"/>
        </w:rPr>
        <w:t xml:space="preserve">changes of approach </w:t>
      </w:r>
      <w:r w:rsidRPr="62CC2B41">
        <w:rPr>
          <w:rFonts w:ascii="Calibri" w:eastAsia="Calibri" w:hAnsi="Calibri" w:cs="Calibri"/>
        </w:rPr>
        <w:t>within countr</w:t>
      </w:r>
      <w:r w:rsidR="00C79A1D" w:rsidRPr="62CC2B41">
        <w:rPr>
          <w:rFonts w:ascii="Calibri" w:eastAsia="Calibri" w:hAnsi="Calibri" w:cs="Calibri"/>
        </w:rPr>
        <w:t>ies</w:t>
      </w:r>
      <w:r w:rsidRPr="62CC2B41">
        <w:rPr>
          <w:rFonts w:ascii="Calibri" w:eastAsia="Calibri" w:hAnsi="Calibri" w:cs="Calibri"/>
        </w:rPr>
        <w:t xml:space="preserve"> as the pandemic progressed.  </w:t>
      </w:r>
      <w:r w:rsidR="12DF687F" w:rsidRPr="62CC2B41">
        <w:rPr>
          <w:rFonts w:ascii="Calibri" w:eastAsia="Calibri" w:hAnsi="Calibri" w:cs="Calibri"/>
        </w:rPr>
        <w:t>Additionally</w:t>
      </w:r>
      <w:r w:rsidRPr="62CC2B41">
        <w:rPr>
          <w:rFonts w:ascii="Calibri" w:eastAsia="Calibri" w:hAnsi="Calibri" w:cs="Calibri"/>
        </w:rPr>
        <w:t xml:space="preserve">, other emergency events occurred throughout the pandemic, including the worst floods on record hitting Timor-Leste in April 2021, two Category 4 tropical cyclones striking Vanuatu within 48 hours of each other in March 2023, followed by a Category 5 cyclone in October 2023. </w:t>
      </w:r>
      <w:r w:rsidR="143BA941" w:rsidRPr="62CC2B41">
        <w:rPr>
          <w:rFonts w:ascii="Calibri" w:eastAsia="Calibri" w:hAnsi="Calibri" w:cs="Calibri"/>
        </w:rPr>
        <w:t>Furthermore, several natural disasters affected Indonesia during this time</w:t>
      </w:r>
      <w:r w:rsidR="7DDA19B7" w:rsidRPr="62CC2B41">
        <w:rPr>
          <w:rFonts w:ascii="Calibri" w:eastAsia="Calibri" w:hAnsi="Calibri" w:cs="Calibri"/>
        </w:rPr>
        <w:t>:</w:t>
      </w:r>
      <w:r w:rsidR="4D2A9654" w:rsidRPr="62CC2B41">
        <w:rPr>
          <w:rFonts w:ascii="Calibri" w:eastAsia="Calibri" w:hAnsi="Calibri" w:cs="Calibri"/>
        </w:rPr>
        <w:t xml:space="preserve"> </w:t>
      </w:r>
      <w:r w:rsidR="143BA941" w:rsidRPr="62CC2B41">
        <w:rPr>
          <w:rFonts w:ascii="Calibri" w:eastAsia="Calibri" w:hAnsi="Calibri" w:cs="Calibri"/>
        </w:rPr>
        <w:t xml:space="preserve"> in 2021 </w:t>
      </w:r>
      <w:proofErr w:type="gramStart"/>
      <w:r w:rsidR="143BA941" w:rsidRPr="62CC2B41">
        <w:rPr>
          <w:rFonts w:ascii="Calibri" w:eastAsia="Calibri" w:hAnsi="Calibri" w:cs="Calibri"/>
        </w:rPr>
        <w:t>alone</w:t>
      </w:r>
      <w:proofErr w:type="gramEnd"/>
      <w:r w:rsidR="143BA941" w:rsidRPr="62CC2B41">
        <w:rPr>
          <w:rFonts w:ascii="Calibri" w:eastAsia="Calibri" w:hAnsi="Calibri" w:cs="Calibri"/>
        </w:rPr>
        <w:t xml:space="preserve"> there was an earthquake in West Sulawesi, Cyclone </w:t>
      </w:r>
      <w:proofErr w:type="spellStart"/>
      <w:r w:rsidR="143BA941" w:rsidRPr="62CC2B41">
        <w:rPr>
          <w:rFonts w:ascii="Calibri" w:eastAsia="Calibri" w:hAnsi="Calibri" w:cs="Calibri"/>
        </w:rPr>
        <w:t>Seroja</w:t>
      </w:r>
      <w:proofErr w:type="spellEnd"/>
      <w:r w:rsidR="143BA941" w:rsidRPr="62CC2B41">
        <w:rPr>
          <w:rFonts w:ascii="Calibri" w:eastAsia="Calibri" w:hAnsi="Calibri" w:cs="Calibri"/>
        </w:rPr>
        <w:t xml:space="preserve"> in </w:t>
      </w:r>
      <w:r w:rsidR="363961FA" w:rsidRPr="62CC2B41">
        <w:rPr>
          <w:rFonts w:ascii="Calibri" w:eastAsia="Calibri" w:hAnsi="Calibri" w:cs="Calibri"/>
        </w:rPr>
        <w:t>East Nusa Tenggara, and</w:t>
      </w:r>
      <w:r w:rsidR="143BA941" w:rsidRPr="62CC2B41">
        <w:rPr>
          <w:rFonts w:ascii="Calibri" w:eastAsia="Calibri" w:hAnsi="Calibri" w:cs="Calibri"/>
        </w:rPr>
        <w:t xml:space="preserve"> a volcanic eruption </w:t>
      </w:r>
      <w:r w:rsidR="1B56F7EF" w:rsidRPr="62CC2B41">
        <w:rPr>
          <w:rFonts w:ascii="Calibri" w:eastAsia="Calibri" w:hAnsi="Calibri" w:cs="Calibri"/>
        </w:rPr>
        <w:t>(Mount</w:t>
      </w:r>
      <w:r w:rsidR="143BA941" w:rsidRPr="62CC2B41">
        <w:rPr>
          <w:rFonts w:ascii="Calibri" w:eastAsia="Calibri" w:hAnsi="Calibri" w:cs="Calibri"/>
        </w:rPr>
        <w:t xml:space="preserve"> </w:t>
      </w:r>
      <w:proofErr w:type="spellStart"/>
      <w:r w:rsidR="143BA941" w:rsidRPr="62CC2B41">
        <w:rPr>
          <w:rFonts w:ascii="Calibri" w:eastAsia="Calibri" w:hAnsi="Calibri" w:cs="Calibri"/>
        </w:rPr>
        <w:t>Semeru</w:t>
      </w:r>
      <w:proofErr w:type="spellEnd"/>
      <w:r w:rsidR="4DD75864" w:rsidRPr="62CC2B41">
        <w:rPr>
          <w:rFonts w:ascii="Calibri" w:eastAsia="Calibri" w:hAnsi="Calibri" w:cs="Calibri"/>
        </w:rPr>
        <w:t>) in</w:t>
      </w:r>
      <w:r w:rsidR="143BA941" w:rsidRPr="62CC2B41">
        <w:rPr>
          <w:rFonts w:ascii="Calibri" w:eastAsia="Calibri" w:hAnsi="Calibri" w:cs="Calibri"/>
        </w:rPr>
        <w:t xml:space="preserve"> East Java. </w:t>
      </w:r>
      <w:r w:rsidRPr="62CC2B41">
        <w:rPr>
          <w:rFonts w:ascii="Calibri" w:eastAsia="Calibri" w:hAnsi="Calibri" w:cs="Calibri"/>
        </w:rPr>
        <w:t xml:space="preserve">These events led to additional humanitarian responses, also often with funding provided by DFAT, frequently involving the same </w:t>
      </w:r>
      <w:r w:rsidR="12273BDD" w:rsidRPr="62CC2B41">
        <w:rPr>
          <w:rFonts w:ascii="Calibri" w:eastAsia="Calibri" w:hAnsi="Calibri" w:cs="Calibri"/>
        </w:rPr>
        <w:t xml:space="preserve">delivery </w:t>
      </w:r>
      <w:r w:rsidR="006874E4">
        <w:rPr>
          <w:rFonts w:ascii="Calibri" w:eastAsia="Calibri" w:hAnsi="Calibri" w:cs="Calibri"/>
        </w:rPr>
        <w:t xml:space="preserve">support </w:t>
      </w:r>
      <w:r w:rsidR="12273BDD" w:rsidRPr="62CC2B41">
        <w:rPr>
          <w:rFonts w:ascii="Calibri" w:eastAsia="Calibri" w:hAnsi="Calibri" w:cs="Calibri"/>
        </w:rPr>
        <w:t xml:space="preserve">partners </w:t>
      </w:r>
      <w:r w:rsidRPr="62CC2B41">
        <w:rPr>
          <w:rFonts w:ascii="Calibri" w:eastAsia="Calibri" w:hAnsi="Calibri" w:cs="Calibri"/>
        </w:rPr>
        <w:t xml:space="preserve">at the same time. </w:t>
      </w:r>
      <w:r w:rsidR="787050F9" w:rsidRPr="62CC2B41">
        <w:rPr>
          <w:rFonts w:ascii="Calibri" w:eastAsia="Calibri" w:hAnsi="Calibri" w:cs="Calibri"/>
        </w:rPr>
        <w:t>Many activities were within the scope of VAHSI, and the nature of delivery support activities chosen for each country was decided following rigorous needs assessment, proposal development, and review. The</w:t>
      </w:r>
      <w:r w:rsidR="00AA0F49" w:rsidRPr="62CC2B41">
        <w:rPr>
          <w:rFonts w:ascii="Calibri" w:eastAsia="Calibri" w:hAnsi="Calibri" w:cs="Calibri"/>
        </w:rPr>
        <w:t xml:space="preserve"> program’s</w:t>
      </w:r>
      <w:r w:rsidR="787050F9" w:rsidRPr="62CC2B41">
        <w:rPr>
          <w:rFonts w:ascii="Calibri" w:eastAsia="Calibri" w:hAnsi="Calibri" w:cs="Calibri"/>
        </w:rPr>
        <w:t xml:space="preserve"> flexibility meant that activities could also be repurposed to respond to emergencies. In the full picture of effectiveness of VAHSI, the tailored approaches to country needs and this flexibility have consistently been positive attributes. A </w:t>
      </w:r>
      <w:r w:rsidR="000E39CA" w:rsidRPr="62CC2B41">
        <w:rPr>
          <w:rFonts w:ascii="Calibri" w:eastAsia="Calibri" w:hAnsi="Calibri" w:cs="Calibri"/>
        </w:rPr>
        <w:t>by-product</w:t>
      </w:r>
      <w:r w:rsidR="787050F9" w:rsidRPr="62CC2B41">
        <w:rPr>
          <w:rFonts w:ascii="Calibri" w:eastAsia="Calibri" w:hAnsi="Calibri" w:cs="Calibri"/>
        </w:rPr>
        <w:t xml:space="preserve"> of this is that some grant activities were frequently rolled into one overarching </w:t>
      </w:r>
      <w:r w:rsidR="3FF49388" w:rsidRPr="62CC2B41">
        <w:rPr>
          <w:rFonts w:ascii="Calibri" w:eastAsia="Calibri" w:hAnsi="Calibri" w:cs="Calibri"/>
        </w:rPr>
        <w:t xml:space="preserve">delivery partner </w:t>
      </w:r>
      <w:r w:rsidR="787050F9" w:rsidRPr="62CC2B41">
        <w:rPr>
          <w:rFonts w:ascii="Calibri" w:eastAsia="Calibri" w:hAnsi="Calibri" w:cs="Calibri"/>
        </w:rPr>
        <w:t xml:space="preserve">report, or that some delivery </w:t>
      </w:r>
      <w:r w:rsidR="006874E4">
        <w:rPr>
          <w:rFonts w:ascii="Calibri" w:eastAsia="Calibri" w:hAnsi="Calibri" w:cs="Calibri"/>
        </w:rPr>
        <w:t xml:space="preserve">support </w:t>
      </w:r>
      <w:r w:rsidR="787050F9" w:rsidRPr="62CC2B41">
        <w:rPr>
          <w:rFonts w:ascii="Calibri" w:eastAsia="Calibri" w:hAnsi="Calibri" w:cs="Calibri"/>
        </w:rPr>
        <w:t xml:space="preserve">partners, particularly multilateral delivery </w:t>
      </w:r>
      <w:r w:rsidR="006874E4">
        <w:rPr>
          <w:rFonts w:ascii="Calibri" w:eastAsia="Calibri" w:hAnsi="Calibri" w:cs="Calibri"/>
        </w:rPr>
        <w:t xml:space="preserve">support </w:t>
      </w:r>
      <w:r w:rsidR="787050F9" w:rsidRPr="62CC2B41">
        <w:rPr>
          <w:rFonts w:ascii="Calibri" w:eastAsia="Calibri" w:hAnsi="Calibri" w:cs="Calibri"/>
        </w:rPr>
        <w:t xml:space="preserve">partners, frequently provided reporting of the totality of their activities, without specifically differentiating the VAHSI component. </w:t>
      </w:r>
      <w:r w:rsidRPr="62CC2B41">
        <w:rPr>
          <w:rFonts w:ascii="Calibri" w:eastAsia="Calibri" w:hAnsi="Calibri" w:cs="Calibri"/>
        </w:rPr>
        <w:t xml:space="preserve">Where possible, the VAHSI component has been assessed. </w:t>
      </w:r>
      <w:r w:rsidR="3FB1F02B" w:rsidRPr="62CC2B41">
        <w:rPr>
          <w:rFonts w:ascii="Calibri" w:eastAsia="Calibri" w:hAnsi="Calibri" w:cs="Calibri"/>
        </w:rPr>
        <w:t>I</w:t>
      </w:r>
      <w:r w:rsidRPr="62CC2B41">
        <w:rPr>
          <w:rFonts w:ascii="Calibri" w:eastAsia="Calibri" w:hAnsi="Calibri" w:cs="Calibri"/>
        </w:rPr>
        <w:t>t is eviden</w:t>
      </w:r>
      <w:r w:rsidR="5F0CF8CF" w:rsidRPr="62CC2B41">
        <w:rPr>
          <w:rFonts w:ascii="Calibri" w:eastAsia="Calibri" w:hAnsi="Calibri" w:cs="Calibri"/>
        </w:rPr>
        <w:t>t</w:t>
      </w:r>
      <w:r w:rsidRPr="62CC2B41">
        <w:rPr>
          <w:rFonts w:ascii="Calibri" w:eastAsia="Calibri" w:hAnsi="Calibri" w:cs="Calibri"/>
        </w:rPr>
        <w:t xml:space="preserve"> across the entire suite of </w:t>
      </w:r>
      <w:r w:rsidR="6245054F" w:rsidRPr="62CC2B41">
        <w:rPr>
          <w:rFonts w:ascii="Calibri" w:eastAsia="Calibri" w:hAnsi="Calibri" w:cs="Calibri"/>
        </w:rPr>
        <w:t xml:space="preserve">delivery </w:t>
      </w:r>
      <w:r w:rsidR="006874E4">
        <w:rPr>
          <w:rFonts w:ascii="Calibri" w:eastAsia="Calibri" w:hAnsi="Calibri" w:cs="Calibri"/>
        </w:rPr>
        <w:t xml:space="preserve">support </w:t>
      </w:r>
      <w:r w:rsidR="6245054F" w:rsidRPr="62CC2B41">
        <w:rPr>
          <w:rFonts w:ascii="Calibri" w:eastAsia="Calibri" w:hAnsi="Calibri" w:cs="Calibri"/>
        </w:rPr>
        <w:t xml:space="preserve">partners </w:t>
      </w:r>
      <w:r w:rsidRPr="62CC2B41">
        <w:rPr>
          <w:rFonts w:ascii="Calibri" w:eastAsia="Calibri" w:hAnsi="Calibri" w:cs="Calibri"/>
        </w:rPr>
        <w:t xml:space="preserve">that, during the COVID-19 pandemic, </w:t>
      </w:r>
      <w:r w:rsidR="7A0E8F53" w:rsidRPr="62CC2B41">
        <w:rPr>
          <w:rFonts w:ascii="Calibri" w:eastAsia="Calibri" w:hAnsi="Calibri" w:cs="Calibri"/>
        </w:rPr>
        <w:t xml:space="preserve">VAHSI made </w:t>
      </w:r>
      <w:r w:rsidR="003E355A" w:rsidRPr="62CC2B41">
        <w:rPr>
          <w:rFonts w:ascii="Calibri" w:eastAsia="Calibri" w:hAnsi="Calibri" w:cs="Calibri"/>
        </w:rPr>
        <w:t xml:space="preserve">a significant contribution to COVID-19 and routine </w:t>
      </w:r>
      <w:r w:rsidR="006554A6" w:rsidRPr="62CC2B41">
        <w:rPr>
          <w:rFonts w:ascii="Calibri" w:eastAsia="Calibri" w:hAnsi="Calibri" w:cs="Calibri"/>
        </w:rPr>
        <w:t>immunisation</w:t>
      </w:r>
      <w:r w:rsidR="003E355A" w:rsidRPr="62CC2B41">
        <w:rPr>
          <w:rFonts w:ascii="Calibri" w:eastAsia="Calibri" w:hAnsi="Calibri" w:cs="Calibri"/>
        </w:rPr>
        <w:t xml:space="preserve"> delivery support</w:t>
      </w:r>
      <w:r w:rsidRPr="62CC2B41">
        <w:rPr>
          <w:rFonts w:ascii="Calibri" w:eastAsia="Calibri" w:hAnsi="Calibri" w:cs="Calibri"/>
        </w:rPr>
        <w:t>.</w:t>
      </w:r>
      <w:r w:rsidR="356BBC90" w:rsidRPr="62CC2B41">
        <w:rPr>
          <w:rFonts w:ascii="Calibri" w:eastAsia="Calibri" w:hAnsi="Calibri" w:cs="Calibri"/>
        </w:rPr>
        <w:t xml:space="preserve"> </w:t>
      </w:r>
    </w:p>
    <w:p w14:paraId="707E6F7F" w14:textId="507025FE" w:rsidR="354629E7" w:rsidRPr="006B0C6C" w:rsidRDefault="5F692997" w:rsidP="2E1252C7">
      <w:pPr>
        <w:pStyle w:val="Heading3SHS"/>
        <w:jc w:val="both"/>
        <w:rPr>
          <w:rFonts w:ascii="Calibri" w:eastAsia="Calibri" w:hAnsi="Calibri" w:cs="Calibri"/>
          <w:bCs w:val="0"/>
          <w:iCs/>
        </w:rPr>
      </w:pPr>
      <w:bookmarkStart w:id="27" w:name="_Toc200617268"/>
      <w:r w:rsidRPr="4608E2EE">
        <w:rPr>
          <w:rStyle w:val="Heading4SHSChar"/>
          <w:b/>
          <w:i w:val="0"/>
        </w:rPr>
        <w:t>Types of vaccine delivery support</w:t>
      </w:r>
      <w:bookmarkEnd w:id="27"/>
      <w:r w:rsidRPr="4608E2EE">
        <w:rPr>
          <w:rStyle w:val="Heading4SHSChar"/>
          <w:b/>
          <w:i w:val="0"/>
        </w:rPr>
        <w:t xml:space="preserve"> </w:t>
      </w:r>
    </w:p>
    <w:p w14:paraId="63FDD11D" w14:textId="04C14A75" w:rsidR="00D72F4B" w:rsidRPr="0017037C" w:rsidRDefault="4375BEAF" w:rsidP="44C8811F">
      <w:pPr>
        <w:spacing w:after="160" w:line="257" w:lineRule="auto"/>
        <w:jc w:val="both"/>
      </w:pPr>
      <w:r w:rsidRPr="33FE3C21">
        <w:rPr>
          <w:rFonts w:ascii="Calibri" w:eastAsia="Calibri" w:hAnsi="Calibri" w:cs="Calibri"/>
        </w:rPr>
        <w:t xml:space="preserve">From the beginning of the pandemic, countries were struggling to address their population’s needs </w:t>
      </w:r>
      <w:r w:rsidR="7ACDA80C" w:rsidRPr="33FE3C21">
        <w:rPr>
          <w:rFonts w:ascii="Calibri" w:eastAsia="Calibri" w:hAnsi="Calibri" w:cs="Calibri"/>
        </w:rPr>
        <w:t xml:space="preserve">within their health systems </w:t>
      </w:r>
      <w:r w:rsidRPr="33FE3C21">
        <w:rPr>
          <w:rFonts w:ascii="Calibri" w:eastAsia="Calibri" w:hAnsi="Calibri" w:cs="Calibri"/>
        </w:rPr>
        <w:t xml:space="preserve">and </w:t>
      </w:r>
      <w:proofErr w:type="gramStart"/>
      <w:r w:rsidRPr="33FE3C21">
        <w:rPr>
          <w:rFonts w:ascii="Calibri" w:eastAsia="Calibri" w:hAnsi="Calibri" w:cs="Calibri"/>
        </w:rPr>
        <w:t>plan ahead</w:t>
      </w:r>
      <w:proofErr w:type="gramEnd"/>
      <w:r w:rsidRPr="33FE3C21">
        <w:rPr>
          <w:rFonts w:ascii="Calibri" w:eastAsia="Calibri" w:hAnsi="Calibri" w:cs="Calibri"/>
        </w:rPr>
        <w:t xml:space="preserve"> for a time when an effective vaccine might become available. As vaccines started to be developed and marketed internationally, support focused on how these vaccine</w:t>
      </w:r>
      <w:r w:rsidR="4B14F2C5" w:rsidRPr="33FE3C21">
        <w:rPr>
          <w:rFonts w:ascii="Calibri" w:eastAsia="Calibri" w:hAnsi="Calibri" w:cs="Calibri"/>
        </w:rPr>
        <w:t xml:space="preserve">s could be </w:t>
      </w:r>
      <w:r w:rsidR="4B14F2C5" w:rsidRPr="0017037C">
        <w:rPr>
          <w:rFonts w:ascii="Calibri" w:eastAsia="Calibri" w:hAnsi="Calibri" w:cs="Calibri"/>
        </w:rPr>
        <w:t xml:space="preserve">delivered </w:t>
      </w:r>
      <w:r w:rsidR="6FA5E07E" w:rsidRPr="0017037C">
        <w:rPr>
          <w:rFonts w:ascii="Calibri" w:eastAsia="Calibri" w:hAnsi="Calibri" w:cs="Calibri"/>
        </w:rPr>
        <w:t xml:space="preserve">to target populations </w:t>
      </w:r>
      <w:r w:rsidR="0C346559" w:rsidRPr="0017037C">
        <w:rPr>
          <w:rFonts w:ascii="Calibri" w:eastAsia="Calibri" w:hAnsi="Calibri" w:cs="Calibri"/>
        </w:rPr>
        <w:t xml:space="preserve">safely and effectively </w:t>
      </w:r>
      <w:r w:rsidR="4B14F2C5" w:rsidRPr="0017037C">
        <w:rPr>
          <w:rFonts w:ascii="Calibri" w:eastAsia="Calibri" w:hAnsi="Calibri" w:cs="Calibri"/>
        </w:rPr>
        <w:t xml:space="preserve">within </w:t>
      </w:r>
      <w:r w:rsidR="4AC15A95" w:rsidRPr="0017037C">
        <w:rPr>
          <w:rFonts w:ascii="Calibri" w:eastAsia="Calibri" w:hAnsi="Calibri" w:cs="Calibri"/>
        </w:rPr>
        <w:t xml:space="preserve">countries with </w:t>
      </w:r>
      <w:r w:rsidR="4B14F2C5" w:rsidRPr="0017037C">
        <w:rPr>
          <w:rFonts w:ascii="Calibri" w:eastAsia="Calibri" w:hAnsi="Calibri" w:cs="Calibri"/>
        </w:rPr>
        <w:t xml:space="preserve">health systems of </w:t>
      </w:r>
      <w:r w:rsidR="328CB0B0" w:rsidRPr="0017037C">
        <w:rPr>
          <w:rFonts w:ascii="Calibri" w:eastAsia="Calibri" w:hAnsi="Calibri" w:cs="Calibri"/>
        </w:rPr>
        <w:t xml:space="preserve">varying </w:t>
      </w:r>
      <w:r w:rsidR="4B14F2C5" w:rsidRPr="0017037C">
        <w:rPr>
          <w:rFonts w:ascii="Calibri" w:eastAsia="Calibri" w:hAnsi="Calibri" w:cs="Calibri"/>
        </w:rPr>
        <w:t xml:space="preserve">capacities. This required </w:t>
      </w:r>
      <w:r w:rsidR="6C723879" w:rsidRPr="0017037C">
        <w:rPr>
          <w:rFonts w:ascii="Calibri" w:eastAsia="Calibri" w:hAnsi="Calibri" w:cs="Calibri"/>
        </w:rPr>
        <w:t xml:space="preserve">rigorous </w:t>
      </w:r>
      <w:r w:rsidR="4B14F2C5" w:rsidRPr="0017037C">
        <w:rPr>
          <w:rFonts w:ascii="Calibri" w:eastAsia="Calibri" w:hAnsi="Calibri" w:cs="Calibri"/>
        </w:rPr>
        <w:t xml:space="preserve">assessments within countries </w:t>
      </w:r>
      <w:r w:rsidR="65ECDE59" w:rsidRPr="0017037C">
        <w:rPr>
          <w:rFonts w:ascii="Calibri" w:eastAsia="Calibri" w:hAnsi="Calibri" w:cs="Calibri"/>
        </w:rPr>
        <w:t xml:space="preserve">in consultation with Ministries of Health, delivery </w:t>
      </w:r>
      <w:r w:rsidR="006874E4">
        <w:rPr>
          <w:rFonts w:ascii="Calibri" w:eastAsia="Calibri" w:hAnsi="Calibri" w:cs="Calibri"/>
        </w:rPr>
        <w:t xml:space="preserve">support </w:t>
      </w:r>
      <w:r w:rsidR="65ECDE59" w:rsidRPr="0017037C">
        <w:rPr>
          <w:rFonts w:ascii="Calibri" w:eastAsia="Calibri" w:hAnsi="Calibri" w:cs="Calibri"/>
        </w:rPr>
        <w:t xml:space="preserve">partners and </w:t>
      </w:r>
      <w:r w:rsidR="0E32FC53" w:rsidRPr="0017037C">
        <w:rPr>
          <w:rFonts w:ascii="Calibri" w:eastAsia="Calibri" w:hAnsi="Calibri" w:cs="Calibri"/>
        </w:rPr>
        <w:t xml:space="preserve">with </w:t>
      </w:r>
      <w:r w:rsidR="65ECDE59" w:rsidRPr="0017037C">
        <w:rPr>
          <w:rFonts w:ascii="Calibri" w:eastAsia="Calibri" w:hAnsi="Calibri" w:cs="Calibri"/>
        </w:rPr>
        <w:t>DFAT Posts</w:t>
      </w:r>
      <w:r w:rsidR="4B14F2C5" w:rsidRPr="0017037C">
        <w:rPr>
          <w:rFonts w:ascii="Calibri" w:eastAsia="Calibri" w:hAnsi="Calibri" w:cs="Calibri"/>
        </w:rPr>
        <w:t xml:space="preserve">, </w:t>
      </w:r>
      <w:r w:rsidR="2E0072A2" w:rsidRPr="0017037C">
        <w:rPr>
          <w:rFonts w:ascii="Calibri" w:eastAsia="Calibri" w:hAnsi="Calibri" w:cs="Calibri"/>
        </w:rPr>
        <w:t xml:space="preserve">and development of tailored vaccine support proposals to address areas of greatest need. </w:t>
      </w:r>
      <w:r w:rsidR="00422E4C" w:rsidRPr="0017037C">
        <w:rPr>
          <w:rFonts w:ascii="Calibri" w:eastAsia="Calibri" w:hAnsi="Calibri" w:cs="Calibri"/>
        </w:rPr>
        <w:t>A broad range of v</w:t>
      </w:r>
      <w:r w:rsidR="00D72F4B" w:rsidRPr="0017037C">
        <w:rPr>
          <w:rFonts w:ascii="Calibri" w:eastAsia="Calibri" w:hAnsi="Calibri" w:cs="Calibri"/>
        </w:rPr>
        <w:t>accine delivery support projects</w:t>
      </w:r>
      <w:r w:rsidR="00422E4C" w:rsidRPr="0017037C">
        <w:rPr>
          <w:rFonts w:ascii="Calibri" w:eastAsia="Calibri" w:hAnsi="Calibri" w:cs="Calibri"/>
        </w:rPr>
        <w:t xml:space="preserve"> were designed</w:t>
      </w:r>
      <w:r w:rsidR="6E947E30" w:rsidRPr="0017037C">
        <w:rPr>
          <w:rFonts w:ascii="Calibri" w:eastAsia="Calibri" w:hAnsi="Calibri" w:cs="Calibri"/>
        </w:rPr>
        <w:t xml:space="preserve"> and v</w:t>
      </w:r>
      <w:r w:rsidR="0015508B" w:rsidRPr="0017037C">
        <w:rPr>
          <w:rFonts w:ascii="Calibri" w:eastAsia="Calibri" w:hAnsi="Calibri" w:cs="Calibri"/>
        </w:rPr>
        <w:t>accine d</w:t>
      </w:r>
      <w:r w:rsidR="00D72F4B" w:rsidRPr="0017037C">
        <w:rPr>
          <w:rFonts w:ascii="Calibri" w:eastAsia="Calibri" w:hAnsi="Calibri" w:cs="Calibri"/>
        </w:rPr>
        <w:t xml:space="preserve">elivery support </w:t>
      </w:r>
      <w:r w:rsidR="004601A7" w:rsidRPr="0017037C">
        <w:rPr>
          <w:rFonts w:ascii="Calibri" w:eastAsia="Calibri" w:hAnsi="Calibri" w:cs="Calibri"/>
        </w:rPr>
        <w:t xml:space="preserve">proposals </w:t>
      </w:r>
      <w:r w:rsidR="00AD1A1F" w:rsidRPr="0017037C">
        <w:rPr>
          <w:rFonts w:ascii="Calibri" w:eastAsia="Calibri" w:hAnsi="Calibri" w:cs="Calibri"/>
        </w:rPr>
        <w:t xml:space="preserve">submitted </w:t>
      </w:r>
      <w:r w:rsidR="00422E4C" w:rsidRPr="0017037C">
        <w:rPr>
          <w:rFonts w:ascii="Calibri" w:eastAsia="Calibri" w:hAnsi="Calibri" w:cs="Calibri"/>
        </w:rPr>
        <w:t>to DFAT for approval and funding</w:t>
      </w:r>
      <w:r w:rsidR="00D72F4B" w:rsidRPr="0017037C">
        <w:rPr>
          <w:rFonts w:ascii="Calibri" w:eastAsia="Calibri" w:hAnsi="Calibri" w:cs="Calibri"/>
        </w:rPr>
        <w:t xml:space="preserve"> </w:t>
      </w:r>
      <w:r w:rsidR="00422E4C" w:rsidRPr="0017037C">
        <w:rPr>
          <w:rFonts w:ascii="Calibri" w:eastAsia="Calibri" w:hAnsi="Calibri" w:cs="Calibri"/>
        </w:rPr>
        <w:t xml:space="preserve">at </w:t>
      </w:r>
      <w:r w:rsidR="00D72F4B" w:rsidRPr="0017037C">
        <w:rPr>
          <w:rFonts w:ascii="Calibri" w:eastAsia="Calibri" w:hAnsi="Calibri" w:cs="Calibri"/>
        </w:rPr>
        <w:t>multiple points throughout the pandemic. The types of vaccine delivery support included:</w:t>
      </w:r>
    </w:p>
    <w:p w14:paraId="6B9338EE" w14:textId="537F966D" w:rsidR="00D72F4B" w:rsidRPr="006B0C6C" w:rsidRDefault="00422E4C" w:rsidP="4608E2EE">
      <w:pPr>
        <w:spacing w:after="0" w:line="257" w:lineRule="auto"/>
        <w:jc w:val="both"/>
        <w:rPr>
          <w:rFonts w:ascii="Calibri" w:eastAsia="Calibri" w:hAnsi="Calibri" w:cs="Calibri"/>
        </w:rPr>
      </w:pPr>
      <w:r w:rsidRPr="0017037C">
        <w:rPr>
          <w:rFonts w:ascii="Calibri" w:eastAsia="Calibri" w:hAnsi="Calibri" w:cs="Calibri"/>
          <w:b/>
          <w:bCs/>
          <w:u w:val="single"/>
        </w:rPr>
        <w:t>V</w:t>
      </w:r>
      <w:r w:rsidR="00D72F4B" w:rsidRPr="0017037C">
        <w:rPr>
          <w:rFonts w:ascii="Calibri" w:eastAsia="Calibri" w:hAnsi="Calibri" w:cs="Calibri"/>
          <w:b/>
          <w:bCs/>
          <w:u w:val="single"/>
        </w:rPr>
        <w:t>accine suppl</w:t>
      </w:r>
      <w:r w:rsidRPr="0017037C">
        <w:rPr>
          <w:rFonts w:ascii="Calibri" w:eastAsia="Calibri" w:hAnsi="Calibri" w:cs="Calibri"/>
          <w:b/>
          <w:bCs/>
          <w:u w:val="single"/>
        </w:rPr>
        <w:t>y activities</w:t>
      </w:r>
      <w:r w:rsidR="00D72F4B" w:rsidRPr="0017037C">
        <w:rPr>
          <w:rFonts w:ascii="Calibri" w:eastAsia="Calibri" w:hAnsi="Calibri" w:cs="Calibri"/>
          <w:b/>
          <w:bCs/>
          <w:u w:val="single"/>
        </w:rPr>
        <w:t>:</w:t>
      </w:r>
      <w:r w:rsidR="00D72F4B" w:rsidRPr="0017037C">
        <w:rPr>
          <w:rFonts w:ascii="Calibri" w:eastAsia="Calibri" w:hAnsi="Calibri" w:cs="Calibri"/>
        </w:rPr>
        <w:t xml:space="preserve"> </w:t>
      </w:r>
      <w:r w:rsidRPr="0017037C">
        <w:rPr>
          <w:rFonts w:ascii="Calibri" w:eastAsia="Calibri" w:hAnsi="Calibri" w:cs="Calibri"/>
        </w:rPr>
        <w:t xml:space="preserve">this included supply of </w:t>
      </w:r>
      <w:r w:rsidR="00D72F4B" w:rsidRPr="0017037C">
        <w:rPr>
          <w:rFonts w:ascii="Calibri" w:eastAsia="Calibri" w:hAnsi="Calibri" w:cs="Calibri"/>
        </w:rPr>
        <w:t xml:space="preserve">syringes, </w:t>
      </w:r>
      <w:r w:rsidR="00170D25" w:rsidRPr="0017037C">
        <w:rPr>
          <w:rFonts w:ascii="Calibri" w:eastAsia="Calibri" w:hAnsi="Calibri" w:cs="Calibri"/>
        </w:rPr>
        <w:t xml:space="preserve">the </w:t>
      </w:r>
      <w:r w:rsidR="00D72F4B" w:rsidRPr="0017037C">
        <w:rPr>
          <w:rFonts w:ascii="Calibri" w:eastAsia="Calibri" w:hAnsi="Calibri" w:cs="Calibri"/>
        </w:rPr>
        <w:t>strengthen</w:t>
      </w:r>
      <w:r w:rsidRPr="0017037C">
        <w:rPr>
          <w:rFonts w:ascii="Calibri" w:eastAsia="Calibri" w:hAnsi="Calibri" w:cs="Calibri"/>
        </w:rPr>
        <w:t>ing</w:t>
      </w:r>
      <w:r w:rsidR="00D72F4B" w:rsidRPr="0017037C">
        <w:rPr>
          <w:rFonts w:ascii="Calibri" w:eastAsia="Calibri" w:hAnsi="Calibri" w:cs="Calibri"/>
        </w:rPr>
        <w:t xml:space="preserve"> </w:t>
      </w:r>
      <w:r w:rsidR="00170D25" w:rsidRPr="0017037C">
        <w:rPr>
          <w:rFonts w:ascii="Calibri" w:eastAsia="Calibri" w:hAnsi="Calibri" w:cs="Calibri"/>
        </w:rPr>
        <w:t xml:space="preserve">of </w:t>
      </w:r>
      <w:r w:rsidR="00D72F4B" w:rsidRPr="0017037C">
        <w:rPr>
          <w:rFonts w:ascii="Calibri" w:eastAsia="Calibri" w:hAnsi="Calibri" w:cs="Calibri"/>
        </w:rPr>
        <w:t xml:space="preserve">cold chain systems, and </w:t>
      </w:r>
      <w:r w:rsidR="6359E013" w:rsidRPr="0017037C">
        <w:rPr>
          <w:rFonts w:ascii="Calibri" w:eastAsia="Calibri" w:hAnsi="Calibri" w:cs="Calibri"/>
        </w:rPr>
        <w:t xml:space="preserve">providing </w:t>
      </w:r>
      <w:r w:rsidR="00D72F4B" w:rsidRPr="0017037C">
        <w:rPr>
          <w:rFonts w:ascii="Calibri" w:eastAsia="Calibri" w:hAnsi="Calibri" w:cs="Calibri"/>
        </w:rPr>
        <w:t xml:space="preserve">vaccine waste facilities within countries. </w:t>
      </w:r>
      <w:r w:rsidR="0F51484A" w:rsidRPr="0017037C">
        <w:rPr>
          <w:rFonts w:ascii="Calibri" w:eastAsia="Calibri" w:hAnsi="Calibri" w:cs="Calibri"/>
          <w:lang w:val="en-US"/>
        </w:rPr>
        <w:t xml:space="preserve">Many outcomes </w:t>
      </w:r>
      <w:r w:rsidR="2AB8D686" w:rsidRPr="0017037C">
        <w:rPr>
          <w:rFonts w:ascii="Calibri" w:eastAsia="Calibri" w:hAnsi="Calibri" w:cs="Calibri"/>
          <w:lang w:val="en-US"/>
        </w:rPr>
        <w:t xml:space="preserve">from these projects </w:t>
      </w:r>
      <w:r w:rsidR="0F51484A" w:rsidRPr="0017037C">
        <w:rPr>
          <w:rFonts w:ascii="Calibri" w:eastAsia="Calibri" w:hAnsi="Calibri" w:cs="Calibri"/>
          <w:lang w:val="en-US"/>
        </w:rPr>
        <w:t xml:space="preserve">are likely to be sustained beyond the program implementation period. These include strengthened connections between Australia, recipient countries, and delivery </w:t>
      </w:r>
      <w:r w:rsidR="00E63204">
        <w:rPr>
          <w:rFonts w:ascii="Calibri" w:eastAsia="Calibri" w:hAnsi="Calibri" w:cs="Calibri"/>
          <w:lang w:val="en-US"/>
        </w:rPr>
        <w:t xml:space="preserve">support </w:t>
      </w:r>
      <w:r w:rsidR="0F51484A" w:rsidRPr="0017037C">
        <w:rPr>
          <w:rFonts w:ascii="Calibri" w:eastAsia="Calibri" w:hAnsi="Calibri" w:cs="Calibri"/>
          <w:lang w:val="en-US"/>
        </w:rPr>
        <w:t>partners to support future vaccine rollouts and broader routine immunization work within VAHSI countries and the region</w:t>
      </w:r>
      <w:r w:rsidR="000E5739" w:rsidRPr="0017037C">
        <w:rPr>
          <w:rFonts w:ascii="Calibri" w:eastAsia="Calibri" w:hAnsi="Calibri" w:cs="Calibri"/>
          <w:lang w:val="en-US"/>
        </w:rPr>
        <w:t>;</w:t>
      </w:r>
      <w:r w:rsidR="0F51484A" w:rsidRPr="0017037C">
        <w:rPr>
          <w:rFonts w:ascii="Calibri" w:eastAsia="Calibri" w:hAnsi="Calibri" w:cs="Calibri"/>
          <w:lang w:val="en-US"/>
        </w:rPr>
        <w:t xml:space="preserve"> platforms provided from which to build ongoing </w:t>
      </w:r>
      <w:proofErr w:type="spellStart"/>
      <w:r w:rsidR="0F51484A" w:rsidRPr="0017037C">
        <w:rPr>
          <w:rFonts w:ascii="Calibri" w:eastAsia="Calibri" w:hAnsi="Calibri" w:cs="Calibri"/>
          <w:lang w:val="en-US"/>
        </w:rPr>
        <w:t>immuni</w:t>
      </w:r>
      <w:r w:rsidR="00F11EFB" w:rsidRPr="0017037C">
        <w:rPr>
          <w:rFonts w:ascii="Calibri" w:eastAsia="Calibri" w:hAnsi="Calibri" w:cs="Calibri"/>
          <w:lang w:val="en-US"/>
        </w:rPr>
        <w:t>s</w:t>
      </w:r>
      <w:r w:rsidR="0F51484A" w:rsidRPr="0017037C">
        <w:rPr>
          <w:rFonts w:ascii="Calibri" w:eastAsia="Calibri" w:hAnsi="Calibri" w:cs="Calibri"/>
          <w:lang w:val="en-US"/>
        </w:rPr>
        <w:t>ation</w:t>
      </w:r>
      <w:proofErr w:type="spellEnd"/>
      <w:r w:rsidR="0F51484A" w:rsidRPr="0017037C">
        <w:rPr>
          <w:rFonts w:ascii="Calibri" w:eastAsia="Calibri" w:hAnsi="Calibri" w:cs="Calibri"/>
          <w:lang w:val="en-US"/>
        </w:rPr>
        <w:t xml:space="preserve"> support activities (such as strengthened cold chain, laboratory capacity, health care worker training, communication and social </w:t>
      </w:r>
      <w:proofErr w:type="spellStart"/>
      <w:r w:rsidR="0F51484A" w:rsidRPr="0017037C">
        <w:rPr>
          <w:rFonts w:ascii="Calibri" w:eastAsia="Calibri" w:hAnsi="Calibri" w:cs="Calibri"/>
          <w:lang w:val="en-US"/>
        </w:rPr>
        <w:t>mobili</w:t>
      </w:r>
      <w:r w:rsidR="00F11EFB" w:rsidRPr="0017037C">
        <w:rPr>
          <w:rFonts w:ascii="Calibri" w:eastAsia="Calibri" w:hAnsi="Calibri" w:cs="Calibri"/>
          <w:lang w:val="en-US"/>
        </w:rPr>
        <w:t>s</w:t>
      </w:r>
      <w:r w:rsidR="0F51484A" w:rsidRPr="0017037C">
        <w:rPr>
          <w:rFonts w:ascii="Calibri" w:eastAsia="Calibri" w:hAnsi="Calibri" w:cs="Calibri"/>
          <w:lang w:val="en-US"/>
        </w:rPr>
        <w:t>ation</w:t>
      </w:r>
      <w:proofErr w:type="spellEnd"/>
      <w:r w:rsidR="0F51484A" w:rsidRPr="0017037C">
        <w:rPr>
          <w:rFonts w:ascii="Calibri" w:eastAsia="Calibri" w:hAnsi="Calibri" w:cs="Calibri"/>
          <w:lang w:val="en-US"/>
        </w:rPr>
        <w:t xml:space="preserve"> which could be used to generate increased demand for routine immunization)</w:t>
      </w:r>
      <w:r w:rsidR="000E5739" w:rsidRPr="0017037C">
        <w:rPr>
          <w:rFonts w:ascii="Calibri" w:eastAsia="Calibri" w:hAnsi="Calibri" w:cs="Calibri"/>
          <w:lang w:val="en-US"/>
        </w:rPr>
        <w:t>;</w:t>
      </w:r>
      <w:r w:rsidR="0F51484A" w:rsidRPr="0017037C">
        <w:rPr>
          <w:rFonts w:ascii="Calibri" w:eastAsia="Calibri" w:hAnsi="Calibri" w:cs="Calibri"/>
          <w:lang w:val="en-US"/>
        </w:rPr>
        <w:t xml:space="preserve"> and strengthened decision-making at the Ministry of Health level for vaccine rollout strategies.</w:t>
      </w:r>
      <w:r w:rsidR="0F51484A" w:rsidRPr="0017037C">
        <w:rPr>
          <w:rFonts w:ascii="Calibri" w:eastAsia="Calibri" w:hAnsi="Calibri" w:cs="Calibri"/>
        </w:rPr>
        <w:t xml:space="preserve"> The value-add of these investments is significant, as without this support the countries would not have b</w:t>
      </w:r>
      <w:r w:rsidR="15BB5D9C" w:rsidRPr="0017037C">
        <w:rPr>
          <w:rFonts w:ascii="Calibri" w:eastAsia="Calibri" w:hAnsi="Calibri" w:cs="Calibri"/>
        </w:rPr>
        <w:t>een empowered to deliver the COVID-19 vaccinations as well as they did within their existing health system</w:t>
      </w:r>
      <w:r w:rsidR="00F11EFB" w:rsidRPr="0017037C">
        <w:rPr>
          <w:rFonts w:ascii="Calibri" w:eastAsia="Calibri" w:hAnsi="Calibri" w:cs="Calibri"/>
        </w:rPr>
        <w:t>s</w:t>
      </w:r>
      <w:r w:rsidR="15BB5D9C" w:rsidRPr="0017037C">
        <w:rPr>
          <w:rFonts w:ascii="Calibri" w:eastAsia="Calibri" w:hAnsi="Calibri" w:cs="Calibri"/>
        </w:rPr>
        <w:t xml:space="preserve">. </w:t>
      </w:r>
      <w:r w:rsidR="00D72F4B" w:rsidRPr="0017037C">
        <w:rPr>
          <w:rFonts w:ascii="Calibri" w:eastAsia="Calibri" w:hAnsi="Calibri" w:cs="Calibri"/>
        </w:rPr>
        <w:t>For cold chain systems</w:t>
      </w:r>
      <w:r w:rsidR="788223FE" w:rsidRPr="0017037C">
        <w:rPr>
          <w:rFonts w:ascii="Calibri" w:eastAsia="Calibri" w:hAnsi="Calibri" w:cs="Calibri"/>
        </w:rPr>
        <w:t>, support</w:t>
      </w:r>
      <w:r w:rsidR="00D72F4B" w:rsidRPr="0017037C">
        <w:rPr>
          <w:rFonts w:ascii="Calibri" w:eastAsia="Calibri" w:hAnsi="Calibri" w:cs="Calibri"/>
        </w:rPr>
        <w:t xml:space="preserve"> included the full continuum from vaccine arrival in country, customs clearance</w:t>
      </w:r>
      <w:r w:rsidR="003E355A" w:rsidRPr="0017037C">
        <w:rPr>
          <w:rFonts w:ascii="Calibri" w:eastAsia="Calibri" w:hAnsi="Calibri" w:cs="Calibri"/>
        </w:rPr>
        <w:t xml:space="preserve"> and</w:t>
      </w:r>
      <w:r w:rsidR="00D72F4B" w:rsidRPr="0017037C">
        <w:rPr>
          <w:rFonts w:ascii="Calibri" w:eastAsia="Calibri" w:hAnsi="Calibri" w:cs="Calibri"/>
        </w:rPr>
        <w:t xml:space="preserve"> </w:t>
      </w:r>
      <w:r w:rsidR="2A35723C" w:rsidRPr="0017037C">
        <w:rPr>
          <w:rFonts w:ascii="Calibri" w:eastAsia="Calibri" w:hAnsi="Calibri" w:cs="Calibri"/>
        </w:rPr>
        <w:t xml:space="preserve">vaccine </w:t>
      </w:r>
      <w:r w:rsidR="00E206C4">
        <w:rPr>
          <w:rFonts w:ascii="Calibri" w:eastAsia="Calibri" w:hAnsi="Calibri" w:cs="Calibri"/>
        </w:rPr>
        <w:t>delivery</w:t>
      </w:r>
      <w:r w:rsidR="00D72F4B" w:rsidRPr="0017037C">
        <w:rPr>
          <w:rFonts w:ascii="Calibri" w:eastAsia="Calibri" w:hAnsi="Calibri" w:cs="Calibri"/>
        </w:rPr>
        <w:t xml:space="preserve"> to national warehouse</w:t>
      </w:r>
      <w:r w:rsidR="17C989F5" w:rsidRPr="0017037C">
        <w:rPr>
          <w:rFonts w:ascii="Calibri" w:eastAsia="Calibri" w:hAnsi="Calibri" w:cs="Calibri"/>
        </w:rPr>
        <w:t>s</w:t>
      </w:r>
      <w:r w:rsidR="00D72F4B" w:rsidRPr="0017037C">
        <w:rPr>
          <w:rFonts w:ascii="Calibri" w:eastAsia="Calibri" w:hAnsi="Calibri" w:cs="Calibri"/>
        </w:rPr>
        <w:t>, monitoring in warehouse</w:t>
      </w:r>
      <w:r w:rsidR="64986B2F" w:rsidRPr="0017037C">
        <w:rPr>
          <w:rFonts w:ascii="Calibri" w:eastAsia="Calibri" w:hAnsi="Calibri" w:cs="Calibri"/>
        </w:rPr>
        <w:t>s</w:t>
      </w:r>
      <w:r w:rsidR="00D72F4B" w:rsidRPr="0017037C">
        <w:rPr>
          <w:rFonts w:ascii="Calibri" w:eastAsia="Calibri" w:hAnsi="Calibri" w:cs="Calibri"/>
        </w:rPr>
        <w:t xml:space="preserve">, </w:t>
      </w:r>
      <w:r w:rsidR="465F662F" w:rsidRPr="0017037C">
        <w:rPr>
          <w:rFonts w:ascii="Calibri" w:eastAsia="Calibri" w:hAnsi="Calibri" w:cs="Calibri"/>
        </w:rPr>
        <w:t xml:space="preserve">vaccine </w:t>
      </w:r>
      <w:r w:rsidR="00D72F4B" w:rsidRPr="0017037C">
        <w:rPr>
          <w:rFonts w:ascii="Calibri" w:eastAsia="Calibri" w:hAnsi="Calibri" w:cs="Calibri"/>
        </w:rPr>
        <w:t xml:space="preserve">delivery to subnational areas, monitoring in subnational areas, </w:t>
      </w:r>
      <w:r w:rsidRPr="0017037C">
        <w:rPr>
          <w:rFonts w:ascii="Calibri" w:eastAsia="Calibri" w:hAnsi="Calibri" w:cs="Calibri"/>
        </w:rPr>
        <w:t xml:space="preserve">and </w:t>
      </w:r>
      <w:r w:rsidR="62848B5E" w:rsidRPr="0017037C">
        <w:rPr>
          <w:rFonts w:ascii="Calibri" w:eastAsia="Calibri" w:hAnsi="Calibri" w:cs="Calibri"/>
        </w:rPr>
        <w:t xml:space="preserve">vaccine </w:t>
      </w:r>
      <w:r w:rsidRPr="0017037C">
        <w:rPr>
          <w:rFonts w:ascii="Calibri" w:eastAsia="Calibri" w:hAnsi="Calibri" w:cs="Calibri"/>
        </w:rPr>
        <w:t xml:space="preserve">delivery </w:t>
      </w:r>
      <w:r w:rsidR="00D72F4B" w:rsidRPr="0017037C">
        <w:rPr>
          <w:rFonts w:ascii="Calibri" w:eastAsia="Calibri" w:hAnsi="Calibri" w:cs="Calibri"/>
        </w:rPr>
        <w:t xml:space="preserve">to the health posts, primary health centres and vaccination clinics (or other </w:t>
      </w:r>
      <w:r w:rsidR="14DDF916" w:rsidRPr="0017037C">
        <w:rPr>
          <w:rFonts w:ascii="Calibri" w:eastAsia="Calibri" w:hAnsi="Calibri" w:cs="Calibri"/>
        </w:rPr>
        <w:t xml:space="preserve">vaccine </w:t>
      </w:r>
      <w:r w:rsidR="00E206C4">
        <w:rPr>
          <w:rFonts w:ascii="Calibri" w:eastAsia="Calibri" w:hAnsi="Calibri" w:cs="Calibri"/>
        </w:rPr>
        <w:t>delivery/</w:t>
      </w:r>
      <w:r w:rsidR="00E63204">
        <w:rPr>
          <w:rFonts w:ascii="Calibri" w:eastAsia="Calibri" w:hAnsi="Calibri" w:cs="Calibri"/>
        </w:rPr>
        <w:t>administration</w:t>
      </w:r>
      <w:r w:rsidR="00D72F4B" w:rsidRPr="0017037C">
        <w:rPr>
          <w:rFonts w:ascii="Calibri" w:eastAsia="Calibri" w:hAnsi="Calibri" w:cs="Calibri"/>
        </w:rPr>
        <w:t xml:space="preserve"> points) where vaccines were administered, </w:t>
      </w:r>
      <w:r w:rsidRPr="0017037C">
        <w:rPr>
          <w:rFonts w:ascii="Calibri" w:eastAsia="Calibri" w:hAnsi="Calibri" w:cs="Calibri"/>
        </w:rPr>
        <w:t>as well as</w:t>
      </w:r>
      <w:r w:rsidR="00D72F4B" w:rsidRPr="0017037C">
        <w:rPr>
          <w:rFonts w:ascii="Calibri" w:eastAsia="Calibri" w:hAnsi="Calibri" w:cs="Calibri"/>
        </w:rPr>
        <w:t xml:space="preserve"> </w:t>
      </w:r>
      <w:r w:rsidR="00572CA8" w:rsidRPr="0017037C">
        <w:rPr>
          <w:rFonts w:ascii="Calibri" w:eastAsia="Calibri" w:hAnsi="Calibri" w:cs="Calibri"/>
        </w:rPr>
        <w:t xml:space="preserve">the </w:t>
      </w:r>
      <w:r w:rsidR="00D72F4B" w:rsidRPr="0017037C">
        <w:rPr>
          <w:rFonts w:ascii="Calibri" w:eastAsia="Calibri" w:hAnsi="Calibri" w:cs="Calibri"/>
        </w:rPr>
        <w:t xml:space="preserve">provision of equipment </w:t>
      </w:r>
      <w:r w:rsidR="00572CA8" w:rsidRPr="0017037C">
        <w:rPr>
          <w:rFonts w:ascii="Calibri" w:eastAsia="Calibri" w:hAnsi="Calibri" w:cs="Calibri"/>
        </w:rPr>
        <w:t xml:space="preserve">to </w:t>
      </w:r>
      <w:r w:rsidR="00D72F4B" w:rsidRPr="0017037C">
        <w:rPr>
          <w:rFonts w:ascii="Calibri" w:eastAsia="Calibri" w:hAnsi="Calibri" w:cs="Calibri"/>
        </w:rPr>
        <w:t>support these activities</w:t>
      </w:r>
      <w:r w:rsidR="00D72F4B" w:rsidRPr="7E56B70C">
        <w:rPr>
          <w:rFonts w:ascii="Calibri" w:eastAsia="Calibri" w:hAnsi="Calibri" w:cs="Calibri"/>
        </w:rPr>
        <w:t xml:space="preserve">. Monitoring included total number of vaccines, expiry dates, </w:t>
      </w:r>
      <w:r w:rsidR="00D9505F" w:rsidRPr="7E56B70C">
        <w:rPr>
          <w:rFonts w:ascii="Calibri" w:eastAsia="Calibri" w:hAnsi="Calibri" w:cs="Calibri"/>
        </w:rPr>
        <w:t>with</w:t>
      </w:r>
      <w:r w:rsidR="00D72F4B" w:rsidRPr="7E56B70C">
        <w:rPr>
          <w:rFonts w:ascii="Calibri" w:eastAsia="Calibri" w:hAnsi="Calibri" w:cs="Calibri"/>
        </w:rPr>
        <w:t xml:space="preserve"> considerable emphasis on monitoring vaccine temperature fluctuations while in transit and in storage.</w:t>
      </w:r>
    </w:p>
    <w:p w14:paraId="543BFD04" w14:textId="2853D7D1" w:rsidR="4A351EF4" w:rsidRDefault="4A351EF4" w:rsidP="4A351EF4">
      <w:pPr>
        <w:spacing w:after="0" w:line="257" w:lineRule="auto"/>
        <w:jc w:val="both"/>
        <w:rPr>
          <w:rFonts w:ascii="Calibri" w:eastAsia="Calibri" w:hAnsi="Calibri" w:cs="Calibri"/>
        </w:rPr>
      </w:pPr>
    </w:p>
    <w:p w14:paraId="33C5214C" w14:textId="6382B0A2" w:rsidR="00D72F4B" w:rsidRPr="006B0C6C" w:rsidRDefault="13052F76" w:rsidP="44C8811F">
      <w:pPr>
        <w:spacing w:after="160" w:line="257" w:lineRule="auto"/>
        <w:jc w:val="both"/>
      </w:pPr>
      <w:r w:rsidRPr="7E56B70C">
        <w:rPr>
          <w:rFonts w:ascii="Calibri" w:eastAsia="Calibri" w:hAnsi="Calibri" w:cs="Calibri"/>
          <w:b/>
          <w:bCs/>
          <w:u w:val="single"/>
        </w:rPr>
        <w:t>Activities to develop and/or improve vaccination reporting systems:</w:t>
      </w:r>
      <w:r w:rsidRPr="003D669E">
        <w:rPr>
          <w:rFonts w:ascii="Calibri" w:eastAsia="Calibri" w:hAnsi="Calibri" w:cs="Calibri"/>
          <w:b/>
          <w:bCs/>
        </w:rPr>
        <w:t xml:space="preserve"> </w:t>
      </w:r>
      <w:r w:rsidR="00224CB4" w:rsidRPr="003D669E">
        <w:rPr>
          <w:rFonts w:ascii="Calibri" w:eastAsia="Calibri" w:hAnsi="Calibri" w:cs="Calibri"/>
          <w:b/>
          <w:bCs/>
        </w:rPr>
        <w:t xml:space="preserve"> </w:t>
      </w:r>
      <w:r w:rsidR="003E355A" w:rsidRPr="7E56B70C">
        <w:rPr>
          <w:rFonts w:ascii="Calibri" w:eastAsia="Calibri" w:hAnsi="Calibri" w:cs="Calibri"/>
        </w:rPr>
        <w:t xml:space="preserve">this included </w:t>
      </w:r>
      <w:r w:rsidRPr="7E56B70C">
        <w:rPr>
          <w:rFonts w:ascii="Calibri" w:eastAsia="Calibri" w:hAnsi="Calibri" w:cs="Calibri"/>
        </w:rPr>
        <w:t>monitoring of data nationally, sub-nationally and by at-risk groups, population enumeration and vaccination follow-ups, monitoring of vaccine wastage and leakage, improvements to systems for monitoring and reporting of adverse events following immunisation (AEFI), and monitoring and evaluation of vaccine deployment activities.</w:t>
      </w:r>
    </w:p>
    <w:p w14:paraId="01172FB4" w14:textId="42B09570" w:rsidR="00D72F4B" w:rsidRPr="006B0C6C" w:rsidRDefault="00D72F4B" w:rsidP="2E1252C7">
      <w:pPr>
        <w:spacing w:after="160" w:line="257" w:lineRule="auto"/>
        <w:jc w:val="both"/>
        <w:rPr>
          <w:rFonts w:ascii="Calibri" w:eastAsia="Calibri" w:hAnsi="Calibri" w:cs="Calibri"/>
        </w:rPr>
      </w:pPr>
      <w:r w:rsidRPr="006B0C6C">
        <w:rPr>
          <w:rFonts w:ascii="Calibri" w:eastAsia="Calibri" w:hAnsi="Calibri" w:cs="Calibri"/>
          <w:b/>
          <w:bCs/>
          <w:u w:val="single"/>
        </w:rPr>
        <w:t>Extensive support to vaccine delivery systems sub-nationally:</w:t>
      </w:r>
      <w:r w:rsidRPr="006B0C6C">
        <w:rPr>
          <w:rFonts w:ascii="Calibri" w:eastAsia="Calibri" w:hAnsi="Calibri" w:cs="Calibri"/>
        </w:rPr>
        <w:t xml:space="preserve"> </w:t>
      </w:r>
      <w:r w:rsidR="003E355A">
        <w:rPr>
          <w:rFonts w:ascii="Calibri" w:eastAsia="Calibri" w:hAnsi="Calibri" w:cs="Calibri"/>
        </w:rPr>
        <w:t>this included</w:t>
      </w:r>
      <w:r w:rsidR="003E355A" w:rsidRPr="006B0C6C">
        <w:rPr>
          <w:rFonts w:ascii="Calibri" w:eastAsia="Calibri" w:hAnsi="Calibri" w:cs="Calibri"/>
        </w:rPr>
        <w:t xml:space="preserve"> </w:t>
      </w:r>
      <w:r w:rsidRPr="006B0C6C">
        <w:rPr>
          <w:rFonts w:ascii="Calibri" w:eastAsia="Calibri" w:hAnsi="Calibri" w:cs="Calibri"/>
        </w:rPr>
        <w:t>establishment of vaccination support centres, door-to-door outreach services, co-administered maternal and child health services, and other specific pilots and approaches to deliver vaccines provincially and to hard-to-reach municipalities and communities. These required and we</w:t>
      </w:r>
      <w:r w:rsidR="00BD1C1E" w:rsidRPr="006B0C6C">
        <w:rPr>
          <w:rFonts w:ascii="Calibri" w:eastAsia="Calibri" w:hAnsi="Calibri" w:cs="Calibri"/>
        </w:rPr>
        <w:t>nt</w:t>
      </w:r>
      <w:r w:rsidRPr="006B0C6C">
        <w:rPr>
          <w:rFonts w:ascii="Calibri" w:eastAsia="Calibri" w:hAnsi="Calibri" w:cs="Calibri"/>
        </w:rPr>
        <w:t xml:space="preserve"> </w:t>
      </w:r>
      <w:proofErr w:type="gramStart"/>
      <w:r w:rsidRPr="006B0C6C">
        <w:rPr>
          <w:rFonts w:ascii="Calibri" w:eastAsia="Calibri" w:hAnsi="Calibri" w:cs="Calibri"/>
        </w:rPr>
        <w:t>hand-in-hand</w:t>
      </w:r>
      <w:proofErr w:type="gramEnd"/>
      <w:r w:rsidRPr="006B0C6C">
        <w:rPr>
          <w:rFonts w:ascii="Calibri" w:eastAsia="Calibri" w:hAnsi="Calibri" w:cs="Calibri"/>
        </w:rPr>
        <w:t xml:space="preserve"> with extensive micro-planning, risk communication and community engagement (RCCE), vaccine demand-generation campaigns at both national and subnational levels, and efforts to reach hard-to-reach groups</w:t>
      </w:r>
      <w:r w:rsidR="003F0544">
        <w:rPr>
          <w:rFonts w:ascii="Calibri" w:eastAsia="Calibri" w:hAnsi="Calibri" w:cs="Calibri"/>
        </w:rPr>
        <w:t>.</w:t>
      </w:r>
      <w:r w:rsidRPr="006B0C6C">
        <w:rPr>
          <w:rFonts w:ascii="Calibri" w:eastAsia="Calibri" w:hAnsi="Calibri" w:cs="Calibri"/>
        </w:rPr>
        <w:t xml:space="preserve"> </w:t>
      </w:r>
    </w:p>
    <w:p w14:paraId="05C977F0" w14:textId="6DA2EFFA" w:rsidR="00D72F4B" w:rsidRPr="006B0C6C" w:rsidRDefault="27944B38" w:rsidP="33F2F9ED">
      <w:pPr>
        <w:spacing w:after="160" w:line="257" w:lineRule="auto"/>
        <w:jc w:val="both"/>
      </w:pPr>
      <w:r w:rsidRPr="4A351EF4">
        <w:rPr>
          <w:rFonts w:ascii="Calibri" w:eastAsia="Calibri" w:hAnsi="Calibri" w:cs="Calibri"/>
          <w:b/>
          <w:bCs/>
          <w:u w:val="single"/>
        </w:rPr>
        <w:t>Provision of expert technical advice:</w:t>
      </w:r>
      <w:r w:rsidRPr="4A351EF4">
        <w:rPr>
          <w:rFonts w:ascii="Calibri" w:eastAsia="Calibri" w:hAnsi="Calibri" w:cs="Calibri"/>
        </w:rPr>
        <w:t xml:space="preserve"> </w:t>
      </w:r>
      <w:r w:rsidR="37FC281D" w:rsidRPr="4A351EF4">
        <w:rPr>
          <w:rFonts w:ascii="Calibri" w:eastAsia="Calibri" w:hAnsi="Calibri" w:cs="Calibri"/>
        </w:rPr>
        <w:t xml:space="preserve">this included </w:t>
      </w:r>
      <w:r w:rsidR="003E355A" w:rsidRPr="4A351EF4">
        <w:rPr>
          <w:rFonts w:ascii="Calibri" w:eastAsia="Calibri" w:hAnsi="Calibri" w:cs="Calibri"/>
        </w:rPr>
        <w:t xml:space="preserve">technical advice </w:t>
      </w:r>
      <w:r w:rsidRPr="4A351EF4">
        <w:rPr>
          <w:rFonts w:ascii="Calibri" w:eastAsia="Calibri" w:hAnsi="Calibri" w:cs="Calibri"/>
        </w:rPr>
        <w:t xml:space="preserve">related to all aspects of the </w:t>
      </w:r>
      <w:r w:rsidR="62E8F747" w:rsidRPr="4A351EF4">
        <w:rPr>
          <w:rFonts w:ascii="Calibri" w:eastAsia="Calibri" w:hAnsi="Calibri" w:cs="Calibri"/>
        </w:rPr>
        <w:t xml:space="preserve">activities outlined </w:t>
      </w:r>
      <w:r w:rsidRPr="4A351EF4">
        <w:rPr>
          <w:rFonts w:ascii="Calibri" w:eastAsia="Calibri" w:hAnsi="Calibri" w:cs="Calibri"/>
        </w:rPr>
        <w:t xml:space="preserve">above, extending often to detailed assessments of pharmacovigilance, regulations, and </w:t>
      </w:r>
      <w:r w:rsidR="352230A4" w:rsidRPr="4A351EF4">
        <w:rPr>
          <w:rFonts w:ascii="Calibri" w:eastAsia="Calibri" w:hAnsi="Calibri" w:cs="Calibri"/>
        </w:rPr>
        <w:t xml:space="preserve">the </w:t>
      </w:r>
      <w:r w:rsidRPr="4A351EF4">
        <w:rPr>
          <w:rFonts w:ascii="Calibri" w:eastAsia="Calibri" w:hAnsi="Calibri" w:cs="Calibri"/>
        </w:rPr>
        <w:t>quality control functions of national regulatory agencies</w:t>
      </w:r>
      <w:r w:rsidR="449D5AA4" w:rsidRPr="4A351EF4">
        <w:rPr>
          <w:rFonts w:ascii="Calibri" w:eastAsia="Calibri" w:hAnsi="Calibri" w:cs="Calibri"/>
        </w:rPr>
        <w:t xml:space="preserve">. </w:t>
      </w:r>
      <w:r w:rsidR="0BD1F5AF" w:rsidRPr="4A351EF4">
        <w:rPr>
          <w:rFonts w:ascii="Calibri" w:eastAsia="Calibri" w:hAnsi="Calibri" w:cs="Calibri"/>
        </w:rPr>
        <w:t>T</w:t>
      </w:r>
      <w:r w:rsidR="0036505B" w:rsidRPr="4A351EF4">
        <w:rPr>
          <w:rFonts w:ascii="Calibri" w:eastAsia="Calibri" w:hAnsi="Calibri" w:cs="Calibri"/>
        </w:rPr>
        <w:t>his</w:t>
      </w:r>
      <w:r w:rsidR="469D7549" w:rsidRPr="4A351EF4">
        <w:rPr>
          <w:rFonts w:ascii="Calibri" w:eastAsia="Calibri" w:hAnsi="Calibri" w:cs="Calibri"/>
        </w:rPr>
        <w:t xml:space="preserve"> also</w:t>
      </w:r>
      <w:r w:rsidR="0036505B" w:rsidRPr="4A351EF4">
        <w:rPr>
          <w:rFonts w:ascii="Calibri" w:eastAsia="Calibri" w:hAnsi="Calibri" w:cs="Calibri"/>
        </w:rPr>
        <w:t xml:space="preserve"> included </w:t>
      </w:r>
      <w:r w:rsidRPr="4A351EF4">
        <w:rPr>
          <w:rFonts w:ascii="Calibri" w:eastAsia="Calibri" w:hAnsi="Calibri" w:cs="Calibri"/>
        </w:rPr>
        <w:t xml:space="preserve">expert assistance to national task forces (particularly </w:t>
      </w:r>
      <w:r w:rsidR="2504F91C" w:rsidRPr="4A351EF4">
        <w:rPr>
          <w:rFonts w:ascii="Calibri" w:eastAsia="Calibri" w:hAnsi="Calibri" w:cs="Calibri"/>
        </w:rPr>
        <w:t>National Immunization Technical Advisory Groups (</w:t>
      </w:r>
      <w:r w:rsidRPr="4A351EF4">
        <w:rPr>
          <w:rFonts w:ascii="Calibri" w:eastAsia="Calibri" w:hAnsi="Calibri" w:cs="Calibri"/>
        </w:rPr>
        <w:t>NITAGs</w:t>
      </w:r>
      <w:r w:rsidR="7325604F" w:rsidRPr="4A351EF4">
        <w:rPr>
          <w:rFonts w:ascii="Calibri" w:eastAsia="Calibri" w:hAnsi="Calibri" w:cs="Calibri"/>
        </w:rPr>
        <w:t>)</w:t>
      </w:r>
      <w:r w:rsidRPr="4A351EF4">
        <w:rPr>
          <w:rFonts w:ascii="Calibri" w:eastAsia="Calibri" w:hAnsi="Calibri" w:cs="Calibri"/>
        </w:rPr>
        <w:t xml:space="preserve">), </w:t>
      </w:r>
      <w:r w:rsidR="00894D3D">
        <w:rPr>
          <w:rFonts w:ascii="Calibri" w:eastAsia="Calibri" w:hAnsi="Calibri" w:cs="Calibri"/>
        </w:rPr>
        <w:t xml:space="preserve">for </w:t>
      </w:r>
      <w:r w:rsidRPr="4A351EF4">
        <w:rPr>
          <w:rFonts w:ascii="Calibri" w:eastAsia="Calibri" w:hAnsi="Calibri" w:cs="Calibri"/>
        </w:rPr>
        <w:t xml:space="preserve">development of guidelines and immunisation strategic plans, </w:t>
      </w:r>
      <w:r w:rsidR="00205A68" w:rsidRPr="4A351EF4">
        <w:rPr>
          <w:rFonts w:ascii="Calibri" w:eastAsia="Calibri" w:hAnsi="Calibri" w:cs="Calibri"/>
        </w:rPr>
        <w:t>vaccine roll-out</w:t>
      </w:r>
      <w:r w:rsidR="00205A68">
        <w:rPr>
          <w:rFonts w:ascii="Calibri" w:eastAsia="Calibri" w:hAnsi="Calibri" w:cs="Calibri"/>
        </w:rPr>
        <w:t>,</w:t>
      </w:r>
      <w:r w:rsidR="00205A68" w:rsidRPr="4A351EF4">
        <w:rPr>
          <w:rFonts w:ascii="Calibri" w:eastAsia="Calibri" w:hAnsi="Calibri" w:cs="Calibri"/>
        </w:rPr>
        <w:t xml:space="preserve"> </w:t>
      </w:r>
      <w:r w:rsidRPr="4A351EF4">
        <w:rPr>
          <w:rFonts w:ascii="Calibri" w:eastAsia="Calibri" w:hAnsi="Calibri" w:cs="Calibri"/>
        </w:rPr>
        <w:t>tailoring communications, strengthening population monitoring</w:t>
      </w:r>
      <w:r w:rsidR="00331D89">
        <w:rPr>
          <w:rFonts w:ascii="Calibri" w:eastAsia="Calibri" w:hAnsi="Calibri" w:cs="Calibri"/>
        </w:rPr>
        <w:t>,</w:t>
      </w:r>
      <w:r w:rsidRPr="4A351EF4">
        <w:rPr>
          <w:rFonts w:ascii="Calibri" w:eastAsia="Calibri" w:hAnsi="Calibri" w:cs="Calibri"/>
        </w:rPr>
        <w:t xml:space="preserve"> and development or improvement of vaccine </w:t>
      </w:r>
      <w:r w:rsidR="0082699C" w:rsidRPr="4A351EF4">
        <w:rPr>
          <w:rFonts w:ascii="Calibri" w:eastAsia="Calibri" w:hAnsi="Calibri" w:cs="Calibri"/>
        </w:rPr>
        <w:t xml:space="preserve">surveillance </w:t>
      </w:r>
      <w:r w:rsidRPr="4A351EF4">
        <w:rPr>
          <w:rFonts w:ascii="Calibri" w:eastAsia="Calibri" w:hAnsi="Calibri" w:cs="Calibri"/>
        </w:rPr>
        <w:t>systems and data management systems</w:t>
      </w:r>
      <w:r w:rsidR="350644C6" w:rsidRPr="4A351EF4">
        <w:rPr>
          <w:rFonts w:ascii="Calibri" w:eastAsia="Calibri" w:hAnsi="Calibri" w:cs="Calibri"/>
        </w:rPr>
        <w:t>. Lastly</w:t>
      </w:r>
      <w:r w:rsidR="58BDB120" w:rsidRPr="4A351EF4">
        <w:rPr>
          <w:rFonts w:ascii="Calibri" w:eastAsia="Calibri" w:hAnsi="Calibri" w:cs="Calibri"/>
        </w:rPr>
        <w:t>,</w:t>
      </w:r>
      <w:r w:rsidR="350644C6" w:rsidRPr="4A351EF4">
        <w:rPr>
          <w:rFonts w:ascii="Calibri" w:eastAsia="Calibri" w:hAnsi="Calibri" w:cs="Calibri"/>
        </w:rPr>
        <w:t xml:space="preserve"> there was</w:t>
      </w:r>
      <w:r w:rsidRPr="4A351EF4">
        <w:rPr>
          <w:rFonts w:ascii="Calibri" w:eastAsia="Calibri" w:hAnsi="Calibri" w:cs="Calibri"/>
        </w:rPr>
        <w:t xml:space="preserve"> training supervision and capacity building of staff at all levels of the health system</w:t>
      </w:r>
      <w:r w:rsidR="007B05BA">
        <w:rPr>
          <w:rFonts w:ascii="Calibri" w:eastAsia="Calibri" w:hAnsi="Calibri" w:cs="Calibri"/>
        </w:rPr>
        <w:t xml:space="preserve"> </w:t>
      </w:r>
      <w:r w:rsidR="00382F0F">
        <w:rPr>
          <w:rFonts w:ascii="Calibri" w:eastAsia="Calibri" w:hAnsi="Calibri" w:cs="Calibri"/>
        </w:rPr>
        <w:t>and</w:t>
      </w:r>
      <w:r w:rsidRPr="4A351EF4">
        <w:rPr>
          <w:rFonts w:ascii="Calibri" w:eastAsia="Calibri" w:hAnsi="Calibri" w:cs="Calibri"/>
        </w:rPr>
        <w:t xml:space="preserve"> support for public health laboratories </w:t>
      </w:r>
      <w:r w:rsidR="000608F9">
        <w:rPr>
          <w:rFonts w:ascii="Calibri" w:eastAsia="Calibri" w:hAnsi="Calibri" w:cs="Calibri"/>
        </w:rPr>
        <w:t>including</w:t>
      </w:r>
      <w:r w:rsidR="007B05BA" w:rsidRPr="4A351EF4">
        <w:rPr>
          <w:rFonts w:ascii="Calibri" w:eastAsia="Calibri" w:hAnsi="Calibri" w:cs="Calibri"/>
        </w:rPr>
        <w:t xml:space="preserve"> </w:t>
      </w:r>
      <w:r w:rsidRPr="4A351EF4">
        <w:rPr>
          <w:rFonts w:ascii="Calibri" w:eastAsia="Calibri" w:hAnsi="Calibri" w:cs="Calibri"/>
        </w:rPr>
        <w:t>development of genomic sequencing and quality assurance activities.</w:t>
      </w:r>
    </w:p>
    <w:p w14:paraId="685B9CBE" w14:textId="3447D004" w:rsidR="44C8811F" w:rsidRPr="006B0C6C" w:rsidDel="00F408B4" w:rsidRDefault="1E58DB36" w:rsidP="00F408B4">
      <w:pPr>
        <w:spacing w:line="257" w:lineRule="auto"/>
        <w:jc w:val="both"/>
      </w:pPr>
      <w:r w:rsidRPr="006B0C6C">
        <w:rPr>
          <w:rFonts w:ascii="Calibri" w:eastAsia="Calibri" w:hAnsi="Calibri" w:cs="Calibri"/>
          <w:b/>
          <w:bCs/>
          <w:u w:val="single"/>
        </w:rPr>
        <w:t>Provision of embedded technical support officers</w:t>
      </w:r>
      <w:r w:rsidR="00F408B4" w:rsidRPr="006B0C6C">
        <w:rPr>
          <w:rStyle w:val="FootnoteReference"/>
          <w:rFonts w:ascii="Calibri" w:eastAsia="Calibri" w:hAnsi="Calibri" w:cs="Calibri"/>
          <w:b/>
          <w:bCs/>
          <w:u w:val="single"/>
        </w:rPr>
        <w:footnoteReference w:id="4"/>
      </w:r>
      <w:r w:rsidRPr="006B0C6C">
        <w:rPr>
          <w:rFonts w:ascii="Calibri" w:eastAsia="Calibri" w:hAnsi="Calibri" w:cs="Calibri"/>
          <w:u w:val="single"/>
        </w:rPr>
        <w:t>:</w:t>
      </w:r>
      <w:r w:rsidRPr="006B0C6C">
        <w:rPr>
          <w:rFonts w:ascii="Calibri" w:eastAsia="Calibri" w:hAnsi="Calibri" w:cs="Calibri"/>
        </w:rPr>
        <w:t xml:space="preserve"> </w:t>
      </w:r>
      <w:r w:rsidR="4BD0C82C">
        <w:rPr>
          <w:rFonts w:ascii="Calibri" w:eastAsia="Calibri" w:hAnsi="Calibri" w:cs="Calibri"/>
        </w:rPr>
        <w:t xml:space="preserve">this included </w:t>
      </w:r>
      <w:r w:rsidR="64FE5821">
        <w:rPr>
          <w:rFonts w:ascii="Calibri" w:eastAsia="Calibri" w:hAnsi="Calibri" w:cs="Calibri"/>
        </w:rPr>
        <w:t xml:space="preserve">the provision of </w:t>
      </w:r>
      <w:r w:rsidR="4BD0C82C">
        <w:rPr>
          <w:rFonts w:ascii="Calibri" w:eastAsia="Calibri" w:hAnsi="Calibri" w:cs="Calibri"/>
        </w:rPr>
        <w:t xml:space="preserve">technical support officers </w:t>
      </w:r>
      <w:r w:rsidRPr="006B0C6C">
        <w:rPr>
          <w:rFonts w:ascii="Calibri" w:eastAsia="Calibri" w:hAnsi="Calibri" w:cs="Calibri"/>
        </w:rPr>
        <w:t xml:space="preserve">within </w:t>
      </w:r>
      <w:r w:rsidR="20064537" w:rsidRPr="4A351EF4">
        <w:rPr>
          <w:rFonts w:ascii="Calibri" w:eastAsia="Calibri" w:hAnsi="Calibri" w:cs="Calibri"/>
        </w:rPr>
        <w:t>M</w:t>
      </w:r>
      <w:r w:rsidRPr="006B0C6C">
        <w:rPr>
          <w:rFonts w:ascii="Calibri" w:eastAsia="Calibri" w:hAnsi="Calibri" w:cs="Calibri"/>
        </w:rPr>
        <w:t xml:space="preserve">inistries of </w:t>
      </w:r>
      <w:r w:rsidR="20064537" w:rsidRPr="4A351EF4">
        <w:rPr>
          <w:rFonts w:ascii="Calibri" w:eastAsia="Calibri" w:hAnsi="Calibri" w:cs="Calibri"/>
        </w:rPr>
        <w:t>H</w:t>
      </w:r>
      <w:r w:rsidRPr="006B0C6C">
        <w:rPr>
          <w:rFonts w:ascii="Calibri" w:eastAsia="Calibri" w:hAnsi="Calibri" w:cs="Calibri"/>
        </w:rPr>
        <w:t xml:space="preserve">ealth </w:t>
      </w:r>
      <w:r w:rsidR="25620A3C" w:rsidRPr="006B0C6C">
        <w:rPr>
          <w:rFonts w:ascii="Calibri" w:eastAsia="Calibri" w:hAnsi="Calibri" w:cs="Calibri"/>
        </w:rPr>
        <w:t>and/</w:t>
      </w:r>
      <w:r w:rsidRPr="006B0C6C">
        <w:rPr>
          <w:rFonts w:ascii="Calibri" w:eastAsia="Calibri" w:hAnsi="Calibri" w:cs="Calibri"/>
        </w:rPr>
        <w:t>or multilateral agencies dedicated either to the pandemic response or to the maintenance of other essential health services</w:t>
      </w:r>
      <w:r w:rsidR="4BD0C82C">
        <w:rPr>
          <w:rFonts w:ascii="Calibri" w:eastAsia="Calibri" w:hAnsi="Calibri" w:cs="Calibri"/>
        </w:rPr>
        <w:t>. E</w:t>
      </w:r>
      <w:r w:rsidRPr="006B0C6C">
        <w:rPr>
          <w:rFonts w:ascii="Calibri" w:eastAsia="Calibri" w:hAnsi="Calibri" w:cs="Calibri"/>
        </w:rPr>
        <w:t xml:space="preserve">xamples include </w:t>
      </w:r>
      <w:r w:rsidR="5DB9D46C" w:rsidRPr="006B0C6C">
        <w:rPr>
          <w:rFonts w:ascii="Calibri" w:eastAsia="Calibri" w:hAnsi="Calibri" w:cs="Calibri"/>
        </w:rPr>
        <w:t xml:space="preserve">the </w:t>
      </w:r>
      <w:r w:rsidRPr="006B0C6C">
        <w:rPr>
          <w:rFonts w:ascii="Calibri" w:eastAsia="Calibri" w:hAnsi="Calibri" w:cs="Calibri"/>
        </w:rPr>
        <w:t xml:space="preserve">employment of </w:t>
      </w:r>
      <w:r w:rsidR="00AB2A6B">
        <w:rPr>
          <w:rFonts w:ascii="Calibri" w:eastAsia="Calibri" w:hAnsi="Calibri" w:cs="Calibri"/>
        </w:rPr>
        <w:t>up to</w:t>
      </w:r>
      <w:r w:rsidR="00CA0F02">
        <w:rPr>
          <w:rFonts w:ascii="Calibri" w:eastAsia="Calibri" w:hAnsi="Calibri" w:cs="Calibri"/>
        </w:rPr>
        <w:t xml:space="preserve"> </w:t>
      </w:r>
      <w:r w:rsidR="079AFC7D" w:rsidRPr="006B0C6C">
        <w:rPr>
          <w:rFonts w:ascii="Calibri" w:eastAsia="Calibri" w:hAnsi="Calibri" w:cs="Calibri"/>
        </w:rPr>
        <w:t xml:space="preserve">20 </w:t>
      </w:r>
      <w:r w:rsidRPr="006B0C6C">
        <w:rPr>
          <w:rFonts w:ascii="Calibri" w:eastAsia="Calibri" w:hAnsi="Calibri" w:cs="Calibri"/>
        </w:rPr>
        <w:t xml:space="preserve">subnational Technical Officers </w:t>
      </w:r>
      <w:r w:rsidR="53AA91F5" w:rsidRPr="006B0C6C">
        <w:rPr>
          <w:rFonts w:ascii="Calibri" w:eastAsia="Calibri" w:hAnsi="Calibri" w:cs="Calibri"/>
        </w:rPr>
        <w:t xml:space="preserve">throughout the pandemic period </w:t>
      </w:r>
      <w:r w:rsidR="79DA4819" w:rsidRPr="006B0C6C">
        <w:rPr>
          <w:rFonts w:ascii="Calibri" w:eastAsia="Calibri" w:hAnsi="Calibri" w:cs="Calibri"/>
        </w:rPr>
        <w:t xml:space="preserve">by a multilateral delivery </w:t>
      </w:r>
      <w:r w:rsidR="00E206C4">
        <w:rPr>
          <w:rFonts w:ascii="Calibri" w:eastAsia="Calibri" w:hAnsi="Calibri" w:cs="Calibri"/>
        </w:rPr>
        <w:t xml:space="preserve">support </w:t>
      </w:r>
      <w:r w:rsidR="79DA4819" w:rsidRPr="006B0C6C">
        <w:rPr>
          <w:rFonts w:ascii="Calibri" w:eastAsia="Calibri" w:hAnsi="Calibri" w:cs="Calibri"/>
        </w:rPr>
        <w:t xml:space="preserve">partner </w:t>
      </w:r>
      <w:r w:rsidR="238CBE95" w:rsidRPr="006B0C6C">
        <w:rPr>
          <w:rFonts w:ascii="Calibri" w:eastAsia="Calibri" w:hAnsi="Calibri" w:cs="Calibri"/>
        </w:rPr>
        <w:t xml:space="preserve">to assist with subnational immunisation support </w:t>
      </w:r>
      <w:r w:rsidRPr="006B0C6C">
        <w:rPr>
          <w:rFonts w:ascii="Calibri" w:eastAsia="Calibri" w:hAnsi="Calibri" w:cs="Calibri"/>
        </w:rPr>
        <w:t>in the worst-affected provinces in Indonesia</w:t>
      </w:r>
      <w:r w:rsidR="592AFBCB" w:rsidRPr="006B0C6C">
        <w:rPr>
          <w:rFonts w:ascii="Calibri" w:eastAsia="Calibri" w:hAnsi="Calibri" w:cs="Calibri"/>
        </w:rPr>
        <w:t xml:space="preserve"> in direct response to government requests</w:t>
      </w:r>
      <w:r w:rsidRPr="006B0C6C">
        <w:rPr>
          <w:rFonts w:ascii="Calibri" w:eastAsia="Calibri" w:hAnsi="Calibri" w:cs="Calibri"/>
        </w:rPr>
        <w:t>, and</w:t>
      </w:r>
      <w:r w:rsidR="56F88586" w:rsidRPr="006B0C6C">
        <w:rPr>
          <w:rFonts w:ascii="Calibri" w:eastAsia="Calibri" w:hAnsi="Calibri" w:cs="Calibri"/>
        </w:rPr>
        <w:t xml:space="preserve"> a remote delivery </w:t>
      </w:r>
      <w:r w:rsidR="00E206C4">
        <w:rPr>
          <w:rFonts w:ascii="Calibri" w:eastAsia="Calibri" w:hAnsi="Calibri" w:cs="Calibri"/>
        </w:rPr>
        <w:t xml:space="preserve">support </w:t>
      </w:r>
      <w:r w:rsidR="56F88586" w:rsidRPr="006B0C6C">
        <w:rPr>
          <w:rFonts w:ascii="Calibri" w:eastAsia="Calibri" w:hAnsi="Calibri" w:cs="Calibri"/>
        </w:rPr>
        <w:t>partner</w:t>
      </w:r>
      <w:r w:rsidRPr="006B0C6C">
        <w:rPr>
          <w:rFonts w:ascii="Calibri" w:eastAsia="Calibri" w:hAnsi="Calibri" w:cs="Calibri"/>
        </w:rPr>
        <w:t xml:space="preserve"> deploying an in-country Public Health Physician to provide immunisation support to the Ministry of Health </w:t>
      </w:r>
      <w:r w:rsidR="2CB28254" w:rsidRPr="006B0C6C">
        <w:rPr>
          <w:rFonts w:ascii="Calibri" w:eastAsia="Calibri" w:hAnsi="Calibri" w:cs="Calibri"/>
        </w:rPr>
        <w:t xml:space="preserve">(MOH) </w:t>
      </w:r>
      <w:r w:rsidRPr="006B0C6C">
        <w:rPr>
          <w:rFonts w:ascii="Calibri" w:eastAsia="Calibri" w:hAnsi="Calibri" w:cs="Calibri"/>
        </w:rPr>
        <w:t xml:space="preserve">in Timor-Leste. </w:t>
      </w:r>
    </w:p>
    <w:p w14:paraId="1C1F781B" w14:textId="1A3AF5EF" w:rsidR="354629E7" w:rsidRPr="006B0C6C" w:rsidRDefault="003C02A2" w:rsidP="7388A156">
      <w:pPr>
        <w:pStyle w:val="Heading3SHS"/>
        <w:jc w:val="both"/>
        <w:rPr>
          <w:bCs w:val="0"/>
          <w:iCs/>
        </w:rPr>
      </w:pPr>
      <w:bookmarkStart w:id="28" w:name="_Toc200617269"/>
      <w:r>
        <w:rPr>
          <w:rStyle w:val="Heading4SHSChar"/>
          <w:b/>
          <w:bCs w:val="0"/>
          <w:i w:val="0"/>
          <w:iCs/>
        </w:rPr>
        <w:t>COVID-19 vaccine targets and coverage</w:t>
      </w:r>
      <w:bookmarkEnd w:id="28"/>
    </w:p>
    <w:p w14:paraId="216E407F" w14:textId="02FF427B" w:rsidR="214FDC17" w:rsidRPr="006B0C6C" w:rsidRDefault="5F692997" w:rsidP="4608E2EE">
      <w:pPr>
        <w:spacing w:after="160" w:line="257" w:lineRule="auto"/>
        <w:jc w:val="both"/>
        <w:rPr>
          <w:rFonts w:ascii="Calibri" w:eastAsia="Calibri" w:hAnsi="Calibri" w:cs="Calibri"/>
        </w:rPr>
      </w:pPr>
      <w:r w:rsidRPr="4A351EF4">
        <w:rPr>
          <w:rFonts w:ascii="Calibri" w:eastAsia="Calibri" w:hAnsi="Calibri" w:cs="Calibri"/>
        </w:rPr>
        <w:t xml:space="preserve">Since </w:t>
      </w:r>
      <w:r w:rsidR="617F9710" w:rsidRPr="4A351EF4">
        <w:rPr>
          <w:rFonts w:ascii="Calibri" w:eastAsia="Calibri" w:hAnsi="Calibri" w:cs="Calibri"/>
        </w:rPr>
        <w:t xml:space="preserve">the start of </w:t>
      </w:r>
      <w:r w:rsidRPr="4A351EF4">
        <w:rPr>
          <w:rFonts w:ascii="Calibri" w:eastAsia="Calibri" w:hAnsi="Calibri" w:cs="Calibri"/>
        </w:rPr>
        <w:t xml:space="preserve">VAHSI </w:t>
      </w:r>
      <w:r w:rsidR="617F9710" w:rsidRPr="4A351EF4">
        <w:rPr>
          <w:rFonts w:ascii="Calibri" w:eastAsia="Calibri" w:hAnsi="Calibri" w:cs="Calibri"/>
        </w:rPr>
        <w:t xml:space="preserve">implementation </w:t>
      </w:r>
      <w:r w:rsidRPr="4A351EF4">
        <w:rPr>
          <w:rFonts w:ascii="Calibri" w:eastAsia="Calibri" w:hAnsi="Calibri" w:cs="Calibri"/>
        </w:rPr>
        <w:t xml:space="preserve">in mid-2021, there is clear evidence from delivery </w:t>
      </w:r>
      <w:r w:rsidR="00E206C4">
        <w:rPr>
          <w:rFonts w:ascii="Calibri" w:eastAsia="Calibri" w:hAnsi="Calibri" w:cs="Calibri"/>
        </w:rPr>
        <w:t xml:space="preserve">support </w:t>
      </w:r>
      <w:r w:rsidRPr="4A351EF4">
        <w:rPr>
          <w:rFonts w:ascii="Calibri" w:eastAsia="Calibri" w:hAnsi="Calibri" w:cs="Calibri"/>
        </w:rPr>
        <w:t xml:space="preserve">partner reports </w:t>
      </w:r>
      <w:r w:rsidR="324E9801" w:rsidRPr="4A351EF4">
        <w:rPr>
          <w:rFonts w:ascii="Calibri" w:eastAsia="Calibri" w:hAnsi="Calibri" w:cs="Calibri"/>
        </w:rPr>
        <w:t>that</w:t>
      </w:r>
      <w:r w:rsidRPr="4A351EF4">
        <w:rPr>
          <w:rFonts w:ascii="Calibri" w:eastAsia="Calibri" w:hAnsi="Calibri" w:cs="Calibri"/>
        </w:rPr>
        <w:t xml:space="preserve"> progress</w:t>
      </w:r>
      <w:r w:rsidR="74BE8692" w:rsidRPr="4A351EF4">
        <w:rPr>
          <w:rFonts w:ascii="Calibri" w:eastAsia="Calibri" w:hAnsi="Calibri" w:cs="Calibri"/>
        </w:rPr>
        <w:t xml:space="preserve"> was made</w:t>
      </w:r>
      <w:r w:rsidRPr="4A351EF4">
        <w:rPr>
          <w:rFonts w:ascii="Calibri" w:eastAsia="Calibri" w:hAnsi="Calibri" w:cs="Calibri"/>
        </w:rPr>
        <w:t xml:space="preserve"> towards achieving targets. </w:t>
      </w:r>
      <w:r w:rsidR="22152997" w:rsidRPr="4A351EF4">
        <w:rPr>
          <w:rFonts w:ascii="Calibri" w:eastAsia="Calibri" w:hAnsi="Calibri" w:cs="Calibri"/>
        </w:rPr>
        <w:t xml:space="preserve">It </w:t>
      </w:r>
      <w:r w:rsidRPr="4A351EF4">
        <w:rPr>
          <w:rFonts w:ascii="Calibri" w:eastAsia="Calibri" w:hAnsi="Calibri" w:cs="Calibri"/>
        </w:rPr>
        <w:t xml:space="preserve">is not within the scope of this evaluation to assess </w:t>
      </w:r>
      <w:r w:rsidR="617F9710" w:rsidRPr="4A351EF4">
        <w:rPr>
          <w:rFonts w:ascii="Calibri" w:eastAsia="Calibri" w:hAnsi="Calibri" w:cs="Calibri"/>
        </w:rPr>
        <w:t>MEL</w:t>
      </w:r>
      <w:r w:rsidRPr="4A351EF4">
        <w:rPr>
          <w:rFonts w:ascii="Calibri" w:eastAsia="Calibri" w:hAnsi="Calibri" w:cs="Calibri"/>
        </w:rPr>
        <w:t xml:space="preserve"> approaches </w:t>
      </w:r>
      <w:r w:rsidR="617F9710" w:rsidRPr="4A351EF4">
        <w:rPr>
          <w:rFonts w:ascii="Calibri" w:eastAsia="Calibri" w:hAnsi="Calibri" w:cs="Calibri"/>
        </w:rPr>
        <w:t xml:space="preserve">and </w:t>
      </w:r>
      <w:r w:rsidRPr="4A351EF4">
        <w:rPr>
          <w:rFonts w:ascii="Calibri" w:eastAsia="Calibri" w:hAnsi="Calibri" w:cs="Calibri"/>
        </w:rPr>
        <w:t>reporting</w:t>
      </w:r>
      <w:r w:rsidR="3B7B75B7" w:rsidRPr="4A351EF4">
        <w:rPr>
          <w:rFonts w:ascii="Calibri" w:eastAsia="Calibri" w:hAnsi="Calibri" w:cs="Calibri"/>
        </w:rPr>
        <w:t>.</w:t>
      </w:r>
      <w:r w:rsidRPr="4A351EF4">
        <w:rPr>
          <w:rFonts w:ascii="Calibri" w:eastAsia="Calibri" w:hAnsi="Calibri" w:cs="Calibri"/>
        </w:rPr>
        <w:t xml:space="preserve"> </w:t>
      </w:r>
      <w:r w:rsidR="3C535A29" w:rsidRPr="4A351EF4">
        <w:rPr>
          <w:rFonts w:ascii="Calibri" w:eastAsia="Calibri" w:hAnsi="Calibri" w:cs="Calibri"/>
        </w:rPr>
        <w:t xml:space="preserve">However, </w:t>
      </w:r>
      <w:r w:rsidRPr="4A351EF4">
        <w:rPr>
          <w:rFonts w:ascii="Calibri" w:eastAsia="Calibri" w:hAnsi="Calibri" w:cs="Calibri"/>
        </w:rPr>
        <w:t>there</w:t>
      </w:r>
      <w:r w:rsidR="7049A873" w:rsidRPr="4A351EF4">
        <w:rPr>
          <w:rFonts w:ascii="Calibri" w:eastAsia="Calibri" w:hAnsi="Calibri" w:cs="Calibri"/>
        </w:rPr>
        <w:t xml:space="preserve"> did </w:t>
      </w:r>
      <w:r w:rsidR="3E19FCC3" w:rsidRPr="4A351EF4">
        <w:rPr>
          <w:rFonts w:ascii="Calibri" w:eastAsia="Calibri" w:hAnsi="Calibri" w:cs="Calibri"/>
        </w:rPr>
        <w:t xml:space="preserve">appear to be </w:t>
      </w:r>
      <w:r w:rsidRPr="4A351EF4">
        <w:rPr>
          <w:rFonts w:ascii="Calibri" w:eastAsia="Calibri" w:hAnsi="Calibri" w:cs="Calibri"/>
        </w:rPr>
        <w:t>variation</w:t>
      </w:r>
      <w:r w:rsidR="380DF9D7" w:rsidRPr="4A351EF4">
        <w:rPr>
          <w:rFonts w:ascii="Calibri" w:eastAsia="Calibri" w:hAnsi="Calibri" w:cs="Calibri"/>
        </w:rPr>
        <w:t>s</w:t>
      </w:r>
      <w:r w:rsidRPr="4A351EF4">
        <w:rPr>
          <w:rFonts w:ascii="Calibri" w:eastAsia="Calibri" w:hAnsi="Calibri" w:cs="Calibri"/>
        </w:rPr>
        <w:t xml:space="preserve"> in </w:t>
      </w:r>
      <w:r w:rsidR="617F9710" w:rsidRPr="4A351EF4">
        <w:rPr>
          <w:rFonts w:ascii="Calibri" w:eastAsia="Calibri" w:hAnsi="Calibri" w:cs="Calibri"/>
        </w:rPr>
        <w:t>expectations related to MEL and reporting</w:t>
      </w:r>
      <w:r w:rsidR="320E75E7" w:rsidRPr="4A351EF4">
        <w:rPr>
          <w:rFonts w:ascii="Calibri" w:eastAsia="Calibri" w:hAnsi="Calibri" w:cs="Calibri"/>
        </w:rPr>
        <w:t xml:space="preserve"> </w:t>
      </w:r>
      <w:r w:rsidR="2E041E7F" w:rsidRPr="4A351EF4">
        <w:rPr>
          <w:rFonts w:ascii="Calibri" w:eastAsia="Calibri" w:hAnsi="Calibri" w:cs="Calibri"/>
        </w:rPr>
        <w:t xml:space="preserve">(some delivery </w:t>
      </w:r>
      <w:r w:rsidR="00E206C4">
        <w:rPr>
          <w:rFonts w:ascii="Calibri" w:eastAsia="Calibri" w:hAnsi="Calibri" w:cs="Calibri"/>
        </w:rPr>
        <w:t xml:space="preserve">support </w:t>
      </w:r>
      <w:r w:rsidR="2E041E7F" w:rsidRPr="4A351EF4">
        <w:rPr>
          <w:rFonts w:ascii="Calibri" w:eastAsia="Calibri" w:hAnsi="Calibri" w:cs="Calibri"/>
        </w:rPr>
        <w:t xml:space="preserve">partners </w:t>
      </w:r>
      <w:r w:rsidR="0F3E1C5F" w:rsidRPr="4A351EF4">
        <w:rPr>
          <w:rFonts w:ascii="Calibri" w:eastAsia="Calibri" w:hAnsi="Calibri" w:cs="Calibri"/>
        </w:rPr>
        <w:t xml:space="preserve">indicated </w:t>
      </w:r>
      <w:r w:rsidR="2E041E7F" w:rsidRPr="4A351EF4">
        <w:rPr>
          <w:rFonts w:ascii="Calibri" w:eastAsia="Calibri" w:hAnsi="Calibri" w:cs="Calibri"/>
        </w:rPr>
        <w:t>that reporting requirements were</w:t>
      </w:r>
      <w:r w:rsidR="4F83C6BB" w:rsidRPr="4A351EF4">
        <w:rPr>
          <w:rFonts w:ascii="Calibri" w:eastAsia="Calibri" w:hAnsi="Calibri" w:cs="Calibri"/>
        </w:rPr>
        <w:t xml:space="preserve"> </w:t>
      </w:r>
      <w:r w:rsidR="2E041E7F" w:rsidRPr="4A351EF4">
        <w:rPr>
          <w:rFonts w:ascii="Calibri" w:eastAsia="Calibri" w:hAnsi="Calibri" w:cs="Calibri"/>
        </w:rPr>
        <w:t>n</w:t>
      </w:r>
      <w:r w:rsidR="688DF6CA" w:rsidRPr="4A351EF4">
        <w:rPr>
          <w:rFonts w:ascii="Calibri" w:eastAsia="Calibri" w:hAnsi="Calibri" w:cs="Calibri"/>
        </w:rPr>
        <w:t>o</w:t>
      </w:r>
      <w:r w:rsidR="2E041E7F" w:rsidRPr="4A351EF4">
        <w:rPr>
          <w:rFonts w:ascii="Calibri" w:eastAsia="Calibri" w:hAnsi="Calibri" w:cs="Calibri"/>
        </w:rPr>
        <w:t xml:space="preserve">t clear up front or that reporting requirements changed part-way through) </w:t>
      </w:r>
      <w:r w:rsidR="320E75E7" w:rsidRPr="4A351EF4">
        <w:rPr>
          <w:rFonts w:ascii="Calibri" w:eastAsia="Calibri" w:hAnsi="Calibri" w:cs="Calibri"/>
        </w:rPr>
        <w:t xml:space="preserve">and this has made it difficult to </w:t>
      </w:r>
      <w:r w:rsidR="003E355A" w:rsidRPr="4A351EF4">
        <w:rPr>
          <w:rFonts w:ascii="Calibri" w:eastAsia="Calibri" w:hAnsi="Calibri" w:cs="Calibri"/>
        </w:rPr>
        <w:t>determine if</w:t>
      </w:r>
      <w:r w:rsidR="320E75E7" w:rsidRPr="4A351EF4">
        <w:rPr>
          <w:rFonts w:ascii="Calibri" w:eastAsia="Calibri" w:hAnsi="Calibri" w:cs="Calibri"/>
        </w:rPr>
        <w:t xml:space="preserve"> targets were achieved</w:t>
      </w:r>
      <w:r w:rsidR="3E477E21" w:rsidRPr="4A351EF4">
        <w:rPr>
          <w:rFonts w:ascii="Calibri" w:eastAsia="Calibri" w:hAnsi="Calibri" w:cs="Calibri"/>
        </w:rPr>
        <w:t xml:space="preserve"> for all delivery </w:t>
      </w:r>
      <w:r w:rsidR="00E206C4">
        <w:rPr>
          <w:rFonts w:ascii="Calibri" w:eastAsia="Calibri" w:hAnsi="Calibri" w:cs="Calibri"/>
        </w:rPr>
        <w:t xml:space="preserve">support </w:t>
      </w:r>
      <w:r w:rsidR="3E477E21" w:rsidRPr="4A351EF4">
        <w:rPr>
          <w:rFonts w:ascii="Calibri" w:eastAsia="Calibri" w:hAnsi="Calibri" w:cs="Calibri"/>
        </w:rPr>
        <w:t>partners</w:t>
      </w:r>
      <w:r w:rsidR="617F9710" w:rsidRPr="4A351EF4">
        <w:rPr>
          <w:rFonts w:ascii="Calibri" w:eastAsia="Calibri" w:hAnsi="Calibri" w:cs="Calibri"/>
        </w:rPr>
        <w:t>.</w:t>
      </w:r>
      <w:r w:rsidR="723F3D90" w:rsidRPr="4A351EF4">
        <w:rPr>
          <w:rFonts w:ascii="Calibri" w:eastAsia="Calibri" w:hAnsi="Calibri" w:cs="Calibri"/>
        </w:rPr>
        <w:t xml:space="preserve"> </w:t>
      </w:r>
      <w:r w:rsidR="7AA1821B" w:rsidRPr="4A351EF4">
        <w:rPr>
          <w:rFonts w:ascii="Calibri" w:eastAsia="Calibri" w:hAnsi="Calibri" w:cs="Calibri"/>
        </w:rPr>
        <w:t>S</w:t>
      </w:r>
      <w:r w:rsidR="75DC4218" w:rsidRPr="4A351EF4">
        <w:rPr>
          <w:rFonts w:ascii="Calibri" w:eastAsia="Calibri" w:hAnsi="Calibri" w:cs="Calibri"/>
        </w:rPr>
        <w:t>ome proposals and reports had set targets</w:t>
      </w:r>
      <w:r w:rsidR="7416A3A1" w:rsidRPr="4A351EF4">
        <w:rPr>
          <w:rFonts w:ascii="Calibri" w:eastAsia="Calibri" w:hAnsi="Calibri" w:cs="Calibri"/>
        </w:rPr>
        <w:t>, whereas</w:t>
      </w:r>
      <w:r w:rsidR="75DC4218" w:rsidRPr="4A351EF4">
        <w:rPr>
          <w:rFonts w:ascii="Calibri" w:eastAsia="Calibri" w:hAnsi="Calibri" w:cs="Calibri"/>
        </w:rPr>
        <w:t xml:space="preserve"> others appeared to </w:t>
      </w:r>
      <w:r w:rsidR="003E355A" w:rsidRPr="4A351EF4">
        <w:rPr>
          <w:rFonts w:ascii="Calibri" w:eastAsia="Calibri" w:hAnsi="Calibri" w:cs="Calibri"/>
        </w:rPr>
        <w:t xml:space="preserve">only </w:t>
      </w:r>
      <w:r w:rsidR="72D077C5" w:rsidRPr="4A351EF4">
        <w:rPr>
          <w:rFonts w:ascii="Calibri" w:eastAsia="Calibri" w:hAnsi="Calibri" w:cs="Calibri"/>
        </w:rPr>
        <w:t>require reporting</w:t>
      </w:r>
      <w:r w:rsidR="48AC0AE7" w:rsidRPr="4A351EF4">
        <w:rPr>
          <w:rFonts w:ascii="Calibri" w:eastAsia="Calibri" w:hAnsi="Calibri" w:cs="Calibri"/>
        </w:rPr>
        <w:t xml:space="preserve"> </w:t>
      </w:r>
      <w:r w:rsidR="353780A7" w:rsidRPr="4A351EF4">
        <w:rPr>
          <w:rFonts w:ascii="Calibri" w:eastAsia="Calibri" w:hAnsi="Calibri" w:cs="Calibri"/>
        </w:rPr>
        <w:t xml:space="preserve">the </w:t>
      </w:r>
      <w:r w:rsidR="00D170D0" w:rsidRPr="4A351EF4">
        <w:rPr>
          <w:rFonts w:ascii="Calibri" w:eastAsia="Calibri" w:hAnsi="Calibri" w:cs="Calibri"/>
        </w:rPr>
        <w:t>’</w:t>
      </w:r>
      <w:r w:rsidR="75DC4218" w:rsidRPr="4A351EF4">
        <w:rPr>
          <w:rFonts w:ascii="Calibri" w:eastAsia="Calibri" w:hAnsi="Calibri" w:cs="Calibri"/>
        </w:rPr>
        <w:t>number of</w:t>
      </w:r>
      <w:r w:rsidR="00D170D0" w:rsidRPr="4A351EF4">
        <w:rPr>
          <w:rFonts w:ascii="Calibri" w:eastAsia="Calibri" w:hAnsi="Calibri" w:cs="Calibri"/>
        </w:rPr>
        <w:t>’</w:t>
      </w:r>
      <w:r w:rsidR="75DC4218" w:rsidRPr="4A351EF4">
        <w:rPr>
          <w:rFonts w:ascii="Calibri" w:eastAsia="Calibri" w:hAnsi="Calibri" w:cs="Calibri"/>
        </w:rPr>
        <w:t xml:space="preserve"> </w:t>
      </w:r>
      <w:r w:rsidR="20841958" w:rsidRPr="4A351EF4">
        <w:rPr>
          <w:rFonts w:ascii="Calibri" w:eastAsia="Calibri" w:hAnsi="Calibri" w:cs="Calibri"/>
        </w:rPr>
        <w:t xml:space="preserve">an activity </w:t>
      </w:r>
      <w:r w:rsidR="75DC4218" w:rsidRPr="4A351EF4">
        <w:rPr>
          <w:rFonts w:ascii="Calibri" w:eastAsia="Calibri" w:hAnsi="Calibri" w:cs="Calibri"/>
        </w:rPr>
        <w:t xml:space="preserve">with no </w:t>
      </w:r>
      <w:r w:rsidR="016CC9BC" w:rsidRPr="4A351EF4">
        <w:rPr>
          <w:rFonts w:ascii="Calibri" w:eastAsia="Calibri" w:hAnsi="Calibri" w:cs="Calibri"/>
        </w:rPr>
        <w:t>actual</w:t>
      </w:r>
      <w:r w:rsidR="75DC4218" w:rsidRPr="4A351EF4">
        <w:rPr>
          <w:rFonts w:ascii="Calibri" w:eastAsia="Calibri" w:hAnsi="Calibri" w:cs="Calibri"/>
        </w:rPr>
        <w:t xml:space="preserve"> target. </w:t>
      </w:r>
      <w:r w:rsidR="6F98ADE9" w:rsidRPr="4A351EF4">
        <w:rPr>
          <w:rFonts w:ascii="Calibri" w:eastAsia="Calibri" w:hAnsi="Calibri" w:cs="Calibri"/>
        </w:rPr>
        <w:t>M</w:t>
      </w:r>
      <w:r w:rsidR="6166B553" w:rsidRPr="4A351EF4">
        <w:rPr>
          <w:rFonts w:ascii="Calibri" w:eastAsia="Calibri" w:hAnsi="Calibri" w:cs="Calibri"/>
        </w:rPr>
        <w:t>ost</w:t>
      </w:r>
      <w:r w:rsidRPr="4A351EF4">
        <w:rPr>
          <w:rFonts w:ascii="Calibri" w:eastAsia="Calibri" w:hAnsi="Calibri" w:cs="Calibri"/>
        </w:rPr>
        <w:t xml:space="preserve"> </w:t>
      </w:r>
      <w:r w:rsidR="195AB5E7" w:rsidRPr="4A351EF4">
        <w:rPr>
          <w:rFonts w:ascii="Calibri" w:eastAsia="Calibri" w:hAnsi="Calibri" w:cs="Calibri"/>
        </w:rPr>
        <w:t xml:space="preserve">delivery </w:t>
      </w:r>
      <w:r w:rsidR="006874E4">
        <w:rPr>
          <w:rFonts w:ascii="Calibri" w:eastAsia="Calibri" w:hAnsi="Calibri" w:cs="Calibri"/>
        </w:rPr>
        <w:t xml:space="preserve">support </w:t>
      </w:r>
      <w:r w:rsidRPr="4A351EF4">
        <w:rPr>
          <w:rFonts w:ascii="Calibri" w:eastAsia="Calibri" w:hAnsi="Calibri" w:cs="Calibri"/>
        </w:rPr>
        <w:t xml:space="preserve">partners tracked activities to targets, objectives </w:t>
      </w:r>
      <w:r w:rsidR="617F9710" w:rsidRPr="4A351EF4">
        <w:rPr>
          <w:rFonts w:ascii="Calibri" w:eastAsia="Calibri" w:hAnsi="Calibri" w:cs="Calibri"/>
        </w:rPr>
        <w:t xml:space="preserve">and </w:t>
      </w:r>
      <w:r w:rsidRPr="4A351EF4">
        <w:rPr>
          <w:rFonts w:ascii="Calibri" w:eastAsia="Calibri" w:hAnsi="Calibri" w:cs="Calibri"/>
        </w:rPr>
        <w:t xml:space="preserve">intermediate or end-of-program outcomes where these had been defined. </w:t>
      </w:r>
      <w:r w:rsidR="4F8776F3" w:rsidRPr="4A351EF4">
        <w:rPr>
          <w:rFonts w:ascii="Calibri" w:eastAsia="Calibri" w:hAnsi="Calibri" w:cs="Calibri"/>
        </w:rPr>
        <w:t>Most</w:t>
      </w:r>
      <w:r w:rsidRPr="4A351EF4">
        <w:rPr>
          <w:rFonts w:ascii="Calibri" w:eastAsia="Calibri" w:hAnsi="Calibri" w:cs="Calibri"/>
        </w:rPr>
        <w:t xml:space="preserve"> reports </w:t>
      </w:r>
      <w:r w:rsidR="617F9710" w:rsidRPr="4A351EF4">
        <w:rPr>
          <w:rFonts w:ascii="Calibri" w:eastAsia="Calibri" w:hAnsi="Calibri" w:cs="Calibri"/>
        </w:rPr>
        <w:t xml:space="preserve">provided </w:t>
      </w:r>
      <w:r w:rsidRPr="4A351EF4">
        <w:rPr>
          <w:rFonts w:ascii="Calibri" w:eastAsia="Calibri" w:hAnsi="Calibri" w:cs="Calibri"/>
        </w:rPr>
        <w:t>quantitative data o</w:t>
      </w:r>
      <w:r w:rsidR="617F9710" w:rsidRPr="4A351EF4">
        <w:rPr>
          <w:rFonts w:ascii="Calibri" w:eastAsia="Calibri" w:hAnsi="Calibri" w:cs="Calibri"/>
        </w:rPr>
        <w:t>n</w:t>
      </w:r>
      <w:r w:rsidRPr="4A351EF4">
        <w:rPr>
          <w:rFonts w:ascii="Calibri" w:eastAsia="Calibri" w:hAnsi="Calibri" w:cs="Calibri"/>
        </w:rPr>
        <w:t xml:space="preserve"> </w:t>
      </w:r>
      <w:r w:rsidR="361B3633" w:rsidRPr="4A351EF4">
        <w:rPr>
          <w:rFonts w:ascii="Calibri" w:eastAsia="Calibri" w:hAnsi="Calibri" w:cs="Calibri"/>
        </w:rPr>
        <w:t>activities conducted</w:t>
      </w:r>
      <w:r w:rsidRPr="4A351EF4">
        <w:rPr>
          <w:rFonts w:ascii="Calibri" w:eastAsia="Calibri" w:hAnsi="Calibri" w:cs="Calibri"/>
        </w:rPr>
        <w:t xml:space="preserve"> or beneficiaries reached in the reporting period</w:t>
      </w:r>
      <w:r w:rsidR="617F9710" w:rsidRPr="4A351EF4">
        <w:rPr>
          <w:rFonts w:ascii="Calibri" w:eastAsia="Calibri" w:hAnsi="Calibri" w:cs="Calibri"/>
        </w:rPr>
        <w:t>. Most reports included</w:t>
      </w:r>
      <w:r w:rsidRPr="4A351EF4">
        <w:rPr>
          <w:rFonts w:ascii="Calibri" w:eastAsia="Calibri" w:hAnsi="Calibri" w:cs="Calibri"/>
        </w:rPr>
        <w:t xml:space="preserve"> self-assessment</w:t>
      </w:r>
      <w:r w:rsidR="617F9710" w:rsidRPr="4A351EF4">
        <w:rPr>
          <w:rFonts w:ascii="Calibri" w:eastAsia="Calibri" w:hAnsi="Calibri" w:cs="Calibri"/>
        </w:rPr>
        <w:t>s</w:t>
      </w:r>
      <w:r w:rsidRPr="4A351EF4">
        <w:rPr>
          <w:rFonts w:ascii="Calibri" w:eastAsia="Calibri" w:hAnsi="Calibri" w:cs="Calibri"/>
        </w:rPr>
        <w:t xml:space="preserve"> of level of achievement </w:t>
      </w:r>
      <w:r w:rsidR="617F9710" w:rsidRPr="4A351EF4">
        <w:rPr>
          <w:rFonts w:ascii="Calibri" w:eastAsia="Calibri" w:hAnsi="Calibri" w:cs="Calibri"/>
        </w:rPr>
        <w:t>towards</w:t>
      </w:r>
      <w:r w:rsidR="0A1DF0C9" w:rsidRPr="4A351EF4">
        <w:rPr>
          <w:rFonts w:ascii="Calibri" w:eastAsia="Calibri" w:hAnsi="Calibri" w:cs="Calibri"/>
        </w:rPr>
        <w:t xml:space="preserve"> </w:t>
      </w:r>
      <w:r w:rsidRPr="4A351EF4">
        <w:rPr>
          <w:rFonts w:ascii="Calibri" w:eastAsia="Calibri" w:hAnsi="Calibri" w:cs="Calibri"/>
        </w:rPr>
        <w:t>objectives, with many reports explaining how the data were verified.</w:t>
      </w:r>
      <w:r w:rsidR="6E92484A" w:rsidRPr="4A351EF4">
        <w:rPr>
          <w:rFonts w:ascii="Calibri" w:eastAsia="Calibri" w:hAnsi="Calibri" w:cs="Calibri"/>
        </w:rPr>
        <w:t xml:space="preserve"> </w:t>
      </w:r>
      <w:r w:rsidRPr="4A351EF4">
        <w:rPr>
          <w:rFonts w:ascii="Calibri" w:eastAsia="Calibri" w:hAnsi="Calibri" w:cs="Calibri"/>
        </w:rPr>
        <w:t xml:space="preserve">Progress reports generally provided detail on continued progress, or reasons for delays or deviations from plans. Where </w:t>
      </w:r>
      <w:r w:rsidR="5F093FB4" w:rsidRPr="4A351EF4">
        <w:rPr>
          <w:rFonts w:ascii="Calibri" w:eastAsia="Calibri" w:hAnsi="Calibri" w:cs="Calibri"/>
        </w:rPr>
        <w:t>delivery</w:t>
      </w:r>
      <w:r w:rsidR="006874E4">
        <w:rPr>
          <w:rFonts w:ascii="Calibri" w:eastAsia="Calibri" w:hAnsi="Calibri" w:cs="Calibri"/>
        </w:rPr>
        <w:t xml:space="preserve"> support</w:t>
      </w:r>
      <w:r w:rsidR="5F093FB4" w:rsidRPr="4A351EF4">
        <w:rPr>
          <w:rFonts w:ascii="Calibri" w:eastAsia="Calibri" w:hAnsi="Calibri" w:cs="Calibri"/>
        </w:rPr>
        <w:t xml:space="preserve"> partners </w:t>
      </w:r>
      <w:r w:rsidRPr="4A351EF4">
        <w:rPr>
          <w:rFonts w:ascii="Calibri" w:eastAsia="Calibri" w:hAnsi="Calibri" w:cs="Calibri"/>
        </w:rPr>
        <w:t xml:space="preserve">reported delays that </w:t>
      </w:r>
      <w:r w:rsidR="5F093FB4" w:rsidRPr="4A351EF4">
        <w:rPr>
          <w:rFonts w:ascii="Calibri" w:eastAsia="Calibri" w:hAnsi="Calibri" w:cs="Calibri"/>
        </w:rPr>
        <w:t xml:space="preserve">impacted </w:t>
      </w:r>
      <w:r w:rsidRPr="4A351EF4">
        <w:rPr>
          <w:rFonts w:ascii="Calibri" w:eastAsia="Calibri" w:hAnsi="Calibri" w:cs="Calibri"/>
        </w:rPr>
        <w:t xml:space="preserve">activities, they frequently </w:t>
      </w:r>
      <w:r w:rsidR="5F093FB4" w:rsidRPr="4A351EF4">
        <w:rPr>
          <w:rFonts w:ascii="Calibri" w:eastAsia="Calibri" w:hAnsi="Calibri" w:cs="Calibri"/>
        </w:rPr>
        <w:t>included information on</w:t>
      </w:r>
      <w:r w:rsidRPr="4A351EF4">
        <w:rPr>
          <w:rFonts w:ascii="Calibri" w:eastAsia="Calibri" w:hAnsi="Calibri" w:cs="Calibri"/>
        </w:rPr>
        <w:t xml:space="preserve"> overcoming challenges.</w:t>
      </w:r>
      <w:r w:rsidR="003E355A" w:rsidRPr="4A351EF4">
        <w:rPr>
          <w:rFonts w:ascii="Calibri" w:eastAsia="Calibri" w:hAnsi="Calibri" w:cs="Calibri"/>
        </w:rPr>
        <w:t xml:space="preserve"> </w:t>
      </w:r>
      <w:r w:rsidR="2B728A18" w:rsidRPr="4A351EF4">
        <w:rPr>
          <w:rFonts w:ascii="Calibri" w:eastAsia="Calibri" w:hAnsi="Calibri" w:cs="Calibri"/>
        </w:rPr>
        <w:t>Some</w:t>
      </w:r>
      <w:r w:rsidRPr="4A351EF4">
        <w:rPr>
          <w:rFonts w:ascii="Calibri" w:eastAsia="Calibri" w:hAnsi="Calibri" w:cs="Calibri"/>
        </w:rPr>
        <w:t xml:space="preserve"> multilateral </w:t>
      </w:r>
      <w:r w:rsidR="64B7B946" w:rsidRPr="4A351EF4">
        <w:rPr>
          <w:rFonts w:ascii="Calibri" w:eastAsia="Calibri" w:hAnsi="Calibri" w:cs="Calibri"/>
        </w:rPr>
        <w:t xml:space="preserve">delivery </w:t>
      </w:r>
      <w:r w:rsidR="00E206C4">
        <w:rPr>
          <w:rFonts w:ascii="Calibri" w:eastAsia="Calibri" w:hAnsi="Calibri" w:cs="Calibri"/>
        </w:rPr>
        <w:t xml:space="preserve">support </w:t>
      </w:r>
      <w:r w:rsidR="64B7B946" w:rsidRPr="4A351EF4">
        <w:rPr>
          <w:rFonts w:ascii="Calibri" w:eastAsia="Calibri" w:hAnsi="Calibri" w:cs="Calibri"/>
        </w:rPr>
        <w:t xml:space="preserve">partner </w:t>
      </w:r>
      <w:r w:rsidR="5F093FB4" w:rsidRPr="4A351EF4">
        <w:rPr>
          <w:rFonts w:ascii="Calibri" w:eastAsia="Calibri" w:hAnsi="Calibri" w:cs="Calibri"/>
        </w:rPr>
        <w:t xml:space="preserve">activities </w:t>
      </w:r>
      <w:r w:rsidRPr="4A351EF4">
        <w:rPr>
          <w:rFonts w:ascii="Calibri" w:eastAsia="Calibri" w:hAnsi="Calibri" w:cs="Calibri"/>
        </w:rPr>
        <w:t xml:space="preserve">could not be directly attributed to VAHSI. </w:t>
      </w:r>
    </w:p>
    <w:p w14:paraId="32F020D3" w14:textId="78EAAB63" w:rsidR="7388A156" w:rsidRPr="006B0C6C" w:rsidRDefault="1CE4D761" w:rsidP="00CC4591">
      <w:pPr>
        <w:spacing w:after="160" w:line="257" w:lineRule="auto"/>
        <w:jc w:val="both"/>
        <w:rPr>
          <w:rFonts w:ascii="Calibri" w:eastAsia="Calibri" w:hAnsi="Calibri" w:cs="Calibri"/>
        </w:rPr>
      </w:pPr>
      <w:r w:rsidRPr="33FE3C21">
        <w:rPr>
          <w:rFonts w:ascii="Calibri" w:eastAsia="Calibri" w:hAnsi="Calibri" w:cs="Calibri"/>
        </w:rPr>
        <w:t xml:space="preserve">In late 2022 and early 2023, </w:t>
      </w:r>
      <w:r w:rsidR="03BEAF38" w:rsidRPr="33FE3C21">
        <w:rPr>
          <w:rFonts w:ascii="Calibri" w:eastAsia="Calibri" w:hAnsi="Calibri" w:cs="Calibri"/>
        </w:rPr>
        <w:t xml:space="preserve">as COVID-19 transmission, hospitalisation and mortality rates reduced, </w:t>
      </w:r>
      <w:r w:rsidRPr="33FE3C21">
        <w:rPr>
          <w:rFonts w:ascii="Calibri" w:eastAsia="Calibri" w:hAnsi="Calibri" w:cs="Calibri"/>
        </w:rPr>
        <w:t>VAHSI focus shifted from providing COVID-19 vaccines to supporting ro</w:t>
      </w:r>
      <w:r w:rsidR="641E8F71" w:rsidRPr="33FE3C21">
        <w:rPr>
          <w:rFonts w:ascii="Calibri" w:eastAsia="Calibri" w:hAnsi="Calibri" w:cs="Calibri"/>
        </w:rPr>
        <w:t>utine immunisation service</w:t>
      </w:r>
      <w:r w:rsidRPr="33FE3C21">
        <w:rPr>
          <w:rFonts w:ascii="Calibri" w:eastAsia="Calibri" w:hAnsi="Calibri" w:cs="Calibri"/>
        </w:rPr>
        <w:t xml:space="preserve"> delivery. This </w:t>
      </w:r>
      <w:r w:rsidR="6A245095" w:rsidRPr="33FE3C21">
        <w:rPr>
          <w:rFonts w:ascii="Calibri" w:eastAsia="Calibri" w:hAnsi="Calibri" w:cs="Calibri"/>
        </w:rPr>
        <w:t>pivoting reflected</w:t>
      </w:r>
      <w:r w:rsidRPr="33FE3C21">
        <w:rPr>
          <w:rFonts w:ascii="Calibri" w:eastAsia="Calibri" w:hAnsi="Calibri" w:cs="Calibri"/>
        </w:rPr>
        <w:t xml:space="preserve"> a shift in partner government needs a</w:t>
      </w:r>
      <w:r w:rsidR="59186253" w:rsidRPr="33FE3C21">
        <w:rPr>
          <w:rFonts w:ascii="Calibri" w:eastAsia="Calibri" w:hAnsi="Calibri" w:cs="Calibri"/>
        </w:rPr>
        <w:t>s they moved from</w:t>
      </w:r>
      <w:r w:rsidRPr="33FE3C21">
        <w:rPr>
          <w:rFonts w:ascii="Calibri" w:eastAsia="Calibri" w:hAnsi="Calibri" w:cs="Calibri"/>
        </w:rPr>
        <w:t xml:space="preserve"> rapid response to a longer-term response phase. </w:t>
      </w:r>
      <w:r w:rsidR="3BA997B7" w:rsidRPr="006B0C6C">
        <w:rPr>
          <w:rFonts w:ascii="Calibri" w:eastAsia="Calibri" w:hAnsi="Calibri" w:cs="Calibri"/>
        </w:rPr>
        <w:t xml:space="preserve">There is considerable direct and indirect evidence that vaccine delivery </w:t>
      </w:r>
      <w:r w:rsidR="00E206C4">
        <w:rPr>
          <w:rFonts w:ascii="Calibri" w:eastAsia="Calibri" w:hAnsi="Calibri" w:cs="Calibri"/>
        </w:rPr>
        <w:t xml:space="preserve">support </w:t>
      </w:r>
      <w:r w:rsidR="3BA997B7" w:rsidRPr="006B0C6C">
        <w:rPr>
          <w:rFonts w:ascii="Calibri" w:eastAsia="Calibri" w:hAnsi="Calibri" w:cs="Calibri"/>
        </w:rPr>
        <w:t xml:space="preserve">projects contributed to higher COVID-19 </w:t>
      </w:r>
      <w:r w:rsidR="00E206C4">
        <w:rPr>
          <w:rFonts w:ascii="Calibri" w:eastAsia="Calibri" w:hAnsi="Calibri" w:cs="Calibri"/>
        </w:rPr>
        <w:t>and</w:t>
      </w:r>
      <w:r w:rsidR="005B045F" w:rsidRPr="006B0C6C">
        <w:rPr>
          <w:rFonts w:ascii="Calibri" w:eastAsia="Calibri" w:hAnsi="Calibri" w:cs="Calibri"/>
        </w:rPr>
        <w:t xml:space="preserve"> </w:t>
      </w:r>
      <w:r w:rsidR="3BA997B7" w:rsidRPr="006B0C6C">
        <w:rPr>
          <w:rFonts w:ascii="Calibri" w:eastAsia="Calibri" w:hAnsi="Calibri" w:cs="Calibri"/>
        </w:rPr>
        <w:t>routine immunisation</w:t>
      </w:r>
      <w:r w:rsidR="00E206C4">
        <w:rPr>
          <w:rFonts w:ascii="Calibri" w:eastAsia="Calibri" w:hAnsi="Calibri" w:cs="Calibri"/>
        </w:rPr>
        <w:t xml:space="preserve"> coverage</w:t>
      </w:r>
      <w:r w:rsidR="3BA997B7" w:rsidRPr="006B0C6C">
        <w:rPr>
          <w:rFonts w:ascii="Calibri" w:eastAsia="Calibri" w:hAnsi="Calibri" w:cs="Calibri"/>
        </w:rPr>
        <w:t xml:space="preserve">. </w:t>
      </w:r>
      <w:r w:rsidR="7C358EA6" w:rsidRPr="006B0C6C">
        <w:rPr>
          <w:rFonts w:ascii="Calibri" w:eastAsia="Calibri" w:hAnsi="Calibri" w:cs="Calibri"/>
        </w:rPr>
        <w:t xml:space="preserve">This evidence is drawn </w:t>
      </w:r>
      <w:r w:rsidR="00FA1A39" w:rsidRPr="006B0C6C">
        <w:rPr>
          <w:rFonts w:ascii="Calibri" w:eastAsia="Calibri" w:hAnsi="Calibri" w:cs="Calibri"/>
        </w:rPr>
        <w:t xml:space="preserve">from </w:t>
      </w:r>
      <w:r w:rsidR="7C53EDF6" w:rsidRPr="006B0C6C">
        <w:rPr>
          <w:rFonts w:ascii="Calibri" w:eastAsia="Calibri" w:hAnsi="Calibri" w:cs="Calibri"/>
        </w:rPr>
        <w:t xml:space="preserve">delivery </w:t>
      </w:r>
      <w:r w:rsidR="00E206C4">
        <w:rPr>
          <w:rFonts w:ascii="Calibri" w:eastAsia="Calibri" w:hAnsi="Calibri" w:cs="Calibri"/>
        </w:rPr>
        <w:t xml:space="preserve">support </w:t>
      </w:r>
      <w:r w:rsidR="7C53EDF6" w:rsidRPr="006B0C6C">
        <w:rPr>
          <w:rFonts w:ascii="Calibri" w:eastAsia="Calibri" w:hAnsi="Calibri" w:cs="Calibri"/>
        </w:rPr>
        <w:t>partner reports</w:t>
      </w:r>
      <w:r w:rsidR="018E60B9" w:rsidRPr="006B0C6C">
        <w:rPr>
          <w:rFonts w:ascii="Calibri" w:eastAsia="Calibri" w:hAnsi="Calibri" w:cs="Calibri"/>
        </w:rPr>
        <w:t xml:space="preserve"> (</w:t>
      </w:r>
      <w:r w:rsidR="4FEA3513" w:rsidRPr="006B0C6C">
        <w:rPr>
          <w:rFonts w:ascii="Calibri" w:eastAsia="Calibri" w:hAnsi="Calibri" w:cs="Calibri"/>
        </w:rPr>
        <w:t>including, but not limited to,</w:t>
      </w:r>
      <w:r w:rsidR="3C819B66" w:rsidRPr="006B0C6C">
        <w:rPr>
          <w:rFonts w:ascii="Calibri" w:eastAsia="Calibri" w:hAnsi="Calibri" w:cs="Calibri"/>
        </w:rPr>
        <w:t xml:space="preserve"> AIHSP in Indonesia, AHP in Vanuatu, UNICEF in Timor-Leste</w:t>
      </w:r>
      <w:r w:rsidR="018E60B9" w:rsidRPr="006B0C6C">
        <w:rPr>
          <w:rFonts w:ascii="Calibri" w:eastAsia="Calibri" w:hAnsi="Calibri" w:cs="Calibri"/>
        </w:rPr>
        <w:t xml:space="preserve"> </w:t>
      </w:r>
      <w:r w:rsidR="1FFC449A" w:rsidRPr="006B0C6C">
        <w:rPr>
          <w:rFonts w:ascii="Calibri" w:eastAsia="Calibri" w:hAnsi="Calibri" w:cs="Calibri"/>
        </w:rPr>
        <w:t xml:space="preserve">and </w:t>
      </w:r>
      <w:r w:rsidR="00C22F9F">
        <w:rPr>
          <w:rFonts w:ascii="Calibri" w:eastAsia="Calibri" w:hAnsi="Calibri" w:cs="Calibri"/>
        </w:rPr>
        <w:t>the World Health Organization</w:t>
      </w:r>
      <w:r w:rsidR="00815A1B">
        <w:rPr>
          <w:rFonts w:ascii="Calibri" w:eastAsia="Calibri" w:hAnsi="Calibri" w:cs="Calibri"/>
        </w:rPr>
        <w:t xml:space="preserve"> (</w:t>
      </w:r>
      <w:r w:rsidR="1FFC449A" w:rsidRPr="006B0C6C">
        <w:rPr>
          <w:rFonts w:ascii="Calibri" w:eastAsia="Calibri" w:hAnsi="Calibri" w:cs="Calibri"/>
        </w:rPr>
        <w:t>WHO</w:t>
      </w:r>
      <w:r w:rsidR="00815A1B">
        <w:rPr>
          <w:rFonts w:ascii="Calibri" w:eastAsia="Calibri" w:hAnsi="Calibri" w:cs="Calibri"/>
        </w:rPr>
        <w:t>)</w:t>
      </w:r>
      <w:r w:rsidR="1FFC449A" w:rsidRPr="006B0C6C">
        <w:rPr>
          <w:rFonts w:ascii="Calibri" w:eastAsia="Calibri" w:hAnsi="Calibri" w:cs="Calibri"/>
        </w:rPr>
        <w:t xml:space="preserve"> in Vietnam</w:t>
      </w:r>
      <w:r w:rsidR="018E60B9" w:rsidRPr="006B0C6C">
        <w:rPr>
          <w:rFonts w:ascii="Calibri" w:eastAsia="Calibri" w:hAnsi="Calibri" w:cs="Calibri"/>
        </w:rPr>
        <w:t>)</w:t>
      </w:r>
      <w:r w:rsidR="7C53EDF6" w:rsidRPr="006B0C6C">
        <w:rPr>
          <w:rFonts w:ascii="Calibri" w:eastAsia="Calibri" w:hAnsi="Calibri" w:cs="Calibri"/>
        </w:rPr>
        <w:t>,</w:t>
      </w:r>
      <w:r w:rsidR="3BA997B7" w:rsidRPr="006B0C6C">
        <w:rPr>
          <w:rFonts w:ascii="Calibri" w:eastAsia="Calibri" w:hAnsi="Calibri" w:cs="Calibri"/>
        </w:rPr>
        <w:t xml:space="preserve"> </w:t>
      </w:r>
      <w:r w:rsidR="5D1CDE59" w:rsidRPr="006B0C6C">
        <w:rPr>
          <w:rFonts w:ascii="Calibri" w:eastAsia="Calibri" w:hAnsi="Calibri" w:cs="Calibri"/>
        </w:rPr>
        <w:t xml:space="preserve">which </w:t>
      </w:r>
      <w:r w:rsidR="3BA997B7" w:rsidRPr="006B0C6C">
        <w:rPr>
          <w:rFonts w:ascii="Calibri" w:eastAsia="Calibri" w:hAnsi="Calibri" w:cs="Calibri"/>
        </w:rPr>
        <w:t xml:space="preserve">include quantitative data on the numbers and types of vaccine doses provided and modality (e.g. to hard-to-reach </w:t>
      </w:r>
      <w:r w:rsidR="003E355A">
        <w:rPr>
          <w:rFonts w:ascii="Calibri" w:eastAsia="Calibri" w:hAnsi="Calibri" w:cs="Calibri"/>
        </w:rPr>
        <w:t>populations</w:t>
      </w:r>
      <w:r w:rsidR="003E355A" w:rsidRPr="006B0C6C">
        <w:rPr>
          <w:rFonts w:ascii="Calibri" w:eastAsia="Calibri" w:hAnsi="Calibri" w:cs="Calibri"/>
        </w:rPr>
        <w:t xml:space="preserve"> </w:t>
      </w:r>
      <w:r w:rsidR="003E355A">
        <w:rPr>
          <w:rFonts w:ascii="Calibri" w:eastAsia="Calibri" w:hAnsi="Calibri" w:cs="Calibri"/>
        </w:rPr>
        <w:t>through</w:t>
      </w:r>
      <w:r w:rsidR="003E355A" w:rsidRPr="006B0C6C">
        <w:rPr>
          <w:rFonts w:ascii="Calibri" w:eastAsia="Calibri" w:hAnsi="Calibri" w:cs="Calibri"/>
        </w:rPr>
        <w:t xml:space="preserve"> </w:t>
      </w:r>
      <w:r w:rsidR="3BA997B7" w:rsidRPr="006B0C6C">
        <w:rPr>
          <w:rFonts w:ascii="Calibri" w:eastAsia="Calibri" w:hAnsi="Calibri" w:cs="Calibri"/>
        </w:rPr>
        <w:t>door-to-door service delivery, mobile clinics, or scheduled vaccination events in communities), regulatory</w:t>
      </w:r>
      <w:r w:rsidR="00E21CCB">
        <w:rPr>
          <w:rFonts w:ascii="Calibri" w:eastAsia="Calibri" w:hAnsi="Calibri" w:cs="Calibri"/>
        </w:rPr>
        <w:t>-</w:t>
      </w:r>
      <w:r w:rsidR="3BA997B7" w:rsidRPr="006B0C6C">
        <w:rPr>
          <w:rFonts w:ascii="Calibri" w:eastAsia="Calibri" w:hAnsi="Calibri" w:cs="Calibri"/>
        </w:rPr>
        <w:t>supported registrations and authorisations of COVID-19 vaccines, and expert advice supporting urgent decisions on use of vaccines.</w:t>
      </w:r>
      <w:r w:rsidR="00FA1A39">
        <w:rPr>
          <w:rStyle w:val="EndnoteReference"/>
          <w:rFonts w:ascii="Calibri" w:eastAsia="Calibri" w:hAnsi="Calibri" w:cs="Calibri"/>
        </w:rPr>
        <w:endnoteReference w:id="7"/>
      </w:r>
      <w:r w:rsidR="3BA997B7" w:rsidRPr="006B0C6C">
        <w:rPr>
          <w:rFonts w:ascii="Calibri" w:eastAsia="Calibri" w:hAnsi="Calibri" w:cs="Calibri"/>
        </w:rPr>
        <w:t xml:space="preserve"> </w:t>
      </w:r>
      <w:r w:rsidR="7D204575" w:rsidRPr="006B0C6C">
        <w:rPr>
          <w:rFonts w:ascii="Calibri" w:eastAsia="Calibri" w:hAnsi="Calibri" w:cs="Calibri"/>
        </w:rPr>
        <w:t xml:space="preserve">For example, </w:t>
      </w:r>
      <w:r w:rsidR="6C800D3C" w:rsidRPr="006B0C6C">
        <w:rPr>
          <w:rFonts w:ascii="Calibri" w:eastAsia="Calibri" w:hAnsi="Calibri" w:cs="Calibri"/>
        </w:rPr>
        <w:t>i</w:t>
      </w:r>
      <w:r w:rsidR="3BA997B7" w:rsidRPr="006B0C6C">
        <w:rPr>
          <w:rFonts w:ascii="Calibri" w:eastAsia="Calibri" w:hAnsi="Calibri" w:cs="Calibri"/>
        </w:rPr>
        <w:t xml:space="preserve">ndirect evidence </w:t>
      </w:r>
      <w:r w:rsidR="5F093FB4" w:rsidRPr="006B0C6C">
        <w:rPr>
          <w:rFonts w:ascii="Calibri" w:eastAsia="Calibri" w:hAnsi="Calibri" w:cs="Calibri"/>
        </w:rPr>
        <w:t xml:space="preserve">included </w:t>
      </w:r>
      <w:r w:rsidR="3BA997B7" w:rsidRPr="006B0C6C">
        <w:rPr>
          <w:rFonts w:ascii="Calibri" w:eastAsia="Calibri" w:hAnsi="Calibri" w:cs="Calibri"/>
        </w:rPr>
        <w:t>the level of technical advice and support provided to the</w:t>
      </w:r>
      <w:r w:rsidR="57C29110" w:rsidRPr="006B0C6C">
        <w:rPr>
          <w:rFonts w:ascii="Calibri" w:eastAsia="Calibri" w:hAnsi="Calibri" w:cs="Calibri"/>
        </w:rPr>
        <w:t xml:space="preserve"> Ministry of Health</w:t>
      </w:r>
      <w:r w:rsidR="3BA997B7" w:rsidRPr="006B0C6C">
        <w:rPr>
          <w:rFonts w:ascii="Calibri" w:eastAsia="Calibri" w:hAnsi="Calibri" w:cs="Calibri"/>
        </w:rPr>
        <w:t xml:space="preserve"> for the COVID-19 vaccine rollouts, the design and </w:t>
      </w:r>
      <w:r w:rsidR="029C04AD" w:rsidRPr="006B0C6C">
        <w:rPr>
          <w:rFonts w:ascii="Calibri" w:eastAsia="Calibri" w:hAnsi="Calibri" w:cs="Calibri"/>
        </w:rPr>
        <w:t>implementation</w:t>
      </w:r>
      <w:r w:rsidR="3BA997B7" w:rsidRPr="006B0C6C">
        <w:rPr>
          <w:rFonts w:ascii="Calibri" w:eastAsia="Calibri" w:hAnsi="Calibri" w:cs="Calibri"/>
        </w:rPr>
        <w:t xml:space="preserve"> of immunisation plans, the design and reach of RCCE and other educational campaigns, large multi-agency coordination groups, vaccine distribution activities, provision of cold chain to enable the distribution of vaccines to outreach areas, and training of health care workers.</w:t>
      </w:r>
      <w:r w:rsidR="32AA59A0" w:rsidRPr="006B0C6C">
        <w:rPr>
          <w:rFonts w:ascii="Calibri" w:eastAsia="Calibri" w:hAnsi="Calibri" w:cs="Calibri"/>
        </w:rPr>
        <w:t xml:space="preserve"> </w:t>
      </w:r>
      <w:r w:rsidR="34AEE39E" w:rsidRPr="006B0C6C">
        <w:rPr>
          <w:rFonts w:ascii="Calibri" w:eastAsia="Calibri" w:hAnsi="Calibri" w:cs="Calibri"/>
        </w:rPr>
        <w:t xml:space="preserve">For multilateral </w:t>
      </w:r>
      <w:r w:rsidR="7E566F55" w:rsidRPr="006B0C6C">
        <w:rPr>
          <w:rFonts w:ascii="Calibri" w:eastAsia="Calibri" w:hAnsi="Calibri" w:cs="Calibri"/>
        </w:rPr>
        <w:t xml:space="preserve">delivery </w:t>
      </w:r>
      <w:r w:rsidR="00E206C4">
        <w:rPr>
          <w:rFonts w:ascii="Calibri" w:eastAsia="Calibri" w:hAnsi="Calibri" w:cs="Calibri"/>
        </w:rPr>
        <w:t xml:space="preserve">support </w:t>
      </w:r>
      <w:r w:rsidR="7E566F55" w:rsidRPr="006B0C6C">
        <w:rPr>
          <w:rFonts w:ascii="Calibri" w:eastAsia="Calibri" w:hAnsi="Calibri" w:cs="Calibri"/>
        </w:rPr>
        <w:t xml:space="preserve">partners </w:t>
      </w:r>
      <w:r w:rsidR="34AEE39E" w:rsidRPr="006B0C6C">
        <w:rPr>
          <w:rFonts w:ascii="Calibri" w:eastAsia="Calibri" w:hAnsi="Calibri" w:cs="Calibri"/>
        </w:rPr>
        <w:t xml:space="preserve">such as WHO and </w:t>
      </w:r>
      <w:r w:rsidR="41736DA9" w:rsidRPr="006B0C6C">
        <w:rPr>
          <w:rFonts w:ascii="Calibri" w:eastAsia="Calibri" w:hAnsi="Calibri" w:cs="Calibri"/>
        </w:rPr>
        <w:t xml:space="preserve">the </w:t>
      </w:r>
      <w:r w:rsidR="34AEE39E" w:rsidRPr="006B0C6C">
        <w:rPr>
          <w:rFonts w:ascii="Calibri" w:eastAsia="Calibri" w:hAnsi="Calibri" w:cs="Calibri"/>
        </w:rPr>
        <w:t xml:space="preserve">World Bank, where VAHSI-attributable activities were generally harder to discern, there is evidence that an extensive amount of work was undertaken </w:t>
      </w:r>
      <w:r w:rsidR="5F093FB4" w:rsidRPr="006B0C6C">
        <w:rPr>
          <w:rFonts w:ascii="Calibri" w:eastAsia="Calibri" w:hAnsi="Calibri" w:cs="Calibri"/>
        </w:rPr>
        <w:t xml:space="preserve">to </w:t>
      </w:r>
      <w:r w:rsidR="34AEE39E" w:rsidRPr="006B0C6C">
        <w:rPr>
          <w:rFonts w:ascii="Calibri" w:eastAsia="Calibri" w:hAnsi="Calibri" w:cs="Calibri"/>
        </w:rPr>
        <w:t>support government</w:t>
      </w:r>
      <w:r w:rsidR="5F093FB4" w:rsidRPr="006B0C6C">
        <w:rPr>
          <w:rFonts w:ascii="Calibri" w:eastAsia="Calibri" w:hAnsi="Calibri" w:cs="Calibri"/>
        </w:rPr>
        <w:t>s to respond</w:t>
      </w:r>
      <w:r w:rsidR="34AEE39E" w:rsidRPr="006B0C6C">
        <w:rPr>
          <w:rFonts w:ascii="Calibri" w:eastAsia="Calibri" w:hAnsi="Calibri" w:cs="Calibri"/>
        </w:rPr>
        <w:t xml:space="preserve"> to the pandemic. An independent assessment of the World Bank work was undertaken which verified that the conditions for the disbursement of loan funds </w:t>
      </w:r>
      <w:r w:rsidR="60547BF0" w:rsidRPr="006B0C6C">
        <w:rPr>
          <w:rFonts w:ascii="Calibri" w:eastAsia="Calibri" w:hAnsi="Calibri" w:cs="Calibri"/>
        </w:rPr>
        <w:t xml:space="preserve">supporting vaccination activities </w:t>
      </w:r>
      <w:r w:rsidR="34AEE39E" w:rsidRPr="006B0C6C">
        <w:rPr>
          <w:rFonts w:ascii="Calibri" w:eastAsia="Calibri" w:hAnsi="Calibri" w:cs="Calibri"/>
        </w:rPr>
        <w:t>had been completed and accepted</w:t>
      </w:r>
      <w:r w:rsidR="0EF54672" w:rsidRPr="006B0C6C">
        <w:rPr>
          <w:rFonts w:ascii="Calibri" w:eastAsia="Calibri" w:hAnsi="Calibri" w:cs="Calibri"/>
        </w:rPr>
        <w:t>.</w:t>
      </w:r>
      <w:r w:rsidR="003F0544">
        <w:rPr>
          <w:rStyle w:val="EndnoteReference"/>
          <w:rFonts w:ascii="Calibri" w:eastAsia="Calibri" w:hAnsi="Calibri" w:cs="Calibri"/>
        </w:rPr>
        <w:endnoteReference w:id="8"/>
      </w:r>
    </w:p>
    <w:p w14:paraId="4B9C9EB9" w14:textId="0955BDBA" w:rsidR="354629E7" w:rsidRPr="006B0C6C" w:rsidRDefault="45128062" w:rsidP="7388A156">
      <w:pPr>
        <w:pStyle w:val="Heading3SHS"/>
        <w:jc w:val="both"/>
        <w:rPr>
          <w:bCs w:val="0"/>
          <w:iCs/>
        </w:rPr>
      </w:pPr>
      <w:bookmarkStart w:id="29" w:name="_Toc200617270"/>
      <w:r w:rsidRPr="006B0C6C">
        <w:rPr>
          <w:rStyle w:val="Heading4SHSChar"/>
          <w:b/>
          <w:bCs w:val="0"/>
          <w:i w:val="0"/>
          <w:iCs/>
        </w:rPr>
        <w:t>Quality and safety</w:t>
      </w:r>
      <w:bookmarkEnd w:id="29"/>
    </w:p>
    <w:p w14:paraId="275240EF" w14:textId="25102146" w:rsidR="78564FC0" w:rsidRPr="006B0C6C" w:rsidRDefault="61711F4B" w:rsidP="4717B9FC">
      <w:pPr>
        <w:spacing w:after="160" w:line="257" w:lineRule="auto"/>
        <w:jc w:val="both"/>
        <w:rPr>
          <w:rFonts w:ascii="Calibri" w:eastAsia="Calibri" w:hAnsi="Calibri" w:cs="Calibri"/>
        </w:rPr>
      </w:pPr>
      <w:r w:rsidRPr="7E56B70C">
        <w:rPr>
          <w:rFonts w:ascii="Calibri" w:eastAsia="Calibri" w:hAnsi="Calibri" w:cs="Calibri"/>
        </w:rPr>
        <w:t xml:space="preserve">There is evidence that </w:t>
      </w:r>
      <w:r w:rsidR="49711F7A" w:rsidRPr="7E56B70C">
        <w:rPr>
          <w:rFonts w:ascii="Calibri" w:eastAsia="Calibri" w:hAnsi="Calibri" w:cs="Calibri"/>
        </w:rPr>
        <w:t xml:space="preserve">DFAT was highly cognisant of, and </w:t>
      </w:r>
      <w:r w:rsidR="52D17630" w:rsidRPr="7E56B70C">
        <w:rPr>
          <w:rFonts w:ascii="Calibri" w:eastAsia="Calibri" w:hAnsi="Calibri" w:cs="Calibri"/>
        </w:rPr>
        <w:t xml:space="preserve">effectively </w:t>
      </w:r>
      <w:r w:rsidR="00F11EFB" w:rsidRPr="7E56B70C">
        <w:rPr>
          <w:rFonts w:ascii="Calibri" w:eastAsia="Calibri" w:hAnsi="Calibri" w:cs="Calibri"/>
        </w:rPr>
        <w:t xml:space="preserve">implemented </w:t>
      </w:r>
      <w:r w:rsidR="49711F7A" w:rsidRPr="7E56B70C">
        <w:rPr>
          <w:rFonts w:ascii="Calibri" w:eastAsia="Calibri" w:hAnsi="Calibri" w:cs="Calibri"/>
        </w:rPr>
        <w:t>VAHSI to minimise</w:t>
      </w:r>
      <w:r w:rsidR="5DBE1A78" w:rsidRPr="7E56B70C">
        <w:rPr>
          <w:rFonts w:ascii="Calibri" w:eastAsia="Calibri" w:hAnsi="Calibri" w:cs="Calibri"/>
        </w:rPr>
        <w:t>,</w:t>
      </w:r>
      <w:r w:rsidR="49711F7A" w:rsidRPr="7E56B70C">
        <w:rPr>
          <w:rFonts w:ascii="Calibri" w:eastAsia="Calibri" w:hAnsi="Calibri" w:cs="Calibri"/>
        </w:rPr>
        <w:t xml:space="preserve"> </w:t>
      </w:r>
      <w:r w:rsidR="46311BA9" w:rsidRPr="7E56B70C">
        <w:rPr>
          <w:rFonts w:ascii="Calibri" w:eastAsia="Calibri" w:hAnsi="Calibri" w:cs="Calibri"/>
        </w:rPr>
        <w:t>quality and safety risks</w:t>
      </w:r>
      <w:r w:rsidR="56EABB18" w:rsidRPr="7E56B70C">
        <w:rPr>
          <w:rFonts w:ascii="Calibri" w:eastAsia="Calibri" w:hAnsi="Calibri" w:cs="Calibri"/>
        </w:rPr>
        <w:t>, by</w:t>
      </w:r>
      <w:r w:rsidR="49711F7A" w:rsidRPr="7E56B70C">
        <w:rPr>
          <w:rFonts w:ascii="Calibri" w:eastAsia="Calibri" w:hAnsi="Calibri" w:cs="Calibri"/>
        </w:rPr>
        <w:t xml:space="preserve"> </w:t>
      </w:r>
      <w:r w:rsidR="60A74657" w:rsidRPr="7E56B70C">
        <w:rPr>
          <w:rFonts w:ascii="Calibri" w:eastAsia="Calibri" w:hAnsi="Calibri" w:cs="Calibri"/>
        </w:rPr>
        <w:t xml:space="preserve">funding </w:t>
      </w:r>
      <w:r w:rsidR="49711F7A" w:rsidRPr="7E56B70C">
        <w:rPr>
          <w:rFonts w:ascii="Calibri" w:eastAsia="Calibri" w:hAnsi="Calibri" w:cs="Calibri"/>
        </w:rPr>
        <w:t xml:space="preserve">vaccine delivery support activities that augmented the in-country systems </w:t>
      </w:r>
      <w:r w:rsidR="219D69BA" w:rsidRPr="7E56B70C">
        <w:rPr>
          <w:rFonts w:ascii="Calibri" w:eastAsia="Calibri" w:hAnsi="Calibri" w:cs="Calibri"/>
        </w:rPr>
        <w:t xml:space="preserve">already </w:t>
      </w:r>
      <w:r w:rsidR="0DF6B1DB" w:rsidRPr="7E56B70C">
        <w:rPr>
          <w:rFonts w:ascii="Calibri" w:eastAsia="Calibri" w:hAnsi="Calibri" w:cs="Calibri"/>
        </w:rPr>
        <w:t>i</w:t>
      </w:r>
      <w:r w:rsidR="49711F7A" w:rsidRPr="7E56B70C">
        <w:rPr>
          <w:rFonts w:ascii="Calibri" w:eastAsia="Calibri" w:hAnsi="Calibri" w:cs="Calibri"/>
        </w:rPr>
        <w:t>n place.</w:t>
      </w:r>
      <w:r w:rsidR="666490A7" w:rsidRPr="7E56B70C">
        <w:rPr>
          <w:rFonts w:ascii="Calibri" w:eastAsia="Calibri" w:hAnsi="Calibri" w:cs="Calibri"/>
        </w:rPr>
        <w:t xml:space="preserve"> This included funding activities to ensure robust AEFI reporting,</w:t>
      </w:r>
      <w:r w:rsidR="576A6256" w:rsidRPr="7E56B70C">
        <w:rPr>
          <w:rFonts w:ascii="Calibri" w:eastAsia="Calibri" w:hAnsi="Calibri" w:cs="Calibri"/>
        </w:rPr>
        <w:t xml:space="preserve"> </w:t>
      </w:r>
      <w:r w:rsidR="666490A7" w:rsidRPr="7E56B70C">
        <w:rPr>
          <w:rFonts w:ascii="Calibri" w:eastAsia="Calibri" w:hAnsi="Calibri" w:cs="Calibri"/>
        </w:rPr>
        <w:t>enhancing and ensuring processes to monitor vaccine cold chain and expiry dates, regulatory support and safety monitoring, e</w:t>
      </w:r>
      <w:r w:rsidR="20999F31" w:rsidRPr="7E56B70C">
        <w:rPr>
          <w:rFonts w:ascii="Calibri" w:eastAsia="Calibri" w:hAnsi="Calibri" w:cs="Calibri"/>
        </w:rPr>
        <w:t>stablishing</w:t>
      </w:r>
      <w:r w:rsidR="666490A7" w:rsidRPr="7E56B70C">
        <w:rPr>
          <w:rFonts w:ascii="Calibri" w:eastAsia="Calibri" w:hAnsi="Calibri" w:cs="Calibri"/>
        </w:rPr>
        <w:t xml:space="preserve"> insurance arrangements for VAHSI vaccines</w:t>
      </w:r>
      <w:r w:rsidR="5A800F90" w:rsidRPr="7E56B70C">
        <w:rPr>
          <w:rFonts w:ascii="Calibri" w:eastAsia="Calibri" w:hAnsi="Calibri" w:cs="Calibri"/>
        </w:rPr>
        <w:t xml:space="preserve">, </w:t>
      </w:r>
      <w:r w:rsidR="38EC62B8" w:rsidRPr="7E56B70C">
        <w:rPr>
          <w:rFonts w:ascii="Calibri" w:eastAsia="Calibri" w:hAnsi="Calibri" w:cs="Calibri"/>
        </w:rPr>
        <w:t xml:space="preserve">and </w:t>
      </w:r>
      <w:r w:rsidR="5A800F90" w:rsidRPr="7E56B70C">
        <w:rPr>
          <w:rFonts w:ascii="Calibri" w:eastAsia="Calibri" w:hAnsi="Calibri" w:cs="Calibri"/>
        </w:rPr>
        <w:t xml:space="preserve">provision of expert technical advice and transference of evidence-based guidelines from the Australian context to the context of VAHSI countries. </w:t>
      </w:r>
    </w:p>
    <w:p w14:paraId="0E7427F2" w14:textId="0A8F774A" w:rsidR="78564FC0" w:rsidRPr="006B0C6C" w:rsidRDefault="49711F7A" w:rsidP="4A351EF4">
      <w:pPr>
        <w:spacing w:after="160" w:line="257" w:lineRule="auto"/>
        <w:jc w:val="both"/>
        <w:rPr>
          <w:rFonts w:ascii="Calibri" w:eastAsia="Calibri" w:hAnsi="Calibri" w:cs="Calibri"/>
        </w:rPr>
      </w:pPr>
      <w:r w:rsidRPr="33FE3C21">
        <w:rPr>
          <w:rFonts w:ascii="Calibri" w:eastAsia="Calibri" w:hAnsi="Calibri" w:cs="Calibri"/>
        </w:rPr>
        <w:t>D</w:t>
      </w:r>
      <w:r w:rsidR="61711F4B" w:rsidRPr="33FE3C21">
        <w:rPr>
          <w:rFonts w:ascii="Calibri" w:eastAsia="Calibri" w:hAnsi="Calibri" w:cs="Calibri"/>
        </w:rPr>
        <w:t xml:space="preserve">elivery </w:t>
      </w:r>
      <w:r w:rsidR="00A27488">
        <w:rPr>
          <w:rFonts w:ascii="Calibri" w:eastAsia="Calibri" w:hAnsi="Calibri" w:cs="Calibri"/>
        </w:rPr>
        <w:t xml:space="preserve">support </w:t>
      </w:r>
      <w:r w:rsidR="61711F4B" w:rsidRPr="33FE3C21">
        <w:rPr>
          <w:rFonts w:ascii="Calibri" w:eastAsia="Calibri" w:hAnsi="Calibri" w:cs="Calibri"/>
        </w:rPr>
        <w:t xml:space="preserve">partners </w:t>
      </w:r>
      <w:r w:rsidR="71395B16" w:rsidRPr="33FE3C21">
        <w:rPr>
          <w:rFonts w:ascii="Calibri" w:eastAsia="Calibri" w:hAnsi="Calibri" w:cs="Calibri"/>
        </w:rPr>
        <w:t xml:space="preserve">similarly </w:t>
      </w:r>
      <w:r w:rsidR="086EF329" w:rsidRPr="33FE3C21">
        <w:rPr>
          <w:rFonts w:ascii="Calibri" w:eastAsia="Calibri" w:hAnsi="Calibri" w:cs="Calibri"/>
        </w:rPr>
        <w:t>provided</w:t>
      </w:r>
      <w:r w:rsidR="61711F4B" w:rsidRPr="33FE3C21">
        <w:rPr>
          <w:rFonts w:ascii="Calibri" w:eastAsia="Calibri" w:hAnsi="Calibri" w:cs="Calibri"/>
        </w:rPr>
        <w:t xml:space="preserve"> safe and quality </w:t>
      </w:r>
      <w:r w:rsidR="086EF329" w:rsidRPr="33FE3C21">
        <w:rPr>
          <w:rFonts w:ascii="Calibri" w:eastAsia="Calibri" w:hAnsi="Calibri" w:cs="Calibri"/>
        </w:rPr>
        <w:t xml:space="preserve">support to partner countries </w:t>
      </w:r>
      <w:r w:rsidR="61711F4B" w:rsidRPr="33FE3C21">
        <w:rPr>
          <w:rFonts w:ascii="Calibri" w:eastAsia="Calibri" w:hAnsi="Calibri" w:cs="Calibri"/>
        </w:rPr>
        <w:t xml:space="preserve">throughout the pandemic. </w:t>
      </w:r>
      <w:r w:rsidR="2DB537A2" w:rsidRPr="33FE3C21">
        <w:rPr>
          <w:rFonts w:ascii="Calibri" w:eastAsia="Calibri" w:hAnsi="Calibri" w:cs="Calibri"/>
        </w:rPr>
        <w:t>Multiple</w:t>
      </w:r>
      <w:r w:rsidR="61711F4B" w:rsidRPr="33FE3C21">
        <w:rPr>
          <w:rFonts w:ascii="Calibri" w:eastAsia="Calibri" w:hAnsi="Calibri" w:cs="Calibri"/>
        </w:rPr>
        <w:t xml:space="preserve"> reports noted tracking of and/or obstacles generated by vaccines nearing or past their expiry dates, including remedial actions to maximise access and avoid vaccine wastage prior to expiry. Similarly, several </w:t>
      </w:r>
      <w:r w:rsidR="7B3BFFE1" w:rsidRPr="33FE3C21">
        <w:rPr>
          <w:rFonts w:ascii="Calibri" w:eastAsia="Calibri" w:hAnsi="Calibri" w:cs="Calibri"/>
        </w:rPr>
        <w:t>delivery</w:t>
      </w:r>
      <w:r w:rsidR="00A27488">
        <w:rPr>
          <w:rFonts w:ascii="Calibri" w:eastAsia="Calibri" w:hAnsi="Calibri" w:cs="Calibri"/>
        </w:rPr>
        <w:t xml:space="preserve"> support</w:t>
      </w:r>
      <w:r w:rsidR="7B3BFFE1" w:rsidRPr="33FE3C21">
        <w:rPr>
          <w:rFonts w:ascii="Calibri" w:eastAsia="Calibri" w:hAnsi="Calibri" w:cs="Calibri"/>
        </w:rPr>
        <w:t xml:space="preserve"> partners</w:t>
      </w:r>
      <w:r w:rsidR="61711F4B" w:rsidRPr="33FE3C21">
        <w:rPr>
          <w:rFonts w:ascii="Calibri" w:eastAsia="Calibri" w:hAnsi="Calibri" w:cs="Calibri"/>
        </w:rPr>
        <w:t xml:space="preserve"> reported training on vaccine storage and cold chain equipment maintenance (including basic refrigerator maintenance at health posts), training to newly recruited M</w:t>
      </w:r>
      <w:r w:rsidR="14E20772" w:rsidRPr="33FE3C21">
        <w:rPr>
          <w:rFonts w:ascii="Calibri" w:eastAsia="Calibri" w:hAnsi="Calibri" w:cs="Calibri"/>
        </w:rPr>
        <w:t xml:space="preserve">inistry of </w:t>
      </w:r>
      <w:r w:rsidR="61711F4B" w:rsidRPr="33FE3C21">
        <w:rPr>
          <w:rFonts w:ascii="Calibri" w:eastAsia="Calibri" w:hAnsi="Calibri" w:cs="Calibri"/>
        </w:rPr>
        <w:t>H</w:t>
      </w:r>
      <w:r w:rsidR="43630171" w:rsidRPr="33FE3C21">
        <w:rPr>
          <w:rFonts w:ascii="Calibri" w:eastAsia="Calibri" w:hAnsi="Calibri" w:cs="Calibri"/>
        </w:rPr>
        <w:t>ealth</w:t>
      </w:r>
      <w:r w:rsidR="61711F4B" w:rsidRPr="33FE3C21">
        <w:rPr>
          <w:rFonts w:ascii="Calibri" w:eastAsia="Calibri" w:hAnsi="Calibri" w:cs="Calibri"/>
        </w:rPr>
        <w:t xml:space="preserve"> staff, mentoring, training of trainers and knowledge transfer</w:t>
      </w:r>
      <w:r w:rsidR="7B3BFFE1" w:rsidRPr="33FE3C21">
        <w:rPr>
          <w:rFonts w:ascii="Calibri" w:eastAsia="Calibri" w:hAnsi="Calibri" w:cs="Calibri"/>
        </w:rPr>
        <w:t>. In addition</w:t>
      </w:r>
      <w:r w:rsidR="61711F4B" w:rsidRPr="33FE3C21">
        <w:rPr>
          <w:rFonts w:ascii="Calibri" w:eastAsia="Calibri" w:hAnsi="Calibri" w:cs="Calibri"/>
        </w:rPr>
        <w:t>,</w:t>
      </w:r>
      <w:r w:rsidR="7B3BFFE1" w:rsidRPr="33FE3C21">
        <w:rPr>
          <w:rFonts w:ascii="Calibri" w:eastAsia="Calibri" w:hAnsi="Calibri" w:cs="Calibri"/>
        </w:rPr>
        <w:t xml:space="preserve"> delivery </w:t>
      </w:r>
      <w:r w:rsidR="00A27488">
        <w:rPr>
          <w:rFonts w:ascii="Calibri" w:eastAsia="Calibri" w:hAnsi="Calibri" w:cs="Calibri"/>
        </w:rPr>
        <w:t xml:space="preserve">support </w:t>
      </w:r>
      <w:r w:rsidR="7B3BFFE1" w:rsidRPr="33FE3C21">
        <w:rPr>
          <w:rFonts w:ascii="Calibri" w:eastAsia="Calibri" w:hAnsi="Calibri" w:cs="Calibri"/>
        </w:rPr>
        <w:t>partners conducted</w:t>
      </w:r>
      <w:r w:rsidR="61711F4B" w:rsidRPr="33FE3C21">
        <w:rPr>
          <w:rFonts w:ascii="Calibri" w:eastAsia="Calibri" w:hAnsi="Calibri" w:cs="Calibri"/>
        </w:rPr>
        <w:t xml:space="preserve"> supervisory visits to health facilities and communities on all aspects of their projects, expanding as the pandemic situation improved to more face-to-face training to enhance health worker capacity. </w:t>
      </w:r>
      <w:r w:rsidR="1BE16A5D" w:rsidRPr="33FE3C21">
        <w:rPr>
          <w:rFonts w:ascii="Calibri" w:eastAsia="Calibri" w:hAnsi="Calibri" w:cs="Calibri"/>
        </w:rPr>
        <w:t xml:space="preserve">One government </w:t>
      </w:r>
      <w:r w:rsidR="0A050E4E" w:rsidRPr="33FE3C21">
        <w:rPr>
          <w:rFonts w:ascii="Calibri" w:eastAsia="Calibri" w:hAnsi="Calibri" w:cs="Calibri"/>
        </w:rPr>
        <w:t xml:space="preserve">recorded a COVID-19 vaccine wastage rate of less than 2%, noting </w:t>
      </w:r>
      <w:r w:rsidR="1BE16A5D" w:rsidRPr="33FE3C21">
        <w:rPr>
          <w:rFonts w:ascii="Calibri" w:eastAsia="Calibri" w:hAnsi="Calibri" w:cs="Calibri"/>
        </w:rPr>
        <w:t>that th</w:t>
      </w:r>
      <w:r w:rsidR="615DEA22" w:rsidRPr="33FE3C21">
        <w:rPr>
          <w:rFonts w:ascii="Calibri" w:eastAsia="Calibri" w:hAnsi="Calibri" w:cs="Calibri"/>
        </w:rPr>
        <w:t>is</w:t>
      </w:r>
      <w:r w:rsidR="1BE16A5D" w:rsidRPr="33FE3C21">
        <w:rPr>
          <w:rFonts w:ascii="Calibri" w:eastAsia="Calibri" w:hAnsi="Calibri" w:cs="Calibri"/>
        </w:rPr>
        <w:t xml:space="preserve"> was the lowest rate they had achieved in implementing vaccination campaigns</w:t>
      </w:r>
      <w:r w:rsidR="298161C3" w:rsidRPr="33FE3C21">
        <w:rPr>
          <w:rFonts w:ascii="Calibri" w:eastAsia="Calibri" w:hAnsi="Calibri" w:cs="Calibri"/>
        </w:rPr>
        <w:t xml:space="preserve">. </w:t>
      </w:r>
    </w:p>
    <w:p w14:paraId="191F5A37" w14:textId="4313D39F" w:rsidR="009737A9" w:rsidRPr="006B0C6C" w:rsidRDefault="2AA18076" w:rsidP="4717B9FC">
      <w:pPr>
        <w:spacing w:after="160" w:line="257" w:lineRule="auto"/>
        <w:jc w:val="both"/>
        <w:rPr>
          <w:rFonts w:ascii="Calibri" w:eastAsia="Calibri" w:hAnsi="Calibri" w:cs="Calibri"/>
        </w:rPr>
      </w:pPr>
      <w:r w:rsidRPr="4A351EF4">
        <w:rPr>
          <w:rFonts w:ascii="Calibri" w:eastAsia="Calibri" w:hAnsi="Calibri" w:cs="Calibri"/>
        </w:rPr>
        <w:t xml:space="preserve">In the context of the COVID-19 pandemic, </w:t>
      </w:r>
      <w:r w:rsidR="487CEC47" w:rsidRPr="4A351EF4">
        <w:rPr>
          <w:rFonts w:ascii="Calibri" w:eastAsia="Calibri" w:hAnsi="Calibri" w:cs="Calibri"/>
        </w:rPr>
        <w:t xml:space="preserve">where new vaccines were being introduced internationally, </w:t>
      </w:r>
      <w:r w:rsidRPr="4A351EF4">
        <w:rPr>
          <w:rFonts w:ascii="Calibri" w:eastAsia="Calibri" w:hAnsi="Calibri" w:cs="Calibri"/>
        </w:rPr>
        <w:t xml:space="preserve">robust safety monitoring systems </w:t>
      </w:r>
      <w:r w:rsidR="4FFF504E" w:rsidRPr="4A351EF4">
        <w:rPr>
          <w:rFonts w:ascii="Calibri" w:eastAsia="Calibri" w:hAnsi="Calibri" w:cs="Calibri"/>
        </w:rPr>
        <w:t>we</w:t>
      </w:r>
      <w:r w:rsidRPr="4A351EF4">
        <w:rPr>
          <w:rFonts w:ascii="Calibri" w:eastAsia="Calibri" w:hAnsi="Calibri" w:cs="Calibri"/>
        </w:rPr>
        <w:t xml:space="preserve">re important, including </w:t>
      </w:r>
      <w:r w:rsidR="04A0623E" w:rsidRPr="4A351EF4">
        <w:rPr>
          <w:rFonts w:ascii="Calibri" w:eastAsia="Calibri" w:hAnsi="Calibri" w:cs="Calibri"/>
        </w:rPr>
        <w:t xml:space="preserve">ongoing </w:t>
      </w:r>
      <w:r w:rsidRPr="4A351EF4">
        <w:rPr>
          <w:rFonts w:ascii="Calibri" w:eastAsia="Calibri" w:hAnsi="Calibri" w:cs="Calibri"/>
        </w:rPr>
        <w:t xml:space="preserve">post-market safety monitoring. </w:t>
      </w:r>
      <w:r w:rsidR="02E58C35" w:rsidRPr="006B0C6C">
        <w:rPr>
          <w:rFonts w:ascii="Calibri" w:eastAsia="Calibri" w:hAnsi="Calibri" w:cs="Calibri"/>
        </w:rPr>
        <w:t xml:space="preserve">In the early days of the pandemic there were very few laboratories in the Indo-Pacific region that could regulate vaccines and medicines. Pacific Island countries were particularly vulnerable in procuring vaccines with no </w:t>
      </w:r>
      <w:r w:rsidR="135A55D8" w:rsidRPr="006B0C6C">
        <w:rPr>
          <w:rFonts w:ascii="Calibri" w:eastAsia="Calibri" w:hAnsi="Calibri" w:cs="Calibri"/>
        </w:rPr>
        <w:t xml:space="preserve">assurance </w:t>
      </w:r>
      <w:r w:rsidR="02E58C35" w:rsidRPr="006B0C6C">
        <w:rPr>
          <w:rFonts w:ascii="Calibri" w:eastAsia="Calibri" w:hAnsi="Calibri" w:cs="Calibri"/>
        </w:rPr>
        <w:t>that they would work. As part of VAHSI, regulatory support and safety monitoring of Australian Government donated COVID-19 vaccine doses was undertaken by the Therapeutic Goods Administration (TGA), the Australian Government authority responsible for evaluating, assessing and monitoring therapeutic goods. In this world-first arrangement, 74 distinct activities were undertaken that</w:t>
      </w:r>
      <w:r w:rsidR="655893EE" w:rsidRPr="006B0C6C">
        <w:rPr>
          <w:rFonts w:ascii="Calibri" w:eastAsia="Calibri" w:hAnsi="Calibri" w:cs="Calibri"/>
        </w:rPr>
        <w:t xml:space="preserve"> contributed</w:t>
      </w:r>
      <w:r w:rsidR="02E58C35" w:rsidRPr="006B0C6C">
        <w:rPr>
          <w:rFonts w:ascii="Calibri" w:eastAsia="Calibri" w:hAnsi="Calibri" w:cs="Calibri"/>
        </w:rPr>
        <w:t xml:space="preserve"> to achieving greater assurance of the quality, safety and efficacy of COVID-19 vaccines introduced into partner countries</w:t>
      </w:r>
      <w:r w:rsidR="2EEF03BB" w:rsidRPr="006B0C6C">
        <w:rPr>
          <w:rFonts w:ascii="Calibri" w:eastAsia="Calibri" w:hAnsi="Calibri" w:cs="Calibri"/>
        </w:rPr>
        <w:t>.</w:t>
      </w:r>
      <w:r w:rsidR="444409D5" w:rsidRPr="4A351EF4">
        <w:rPr>
          <w:rFonts w:ascii="Calibri" w:eastAsia="Calibri" w:hAnsi="Calibri" w:cs="Calibri"/>
        </w:rPr>
        <w:t xml:space="preserve"> </w:t>
      </w:r>
      <w:r w:rsidR="11E6BA21" w:rsidRPr="4A351EF4">
        <w:rPr>
          <w:rFonts w:ascii="Calibri" w:eastAsia="Calibri" w:hAnsi="Calibri" w:cs="Calibri"/>
        </w:rPr>
        <w:t>This</w:t>
      </w:r>
      <w:r w:rsidR="7B209082" w:rsidRPr="4A351EF4">
        <w:rPr>
          <w:rFonts w:ascii="Calibri" w:eastAsia="Calibri" w:hAnsi="Calibri" w:cs="Calibri"/>
        </w:rPr>
        <w:t xml:space="preserve"> includ</w:t>
      </w:r>
      <w:r w:rsidR="4C759646" w:rsidRPr="4A351EF4">
        <w:rPr>
          <w:rFonts w:ascii="Calibri" w:eastAsia="Calibri" w:hAnsi="Calibri" w:cs="Calibri"/>
        </w:rPr>
        <w:t>ed</w:t>
      </w:r>
      <w:r w:rsidR="7B209082" w:rsidRPr="4A351EF4">
        <w:rPr>
          <w:rFonts w:ascii="Calibri" w:eastAsia="Calibri" w:hAnsi="Calibri" w:cs="Calibri"/>
        </w:rPr>
        <w:t xml:space="preserve"> 46 </w:t>
      </w:r>
      <w:r w:rsidR="00C24930">
        <w:rPr>
          <w:rFonts w:ascii="Calibri" w:eastAsia="Calibri" w:hAnsi="Calibri" w:cs="Calibri"/>
        </w:rPr>
        <w:t xml:space="preserve">specific activities supporting </w:t>
      </w:r>
      <w:r w:rsidR="7B209082" w:rsidRPr="4A351EF4">
        <w:rPr>
          <w:rFonts w:ascii="Calibri" w:eastAsia="Calibri" w:hAnsi="Calibri" w:cs="Calibri"/>
        </w:rPr>
        <w:t>pharmacovigilance</w:t>
      </w:r>
      <w:r w:rsidR="02E58C35" w:rsidRPr="006B0C6C">
        <w:rPr>
          <w:rFonts w:ascii="Calibri" w:eastAsia="Calibri" w:hAnsi="Calibri" w:cs="Calibri"/>
        </w:rPr>
        <w:t>.</w:t>
      </w:r>
      <w:r w:rsidR="003F0544">
        <w:rPr>
          <w:rStyle w:val="EndnoteReference"/>
          <w:rFonts w:ascii="Calibri" w:eastAsia="Calibri" w:hAnsi="Calibri" w:cs="Calibri"/>
        </w:rPr>
        <w:endnoteReference w:id="9"/>
      </w:r>
      <w:r w:rsidR="02E58C35" w:rsidRPr="006B0C6C">
        <w:rPr>
          <w:rFonts w:ascii="Calibri" w:eastAsia="Calibri" w:hAnsi="Calibri" w:cs="Calibri"/>
        </w:rPr>
        <w:t xml:space="preserve"> TGA responded to requests for evaluation support and supported partner countries to verify the quality of COVID-19 vaccines using internationally recognised </w:t>
      </w:r>
      <w:r w:rsidR="2F076B87" w:rsidRPr="006B0C6C">
        <w:rPr>
          <w:rFonts w:ascii="Calibri" w:eastAsia="Calibri" w:hAnsi="Calibri" w:cs="Calibri"/>
        </w:rPr>
        <w:t>Good Manufacturing Practice (</w:t>
      </w:r>
      <w:r w:rsidR="02E58C35" w:rsidRPr="006B0C6C">
        <w:rPr>
          <w:rFonts w:ascii="Calibri" w:eastAsia="Calibri" w:hAnsi="Calibri" w:cs="Calibri"/>
        </w:rPr>
        <w:t>GMP</w:t>
      </w:r>
      <w:r w:rsidR="3B0431AE" w:rsidRPr="006B0C6C">
        <w:rPr>
          <w:rFonts w:ascii="Calibri" w:eastAsia="Calibri" w:hAnsi="Calibri" w:cs="Calibri"/>
        </w:rPr>
        <w:t>)</w:t>
      </w:r>
      <w:r w:rsidR="02E58C35" w:rsidRPr="006B0C6C">
        <w:rPr>
          <w:rFonts w:ascii="Calibri" w:eastAsia="Calibri" w:hAnsi="Calibri" w:cs="Calibri"/>
        </w:rPr>
        <w:t xml:space="preserve"> standards.</w:t>
      </w:r>
      <w:r w:rsidR="003F0544">
        <w:rPr>
          <w:rStyle w:val="EndnoteReference"/>
          <w:rFonts w:ascii="Calibri" w:eastAsia="Calibri" w:hAnsi="Calibri" w:cs="Calibri"/>
        </w:rPr>
        <w:endnoteReference w:id="10"/>
      </w:r>
      <w:r w:rsidR="02E58C35" w:rsidRPr="006B0C6C">
        <w:rPr>
          <w:rFonts w:ascii="Calibri" w:eastAsia="Calibri" w:hAnsi="Calibri" w:cs="Calibri"/>
        </w:rPr>
        <w:t xml:space="preserve"> </w:t>
      </w:r>
    </w:p>
    <w:p w14:paraId="01CA3917" w14:textId="351079D6" w:rsidR="00982383" w:rsidRDefault="52DE1B77" w:rsidP="00F11EFB">
      <w:pPr>
        <w:spacing w:after="160" w:line="257" w:lineRule="auto"/>
        <w:jc w:val="both"/>
        <w:rPr>
          <w:rFonts w:ascii="Calibri" w:eastAsia="Calibri" w:hAnsi="Calibri" w:cs="Calibri"/>
        </w:rPr>
      </w:pPr>
      <w:r w:rsidRPr="4A351EF4">
        <w:rPr>
          <w:rFonts w:ascii="Calibri" w:eastAsia="Calibri" w:hAnsi="Calibri" w:cs="Calibri"/>
        </w:rPr>
        <w:t xml:space="preserve">Ministries of </w:t>
      </w:r>
      <w:r w:rsidR="006874E4">
        <w:rPr>
          <w:rFonts w:ascii="Calibri" w:eastAsia="Calibri" w:hAnsi="Calibri" w:cs="Calibri"/>
        </w:rPr>
        <w:t>H</w:t>
      </w:r>
      <w:r w:rsidRPr="4A351EF4">
        <w:rPr>
          <w:rFonts w:ascii="Calibri" w:eastAsia="Calibri" w:hAnsi="Calibri" w:cs="Calibri"/>
        </w:rPr>
        <w:t xml:space="preserve">ealth and delivery </w:t>
      </w:r>
      <w:r w:rsidR="00C24930">
        <w:rPr>
          <w:rFonts w:ascii="Calibri" w:eastAsia="Calibri" w:hAnsi="Calibri" w:cs="Calibri"/>
        </w:rPr>
        <w:t xml:space="preserve">support </w:t>
      </w:r>
      <w:r w:rsidRPr="4A351EF4">
        <w:rPr>
          <w:rFonts w:ascii="Calibri" w:eastAsia="Calibri" w:hAnsi="Calibri" w:cs="Calibri"/>
        </w:rPr>
        <w:t xml:space="preserve">partners </w:t>
      </w:r>
      <w:r w:rsidR="6B7FB301" w:rsidRPr="4A351EF4">
        <w:rPr>
          <w:rFonts w:ascii="Calibri" w:eastAsia="Calibri" w:hAnsi="Calibri" w:cs="Calibri"/>
        </w:rPr>
        <w:t xml:space="preserve">highly valued TGA reference laboratory support and </w:t>
      </w:r>
      <w:r w:rsidR="1D782E7D" w:rsidRPr="4A351EF4">
        <w:rPr>
          <w:rFonts w:ascii="Calibri" w:eastAsia="Calibri" w:hAnsi="Calibri" w:cs="Calibri"/>
        </w:rPr>
        <w:t xml:space="preserve">reported </w:t>
      </w:r>
      <w:r w:rsidR="6B7FB301" w:rsidRPr="4A351EF4">
        <w:rPr>
          <w:rFonts w:ascii="Calibri" w:eastAsia="Calibri" w:hAnsi="Calibri" w:cs="Calibri"/>
        </w:rPr>
        <w:t>that,</w:t>
      </w:r>
      <w:r w:rsidR="135A55D8" w:rsidRPr="4A351EF4">
        <w:rPr>
          <w:rFonts w:ascii="Calibri" w:eastAsia="Calibri" w:hAnsi="Calibri" w:cs="Calibri"/>
        </w:rPr>
        <w:t xml:space="preserve"> </w:t>
      </w:r>
      <w:r w:rsidR="02E58C35" w:rsidRPr="4A351EF4">
        <w:rPr>
          <w:rFonts w:ascii="Calibri" w:eastAsia="Calibri" w:hAnsi="Calibri" w:cs="Calibri"/>
        </w:rPr>
        <w:t>without VAHSI, this support would not have been possible.</w:t>
      </w:r>
      <w:r w:rsidR="6B7FB301" w:rsidRPr="4A351EF4">
        <w:rPr>
          <w:rFonts w:ascii="Calibri" w:eastAsia="Calibri" w:hAnsi="Calibri" w:cs="Calibri"/>
        </w:rPr>
        <w:t xml:space="preserve"> Through this support, </w:t>
      </w:r>
      <w:r w:rsidR="02E58C35" w:rsidRPr="4A351EF4">
        <w:rPr>
          <w:rFonts w:ascii="Calibri" w:eastAsia="Calibri" w:hAnsi="Calibri" w:cs="Calibri"/>
        </w:rPr>
        <w:t xml:space="preserve">people who had not been involved in the regulatory work became connected, which in turn helped </w:t>
      </w:r>
      <w:r w:rsidR="6B7FB301" w:rsidRPr="4A351EF4">
        <w:rPr>
          <w:rFonts w:ascii="Calibri" w:eastAsia="Calibri" w:hAnsi="Calibri" w:cs="Calibri"/>
        </w:rPr>
        <w:t>to resolve</w:t>
      </w:r>
      <w:r w:rsidR="02E58C35" w:rsidRPr="4A351EF4">
        <w:rPr>
          <w:rFonts w:ascii="Calibri" w:eastAsia="Calibri" w:hAnsi="Calibri" w:cs="Calibri"/>
        </w:rPr>
        <w:t xml:space="preserve"> NITAG clinical and vaccine expiry questions. </w:t>
      </w:r>
      <w:r w:rsidR="6B7FB301" w:rsidRPr="4A351EF4">
        <w:rPr>
          <w:rFonts w:ascii="Calibri" w:eastAsia="Calibri" w:hAnsi="Calibri" w:cs="Calibri"/>
        </w:rPr>
        <w:t xml:space="preserve">Importantly, </w:t>
      </w:r>
      <w:r w:rsidR="006874E4">
        <w:rPr>
          <w:rFonts w:ascii="Calibri" w:eastAsia="Calibri" w:hAnsi="Calibri" w:cs="Calibri"/>
        </w:rPr>
        <w:t>M</w:t>
      </w:r>
      <w:r w:rsidR="20EC0E0C" w:rsidRPr="4A351EF4">
        <w:rPr>
          <w:rFonts w:ascii="Calibri" w:eastAsia="Calibri" w:hAnsi="Calibri" w:cs="Calibri"/>
        </w:rPr>
        <w:t xml:space="preserve">inistries of </w:t>
      </w:r>
      <w:r w:rsidR="006874E4">
        <w:rPr>
          <w:rFonts w:ascii="Calibri" w:eastAsia="Calibri" w:hAnsi="Calibri" w:cs="Calibri"/>
        </w:rPr>
        <w:t>H</w:t>
      </w:r>
      <w:r w:rsidR="20EC0E0C" w:rsidRPr="4A351EF4">
        <w:rPr>
          <w:rFonts w:ascii="Calibri" w:eastAsia="Calibri" w:hAnsi="Calibri" w:cs="Calibri"/>
        </w:rPr>
        <w:t>ealth</w:t>
      </w:r>
      <w:r w:rsidR="00EB4D41" w:rsidRPr="4A351EF4">
        <w:rPr>
          <w:rFonts w:ascii="Calibri" w:eastAsia="Calibri" w:hAnsi="Calibri" w:cs="Calibri"/>
        </w:rPr>
        <w:t xml:space="preserve"> and delivery </w:t>
      </w:r>
      <w:r w:rsidR="006874E4">
        <w:rPr>
          <w:rFonts w:ascii="Calibri" w:eastAsia="Calibri" w:hAnsi="Calibri" w:cs="Calibri"/>
        </w:rPr>
        <w:t xml:space="preserve">support </w:t>
      </w:r>
      <w:r w:rsidR="00EB4D41" w:rsidRPr="4A351EF4">
        <w:rPr>
          <w:rFonts w:ascii="Calibri" w:eastAsia="Calibri" w:hAnsi="Calibri" w:cs="Calibri"/>
        </w:rPr>
        <w:t xml:space="preserve">partners </w:t>
      </w:r>
      <w:r w:rsidR="6B7FB301" w:rsidRPr="4A351EF4">
        <w:rPr>
          <w:rFonts w:ascii="Calibri" w:eastAsia="Calibri" w:hAnsi="Calibri" w:cs="Calibri"/>
        </w:rPr>
        <w:t>indicated that the provision of deep technical linkages through VAHSI</w:t>
      </w:r>
      <w:r w:rsidR="086EF329" w:rsidRPr="4A351EF4">
        <w:rPr>
          <w:rFonts w:ascii="Calibri" w:eastAsia="Calibri" w:hAnsi="Calibri" w:cs="Calibri"/>
        </w:rPr>
        <w:t>,</w:t>
      </w:r>
      <w:r w:rsidR="6B7FB301" w:rsidRPr="4A351EF4">
        <w:rPr>
          <w:rFonts w:ascii="Calibri" w:eastAsia="Calibri" w:hAnsi="Calibri" w:cs="Calibri"/>
        </w:rPr>
        <w:t xml:space="preserve"> that extended beyond solely donating vaccines, </w:t>
      </w:r>
      <w:r w:rsidR="02E58C35" w:rsidRPr="4A351EF4">
        <w:rPr>
          <w:rFonts w:ascii="Calibri" w:eastAsia="Calibri" w:hAnsi="Calibri" w:cs="Calibri"/>
        </w:rPr>
        <w:t>differentiated the Australian response from other donors</w:t>
      </w:r>
      <w:r w:rsidR="6B7FB301" w:rsidRPr="4A351EF4">
        <w:rPr>
          <w:rFonts w:ascii="Calibri" w:eastAsia="Calibri" w:hAnsi="Calibri" w:cs="Calibri"/>
        </w:rPr>
        <w:t>. This support was also tailored to country contexts and provided early.</w:t>
      </w:r>
      <w:r w:rsidR="02E58C35" w:rsidRPr="4A351EF4">
        <w:rPr>
          <w:rFonts w:ascii="Calibri" w:eastAsia="Calibri" w:hAnsi="Calibri" w:cs="Calibri"/>
        </w:rPr>
        <w:t xml:space="preserve"> </w:t>
      </w:r>
      <w:r w:rsidR="3FE27680" w:rsidRPr="4A351EF4">
        <w:rPr>
          <w:rFonts w:ascii="Calibri" w:eastAsia="Calibri" w:hAnsi="Calibri" w:cs="Calibri"/>
        </w:rPr>
        <w:t xml:space="preserve">Delivery </w:t>
      </w:r>
      <w:r w:rsidR="00C24930">
        <w:rPr>
          <w:rFonts w:ascii="Calibri" w:eastAsia="Calibri" w:hAnsi="Calibri" w:cs="Calibri"/>
        </w:rPr>
        <w:t xml:space="preserve">support </w:t>
      </w:r>
      <w:r w:rsidR="3FE27680" w:rsidRPr="4A351EF4">
        <w:rPr>
          <w:rFonts w:ascii="Calibri" w:eastAsia="Calibri" w:hAnsi="Calibri" w:cs="Calibri"/>
        </w:rPr>
        <w:t xml:space="preserve">partners </w:t>
      </w:r>
      <w:r w:rsidR="6B7FB301" w:rsidRPr="4A351EF4">
        <w:rPr>
          <w:rFonts w:ascii="Calibri" w:eastAsia="Calibri" w:hAnsi="Calibri" w:cs="Calibri"/>
        </w:rPr>
        <w:t xml:space="preserve">reported strong </w:t>
      </w:r>
      <w:r w:rsidR="02E58C35" w:rsidRPr="4A351EF4">
        <w:rPr>
          <w:rFonts w:ascii="Calibri" w:eastAsia="Calibri" w:hAnsi="Calibri" w:cs="Calibri"/>
        </w:rPr>
        <w:t xml:space="preserve">synergy between the evidence-based guidance developed for the </w:t>
      </w:r>
      <w:r w:rsidR="6F7A4A08" w:rsidRPr="4A351EF4">
        <w:rPr>
          <w:rFonts w:ascii="Calibri" w:eastAsia="Calibri" w:hAnsi="Calibri" w:cs="Calibri"/>
        </w:rPr>
        <w:t>Australian Technical Advisory Group on Immunisation (</w:t>
      </w:r>
      <w:r w:rsidR="02E58C35" w:rsidRPr="4A351EF4">
        <w:rPr>
          <w:rFonts w:ascii="Calibri" w:eastAsia="Calibri" w:hAnsi="Calibri" w:cs="Calibri"/>
        </w:rPr>
        <w:t>ATAGI</w:t>
      </w:r>
      <w:r w:rsidR="01FF13DC" w:rsidRPr="4A351EF4">
        <w:rPr>
          <w:rFonts w:ascii="Calibri" w:eastAsia="Calibri" w:hAnsi="Calibri" w:cs="Calibri"/>
        </w:rPr>
        <w:t>)</w:t>
      </w:r>
      <w:r w:rsidR="02E58C35" w:rsidRPr="4A351EF4">
        <w:rPr>
          <w:rFonts w:ascii="Calibri" w:eastAsia="Calibri" w:hAnsi="Calibri" w:cs="Calibri"/>
        </w:rPr>
        <w:t xml:space="preserve">, and transference of this information into the contexts of the VAHSI countries. This was </w:t>
      </w:r>
      <w:r w:rsidR="6B7FB301" w:rsidRPr="4A351EF4">
        <w:rPr>
          <w:rFonts w:ascii="Calibri" w:eastAsia="Calibri" w:hAnsi="Calibri" w:cs="Calibri"/>
        </w:rPr>
        <w:t xml:space="preserve">particularly </w:t>
      </w:r>
      <w:r w:rsidR="02E58C35" w:rsidRPr="4A351EF4">
        <w:rPr>
          <w:rFonts w:ascii="Calibri" w:eastAsia="Calibri" w:hAnsi="Calibri" w:cs="Calibri"/>
        </w:rPr>
        <w:t xml:space="preserve">important when there were rare but serious </w:t>
      </w:r>
      <w:r w:rsidR="53954598" w:rsidRPr="4A351EF4">
        <w:rPr>
          <w:rFonts w:ascii="Calibri" w:eastAsia="Calibri" w:hAnsi="Calibri" w:cs="Calibri"/>
        </w:rPr>
        <w:t>AEFIs</w:t>
      </w:r>
      <w:r w:rsidR="02E58C35" w:rsidRPr="4A351EF4">
        <w:rPr>
          <w:rFonts w:ascii="Calibri" w:eastAsia="Calibri" w:hAnsi="Calibri" w:cs="Calibri"/>
        </w:rPr>
        <w:t xml:space="preserve"> such as </w:t>
      </w:r>
      <w:r w:rsidR="50990C13" w:rsidRPr="4A351EF4">
        <w:rPr>
          <w:rFonts w:ascii="Calibri" w:eastAsia="Calibri" w:hAnsi="Calibri" w:cs="Calibri"/>
        </w:rPr>
        <w:t>Thrombosis with Thrombocytopaenia Syndrome (</w:t>
      </w:r>
      <w:r w:rsidR="02E58C35" w:rsidRPr="4A351EF4">
        <w:rPr>
          <w:rFonts w:ascii="Calibri" w:eastAsia="Calibri" w:hAnsi="Calibri" w:cs="Calibri"/>
        </w:rPr>
        <w:t>TTS</w:t>
      </w:r>
      <w:r w:rsidR="47841266" w:rsidRPr="4A351EF4">
        <w:rPr>
          <w:rFonts w:ascii="Calibri" w:eastAsia="Calibri" w:hAnsi="Calibri" w:cs="Calibri"/>
        </w:rPr>
        <w:t>)</w:t>
      </w:r>
      <w:r w:rsidR="02E58C35" w:rsidRPr="4A351EF4">
        <w:rPr>
          <w:rFonts w:ascii="Calibri" w:eastAsia="Calibri" w:hAnsi="Calibri" w:cs="Calibri"/>
        </w:rPr>
        <w:t>, when people were trying to understand complex information, and multidisciplinary teams were brought together</w:t>
      </w:r>
      <w:r w:rsidR="43C6574C" w:rsidRPr="4A351EF4">
        <w:rPr>
          <w:rFonts w:ascii="Calibri" w:eastAsia="Calibri" w:hAnsi="Calibri" w:cs="Calibri"/>
        </w:rPr>
        <w:t xml:space="preserve"> often in very strenuous circumstances</w:t>
      </w:r>
      <w:r w:rsidR="02E58C35" w:rsidRPr="4A351EF4">
        <w:rPr>
          <w:rFonts w:ascii="Calibri" w:eastAsia="Calibri" w:hAnsi="Calibri" w:cs="Calibri"/>
        </w:rPr>
        <w:t xml:space="preserve"> to try to make carefully considered clinical judgements</w:t>
      </w:r>
      <w:r w:rsidR="4AD1B108" w:rsidRPr="4A351EF4">
        <w:rPr>
          <w:rFonts w:ascii="Calibri" w:eastAsia="Calibri" w:hAnsi="Calibri" w:cs="Calibri"/>
        </w:rPr>
        <w:t xml:space="preserve"> (see case study)</w:t>
      </w:r>
      <w:r w:rsidR="02E58C35" w:rsidRPr="4A351EF4">
        <w:rPr>
          <w:rFonts w:ascii="Calibri" w:eastAsia="Calibri" w:hAnsi="Calibri" w:cs="Calibri"/>
        </w:rPr>
        <w:t>.</w:t>
      </w:r>
      <w:r w:rsidR="3B51C8A4" w:rsidRPr="4A351EF4">
        <w:rPr>
          <w:rFonts w:ascii="Calibri" w:eastAsia="Calibri" w:hAnsi="Calibri" w:cs="Calibri"/>
        </w:rPr>
        <w:t xml:space="preserve"> These activities empowered NITAGs in their decision-making and </w:t>
      </w:r>
      <w:r w:rsidR="4C82047D" w:rsidRPr="4A351EF4">
        <w:rPr>
          <w:rFonts w:ascii="Calibri" w:eastAsia="Calibri" w:hAnsi="Calibri" w:cs="Calibri"/>
        </w:rPr>
        <w:t>could</w:t>
      </w:r>
      <w:r w:rsidR="3B51C8A4" w:rsidRPr="4A351EF4">
        <w:rPr>
          <w:rFonts w:ascii="Calibri" w:eastAsia="Calibri" w:hAnsi="Calibri" w:cs="Calibri"/>
        </w:rPr>
        <w:t xml:space="preserve"> have bolstered public confidence in vaccines.</w:t>
      </w:r>
    </w:p>
    <w:p w14:paraId="0D317651" w14:textId="3BE89257" w:rsidR="7388A156" w:rsidRDefault="086EF329" w:rsidP="7E56B70C">
      <w:pPr>
        <w:spacing w:after="160" w:line="257" w:lineRule="auto"/>
        <w:jc w:val="both"/>
        <w:rPr>
          <w:rFonts w:ascii="Calibri" w:eastAsia="Calibri" w:hAnsi="Calibri" w:cs="Calibri"/>
        </w:rPr>
      </w:pPr>
      <w:r w:rsidRPr="7E56B70C">
        <w:rPr>
          <w:rFonts w:ascii="Calibri" w:eastAsia="Calibri" w:hAnsi="Calibri" w:cs="Calibri"/>
        </w:rPr>
        <w:t xml:space="preserve">The initial priority was </w:t>
      </w:r>
      <w:r w:rsidR="00C24930">
        <w:rPr>
          <w:rFonts w:ascii="Calibri" w:eastAsia="Calibri" w:hAnsi="Calibri" w:cs="Calibri"/>
        </w:rPr>
        <w:t>supplying</w:t>
      </w:r>
      <w:r w:rsidR="795A792A" w:rsidRPr="7E56B70C">
        <w:rPr>
          <w:rFonts w:ascii="Calibri" w:eastAsia="Calibri" w:hAnsi="Calibri" w:cs="Calibri"/>
        </w:rPr>
        <w:t xml:space="preserve"> COVID-19 vaccine doses to countries, </w:t>
      </w:r>
      <w:r w:rsidRPr="7E56B70C">
        <w:rPr>
          <w:rFonts w:ascii="Calibri" w:eastAsia="Calibri" w:hAnsi="Calibri" w:cs="Calibri"/>
        </w:rPr>
        <w:t xml:space="preserve">however over time the focus </w:t>
      </w:r>
      <w:r w:rsidR="795A792A" w:rsidRPr="7E56B70C">
        <w:rPr>
          <w:rFonts w:ascii="Calibri" w:eastAsia="Calibri" w:hAnsi="Calibri" w:cs="Calibri"/>
        </w:rPr>
        <w:t xml:space="preserve">shifted more towards </w:t>
      </w:r>
      <w:r w:rsidRPr="7E56B70C">
        <w:rPr>
          <w:rFonts w:ascii="Calibri" w:eastAsia="Calibri" w:hAnsi="Calibri" w:cs="Calibri"/>
        </w:rPr>
        <w:t xml:space="preserve">vaccine </w:t>
      </w:r>
      <w:r w:rsidR="795A792A" w:rsidRPr="7E56B70C">
        <w:rPr>
          <w:rFonts w:ascii="Calibri" w:eastAsia="Calibri" w:hAnsi="Calibri" w:cs="Calibri"/>
        </w:rPr>
        <w:t xml:space="preserve">side effects and AEFIs. </w:t>
      </w:r>
      <w:r w:rsidR="28C9FEE8" w:rsidRPr="7E56B70C">
        <w:rPr>
          <w:rFonts w:ascii="Calibri" w:eastAsia="Calibri" w:hAnsi="Calibri" w:cs="Calibri"/>
        </w:rPr>
        <w:t xml:space="preserve">As with any vaccine, product information included risks of complications and adverse effects, including possible serious allergic reactions and blood clots. Following international </w:t>
      </w:r>
      <w:r w:rsidR="70913552" w:rsidRPr="7E56B70C">
        <w:rPr>
          <w:rFonts w:ascii="Calibri" w:eastAsia="Calibri" w:hAnsi="Calibri" w:cs="Calibri"/>
        </w:rPr>
        <w:t xml:space="preserve">reports of </w:t>
      </w:r>
      <w:r w:rsidR="2133232F" w:rsidRPr="7E56B70C">
        <w:rPr>
          <w:rFonts w:ascii="Calibri" w:eastAsia="Calibri" w:hAnsi="Calibri" w:cs="Calibri"/>
        </w:rPr>
        <w:t>adverse events</w:t>
      </w:r>
      <w:r w:rsidR="70913552" w:rsidRPr="7E56B70C">
        <w:rPr>
          <w:rFonts w:ascii="Calibri" w:eastAsia="Calibri" w:hAnsi="Calibri" w:cs="Calibri"/>
        </w:rPr>
        <w:t xml:space="preserve"> following vaccination from the AstraZeneca vaccine, d</w:t>
      </w:r>
      <w:r w:rsidR="7F3C1CDD" w:rsidRPr="7E56B70C">
        <w:rPr>
          <w:rFonts w:ascii="Calibri" w:eastAsia="Calibri" w:hAnsi="Calibri" w:cs="Calibri"/>
        </w:rPr>
        <w:t xml:space="preserve">elivery </w:t>
      </w:r>
      <w:r w:rsidR="00C24930">
        <w:rPr>
          <w:rFonts w:ascii="Calibri" w:eastAsia="Calibri" w:hAnsi="Calibri" w:cs="Calibri"/>
        </w:rPr>
        <w:t xml:space="preserve">support </w:t>
      </w:r>
      <w:r w:rsidR="7F3C1CDD" w:rsidRPr="7E56B70C">
        <w:rPr>
          <w:rFonts w:ascii="Calibri" w:eastAsia="Calibri" w:hAnsi="Calibri" w:cs="Calibri"/>
        </w:rPr>
        <w:t>partners noted that p</w:t>
      </w:r>
      <w:r w:rsidR="5F3B0940" w:rsidRPr="7E56B70C">
        <w:rPr>
          <w:rFonts w:ascii="Calibri" w:eastAsia="Calibri" w:hAnsi="Calibri" w:cs="Calibri"/>
        </w:rPr>
        <w:t xml:space="preserve">eople started holding back from receiving </w:t>
      </w:r>
      <w:r w:rsidR="2BB9DCEE" w:rsidRPr="7E56B70C">
        <w:rPr>
          <w:rFonts w:ascii="Calibri" w:eastAsia="Calibri" w:hAnsi="Calibri" w:cs="Calibri"/>
        </w:rPr>
        <w:t>it</w:t>
      </w:r>
      <w:r w:rsidR="5F3B0940" w:rsidRPr="7E56B70C">
        <w:rPr>
          <w:rFonts w:ascii="Calibri" w:eastAsia="Calibri" w:hAnsi="Calibri" w:cs="Calibri"/>
        </w:rPr>
        <w:t>, preferring instead to wait for mRNA vaccines.</w:t>
      </w:r>
      <w:r w:rsidR="770B53CC" w:rsidRPr="7E56B70C">
        <w:rPr>
          <w:rFonts w:ascii="Calibri" w:eastAsia="Calibri" w:hAnsi="Calibri" w:cs="Calibri"/>
        </w:rPr>
        <w:t xml:space="preserve"> This further emphasised the importance of</w:t>
      </w:r>
      <w:r w:rsidR="5F3B0940" w:rsidRPr="7E56B70C">
        <w:rPr>
          <w:rFonts w:ascii="Calibri" w:eastAsia="Calibri" w:hAnsi="Calibri" w:cs="Calibri"/>
        </w:rPr>
        <w:t xml:space="preserve"> </w:t>
      </w:r>
      <w:r w:rsidR="5C7C3EE8" w:rsidRPr="7E56B70C">
        <w:rPr>
          <w:rFonts w:ascii="Calibri" w:eastAsia="Calibri" w:hAnsi="Calibri" w:cs="Calibri"/>
        </w:rPr>
        <w:t xml:space="preserve">pharmacovigilance and robust AEFI reporting. </w:t>
      </w:r>
      <w:r w:rsidR="135A55D8" w:rsidRPr="7E56B70C">
        <w:rPr>
          <w:rFonts w:ascii="Calibri" w:eastAsia="Calibri" w:hAnsi="Calibri" w:cs="Calibri"/>
        </w:rPr>
        <w:t>S</w:t>
      </w:r>
      <w:r w:rsidR="795A792A" w:rsidRPr="7E56B70C">
        <w:rPr>
          <w:rFonts w:ascii="Calibri" w:eastAsia="Calibri" w:hAnsi="Calibri" w:cs="Calibri"/>
        </w:rPr>
        <w:t xml:space="preserve">everal </w:t>
      </w:r>
      <w:r w:rsidR="5785A0E9" w:rsidRPr="7E56B70C">
        <w:rPr>
          <w:rFonts w:ascii="Calibri" w:eastAsia="Calibri" w:hAnsi="Calibri" w:cs="Calibri"/>
        </w:rPr>
        <w:t xml:space="preserve">delivery </w:t>
      </w:r>
      <w:r w:rsidR="00C24930">
        <w:rPr>
          <w:rFonts w:ascii="Calibri" w:eastAsia="Calibri" w:hAnsi="Calibri" w:cs="Calibri"/>
        </w:rPr>
        <w:t xml:space="preserve">support </w:t>
      </w:r>
      <w:r w:rsidR="5785A0E9" w:rsidRPr="7E56B70C">
        <w:rPr>
          <w:rFonts w:ascii="Calibri" w:eastAsia="Calibri" w:hAnsi="Calibri" w:cs="Calibri"/>
        </w:rPr>
        <w:t xml:space="preserve">partners </w:t>
      </w:r>
      <w:r w:rsidR="795A792A" w:rsidRPr="7E56B70C">
        <w:rPr>
          <w:rFonts w:ascii="Calibri" w:eastAsia="Calibri" w:hAnsi="Calibri" w:cs="Calibri"/>
        </w:rPr>
        <w:t xml:space="preserve">supported the implementation of stronger AEFI </w:t>
      </w:r>
      <w:proofErr w:type="gramStart"/>
      <w:r w:rsidR="795A792A" w:rsidRPr="7E56B70C">
        <w:rPr>
          <w:rFonts w:ascii="Calibri" w:eastAsia="Calibri" w:hAnsi="Calibri" w:cs="Calibri"/>
        </w:rPr>
        <w:t>recording,</w:t>
      </w:r>
      <w:proofErr w:type="gramEnd"/>
      <w:r w:rsidR="795A792A" w:rsidRPr="7E56B70C">
        <w:rPr>
          <w:rFonts w:ascii="Calibri" w:eastAsia="Calibri" w:hAnsi="Calibri" w:cs="Calibri"/>
        </w:rPr>
        <w:t xml:space="preserve"> training and committees</w:t>
      </w:r>
      <w:r w:rsidR="135A55D8" w:rsidRPr="7E56B70C">
        <w:rPr>
          <w:rFonts w:ascii="Calibri" w:eastAsia="Calibri" w:hAnsi="Calibri" w:cs="Calibri"/>
        </w:rPr>
        <w:t>.</w:t>
      </w:r>
      <w:r w:rsidR="795A792A" w:rsidRPr="7E56B70C">
        <w:rPr>
          <w:rFonts w:ascii="Calibri" w:eastAsia="Calibri" w:hAnsi="Calibri" w:cs="Calibri"/>
        </w:rPr>
        <w:t xml:space="preserve"> WHO Indonesia </w:t>
      </w:r>
      <w:r w:rsidR="7FACCE17" w:rsidRPr="7E56B70C">
        <w:rPr>
          <w:rFonts w:ascii="Calibri" w:eastAsia="Calibri" w:hAnsi="Calibri" w:cs="Calibri"/>
        </w:rPr>
        <w:t>reported VAHSI enabled them to provide significant</w:t>
      </w:r>
      <w:r w:rsidR="795A792A" w:rsidRPr="7E56B70C">
        <w:rPr>
          <w:rFonts w:ascii="Calibri" w:eastAsia="Calibri" w:hAnsi="Calibri" w:cs="Calibri"/>
        </w:rPr>
        <w:t xml:space="preserve"> technical assistance </w:t>
      </w:r>
      <w:r w:rsidR="7FACCE17" w:rsidRPr="7E56B70C">
        <w:rPr>
          <w:rFonts w:ascii="Calibri" w:eastAsia="Calibri" w:hAnsi="Calibri" w:cs="Calibri"/>
        </w:rPr>
        <w:t>for</w:t>
      </w:r>
      <w:r w:rsidR="135A55D8" w:rsidRPr="7E56B70C">
        <w:rPr>
          <w:rFonts w:ascii="Calibri" w:eastAsia="Calibri" w:hAnsi="Calibri" w:cs="Calibri"/>
        </w:rPr>
        <w:t xml:space="preserve"> </w:t>
      </w:r>
      <w:r w:rsidR="795A792A" w:rsidRPr="7E56B70C">
        <w:rPr>
          <w:rFonts w:ascii="Calibri" w:eastAsia="Calibri" w:hAnsi="Calibri" w:cs="Calibri"/>
        </w:rPr>
        <w:t xml:space="preserve">training and establishment of </w:t>
      </w:r>
      <w:r w:rsidR="7FACCE17" w:rsidRPr="7E56B70C">
        <w:rPr>
          <w:rFonts w:ascii="Calibri" w:eastAsia="Calibri" w:hAnsi="Calibri" w:cs="Calibri"/>
        </w:rPr>
        <w:t xml:space="preserve">AEFI </w:t>
      </w:r>
      <w:r w:rsidR="795A792A" w:rsidRPr="7E56B70C">
        <w:rPr>
          <w:rFonts w:ascii="Calibri" w:eastAsia="Calibri" w:hAnsi="Calibri" w:cs="Calibri"/>
        </w:rPr>
        <w:t>surveillance</w:t>
      </w:r>
      <w:r w:rsidR="7FACCE17" w:rsidRPr="7E56B70C">
        <w:rPr>
          <w:rFonts w:ascii="Calibri" w:eastAsia="Calibri" w:hAnsi="Calibri" w:cs="Calibri"/>
        </w:rPr>
        <w:t xml:space="preserve">. Relative to other countries, there was not a significant impact from AEFIs in Timor-Leste. </w:t>
      </w:r>
      <w:r w:rsidR="795A792A" w:rsidRPr="7E56B70C">
        <w:rPr>
          <w:rFonts w:ascii="Calibri" w:eastAsia="Calibri" w:hAnsi="Calibri" w:cs="Calibri"/>
        </w:rPr>
        <w:t>Vietnam noted extensive training</w:t>
      </w:r>
      <w:r w:rsidR="74939C20" w:rsidRPr="7E56B70C">
        <w:rPr>
          <w:rFonts w:ascii="Calibri" w:eastAsia="Calibri" w:hAnsi="Calibri" w:cs="Calibri"/>
        </w:rPr>
        <w:t xml:space="preserve"> and</w:t>
      </w:r>
      <w:r w:rsidR="795A792A" w:rsidRPr="7E56B70C">
        <w:rPr>
          <w:rFonts w:ascii="Calibri" w:eastAsia="Calibri" w:hAnsi="Calibri" w:cs="Calibri"/>
        </w:rPr>
        <w:t xml:space="preserve"> </w:t>
      </w:r>
      <w:r w:rsidR="07BA7D5F" w:rsidRPr="7E56B70C">
        <w:rPr>
          <w:rFonts w:ascii="Calibri" w:eastAsia="Calibri" w:hAnsi="Calibri" w:cs="Calibri"/>
        </w:rPr>
        <w:t xml:space="preserve">focus on </w:t>
      </w:r>
      <w:r w:rsidR="4EF7D5E3" w:rsidRPr="7E56B70C">
        <w:rPr>
          <w:rFonts w:ascii="Calibri" w:eastAsia="Calibri" w:hAnsi="Calibri" w:cs="Calibri"/>
        </w:rPr>
        <w:t xml:space="preserve">AEFI-related technical support provided through WHO, improving capacity for the AEFI advisory committee at sub-national level, as well as some </w:t>
      </w:r>
      <w:r w:rsidR="795A792A" w:rsidRPr="7E56B70C">
        <w:rPr>
          <w:rFonts w:ascii="Calibri" w:eastAsia="Calibri" w:hAnsi="Calibri" w:cs="Calibri"/>
        </w:rPr>
        <w:t>purchas</w:t>
      </w:r>
      <w:r w:rsidRPr="7E56B70C">
        <w:rPr>
          <w:rFonts w:ascii="Calibri" w:eastAsia="Calibri" w:hAnsi="Calibri" w:cs="Calibri"/>
        </w:rPr>
        <w:t>ing</w:t>
      </w:r>
      <w:r w:rsidR="795A792A" w:rsidRPr="7E56B70C">
        <w:rPr>
          <w:rFonts w:ascii="Calibri" w:eastAsia="Calibri" w:hAnsi="Calibri" w:cs="Calibri"/>
        </w:rPr>
        <w:t xml:space="preserve"> of new refrigerators and </w:t>
      </w:r>
      <w:r w:rsidR="7FACCE17" w:rsidRPr="7E56B70C">
        <w:rPr>
          <w:rFonts w:ascii="Calibri" w:eastAsia="Calibri" w:hAnsi="Calibri" w:cs="Calibri"/>
        </w:rPr>
        <w:t xml:space="preserve">procurement of </w:t>
      </w:r>
      <w:r w:rsidR="795A792A" w:rsidRPr="7E56B70C">
        <w:rPr>
          <w:rFonts w:ascii="Calibri" w:eastAsia="Calibri" w:hAnsi="Calibri" w:cs="Calibri"/>
        </w:rPr>
        <w:t>supplies for AEFI</w:t>
      </w:r>
      <w:r w:rsidR="7FACCE17" w:rsidRPr="7E56B70C">
        <w:rPr>
          <w:rFonts w:ascii="Calibri" w:eastAsia="Calibri" w:hAnsi="Calibri" w:cs="Calibri"/>
        </w:rPr>
        <w:t>s</w:t>
      </w:r>
      <w:r w:rsidR="795A792A" w:rsidRPr="7E56B70C">
        <w:rPr>
          <w:rFonts w:ascii="Calibri" w:eastAsia="Calibri" w:hAnsi="Calibri" w:cs="Calibri"/>
        </w:rPr>
        <w:t xml:space="preserve">. </w:t>
      </w:r>
      <w:r w:rsidR="7FACCE17" w:rsidRPr="7E56B70C">
        <w:rPr>
          <w:rFonts w:ascii="Calibri" w:eastAsia="Calibri" w:hAnsi="Calibri" w:cs="Calibri"/>
        </w:rPr>
        <w:t>I</w:t>
      </w:r>
      <w:r w:rsidR="7D7AB32F" w:rsidRPr="7E56B70C">
        <w:rPr>
          <w:rFonts w:ascii="Calibri" w:eastAsia="Calibri" w:hAnsi="Calibri" w:cs="Calibri"/>
        </w:rPr>
        <w:t>t is</w:t>
      </w:r>
      <w:r w:rsidR="7FACCE17" w:rsidRPr="7E56B70C">
        <w:rPr>
          <w:rFonts w:ascii="Calibri" w:eastAsia="Calibri" w:hAnsi="Calibri" w:cs="Calibri"/>
        </w:rPr>
        <w:t xml:space="preserve"> reasonable to conclude </w:t>
      </w:r>
      <w:r w:rsidR="795A792A" w:rsidRPr="7E56B70C">
        <w:rPr>
          <w:rFonts w:ascii="Calibri" w:eastAsia="Calibri" w:hAnsi="Calibri" w:cs="Calibri"/>
        </w:rPr>
        <w:t xml:space="preserve">VAHSI delivery support met country expectations for AEFI management in the pandemic context. </w:t>
      </w:r>
      <w:r w:rsidR="4249E111" w:rsidRPr="7E56B70C">
        <w:rPr>
          <w:rFonts w:ascii="Calibri" w:eastAsia="Calibri" w:hAnsi="Calibri" w:cs="Calibri"/>
        </w:rPr>
        <w:t xml:space="preserve"> </w:t>
      </w:r>
    </w:p>
    <w:p w14:paraId="21DDB699" w14:textId="77777777" w:rsidR="005707CE" w:rsidRPr="00CC4591" w:rsidRDefault="005707CE" w:rsidP="005707CE">
      <w:pPr>
        <w:rPr>
          <w:rFonts w:ascii="Calibri" w:eastAsia="Calibri" w:hAnsi="Calibri" w:cs="Calibri"/>
          <w:i/>
          <w:iCs/>
        </w:rPr>
      </w:pPr>
      <w:r w:rsidRPr="00CC4591">
        <w:rPr>
          <w:rFonts w:ascii="Calibri" w:eastAsia="Calibri" w:hAnsi="Calibri" w:cs="Calibri"/>
          <w:b/>
          <w:bCs/>
          <w:i/>
          <w:iCs/>
        </w:rPr>
        <w:t xml:space="preserve">Case study: </w:t>
      </w:r>
      <w:r w:rsidRPr="4717B9FC">
        <w:rPr>
          <w:rFonts w:ascii="Calibri" w:eastAsia="Calibri" w:hAnsi="Calibri" w:cs="Calibri"/>
          <w:b/>
          <w:bCs/>
          <w:i/>
          <w:iCs/>
        </w:rPr>
        <w:t>Complementary, multidisciplinary expertise for responding to COVID-19</w:t>
      </w:r>
      <w:r w:rsidRPr="00CC4591">
        <w:rPr>
          <w:rFonts w:ascii="Calibri" w:eastAsia="Calibri" w:hAnsi="Calibri" w:cs="Calibri"/>
          <w:b/>
          <w:bCs/>
          <w:i/>
          <w:iCs/>
        </w:rPr>
        <w:t xml:space="preserve"> AEFI in Timor-Leste</w:t>
      </w:r>
    </w:p>
    <w:p w14:paraId="51B2D9A8" w14:textId="77777777" w:rsidR="005707CE" w:rsidRDefault="005707CE" w:rsidP="005707CE">
      <w:pPr>
        <w:jc w:val="both"/>
      </w:pPr>
      <w:r w:rsidRPr="4717B9FC">
        <w:rPr>
          <w:rFonts w:ascii="Calibri" w:eastAsia="Calibri" w:hAnsi="Calibri" w:cs="Calibri"/>
          <w:color w:val="000000" w:themeColor="text1"/>
          <w:szCs w:val="22"/>
        </w:rPr>
        <w:t xml:space="preserve">In addition to VAHSI, Timor-Leste received large donations of COVID-19 vaccines (AstraZeneca, Sinovac, Pfizer) through COVAX and other bilateral donations. Vaccinations commenced in April 2021, around the time that reports of adverse events following AstraZeneca vaccine started to emerge internationally. Challenges associated with communicating the importance and relative safety of COVID-19 vaccines, and monitoring for AEFIs, were substantial. With complementary, multidisciplinary expertise, involving the Ministry of Health, in-country delivery </w:t>
      </w:r>
      <w:r>
        <w:rPr>
          <w:rFonts w:ascii="Calibri" w:eastAsia="Calibri" w:hAnsi="Calibri" w:cs="Calibri"/>
          <w:color w:val="000000" w:themeColor="text1"/>
          <w:szCs w:val="22"/>
        </w:rPr>
        <w:t xml:space="preserve">support </w:t>
      </w:r>
      <w:r w:rsidRPr="4717B9FC">
        <w:rPr>
          <w:rFonts w:ascii="Calibri" w:eastAsia="Calibri" w:hAnsi="Calibri" w:cs="Calibri"/>
          <w:color w:val="000000" w:themeColor="text1"/>
          <w:szCs w:val="22"/>
        </w:rPr>
        <w:t>partners, a deployed in-country public health physician, and additional remote complementary expertise provided by the TGA and NCIRS, support was provided to the NITAG and effective communication specifically targeting health professionals and the community, was delivered. Augmenting this, virtual training was delivered on vaccine safety, recognising and reporting AEFI, where Timorese clinicians could interact with Australian experts in haematology and TTS.  This training included a general overview of vaccine pharmacovigilance, epidemiology of TTS and AstraZeneca vaccine, clinical diagnosis, investigation and management, and discussion of a draft protocol for managing suspected TTS patients in Timor-Leste.</w:t>
      </w:r>
    </w:p>
    <w:p w14:paraId="291B92DB" w14:textId="5554E636" w:rsidR="005707CE" w:rsidRPr="006B0C6C" w:rsidRDefault="005707CE" w:rsidP="005707CE">
      <w:pPr>
        <w:spacing w:after="160" w:line="257" w:lineRule="auto"/>
        <w:jc w:val="both"/>
        <w:rPr>
          <w:rFonts w:ascii="Calibri" w:eastAsia="Calibri" w:hAnsi="Calibri" w:cs="Calibri"/>
        </w:rPr>
      </w:pPr>
      <w:r w:rsidRPr="7E56B70C">
        <w:rPr>
          <w:rFonts w:ascii="Calibri" w:eastAsia="Calibri" w:hAnsi="Calibri" w:cs="Calibri"/>
          <w:color w:val="000000" w:themeColor="text1"/>
        </w:rPr>
        <w:t xml:space="preserve">The benefit of these activities was evidenced by rapid uptake of vaccination among health professionals and in the community throughout 2021. </w:t>
      </w:r>
      <w:r w:rsidRPr="7E56B70C">
        <w:rPr>
          <w:rFonts w:ascii="Calibri" w:eastAsia="Calibri" w:hAnsi="Calibri" w:cs="Calibri"/>
          <w:lang w:val="en-US"/>
        </w:rPr>
        <w:t>One severe AEFI was reported in Timor-Leste during the pandemic. Investigating this, the NITAG technical review committee deemed that it was likely not vaccine related.</w:t>
      </w:r>
    </w:p>
    <w:p w14:paraId="0D4AA597" w14:textId="0765CD11" w:rsidR="354629E7" w:rsidRPr="006B0C6C" w:rsidRDefault="45128062" w:rsidP="006B0C6C">
      <w:pPr>
        <w:pStyle w:val="Heading4SHS"/>
      </w:pPr>
      <w:r w:rsidRPr="006B0C6C">
        <w:t>Reach to vulnerable groups</w:t>
      </w:r>
    </w:p>
    <w:p w14:paraId="27974A4C" w14:textId="4B53206A" w:rsidR="7388A156" w:rsidRPr="006B0C6C" w:rsidRDefault="6BFD4453" w:rsidP="40D7C2F5">
      <w:pPr>
        <w:spacing w:after="160" w:line="257" w:lineRule="auto"/>
        <w:jc w:val="both"/>
        <w:rPr>
          <w:rFonts w:ascii="Calibri" w:eastAsia="Calibri" w:hAnsi="Calibri" w:cs="Calibri"/>
          <w:highlight w:val="yellow"/>
        </w:rPr>
      </w:pPr>
      <w:r w:rsidRPr="4A351EF4">
        <w:rPr>
          <w:rFonts w:ascii="Calibri" w:eastAsia="Calibri" w:hAnsi="Calibri" w:cs="Calibri"/>
        </w:rPr>
        <w:t xml:space="preserve">For most </w:t>
      </w:r>
      <w:r w:rsidR="111720FF" w:rsidRPr="4A351EF4">
        <w:rPr>
          <w:rFonts w:ascii="Calibri" w:eastAsia="Calibri" w:hAnsi="Calibri" w:cs="Calibri"/>
        </w:rPr>
        <w:t xml:space="preserve">delivery support </w:t>
      </w:r>
      <w:r w:rsidRPr="4A351EF4">
        <w:rPr>
          <w:rFonts w:ascii="Calibri" w:eastAsia="Calibri" w:hAnsi="Calibri" w:cs="Calibri"/>
        </w:rPr>
        <w:t xml:space="preserve">projects, there is substantial evidence of reach sub-nationally, and that </w:t>
      </w:r>
      <w:r w:rsidR="4C7622DD" w:rsidRPr="4A351EF4">
        <w:rPr>
          <w:rFonts w:ascii="Calibri" w:eastAsia="Calibri" w:hAnsi="Calibri" w:cs="Calibri"/>
        </w:rPr>
        <w:t xml:space="preserve">delivery </w:t>
      </w:r>
      <w:r w:rsidR="00C24930">
        <w:rPr>
          <w:rFonts w:ascii="Calibri" w:eastAsia="Calibri" w:hAnsi="Calibri" w:cs="Calibri"/>
        </w:rPr>
        <w:t xml:space="preserve">support </w:t>
      </w:r>
      <w:r w:rsidRPr="4A351EF4">
        <w:rPr>
          <w:rFonts w:ascii="Calibri" w:eastAsia="Calibri" w:hAnsi="Calibri" w:cs="Calibri"/>
        </w:rPr>
        <w:t>partners strove to enhance access to COVID-19 and/or routine immunisation services to vulnerable groups</w:t>
      </w:r>
      <w:r w:rsidR="593B8904" w:rsidRPr="4A351EF4">
        <w:rPr>
          <w:rFonts w:ascii="Calibri" w:eastAsia="Calibri" w:hAnsi="Calibri" w:cs="Calibri"/>
        </w:rPr>
        <w:t xml:space="preserve">. </w:t>
      </w:r>
      <w:r w:rsidR="2111A8B7" w:rsidRPr="4A351EF4">
        <w:rPr>
          <w:rFonts w:ascii="Calibri" w:eastAsia="Calibri" w:hAnsi="Calibri" w:cs="Calibri"/>
        </w:rPr>
        <w:t xml:space="preserve">For further </w:t>
      </w:r>
      <w:r w:rsidR="593B8904" w:rsidRPr="4A351EF4">
        <w:rPr>
          <w:rFonts w:ascii="Calibri" w:eastAsia="Calibri" w:hAnsi="Calibri" w:cs="Calibri"/>
        </w:rPr>
        <w:t>detail</w:t>
      </w:r>
      <w:r w:rsidR="2111A8B7" w:rsidRPr="4A351EF4">
        <w:rPr>
          <w:rFonts w:ascii="Calibri" w:eastAsia="Calibri" w:hAnsi="Calibri" w:cs="Calibri"/>
        </w:rPr>
        <w:t xml:space="preserve"> on reach to vulnerable groups, see </w:t>
      </w:r>
      <w:r w:rsidR="434380D5" w:rsidRPr="4A351EF4">
        <w:rPr>
          <w:rFonts w:ascii="Calibri" w:eastAsia="Calibri" w:hAnsi="Calibri" w:cs="Calibri"/>
        </w:rPr>
        <w:t xml:space="preserve">Section </w:t>
      </w:r>
      <w:r w:rsidR="02A2BD59" w:rsidRPr="4A351EF4">
        <w:rPr>
          <w:rFonts w:ascii="Calibri" w:eastAsia="Calibri" w:hAnsi="Calibri" w:cs="Calibri"/>
        </w:rPr>
        <w:t>7</w:t>
      </w:r>
      <w:r w:rsidR="3F5ABCFF" w:rsidRPr="4A351EF4">
        <w:rPr>
          <w:rFonts w:ascii="Calibri" w:eastAsia="Calibri" w:hAnsi="Calibri" w:cs="Calibri"/>
        </w:rPr>
        <w:t xml:space="preserve"> – </w:t>
      </w:r>
      <w:r w:rsidR="11283E10" w:rsidRPr="4A351EF4">
        <w:rPr>
          <w:rFonts w:ascii="Calibri" w:eastAsia="Calibri" w:hAnsi="Calibri" w:cs="Calibri"/>
        </w:rPr>
        <w:t>Gender, Disability and Social Inclusion (</w:t>
      </w:r>
      <w:r w:rsidR="2111A8B7" w:rsidRPr="4A351EF4">
        <w:rPr>
          <w:rFonts w:ascii="Calibri" w:eastAsia="Calibri" w:hAnsi="Calibri" w:cs="Calibri"/>
        </w:rPr>
        <w:t>GEDSI</w:t>
      </w:r>
      <w:r w:rsidR="50A3AD66" w:rsidRPr="4A351EF4">
        <w:rPr>
          <w:rFonts w:ascii="Calibri" w:eastAsia="Calibri" w:hAnsi="Calibri" w:cs="Calibri"/>
        </w:rPr>
        <w:t>)</w:t>
      </w:r>
      <w:r w:rsidR="3F5ABCFF" w:rsidRPr="4A351EF4">
        <w:rPr>
          <w:rFonts w:ascii="Calibri" w:eastAsia="Calibri" w:hAnsi="Calibri" w:cs="Calibri"/>
        </w:rPr>
        <w:t>.</w:t>
      </w:r>
    </w:p>
    <w:p w14:paraId="02A2E94F" w14:textId="3EDB80B9" w:rsidR="354629E7" w:rsidRPr="006B0C6C" w:rsidRDefault="45128062" w:rsidP="7388A156">
      <w:pPr>
        <w:pStyle w:val="Heading3SHS"/>
        <w:jc w:val="both"/>
        <w:rPr>
          <w:bCs w:val="0"/>
          <w:iCs/>
        </w:rPr>
      </w:pPr>
      <w:bookmarkStart w:id="30" w:name="_Toc200617271"/>
      <w:r w:rsidRPr="006B0C6C">
        <w:rPr>
          <w:rStyle w:val="Heading4SHSChar"/>
          <w:b/>
          <w:bCs w:val="0"/>
          <w:i w:val="0"/>
          <w:iCs/>
        </w:rPr>
        <w:t>Timeliness</w:t>
      </w:r>
      <w:r w:rsidR="646B658A" w:rsidRPr="006B0C6C">
        <w:rPr>
          <w:rStyle w:val="Heading4SHSChar"/>
          <w:b/>
          <w:bCs w:val="0"/>
          <w:i w:val="0"/>
          <w:iCs/>
        </w:rPr>
        <w:t>, challenges</w:t>
      </w:r>
      <w:r w:rsidRPr="006B0C6C">
        <w:rPr>
          <w:rStyle w:val="Heading4SHSChar"/>
          <w:b/>
          <w:bCs w:val="0"/>
          <w:i w:val="0"/>
          <w:iCs/>
        </w:rPr>
        <w:t xml:space="preserve"> and flexibility</w:t>
      </w:r>
      <w:bookmarkEnd w:id="30"/>
      <w:r w:rsidRPr="006B0C6C">
        <w:rPr>
          <w:rFonts w:ascii="Calibri" w:eastAsia="Calibri" w:hAnsi="Calibri" w:cs="Calibri"/>
          <w:bCs w:val="0"/>
          <w:iCs/>
        </w:rPr>
        <w:t xml:space="preserve"> </w:t>
      </w:r>
    </w:p>
    <w:p w14:paraId="513C48DD" w14:textId="27BF920E" w:rsidR="1CBEE15B" w:rsidRDefault="1CBEE15B" w:rsidP="4717B9FC">
      <w:pPr>
        <w:jc w:val="both"/>
        <w:rPr>
          <w:rFonts w:ascii="Calibri" w:eastAsia="Calibri" w:hAnsi="Calibri" w:cs="Calibri"/>
        </w:rPr>
      </w:pPr>
      <w:r w:rsidRPr="4A351EF4">
        <w:rPr>
          <w:rFonts w:ascii="Calibri" w:eastAsia="Calibri" w:hAnsi="Calibri" w:cs="Calibri"/>
        </w:rPr>
        <w:t>Delivery</w:t>
      </w:r>
      <w:r w:rsidR="00C24930">
        <w:rPr>
          <w:rFonts w:ascii="Calibri" w:eastAsia="Calibri" w:hAnsi="Calibri" w:cs="Calibri"/>
        </w:rPr>
        <w:t xml:space="preserve"> support</w:t>
      </w:r>
      <w:r w:rsidRPr="4A351EF4">
        <w:rPr>
          <w:rFonts w:ascii="Calibri" w:eastAsia="Calibri" w:hAnsi="Calibri" w:cs="Calibri"/>
        </w:rPr>
        <w:t xml:space="preserve"> partner reports provided substantial evidence of striving to achieve results in a timely manner, and </w:t>
      </w:r>
      <w:r w:rsidR="6FF0F443" w:rsidRPr="4A351EF4">
        <w:rPr>
          <w:rFonts w:ascii="Calibri" w:eastAsia="Calibri" w:hAnsi="Calibri" w:cs="Calibri"/>
        </w:rPr>
        <w:t xml:space="preserve">a </w:t>
      </w:r>
      <w:r w:rsidRPr="4A351EF4">
        <w:rPr>
          <w:rFonts w:ascii="Calibri" w:eastAsia="Calibri" w:hAnsi="Calibri" w:cs="Calibri"/>
        </w:rPr>
        <w:t xml:space="preserve">willingness to adapt, often at very short notice, in the face of challenges and change. </w:t>
      </w:r>
      <w:r w:rsidR="135A55D8" w:rsidRPr="4A351EF4">
        <w:rPr>
          <w:rFonts w:ascii="Calibri" w:eastAsia="Calibri" w:hAnsi="Calibri" w:cs="Calibri"/>
        </w:rPr>
        <w:t>Many</w:t>
      </w:r>
      <w:r w:rsidRPr="4A351EF4">
        <w:rPr>
          <w:rFonts w:ascii="Calibri" w:eastAsia="Calibri" w:hAnsi="Calibri" w:cs="Calibri"/>
        </w:rPr>
        <w:t xml:space="preserve"> activities were delivered according to anticipated timeframes</w:t>
      </w:r>
      <w:r w:rsidR="135A55D8" w:rsidRPr="4A351EF4">
        <w:rPr>
          <w:rFonts w:ascii="Calibri" w:eastAsia="Calibri" w:hAnsi="Calibri" w:cs="Calibri"/>
        </w:rPr>
        <w:t>;</w:t>
      </w:r>
      <w:r w:rsidRPr="4A351EF4">
        <w:rPr>
          <w:rFonts w:ascii="Calibri" w:eastAsia="Calibri" w:hAnsi="Calibri" w:cs="Calibri"/>
        </w:rPr>
        <w:t xml:space="preserve"> </w:t>
      </w:r>
      <w:r w:rsidR="135A55D8" w:rsidRPr="4A351EF4">
        <w:rPr>
          <w:rFonts w:ascii="Calibri" w:eastAsia="Calibri" w:hAnsi="Calibri" w:cs="Calibri"/>
        </w:rPr>
        <w:t xml:space="preserve">however, </w:t>
      </w:r>
      <w:r w:rsidRPr="4A351EF4">
        <w:rPr>
          <w:rFonts w:ascii="Calibri" w:eastAsia="Calibri" w:hAnsi="Calibri" w:cs="Calibri"/>
        </w:rPr>
        <w:t xml:space="preserve">not all timeframes </w:t>
      </w:r>
      <w:r w:rsidR="49964DEB" w:rsidRPr="4A351EF4">
        <w:rPr>
          <w:rFonts w:ascii="Calibri" w:eastAsia="Calibri" w:hAnsi="Calibri" w:cs="Calibri"/>
        </w:rPr>
        <w:t xml:space="preserve">for all targets </w:t>
      </w:r>
      <w:r w:rsidR="17D278E6" w:rsidRPr="4A351EF4">
        <w:rPr>
          <w:rFonts w:ascii="Calibri" w:eastAsia="Calibri" w:hAnsi="Calibri" w:cs="Calibri"/>
        </w:rPr>
        <w:t>could be</w:t>
      </w:r>
      <w:r w:rsidRPr="4A351EF4">
        <w:rPr>
          <w:rFonts w:ascii="Calibri" w:eastAsia="Calibri" w:hAnsi="Calibri" w:cs="Calibri"/>
        </w:rPr>
        <w:t xml:space="preserve"> </w:t>
      </w:r>
      <w:r w:rsidR="4337EBD4" w:rsidRPr="4A351EF4">
        <w:rPr>
          <w:rFonts w:ascii="Calibri" w:eastAsia="Calibri" w:hAnsi="Calibri" w:cs="Calibri"/>
        </w:rPr>
        <w:t>met</w:t>
      </w:r>
      <w:r w:rsidR="33E64B2F" w:rsidRPr="4A351EF4">
        <w:rPr>
          <w:rFonts w:ascii="Calibri" w:eastAsia="Calibri" w:hAnsi="Calibri" w:cs="Calibri"/>
        </w:rPr>
        <w:t xml:space="preserve">, due to reasons beyond delivery </w:t>
      </w:r>
      <w:r w:rsidR="00C24930">
        <w:rPr>
          <w:rFonts w:ascii="Calibri" w:eastAsia="Calibri" w:hAnsi="Calibri" w:cs="Calibri"/>
        </w:rPr>
        <w:t xml:space="preserve">support </w:t>
      </w:r>
      <w:r w:rsidR="33E64B2F" w:rsidRPr="4A351EF4">
        <w:rPr>
          <w:rFonts w:ascii="Calibri" w:eastAsia="Calibri" w:hAnsi="Calibri" w:cs="Calibri"/>
        </w:rPr>
        <w:t xml:space="preserve">partner control such as </w:t>
      </w:r>
      <w:r w:rsidR="5EA832B4" w:rsidRPr="4A351EF4">
        <w:rPr>
          <w:rFonts w:ascii="Calibri" w:eastAsia="Calibri" w:hAnsi="Calibri" w:cs="Calibri"/>
        </w:rPr>
        <w:t xml:space="preserve">when </w:t>
      </w:r>
      <w:r w:rsidR="33E64B2F" w:rsidRPr="4A351EF4">
        <w:rPr>
          <w:rFonts w:ascii="Calibri" w:eastAsia="Calibri" w:hAnsi="Calibri" w:cs="Calibri"/>
        </w:rPr>
        <w:t xml:space="preserve">changes </w:t>
      </w:r>
      <w:r w:rsidR="183A501C" w:rsidRPr="4A351EF4">
        <w:rPr>
          <w:rFonts w:ascii="Calibri" w:eastAsia="Calibri" w:hAnsi="Calibri" w:cs="Calibri"/>
        </w:rPr>
        <w:t>were</w:t>
      </w:r>
      <w:r w:rsidR="33E64B2F" w:rsidRPr="4A351EF4">
        <w:rPr>
          <w:rFonts w:ascii="Calibri" w:eastAsia="Calibri" w:hAnsi="Calibri" w:cs="Calibri"/>
        </w:rPr>
        <w:t xml:space="preserve"> experienced by the Ministry of Health which affected all </w:t>
      </w:r>
      <w:r w:rsidR="362851DA" w:rsidRPr="4A351EF4">
        <w:rPr>
          <w:rFonts w:ascii="Calibri" w:eastAsia="Calibri" w:hAnsi="Calibri" w:cs="Calibri"/>
        </w:rPr>
        <w:t xml:space="preserve">delivery </w:t>
      </w:r>
      <w:r w:rsidR="00C24930">
        <w:rPr>
          <w:rFonts w:ascii="Calibri" w:eastAsia="Calibri" w:hAnsi="Calibri" w:cs="Calibri"/>
        </w:rPr>
        <w:t xml:space="preserve">support </w:t>
      </w:r>
      <w:r w:rsidR="362851DA" w:rsidRPr="4A351EF4">
        <w:rPr>
          <w:rFonts w:ascii="Calibri" w:eastAsia="Calibri" w:hAnsi="Calibri" w:cs="Calibri"/>
        </w:rPr>
        <w:t>partners in the country</w:t>
      </w:r>
      <w:r w:rsidRPr="4A351EF4">
        <w:rPr>
          <w:rFonts w:ascii="Calibri" w:eastAsia="Calibri" w:hAnsi="Calibri" w:cs="Calibri"/>
        </w:rPr>
        <w:t xml:space="preserve">. </w:t>
      </w:r>
      <w:r w:rsidR="1367C2C1" w:rsidRPr="4A351EF4">
        <w:rPr>
          <w:rFonts w:ascii="Calibri" w:eastAsia="Calibri" w:hAnsi="Calibri" w:cs="Calibri"/>
        </w:rPr>
        <w:t>An extensive list of challenges that caused delays was reported (Annex 7)</w:t>
      </w:r>
      <w:r w:rsidR="385AC0C8" w:rsidRPr="4A351EF4">
        <w:rPr>
          <w:rFonts w:ascii="Calibri" w:eastAsia="Calibri" w:hAnsi="Calibri" w:cs="Calibri"/>
        </w:rPr>
        <w:t>. These included</w:t>
      </w:r>
      <w:r w:rsidR="1367C2C1" w:rsidRPr="4A351EF4">
        <w:rPr>
          <w:rFonts w:ascii="Calibri" w:eastAsia="Calibri" w:hAnsi="Calibri" w:cs="Calibri"/>
        </w:rPr>
        <w:t xml:space="preserve"> vaccine supply chain and logistics issues nationally or sub</w:t>
      </w:r>
      <w:r w:rsidR="38AC70D7" w:rsidRPr="4A351EF4">
        <w:rPr>
          <w:rFonts w:ascii="Calibri" w:eastAsia="Calibri" w:hAnsi="Calibri" w:cs="Calibri"/>
        </w:rPr>
        <w:t>-</w:t>
      </w:r>
      <w:r w:rsidR="1367C2C1" w:rsidRPr="4A351EF4">
        <w:rPr>
          <w:rFonts w:ascii="Calibri" w:eastAsia="Calibri" w:hAnsi="Calibri" w:cs="Calibri"/>
        </w:rPr>
        <w:t>nationally</w:t>
      </w:r>
      <w:r w:rsidR="7695344A" w:rsidRPr="4A351EF4">
        <w:rPr>
          <w:rFonts w:ascii="Calibri" w:eastAsia="Calibri" w:hAnsi="Calibri" w:cs="Calibri"/>
        </w:rPr>
        <w:t xml:space="preserve">, misinformation and vaccine hesitancy, broader </w:t>
      </w:r>
      <w:r w:rsidR="009A6F75">
        <w:rPr>
          <w:rFonts w:ascii="Calibri" w:eastAsia="Calibri" w:hAnsi="Calibri" w:cs="Calibri"/>
        </w:rPr>
        <w:t>g</w:t>
      </w:r>
      <w:r w:rsidR="7695344A" w:rsidRPr="4A351EF4">
        <w:rPr>
          <w:rFonts w:ascii="Calibri" w:eastAsia="Calibri" w:hAnsi="Calibri" w:cs="Calibri"/>
        </w:rPr>
        <w:t>overnment and socio</w:t>
      </w:r>
      <w:r w:rsidR="583CFDCA" w:rsidRPr="4A351EF4">
        <w:rPr>
          <w:rFonts w:ascii="Calibri" w:eastAsia="Calibri" w:hAnsi="Calibri" w:cs="Calibri"/>
        </w:rPr>
        <w:t>-</w:t>
      </w:r>
      <w:r w:rsidR="7695344A" w:rsidRPr="4A351EF4">
        <w:rPr>
          <w:rFonts w:ascii="Calibri" w:eastAsia="Calibri" w:hAnsi="Calibri" w:cs="Calibri"/>
        </w:rPr>
        <w:t>political changes, natural disas</w:t>
      </w:r>
      <w:r w:rsidR="681FFC17" w:rsidRPr="4A351EF4">
        <w:rPr>
          <w:rFonts w:ascii="Calibri" w:eastAsia="Calibri" w:hAnsi="Calibri" w:cs="Calibri"/>
        </w:rPr>
        <w:t xml:space="preserve">ters and challenging economic conditions. </w:t>
      </w:r>
      <w:r w:rsidR="032B353B" w:rsidRPr="4A351EF4">
        <w:rPr>
          <w:rFonts w:ascii="Calibri" w:eastAsia="Calibri" w:hAnsi="Calibri" w:cs="Calibri"/>
        </w:rPr>
        <w:t xml:space="preserve">There was general appreciation expressed by delivery </w:t>
      </w:r>
      <w:r w:rsidR="00C24930">
        <w:rPr>
          <w:rFonts w:ascii="Calibri" w:eastAsia="Calibri" w:hAnsi="Calibri" w:cs="Calibri"/>
        </w:rPr>
        <w:t xml:space="preserve">support </w:t>
      </w:r>
      <w:r w:rsidR="032B353B" w:rsidRPr="4A351EF4">
        <w:rPr>
          <w:rFonts w:ascii="Calibri" w:eastAsia="Calibri" w:hAnsi="Calibri" w:cs="Calibri"/>
        </w:rPr>
        <w:t xml:space="preserve">partners that DFAT Posts </w:t>
      </w:r>
      <w:r w:rsidR="38C4D680" w:rsidRPr="4A351EF4">
        <w:rPr>
          <w:rFonts w:ascii="Calibri" w:eastAsia="Calibri" w:hAnsi="Calibri" w:cs="Calibri"/>
        </w:rPr>
        <w:t>recognised</w:t>
      </w:r>
      <w:r w:rsidR="032B353B" w:rsidRPr="4A351EF4">
        <w:rPr>
          <w:rFonts w:ascii="Calibri" w:eastAsia="Calibri" w:hAnsi="Calibri" w:cs="Calibri"/>
        </w:rPr>
        <w:t xml:space="preserve"> </w:t>
      </w:r>
      <w:r w:rsidR="00C24930">
        <w:rPr>
          <w:rFonts w:ascii="Calibri" w:eastAsia="Calibri" w:hAnsi="Calibri" w:cs="Calibri"/>
        </w:rPr>
        <w:t>the</w:t>
      </w:r>
      <w:r w:rsidR="032B353B" w:rsidRPr="4A351EF4">
        <w:rPr>
          <w:rFonts w:ascii="Calibri" w:eastAsia="Calibri" w:hAnsi="Calibri" w:cs="Calibri"/>
        </w:rPr>
        <w:t xml:space="preserve"> operating</w:t>
      </w:r>
      <w:r w:rsidR="00C24930">
        <w:rPr>
          <w:rFonts w:ascii="Calibri" w:eastAsia="Calibri" w:hAnsi="Calibri" w:cs="Calibri"/>
        </w:rPr>
        <w:t xml:space="preserve"> </w:t>
      </w:r>
      <w:proofErr w:type="gramStart"/>
      <w:r w:rsidR="032B353B" w:rsidRPr="4A351EF4">
        <w:rPr>
          <w:rFonts w:ascii="Calibri" w:eastAsia="Calibri" w:hAnsi="Calibri" w:cs="Calibri"/>
        </w:rPr>
        <w:t>landscape</w:t>
      </w:r>
      <w:proofErr w:type="gramEnd"/>
      <w:r w:rsidR="032B353B" w:rsidRPr="4A351EF4">
        <w:rPr>
          <w:rFonts w:ascii="Calibri" w:eastAsia="Calibri" w:hAnsi="Calibri" w:cs="Calibri"/>
        </w:rPr>
        <w:t xml:space="preserve"> which was evolving rapidly, and delivery </w:t>
      </w:r>
      <w:r w:rsidR="00C24930">
        <w:rPr>
          <w:rFonts w:ascii="Calibri" w:eastAsia="Calibri" w:hAnsi="Calibri" w:cs="Calibri"/>
        </w:rPr>
        <w:t xml:space="preserve">support </w:t>
      </w:r>
      <w:r w:rsidR="032B353B" w:rsidRPr="4A351EF4">
        <w:rPr>
          <w:rFonts w:ascii="Calibri" w:eastAsia="Calibri" w:hAnsi="Calibri" w:cs="Calibri"/>
        </w:rPr>
        <w:t>partners felt supported by DFAT Posts when these issues were raised.</w:t>
      </w:r>
    </w:p>
    <w:p w14:paraId="5C60B579" w14:textId="536EC97A" w:rsidR="214FDC17" w:rsidRPr="006B0C6C" w:rsidRDefault="2E6C4771" w:rsidP="2E1252C7">
      <w:pPr>
        <w:spacing w:before="240" w:after="160" w:line="257" w:lineRule="auto"/>
        <w:jc w:val="both"/>
      </w:pPr>
      <w:r w:rsidRPr="4A351EF4">
        <w:rPr>
          <w:rFonts w:ascii="Calibri" w:eastAsia="Calibri" w:hAnsi="Calibri" w:cs="Calibri"/>
        </w:rPr>
        <w:t>A</w:t>
      </w:r>
      <w:r w:rsidR="0E9A772A" w:rsidRPr="4A351EF4">
        <w:rPr>
          <w:rFonts w:ascii="Calibri" w:eastAsia="Calibri" w:hAnsi="Calibri" w:cs="Calibri"/>
        </w:rPr>
        <w:t xml:space="preserve">ctions </w:t>
      </w:r>
      <w:r w:rsidR="0C9ECF6F" w:rsidRPr="4A351EF4">
        <w:rPr>
          <w:rFonts w:ascii="Calibri" w:eastAsia="Calibri" w:hAnsi="Calibri" w:cs="Calibri"/>
        </w:rPr>
        <w:t xml:space="preserve">were </w:t>
      </w:r>
      <w:r w:rsidR="0E9A772A" w:rsidRPr="4A351EF4">
        <w:rPr>
          <w:rFonts w:ascii="Calibri" w:eastAsia="Calibri" w:hAnsi="Calibri" w:cs="Calibri"/>
        </w:rPr>
        <w:t xml:space="preserve">undertaken </w:t>
      </w:r>
      <w:r w:rsidR="299CB75E" w:rsidRPr="4A351EF4">
        <w:rPr>
          <w:rFonts w:ascii="Calibri" w:eastAsia="Calibri" w:hAnsi="Calibri" w:cs="Calibri"/>
        </w:rPr>
        <w:t xml:space="preserve">by delivery </w:t>
      </w:r>
      <w:r w:rsidR="00C24930">
        <w:rPr>
          <w:rFonts w:ascii="Calibri" w:eastAsia="Calibri" w:hAnsi="Calibri" w:cs="Calibri"/>
        </w:rPr>
        <w:t xml:space="preserve">support </w:t>
      </w:r>
      <w:r w:rsidR="299CB75E" w:rsidRPr="4A351EF4">
        <w:rPr>
          <w:rFonts w:ascii="Calibri" w:eastAsia="Calibri" w:hAnsi="Calibri" w:cs="Calibri"/>
        </w:rPr>
        <w:t xml:space="preserve">partners </w:t>
      </w:r>
      <w:r w:rsidR="34AEE39E" w:rsidRPr="4A351EF4">
        <w:rPr>
          <w:rFonts w:ascii="Calibri" w:eastAsia="Calibri" w:hAnsi="Calibri" w:cs="Calibri"/>
        </w:rPr>
        <w:t>to overcome challenges</w:t>
      </w:r>
      <w:r w:rsidR="1D7F7144" w:rsidRPr="4A351EF4">
        <w:rPr>
          <w:rFonts w:ascii="Calibri" w:eastAsia="Calibri" w:hAnsi="Calibri" w:cs="Calibri"/>
        </w:rPr>
        <w:t>. These</w:t>
      </w:r>
      <w:r w:rsidR="34AEE39E" w:rsidRPr="4A351EF4">
        <w:rPr>
          <w:rFonts w:ascii="Calibri" w:eastAsia="Calibri" w:hAnsi="Calibri" w:cs="Calibri"/>
        </w:rPr>
        <w:t xml:space="preserve"> included strong engagement with </w:t>
      </w:r>
      <w:r w:rsidR="009A6F75">
        <w:rPr>
          <w:rFonts w:ascii="Calibri" w:eastAsia="Calibri" w:hAnsi="Calibri" w:cs="Calibri"/>
        </w:rPr>
        <w:t>g</w:t>
      </w:r>
      <w:r w:rsidR="34AEE39E" w:rsidRPr="4A351EF4">
        <w:rPr>
          <w:rFonts w:ascii="Calibri" w:eastAsia="Calibri" w:hAnsi="Calibri" w:cs="Calibri"/>
        </w:rPr>
        <w:t xml:space="preserve">overnment to support uninterrupted vaccine supply and </w:t>
      </w:r>
      <w:r w:rsidR="1822C002" w:rsidRPr="4A351EF4">
        <w:rPr>
          <w:rFonts w:ascii="Calibri" w:eastAsia="Calibri" w:hAnsi="Calibri" w:cs="Calibri"/>
        </w:rPr>
        <w:t xml:space="preserve">to </w:t>
      </w:r>
      <w:r w:rsidR="34AEE39E" w:rsidRPr="4A351EF4">
        <w:rPr>
          <w:rFonts w:ascii="Calibri" w:eastAsia="Calibri" w:hAnsi="Calibri" w:cs="Calibri"/>
        </w:rPr>
        <w:t>design and deliver</w:t>
      </w:r>
      <w:r w:rsidR="589F6758" w:rsidRPr="4A351EF4">
        <w:rPr>
          <w:rFonts w:ascii="Calibri" w:eastAsia="Calibri" w:hAnsi="Calibri" w:cs="Calibri"/>
        </w:rPr>
        <w:t xml:space="preserve"> appropriate</w:t>
      </w:r>
      <w:r w:rsidR="34AEE39E" w:rsidRPr="4A351EF4">
        <w:rPr>
          <w:rFonts w:ascii="Calibri" w:eastAsia="Calibri" w:hAnsi="Calibri" w:cs="Calibri"/>
        </w:rPr>
        <w:t xml:space="preserve"> activities</w:t>
      </w:r>
      <w:r w:rsidR="1F8770F0" w:rsidRPr="4A351EF4">
        <w:rPr>
          <w:rFonts w:ascii="Calibri" w:eastAsia="Calibri" w:hAnsi="Calibri" w:cs="Calibri"/>
        </w:rPr>
        <w:t>,</w:t>
      </w:r>
      <w:r w:rsidR="34AEE39E" w:rsidRPr="4A351EF4">
        <w:rPr>
          <w:rFonts w:ascii="Calibri" w:eastAsia="Calibri" w:hAnsi="Calibri" w:cs="Calibri"/>
        </w:rPr>
        <w:t xml:space="preserve"> </w:t>
      </w:r>
      <w:r w:rsidR="5A81A639" w:rsidRPr="4A351EF4">
        <w:rPr>
          <w:rFonts w:ascii="Calibri" w:eastAsia="Calibri" w:hAnsi="Calibri" w:cs="Calibri"/>
        </w:rPr>
        <w:t xml:space="preserve">engagement with </w:t>
      </w:r>
      <w:r w:rsidR="34AEE39E" w:rsidRPr="4A351EF4">
        <w:rPr>
          <w:rFonts w:ascii="Calibri" w:eastAsia="Calibri" w:hAnsi="Calibri" w:cs="Calibri"/>
        </w:rPr>
        <w:t>national and sub-national committees</w:t>
      </w:r>
      <w:r w:rsidR="4518D0CD" w:rsidRPr="4A351EF4">
        <w:rPr>
          <w:rFonts w:ascii="Calibri" w:eastAsia="Calibri" w:hAnsi="Calibri" w:cs="Calibri"/>
        </w:rPr>
        <w:t>,</w:t>
      </w:r>
      <w:r w:rsidR="7E354C3C" w:rsidRPr="4A351EF4">
        <w:rPr>
          <w:rFonts w:ascii="Calibri" w:eastAsia="Calibri" w:hAnsi="Calibri" w:cs="Calibri"/>
        </w:rPr>
        <w:t xml:space="preserve"> </w:t>
      </w:r>
      <w:r w:rsidR="34AEE39E" w:rsidRPr="4A351EF4">
        <w:rPr>
          <w:rFonts w:ascii="Calibri" w:eastAsia="Calibri" w:hAnsi="Calibri" w:cs="Calibri"/>
        </w:rPr>
        <w:t xml:space="preserve">and dedicated coordination efforts across all </w:t>
      </w:r>
      <w:r w:rsidR="204CCCCE" w:rsidRPr="4A351EF4">
        <w:rPr>
          <w:rFonts w:ascii="Calibri" w:eastAsia="Calibri" w:hAnsi="Calibri" w:cs="Calibri"/>
        </w:rPr>
        <w:t xml:space="preserve">delivery </w:t>
      </w:r>
      <w:r w:rsidR="00C24930">
        <w:rPr>
          <w:rFonts w:ascii="Calibri" w:eastAsia="Calibri" w:hAnsi="Calibri" w:cs="Calibri"/>
        </w:rPr>
        <w:t xml:space="preserve">support </w:t>
      </w:r>
      <w:r w:rsidR="204CCCCE" w:rsidRPr="4A351EF4">
        <w:rPr>
          <w:rFonts w:ascii="Calibri" w:eastAsia="Calibri" w:hAnsi="Calibri" w:cs="Calibri"/>
        </w:rPr>
        <w:t xml:space="preserve">partners </w:t>
      </w:r>
      <w:r w:rsidR="34AEE39E" w:rsidRPr="4A351EF4">
        <w:rPr>
          <w:rFonts w:ascii="Calibri" w:eastAsia="Calibri" w:hAnsi="Calibri" w:cs="Calibri"/>
        </w:rPr>
        <w:t>to harmonise efforts and avoid duplication</w:t>
      </w:r>
      <w:r w:rsidR="76993C5D" w:rsidRPr="4A351EF4">
        <w:rPr>
          <w:rFonts w:ascii="Calibri" w:eastAsia="Calibri" w:hAnsi="Calibri" w:cs="Calibri"/>
        </w:rPr>
        <w:t xml:space="preserve">. </w:t>
      </w:r>
      <w:r w:rsidR="00B04281" w:rsidRPr="4A351EF4">
        <w:rPr>
          <w:rFonts w:ascii="Calibri" w:eastAsia="Calibri" w:hAnsi="Calibri" w:cs="Calibri"/>
        </w:rPr>
        <w:t xml:space="preserve">Based on request from a </w:t>
      </w:r>
      <w:r w:rsidR="008258BD" w:rsidRPr="4A351EF4">
        <w:rPr>
          <w:rFonts w:ascii="Calibri" w:eastAsia="Calibri" w:hAnsi="Calibri" w:cs="Calibri"/>
        </w:rPr>
        <w:t>M</w:t>
      </w:r>
      <w:r w:rsidR="005E5B19" w:rsidRPr="4A351EF4">
        <w:rPr>
          <w:rFonts w:ascii="Calibri" w:eastAsia="Calibri" w:hAnsi="Calibri" w:cs="Calibri"/>
        </w:rPr>
        <w:t>inistr</w:t>
      </w:r>
      <w:r w:rsidR="00D04777" w:rsidRPr="4A351EF4">
        <w:rPr>
          <w:rFonts w:ascii="Calibri" w:eastAsia="Calibri" w:hAnsi="Calibri" w:cs="Calibri"/>
        </w:rPr>
        <w:t>y</w:t>
      </w:r>
      <w:r w:rsidR="00B04281" w:rsidRPr="4A351EF4">
        <w:rPr>
          <w:rFonts w:ascii="Calibri" w:eastAsia="Calibri" w:hAnsi="Calibri" w:cs="Calibri"/>
        </w:rPr>
        <w:t xml:space="preserve"> of </w:t>
      </w:r>
      <w:r w:rsidR="008258BD" w:rsidRPr="4A351EF4">
        <w:rPr>
          <w:rFonts w:ascii="Calibri" w:eastAsia="Calibri" w:hAnsi="Calibri" w:cs="Calibri"/>
        </w:rPr>
        <w:t>H</w:t>
      </w:r>
      <w:r w:rsidR="00B04281" w:rsidRPr="4A351EF4">
        <w:rPr>
          <w:rFonts w:ascii="Calibri" w:eastAsia="Calibri" w:hAnsi="Calibri" w:cs="Calibri"/>
        </w:rPr>
        <w:t>ealth, d</w:t>
      </w:r>
      <w:r w:rsidR="76993C5D" w:rsidRPr="4A351EF4">
        <w:rPr>
          <w:rFonts w:ascii="Calibri" w:eastAsia="Calibri" w:hAnsi="Calibri" w:cs="Calibri"/>
        </w:rPr>
        <w:t xml:space="preserve">elivery </w:t>
      </w:r>
      <w:r w:rsidR="00C24930">
        <w:rPr>
          <w:rFonts w:ascii="Calibri" w:eastAsia="Calibri" w:hAnsi="Calibri" w:cs="Calibri"/>
        </w:rPr>
        <w:t xml:space="preserve">support </w:t>
      </w:r>
      <w:r w:rsidR="76993C5D" w:rsidRPr="4A351EF4">
        <w:rPr>
          <w:rFonts w:ascii="Calibri" w:eastAsia="Calibri" w:hAnsi="Calibri" w:cs="Calibri"/>
        </w:rPr>
        <w:t xml:space="preserve">partners </w:t>
      </w:r>
      <w:r w:rsidR="34AEE39E" w:rsidRPr="4A351EF4">
        <w:rPr>
          <w:rFonts w:ascii="Calibri" w:eastAsia="Calibri" w:hAnsi="Calibri" w:cs="Calibri"/>
        </w:rPr>
        <w:t>pivot</w:t>
      </w:r>
      <w:r w:rsidR="35F5BE14" w:rsidRPr="4A351EF4">
        <w:rPr>
          <w:rFonts w:ascii="Calibri" w:eastAsia="Calibri" w:hAnsi="Calibri" w:cs="Calibri"/>
        </w:rPr>
        <w:t>ed</w:t>
      </w:r>
      <w:r w:rsidR="34AEE39E" w:rsidRPr="4A351EF4">
        <w:rPr>
          <w:rFonts w:ascii="Calibri" w:eastAsia="Calibri" w:hAnsi="Calibri" w:cs="Calibri"/>
        </w:rPr>
        <w:t xml:space="preserve"> towards an integrated vaccine approach</w:t>
      </w:r>
      <w:r w:rsidR="37C4F34A" w:rsidRPr="4A351EF4">
        <w:rPr>
          <w:rFonts w:ascii="Calibri" w:eastAsia="Calibri" w:hAnsi="Calibri" w:cs="Calibri"/>
        </w:rPr>
        <w:t xml:space="preserve">. Some delivery </w:t>
      </w:r>
      <w:r w:rsidR="00C24930">
        <w:rPr>
          <w:rFonts w:ascii="Calibri" w:eastAsia="Calibri" w:hAnsi="Calibri" w:cs="Calibri"/>
        </w:rPr>
        <w:t xml:space="preserve">support </w:t>
      </w:r>
      <w:r w:rsidR="37C4F34A" w:rsidRPr="4A351EF4">
        <w:rPr>
          <w:rFonts w:ascii="Calibri" w:eastAsia="Calibri" w:hAnsi="Calibri" w:cs="Calibri"/>
        </w:rPr>
        <w:t>partners embedded</w:t>
      </w:r>
      <w:r w:rsidR="09284FB5" w:rsidRPr="4A351EF4">
        <w:rPr>
          <w:rFonts w:ascii="Calibri" w:eastAsia="Calibri" w:hAnsi="Calibri" w:cs="Calibri"/>
        </w:rPr>
        <w:t xml:space="preserve"> technical experts in-country and sub-nationally</w:t>
      </w:r>
      <w:r w:rsidR="327893DF" w:rsidRPr="4A351EF4">
        <w:rPr>
          <w:rFonts w:ascii="Calibri" w:eastAsia="Calibri" w:hAnsi="Calibri" w:cs="Calibri"/>
        </w:rPr>
        <w:t>; others</w:t>
      </w:r>
      <w:r w:rsidR="6917C8EB" w:rsidRPr="4A351EF4">
        <w:rPr>
          <w:rFonts w:ascii="Calibri" w:eastAsia="Calibri" w:hAnsi="Calibri" w:cs="Calibri"/>
        </w:rPr>
        <w:t xml:space="preserve"> </w:t>
      </w:r>
      <w:r w:rsidR="34AEE39E" w:rsidRPr="4A351EF4">
        <w:rPr>
          <w:rFonts w:ascii="Calibri" w:eastAsia="Calibri" w:hAnsi="Calibri" w:cs="Calibri"/>
        </w:rPr>
        <w:t>leverag</w:t>
      </w:r>
      <w:r w:rsidR="6A751B57" w:rsidRPr="4A351EF4">
        <w:rPr>
          <w:rFonts w:ascii="Calibri" w:eastAsia="Calibri" w:hAnsi="Calibri" w:cs="Calibri"/>
        </w:rPr>
        <w:t>ed</w:t>
      </w:r>
      <w:r w:rsidR="34AEE39E" w:rsidRPr="4A351EF4">
        <w:rPr>
          <w:rFonts w:ascii="Calibri" w:eastAsia="Calibri" w:hAnsi="Calibri" w:cs="Calibri"/>
        </w:rPr>
        <w:t xml:space="preserve"> networks and coordinat</w:t>
      </w:r>
      <w:r w:rsidR="3B0CE4C9" w:rsidRPr="4A351EF4">
        <w:rPr>
          <w:rFonts w:ascii="Calibri" w:eastAsia="Calibri" w:hAnsi="Calibri" w:cs="Calibri"/>
        </w:rPr>
        <w:t>ed</w:t>
      </w:r>
      <w:r w:rsidR="34AEE39E" w:rsidRPr="4A351EF4">
        <w:rPr>
          <w:rFonts w:ascii="Calibri" w:eastAsia="Calibri" w:hAnsi="Calibri" w:cs="Calibri"/>
        </w:rPr>
        <w:t xml:space="preserve"> activities and support to places or spaces where children, their families and individuals</w:t>
      </w:r>
      <w:r w:rsidR="00A60B1D" w:rsidRPr="4A351EF4">
        <w:rPr>
          <w:rFonts w:ascii="Calibri" w:eastAsia="Calibri" w:hAnsi="Calibri" w:cs="Calibri"/>
        </w:rPr>
        <w:t xml:space="preserve"> </w:t>
      </w:r>
      <w:r w:rsidR="00243802" w:rsidRPr="4A351EF4">
        <w:rPr>
          <w:rFonts w:ascii="Calibri" w:eastAsia="Calibri" w:hAnsi="Calibri" w:cs="Calibri"/>
        </w:rPr>
        <w:t>congregated</w:t>
      </w:r>
      <w:r w:rsidR="76BF40F4" w:rsidRPr="4A351EF4">
        <w:rPr>
          <w:rFonts w:ascii="Calibri" w:eastAsia="Calibri" w:hAnsi="Calibri" w:cs="Calibri"/>
        </w:rPr>
        <w:t xml:space="preserve">. Some delivery </w:t>
      </w:r>
      <w:r w:rsidR="00C24930">
        <w:rPr>
          <w:rFonts w:ascii="Calibri" w:eastAsia="Calibri" w:hAnsi="Calibri" w:cs="Calibri"/>
        </w:rPr>
        <w:t xml:space="preserve">support </w:t>
      </w:r>
      <w:r w:rsidR="76BF40F4" w:rsidRPr="4A351EF4">
        <w:rPr>
          <w:rFonts w:ascii="Calibri" w:eastAsia="Calibri" w:hAnsi="Calibri" w:cs="Calibri"/>
        </w:rPr>
        <w:t>partners undertook</w:t>
      </w:r>
      <w:r w:rsidR="34AEE39E" w:rsidRPr="4A351EF4">
        <w:rPr>
          <w:rFonts w:ascii="Calibri" w:eastAsia="Calibri" w:hAnsi="Calibri" w:cs="Calibri"/>
        </w:rPr>
        <w:t xml:space="preserve"> vaccine hesitancy surveys to better understand concerns and issues, </w:t>
      </w:r>
      <w:r w:rsidR="411AF6DE" w:rsidRPr="4A351EF4">
        <w:rPr>
          <w:rFonts w:ascii="Calibri" w:eastAsia="Calibri" w:hAnsi="Calibri" w:cs="Calibri"/>
        </w:rPr>
        <w:t xml:space="preserve">and </w:t>
      </w:r>
      <w:r w:rsidR="34AEE39E" w:rsidRPr="4A351EF4">
        <w:rPr>
          <w:rFonts w:ascii="Calibri" w:eastAsia="Calibri" w:hAnsi="Calibri" w:cs="Calibri"/>
        </w:rPr>
        <w:t>integrat</w:t>
      </w:r>
      <w:r w:rsidR="4B021064" w:rsidRPr="4A351EF4">
        <w:rPr>
          <w:rFonts w:ascii="Calibri" w:eastAsia="Calibri" w:hAnsi="Calibri" w:cs="Calibri"/>
        </w:rPr>
        <w:t>ed</w:t>
      </w:r>
      <w:r w:rsidR="34AEE39E" w:rsidRPr="4A351EF4">
        <w:rPr>
          <w:rFonts w:ascii="Calibri" w:eastAsia="Calibri" w:hAnsi="Calibri" w:cs="Calibri"/>
        </w:rPr>
        <w:t xml:space="preserve"> activities with health promotion in schools.</w:t>
      </w:r>
    </w:p>
    <w:p w14:paraId="3065C8F2" w14:textId="64A7EF90" w:rsidR="18A49554" w:rsidRPr="006B0C6C" w:rsidRDefault="75A98EFA" w:rsidP="5EB2BCB1">
      <w:pPr>
        <w:spacing w:before="240" w:after="160" w:line="257" w:lineRule="auto"/>
        <w:jc w:val="both"/>
      </w:pPr>
      <w:proofErr w:type="gramStart"/>
      <w:r>
        <w:t>The majority of</w:t>
      </w:r>
      <w:proofErr w:type="gramEnd"/>
      <w:r>
        <w:t xml:space="preserve"> reported challenges relate to the course of the pandemic itself, and very few were within the control of delivery </w:t>
      </w:r>
      <w:r w:rsidR="00C24930">
        <w:t xml:space="preserve">support </w:t>
      </w:r>
      <w:r>
        <w:t xml:space="preserve">partners. </w:t>
      </w:r>
      <w:r w:rsidR="0CC02AC2" w:rsidRPr="7E56B70C">
        <w:rPr>
          <w:rFonts w:ascii="Calibri" w:eastAsia="Calibri" w:hAnsi="Calibri" w:cs="Calibri"/>
        </w:rPr>
        <w:t>H</w:t>
      </w:r>
      <w:r w:rsidRPr="7E56B70C">
        <w:rPr>
          <w:rFonts w:ascii="Calibri" w:eastAsia="Calibri" w:hAnsi="Calibri" w:cs="Calibri"/>
        </w:rPr>
        <w:t>owever,</w:t>
      </w:r>
      <w:r>
        <w:t xml:space="preserve"> some reported that funding</w:t>
      </w:r>
      <w:r w:rsidR="0CC02AC2">
        <w:t>,</w:t>
      </w:r>
      <w:r>
        <w:t xml:space="preserve"> approval timeframes and MEL processes and timeframes were problematic. </w:t>
      </w:r>
      <w:r w:rsidR="6BC95162">
        <w:t xml:space="preserve">For example, </w:t>
      </w:r>
      <w:r w:rsidR="48B5BF5F">
        <w:t xml:space="preserve">a delivery support partner </w:t>
      </w:r>
      <w:r w:rsidR="6BC95162">
        <w:t xml:space="preserve">raised that it took a long time after submission of the delivery support proposal to set up the grant agreement, which impacted when and how the work could commence. Furthermore, </w:t>
      </w:r>
      <w:r>
        <w:t xml:space="preserve">MEL issues seemed to differ across </w:t>
      </w:r>
      <w:r w:rsidRPr="7E56B70C">
        <w:rPr>
          <w:rFonts w:ascii="Calibri" w:eastAsia="Calibri" w:hAnsi="Calibri" w:cs="Calibri"/>
        </w:rPr>
        <w:t xml:space="preserve">delivery </w:t>
      </w:r>
      <w:r w:rsidR="00C24930">
        <w:rPr>
          <w:rFonts w:ascii="Calibri" w:eastAsia="Calibri" w:hAnsi="Calibri" w:cs="Calibri"/>
        </w:rPr>
        <w:t xml:space="preserve">support </w:t>
      </w:r>
      <w:r w:rsidRPr="7E56B70C">
        <w:rPr>
          <w:rFonts w:ascii="Calibri" w:eastAsia="Calibri" w:hAnsi="Calibri" w:cs="Calibri"/>
        </w:rPr>
        <w:t>partners</w:t>
      </w:r>
      <w:r>
        <w:t>, with reports of too many MEL processes at the start which became unwieldy in the pandemic context, and other reports of few or no MEL frameworks at the start which became problematic when reporting requirements changed, often in very detailed ways, after 18 months</w:t>
      </w:r>
      <w:r w:rsidR="0CC02AC2">
        <w:t xml:space="preserve"> of implementation</w:t>
      </w:r>
      <w:r>
        <w:t xml:space="preserve">. </w:t>
      </w:r>
    </w:p>
    <w:p w14:paraId="16349588" w14:textId="5F4C4579" w:rsidR="354629E7" w:rsidRPr="006B0C6C" w:rsidRDefault="00D46D99" w:rsidP="5EB2BCB1">
      <w:pPr>
        <w:pStyle w:val="Heading3SHS"/>
        <w:spacing w:before="0" w:after="160" w:line="257" w:lineRule="auto"/>
        <w:jc w:val="both"/>
        <w:rPr>
          <w:rStyle w:val="Heading4SHSChar"/>
          <w:b/>
          <w:bCs w:val="0"/>
          <w:i w:val="0"/>
          <w:iCs/>
        </w:rPr>
      </w:pPr>
      <w:bookmarkStart w:id="31" w:name="_Toc179742129"/>
      <w:bookmarkStart w:id="32" w:name="_Toc179742734"/>
      <w:bookmarkStart w:id="33" w:name="_Toc179743277"/>
      <w:bookmarkStart w:id="34" w:name="_Toc179746167"/>
      <w:bookmarkStart w:id="35" w:name="_Toc200617272"/>
      <w:bookmarkEnd w:id="31"/>
      <w:bookmarkEnd w:id="32"/>
      <w:bookmarkEnd w:id="33"/>
      <w:bookmarkEnd w:id="34"/>
      <w:r>
        <w:rPr>
          <w:rStyle w:val="Heading4SHSChar"/>
          <w:b/>
          <w:bCs w:val="0"/>
          <w:i w:val="0"/>
          <w:iCs/>
        </w:rPr>
        <w:t>Contribution to</w:t>
      </w:r>
      <w:r w:rsidR="18ACBC3E" w:rsidRPr="006B0C6C">
        <w:rPr>
          <w:rStyle w:val="Heading4SHSChar"/>
          <w:b/>
          <w:bCs w:val="0"/>
          <w:i w:val="0"/>
          <w:iCs/>
        </w:rPr>
        <w:t xml:space="preserve"> h</w:t>
      </w:r>
      <w:r w:rsidR="21CB0906" w:rsidRPr="006B0C6C">
        <w:rPr>
          <w:rStyle w:val="Heading4SHSChar"/>
          <w:b/>
          <w:bCs w:val="0"/>
          <w:i w:val="0"/>
          <w:iCs/>
        </w:rPr>
        <w:t>ealth systems strengthening</w:t>
      </w:r>
      <w:bookmarkEnd w:id="35"/>
      <w:r w:rsidR="21CB0906" w:rsidRPr="006B0C6C">
        <w:rPr>
          <w:rStyle w:val="Heading4SHSChar"/>
          <w:b/>
          <w:bCs w:val="0"/>
          <w:i w:val="0"/>
          <w:iCs/>
        </w:rPr>
        <w:t xml:space="preserve"> </w:t>
      </w:r>
    </w:p>
    <w:p w14:paraId="0F859397" w14:textId="24774A0F" w:rsidR="354629E7" w:rsidRPr="006B0C6C" w:rsidRDefault="21CB0906" w:rsidP="4A351EF4">
      <w:pPr>
        <w:spacing w:after="160" w:line="257" w:lineRule="auto"/>
        <w:jc w:val="both"/>
        <w:rPr>
          <w:rFonts w:ascii="Calibri" w:eastAsia="Calibri" w:hAnsi="Calibri" w:cs="Calibri"/>
        </w:rPr>
      </w:pPr>
      <w:r w:rsidRPr="62CC2B41">
        <w:rPr>
          <w:rFonts w:ascii="Calibri" w:eastAsia="Calibri" w:hAnsi="Calibri" w:cs="Calibri"/>
        </w:rPr>
        <w:t>B</w:t>
      </w:r>
      <w:r w:rsidR="3D7B81E5" w:rsidRPr="62CC2B41">
        <w:rPr>
          <w:rFonts w:ascii="Calibri" w:eastAsia="Calibri" w:hAnsi="Calibri" w:cs="Calibri"/>
        </w:rPr>
        <w:t xml:space="preserve">ased on </w:t>
      </w:r>
      <w:r w:rsidR="35520E20" w:rsidRPr="62CC2B41">
        <w:rPr>
          <w:rFonts w:ascii="Calibri" w:eastAsia="Calibri" w:hAnsi="Calibri" w:cs="Calibri"/>
        </w:rPr>
        <w:t xml:space="preserve">evidence from </w:t>
      </w:r>
      <w:r w:rsidR="3D7B81E5" w:rsidRPr="62CC2B41">
        <w:rPr>
          <w:rFonts w:ascii="Calibri" w:eastAsia="Calibri" w:hAnsi="Calibri" w:cs="Calibri"/>
        </w:rPr>
        <w:t xml:space="preserve">KIIs and delivery </w:t>
      </w:r>
      <w:r w:rsidR="00C24930">
        <w:rPr>
          <w:rFonts w:ascii="Calibri" w:eastAsia="Calibri" w:hAnsi="Calibri" w:cs="Calibri"/>
        </w:rPr>
        <w:t xml:space="preserve">support </w:t>
      </w:r>
      <w:r w:rsidR="3D7B81E5" w:rsidRPr="62CC2B41">
        <w:rPr>
          <w:rFonts w:ascii="Calibri" w:eastAsia="Calibri" w:hAnsi="Calibri" w:cs="Calibri"/>
        </w:rPr>
        <w:t>partner reports</w:t>
      </w:r>
      <w:r w:rsidR="5D2D640A" w:rsidRPr="62CC2B41">
        <w:rPr>
          <w:rFonts w:ascii="Calibri" w:eastAsia="Calibri" w:hAnsi="Calibri" w:cs="Calibri"/>
        </w:rPr>
        <w:t xml:space="preserve">, </w:t>
      </w:r>
      <w:r w:rsidR="1CE9214B" w:rsidRPr="62CC2B41">
        <w:rPr>
          <w:rFonts w:ascii="Calibri" w:eastAsia="Calibri" w:hAnsi="Calibri" w:cs="Calibri"/>
        </w:rPr>
        <w:t xml:space="preserve">VAHSI has led to </w:t>
      </w:r>
      <w:r w:rsidR="5D2D640A" w:rsidRPr="62CC2B41">
        <w:rPr>
          <w:rFonts w:ascii="Calibri" w:eastAsia="Calibri" w:hAnsi="Calibri" w:cs="Calibri"/>
        </w:rPr>
        <w:t>sustained improvements in relationships at all levels, and improved platform</w:t>
      </w:r>
      <w:r w:rsidR="3D7B81E5" w:rsidRPr="62CC2B41">
        <w:rPr>
          <w:rFonts w:ascii="Calibri" w:eastAsia="Calibri" w:hAnsi="Calibri" w:cs="Calibri"/>
        </w:rPr>
        <w:t>s</w:t>
      </w:r>
      <w:r w:rsidR="5D2D640A" w:rsidRPr="62CC2B41">
        <w:rPr>
          <w:rFonts w:ascii="Calibri" w:eastAsia="Calibri" w:hAnsi="Calibri" w:cs="Calibri"/>
        </w:rPr>
        <w:t xml:space="preserve"> for future activities within and between countries</w:t>
      </w:r>
      <w:r w:rsidR="3D7B81E5" w:rsidRPr="62CC2B41">
        <w:rPr>
          <w:rFonts w:ascii="Calibri" w:eastAsia="Calibri" w:hAnsi="Calibri" w:cs="Calibri"/>
        </w:rPr>
        <w:t>.</w:t>
      </w:r>
      <w:r w:rsidR="5D2D640A" w:rsidRPr="62CC2B41">
        <w:rPr>
          <w:rFonts w:ascii="Calibri" w:eastAsia="Calibri" w:hAnsi="Calibri" w:cs="Calibri"/>
        </w:rPr>
        <w:t xml:space="preserve">  </w:t>
      </w:r>
      <w:r w:rsidR="2DB39DFD" w:rsidRPr="62CC2B41">
        <w:rPr>
          <w:rFonts w:ascii="Calibri" w:eastAsia="Calibri" w:hAnsi="Calibri" w:cs="Calibri"/>
        </w:rPr>
        <w:t xml:space="preserve">Delivery </w:t>
      </w:r>
      <w:r w:rsidR="00C24930">
        <w:rPr>
          <w:rFonts w:ascii="Calibri" w:eastAsia="Calibri" w:hAnsi="Calibri" w:cs="Calibri"/>
        </w:rPr>
        <w:t xml:space="preserve">support </w:t>
      </w:r>
      <w:r w:rsidR="2DB39DFD" w:rsidRPr="62CC2B41">
        <w:rPr>
          <w:rFonts w:ascii="Calibri" w:eastAsia="Calibri" w:hAnsi="Calibri" w:cs="Calibri"/>
        </w:rPr>
        <w:t xml:space="preserve">partners </w:t>
      </w:r>
      <w:r w:rsidR="51F381C6" w:rsidRPr="62CC2B41">
        <w:rPr>
          <w:rFonts w:ascii="Calibri" w:eastAsia="Calibri" w:hAnsi="Calibri" w:cs="Calibri"/>
        </w:rPr>
        <w:t xml:space="preserve">in the Indo-Pacific </w:t>
      </w:r>
      <w:r w:rsidR="5D2D640A" w:rsidRPr="62CC2B41">
        <w:rPr>
          <w:rFonts w:ascii="Calibri" w:eastAsia="Calibri" w:hAnsi="Calibri" w:cs="Calibri"/>
        </w:rPr>
        <w:t xml:space="preserve">report </w:t>
      </w:r>
      <w:r w:rsidR="002F679C" w:rsidRPr="62CC2B41">
        <w:rPr>
          <w:rFonts w:ascii="Calibri" w:eastAsia="Calibri" w:hAnsi="Calibri" w:cs="Calibri"/>
        </w:rPr>
        <w:t xml:space="preserve">there is </w:t>
      </w:r>
      <w:r w:rsidR="00C331E1" w:rsidRPr="62CC2B41">
        <w:rPr>
          <w:rFonts w:ascii="Calibri" w:eastAsia="Calibri" w:hAnsi="Calibri" w:cs="Calibri"/>
        </w:rPr>
        <w:t xml:space="preserve">now </w:t>
      </w:r>
      <w:r w:rsidR="5D2D640A" w:rsidRPr="62CC2B41">
        <w:rPr>
          <w:rFonts w:ascii="Calibri" w:eastAsia="Calibri" w:hAnsi="Calibri" w:cs="Calibri"/>
        </w:rPr>
        <w:t>more interest</w:t>
      </w:r>
      <w:r w:rsidR="51F381C6" w:rsidRPr="62CC2B41">
        <w:rPr>
          <w:rFonts w:ascii="Calibri" w:eastAsia="Calibri" w:hAnsi="Calibri" w:cs="Calibri"/>
        </w:rPr>
        <w:t xml:space="preserve"> in </w:t>
      </w:r>
      <w:r w:rsidR="5D2D640A" w:rsidRPr="62CC2B41">
        <w:rPr>
          <w:rFonts w:ascii="Calibri" w:eastAsia="Calibri" w:hAnsi="Calibri" w:cs="Calibri"/>
        </w:rPr>
        <w:t xml:space="preserve">catalytic funding </w:t>
      </w:r>
      <w:r w:rsidR="51F381C6" w:rsidRPr="62CC2B41">
        <w:rPr>
          <w:rFonts w:ascii="Calibri" w:eastAsia="Calibri" w:hAnsi="Calibri" w:cs="Calibri"/>
        </w:rPr>
        <w:t xml:space="preserve">for </w:t>
      </w:r>
      <w:r w:rsidR="5D2D640A" w:rsidRPr="62CC2B41">
        <w:rPr>
          <w:rFonts w:ascii="Calibri" w:eastAsia="Calibri" w:hAnsi="Calibri" w:cs="Calibri"/>
        </w:rPr>
        <w:t xml:space="preserve">end-to-end immunisation support activities than previously </w:t>
      </w:r>
      <w:r w:rsidR="00C331E1" w:rsidRPr="62CC2B41">
        <w:rPr>
          <w:rFonts w:ascii="Calibri" w:eastAsia="Calibri" w:hAnsi="Calibri" w:cs="Calibri"/>
        </w:rPr>
        <w:t xml:space="preserve">- </w:t>
      </w:r>
      <w:r w:rsidR="5D2D640A" w:rsidRPr="62CC2B41">
        <w:rPr>
          <w:rFonts w:ascii="Calibri" w:eastAsia="Calibri" w:hAnsi="Calibri" w:cs="Calibri"/>
        </w:rPr>
        <w:t xml:space="preserve">benefiting countries, delivery </w:t>
      </w:r>
      <w:r w:rsidR="00C24930">
        <w:rPr>
          <w:rFonts w:ascii="Calibri" w:eastAsia="Calibri" w:hAnsi="Calibri" w:cs="Calibri"/>
        </w:rPr>
        <w:t xml:space="preserve">support </w:t>
      </w:r>
      <w:r w:rsidR="5D2D640A" w:rsidRPr="62CC2B41">
        <w:rPr>
          <w:rFonts w:ascii="Calibri" w:eastAsia="Calibri" w:hAnsi="Calibri" w:cs="Calibri"/>
        </w:rPr>
        <w:t>partners, academic institutions, and DFAT, with over 20 immunisation projects in the region and more planned. There is more recognition of the value of embedded technical advisors in-</w:t>
      </w:r>
      <w:r w:rsidR="30F58CF3" w:rsidRPr="62CC2B41">
        <w:rPr>
          <w:rFonts w:ascii="Calibri" w:eastAsia="Calibri" w:hAnsi="Calibri" w:cs="Calibri"/>
        </w:rPr>
        <w:t>country,</w:t>
      </w:r>
      <w:r w:rsidR="5D2D640A" w:rsidRPr="62CC2B41">
        <w:rPr>
          <w:rFonts w:ascii="Calibri" w:eastAsia="Calibri" w:hAnsi="Calibri" w:cs="Calibri"/>
        </w:rPr>
        <w:t xml:space="preserve"> and these </w:t>
      </w:r>
      <w:r w:rsidR="663AF753" w:rsidRPr="62CC2B41">
        <w:rPr>
          <w:rFonts w:ascii="Calibri" w:eastAsia="Calibri" w:hAnsi="Calibri" w:cs="Calibri"/>
        </w:rPr>
        <w:t xml:space="preserve">advisors </w:t>
      </w:r>
      <w:r w:rsidR="5D2D640A" w:rsidRPr="62CC2B41">
        <w:rPr>
          <w:rFonts w:ascii="Calibri" w:eastAsia="Calibri" w:hAnsi="Calibri" w:cs="Calibri"/>
        </w:rPr>
        <w:t>are being introduced into new vaccine service delivery projects, which may be funded from other sources such as GAVI</w:t>
      </w:r>
      <w:r w:rsidR="00E52299" w:rsidRPr="62CC2B41">
        <w:rPr>
          <w:rFonts w:ascii="Calibri" w:eastAsia="Calibri" w:hAnsi="Calibri" w:cs="Calibri"/>
        </w:rPr>
        <w:t>, the Vaccine Alliance</w:t>
      </w:r>
      <w:r w:rsidR="5D2D640A" w:rsidRPr="62CC2B41">
        <w:rPr>
          <w:rFonts w:ascii="Calibri" w:eastAsia="Calibri" w:hAnsi="Calibri" w:cs="Calibri"/>
        </w:rPr>
        <w:t>. There has been more direct bilateral support into vaccine-preventable disease emergencies</w:t>
      </w:r>
      <w:r w:rsidR="663AF753" w:rsidRPr="62CC2B41">
        <w:rPr>
          <w:rFonts w:ascii="Calibri" w:eastAsia="Calibri" w:hAnsi="Calibri" w:cs="Calibri"/>
        </w:rPr>
        <w:t>. For example,</w:t>
      </w:r>
      <w:r w:rsidR="5D2D640A" w:rsidRPr="62CC2B41">
        <w:rPr>
          <w:rFonts w:ascii="Calibri" w:eastAsia="Calibri" w:hAnsi="Calibri" w:cs="Calibri"/>
        </w:rPr>
        <w:t xml:space="preserve"> using the VAHSI mechanism more recently to rapidly provide Vietnam with measles vaccine</w:t>
      </w:r>
      <w:r w:rsidR="663AF753" w:rsidRPr="62CC2B41">
        <w:rPr>
          <w:rFonts w:ascii="Calibri" w:eastAsia="Calibri" w:hAnsi="Calibri" w:cs="Calibri"/>
        </w:rPr>
        <w:t>s</w:t>
      </w:r>
      <w:r w:rsidR="5D2D640A" w:rsidRPr="62CC2B41">
        <w:rPr>
          <w:rFonts w:ascii="Calibri" w:eastAsia="Calibri" w:hAnsi="Calibri" w:cs="Calibri"/>
        </w:rPr>
        <w:t xml:space="preserve"> </w:t>
      </w:r>
      <w:r w:rsidR="5AF69E95" w:rsidRPr="62CC2B41">
        <w:rPr>
          <w:rFonts w:ascii="Calibri" w:eastAsia="Calibri" w:hAnsi="Calibri" w:cs="Calibri"/>
        </w:rPr>
        <w:t xml:space="preserve">in a recent outbreak </w:t>
      </w:r>
      <w:r w:rsidR="5D2D640A" w:rsidRPr="62CC2B41">
        <w:rPr>
          <w:rFonts w:ascii="Calibri" w:eastAsia="Calibri" w:hAnsi="Calibri" w:cs="Calibri"/>
        </w:rPr>
        <w:t>to</w:t>
      </w:r>
      <w:r w:rsidR="137FCB27" w:rsidRPr="62CC2B41">
        <w:rPr>
          <w:rFonts w:ascii="Calibri" w:eastAsia="Calibri" w:hAnsi="Calibri" w:cs="Calibri"/>
        </w:rPr>
        <w:t xml:space="preserve"> try to</w:t>
      </w:r>
      <w:r w:rsidR="5D2D640A" w:rsidRPr="62CC2B41">
        <w:rPr>
          <w:rFonts w:ascii="Calibri" w:eastAsia="Calibri" w:hAnsi="Calibri" w:cs="Calibri"/>
        </w:rPr>
        <w:t xml:space="preserve"> prevent major loss of life. This is reported as possible now because of VAHSI. Similarly, Vietnam wants to commence more work with TGA under a regulatory strengthening program.</w:t>
      </w:r>
      <w:r w:rsidR="00D46D99" w:rsidRPr="62CC2B41">
        <w:rPr>
          <w:rFonts w:ascii="Calibri" w:eastAsia="Calibri" w:hAnsi="Calibri" w:cs="Calibri"/>
        </w:rPr>
        <w:t xml:space="preserve"> </w:t>
      </w:r>
      <w:r w:rsidR="5D2D640A" w:rsidRPr="62CC2B41">
        <w:rPr>
          <w:rFonts w:ascii="Calibri" w:eastAsia="Calibri" w:hAnsi="Calibri" w:cs="Calibri"/>
        </w:rPr>
        <w:t>Indonesia’s current high-level aims of genomic sequencing and laboratory preparedness</w:t>
      </w:r>
      <w:r w:rsidR="663AF753" w:rsidRPr="62CC2B41">
        <w:rPr>
          <w:rFonts w:ascii="Calibri" w:eastAsia="Calibri" w:hAnsi="Calibri" w:cs="Calibri"/>
        </w:rPr>
        <w:t>,</w:t>
      </w:r>
      <w:r w:rsidR="5D2D640A" w:rsidRPr="62CC2B41">
        <w:rPr>
          <w:rFonts w:ascii="Calibri" w:eastAsia="Calibri" w:hAnsi="Calibri" w:cs="Calibri"/>
        </w:rPr>
        <w:t xml:space="preserve"> which are now helping with mpox</w:t>
      </w:r>
      <w:r w:rsidR="663AF753" w:rsidRPr="62CC2B41">
        <w:rPr>
          <w:rFonts w:ascii="Calibri" w:eastAsia="Calibri" w:hAnsi="Calibri" w:cs="Calibri"/>
        </w:rPr>
        <w:t>,</w:t>
      </w:r>
      <w:r w:rsidR="5D2D640A" w:rsidRPr="62CC2B41">
        <w:rPr>
          <w:rFonts w:ascii="Calibri" w:eastAsia="Calibri" w:hAnsi="Calibri" w:cs="Calibri"/>
        </w:rPr>
        <w:t xml:space="preserve"> </w:t>
      </w:r>
      <w:r w:rsidR="4B971BD9" w:rsidRPr="62CC2B41">
        <w:rPr>
          <w:rFonts w:ascii="Calibri" w:eastAsia="Calibri" w:hAnsi="Calibri" w:cs="Calibri"/>
        </w:rPr>
        <w:t>emerged from</w:t>
      </w:r>
      <w:r w:rsidR="5D2D640A" w:rsidRPr="62CC2B41">
        <w:rPr>
          <w:rFonts w:ascii="Calibri" w:eastAsia="Calibri" w:hAnsi="Calibri" w:cs="Calibri"/>
        </w:rPr>
        <w:t xml:space="preserve"> COVID-19 support, as did the </w:t>
      </w:r>
      <w:r w:rsidR="4C8760CA" w:rsidRPr="62CC2B41">
        <w:rPr>
          <w:rFonts w:ascii="Calibri" w:eastAsia="Calibri" w:hAnsi="Calibri" w:cs="Calibri"/>
        </w:rPr>
        <w:t xml:space="preserve">VIRAT/VRAF2.0 vaccine </w:t>
      </w:r>
      <w:r w:rsidR="5D2D640A" w:rsidRPr="62CC2B41">
        <w:rPr>
          <w:rFonts w:ascii="Calibri" w:eastAsia="Calibri" w:hAnsi="Calibri" w:cs="Calibri"/>
        </w:rPr>
        <w:t>readiness assessment tool and microplanning approach</w:t>
      </w:r>
      <w:r w:rsidR="72878361" w:rsidRPr="62CC2B41">
        <w:rPr>
          <w:rFonts w:ascii="Calibri" w:eastAsia="Calibri" w:hAnsi="Calibri" w:cs="Calibri"/>
        </w:rPr>
        <w:t xml:space="preserve"> </w:t>
      </w:r>
      <w:r w:rsidR="062BE65A" w:rsidRPr="62CC2B41">
        <w:rPr>
          <w:rFonts w:ascii="Calibri" w:eastAsia="Calibri" w:hAnsi="Calibri" w:cs="Calibri"/>
        </w:rPr>
        <w:t>developed under VAHSI</w:t>
      </w:r>
      <w:r w:rsidR="5D2D640A" w:rsidRPr="62CC2B41">
        <w:rPr>
          <w:rFonts w:ascii="Calibri" w:eastAsia="Calibri" w:hAnsi="Calibri" w:cs="Calibri"/>
        </w:rPr>
        <w:t xml:space="preserve">. This </w:t>
      </w:r>
      <w:r w:rsidR="4B971BD9" w:rsidRPr="62CC2B41">
        <w:rPr>
          <w:rFonts w:ascii="Calibri" w:eastAsia="Calibri" w:hAnsi="Calibri" w:cs="Calibri"/>
        </w:rPr>
        <w:t xml:space="preserve">has been a significant support to </w:t>
      </w:r>
      <w:r w:rsidR="5D2D640A" w:rsidRPr="62CC2B41">
        <w:rPr>
          <w:rFonts w:ascii="Calibri" w:eastAsia="Calibri" w:hAnsi="Calibri" w:cs="Calibri"/>
        </w:rPr>
        <w:t xml:space="preserve">the Government of Indonesia </w:t>
      </w:r>
      <w:r w:rsidR="4B971BD9" w:rsidRPr="62CC2B41">
        <w:rPr>
          <w:rFonts w:ascii="Calibri" w:eastAsia="Calibri" w:hAnsi="Calibri" w:cs="Calibri"/>
        </w:rPr>
        <w:t xml:space="preserve">which </w:t>
      </w:r>
      <w:r w:rsidR="5D2D640A" w:rsidRPr="62CC2B41">
        <w:rPr>
          <w:rFonts w:ascii="Calibri" w:eastAsia="Calibri" w:hAnsi="Calibri" w:cs="Calibri"/>
        </w:rPr>
        <w:t xml:space="preserve">is currently introducing five new vaccinations at once. Lastly, the new </w:t>
      </w:r>
      <w:r w:rsidR="4B971BD9" w:rsidRPr="62CC2B41">
        <w:rPr>
          <w:rFonts w:ascii="Calibri" w:eastAsia="Calibri" w:hAnsi="Calibri" w:cs="Calibri"/>
        </w:rPr>
        <w:t xml:space="preserve">Indonesia Australia Bilateral Health </w:t>
      </w:r>
      <w:r w:rsidR="5D2D640A" w:rsidRPr="62CC2B41">
        <w:rPr>
          <w:rFonts w:ascii="Calibri" w:eastAsia="Calibri" w:hAnsi="Calibri" w:cs="Calibri"/>
        </w:rPr>
        <w:t xml:space="preserve">design </w:t>
      </w:r>
      <w:r w:rsidR="4B971BD9" w:rsidRPr="62CC2B41">
        <w:rPr>
          <w:rFonts w:ascii="Calibri" w:eastAsia="Calibri" w:hAnsi="Calibri" w:cs="Calibri"/>
        </w:rPr>
        <w:t>(</w:t>
      </w:r>
      <w:r w:rsidR="5D2D640A" w:rsidRPr="62CC2B41">
        <w:rPr>
          <w:rFonts w:ascii="Calibri" w:eastAsia="Calibri" w:hAnsi="Calibri" w:cs="Calibri"/>
        </w:rPr>
        <w:t>2025-2029</w:t>
      </w:r>
      <w:r w:rsidR="4B971BD9" w:rsidRPr="62CC2B41">
        <w:rPr>
          <w:rFonts w:ascii="Calibri" w:eastAsia="Calibri" w:hAnsi="Calibri" w:cs="Calibri"/>
        </w:rPr>
        <w:t xml:space="preserve">) will be a shift from the previous health investment to include a stronger focus on partnerships between Indonesian and Australian institutions. </w:t>
      </w:r>
    </w:p>
    <w:p w14:paraId="71C0C1EF" w14:textId="23E1EB3B" w:rsidR="40A3A51D" w:rsidRPr="00D46D99" w:rsidRDefault="40D61BFC" w:rsidP="00D46D99">
      <w:pPr>
        <w:pStyle w:val="Heading2SHS"/>
        <w:ind w:left="142"/>
        <w:rPr>
          <w:rFonts w:ascii="Calibri" w:eastAsia="Calibri" w:hAnsi="Calibri" w:cs="Calibri"/>
        </w:rPr>
      </w:pPr>
      <w:bookmarkStart w:id="36" w:name="_Toc179742133"/>
      <w:bookmarkStart w:id="37" w:name="_Toc179742738"/>
      <w:bookmarkStart w:id="38" w:name="_Toc179743281"/>
      <w:bookmarkStart w:id="39" w:name="_Toc179746171"/>
      <w:bookmarkStart w:id="40" w:name="_Toc179742134"/>
      <w:bookmarkStart w:id="41" w:name="_Toc179742739"/>
      <w:bookmarkStart w:id="42" w:name="_Toc179743282"/>
      <w:bookmarkStart w:id="43" w:name="_Toc179746172"/>
      <w:bookmarkStart w:id="44" w:name="_Toc179742135"/>
      <w:bookmarkStart w:id="45" w:name="_Toc179742740"/>
      <w:bookmarkStart w:id="46" w:name="_Toc179743283"/>
      <w:bookmarkStart w:id="47" w:name="_Toc179746173"/>
      <w:bookmarkStart w:id="48" w:name="_Toc179742136"/>
      <w:bookmarkStart w:id="49" w:name="_Toc179742741"/>
      <w:bookmarkStart w:id="50" w:name="_Toc179743284"/>
      <w:bookmarkStart w:id="51" w:name="_Toc179746174"/>
      <w:bookmarkStart w:id="52" w:name="_Toc179742137"/>
      <w:bookmarkStart w:id="53" w:name="_Toc179742742"/>
      <w:bookmarkStart w:id="54" w:name="_Toc179743285"/>
      <w:bookmarkStart w:id="55" w:name="_Toc179746175"/>
      <w:bookmarkStart w:id="56" w:name="_Toc179742138"/>
      <w:bookmarkStart w:id="57" w:name="_Toc179742743"/>
      <w:bookmarkStart w:id="58" w:name="_Toc179743286"/>
      <w:bookmarkStart w:id="59" w:name="_Toc179746176"/>
      <w:bookmarkStart w:id="60" w:name="_Toc179742139"/>
      <w:bookmarkStart w:id="61" w:name="_Toc179742744"/>
      <w:bookmarkStart w:id="62" w:name="_Toc179743287"/>
      <w:bookmarkStart w:id="63" w:name="_Toc179746177"/>
      <w:bookmarkStart w:id="64" w:name="_Toc179742140"/>
      <w:bookmarkStart w:id="65" w:name="_Toc179742745"/>
      <w:bookmarkStart w:id="66" w:name="_Toc179743288"/>
      <w:bookmarkStart w:id="67" w:name="_Toc17974617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6B0C6C">
        <w:rPr>
          <w:rFonts w:ascii="Calibri" w:eastAsia="Calibri" w:hAnsi="Calibri" w:cs="Calibri"/>
        </w:rPr>
        <w:t xml:space="preserve"> </w:t>
      </w:r>
      <w:bookmarkStart w:id="68" w:name="_Toc179742143"/>
      <w:bookmarkStart w:id="69" w:name="_Toc179742748"/>
      <w:bookmarkStart w:id="70" w:name="_Toc179743291"/>
      <w:bookmarkStart w:id="71" w:name="_Toc179746181"/>
      <w:bookmarkStart w:id="72" w:name="_Toc179742144"/>
      <w:bookmarkStart w:id="73" w:name="_Toc179742749"/>
      <w:bookmarkStart w:id="74" w:name="_Toc179743292"/>
      <w:bookmarkStart w:id="75" w:name="_Toc179746182"/>
      <w:bookmarkStart w:id="76" w:name="_Toc179742145"/>
      <w:bookmarkStart w:id="77" w:name="_Toc179742750"/>
      <w:bookmarkStart w:id="78" w:name="_Toc179743293"/>
      <w:bookmarkStart w:id="79" w:name="_Toc179746183"/>
      <w:bookmarkStart w:id="80" w:name="_Toc179742146"/>
      <w:bookmarkStart w:id="81" w:name="_Toc179742751"/>
      <w:bookmarkStart w:id="82" w:name="_Toc179743294"/>
      <w:bookmarkStart w:id="83" w:name="_Toc179746184"/>
      <w:bookmarkStart w:id="84" w:name="_Toc179742147"/>
      <w:bookmarkStart w:id="85" w:name="_Toc179742752"/>
      <w:bookmarkStart w:id="86" w:name="_Toc179743295"/>
      <w:bookmarkStart w:id="87" w:name="_Toc179746185"/>
      <w:bookmarkStart w:id="88" w:name="_Toc179742149"/>
      <w:bookmarkStart w:id="89" w:name="_Toc179742754"/>
      <w:bookmarkStart w:id="90" w:name="_Toc179743297"/>
      <w:bookmarkStart w:id="91" w:name="_Toc179746187"/>
      <w:bookmarkStart w:id="92" w:name="_Toc179742152"/>
      <w:bookmarkStart w:id="93" w:name="_Toc179742757"/>
      <w:bookmarkStart w:id="94" w:name="_Toc179743300"/>
      <w:bookmarkStart w:id="95" w:name="_Toc179746190"/>
      <w:bookmarkStart w:id="96" w:name="_Toc179742153"/>
      <w:bookmarkStart w:id="97" w:name="_Toc179742758"/>
      <w:bookmarkStart w:id="98" w:name="_Toc179743301"/>
      <w:bookmarkStart w:id="99" w:name="_Toc179746191"/>
      <w:bookmarkStart w:id="100" w:name="_Toc179742154"/>
      <w:bookmarkStart w:id="101" w:name="_Toc179742759"/>
      <w:bookmarkStart w:id="102" w:name="_Toc179743302"/>
      <w:bookmarkStart w:id="103" w:name="_Toc179746192"/>
      <w:bookmarkStart w:id="104" w:name="_Toc179742157"/>
      <w:bookmarkStart w:id="105" w:name="_Toc179742762"/>
      <w:bookmarkStart w:id="106" w:name="_Toc179743305"/>
      <w:bookmarkStart w:id="107" w:name="_Toc179746195"/>
      <w:bookmarkStart w:id="108" w:name="_Toc20061727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024DBA28" w:rsidRPr="00D46D99">
        <w:rPr>
          <w:rFonts w:ascii="Calibri" w:eastAsia="Calibri" w:hAnsi="Calibri" w:cs="Calibri"/>
        </w:rPr>
        <w:t>Key lessons learn</w:t>
      </w:r>
      <w:r w:rsidR="00D46D99" w:rsidRPr="00D46D99">
        <w:rPr>
          <w:rFonts w:ascii="Calibri" w:eastAsia="Calibri" w:hAnsi="Calibri" w:cs="Calibri"/>
        </w:rPr>
        <w:t>ed</w:t>
      </w:r>
      <w:bookmarkEnd w:id="108"/>
      <w:r w:rsidR="024DBA28" w:rsidRPr="00D46D99">
        <w:rPr>
          <w:rFonts w:ascii="Calibri" w:eastAsia="Calibri" w:hAnsi="Calibri" w:cs="Calibri"/>
        </w:rPr>
        <w:t xml:space="preserve"> </w:t>
      </w:r>
    </w:p>
    <w:p w14:paraId="6C66127E" w14:textId="10A9A4C8" w:rsidR="4E6F9070" w:rsidRPr="006B0C6C" w:rsidRDefault="4E6F9070" w:rsidP="5EB2BCB1">
      <w:pPr>
        <w:spacing w:after="160" w:line="257" w:lineRule="auto"/>
        <w:jc w:val="both"/>
        <w:rPr>
          <w:rFonts w:ascii="Calibri" w:eastAsia="Calibri" w:hAnsi="Calibri" w:cs="Calibri"/>
        </w:rPr>
      </w:pPr>
      <w:bookmarkStart w:id="109" w:name="_Hlk179614977"/>
      <w:r w:rsidRPr="006B0C6C">
        <w:rPr>
          <w:rFonts w:ascii="Calibri" w:eastAsia="Calibri" w:hAnsi="Calibri" w:cs="Calibri"/>
        </w:rPr>
        <w:t xml:space="preserve">Delivery </w:t>
      </w:r>
      <w:r w:rsidR="00C24930">
        <w:rPr>
          <w:rFonts w:ascii="Calibri" w:eastAsia="Calibri" w:hAnsi="Calibri" w:cs="Calibri"/>
        </w:rPr>
        <w:t xml:space="preserve">support </w:t>
      </w:r>
      <w:r w:rsidRPr="006B0C6C">
        <w:rPr>
          <w:rFonts w:ascii="Calibri" w:eastAsia="Calibri" w:hAnsi="Calibri" w:cs="Calibri"/>
        </w:rPr>
        <w:t xml:space="preserve">partners and </w:t>
      </w:r>
      <w:r w:rsidR="0064562A">
        <w:rPr>
          <w:rFonts w:ascii="Calibri" w:eastAsia="Calibri" w:hAnsi="Calibri" w:cs="Calibri"/>
        </w:rPr>
        <w:t>M</w:t>
      </w:r>
      <w:r w:rsidRPr="006B0C6C">
        <w:rPr>
          <w:rFonts w:ascii="Calibri" w:eastAsia="Calibri" w:hAnsi="Calibri" w:cs="Calibri"/>
        </w:rPr>
        <w:t xml:space="preserve">inistries of </w:t>
      </w:r>
      <w:r w:rsidR="0064562A">
        <w:rPr>
          <w:rFonts w:ascii="Calibri" w:eastAsia="Calibri" w:hAnsi="Calibri" w:cs="Calibri"/>
        </w:rPr>
        <w:t>H</w:t>
      </w:r>
      <w:r w:rsidRPr="006B0C6C">
        <w:rPr>
          <w:rFonts w:ascii="Calibri" w:eastAsia="Calibri" w:hAnsi="Calibri" w:cs="Calibri"/>
        </w:rPr>
        <w:t xml:space="preserve">ealth </w:t>
      </w:r>
      <w:r w:rsidR="17020983" w:rsidRPr="006B0C6C">
        <w:rPr>
          <w:rFonts w:ascii="Calibri" w:eastAsia="Calibri" w:hAnsi="Calibri" w:cs="Calibri"/>
        </w:rPr>
        <w:t>reported a range of key lessons underpinning VAHSI’s effectiveness</w:t>
      </w:r>
      <w:r w:rsidR="00D46D99">
        <w:rPr>
          <w:rFonts w:ascii="Calibri" w:eastAsia="Calibri" w:hAnsi="Calibri" w:cs="Calibri"/>
        </w:rPr>
        <w:t xml:space="preserve"> including</w:t>
      </w:r>
      <w:r w:rsidR="17020983" w:rsidRPr="006B0C6C">
        <w:rPr>
          <w:rFonts w:ascii="Calibri" w:eastAsia="Calibri" w:hAnsi="Calibri" w:cs="Calibri"/>
        </w:rPr>
        <w:t>:</w:t>
      </w:r>
    </w:p>
    <w:bookmarkEnd w:id="109"/>
    <w:p w14:paraId="25FA7317" w14:textId="2A40694B" w:rsidR="17020983" w:rsidRPr="006B0C6C" w:rsidRDefault="17020983" w:rsidP="00982383">
      <w:pPr>
        <w:pStyle w:val="bullet"/>
      </w:pPr>
      <w:r>
        <w:t xml:space="preserve">Pre-existing relationships </w:t>
      </w:r>
      <w:r w:rsidR="007D1204">
        <w:t xml:space="preserve">were vital to </w:t>
      </w:r>
      <w:r w:rsidR="1BFA3E65">
        <w:t xml:space="preserve">the </w:t>
      </w:r>
      <w:r w:rsidR="007D1204">
        <w:t>achievement of delivery support in an effective</w:t>
      </w:r>
      <w:r w:rsidR="00CE33C5">
        <w:t xml:space="preserve"> and timely manner</w:t>
      </w:r>
      <w:r w:rsidR="00D9063F">
        <w:t>.</w:t>
      </w:r>
    </w:p>
    <w:p w14:paraId="44354512" w14:textId="1184B785" w:rsidR="17020983" w:rsidRPr="00123E2D" w:rsidRDefault="17020983" w:rsidP="00982383">
      <w:pPr>
        <w:pStyle w:val="bullet"/>
        <w:rPr>
          <w:lang w:val="en-AU"/>
        </w:rPr>
      </w:pPr>
      <w:r w:rsidRPr="00123E2D">
        <w:rPr>
          <w:lang w:val="en-AU"/>
        </w:rPr>
        <w:t xml:space="preserve">DFAT's </w:t>
      </w:r>
      <w:r w:rsidR="00D46D99">
        <w:rPr>
          <w:lang w:val="en-AU"/>
        </w:rPr>
        <w:t xml:space="preserve">approach to </w:t>
      </w:r>
      <w:r w:rsidRPr="00123E2D">
        <w:rPr>
          <w:lang w:val="en-AU"/>
        </w:rPr>
        <w:t xml:space="preserve">support effectively enabled </w:t>
      </w:r>
      <w:r w:rsidR="00D46D99">
        <w:rPr>
          <w:lang w:val="en-AU"/>
        </w:rPr>
        <w:t xml:space="preserve">delivery </w:t>
      </w:r>
      <w:r w:rsidR="00C24930">
        <w:rPr>
          <w:lang w:val="en-AU"/>
        </w:rPr>
        <w:t xml:space="preserve">support </w:t>
      </w:r>
      <w:r w:rsidR="00D46D99">
        <w:rPr>
          <w:lang w:val="en-AU"/>
        </w:rPr>
        <w:t>partners</w:t>
      </w:r>
      <w:r w:rsidR="00D46D99" w:rsidRPr="00123E2D">
        <w:rPr>
          <w:lang w:val="en-AU"/>
        </w:rPr>
        <w:t xml:space="preserve"> </w:t>
      </w:r>
      <w:r w:rsidRPr="00123E2D">
        <w:rPr>
          <w:lang w:val="en-AU"/>
        </w:rPr>
        <w:t xml:space="preserve">to tailor proposals to </w:t>
      </w:r>
      <w:r w:rsidR="00D46D99">
        <w:rPr>
          <w:lang w:val="en-AU"/>
        </w:rPr>
        <w:t>the priority needs of countries</w:t>
      </w:r>
      <w:r w:rsidR="0040664C">
        <w:rPr>
          <w:lang w:val="en-AU"/>
        </w:rPr>
        <w:t>.</w:t>
      </w:r>
      <w:r w:rsidRPr="00123E2D">
        <w:rPr>
          <w:lang w:val="en-AU"/>
        </w:rPr>
        <w:t xml:space="preserve"> </w:t>
      </w:r>
    </w:p>
    <w:p w14:paraId="1052FA0E" w14:textId="5152CA26" w:rsidR="17020983" w:rsidRPr="006B0C6C" w:rsidRDefault="17020983" w:rsidP="00982383">
      <w:pPr>
        <w:pStyle w:val="bullet"/>
      </w:pPr>
      <w:r w:rsidRPr="006B0C6C">
        <w:t xml:space="preserve">Linking vaccine donations with provision of technical advice was </w:t>
      </w:r>
      <w:r w:rsidR="00D46D99">
        <w:t xml:space="preserve">a </w:t>
      </w:r>
      <w:r w:rsidRPr="006B0C6C">
        <w:t>highly effective</w:t>
      </w:r>
      <w:r w:rsidR="00D46D99">
        <w:t xml:space="preserve"> approach</w:t>
      </w:r>
    </w:p>
    <w:p w14:paraId="1F5B1A60" w14:textId="04D3ABA8" w:rsidR="17020983" w:rsidRPr="006B0C6C" w:rsidRDefault="17020983" w:rsidP="00982383">
      <w:pPr>
        <w:pStyle w:val="bullet"/>
      </w:pPr>
      <w:r w:rsidRPr="006B0C6C">
        <w:t xml:space="preserve">Emergency funding for some </w:t>
      </w:r>
      <w:r w:rsidRPr="009B7B0A">
        <w:t>delivery</w:t>
      </w:r>
      <w:r w:rsidR="00C24930">
        <w:t xml:space="preserve"> support</w:t>
      </w:r>
      <w:r w:rsidRPr="009B7B0A">
        <w:t xml:space="preserve"> partners </w:t>
      </w:r>
      <w:r w:rsidRPr="006B0C6C">
        <w:t xml:space="preserve">allowed flexibility to respond </w:t>
      </w:r>
      <w:r w:rsidR="00D9063F">
        <w:t xml:space="preserve">to </w:t>
      </w:r>
      <w:r w:rsidR="00D2765F">
        <w:t xml:space="preserve">the </w:t>
      </w:r>
      <w:r w:rsidR="00D9063F">
        <w:t xml:space="preserve">changing </w:t>
      </w:r>
      <w:r w:rsidR="00D2765F">
        <w:t>pandemic circumstances and was highly regarded by those delivery</w:t>
      </w:r>
      <w:r w:rsidR="006874E4">
        <w:t xml:space="preserve"> support</w:t>
      </w:r>
      <w:r w:rsidR="00D2765F">
        <w:t xml:space="preserve"> partners</w:t>
      </w:r>
      <w:r w:rsidR="0040664C">
        <w:t>.</w:t>
      </w:r>
    </w:p>
    <w:p w14:paraId="056D578B" w14:textId="32F76884" w:rsidR="17020983" w:rsidRPr="00F00F69" w:rsidRDefault="00580E91" w:rsidP="00982383">
      <w:pPr>
        <w:pStyle w:val="bullet"/>
      </w:pPr>
      <w:r>
        <w:t>E</w:t>
      </w:r>
      <w:r w:rsidR="17020983" w:rsidRPr="006B0C6C">
        <w:t xml:space="preserve">xtensive consultation within countries, with DFAT, and among </w:t>
      </w:r>
      <w:r w:rsidR="17020983" w:rsidRPr="009B7B0A">
        <w:t xml:space="preserve">delivery </w:t>
      </w:r>
      <w:r w:rsidR="00C24930">
        <w:t xml:space="preserve">support </w:t>
      </w:r>
      <w:r w:rsidR="17020983" w:rsidRPr="009B7B0A">
        <w:t>partners</w:t>
      </w:r>
      <w:r w:rsidR="00BB2A2E">
        <w:t xml:space="preserve"> reduced barriers and was considered highly effective in the pandemic context.</w:t>
      </w:r>
    </w:p>
    <w:p w14:paraId="6F356ADF" w14:textId="543E8DC7" w:rsidR="17020983" w:rsidRPr="00231D76" w:rsidRDefault="17020983" w:rsidP="00D46D99">
      <w:pPr>
        <w:pStyle w:val="Heading2SHS"/>
        <w:ind w:left="142"/>
        <w:rPr>
          <w:rFonts w:ascii="Calibri" w:eastAsia="Calibri" w:hAnsi="Calibri" w:cs="Calibri"/>
        </w:rPr>
      </w:pPr>
      <w:bookmarkStart w:id="110" w:name="_Toc200617274"/>
      <w:r w:rsidRPr="0028155C">
        <w:rPr>
          <w:rFonts w:ascii="Calibri" w:eastAsia="Calibri" w:hAnsi="Calibri" w:cs="Calibri"/>
        </w:rPr>
        <w:t>Recommendations</w:t>
      </w:r>
      <w:bookmarkEnd w:id="110"/>
    </w:p>
    <w:p w14:paraId="3F6C411C" w14:textId="0F8501B5" w:rsidR="00612E54" w:rsidRDefault="00612E54" w:rsidP="00C30814">
      <w:pPr>
        <w:pStyle w:val="ListParagraph"/>
        <w:numPr>
          <w:ilvl w:val="0"/>
          <w:numId w:val="21"/>
        </w:numPr>
        <w:jc w:val="both"/>
      </w:pPr>
      <w:bookmarkStart w:id="111" w:name="_Hlk179823450"/>
      <w:r w:rsidRPr="006B0C6C">
        <w:t xml:space="preserve">DFAT should implement a modality </w:t>
      </w:r>
      <w:proofErr w:type="gramStart"/>
      <w:r w:rsidRPr="006B0C6C">
        <w:t>similar to</w:t>
      </w:r>
      <w:proofErr w:type="gramEnd"/>
      <w:r w:rsidRPr="006B0C6C">
        <w:t xml:space="preserve"> VAHSI in future emergency situations for provision of vaccines (and potentially other emergency supplies), with emphasis on early bilateral support, as well as maintaining multilateral support.</w:t>
      </w:r>
    </w:p>
    <w:p w14:paraId="370AA3FE" w14:textId="641269B4" w:rsidR="00612E54" w:rsidRPr="006B0C6C" w:rsidRDefault="008E6AD3" w:rsidP="00C30814">
      <w:pPr>
        <w:pStyle w:val="ListParagraph"/>
        <w:numPr>
          <w:ilvl w:val="0"/>
          <w:numId w:val="21"/>
        </w:numPr>
        <w:jc w:val="both"/>
      </w:pPr>
      <w:r>
        <w:t xml:space="preserve">DFAT should </w:t>
      </w:r>
      <w:r w:rsidR="00955051">
        <w:t>facilitate</w:t>
      </w:r>
      <w:r w:rsidR="00E60B6D">
        <w:t xml:space="preserve"> </w:t>
      </w:r>
      <w:r>
        <w:t xml:space="preserve">rapid </w:t>
      </w:r>
      <w:r w:rsidRPr="0051662E">
        <w:t xml:space="preserve">funding approval processes </w:t>
      </w:r>
      <w:r>
        <w:t>for delivery support proposals</w:t>
      </w:r>
      <w:r w:rsidRPr="0051662E">
        <w:t xml:space="preserve"> during an emergency context.</w:t>
      </w:r>
    </w:p>
    <w:p w14:paraId="2E42126E" w14:textId="386E833D" w:rsidR="00612E54" w:rsidRPr="006B0C6C" w:rsidRDefault="00612E54" w:rsidP="00C30814">
      <w:pPr>
        <w:pStyle w:val="ListParagraph"/>
        <w:numPr>
          <w:ilvl w:val="0"/>
          <w:numId w:val="21"/>
        </w:numPr>
        <w:jc w:val="both"/>
      </w:pPr>
      <w:r w:rsidRPr="006B0C6C">
        <w:t xml:space="preserve">During interpandemic periods, DFAT should continue to </w:t>
      </w:r>
      <w:proofErr w:type="spellStart"/>
      <w:r w:rsidRPr="006B0C6C">
        <w:t>prioritise</w:t>
      </w:r>
      <w:proofErr w:type="spellEnd"/>
      <w:r w:rsidRPr="006B0C6C">
        <w:t xml:space="preserve"> investment in </w:t>
      </w:r>
      <w:proofErr w:type="spellStart"/>
      <w:r w:rsidRPr="006B0C6C">
        <w:t>immunisation</w:t>
      </w:r>
      <w:proofErr w:type="spellEnd"/>
      <w:r w:rsidRPr="006B0C6C">
        <w:t xml:space="preserve"> support that will build capacities and strengthen bilateral relationships with country partners, as well as in-country and multi-country agencies. </w:t>
      </w:r>
    </w:p>
    <w:p w14:paraId="37C9C08E" w14:textId="054111D7" w:rsidR="00612E54" w:rsidRPr="006B0C6C" w:rsidRDefault="00612E54" w:rsidP="00C30814">
      <w:pPr>
        <w:pStyle w:val="ListParagraph"/>
        <w:numPr>
          <w:ilvl w:val="0"/>
          <w:numId w:val="21"/>
        </w:numPr>
        <w:jc w:val="both"/>
      </w:pPr>
      <w:r w:rsidRPr="006B0C6C">
        <w:t>DFAT should continue to advocate with partner governments for health systems strengthening that builds upon the VAHSI investment and positions countries for more resilience and preparedness for future emergencies.</w:t>
      </w:r>
    </w:p>
    <w:p w14:paraId="4CD7DB20" w14:textId="38250595" w:rsidR="00F83E7C" w:rsidRDefault="00612E54" w:rsidP="00C30814">
      <w:pPr>
        <w:pStyle w:val="ListParagraph"/>
        <w:numPr>
          <w:ilvl w:val="0"/>
          <w:numId w:val="21"/>
        </w:numPr>
        <w:jc w:val="both"/>
      </w:pPr>
      <w:r w:rsidRPr="006B0C6C">
        <w:t xml:space="preserve">Prior to the end of VAHSI, DFAT should facilitate a knowledge sharing event among VAHSI delivery </w:t>
      </w:r>
      <w:r w:rsidR="00C24930">
        <w:t xml:space="preserve">support </w:t>
      </w:r>
      <w:r w:rsidRPr="006B0C6C">
        <w:t>partners to share the most salient partner learnings from implementation of the VAHSI initiative in the Indo-Pacific region.</w:t>
      </w:r>
    </w:p>
    <w:p w14:paraId="6C053757" w14:textId="61C05FDA" w:rsidR="001F7ED7" w:rsidRPr="006B0C6C" w:rsidRDefault="4E13B2AE" w:rsidP="214FDC17">
      <w:pPr>
        <w:pStyle w:val="Heading1SHS"/>
      </w:pPr>
      <w:bookmarkStart w:id="112" w:name="_Toc200617275"/>
      <w:bookmarkEnd w:id="111"/>
      <w:r w:rsidRPr="006B0C6C">
        <w:t>EQ2</w:t>
      </w:r>
      <w:r w:rsidR="42FD547F" w:rsidRPr="006B0C6C">
        <w:t xml:space="preserve"> – Effectiveness EOPO3</w:t>
      </w:r>
      <w:bookmarkEnd w:id="112"/>
    </w:p>
    <w:p w14:paraId="4EB1233B" w14:textId="5A972CB8" w:rsidR="00731A37" w:rsidRPr="006B0C6C" w:rsidRDefault="42FD547F" w:rsidP="00987907">
      <w:pPr>
        <w:spacing w:after="160" w:line="257" w:lineRule="auto"/>
        <w:jc w:val="both"/>
        <w:rPr>
          <w:rFonts w:ascii="Calibri" w:eastAsia="Calibri" w:hAnsi="Calibri" w:cs="Calibri"/>
        </w:rPr>
      </w:pPr>
      <w:r w:rsidRPr="006B0C6C">
        <w:rPr>
          <w:rFonts w:ascii="Calibri" w:eastAsia="Calibri" w:hAnsi="Calibri" w:cs="Calibri"/>
        </w:rPr>
        <w:t xml:space="preserve">This </w:t>
      </w:r>
      <w:r w:rsidR="00AA1143" w:rsidRPr="006B0C6C">
        <w:rPr>
          <w:rFonts w:ascii="Calibri" w:eastAsia="Calibri" w:hAnsi="Calibri" w:cs="Calibri"/>
        </w:rPr>
        <w:t>section</w:t>
      </w:r>
      <w:r w:rsidRPr="006B0C6C">
        <w:rPr>
          <w:rFonts w:ascii="Calibri" w:eastAsia="Calibri" w:hAnsi="Calibri" w:cs="Calibri"/>
        </w:rPr>
        <w:t xml:space="preserve"> provides the</w:t>
      </w:r>
      <w:r w:rsidR="00731A37" w:rsidRPr="006B0C6C">
        <w:rPr>
          <w:rFonts w:ascii="Calibri" w:eastAsia="Calibri" w:hAnsi="Calibri" w:cs="Calibri"/>
        </w:rPr>
        <w:t xml:space="preserve"> findings from the evaluation on</w:t>
      </w:r>
      <w:r w:rsidRPr="006B0C6C">
        <w:rPr>
          <w:rFonts w:ascii="Calibri" w:eastAsia="Calibri" w:hAnsi="Calibri" w:cs="Calibri"/>
        </w:rPr>
        <w:t xml:space="preserve"> </w:t>
      </w:r>
      <w:r w:rsidR="540485AC" w:rsidRPr="006B0C6C">
        <w:rPr>
          <w:rFonts w:ascii="Calibri" w:eastAsia="Calibri" w:hAnsi="Calibri" w:cs="Calibri"/>
        </w:rPr>
        <w:t>the second Evaluation Question</w:t>
      </w:r>
      <w:r w:rsidR="51EEF1B2" w:rsidRPr="006B0C6C">
        <w:rPr>
          <w:rFonts w:ascii="Calibri" w:eastAsia="Calibri" w:hAnsi="Calibri" w:cs="Calibri"/>
        </w:rPr>
        <w:t xml:space="preserve"> (EQ2)</w:t>
      </w:r>
      <w:r w:rsidR="540485AC" w:rsidRPr="006B0C6C">
        <w:rPr>
          <w:rFonts w:ascii="Calibri" w:eastAsia="Calibri" w:hAnsi="Calibri" w:cs="Calibri"/>
        </w:rPr>
        <w:t>:</w:t>
      </w:r>
      <w:r w:rsidR="00731A37" w:rsidRPr="006B0C6C">
        <w:rPr>
          <w:rFonts w:ascii="Calibri" w:eastAsia="Calibri" w:hAnsi="Calibri" w:cs="Calibri"/>
        </w:rPr>
        <w:t xml:space="preserve"> </w:t>
      </w:r>
      <w:r w:rsidR="540485AC" w:rsidRPr="006B0C6C">
        <w:rPr>
          <w:rFonts w:ascii="Calibri" w:eastAsia="Calibri" w:hAnsi="Calibri" w:cs="Calibri"/>
        </w:rPr>
        <w:t>“H</w:t>
      </w:r>
      <w:r w:rsidRPr="006B0C6C">
        <w:rPr>
          <w:rFonts w:ascii="Calibri" w:eastAsia="Calibri" w:hAnsi="Calibri" w:cs="Calibri"/>
        </w:rPr>
        <w:t xml:space="preserve">ow </w:t>
      </w:r>
      <w:r w:rsidR="3389E1B8" w:rsidRPr="006B0C6C">
        <w:rPr>
          <w:rFonts w:ascii="Calibri" w:eastAsia="Calibri" w:hAnsi="Calibri" w:cs="Calibri"/>
        </w:rPr>
        <w:t>did Australia’s support</w:t>
      </w:r>
      <w:r w:rsidRPr="006B0C6C">
        <w:rPr>
          <w:rFonts w:ascii="Calibri" w:eastAsia="Calibri" w:hAnsi="Calibri" w:cs="Calibri"/>
        </w:rPr>
        <w:t xml:space="preserve"> contribute to stronger relationships between Australia and partner governments</w:t>
      </w:r>
      <w:r w:rsidR="3051E58B" w:rsidRPr="006B0C6C">
        <w:rPr>
          <w:rFonts w:ascii="Calibri" w:eastAsia="Calibri" w:hAnsi="Calibri" w:cs="Calibri"/>
        </w:rPr>
        <w:t xml:space="preserve">? Are there </w:t>
      </w:r>
      <w:r w:rsidRPr="006B0C6C">
        <w:rPr>
          <w:rFonts w:ascii="Calibri" w:eastAsia="Calibri" w:hAnsi="Calibri" w:cs="Calibri"/>
        </w:rPr>
        <w:t xml:space="preserve">aspects of the support </w:t>
      </w:r>
      <w:r w:rsidR="5F075EF6" w:rsidRPr="006B0C6C">
        <w:rPr>
          <w:rFonts w:ascii="Calibri" w:eastAsia="Calibri" w:hAnsi="Calibri" w:cs="Calibri"/>
        </w:rPr>
        <w:t xml:space="preserve">that </w:t>
      </w:r>
      <w:r w:rsidR="067BB777" w:rsidRPr="006B0C6C">
        <w:rPr>
          <w:rFonts w:ascii="Calibri" w:eastAsia="Calibri" w:hAnsi="Calibri" w:cs="Calibri"/>
        </w:rPr>
        <w:t>have been more valued than others and why</w:t>
      </w:r>
      <w:r w:rsidR="41820EE1" w:rsidRPr="006B0C6C">
        <w:rPr>
          <w:rFonts w:ascii="Calibri" w:eastAsia="Calibri" w:hAnsi="Calibri" w:cs="Calibri"/>
        </w:rPr>
        <w:t>? (Effectiveness – EOPO3)</w:t>
      </w:r>
      <w:r w:rsidR="5621ED84" w:rsidRPr="006B0C6C">
        <w:rPr>
          <w:rFonts w:ascii="Calibri" w:eastAsia="Calibri" w:hAnsi="Calibri" w:cs="Calibri"/>
        </w:rPr>
        <w:t>”</w:t>
      </w:r>
      <w:r w:rsidR="00731A37" w:rsidRPr="006B0C6C">
        <w:rPr>
          <w:rFonts w:ascii="Calibri" w:eastAsia="Calibri" w:hAnsi="Calibri" w:cs="Calibri"/>
        </w:rPr>
        <w:t xml:space="preserve">. The </w:t>
      </w:r>
      <w:r w:rsidR="5621ED84" w:rsidRPr="006B0C6C">
        <w:rPr>
          <w:rFonts w:ascii="Calibri" w:eastAsia="Calibri" w:hAnsi="Calibri" w:cs="Calibri"/>
        </w:rPr>
        <w:t>EOPO</w:t>
      </w:r>
      <w:r w:rsidR="00731A37" w:rsidRPr="006B0C6C">
        <w:rPr>
          <w:rFonts w:ascii="Calibri" w:eastAsia="Calibri" w:hAnsi="Calibri" w:cs="Calibri"/>
        </w:rPr>
        <w:t xml:space="preserve"> is</w:t>
      </w:r>
      <w:r w:rsidR="5621ED84" w:rsidRPr="006B0C6C">
        <w:rPr>
          <w:rFonts w:ascii="Calibri" w:eastAsia="Calibri" w:hAnsi="Calibri" w:cs="Calibri"/>
        </w:rPr>
        <w:t xml:space="preserve">:  </w:t>
      </w:r>
    </w:p>
    <w:p w14:paraId="36E1B026" w14:textId="749B6F59" w:rsidR="5621ED84" w:rsidRPr="00E4551A" w:rsidRDefault="00731A37" w:rsidP="00E4551A">
      <w:pPr>
        <w:spacing w:after="160" w:line="257" w:lineRule="auto"/>
        <w:jc w:val="both"/>
        <w:rPr>
          <w:rFonts w:ascii="Calibri" w:eastAsia="Calibri" w:hAnsi="Calibri" w:cs="Calibri"/>
        </w:rPr>
      </w:pPr>
      <w:r w:rsidRPr="00E4551A">
        <w:rPr>
          <w:rFonts w:ascii="Calibri" w:eastAsia="Calibri" w:hAnsi="Calibri" w:cs="Calibri"/>
          <w:b/>
          <w:bCs/>
        </w:rPr>
        <w:t>EOPO3:</w:t>
      </w:r>
      <w:r w:rsidRPr="00E4551A">
        <w:rPr>
          <w:rFonts w:ascii="Calibri" w:eastAsia="Calibri" w:hAnsi="Calibri" w:cs="Calibri"/>
        </w:rPr>
        <w:t xml:space="preserve"> </w:t>
      </w:r>
      <w:r w:rsidR="5621ED84" w:rsidRPr="00E4551A">
        <w:rPr>
          <w:rFonts w:ascii="Calibri" w:eastAsia="Calibri" w:hAnsi="Calibri" w:cs="Calibri"/>
        </w:rPr>
        <w:t xml:space="preserve">Australian support to COVID 19 and routine </w:t>
      </w:r>
      <w:r w:rsidR="00D309F0" w:rsidRPr="00E4551A">
        <w:rPr>
          <w:rFonts w:ascii="Calibri" w:eastAsia="Calibri" w:hAnsi="Calibri" w:cs="Calibri"/>
        </w:rPr>
        <w:t>immunization</w:t>
      </w:r>
      <w:r w:rsidR="5621ED84" w:rsidRPr="00E4551A">
        <w:rPr>
          <w:rFonts w:ascii="Calibri" w:eastAsia="Calibri" w:hAnsi="Calibri" w:cs="Calibri"/>
        </w:rPr>
        <w:t xml:space="preserve"> vaccination programs is valued by the region.</w:t>
      </w:r>
    </w:p>
    <w:p w14:paraId="2FEA657C" w14:textId="42EB2F3B" w:rsidR="00063130" w:rsidRPr="006B0C6C" w:rsidRDefault="1563ABFE" w:rsidP="00731A37">
      <w:pPr>
        <w:jc w:val="both"/>
      </w:pPr>
      <w:r w:rsidRPr="006B0C6C">
        <w:t xml:space="preserve">This </w:t>
      </w:r>
      <w:r w:rsidR="00731A37" w:rsidRPr="006B0C6C">
        <w:t xml:space="preserve">section </w:t>
      </w:r>
      <w:r w:rsidRPr="006B0C6C">
        <w:t xml:space="preserve">is structured </w:t>
      </w:r>
      <w:r w:rsidR="00731A37" w:rsidRPr="006B0C6C">
        <w:t xml:space="preserve">to align with </w:t>
      </w:r>
      <w:r w:rsidR="1F9ED886" w:rsidRPr="006B0C6C">
        <w:t xml:space="preserve">the </w:t>
      </w:r>
      <w:r w:rsidRPr="006B0C6C">
        <w:t>two main elements of EQ2</w:t>
      </w:r>
      <w:r w:rsidR="77C4A5A1" w:rsidRPr="006B0C6C">
        <w:t xml:space="preserve"> </w:t>
      </w:r>
      <w:r w:rsidR="418646DE" w:rsidRPr="006B0C6C">
        <w:t>(</w:t>
      </w:r>
      <w:proofErr w:type="spellStart"/>
      <w:r w:rsidR="418646DE" w:rsidRPr="006B0C6C">
        <w:t>i</w:t>
      </w:r>
      <w:proofErr w:type="spellEnd"/>
      <w:r w:rsidR="418646DE" w:rsidRPr="006B0C6C">
        <w:t>) how VAHSI support contributed to stronger relations and (ii) the aspects of the support that have been more valued, and why</w:t>
      </w:r>
      <w:r w:rsidR="77C4A5A1" w:rsidRPr="006B0C6C">
        <w:t xml:space="preserve">. </w:t>
      </w:r>
    </w:p>
    <w:p w14:paraId="14529EA7" w14:textId="07158EC9" w:rsidR="44C8811F" w:rsidRPr="00231D76" w:rsidRDefault="09931749" w:rsidP="00231D76">
      <w:pPr>
        <w:pStyle w:val="Heading2SHS"/>
        <w:ind w:left="142"/>
        <w:rPr>
          <w:rFonts w:ascii="Calibri" w:eastAsia="Calibri" w:hAnsi="Calibri" w:cs="Calibri"/>
        </w:rPr>
      </w:pPr>
      <w:r w:rsidRPr="7E56B70C">
        <w:rPr>
          <w:rFonts w:ascii="Calibri" w:eastAsia="Calibri" w:hAnsi="Calibri" w:cs="Calibri"/>
        </w:rPr>
        <w:t xml:space="preserve"> </w:t>
      </w:r>
      <w:bookmarkStart w:id="113" w:name="_Toc200617276"/>
      <w:r w:rsidR="3CF45893" w:rsidRPr="7E56B70C">
        <w:rPr>
          <w:rFonts w:ascii="Calibri" w:eastAsia="Calibri" w:hAnsi="Calibri" w:cs="Calibri"/>
        </w:rPr>
        <w:t xml:space="preserve">Evaluative </w:t>
      </w:r>
      <w:r w:rsidR="17C1FB4C" w:rsidRPr="7E56B70C">
        <w:rPr>
          <w:rFonts w:ascii="Calibri" w:eastAsia="Calibri" w:hAnsi="Calibri" w:cs="Calibri"/>
        </w:rPr>
        <w:t>f</w:t>
      </w:r>
      <w:r w:rsidR="00231D76" w:rsidRPr="7E56B70C">
        <w:rPr>
          <w:rFonts w:ascii="Calibri" w:eastAsia="Calibri" w:hAnsi="Calibri" w:cs="Calibri"/>
        </w:rPr>
        <w:t>inding</w:t>
      </w:r>
      <w:bookmarkEnd w:id="113"/>
    </w:p>
    <w:p w14:paraId="209D1A54" w14:textId="161B3092" w:rsidR="00E4551A" w:rsidRDefault="00E4551A" w:rsidP="00E4551A">
      <w:pPr>
        <w:spacing w:after="0" w:line="257" w:lineRule="auto"/>
        <w:jc w:val="both"/>
        <w:rPr>
          <w:rFonts w:ascii="Calibri" w:eastAsia="Calibri" w:hAnsi="Calibri" w:cs="Calibri"/>
        </w:rPr>
      </w:pPr>
      <w:r>
        <w:rPr>
          <w:rFonts w:ascii="Calibri" w:eastAsia="Calibri" w:hAnsi="Calibri" w:cs="Calibri"/>
        </w:rPr>
        <w:t>The</w:t>
      </w:r>
      <w:r w:rsidR="37D5714F" w:rsidRPr="006B0C6C">
        <w:rPr>
          <w:rFonts w:ascii="Calibri" w:eastAsia="Calibri" w:hAnsi="Calibri" w:cs="Calibri"/>
        </w:rPr>
        <w:t xml:space="preserve"> evaluation found that VAHSI support contributed to stronger relationships between Australia and partner governments. This was particularly evident from qualitative data. </w:t>
      </w:r>
      <w:r w:rsidR="7015E422" w:rsidRPr="006B0C6C">
        <w:t>The evaluation team identified substantial and strong evidence of partner government acknowledgement of Australian support to COVID-19 response, as well as media mentions of Australian support, both in social and broadcast media.</w:t>
      </w:r>
      <w:r w:rsidR="7015E422" w:rsidRPr="006B0C6C">
        <w:rPr>
          <w:rFonts w:ascii="Calibri" w:eastAsia="Calibri" w:hAnsi="Calibri" w:cs="Calibri"/>
        </w:rPr>
        <w:t xml:space="preserve"> </w:t>
      </w:r>
      <w:r w:rsidR="0ED37CE2" w:rsidRPr="006B0C6C">
        <w:rPr>
          <w:rFonts w:ascii="Calibri" w:eastAsia="Calibri" w:hAnsi="Calibri" w:cs="Calibri"/>
        </w:rPr>
        <w:t>Consideration needs to be given to</w:t>
      </w:r>
      <w:r w:rsidR="424C0373" w:rsidRPr="006B0C6C">
        <w:rPr>
          <w:rFonts w:ascii="Calibri" w:eastAsia="Calibri" w:hAnsi="Calibri" w:cs="Calibri"/>
        </w:rPr>
        <w:t xml:space="preserve"> the sustainability of these improved relations, particularly with </w:t>
      </w:r>
      <w:r w:rsidR="00961394" w:rsidRPr="006B0C6C">
        <w:rPr>
          <w:rFonts w:ascii="Calibri" w:eastAsia="Calibri" w:hAnsi="Calibri" w:cs="Calibri"/>
        </w:rPr>
        <w:t xml:space="preserve">potential, and actual, </w:t>
      </w:r>
      <w:r w:rsidR="424C0373" w:rsidRPr="006B0C6C">
        <w:rPr>
          <w:rFonts w:ascii="Calibri" w:eastAsia="Calibri" w:hAnsi="Calibri" w:cs="Calibri"/>
        </w:rPr>
        <w:t xml:space="preserve">changes </w:t>
      </w:r>
      <w:r w:rsidR="00961394" w:rsidRPr="006B0C6C">
        <w:rPr>
          <w:rFonts w:ascii="Calibri" w:eastAsia="Calibri" w:hAnsi="Calibri" w:cs="Calibri"/>
        </w:rPr>
        <w:t xml:space="preserve">of </w:t>
      </w:r>
      <w:r w:rsidR="009A6F75">
        <w:rPr>
          <w:rFonts w:ascii="Calibri" w:eastAsia="Calibri" w:hAnsi="Calibri" w:cs="Calibri"/>
        </w:rPr>
        <w:t>g</w:t>
      </w:r>
      <w:r w:rsidR="00961394" w:rsidRPr="006B0C6C">
        <w:rPr>
          <w:rFonts w:ascii="Calibri" w:eastAsia="Calibri" w:hAnsi="Calibri" w:cs="Calibri"/>
        </w:rPr>
        <w:t xml:space="preserve">overnment </w:t>
      </w:r>
      <w:r w:rsidR="424C0373" w:rsidRPr="006B0C6C">
        <w:rPr>
          <w:rFonts w:ascii="Calibri" w:eastAsia="Calibri" w:hAnsi="Calibri" w:cs="Calibri"/>
        </w:rPr>
        <w:t xml:space="preserve">in partner countries and </w:t>
      </w:r>
      <w:r w:rsidR="00422B7F" w:rsidRPr="006B0C6C">
        <w:rPr>
          <w:rFonts w:ascii="Calibri" w:eastAsia="Calibri" w:hAnsi="Calibri" w:cs="Calibri"/>
        </w:rPr>
        <w:t xml:space="preserve">with the </w:t>
      </w:r>
      <w:r w:rsidR="424C0373" w:rsidRPr="006B0C6C">
        <w:rPr>
          <w:rFonts w:ascii="Calibri" w:eastAsia="Calibri" w:hAnsi="Calibri" w:cs="Calibri"/>
        </w:rPr>
        <w:t>end</w:t>
      </w:r>
      <w:r w:rsidR="00422B7F" w:rsidRPr="006B0C6C">
        <w:rPr>
          <w:rFonts w:ascii="Calibri" w:eastAsia="Calibri" w:hAnsi="Calibri" w:cs="Calibri"/>
        </w:rPr>
        <w:t xml:space="preserve"> of</w:t>
      </w:r>
      <w:r w:rsidR="424C0373" w:rsidRPr="006B0C6C">
        <w:rPr>
          <w:rFonts w:ascii="Calibri" w:eastAsia="Calibri" w:hAnsi="Calibri" w:cs="Calibri"/>
        </w:rPr>
        <w:t xml:space="preserve"> pandemic</w:t>
      </w:r>
      <w:r w:rsidR="00422B7F" w:rsidRPr="006B0C6C">
        <w:rPr>
          <w:rFonts w:ascii="Calibri" w:eastAsia="Calibri" w:hAnsi="Calibri" w:cs="Calibri"/>
        </w:rPr>
        <w:t xml:space="preserve"> support</w:t>
      </w:r>
      <w:r w:rsidR="37D5714F" w:rsidRPr="006B0C6C">
        <w:rPr>
          <w:rFonts w:ascii="Calibri" w:eastAsia="Calibri" w:hAnsi="Calibri" w:cs="Calibri"/>
        </w:rPr>
        <w:t xml:space="preserve">. With some exceptions, the positive impact was likely stronger in the Pacific than </w:t>
      </w:r>
      <w:r>
        <w:rPr>
          <w:rFonts w:ascii="Calibri" w:eastAsia="Calibri" w:hAnsi="Calibri" w:cs="Calibri"/>
        </w:rPr>
        <w:t>SEA</w:t>
      </w:r>
      <w:r w:rsidR="37D5714F" w:rsidRPr="006B0C6C">
        <w:rPr>
          <w:rFonts w:ascii="Calibri" w:eastAsia="Calibri" w:hAnsi="Calibri" w:cs="Calibri"/>
        </w:rPr>
        <w:t xml:space="preserve"> due to difference in population sizes and therefore the relative importance of Australian support</w:t>
      </w:r>
      <w:r w:rsidR="00750323" w:rsidRPr="006B0C6C">
        <w:rPr>
          <w:rFonts w:ascii="Calibri" w:eastAsia="Calibri" w:hAnsi="Calibri" w:cs="Calibri"/>
        </w:rPr>
        <w:t xml:space="preserve"> </w:t>
      </w:r>
      <w:r w:rsidR="00422B7F" w:rsidRPr="006B0C6C">
        <w:rPr>
          <w:rFonts w:ascii="Calibri" w:eastAsia="Calibri" w:hAnsi="Calibri" w:cs="Calibri"/>
        </w:rPr>
        <w:t xml:space="preserve">(see </w:t>
      </w:r>
      <w:r>
        <w:rPr>
          <w:rFonts w:ascii="Calibri" w:eastAsia="Calibri" w:hAnsi="Calibri" w:cs="Calibri"/>
        </w:rPr>
        <w:t xml:space="preserve">section </w:t>
      </w:r>
      <w:r w:rsidR="00422B7F" w:rsidRPr="006B0C6C">
        <w:rPr>
          <w:rFonts w:ascii="Calibri" w:eastAsia="Calibri" w:hAnsi="Calibri" w:cs="Calibri"/>
        </w:rPr>
        <w:t>4.2.2)</w:t>
      </w:r>
      <w:r w:rsidR="37D5714F" w:rsidRPr="006B0C6C">
        <w:rPr>
          <w:rFonts w:ascii="Calibri" w:eastAsia="Calibri" w:hAnsi="Calibri" w:cs="Calibri"/>
        </w:rPr>
        <w:t xml:space="preserve">. Partner governments particularly valued the vaccines, </w:t>
      </w:r>
      <w:r w:rsidR="00750323" w:rsidRPr="006B0C6C">
        <w:rPr>
          <w:rFonts w:ascii="Calibri" w:eastAsia="Calibri" w:hAnsi="Calibri" w:cs="Calibri"/>
        </w:rPr>
        <w:t xml:space="preserve">and delivery support, </w:t>
      </w:r>
      <w:r w:rsidR="37D5714F" w:rsidRPr="006B0C6C">
        <w:rPr>
          <w:rFonts w:ascii="Calibri" w:eastAsia="Calibri" w:hAnsi="Calibri" w:cs="Calibri"/>
        </w:rPr>
        <w:t xml:space="preserve">but also the flexibility of the program </w:t>
      </w:r>
      <w:r w:rsidR="006A4B27" w:rsidRPr="006B0C6C">
        <w:rPr>
          <w:rFonts w:ascii="Calibri" w:eastAsia="Calibri" w:hAnsi="Calibri" w:cs="Calibri"/>
        </w:rPr>
        <w:t xml:space="preserve">to respond to changing needs </w:t>
      </w:r>
      <w:r w:rsidR="37D5714F" w:rsidRPr="006B0C6C">
        <w:rPr>
          <w:rFonts w:ascii="Calibri" w:eastAsia="Calibri" w:hAnsi="Calibri" w:cs="Calibri"/>
        </w:rPr>
        <w:t xml:space="preserve">and the </w:t>
      </w:r>
      <w:r w:rsidR="00750323" w:rsidRPr="006B0C6C">
        <w:rPr>
          <w:rFonts w:ascii="Calibri" w:eastAsia="Calibri" w:hAnsi="Calibri" w:cs="Calibri"/>
        </w:rPr>
        <w:t xml:space="preserve">sense of </w:t>
      </w:r>
      <w:r w:rsidR="37D5714F" w:rsidRPr="006B0C6C">
        <w:rPr>
          <w:rFonts w:ascii="Calibri" w:eastAsia="Calibri" w:hAnsi="Calibri" w:cs="Calibri"/>
        </w:rPr>
        <w:t>partnership with Australia.</w:t>
      </w:r>
    </w:p>
    <w:p w14:paraId="2523E922" w14:textId="44F29CBA" w:rsidR="00E4551A" w:rsidRPr="00231D76" w:rsidRDefault="00E4551A" w:rsidP="00231D76">
      <w:pPr>
        <w:pStyle w:val="Heading2SHS"/>
        <w:ind w:left="142"/>
        <w:rPr>
          <w:rFonts w:ascii="Calibri" w:eastAsia="Calibri" w:hAnsi="Calibri" w:cs="Calibri"/>
        </w:rPr>
      </w:pPr>
      <w:bookmarkStart w:id="114" w:name="_Toc200617277"/>
      <w:r w:rsidRPr="00231D76">
        <w:rPr>
          <w:rFonts w:ascii="Calibri" w:eastAsia="Calibri" w:hAnsi="Calibri" w:cs="Calibri"/>
        </w:rPr>
        <w:t>Evidence</w:t>
      </w:r>
      <w:bookmarkEnd w:id="114"/>
      <w:r w:rsidRPr="00231D76">
        <w:rPr>
          <w:rFonts w:ascii="Calibri" w:eastAsia="Calibri" w:hAnsi="Calibri" w:cs="Calibri"/>
        </w:rPr>
        <w:t xml:space="preserve"> </w:t>
      </w:r>
    </w:p>
    <w:p w14:paraId="0FBDE0D5" w14:textId="5ACCD886" w:rsidR="724B457B" w:rsidRPr="006B0C6C" w:rsidRDefault="00E4551A" w:rsidP="7388A156">
      <w:pPr>
        <w:pStyle w:val="Heading3SHS"/>
      </w:pPr>
      <w:bookmarkStart w:id="115" w:name="_Toc200617278"/>
      <w:r>
        <w:t>S</w:t>
      </w:r>
      <w:r w:rsidR="724B457B" w:rsidRPr="006B0C6C">
        <w:t>tronger relationships</w:t>
      </w:r>
      <w:bookmarkEnd w:id="115"/>
    </w:p>
    <w:p w14:paraId="211F4C7E" w14:textId="3C807B24" w:rsidR="60F80D02" w:rsidRPr="006B0C6C" w:rsidRDefault="1AF8E85C" w:rsidP="00987907">
      <w:pPr>
        <w:spacing w:after="0" w:line="257" w:lineRule="auto"/>
        <w:jc w:val="both"/>
      </w:pPr>
      <w:r w:rsidRPr="4A351EF4">
        <w:rPr>
          <w:rFonts w:ascii="Calibri" w:eastAsia="Calibri" w:hAnsi="Calibri" w:cs="Calibri"/>
        </w:rPr>
        <w:t xml:space="preserve">In considering evidence for the positive effect of VAHSI on bilateral relationships, the </w:t>
      </w:r>
      <w:r w:rsidR="6269F5D1" w:rsidRPr="4A351EF4">
        <w:rPr>
          <w:rFonts w:ascii="Calibri" w:eastAsia="Calibri" w:hAnsi="Calibri" w:cs="Calibri"/>
        </w:rPr>
        <w:t xml:space="preserve">evaluation </w:t>
      </w:r>
      <w:r w:rsidRPr="4A351EF4">
        <w:rPr>
          <w:rFonts w:ascii="Calibri" w:eastAsia="Calibri" w:hAnsi="Calibri" w:cs="Calibri"/>
        </w:rPr>
        <w:t>team was</w:t>
      </w:r>
      <w:r w:rsidR="27C03C1A" w:rsidRPr="4A351EF4">
        <w:rPr>
          <w:rFonts w:ascii="Calibri" w:eastAsia="Calibri" w:hAnsi="Calibri" w:cs="Calibri"/>
        </w:rPr>
        <w:t xml:space="preserve"> </w:t>
      </w:r>
      <w:r w:rsidR="5F491254" w:rsidRPr="4A351EF4">
        <w:rPr>
          <w:rFonts w:ascii="Calibri" w:eastAsia="Calibri" w:hAnsi="Calibri" w:cs="Calibri"/>
        </w:rPr>
        <w:t xml:space="preserve">able to draw on media reporting, documentation provided by DFAT and </w:t>
      </w:r>
      <w:r w:rsidR="35C734B9" w:rsidRPr="4A351EF4">
        <w:rPr>
          <w:rFonts w:ascii="Calibri" w:eastAsia="Calibri" w:hAnsi="Calibri" w:cs="Calibri"/>
        </w:rPr>
        <w:t>partners, and</w:t>
      </w:r>
      <w:r w:rsidR="5F491254" w:rsidRPr="4A351EF4">
        <w:rPr>
          <w:rFonts w:ascii="Calibri" w:eastAsia="Calibri" w:hAnsi="Calibri" w:cs="Calibri"/>
        </w:rPr>
        <w:t xml:space="preserve"> </w:t>
      </w:r>
      <w:r w:rsidR="00A27AC9">
        <w:rPr>
          <w:rFonts w:ascii="Calibri" w:eastAsia="Calibri" w:hAnsi="Calibri" w:cs="Calibri"/>
        </w:rPr>
        <w:t xml:space="preserve">evidence from </w:t>
      </w:r>
      <w:r w:rsidR="5F491254" w:rsidRPr="4A351EF4">
        <w:rPr>
          <w:rFonts w:ascii="Calibri" w:eastAsia="Calibri" w:hAnsi="Calibri" w:cs="Calibri"/>
        </w:rPr>
        <w:t xml:space="preserve">KIIs. There may have been some additional </w:t>
      </w:r>
      <w:r w:rsidR="755CB05C" w:rsidRPr="4A351EF4">
        <w:rPr>
          <w:rFonts w:ascii="Calibri" w:eastAsia="Calibri" w:hAnsi="Calibri" w:cs="Calibri"/>
        </w:rPr>
        <w:t xml:space="preserve">internal </w:t>
      </w:r>
      <w:r w:rsidR="5F491254" w:rsidRPr="4A351EF4">
        <w:rPr>
          <w:rFonts w:ascii="Calibri" w:eastAsia="Calibri" w:hAnsi="Calibri" w:cs="Calibri"/>
        </w:rPr>
        <w:t>DFAT</w:t>
      </w:r>
      <w:r w:rsidR="6C3394BC" w:rsidRPr="4A351EF4">
        <w:rPr>
          <w:rFonts w:ascii="Calibri" w:eastAsia="Calibri" w:hAnsi="Calibri" w:cs="Calibri"/>
        </w:rPr>
        <w:t xml:space="preserve"> reporting and/or communications that was within sensitive channels that the team was not able to consider in the evaluati</w:t>
      </w:r>
      <w:r w:rsidR="6287A615" w:rsidRPr="4A351EF4">
        <w:rPr>
          <w:rFonts w:ascii="Calibri" w:eastAsia="Calibri" w:hAnsi="Calibri" w:cs="Calibri"/>
        </w:rPr>
        <w:t>o</w:t>
      </w:r>
      <w:r w:rsidR="6C3394BC" w:rsidRPr="4A351EF4">
        <w:rPr>
          <w:rFonts w:ascii="Calibri" w:eastAsia="Calibri" w:hAnsi="Calibri" w:cs="Calibri"/>
        </w:rPr>
        <w:t>n, including</w:t>
      </w:r>
      <w:r w:rsidRPr="4A351EF4">
        <w:rPr>
          <w:rFonts w:ascii="Calibri" w:eastAsia="Calibri" w:hAnsi="Calibri" w:cs="Calibri"/>
        </w:rPr>
        <w:t xml:space="preserve"> diplomatic channels of communication (‘cables’). </w:t>
      </w:r>
    </w:p>
    <w:p w14:paraId="3C95D9B6" w14:textId="2DFED5B8" w:rsidR="60F80D02" w:rsidRPr="006B0C6C" w:rsidRDefault="329439E1" w:rsidP="00987907">
      <w:pPr>
        <w:spacing w:after="0" w:line="257" w:lineRule="auto"/>
        <w:jc w:val="both"/>
      </w:pPr>
      <w:r w:rsidRPr="4608E2EE">
        <w:rPr>
          <w:rFonts w:ascii="Calibri" w:eastAsia="Calibri" w:hAnsi="Calibri" w:cs="Calibri"/>
        </w:rPr>
        <w:t>T</w:t>
      </w:r>
      <w:r w:rsidR="4B8184F9" w:rsidRPr="006B0C6C">
        <w:rPr>
          <w:rFonts w:ascii="Calibri" w:eastAsia="Calibri" w:hAnsi="Calibri" w:cs="Calibri"/>
        </w:rPr>
        <w:t xml:space="preserve">here is </w:t>
      </w:r>
      <w:r w:rsidR="1AF8E85C" w:rsidRPr="006B0C6C">
        <w:rPr>
          <w:rFonts w:ascii="Calibri" w:eastAsia="Calibri" w:hAnsi="Calibri" w:cs="Calibri"/>
        </w:rPr>
        <w:t>clear evidence of stronger relationships between Australia and partner governments</w:t>
      </w:r>
      <w:r w:rsidR="6269F5D1" w:rsidRPr="006B0C6C">
        <w:rPr>
          <w:rFonts w:ascii="Calibri" w:eastAsia="Calibri" w:hAnsi="Calibri" w:cs="Calibri"/>
        </w:rPr>
        <w:t>,</w:t>
      </w:r>
      <w:r w:rsidR="3F08352E" w:rsidRPr="006B0C6C">
        <w:rPr>
          <w:rFonts w:ascii="Calibri" w:eastAsia="Calibri" w:hAnsi="Calibri" w:cs="Calibri"/>
        </w:rPr>
        <w:t xml:space="preserve"> </w:t>
      </w:r>
      <w:r w:rsidR="24570257" w:rsidRPr="006B0C6C">
        <w:rPr>
          <w:rFonts w:ascii="Calibri" w:eastAsia="Calibri" w:hAnsi="Calibri" w:cs="Calibri"/>
        </w:rPr>
        <w:t>attributable</w:t>
      </w:r>
      <w:r w:rsidR="1AF8E85C" w:rsidRPr="006B0C6C">
        <w:rPr>
          <w:rFonts w:ascii="Calibri" w:eastAsia="Calibri" w:hAnsi="Calibri" w:cs="Calibri"/>
        </w:rPr>
        <w:t xml:space="preserve"> t</w:t>
      </w:r>
      <w:r w:rsidR="24570257" w:rsidRPr="006B0C6C">
        <w:rPr>
          <w:rFonts w:ascii="Calibri" w:eastAsia="Calibri" w:hAnsi="Calibri" w:cs="Calibri"/>
        </w:rPr>
        <w:t>o</w:t>
      </w:r>
      <w:r w:rsidR="1AF8E85C" w:rsidRPr="006B0C6C">
        <w:rPr>
          <w:rFonts w:ascii="Calibri" w:eastAsia="Calibri" w:hAnsi="Calibri" w:cs="Calibri"/>
        </w:rPr>
        <w:t xml:space="preserve"> </w:t>
      </w:r>
      <w:r w:rsidR="14D3CC35" w:rsidRPr="006B0C6C">
        <w:rPr>
          <w:rFonts w:ascii="Calibri" w:eastAsia="Calibri" w:hAnsi="Calibri" w:cs="Calibri"/>
        </w:rPr>
        <w:t>the effect</w:t>
      </w:r>
      <w:r w:rsidR="24570257" w:rsidRPr="006B0C6C">
        <w:rPr>
          <w:rFonts w:ascii="Calibri" w:eastAsia="Calibri" w:hAnsi="Calibri" w:cs="Calibri"/>
        </w:rPr>
        <w:t>s</w:t>
      </w:r>
      <w:r w:rsidR="14D3CC35" w:rsidRPr="006B0C6C">
        <w:rPr>
          <w:rFonts w:ascii="Calibri" w:eastAsia="Calibri" w:hAnsi="Calibri" w:cs="Calibri"/>
        </w:rPr>
        <w:t xml:space="preserve"> of </w:t>
      </w:r>
      <w:r w:rsidR="24570257" w:rsidRPr="006B0C6C">
        <w:rPr>
          <w:rFonts w:ascii="Calibri" w:eastAsia="Calibri" w:hAnsi="Calibri" w:cs="Calibri"/>
        </w:rPr>
        <w:t xml:space="preserve">Australian support through </w:t>
      </w:r>
      <w:r w:rsidR="1AF8E85C" w:rsidRPr="006B0C6C">
        <w:rPr>
          <w:rFonts w:ascii="Calibri" w:eastAsia="Calibri" w:hAnsi="Calibri" w:cs="Calibri"/>
        </w:rPr>
        <w:t>VAHSI</w:t>
      </w:r>
      <w:r w:rsidR="4B8184F9" w:rsidRPr="006B0C6C">
        <w:rPr>
          <w:rFonts w:ascii="Calibri" w:eastAsia="Calibri" w:hAnsi="Calibri" w:cs="Calibri"/>
        </w:rPr>
        <w:t>. At the highest level</w:t>
      </w:r>
      <w:r w:rsidR="6269F5D1" w:rsidRPr="006B0C6C">
        <w:rPr>
          <w:rFonts w:ascii="Calibri" w:eastAsia="Calibri" w:hAnsi="Calibri" w:cs="Calibri"/>
        </w:rPr>
        <w:t>,</w:t>
      </w:r>
      <w:r w:rsidR="1AF8E85C" w:rsidRPr="006B0C6C">
        <w:rPr>
          <w:rFonts w:ascii="Calibri" w:eastAsia="Calibri" w:hAnsi="Calibri" w:cs="Calibri"/>
        </w:rPr>
        <w:t xml:space="preserve"> </w:t>
      </w:r>
      <w:r w:rsidR="4B8184F9" w:rsidRPr="006B0C6C">
        <w:rPr>
          <w:rFonts w:ascii="Calibri" w:eastAsia="Calibri" w:hAnsi="Calibri" w:cs="Calibri"/>
        </w:rPr>
        <w:t xml:space="preserve">this </w:t>
      </w:r>
      <w:r w:rsidR="1AF8E85C" w:rsidRPr="006B0C6C">
        <w:rPr>
          <w:rFonts w:ascii="Calibri" w:eastAsia="Calibri" w:hAnsi="Calibri" w:cs="Calibri"/>
        </w:rPr>
        <w:t xml:space="preserve">includes the upgrade </w:t>
      </w:r>
      <w:r w:rsidR="6269F5D1" w:rsidRPr="006B0C6C">
        <w:rPr>
          <w:rFonts w:ascii="Calibri" w:eastAsia="Calibri" w:hAnsi="Calibri" w:cs="Calibri"/>
        </w:rPr>
        <w:t>in</w:t>
      </w:r>
      <w:r w:rsidR="1AF8E85C" w:rsidRPr="006B0C6C">
        <w:rPr>
          <w:rFonts w:ascii="Calibri" w:eastAsia="Calibri" w:hAnsi="Calibri" w:cs="Calibri"/>
        </w:rPr>
        <w:t xml:space="preserve"> strategic relationships with countries in South</w:t>
      </w:r>
      <w:r w:rsidR="233E9550" w:rsidRPr="006B0C6C">
        <w:rPr>
          <w:rFonts w:ascii="Calibri" w:eastAsia="Calibri" w:hAnsi="Calibri" w:cs="Calibri"/>
        </w:rPr>
        <w:t>east</w:t>
      </w:r>
      <w:r w:rsidR="1AF8E85C" w:rsidRPr="006B0C6C">
        <w:rPr>
          <w:rFonts w:ascii="Calibri" w:eastAsia="Calibri" w:hAnsi="Calibri" w:cs="Calibri"/>
        </w:rPr>
        <w:t xml:space="preserve"> Asia, notably the Philippines and Vietnam.</w:t>
      </w:r>
      <w:r w:rsidR="6269F5D1" w:rsidRPr="006B0C6C">
        <w:t xml:space="preserve"> </w:t>
      </w:r>
      <w:r w:rsidR="5F6A1246" w:rsidRPr="006B0C6C">
        <w:rPr>
          <w:rFonts w:ascii="Calibri" w:eastAsia="Calibri" w:hAnsi="Calibri" w:cs="Calibri"/>
        </w:rPr>
        <w:t xml:space="preserve">Australia committed to share </w:t>
      </w:r>
      <w:r w:rsidR="7745CD65" w:rsidRPr="006B0C6C">
        <w:rPr>
          <w:rFonts w:ascii="Calibri" w:eastAsia="Calibri" w:hAnsi="Calibri" w:cs="Calibri"/>
        </w:rPr>
        <w:t>AstraZeneca</w:t>
      </w:r>
      <w:r w:rsidR="6269F5D1" w:rsidRPr="006B0C6C">
        <w:rPr>
          <w:rFonts w:ascii="Calibri" w:eastAsia="Calibri" w:hAnsi="Calibri" w:cs="Calibri"/>
        </w:rPr>
        <w:t xml:space="preserve"> </w:t>
      </w:r>
      <w:r w:rsidR="5F6A1246" w:rsidRPr="006B0C6C">
        <w:rPr>
          <w:rFonts w:ascii="Calibri" w:eastAsia="Calibri" w:hAnsi="Calibri" w:cs="Calibri"/>
        </w:rPr>
        <w:t xml:space="preserve">doses with Vietnam in July 2021, the first doses </w:t>
      </w:r>
      <w:r w:rsidR="5B487E55" w:rsidRPr="006B0C6C">
        <w:rPr>
          <w:rFonts w:ascii="Calibri" w:eastAsia="Calibri" w:hAnsi="Calibri" w:cs="Calibri"/>
        </w:rPr>
        <w:t xml:space="preserve">(402,800) </w:t>
      </w:r>
      <w:r w:rsidR="5F6A1246" w:rsidRPr="006B0C6C">
        <w:rPr>
          <w:rFonts w:ascii="Calibri" w:eastAsia="Calibri" w:hAnsi="Calibri" w:cs="Calibri"/>
        </w:rPr>
        <w:t xml:space="preserve">arriving in </w:t>
      </w:r>
      <w:r w:rsidR="6AA802DF" w:rsidRPr="006B0C6C">
        <w:rPr>
          <w:rFonts w:ascii="Calibri" w:eastAsia="Calibri" w:hAnsi="Calibri" w:cs="Calibri"/>
        </w:rPr>
        <w:t xml:space="preserve">late </w:t>
      </w:r>
      <w:r w:rsidR="5F6A1246" w:rsidRPr="006B0C6C">
        <w:rPr>
          <w:rFonts w:ascii="Calibri" w:eastAsia="Calibri" w:hAnsi="Calibri" w:cs="Calibri"/>
        </w:rPr>
        <w:t>August</w:t>
      </w:r>
      <w:r w:rsidR="20D868F3" w:rsidRPr="006B0C6C">
        <w:rPr>
          <w:rFonts w:ascii="Calibri" w:eastAsia="Calibri" w:hAnsi="Calibri" w:cs="Calibri"/>
        </w:rPr>
        <w:t xml:space="preserve"> 2021</w:t>
      </w:r>
      <w:r w:rsidR="5F2B5AFD" w:rsidRPr="006B0C6C">
        <w:rPr>
          <w:rFonts w:ascii="Calibri" w:eastAsia="Calibri" w:hAnsi="Calibri" w:cs="Calibri"/>
        </w:rPr>
        <w:t xml:space="preserve">. This was covered </w:t>
      </w:r>
      <w:r w:rsidR="302C8ECB" w:rsidRPr="006B0C6C">
        <w:rPr>
          <w:rFonts w:ascii="Calibri" w:eastAsia="Calibri" w:hAnsi="Calibri" w:cs="Calibri"/>
        </w:rPr>
        <w:t xml:space="preserve">extensively </w:t>
      </w:r>
      <w:r w:rsidR="5F2B5AFD" w:rsidRPr="006B0C6C">
        <w:rPr>
          <w:rFonts w:ascii="Calibri" w:eastAsia="Calibri" w:hAnsi="Calibri" w:cs="Calibri"/>
        </w:rPr>
        <w:t xml:space="preserve">in </w:t>
      </w:r>
      <w:r w:rsidR="6C8E4B7C" w:rsidRPr="006B0C6C">
        <w:rPr>
          <w:rFonts w:ascii="Calibri" w:eastAsia="Calibri" w:hAnsi="Calibri" w:cs="Calibri"/>
        </w:rPr>
        <w:t>local and social</w:t>
      </w:r>
      <w:r w:rsidR="5F2B5AFD" w:rsidRPr="006B0C6C">
        <w:rPr>
          <w:rFonts w:ascii="Calibri" w:eastAsia="Calibri" w:hAnsi="Calibri" w:cs="Calibri"/>
        </w:rPr>
        <w:t xml:space="preserve"> </w:t>
      </w:r>
      <w:proofErr w:type="gramStart"/>
      <w:r w:rsidR="5F2B5AFD" w:rsidRPr="006B0C6C">
        <w:rPr>
          <w:rFonts w:ascii="Calibri" w:eastAsia="Calibri" w:hAnsi="Calibri" w:cs="Calibri"/>
        </w:rPr>
        <w:t>media</w:t>
      </w:r>
      <w:proofErr w:type="gramEnd"/>
      <w:r w:rsidR="5F2B5AFD" w:rsidRPr="006B0C6C">
        <w:rPr>
          <w:rFonts w:ascii="Calibri" w:eastAsia="Calibri" w:hAnsi="Calibri" w:cs="Calibri"/>
        </w:rPr>
        <w:t xml:space="preserve"> and </w:t>
      </w:r>
      <w:r w:rsidR="0EC73092" w:rsidRPr="006B0C6C">
        <w:rPr>
          <w:rFonts w:ascii="Calibri" w:eastAsia="Calibri" w:hAnsi="Calibri" w:cs="Calibri"/>
        </w:rPr>
        <w:t xml:space="preserve">the receipt </w:t>
      </w:r>
      <w:r w:rsidR="0D43F5C5" w:rsidRPr="006B0C6C">
        <w:rPr>
          <w:rFonts w:ascii="Calibri" w:eastAsia="Calibri" w:hAnsi="Calibri" w:cs="Calibri"/>
        </w:rPr>
        <w:t>of</w:t>
      </w:r>
      <w:r w:rsidR="1E4D3276">
        <w:rPr>
          <w:rFonts w:ascii="Calibri" w:eastAsia="Calibri" w:hAnsi="Calibri" w:cs="Calibri"/>
        </w:rPr>
        <w:t xml:space="preserve"> vaccine</w:t>
      </w:r>
      <w:r w:rsidR="0D43F5C5" w:rsidRPr="006B0C6C">
        <w:rPr>
          <w:rFonts w:ascii="Calibri" w:eastAsia="Calibri" w:hAnsi="Calibri" w:cs="Calibri"/>
        </w:rPr>
        <w:t xml:space="preserve"> doses was </w:t>
      </w:r>
      <w:r w:rsidR="5F2B5AFD" w:rsidRPr="006B0C6C">
        <w:rPr>
          <w:rFonts w:ascii="Calibri" w:eastAsia="Calibri" w:hAnsi="Calibri" w:cs="Calibri"/>
        </w:rPr>
        <w:t xml:space="preserve">acknowledged with thanks by the </w:t>
      </w:r>
      <w:r w:rsidR="04E4B79E" w:rsidRPr="4608E2EE">
        <w:rPr>
          <w:rFonts w:ascii="Calibri" w:eastAsia="Calibri" w:hAnsi="Calibri" w:cs="Calibri"/>
        </w:rPr>
        <w:t>G</w:t>
      </w:r>
      <w:r w:rsidR="11C8F607" w:rsidRPr="006B0C6C">
        <w:rPr>
          <w:rFonts w:ascii="Calibri" w:eastAsia="Calibri" w:hAnsi="Calibri" w:cs="Calibri"/>
        </w:rPr>
        <w:t>overnment</w:t>
      </w:r>
      <w:r w:rsidR="00220AC3">
        <w:rPr>
          <w:rFonts w:ascii="Calibri" w:eastAsia="Calibri" w:hAnsi="Calibri" w:cs="Calibri"/>
        </w:rPr>
        <w:t xml:space="preserve"> of Vietnam</w:t>
      </w:r>
      <w:r w:rsidR="11C8F607" w:rsidRPr="006B0C6C">
        <w:rPr>
          <w:rFonts w:ascii="Calibri" w:eastAsia="Calibri" w:hAnsi="Calibri" w:cs="Calibri"/>
        </w:rPr>
        <w:t xml:space="preserve">. Prime Minister Chinh personally thanked </w:t>
      </w:r>
      <w:r w:rsidR="12C6FEF9" w:rsidRPr="006B0C6C">
        <w:rPr>
          <w:rFonts w:ascii="Calibri" w:eastAsia="Calibri" w:hAnsi="Calibri" w:cs="Calibri"/>
        </w:rPr>
        <w:t>the Australian Ambassador for the commitment of support.</w:t>
      </w:r>
      <w:r w:rsidR="75ACEEDC" w:rsidRPr="006B0C6C">
        <w:rPr>
          <w:rFonts w:ascii="Calibri" w:eastAsia="Calibri" w:hAnsi="Calibri" w:cs="Calibri"/>
        </w:rPr>
        <w:t xml:space="preserve"> During Foreign Minister Payne’s visit in November 2021</w:t>
      </w:r>
      <w:r w:rsidR="22F43D26" w:rsidRPr="006B0C6C">
        <w:rPr>
          <w:rFonts w:ascii="Calibri" w:eastAsia="Calibri" w:hAnsi="Calibri" w:cs="Calibri"/>
        </w:rPr>
        <w:t xml:space="preserve">, Vietnam’s Foreign Minister </w:t>
      </w:r>
      <w:r w:rsidR="1E4D3276">
        <w:rPr>
          <w:rFonts w:ascii="Calibri" w:eastAsia="Calibri" w:hAnsi="Calibri" w:cs="Calibri"/>
        </w:rPr>
        <w:t>noted</w:t>
      </w:r>
      <w:r w:rsidR="22F43D26" w:rsidRPr="006B0C6C">
        <w:rPr>
          <w:rFonts w:ascii="Calibri" w:eastAsia="Calibri" w:hAnsi="Calibri" w:cs="Calibri"/>
        </w:rPr>
        <w:t xml:space="preserve"> Australia’s commitment.</w:t>
      </w:r>
      <w:r w:rsidR="2F54272B" w:rsidRPr="006B0C6C">
        <w:rPr>
          <w:rFonts w:ascii="Calibri" w:eastAsia="Calibri" w:hAnsi="Calibri" w:cs="Calibri"/>
        </w:rPr>
        <w:t xml:space="preserve"> Further support to Vietnam, including supply of paediatric</w:t>
      </w:r>
      <w:r w:rsidR="1E4D3276">
        <w:rPr>
          <w:rFonts w:ascii="Calibri" w:eastAsia="Calibri" w:hAnsi="Calibri" w:cs="Calibri"/>
        </w:rPr>
        <w:t xml:space="preserve"> vaccine</w:t>
      </w:r>
      <w:r w:rsidR="2F54272B" w:rsidRPr="006B0C6C">
        <w:rPr>
          <w:rFonts w:ascii="Calibri" w:eastAsia="Calibri" w:hAnsi="Calibri" w:cs="Calibri"/>
        </w:rPr>
        <w:t xml:space="preserve"> doses, </w:t>
      </w:r>
      <w:r w:rsidR="6269F5D1" w:rsidRPr="006B0C6C">
        <w:rPr>
          <w:rFonts w:ascii="Calibri" w:eastAsia="Calibri" w:hAnsi="Calibri" w:cs="Calibri"/>
        </w:rPr>
        <w:t>further strengthened</w:t>
      </w:r>
      <w:r w:rsidR="1DA80B77" w:rsidRPr="006B0C6C">
        <w:rPr>
          <w:rFonts w:ascii="Calibri" w:eastAsia="Calibri" w:hAnsi="Calibri" w:cs="Calibri"/>
        </w:rPr>
        <w:t xml:space="preserve"> the bilateral relationship.</w:t>
      </w:r>
      <w:r w:rsidR="3ABDC194" w:rsidRPr="006B0C6C">
        <w:rPr>
          <w:rFonts w:ascii="Calibri" w:eastAsia="Calibri" w:hAnsi="Calibri" w:cs="Calibri"/>
        </w:rPr>
        <w:t xml:space="preserve"> The</w:t>
      </w:r>
      <w:r w:rsidR="5DBDFCBE" w:rsidRPr="006B0C6C">
        <w:rPr>
          <w:rFonts w:ascii="Calibri" w:eastAsia="Calibri" w:hAnsi="Calibri" w:cs="Calibri"/>
        </w:rPr>
        <w:t xml:space="preserve"> Comprehensive Strategic Partnership </w:t>
      </w:r>
      <w:r w:rsidR="192DE14C" w:rsidRPr="006B0C6C">
        <w:rPr>
          <w:rFonts w:ascii="Calibri" w:eastAsia="Calibri" w:hAnsi="Calibri" w:cs="Calibri"/>
        </w:rPr>
        <w:t xml:space="preserve">was announced on </w:t>
      </w:r>
      <w:r w:rsidR="5DBDFCBE" w:rsidRPr="006B0C6C">
        <w:rPr>
          <w:rFonts w:ascii="Calibri" w:eastAsia="Calibri" w:hAnsi="Calibri" w:cs="Calibri"/>
        </w:rPr>
        <w:t>7 March 2024</w:t>
      </w:r>
      <w:r w:rsidR="582143A5" w:rsidRPr="28FD34D3">
        <w:rPr>
          <w:rFonts w:ascii="Calibri" w:eastAsia="Calibri" w:hAnsi="Calibri" w:cs="Calibri"/>
        </w:rPr>
        <w:t>.</w:t>
      </w:r>
      <w:r w:rsidR="003F0C9D" w:rsidRPr="28FD34D3">
        <w:rPr>
          <w:rStyle w:val="FootnoteReference"/>
          <w:rFonts w:ascii="Calibri" w:eastAsia="Calibri" w:hAnsi="Calibri" w:cs="Calibri"/>
        </w:rPr>
        <w:footnoteReference w:id="5"/>
      </w:r>
    </w:p>
    <w:p w14:paraId="247C8C0A" w14:textId="2B4F3D83" w:rsidR="60F80D02" w:rsidRPr="006B0C6C" w:rsidRDefault="51CCEC9E" w:rsidP="006B0C6C">
      <w:pPr>
        <w:spacing w:before="240" w:after="0" w:line="257" w:lineRule="auto"/>
        <w:jc w:val="both"/>
      </w:pPr>
      <w:r w:rsidRPr="62CC2B41">
        <w:rPr>
          <w:rFonts w:ascii="Calibri" w:eastAsia="Calibri" w:hAnsi="Calibri" w:cs="Calibri"/>
        </w:rPr>
        <w:t>T</w:t>
      </w:r>
      <w:r w:rsidR="60F80D02" w:rsidRPr="62CC2B41">
        <w:rPr>
          <w:rFonts w:ascii="Calibri" w:eastAsia="Calibri" w:hAnsi="Calibri" w:cs="Calibri"/>
        </w:rPr>
        <w:t xml:space="preserve">here is substantial reporting in documentation </w:t>
      </w:r>
      <w:r w:rsidR="3E8D7E01" w:rsidRPr="62CC2B41">
        <w:rPr>
          <w:rFonts w:ascii="Calibri" w:eastAsia="Calibri" w:hAnsi="Calibri" w:cs="Calibri"/>
        </w:rPr>
        <w:t xml:space="preserve">reviewed </w:t>
      </w:r>
      <w:r w:rsidR="60F80D02" w:rsidRPr="62CC2B41">
        <w:rPr>
          <w:rFonts w:ascii="Calibri" w:eastAsia="Calibri" w:hAnsi="Calibri" w:cs="Calibri"/>
        </w:rPr>
        <w:t xml:space="preserve">of interactions between partner </w:t>
      </w:r>
      <w:r w:rsidR="00220AC3" w:rsidRPr="62CC2B41">
        <w:rPr>
          <w:rFonts w:ascii="Calibri" w:eastAsia="Calibri" w:hAnsi="Calibri" w:cs="Calibri"/>
        </w:rPr>
        <w:t>g</w:t>
      </w:r>
      <w:r w:rsidR="60F80D02" w:rsidRPr="62CC2B41">
        <w:rPr>
          <w:rFonts w:ascii="Calibri" w:eastAsia="Calibri" w:hAnsi="Calibri" w:cs="Calibri"/>
        </w:rPr>
        <w:t>overnment</w:t>
      </w:r>
      <w:r w:rsidR="00220AC3" w:rsidRPr="62CC2B41">
        <w:rPr>
          <w:rFonts w:ascii="Calibri" w:eastAsia="Calibri" w:hAnsi="Calibri" w:cs="Calibri"/>
        </w:rPr>
        <w:t>s</w:t>
      </w:r>
      <w:r w:rsidR="60F80D02" w:rsidRPr="62CC2B41">
        <w:rPr>
          <w:rFonts w:ascii="Calibri" w:eastAsia="Calibri" w:hAnsi="Calibri" w:cs="Calibri"/>
        </w:rPr>
        <w:t xml:space="preserve"> and Australian officials </w:t>
      </w:r>
      <w:r w:rsidR="00A661CC" w:rsidRPr="62CC2B41">
        <w:rPr>
          <w:rFonts w:ascii="Calibri" w:eastAsia="Calibri" w:hAnsi="Calibri" w:cs="Calibri"/>
        </w:rPr>
        <w:t xml:space="preserve">indicating </w:t>
      </w:r>
      <w:r w:rsidR="60F80D02" w:rsidRPr="62CC2B41">
        <w:rPr>
          <w:rFonts w:ascii="Calibri" w:eastAsia="Calibri" w:hAnsi="Calibri" w:cs="Calibri"/>
        </w:rPr>
        <w:t>gratitude for Australian COVID</w:t>
      </w:r>
      <w:r w:rsidR="4B5F3DD9" w:rsidRPr="62CC2B41">
        <w:rPr>
          <w:rFonts w:ascii="Calibri" w:eastAsia="Calibri" w:hAnsi="Calibri" w:cs="Calibri"/>
        </w:rPr>
        <w:t>-19</w:t>
      </w:r>
      <w:r w:rsidR="60F80D02" w:rsidRPr="62CC2B41">
        <w:rPr>
          <w:rFonts w:ascii="Calibri" w:eastAsia="Calibri" w:hAnsi="Calibri" w:cs="Calibri"/>
        </w:rPr>
        <w:t xml:space="preserve"> support, even in meetings with no relevance to COVID</w:t>
      </w:r>
      <w:r w:rsidR="00A661CC" w:rsidRPr="62CC2B41">
        <w:rPr>
          <w:rFonts w:ascii="Calibri" w:eastAsia="Calibri" w:hAnsi="Calibri" w:cs="Calibri"/>
        </w:rPr>
        <w:t>-19</w:t>
      </w:r>
      <w:r w:rsidR="007A1D79" w:rsidRPr="62CC2B41">
        <w:rPr>
          <w:rFonts w:ascii="Calibri" w:eastAsia="Calibri" w:hAnsi="Calibri" w:cs="Calibri"/>
        </w:rPr>
        <w:t xml:space="preserve"> </w:t>
      </w:r>
      <w:r w:rsidR="47092C0C" w:rsidRPr="62CC2B41">
        <w:rPr>
          <w:rFonts w:ascii="Calibri" w:eastAsia="Calibri" w:hAnsi="Calibri" w:cs="Calibri"/>
        </w:rPr>
        <w:t>and</w:t>
      </w:r>
      <w:r w:rsidR="00CB30A6" w:rsidRPr="62CC2B41">
        <w:rPr>
          <w:rFonts w:ascii="Calibri" w:eastAsia="Calibri" w:hAnsi="Calibri" w:cs="Calibri"/>
        </w:rPr>
        <w:t xml:space="preserve"> including communications </w:t>
      </w:r>
      <w:r w:rsidR="007A1D79" w:rsidRPr="62CC2B41">
        <w:rPr>
          <w:rFonts w:ascii="Calibri" w:eastAsia="Calibri" w:hAnsi="Calibri" w:cs="Calibri"/>
        </w:rPr>
        <w:t xml:space="preserve">of gratitude </w:t>
      </w:r>
      <w:r w:rsidR="00CB30A6" w:rsidRPr="62CC2B41">
        <w:rPr>
          <w:rFonts w:ascii="Calibri" w:eastAsia="Calibri" w:hAnsi="Calibri" w:cs="Calibri"/>
        </w:rPr>
        <w:t xml:space="preserve">at </w:t>
      </w:r>
      <w:r w:rsidR="5A573219" w:rsidRPr="62CC2B41">
        <w:rPr>
          <w:rFonts w:ascii="Calibri" w:eastAsia="Calibri" w:hAnsi="Calibri" w:cs="Calibri"/>
        </w:rPr>
        <w:t>senior</w:t>
      </w:r>
      <w:r w:rsidR="00671146" w:rsidRPr="62CC2B41">
        <w:rPr>
          <w:rFonts w:ascii="Calibri" w:eastAsia="Calibri" w:hAnsi="Calibri" w:cs="Calibri"/>
        </w:rPr>
        <w:t xml:space="preserve"> </w:t>
      </w:r>
      <w:r w:rsidR="08F4E836" w:rsidRPr="62CC2B41">
        <w:rPr>
          <w:rFonts w:ascii="Calibri" w:eastAsia="Calibri" w:hAnsi="Calibri" w:cs="Calibri"/>
        </w:rPr>
        <w:t>g</w:t>
      </w:r>
      <w:r w:rsidR="00671146" w:rsidRPr="62CC2B41">
        <w:rPr>
          <w:rFonts w:ascii="Calibri" w:eastAsia="Calibri" w:hAnsi="Calibri" w:cs="Calibri"/>
        </w:rPr>
        <w:t>overnment</w:t>
      </w:r>
      <w:r w:rsidR="2BE18462" w:rsidRPr="62CC2B41">
        <w:rPr>
          <w:rFonts w:ascii="Calibri" w:eastAsia="Calibri" w:hAnsi="Calibri" w:cs="Calibri"/>
        </w:rPr>
        <w:t>al</w:t>
      </w:r>
      <w:r w:rsidR="00671146" w:rsidRPr="62CC2B41">
        <w:rPr>
          <w:rFonts w:ascii="Calibri" w:eastAsia="Calibri" w:hAnsi="Calibri" w:cs="Calibri"/>
        </w:rPr>
        <w:t xml:space="preserve"> level</w:t>
      </w:r>
      <w:r w:rsidR="60F80D02" w:rsidRPr="62CC2B41">
        <w:rPr>
          <w:rFonts w:ascii="Calibri" w:eastAsia="Calibri" w:hAnsi="Calibri" w:cs="Calibri"/>
        </w:rPr>
        <w:t xml:space="preserve">. </w:t>
      </w:r>
    </w:p>
    <w:p w14:paraId="280C8AD1" w14:textId="61EC45E5" w:rsidR="60F80D02" w:rsidRPr="006B0C6C" w:rsidRDefault="60F80D02" w:rsidP="00987907">
      <w:pPr>
        <w:spacing w:after="0" w:line="257" w:lineRule="auto"/>
        <w:jc w:val="both"/>
      </w:pPr>
      <w:r w:rsidRPr="006B0C6C">
        <w:rPr>
          <w:rFonts w:ascii="Calibri" w:eastAsia="Calibri" w:hAnsi="Calibri" w:cs="Calibri"/>
          <w:szCs w:val="22"/>
        </w:rPr>
        <w:t xml:space="preserve"> </w:t>
      </w:r>
    </w:p>
    <w:p w14:paraId="2B206FB0" w14:textId="3C41A843" w:rsidR="00B9366A" w:rsidRPr="00E4551A" w:rsidRDefault="6FE383FA" w:rsidP="00987907">
      <w:pPr>
        <w:spacing w:after="0" w:line="257" w:lineRule="auto"/>
        <w:jc w:val="both"/>
        <w:rPr>
          <w:rFonts w:ascii="Calibri" w:eastAsia="Calibri" w:hAnsi="Calibri" w:cs="Calibri"/>
        </w:rPr>
      </w:pPr>
      <w:r w:rsidRPr="006B0C6C">
        <w:rPr>
          <w:rFonts w:ascii="Calibri" w:eastAsia="Calibri" w:hAnsi="Calibri" w:cs="Calibri"/>
        </w:rPr>
        <w:t>All key informants interviewed who expressed an opinion on whether VAHSI contributed to stronger relationships responded positive</w:t>
      </w:r>
      <w:r w:rsidR="109C0F76" w:rsidRPr="006B0C6C">
        <w:rPr>
          <w:rFonts w:ascii="Calibri" w:eastAsia="Calibri" w:hAnsi="Calibri" w:cs="Calibri"/>
        </w:rPr>
        <w:t>ly</w:t>
      </w:r>
      <w:r w:rsidRPr="006B0C6C">
        <w:rPr>
          <w:rFonts w:ascii="Calibri" w:eastAsia="Calibri" w:hAnsi="Calibri" w:cs="Calibri"/>
        </w:rPr>
        <w:t xml:space="preserve">. This included </w:t>
      </w:r>
      <w:r w:rsidR="4C4700A0" w:rsidRPr="006B0C6C">
        <w:rPr>
          <w:rFonts w:ascii="Calibri" w:eastAsia="Calibri" w:hAnsi="Calibri" w:cs="Calibri"/>
        </w:rPr>
        <w:t>delivery</w:t>
      </w:r>
      <w:r w:rsidR="00C24930">
        <w:rPr>
          <w:rFonts w:ascii="Calibri" w:eastAsia="Calibri" w:hAnsi="Calibri" w:cs="Calibri"/>
        </w:rPr>
        <w:t xml:space="preserve"> support</w:t>
      </w:r>
      <w:r w:rsidRPr="006B0C6C">
        <w:rPr>
          <w:rFonts w:ascii="Calibri" w:eastAsia="Calibri" w:hAnsi="Calibri" w:cs="Calibri"/>
        </w:rPr>
        <w:t xml:space="preserve"> partner</w:t>
      </w:r>
      <w:r w:rsidR="00E4551A">
        <w:rPr>
          <w:rFonts w:ascii="Calibri" w:eastAsia="Calibri" w:hAnsi="Calibri" w:cs="Calibri"/>
        </w:rPr>
        <w:t>s</w:t>
      </w:r>
      <w:r w:rsidR="004A593F">
        <w:rPr>
          <w:rFonts w:ascii="Calibri" w:eastAsia="Calibri" w:hAnsi="Calibri" w:cs="Calibri"/>
        </w:rPr>
        <w:t xml:space="preserve"> </w:t>
      </w:r>
      <w:r w:rsidRPr="006B0C6C">
        <w:rPr>
          <w:rFonts w:ascii="Calibri" w:eastAsia="Calibri" w:hAnsi="Calibri" w:cs="Calibri"/>
        </w:rPr>
        <w:t xml:space="preserve">as well as DFAT </w:t>
      </w:r>
      <w:r w:rsidR="18E6ABB6" w:rsidRPr="006B0C6C">
        <w:rPr>
          <w:rFonts w:ascii="Calibri" w:eastAsia="Calibri" w:hAnsi="Calibri" w:cs="Calibri"/>
        </w:rPr>
        <w:t>officers</w:t>
      </w:r>
      <w:r w:rsidRPr="006B0C6C">
        <w:rPr>
          <w:rFonts w:ascii="Calibri" w:eastAsia="Calibri" w:hAnsi="Calibri" w:cs="Calibri"/>
        </w:rPr>
        <w:t xml:space="preserve"> and locally engaged staff.</w:t>
      </w:r>
      <w:r w:rsidR="30662E18" w:rsidRPr="006B0C6C">
        <w:rPr>
          <w:rFonts w:ascii="Calibri" w:eastAsia="Calibri" w:hAnsi="Calibri" w:cs="Calibri"/>
        </w:rPr>
        <w:t xml:space="preserve"> </w:t>
      </w:r>
      <w:r w:rsidR="18E6ABB6" w:rsidRPr="006B0C6C">
        <w:rPr>
          <w:rFonts w:ascii="Calibri" w:eastAsia="Calibri" w:hAnsi="Calibri" w:cs="Calibri"/>
        </w:rPr>
        <w:t xml:space="preserve">There are frequent instances </w:t>
      </w:r>
      <w:r w:rsidR="06D082AD" w:rsidRPr="006B0C6C">
        <w:rPr>
          <w:rFonts w:ascii="Calibri" w:eastAsia="Calibri" w:hAnsi="Calibri" w:cs="Calibri"/>
        </w:rPr>
        <w:t xml:space="preserve">of media and social media </w:t>
      </w:r>
      <w:r w:rsidR="3E208E24" w:rsidRPr="006B0C6C">
        <w:rPr>
          <w:rFonts w:ascii="Calibri" w:eastAsia="Calibri" w:hAnsi="Calibri" w:cs="Calibri"/>
        </w:rPr>
        <w:t>reporting on</w:t>
      </w:r>
      <w:r w:rsidR="06D082AD" w:rsidRPr="006B0C6C">
        <w:rPr>
          <w:rFonts w:ascii="Calibri" w:eastAsia="Calibri" w:hAnsi="Calibri" w:cs="Calibri"/>
        </w:rPr>
        <w:t xml:space="preserve"> Australian support. </w:t>
      </w:r>
      <w:r w:rsidR="30662E18" w:rsidRPr="006B0C6C">
        <w:rPr>
          <w:rFonts w:ascii="Calibri" w:eastAsia="Calibri" w:hAnsi="Calibri" w:cs="Calibri"/>
        </w:rPr>
        <w:t xml:space="preserve">Politicians within partner </w:t>
      </w:r>
      <w:r w:rsidR="00220AC3">
        <w:rPr>
          <w:rFonts w:ascii="Calibri" w:eastAsia="Calibri" w:hAnsi="Calibri" w:cs="Calibri"/>
        </w:rPr>
        <w:t>g</w:t>
      </w:r>
      <w:r w:rsidR="30662E18" w:rsidRPr="006B0C6C">
        <w:rPr>
          <w:rFonts w:ascii="Calibri" w:eastAsia="Calibri" w:hAnsi="Calibri" w:cs="Calibri"/>
        </w:rPr>
        <w:t xml:space="preserve">overnments </w:t>
      </w:r>
      <w:r w:rsidR="00903F27" w:rsidRPr="006B0C6C">
        <w:rPr>
          <w:rFonts w:ascii="Calibri" w:eastAsia="Calibri" w:hAnsi="Calibri" w:cs="Calibri"/>
        </w:rPr>
        <w:t xml:space="preserve">also </w:t>
      </w:r>
      <w:r w:rsidR="30662E18" w:rsidRPr="006B0C6C">
        <w:rPr>
          <w:rFonts w:ascii="Calibri" w:eastAsia="Calibri" w:hAnsi="Calibri" w:cs="Calibri"/>
        </w:rPr>
        <w:t xml:space="preserve">used social media and press conferences to </w:t>
      </w:r>
      <w:r w:rsidR="0017259C" w:rsidRPr="006B0C6C">
        <w:rPr>
          <w:rFonts w:ascii="Calibri" w:eastAsia="Calibri" w:hAnsi="Calibri" w:cs="Calibri"/>
        </w:rPr>
        <w:t>give thanks for</w:t>
      </w:r>
      <w:r w:rsidR="3E208E24" w:rsidRPr="006B0C6C">
        <w:rPr>
          <w:rFonts w:ascii="Calibri" w:eastAsia="Calibri" w:hAnsi="Calibri" w:cs="Calibri"/>
        </w:rPr>
        <w:t xml:space="preserve"> </w:t>
      </w:r>
      <w:r w:rsidR="30662E18" w:rsidRPr="006B0C6C">
        <w:rPr>
          <w:rFonts w:ascii="Calibri" w:eastAsia="Calibri" w:hAnsi="Calibri" w:cs="Calibri"/>
        </w:rPr>
        <w:t>Australian support.</w:t>
      </w:r>
      <w:r w:rsidR="2C833A09" w:rsidRPr="006B0C6C">
        <w:rPr>
          <w:rFonts w:ascii="Calibri" w:eastAsia="Calibri" w:hAnsi="Calibri" w:cs="Calibri"/>
        </w:rPr>
        <w:t xml:space="preserve"> </w:t>
      </w:r>
      <w:r w:rsidR="30662E18" w:rsidRPr="006B0C6C">
        <w:rPr>
          <w:rFonts w:ascii="Calibri" w:eastAsia="Calibri" w:hAnsi="Calibri" w:cs="Calibri"/>
        </w:rPr>
        <w:t>I</w:t>
      </w:r>
      <w:r w:rsidRPr="006B0C6C">
        <w:rPr>
          <w:rFonts w:ascii="Calibri" w:eastAsia="Calibri" w:hAnsi="Calibri" w:cs="Calibri"/>
        </w:rPr>
        <w:t xml:space="preserve">n </w:t>
      </w:r>
      <w:r w:rsidR="3E208E24" w:rsidRPr="006B0C6C">
        <w:rPr>
          <w:rFonts w:ascii="Calibri" w:eastAsia="Calibri" w:hAnsi="Calibri" w:cs="Calibri"/>
        </w:rPr>
        <w:t xml:space="preserve">2021 in </w:t>
      </w:r>
      <w:r w:rsidRPr="006B0C6C">
        <w:rPr>
          <w:rFonts w:ascii="Calibri" w:eastAsia="Calibri" w:hAnsi="Calibri" w:cs="Calibri"/>
        </w:rPr>
        <w:t>Indonesia</w:t>
      </w:r>
      <w:r w:rsidR="3E208E24" w:rsidRPr="006B0C6C">
        <w:rPr>
          <w:rFonts w:ascii="Calibri" w:eastAsia="Calibri" w:hAnsi="Calibri" w:cs="Calibri"/>
        </w:rPr>
        <w:t>,</w:t>
      </w:r>
      <w:r w:rsidRPr="006B0C6C">
        <w:rPr>
          <w:rFonts w:ascii="Calibri" w:eastAsia="Calibri" w:hAnsi="Calibri" w:cs="Calibri"/>
        </w:rPr>
        <w:t xml:space="preserve"> there was coverage in </w:t>
      </w:r>
      <w:r w:rsidR="3E208E24" w:rsidRPr="006B0C6C">
        <w:rPr>
          <w:rFonts w:ascii="Calibri" w:eastAsia="Calibri" w:hAnsi="Calibri" w:cs="Calibri"/>
        </w:rPr>
        <w:t xml:space="preserve">the </w:t>
      </w:r>
      <w:r w:rsidRPr="006B0C6C">
        <w:rPr>
          <w:rFonts w:ascii="Calibri" w:eastAsia="Calibri" w:hAnsi="Calibri" w:cs="Calibri"/>
        </w:rPr>
        <w:t>national press of the arrival of Australian vaccine doses, with the Indonesian Foreign Minister</w:t>
      </w:r>
      <w:r w:rsidR="3E208E24" w:rsidRPr="006B0C6C">
        <w:rPr>
          <w:rFonts w:ascii="Calibri" w:eastAsia="Calibri" w:hAnsi="Calibri" w:cs="Calibri"/>
        </w:rPr>
        <w:t xml:space="preserve">, </w:t>
      </w:r>
      <w:r w:rsidRPr="006B0C6C">
        <w:rPr>
          <w:rFonts w:ascii="Calibri" w:eastAsia="Calibri" w:hAnsi="Calibri" w:cs="Calibri"/>
        </w:rPr>
        <w:t>Retno Marsudi</w:t>
      </w:r>
      <w:r w:rsidR="3E208E24" w:rsidRPr="006B0C6C">
        <w:rPr>
          <w:rFonts w:ascii="Calibri" w:eastAsia="Calibri" w:hAnsi="Calibri" w:cs="Calibri"/>
        </w:rPr>
        <w:t>,</w:t>
      </w:r>
      <w:r w:rsidRPr="006B0C6C">
        <w:rPr>
          <w:rFonts w:ascii="Calibri" w:eastAsia="Calibri" w:hAnsi="Calibri" w:cs="Calibri"/>
        </w:rPr>
        <w:t xml:space="preserve"> announcing the arrival of the first batch on live television.</w:t>
      </w:r>
    </w:p>
    <w:p w14:paraId="5D35315B" w14:textId="5BD8DBED" w:rsidR="42F29CBC" w:rsidRPr="006B0C6C" w:rsidRDefault="3E4EC370" w:rsidP="44C8811F">
      <w:pPr>
        <w:pStyle w:val="Heading3SHS"/>
      </w:pPr>
      <w:bookmarkStart w:id="116" w:name="_Toc200617279"/>
      <w:r w:rsidRPr="006B0C6C">
        <w:t xml:space="preserve">Reasons why Australian support </w:t>
      </w:r>
      <w:r w:rsidR="6364E8F7" w:rsidRPr="006B0C6C">
        <w:t xml:space="preserve">strengthened </w:t>
      </w:r>
      <w:r w:rsidRPr="006B0C6C">
        <w:t>relationships</w:t>
      </w:r>
      <w:bookmarkEnd w:id="116"/>
    </w:p>
    <w:p w14:paraId="45B3C3AC" w14:textId="47E575C0" w:rsidR="44C8811F" w:rsidRPr="006B0C6C" w:rsidRDefault="00D83DED" w:rsidP="50C218EC">
      <w:pPr>
        <w:spacing w:after="0" w:line="257" w:lineRule="auto"/>
        <w:jc w:val="both"/>
        <w:rPr>
          <w:rFonts w:ascii="Calibri" w:eastAsia="Calibri" w:hAnsi="Calibri" w:cs="Calibri"/>
        </w:rPr>
      </w:pPr>
      <w:r w:rsidRPr="006B0C6C">
        <w:rPr>
          <w:rFonts w:ascii="Calibri" w:eastAsia="Calibri" w:hAnsi="Calibri" w:cs="Calibri"/>
          <w:b/>
          <w:bCs/>
          <w:u w:val="single"/>
        </w:rPr>
        <w:t>Early</w:t>
      </w:r>
      <w:r w:rsidR="3E4EC370" w:rsidRPr="006B0C6C">
        <w:rPr>
          <w:rFonts w:ascii="Calibri" w:eastAsia="Calibri" w:hAnsi="Calibri" w:cs="Calibri"/>
          <w:b/>
          <w:bCs/>
          <w:u w:val="single"/>
        </w:rPr>
        <w:t xml:space="preserve"> vaccine support</w:t>
      </w:r>
      <w:r w:rsidR="3E4EC370" w:rsidRPr="006B0C6C">
        <w:rPr>
          <w:rFonts w:ascii="Calibri" w:eastAsia="Calibri" w:hAnsi="Calibri" w:cs="Calibri"/>
          <w:u w:val="single"/>
        </w:rPr>
        <w:t>.</w:t>
      </w:r>
      <w:r w:rsidR="3E4EC370" w:rsidRPr="006B0C6C">
        <w:rPr>
          <w:rFonts w:ascii="Calibri" w:eastAsia="Calibri" w:hAnsi="Calibri" w:cs="Calibri"/>
        </w:rPr>
        <w:t xml:space="preserve"> </w:t>
      </w:r>
      <w:r w:rsidR="270B4EE0" w:rsidRPr="006B0C6C">
        <w:rPr>
          <w:rFonts w:ascii="Calibri" w:eastAsia="Calibri" w:hAnsi="Calibri" w:cs="Calibri"/>
        </w:rPr>
        <w:t xml:space="preserve">It was vitally important to Australia’s credibility with partner </w:t>
      </w:r>
      <w:r w:rsidR="00220AC3">
        <w:rPr>
          <w:rFonts w:ascii="Calibri" w:eastAsia="Calibri" w:hAnsi="Calibri" w:cs="Calibri"/>
        </w:rPr>
        <w:t>g</w:t>
      </w:r>
      <w:r w:rsidR="270B4EE0" w:rsidRPr="006B0C6C">
        <w:rPr>
          <w:rFonts w:ascii="Calibri" w:eastAsia="Calibri" w:hAnsi="Calibri" w:cs="Calibri"/>
        </w:rPr>
        <w:t>overnments that it was able to provide vaccines early in the response, and notably earlier than other donors</w:t>
      </w:r>
      <w:r w:rsidR="00680F23" w:rsidRPr="006B0C6C">
        <w:rPr>
          <w:rFonts w:ascii="Calibri" w:eastAsia="Calibri" w:hAnsi="Calibri" w:cs="Calibri"/>
        </w:rPr>
        <w:t xml:space="preserve"> (see </w:t>
      </w:r>
      <w:r w:rsidR="00E4551A">
        <w:rPr>
          <w:rFonts w:ascii="Calibri" w:eastAsia="Calibri" w:hAnsi="Calibri" w:cs="Calibri"/>
        </w:rPr>
        <w:t xml:space="preserve">section </w:t>
      </w:r>
      <w:r w:rsidR="00680F23" w:rsidRPr="006B0C6C">
        <w:rPr>
          <w:rFonts w:ascii="Calibri" w:eastAsia="Calibri" w:hAnsi="Calibri" w:cs="Calibri"/>
        </w:rPr>
        <w:t>4.2.1)</w:t>
      </w:r>
      <w:r w:rsidR="270B4EE0" w:rsidRPr="006B0C6C">
        <w:rPr>
          <w:rFonts w:ascii="Calibri" w:eastAsia="Calibri" w:hAnsi="Calibri" w:cs="Calibri"/>
        </w:rPr>
        <w:t>. Some countries were able to access vaccines from other sources, including bilateral deals, but Australia was consistent with its early deliveries.</w:t>
      </w:r>
      <w:r w:rsidR="02F0D038" w:rsidRPr="006B0C6C">
        <w:rPr>
          <w:rFonts w:ascii="Calibri" w:eastAsia="Calibri" w:hAnsi="Calibri" w:cs="Calibri"/>
        </w:rPr>
        <w:t xml:space="preserve"> </w:t>
      </w:r>
      <w:r w:rsidR="270B4EE0" w:rsidRPr="006B0C6C">
        <w:rPr>
          <w:rFonts w:ascii="Calibri" w:eastAsia="Calibri" w:hAnsi="Calibri" w:cs="Calibri"/>
        </w:rPr>
        <w:t xml:space="preserve">However, </w:t>
      </w:r>
      <w:r w:rsidR="2E8A3F82" w:rsidRPr="006B0C6C">
        <w:rPr>
          <w:rFonts w:ascii="Calibri" w:eastAsia="Calibri" w:hAnsi="Calibri" w:cs="Calibri"/>
        </w:rPr>
        <w:t xml:space="preserve">in some countries, </w:t>
      </w:r>
      <w:r w:rsidR="270B4EE0" w:rsidRPr="006B0C6C">
        <w:rPr>
          <w:rFonts w:ascii="Calibri" w:eastAsia="Calibri" w:hAnsi="Calibri" w:cs="Calibri"/>
        </w:rPr>
        <w:t xml:space="preserve">the announcement that </w:t>
      </w:r>
      <w:r w:rsidR="01A8B8BC" w:rsidRPr="006B0C6C">
        <w:rPr>
          <w:rFonts w:ascii="Calibri" w:eastAsia="Calibri" w:hAnsi="Calibri" w:cs="Calibri"/>
        </w:rPr>
        <w:t xml:space="preserve">Australia would supply </w:t>
      </w:r>
      <w:r w:rsidR="00E4551A">
        <w:rPr>
          <w:rFonts w:ascii="Calibri" w:eastAsia="Calibri" w:hAnsi="Calibri" w:cs="Calibri"/>
        </w:rPr>
        <w:t xml:space="preserve">vaccine </w:t>
      </w:r>
      <w:r w:rsidR="270B4EE0" w:rsidRPr="006B0C6C">
        <w:rPr>
          <w:rFonts w:ascii="Calibri" w:eastAsia="Calibri" w:hAnsi="Calibri" w:cs="Calibri"/>
        </w:rPr>
        <w:t xml:space="preserve">doses created expectations that put pressure on Post to deliver – something that was not within Posts’ control – and created some tensions in bilateral relations. This was overcome with the arrival of </w:t>
      </w:r>
      <w:r w:rsidRPr="006B0C6C">
        <w:rPr>
          <w:rFonts w:ascii="Calibri" w:eastAsia="Calibri" w:hAnsi="Calibri" w:cs="Calibri"/>
        </w:rPr>
        <w:t>vaccine</w:t>
      </w:r>
      <w:r w:rsidR="270B4EE0" w:rsidRPr="006B0C6C">
        <w:rPr>
          <w:rFonts w:ascii="Calibri" w:eastAsia="Calibri" w:hAnsi="Calibri" w:cs="Calibri"/>
        </w:rPr>
        <w:t xml:space="preserve">s. </w:t>
      </w:r>
    </w:p>
    <w:p w14:paraId="4A486D90" w14:textId="5A07CD7A" w:rsidR="50C218EC" w:rsidRPr="006B0C6C" w:rsidRDefault="50C218EC" w:rsidP="50C218EC">
      <w:pPr>
        <w:spacing w:after="0" w:line="257" w:lineRule="auto"/>
        <w:jc w:val="both"/>
        <w:rPr>
          <w:rFonts w:ascii="Calibri" w:eastAsia="Calibri" w:hAnsi="Calibri" w:cs="Calibri"/>
        </w:rPr>
      </w:pPr>
    </w:p>
    <w:p w14:paraId="16F2CD10" w14:textId="48E32B4E" w:rsidR="42F29CBC" w:rsidRPr="006B0C6C" w:rsidRDefault="1BA89F40" w:rsidP="00D83DED">
      <w:pPr>
        <w:spacing w:after="0" w:line="257" w:lineRule="auto"/>
        <w:jc w:val="both"/>
      </w:pPr>
      <w:r w:rsidRPr="4A351EF4">
        <w:rPr>
          <w:b/>
          <w:bCs/>
          <w:u w:val="single"/>
        </w:rPr>
        <w:t>Responsive to country needs and fast to deliver</w:t>
      </w:r>
      <w:r w:rsidR="55207EED" w:rsidRPr="4A351EF4">
        <w:rPr>
          <w:b/>
          <w:bCs/>
          <w:u w:val="single"/>
        </w:rPr>
        <w:t>.</w:t>
      </w:r>
      <w:r w:rsidR="55207EED">
        <w:t xml:space="preserve"> </w:t>
      </w:r>
      <w:r w:rsidR="2FE0740E">
        <w:t>From the outset of</w:t>
      </w:r>
      <w:r w:rsidR="55EF73DA">
        <w:t xml:space="preserve"> VAHSI </w:t>
      </w:r>
      <w:r w:rsidR="4A8F2BCA">
        <w:t xml:space="preserve">Australia consulted directly with partner </w:t>
      </w:r>
      <w:r w:rsidR="00220AC3">
        <w:t>g</w:t>
      </w:r>
      <w:r w:rsidR="4A8F2BCA">
        <w:t xml:space="preserve">overnments on what they needed in terms of support for their national vaccination </w:t>
      </w:r>
      <w:r w:rsidR="55EF73DA">
        <w:t>program</w:t>
      </w:r>
      <w:r w:rsidR="23C02EF7">
        <w:t>s.</w:t>
      </w:r>
      <w:r w:rsidR="55EF73DA">
        <w:t xml:space="preserve"> </w:t>
      </w:r>
      <w:r w:rsidR="0A900C28">
        <w:t>This included both vaccine needs and the development of delivery support proposals</w:t>
      </w:r>
      <w:r w:rsidR="00AA064F">
        <w:t>, including rigorous needs assessment and</w:t>
      </w:r>
      <w:r w:rsidR="004F06B3">
        <w:t xml:space="preserve"> review</w:t>
      </w:r>
      <w:r w:rsidR="0A900C28">
        <w:t xml:space="preserve">. </w:t>
      </w:r>
      <w:r w:rsidR="55EF73DA">
        <w:t xml:space="preserve">Australia listened </w:t>
      </w:r>
      <w:r w:rsidR="4E38B828">
        <w:t xml:space="preserve">to, </w:t>
      </w:r>
      <w:r w:rsidR="55EF73DA">
        <w:t xml:space="preserve">and </w:t>
      </w:r>
      <w:r w:rsidR="09B660A6">
        <w:t xml:space="preserve">provided </w:t>
      </w:r>
      <w:r w:rsidR="55EF73DA">
        <w:t xml:space="preserve">countries what they needed, in contrast to some other donors to the region who </w:t>
      </w:r>
      <w:r w:rsidR="7897757B">
        <w:t xml:space="preserve">were </w:t>
      </w:r>
      <w:r w:rsidR="55EF73DA">
        <w:t xml:space="preserve">perceived as dumping short shelf-life doses and </w:t>
      </w:r>
      <w:r w:rsidR="55AAFD9E">
        <w:t>‘</w:t>
      </w:r>
      <w:r w:rsidR="55EF73DA">
        <w:t>talking a good game</w:t>
      </w:r>
      <w:r w:rsidR="55AAFD9E">
        <w:t>’</w:t>
      </w:r>
      <w:r w:rsidR="55EF73DA">
        <w:t xml:space="preserve"> about donations whil</w:t>
      </w:r>
      <w:r w:rsidR="43B20349">
        <w:t>e</w:t>
      </w:r>
      <w:r w:rsidR="55EF73DA">
        <w:t xml:space="preserve"> </w:t>
      </w:r>
      <w:r w:rsidR="43B20349">
        <w:t>procuring</w:t>
      </w:r>
      <w:r w:rsidR="55EF73DA">
        <w:t xml:space="preserve"> vaccines </w:t>
      </w:r>
      <w:r w:rsidR="4C9D658E">
        <w:t xml:space="preserve">for </w:t>
      </w:r>
      <w:r w:rsidR="55EF73DA">
        <w:t xml:space="preserve">themselves. </w:t>
      </w:r>
      <w:r w:rsidR="55AAFD9E">
        <w:t>Providing countries with the support they needed was not</w:t>
      </w:r>
      <w:r w:rsidR="55EF73DA">
        <w:t xml:space="preserve"> just providing vaccines and related delivery </w:t>
      </w:r>
      <w:r w:rsidR="58BCF0B3">
        <w:t>support</w:t>
      </w:r>
      <w:r w:rsidR="55AAFD9E">
        <w:t>,</w:t>
      </w:r>
      <w:r w:rsidR="58BCF0B3">
        <w:t xml:space="preserve"> </w:t>
      </w:r>
      <w:r w:rsidR="55EF73DA">
        <w:t xml:space="preserve">but </w:t>
      </w:r>
      <w:r w:rsidR="55AAFD9E">
        <w:t xml:space="preserve">also </w:t>
      </w:r>
      <w:r w:rsidR="17222C91">
        <w:t xml:space="preserve">providing technical assistance, such as </w:t>
      </w:r>
      <w:r w:rsidR="55EF73DA">
        <w:t xml:space="preserve">linking </w:t>
      </w:r>
      <w:r w:rsidR="458BD0FD">
        <w:t>M</w:t>
      </w:r>
      <w:r w:rsidR="55EF73DA">
        <w:t xml:space="preserve">inistries of </w:t>
      </w:r>
      <w:r w:rsidR="458BD0FD">
        <w:t>H</w:t>
      </w:r>
      <w:r w:rsidR="55EF73DA">
        <w:t>ealth to Australian expertise when it was needed</w:t>
      </w:r>
      <w:r w:rsidR="55AAFD9E">
        <w:t xml:space="preserve">. For example, </w:t>
      </w:r>
      <w:r w:rsidR="55EF73DA">
        <w:t xml:space="preserve">providing advice on the use of </w:t>
      </w:r>
      <w:r w:rsidR="43B20349">
        <w:t>AstraZeneca</w:t>
      </w:r>
      <w:r w:rsidR="55EF73DA">
        <w:t xml:space="preserve"> in the under</w:t>
      </w:r>
      <w:r w:rsidR="09B660A6">
        <w:t>-</w:t>
      </w:r>
      <w:r w:rsidR="55EF73DA">
        <w:t>50 population.</w:t>
      </w:r>
    </w:p>
    <w:p w14:paraId="5D72668F" w14:textId="77777777" w:rsidR="00D83DED" w:rsidRPr="006B0C6C" w:rsidRDefault="00D83DED" w:rsidP="00D83DED">
      <w:pPr>
        <w:spacing w:after="0" w:line="257" w:lineRule="auto"/>
        <w:jc w:val="both"/>
        <w:rPr>
          <w:rFonts w:eastAsiaTheme="minorEastAsia" w:cstheme="minorBidi"/>
        </w:rPr>
      </w:pPr>
    </w:p>
    <w:p w14:paraId="289DB747" w14:textId="1C36C4CD" w:rsidR="00D83DED" w:rsidRPr="006B0C6C" w:rsidRDefault="75813671" w:rsidP="00987907">
      <w:pPr>
        <w:spacing w:after="0" w:line="257" w:lineRule="auto"/>
        <w:jc w:val="both"/>
        <w:rPr>
          <w:rFonts w:ascii="Calibri" w:eastAsia="Calibri" w:hAnsi="Calibri" w:cs="Calibri"/>
        </w:rPr>
      </w:pPr>
      <w:r w:rsidRPr="33FE3C21">
        <w:rPr>
          <w:rFonts w:ascii="Calibri" w:eastAsia="Calibri" w:hAnsi="Calibri" w:cs="Calibri"/>
          <w:b/>
          <w:bCs/>
          <w:u w:val="single"/>
        </w:rPr>
        <w:t>Flexibility of VAHSI.</w:t>
      </w:r>
      <w:r w:rsidRPr="33FE3C21">
        <w:rPr>
          <w:rFonts w:ascii="Calibri" w:eastAsia="Calibri" w:hAnsi="Calibri" w:cs="Calibri"/>
          <w:b/>
          <w:bCs/>
        </w:rPr>
        <w:t xml:space="preserve"> </w:t>
      </w:r>
      <w:r w:rsidR="6A24494E" w:rsidRPr="33FE3C21">
        <w:rPr>
          <w:rFonts w:ascii="Calibri" w:eastAsia="Calibri" w:hAnsi="Calibri" w:cs="Calibri"/>
        </w:rPr>
        <w:t xml:space="preserve">The flexibility </w:t>
      </w:r>
      <w:r w:rsidR="294FF702" w:rsidRPr="33FE3C21">
        <w:rPr>
          <w:rFonts w:ascii="Calibri" w:eastAsia="Calibri" w:hAnsi="Calibri" w:cs="Calibri"/>
        </w:rPr>
        <w:t xml:space="preserve">of Australia’s support under VAHSI </w:t>
      </w:r>
      <w:r w:rsidR="6A24494E" w:rsidRPr="33FE3C21">
        <w:rPr>
          <w:rFonts w:ascii="Calibri" w:eastAsia="Calibri" w:hAnsi="Calibri" w:cs="Calibri"/>
        </w:rPr>
        <w:t xml:space="preserve">was </w:t>
      </w:r>
      <w:r w:rsidR="00D83DED" w:rsidRPr="33FE3C21">
        <w:rPr>
          <w:rFonts w:ascii="Calibri" w:eastAsia="Calibri" w:hAnsi="Calibri" w:cs="Calibri"/>
        </w:rPr>
        <w:t xml:space="preserve">strongly </w:t>
      </w:r>
      <w:r w:rsidR="6A24494E" w:rsidRPr="33FE3C21">
        <w:rPr>
          <w:rFonts w:ascii="Calibri" w:eastAsia="Calibri" w:hAnsi="Calibri" w:cs="Calibri"/>
        </w:rPr>
        <w:t xml:space="preserve">appreciated. </w:t>
      </w:r>
      <w:r w:rsidR="4191AB71" w:rsidRPr="33FE3C21">
        <w:rPr>
          <w:rFonts w:ascii="Calibri" w:eastAsia="Calibri" w:hAnsi="Calibri" w:cs="Calibri"/>
        </w:rPr>
        <w:t xml:space="preserve"> </w:t>
      </w:r>
      <w:r w:rsidR="00D83DED" w:rsidRPr="33FE3C21">
        <w:rPr>
          <w:rFonts w:ascii="Calibri" w:eastAsia="Calibri" w:hAnsi="Calibri" w:cs="Calibri"/>
        </w:rPr>
        <w:t>For</w:t>
      </w:r>
      <w:r w:rsidR="7017E6DD" w:rsidRPr="33FE3C21">
        <w:rPr>
          <w:rFonts w:ascii="Calibri" w:eastAsia="Calibri" w:hAnsi="Calibri" w:cs="Calibri"/>
        </w:rPr>
        <w:t xml:space="preserve"> </w:t>
      </w:r>
      <w:r w:rsidR="3A8EA338" w:rsidRPr="33FE3C21">
        <w:rPr>
          <w:rFonts w:ascii="Calibri" w:eastAsia="Calibri" w:hAnsi="Calibri" w:cs="Calibri"/>
        </w:rPr>
        <w:t>example</w:t>
      </w:r>
      <w:r w:rsidR="7017E6DD" w:rsidRPr="33FE3C21">
        <w:rPr>
          <w:rFonts w:ascii="Calibri" w:eastAsia="Calibri" w:hAnsi="Calibri" w:cs="Calibri"/>
        </w:rPr>
        <w:t xml:space="preserve">, </w:t>
      </w:r>
      <w:r w:rsidR="4191AB71" w:rsidRPr="33FE3C21">
        <w:rPr>
          <w:rFonts w:ascii="Calibri" w:eastAsia="Calibri" w:hAnsi="Calibri" w:cs="Calibri"/>
        </w:rPr>
        <w:t xml:space="preserve">Australia had programmed 10.2 million Pfizer doses for </w:t>
      </w:r>
      <w:r w:rsidR="612EE1D8" w:rsidRPr="33FE3C21">
        <w:rPr>
          <w:rFonts w:ascii="Calibri" w:eastAsia="Calibri" w:hAnsi="Calibri" w:cs="Calibri"/>
        </w:rPr>
        <w:t xml:space="preserve">supply </w:t>
      </w:r>
      <w:r w:rsidR="00D83DED" w:rsidRPr="33FE3C21">
        <w:rPr>
          <w:rFonts w:ascii="Calibri" w:eastAsia="Calibri" w:hAnsi="Calibri" w:cs="Calibri"/>
        </w:rPr>
        <w:t xml:space="preserve">to Indonesia </w:t>
      </w:r>
      <w:r w:rsidR="4191AB71" w:rsidRPr="33FE3C21">
        <w:rPr>
          <w:rFonts w:ascii="Calibri" w:eastAsia="Calibri" w:hAnsi="Calibri" w:cs="Calibri"/>
        </w:rPr>
        <w:t xml:space="preserve">in 2022 – the </w:t>
      </w:r>
      <w:r w:rsidR="003B10B0" w:rsidRPr="33FE3C21">
        <w:rPr>
          <w:rFonts w:ascii="Calibri" w:eastAsia="Calibri" w:hAnsi="Calibri" w:cs="Calibri"/>
        </w:rPr>
        <w:t xml:space="preserve">timing being the </w:t>
      </w:r>
      <w:r w:rsidR="4191AB71" w:rsidRPr="33FE3C21">
        <w:rPr>
          <w:rFonts w:ascii="Calibri" w:eastAsia="Calibri" w:hAnsi="Calibri" w:cs="Calibri"/>
        </w:rPr>
        <w:t>preference of the country</w:t>
      </w:r>
      <w:r w:rsidR="139B8CC7" w:rsidRPr="33FE3C21">
        <w:rPr>
          <w:rFonts w:ascii="Calibri" w:eastAsia="Calibri" w:hAnsi="Calibri" w:cs="Calibri"/>
        </w:rPr>
        <w:t xml:space="preserve">. Given vaccination progress, Indonesia decided these doses would no longer be needed. Rather than dumping, or wasting them, Australia was able to reallocate the doses to Vietnam to fulfil a need for </w:t>
      </w:r>
      <w:r w:rsidR="2C74BC1C" w:rsidRPr="33FE3C21">
        <w:rPr>
          <w:rFonts w:ascii="Calibri" w:eastAsia="Calibri" w:hAnsi="Calibri" w:cs="Calibri"/>
        </w:rPr>
        <w:t>paediatric doses.</w:t>
      </w:r>
    </w:p>
    <w:p w14:paraId="247DCEBB" w14:textId="77777777" w:rsidR="00D83DED" w:rsidRPr="006B0C6C" w:rsidRDefault="00D83DED" w:rsidP="00987907">
      <w:pPr>
        <w:spacing w:after="0" w:line="257" w:lineRule="auto"/>
        <w:jc w:val="both"/>
        <w:rPr>
          <w:rFonts w:ascii="Calibri" w:eastAsia="Calibri" w:hAnsi="Calibri" w:cs="Calibri"/>
        </w:rPr>
      </w:pPr>
    </w:p>
    <w:p w14:paraId="7D682824" w14:textId="46A0483A" w:rsidR="7388A156" w:rsidRPr="006B0C6C" w:rsidRDefault="02EE9E5A" w:rsidP="5EB2BCB1">
      <w:pPr>
        <w:spacing w:after="0" w:line="257" w:lineRule="auto"/>
        <w:jc w:val="both"/>
        <w:rPr>
          <w:rFonts w:ascii="Calibri" w:eastAsia="Calibri" w:hAnsi="Calibri" w:cs="Calibri"/>
        </w:rPr>
      </w:pPr>
      <w:r w:rsidRPr="006B0C6C">
        <w:rPr>
          <w:rFonts w:ascii="Calibri" w:eastAsia="Calibri" w:hAnsi="Calibri" w:cs="Calibri"/>
          <w:b/>
          <w:bCs/>
          <w:u w:val="single"/>
        </w:rPr>
        <w:t>Acted as a trusted partner.</w:t>
      </w:r>
      <w:r w:rsidRPr="006B0C6C">
        <w:rPr>
          <w:rFonts w:ascii="Calibri" w:eastAsia="Calibri" w:hAnsi="Calibri" w:cs="Calibri"/>
        </w:rPr>
        <w:t xml:space="preserve"> </w:t>
      </w:r>
      <w:r w:rsidR="79DC47C1" w:rsidRPr="006B0C6C">
        <w:rPr>
          <w:rFonts w:ascii="Calibri" w:eastAsia="Calibri" w:hAnsi="Calibri" w:cs="Calibri"/>
        </w:rPr>
        <w:t xml:space="preserve">The evaluation </w:t>
      </w:r>
      <w:r w:rsidR="3E208E24" w:rsidRPr="006B0C6C">
        <w:rPr>
          <w:rFonts w:ascii="Calibri" w:eastAsia="Calibri" w:hAnsi="Calibri" w:cs="Calibri"/>
        </w:rPr>
        <w:t>found significant</w:t>
      </w:r>
      <w:r w:rsidR="79DC47C1" w:rsidRPr="006B0C6C">
        <w:rPr>
          <w:rFonts w:ascii="Calibri" w:eastAsia="Calibri" w:hAnsi="Calibri" w:cs="Calibri"/>
        </w:rPr>
        <w:t xml:space="preserve"> evidence from </w:t>
      </w:r>
      <w:r w:rsidR="03F9C807" w:rsidRPr="006B0C6C">
        <w:rPr>
          <w:rFonts w:ascii="Calibri" w:eastAsia="Calibri" w:hAnsi="Calibri" w:cs="Calibri"/>
        </w:rPr>
        <w:t xml:space="preserve">in-country delivery </w:t>
      </w:r>
      <w:r w:rsidR="00C24930">
        <w:rPr>
          <w:rFonts w:ascii="Calibri" w:eastAsia="Calibri" w:hAnsi="Calibri" w:cs="Calibri"/>
        </w:rPr>
        <w:t xml:space="preserve">support </w:t>
      </w:r>
      <w:r w:rsidR="79DC47C1" w:rsidRPr="006B0C6C">
        <w:rPr>
          <w:rFonts w:ascii="Calibri" w:eastAsia="Calibri" w:hAnsi="Calibri" w:cs="Calibri"/>
        </w:rPr>
        <w:t xml:space="preserve">partners </w:t>
      </w:r>
      <w:r w:rsidR="4DA1BB88" w:rsidRPr="006B0C6C">
        <w:rPr>
          <w:rFonts w:ascii="Calibri" w:eastAsia="Calibri" w:hAnsi="Calibri" w:cs="Calibri"/>
        </w:rPr>
        <w:t xml:space="preserve">and </w:t>
      </w:r>
      <w:r w:rsidR="79DC47C1" w:rsidRPr="006B0C6C">
        <w:rPr>
          <w:rFonts w:ascii="Calibri" w:eastAsia="Calibri" w:hAnsi="Calibri" w:cs="Calibri"/>
        </w:rPr>
        <w:t xml:space="preserve">DFAT </w:t>
      </w:r>
      <w:r w:rsidR="3E208E24" w:rsidRPr="006B0C6C">
        <w:rPr>
          <w:rFonts w:ascii="Calibri" w:eastAsia="Calibri" w:hAnsi="Calibri" w:cs="Calibri"/>
        </w:rPr>
        <w:t>officers</w:t>
      </w:r>
      <w:r w:rsidR="79DC47C1" w:rsidRPr="006B0C6C">
        <w:rPr>
          <w:rFonts w:ascii="Calibri" w:eastAsia="Calibri" w:hAnsi="Calibri" w:cs="Calibri"/>
        </w:rPr>
        <w:t xml:space="preserve">, </w:t>
      </w:r>
      <w:r w:rsidR="23E14B56" w:rsidRPr="006B0C6C">
        <w:rPr>
          <w:rFonts w:ascii="Calibri" w:eastAsia="Calibri" w:hAnsi="Calibri" w:cs="Calibri"/>
        </w:rPr>
        <w:t xml:space="preserve">as well as </w:t>
      </w:r>
      <w:r w:rsidR="00E4551A">
        <w:rPr>
          <w:rFonts w:ascii="Calibri" w:eastAsia="Calibri" w:hAnsi="Calibri" w:cs="Calibri"/>
        </w:rPr>
        <w:t xml:space="preserve">partner </w:t>
      </w:r>
      <w:r w:rsidR="00220AC3">
        <w:rPr>
          <w:rFonts w:ascii="Calibri" w:eastAsia="Calibri" w:hAnsi="Calibri" w:cs="Calibri"/>
        </w:rPr>
        <w:t>g</w:t>
      </w:r>
      <w:r w:rsidR="00E4551A">
        <w:rPr>
          <w:rFonts w:ascii="Calibri" w:eastAsia="Calibri" w:hAnsi="Calibri" w:cs="Calibri"/>
        </w:rPr>
        <w:t>overnments</w:t>
      </w:r>
      <w:r w:rsidR="23E14B56" w:rsidRPr="006B0C6C">
        <w:rPr>
          <w:rFonts w:ascii="Calibri" w:eastAsia="Calibri" w:hAnsi="Calibri" w:cs="Calibri"/>
        </w:rPr>
        <w:t xml:space="preserve">, </w:t>
      </w:r>
      <w:r w:rsidR="79DC47C1" w:rsidRPr="006B0C6C">
        <w:rPr>
          <w:rFonts w:ascii="Calibri" w:eastAsia="Calibri" w:hAnsi="Calibri" w:cs="Calibri"/>
        </w:rPr>
        <w:t xml:space="preserve">that countries treated Australia not simply as a donor but as a trusted </w:t>
      </w:r>
      <w:r w:rsidR="1A7F4010" w:rsidRPr="006B0C6C">
        <w:rPr>
          <w:rFonts w:ascii="Calibri" w:eastAsia="Calibri" w:hAnsi="Calibri" w:cs="Calibri"/>
        </w:rPr>
        <w:t xml:space="preserve">in-country </w:t>
      </w:r>
      <w:r w:rsidR="79DC47C1" w:rsidRPr="006B0C6C">
        <w:rPr>
          <w:rFonts w:ascii="Calibri" w:eastAsia="Calibri" w:hAnsi="Calibri" w:cs="Calibri"/>
        </w:rPr>
        <w:t xml:space="preserve">partner. </w:t>
      </w:r>
      <w:r w:rsidR="3E208E24" w:rsidRPr="006B0C6C">
        <w:rPr>
          <w:rFonts w:ascii="Calibri" w:eastAsia="Calibri" w:hAnsi="Calibri" w:cs="Calibri"/>
        </w:rPr>
        <w:t xml:space="preserve">This was partly attributed to </w:t>
      </w:r>
      <w:r w:rsidR="79DC47C1" w:rsidRPr="006B0C6C">
        <w:rPr>
          <w:rFonts w:ascii="Calibri" w:eastAsia="Calibri" w:hAnsi="Calibri" w:cs="Calibri"/>
        </w:rPr>
        <w:t>Australia not imposing onerous conditions on support and working with</w:t>
      </w:r>
      <w:r w:rsidR="6EABD13C" w:rsidRPr="006B0C6C">
        <w:rPr>
          <w:rFonts w:ascii="Calibri" w:eastAsia="Calibri" w:hAnsi="Calibri" w:cs="Calibri"/>
        </w:rPr>
        <w:t xml:space="preserve"> delivery</w:t>
      </w:r>
      <w:r w:rsidR="79DC47C1" w:rsidRPr="006B0C6C">
        <w:rPr>
          <w:rFonts w:ascii="Calibri" w:eastAsia="Calibri" w:hAnsi="Calibri" w:cs="Calibri"/>
        </w:rPr>
        <w:t xml:space="preserve"> </w:t>
      </w:r>
      <w:r w:rsidR="00C24930">
        <w:rPr>
          <w:rFonts w:ascii="Calibri" w:eastAsia="Calibri" w:hAnsi="Calibri" w:cs="Calibri"/>
        </w:rPr>
        <w:t xml:space="preserve">support </w:t>
      </w:r>
      <w:r w:rsidR="79DC47C1" w:rsidRPr="006B0C6C">
        <w:rPr>
          <w:rFonts w:ascii="Calibri" w:eastAsia="Calibri" w:hAnsi="Calibri" w:cs="Calibri"/>
        </w:rPr>
        <w:t>partner</w:t>
      </w:r>
      <w:r w:rsidR="00E4551A">
        <w:rPr>
          <w:rFonts w:ascii="Calibri" w:eastAsia="Calibri" w:hAnsi="Calibri" w:cs="Calibri"/>
        </w:rPr>
        <w:t>s</w:t>
      </w:r>
      <w:r w:rsidR="79DC47C1" w:rsidRPr="006B0C6C">
        <w:rPr>
          <w:rFonts w:ascii="Calibri" w:eastAsia="Calibri" w:hAnsi="Calibri" w:cs="Calibri"/>
        </w:rPr>
        <w:t xml:space="preserve"> to reduce </w:t>
      </w:r>
      <w:r w:rsidR="004D77D7">
        <w:rPr>
          <w:rFonts w:ascii="Calibri" w:eastAsia="Calibri" w:hAnsi="Calibri" w:cs="Calibri"/>
        </w:rPr>
        <w:t xml:space="preserve">the </w:t>
      </w:r>
      <w:r w:rsidR="79DC47C1" w:rsidRPr="006B0C6C">
        <w:rPr>
          <w:rFonts w:ascii="Calibri" w:eastAsia="Calibri" w:hAnsi="Calibri" w:cs="Calibri"/>
        </w:rPr>
        <w:t>burden on ministries.</w:t>
      </w:r>
    </w:p>
    <w:p w14:paraId="4A433F30" w14:textId="77777777" w:rsidR="00D83DED" w:rsidRPr="006B0C6C" w:rsidRDefault="00D83DED" w:rsidP="00D83DED">
      <w:pPr>
        <w:spacing w:after="0" w:line="257" w:lineRule="auto"/>
        <w:jc w:val="both"/>
        <w:rPr>
          <w:rFonts w:ascii="Calibri" w:eastAsia="Calibri" w:hAnsi="Calibri" w:cs="Calibri"/>
        </w:rPr>
      </w:pPr>
    </w:p>
    <w:p w14:paraId="794552D0" w14:textId="0A1C7CBC" w:rsidR="00D3026C" w:rsidRPr="00C734C7" w:rsidRDefault="3C4294BC" w:rsidP="00987907">
      <w:pPr>
        <w:spacing w:after="0" w:line="257" w:lineRule="auto"/>
        <w:jc w:val="both"/>
        <w:rPr>
          <w:rFonts w:ascii="Calibri" w:eastAsia="Calibri" w:hAnsi="Calibri" w:cs="Calibri"/>
        </w:rPr>
      </w:pPr>
      <w:r w:rsidRPr="4A351EF4">
        <w:rPr>
          <w:rFonts w:ascii="Calibri" w:eastAsia="Calibri" w:hAnsi="Calibri" w:cs="Calibri"/>
          <w:b/>
          <w:bCs/>
          <w:u w:val="single"/>
        </w:rPr>
        <w:t>Stayed the course</w:t>
      </w:r>
      <w:r w:rsidRPr="4A351EF4">
        <w:rPr>
          <w:rFonts w:ascii="Calibri" w:eastAsia="Calibri" w:hAnsi="Calibri" w:cs="Calibri"/>
          <w:b/>
          <w:bCs/>
        </w:rPr>
        <w:t>.</w:t>
      </w:r>
      <w:r w:rsidRPr="4A351EF4">
        <w:rPr>
          <w:rFonts w:ascii="Calibri" w:eastAsia="Calibri" w:hAnsi="Calibri" w:cs="Calibri"/>
        </w:rPr>
        <w:t xml:space="preserve"> </w:t>
      </w:r>
      <w:r w:rsidR="5420ED90" w:rsidRPr="4A351EF4">
        <w:rPr>
          <w:rFonts w:ascii="Calibri" w:eastAsia="Calibri" w:hAnsi="Calibri" w:cs="Calibri"/>
        </w:rPr>
        <w:t xml:space="preserve">Australian support continued beyond the provision of </w:t>
      </w:r>
      <w:r w:rsidR="21C37B10" w:rsidRPr="4A351EF4">
        <w:rPr>
          <w:rFonts w:ascii="Calibri" w:eastAsia="Calibri" w:hAnsi="Calibri" w:cs="Calibri"/>
        </w:rPr>
        <w:t xml:space="preserve">COVID-19 </w:t>
      </w:r>
      <w:r w:rsidR="5420ED90" w:rsidRPr="4A351EF4">
        <w:rPr>
          <w:rFonts w:ascii="Calibri" w:eastAsia="Calibri" w:hAnsi="Calibri" w:cs="Calibri"/>
        </w:rPr>
        <w:t xml:space="preserve">vaccines </w:t>
      </w:r>
      <w:r w:rsidR="1C0042CB" w:rsidRPr="4A351EF4">
        <w:rPr>
          <w:rFonts w:ascii="Calibri" w:eastAsia="Calibri" w:hAnsi="Calibri" w:cs="Calibri"/>
        </w:rPr>
        <w:t xml:space="preserve">and delivery support </w:t>
      </w:r>
      <w:r w:rsidR="15437AEC" w:rsidRPr="4A351EF4">
        <w:rPr>
          <w:rFonts w:ascii="Calibri" w:eastAsia="Calibri" w:hAnsi="Calibri" w:cs="Calibri"/>
        </w:rPr>
        <w:t xml:space="preserve">requested during the Pandemic, </w:t>
      </w:r>
      <w:r w:rsidR="5420ED90" w:rsidRPr="4A351EF4">
        <w:rPr>
          <w:rFonts w:ascii="Calibri" w:eastAsia="Calibri" w:hAnsi="Calibri" w:cs="Calibri"/>
        </w:rPr>
        <w:t xml:space="preserve">to include support </w:t>
      </w:r>
      <w:r w:rsidR="67476542" w:rsidRPr="4A351EF4">
        <w:rPr>
          <w:rFonts w:ascii="Calibri" w:eastAsia="Calibri" w:hAnsi="Calibri" w:cs="Calibri"/>
        </w:rPr>
        <w:t>f</w:t>
      </w:r>
      <w:r w:rsidR="5420ED90" w:rsidRPr="4A351EF4">
        <w:rPr>
          <w:rFonts w:ascii="Calibri" w:eastAsia="Calibri" w:hAnsi="Calibri" w:cs="Calibri"/>
        </w:rPr>
        <w:t>o</w:t>
      </w:r>
      <w:r w:rsidR="67476542" w:rsidRPr="4A351EF4">
        <w:rPr>
          <w:rFonts w:ascii="Calibri" w:eastAsia="Calibri" w:hAnsi="Calibri" w:cs="Calibri"/>
        </w:rPr>
        <w:t>r</w:t>
      </w:r>
      <w:r w:rsidR="5420ED90" w:rsidRPr="4A351EF4">
        <w:rPr>
          <w:rFonts w:ascii="Calibri" w:eastAsia="Calibri" w:hAnsi="Calibri" w:cs="Calibri"/>
        </w:rPr>
        <w:t xml:space="preserve"> routin</w:t>
      </w:r>
      <w:r w:rsidR="5ED6019C" w:rsidRPr="4A351EF4">
        <w:rPr>
          <w:rFonts w:ascii="Calibri" w:eastAsia="Calibri" w:hAnsi="Calibri" w:cs="Calibri"/>
        </w:rPr>
        <w:t>e</w:t>
      </w:r>
      <w:r w:rsidR="6AE4F227" w:rsidRPr="4A351EF4">
        <w:rPr>
          <w:rFonts w:ascii="Calibri" w:eastAsia="Calibri" w:hAnsi="Calibri" w:cs="Calibri"/>
        </w:rPr>
        <w:t xml:space="preserve"> immunisation</w:t>
      </w:r>
      <w:r w:rsidR="458BD0FD" w:rsidRPr="4A351EF4">
        <w:rPr>
          <w:rFonts w:ascii="Calibri" w:eastAsia="Calibri" w:hAnsi="Calibri" w:cs="Calibri"/>
        </w:rPr>
        <w:t>. This</w:t>
      </w:r>
      <w:r w:rsidR="5ED6019C" w:rsidRPr="4A351EF4">
        <w:rPr>
          <w:rFonts w:ascii="Calibri" w:eastAsia="Calibri" w:hAnsi="Calibri" w:cs="Calibri"/>
        </w:rPr>
        <w:t xml:space="preserve"> </w:t>
      </w:r>
      <w:r w:rsidR="38428D64" w:rsidRPr="4A351EF4">
        <w:rPr>
          <w:rFonts w:ascii="Calibri" w:eastAsia="Calibri" w:hAnsi="Calibri" w:cs="Calibri"/>
        </w:rPr>
        <w:t>was</w:t>
      </w:r>
      <w:r w:rsidR="5ED6019C" w:rsidRPr="4A351EF4">
        <w:rPr>
          <w:rFonts w:ascii="Calibri" w:eastAsia="Calibri" w:hAnsi="Calibri" w:cs="Calibri"/>
        </w:rPr>
        <w:t xml:space="preserve"> reported as </w:t>
      </w:r>
      <w:r w:rsidR="38428D64" w:rsidRPr="4A351EF4">
        <w:rPr>
          <w:rFonts w:ascii="Calibri" w:eastAsia="Calibri" w:hAnsi="Calibri" w:cs="Calibri"/>
        </w:rPr>
        <w:t>beneficial</w:t>
      </w:r>
      <w:r w:rsidR="2F921D04" w:rsidRPr="4A351EF4">
        <w:rPr>
          <w:rFonts w:ascii="Calibri" w:eastAsia="Calibri" w:hAnsi="Calibri" w:cs="Calibri"/>
        </w:rPr>
        <w:t xml:space="preserve"> </w:t>
      </w:r>
      <w:r w:rsidR="5ED6019C" w:rsidRPr="4A351EF4">
        <w:rPr>
          <w:rFonts w:ascii="Calibri" w:eastAsia="Calibri" w:hAnsi="Calibri" w:cs="Calibri"/>
        </w:rPr>
        <w:t xml:space="preserve">to the relationship between Australia and partner </w:t>
      </w:r>
      <w:r w:rsidR="00220AC3">
        <w:rPr>
          <w:rFonts w:ascii="Calibri" w:eastAsia="Calibri" w:hAnsi="Calibri" w:cs="Calibri"/>
        </w:rPr>
        <w:t>g</w:t>
      </w:r>
      <w:r w:rsidR="5ED6019C" w:rsidRPr="4A351EF4">
        <w:rPr>
          <w:rFonts w:ascii="Calibri" w:eastAsia="Calibri" w:hAnsi="Calibri" w:cs="Calibri"/>
        </w:rPr>
        <w:t xml:space="preserve">overnments. The pivot to </w:t>
      </w:r>
      <w:r w:rsidR="00C24930">
        <w:rPr>
          <w:rFonts w:ascii="Calibri" w:eastAsia="Calibri" w:hAnsi="Calibri" w:cs="Calibri"/>
        </w:rPr>
        <w:t xml:space="preserve">delivery </w:t>
      </w:r>
      <w:r w:rsidR="7CFECD5D" w:rsidRPr="4A351EF4">
        <w:rPr>
          <w:rFonts w:ascii="Calibri" w:eastAsia="Calibri" w:hAnsi="Calibri" w:cs="Calibri"/>
        </w:rPr>
        <w:t xml:space="preserve">support for </w:t>
      </w:r>
      <w:r w:rsidR="5ED6019C" w:rsidRPr="4A351EF4">
        <w:rPr>
          <w:rFonts w:ascii="Calibri" w:eastAsia="Calibri" w:hAnsi="Calibri" w:cs="Calibri"/>
        </w:rPr>
        <w:t xml:space="preserve">routine immunisation </w:t>
      </w:r>
      <w:r w:rsidR="38428D64" w:rsidRPr="4A351EF4">
        <w:rPr>
          <w:rFonts w:ascii="Calibri" w:eastAsia="Calibri" w:hAnsi="Calibri" w:cs="Calibri"/>
        </w:rPr>
        <w:t>is an</w:t>
      </w:r>
      <w:r w:rsidR="5ED6019C" w:rsidRPr="4A351EF4">
        <w:rPr>
          <w:rFonts w:ascii="Calibri" w:eastAsia="Calibri" w:hAnsi="Calibri" w:cs="Calibri"/>
        </w:rPr>
        <w:t xml:space="preserve"> example of Australia </w:t>
      </w:r>
      <w:r w:rsidR="6D4EE083" w:rsidRPr="4A351EF4">
        <w:rPr>
          <w:rFonts w:ascii="Calibri" w:eastAsia="Calibri" w:hAnsi="Calibri" w:cs="Calibri"/>
        </w:rPr>
        <w:t>demonstrating its commitment to partner countries in the Indo-Pacific region,</w:t>
      </w:r>
      <w:r w:rsidR="5ED6019C" w:rsidRPr="4A351EF4">
        <w:rPr>
          <w:rFonts w:ascii="Calibri" w:eastAsia="Calibri" w:hAnsi="Calibri" w:cs="Calibri"/>
        </w:rPr>
        <w:t xml:space="preserve"> not simply exiting once the </w:t>
      </w:r>
      <w:r w:rsidR="38428D64" w:rsidRPr="4A351EF4">
        <w:rPr>
          <w:rFonts w:ascii="Calibri" w:eastAsia="Calibri" w:hAnsi="Calibri" w:cs="Calibri"/>
        </w:rPr>
        <w:t>p</w:t>
      </w:r>
      <w:r w:rsidR="5ED6019C" w:rsidRPr="4A351EF4">
        <w:rPr>
          <w:rFonts w:ascii="Calibri" w:eastAsia="Calibri" w:hAnsi="Calibri" w:cs="Calibri"/>
        </w:rPr>
        <w:t>andemic was considered over but repurposing funds to respond to countr</w:t>
      </w:r>
      <w:r w:rsidR="66A14D4F" w:rsidRPr="4A351EF4">
        <w:rPr>
          <w:rFonts w:ascii="Calibri" w:eastAsia="Calibri" w:hAnsi="Calibri" w:cs="Calibri"/>
        </w:rPr>
        <w:t>ies’</w:t>
      </w:r>
      <w:r w:rsidR="5ED6019C" w:rsidRPr="4A351EF4">
        <w:rPr>
          <w:rFonts w:ascii="Calibri" w:eastAsia="Calibri" w:hAnsi="Calibri" w:cs="Calibri"/>
        </w:rPr>
        <w:t xml:space="preserve"> </w:t>
      </w:r>
      <w:r w:rsidR="00A4789C">
        <w:rPr>
          <w:rFonts w:ascii="Calibri" w:eastAsia="Calibri" w:hAnsi="Calibri" w:cs="Calibri"/>
        </w:rPr>
        <w:t xml:space="preserve">changing </w:t>
      </w:r>
      <w:r w:rsidR="5ED6019C" w:rsidRPr="4A351EF4">
        <w:rPr>
          <w:rFonts w:ascii="Calibri" w:eastAsia="Calibri" w:hAnsi="Calibri" w:cs="Calibri"/>
        </w:rPr>
        <w:t>needs</w:t>
      </w:r>
      <w:r w:rsidR="63AE9753" w:rsidRPr="4A351EF4">
        <w:rPr>
          <w:rFonts w:ascii="Calibri" w:eastAsia="Calibri" w:hAnsi="Calibri" w:cs="Calibri"/>
        </w:rPr>
        <w:t xml:space="preserve"> and priorities</w:t>
      </w:r>
      <w:r w:rsidR="5ED6019C" w:rsidRPr="4A351EF4">
        <w:rPr>
          <w:rFonts w:ascii="Calibri" w:eastAsia="Calibri" w:hAnsi="Calibri" w:cs="Calibri"/>
        </w:rPr>
        <w:t>.</w:t>
      </w:r>
    </w:p>
    <w:p w14:paraId="2DCA3D1C" w14:textId="77777777" w:rsidR="00ED5B31" w:rsidRDefault="00ED5B31" w:rsidP="00AF3C14">
      <w:pPr>
        <w:spacing w:after="0" w:line="257" w:lineRule="auto"/>
        <w:jc w:val="both"/>
        <w:rPr>
          <w:rFonts w:ascii="Calibri" w:eastAsia="Calibri" w:hAnsi="Calibri" w:cs="Calibri"/>
        </w:rPr>
      </w:pPr>
    </w:p>
    <w:p w14:paraId="4503B330" w14:textId="189F783C" w:rsidR="00AF3C14" w:rsidRPr="006B0C6C" w:rsidRDefault="7EA7CBCD" w:rsidP="00AF3C14">
      <w:pPr>
        <w:spacing w:after="0" w:line="257" w:lineRule="auto"/>
        <w:jc w:val="both"/>
        <w:rPr>
          <w:rFonts w:ascii="Calibri" w:eastAsia="Calibri" w:hAnsi="Calibri" w:cs="Calibri"/>
        </w:rPr>
      </w:pPr>
      <w:r w:rsidRPr="4717B9FC">
        <w:rPr>
          <w:rFonts w:ascii="Calibri" w:eastAsia="Calibri" w:hAnsi="Calibri" w:cs="Calibri"/>
        </w:rPr>
        <w:t xml:space="preserve">Some cautionary words were reported about the </w:t>
      </w:r>
      <w:r w:rsidR="3C50B82D" w:rsidRPr="4717B9FC">
        <w:rPr>
          <w:rFonts w:ascii="Calibri" w:eastAsia="Calibri" w:hAnsi="Calibri" w:cs="Calibri"/>
        </w:rPr>
        <w:t>sustainability</w:t>
      </w:r>
      <w:r w:rsidRPr="4717B9FC">
        <w:rPr>
          <w:rFonts w:ascii="Calibri" w:eastAsia="Calibri" w:hAnsi="Calibri" w:cs="Calibri"/>
        </w:rPr>
        <w:t xml:space="preserve"> of the </w:t>
      </w:r>
      <w:r w:rsidR="1A34BF69" w:rsidRPr="4717B9FC">
        <w:rPr>
          <w:rFonts w:ascii="Calibri" w:eastAsia="Calibri" w:hAnsi="Calibri" w:cs="Calibri"/>
        </w:rPr>
        <w:t xml:space="preserve">impact </w:t>
      </w:r>
      <w:r w:rsidRPr="4717B9FC">
        <w:rPr>
          <w:rFonts w:ascii="Calibri" w:eastAsia="Calibri" w:hAnsi="Calibri" w:cs="Calibri"/>
        </w:rPr>
        <w:t>of VAHSI on relations</w:t>
      </w:r>
      <w:r w:rsidR="008C6ACF">
        <w:rPr>
          <w:rFonts w:ascii="Calibri" w:eastAsia="Calibri" w:hAnsi="Calibri" w:cs="Calibri"/>
        </w:rPr>
        <w:t>hips</w:t>
      </w:r>
      <w:r w:rsidRPr="4717B9FC">
        <w:rPr>
          <w:rFonts w:ascii="Calibri" w:eastAsia="Calibri" w:hAnsi="Calibri" w:cs="Calibri"/>
        </w:rPr>
        <w:t>. Whil</w:t>
      </w:r>
      <w:r w:rsidR="43B20349" w:rsidRPr="4717B9FC">
        <w:rPr>
          <w:rFonts w:ascii="Calibri" w:eastAsia="Calibri" w:hAnsi="Calibri" w:cs="Calibri"/>
        </w:rPr>
        <w:t>e</w:t>
      </w:r>
      <w:r w:rsidRPr="4717B9FC">
        <w:rPr>
          <w:rFonts w:ascii="Calibri" w:eastAsia="Calibri" w:hAnsi="Calibri" w:cs="Calibri"/>
        </w:rPr>
        <w:t xml:space="preserve"> there was plenty of gratitude </w:t>
      </w:r>
      <w:r w:rsidR="3D35ED6E" w:rsidRPr="4717B9FC">
        <w:rPr>
          <w:rFonts w:ascii="Calibri" w:eastAsia="Calibri" w:hAnsi="Calibri" w:cs="Calibri"/>
        </w:rPr>
        <w:t>during</w:t>
      </w:r>
      <w:r w:rsidRPr="4717B9FC">
        <w:rPr>
          <w:rFonts w:ascii="Calibri" w:eastAsia="Calibri" w:hAnsi="Calibri" w:cs="Calibri"/>
        </w:rPr>
        <w:t xml:space="preserve"> the </w:t>
      </w:r>
      <w:r w:rsidR="55AAFD9E" w:rsidRPr="4717B9FC">
        <w:rPr>
          <w:rFonts w:ascii="Calibri" w:eastAsia="Calibri" w:hAnsi="Calibri" w:cs="Calibri"/>
        </w:rPr>
        <w:t>p</w:t>
      </w:r>
      <w:r w:rsidRPr="4717B9FC">
        <w:rPr>
          <w:rFonts w:ascii="Calibri" w:eastAsia="Calibri" w:hAnsi="Calibri" w:cs="Calibri"/>
        </w:rPr>
        <w:t xml:space="preserve">andemic and later with the </w:t>
      </w:r>
      <w:r w:rsidR="63AE9753" w:rsidRPr="4717B9FC">
        <w:rPr>
          <w:rFonts w:ascii="Calibri" w:eastAsia="Calibri" w:hAnsi="Calibri" w:cs="Calibri"/>
        </w:rPr>
        <w:t>shift</w:t>
      </w:r>
      <w:r w:rsidRPr="4717B9FC">
        <w:rPr>
          <w:rFonts w:ascii="Calibri" w:eastAsia="Calibri" w:hAnsi="Calibri" w:cs="Calibri"/>
        </w:rPr>
        <w:t xml:space="preserve"> to </w:t>
      </w:r>
      <w:r w:rsidR="00A4789C">
        <w:rPr>
          <w:rFonts w:ascii="Calibri" w:eastAsia="Calibri" w:hAnsi="Calibri" w:cs="Calibri"/>
        </w:rPr>
        <w:t xml:space="preserve">delivery </w:t>
      </w:r>
      <w:r w:rsidRPr="4717B9FC">
        <w:rPr>
          <w:rFonts w:ascii="Calibri" w:eastAsia="Calibri" w:hAnsi="Calibri" w:cs="Calibri"/>
        </w:rPr>
        <w:t xml:space="preserve">support for routine immunisation, </w:t>
      </w:r>
      <w:r w:rsidR="1A34BF69" w:rsidRPr="4717B9FC">
        <w:rPr>
          <w:rFonts w:ascii="Calibri" w:eastAsia="Calibri" w:hAnsi="Calibri" w:cs="Calibri"/>
        </w:rPr>
        <w:t xml:space="preserve">key informants were cautious about whether </w:t>
      </w:r>
      <w:r w:rsidR="29B9F89D" w:rsidRPr="4717B9FC">
        <w:rPr>
          <w:rFonts w:ascii="Calibri" w:eastAsia="Calibri" w:hAnsi="Calibri" w:cs="Calibri"/>
        </w:rPr>
        <w:t xml:space="preserve">the improved </w:t>
      </w:r>
      <w:r w:rsidR="1A34BF69" w:rsidRPr="4717B9FC">
        <w:rPr>
          <w:rFonts w:ascii="Calibri" w:eastAsia="Calibri" w:hAnsi="Calibri" w:cs="Calibri"/>
        </w:rPr>
        <w:t xml:space="preserve">relations would sustain into the future. In addition, changes in partner </w:t>
      </w:r>
      <w:r w:rsidR="00B35C78">
        <w:rPr>
          <w:rFonts w:ascii="Calibri" w:eastAsia="Calibri" w:hAnsi="Calibri" w:cs="Calibri"/>
        </w:rPr>
        <w:t>g</w:t>
      </w:r>
      <w:r w:rsidR="1A34BF69" w:rsidRPr="4717B9FC">
        <w:rPr>
          <w:rFonts w:ascii="Calibri" w:eastAsia="Calibri" w:hAnsi="Calibri" w:cs="Calibri"/>
        </w:rPr>
        <w:t xml:space="preserve">overnment </w:t>
      </w:r>
      <w:r w:rsidRPr="4717B9FC">
        <w:rPr>
          <w:rFonts w:ascii="Calibri" w:eastAsia="Calibri" w:hAnsi="Calibri" w:cs="Calibri"/>
        </w:rPr>
        <w:t xml:space="preserve">leading to new faces in </w:t>
      </w:r>
      <w:r w:rsidR="455A10BF" w:rsidRPr="4717B9FC">
        <w:rPr>
          <w:rFonts w:ascii="Calibri" w:eastAsia="Calibri" w:hAnsi="Calibri" w:cs="Calibri"/>
        </w:rPr>
        <w:t>G</w:t>
      </w:r>
      <w:r w:rsidRPr="4717B9FC">
        <w:rPr>
          <w:rFonts w:ascii="Calibri" w:eastAsia="Calibri" w:hAnsi="Calibri" w:cs="Calibri"/>
        </w:rPr>
        <w:t xml:space="preserve">overnments </w:t>
      </w:r>
      <w:r w:rsidR="1A34BF69" w:rsidRPr="4717B9FC">
        <w:rPr>
          <w:rFonts w:ascii="Calibri" w:eastAsia="Calibri" w:hAnsi="Calibri" w:cs="Calibri"/>
        </w:rPr>
        <w:t xml:space="preserve">could </w:t>
      </w:r>
      <w:r w:rsidRPr="4717B9FC">
        <w:rPr>
          <w:rFonts w:ascii="Calibri" w:eastAsia="Calibri" w:hAnsi="Calibri" w:cs="Calibri"/>
        </w:rPr>
        <w:t xml:space="preserve">dilute the </w:t>
      </w:r>
      <w:r w:rsidR="1A34BF69" w:rsidRPr="4717B9FC">
        <w:rPr>
          <w:rFonts w:ascii="Calibri" w:eastAsia="Calibri" w:hAnsi="Calibri" w:cs="Calibri"/>
        </w:rPr>
        <w:t xml:space="preserve">impact </w:t>
      </w:r>
      <w:r w:rsidRPr="4717B9FC">
        <w:rPr>
          <w:rFonts w:ascii="Calibri" w:eastAsia="Calibri" w:hAnsi="Calibri" w:cs="Calibri"/>
        </w:rPr>
        <w:t>at the level of political leadership.</w:t>
      </w:r>
      <w:r w:rsidR="7F478622" w:rsidRPr="4717B9FC">
        <w:rPr>
          <w:rFonts w:ascii="Calibri" w:eastAsia="Calibri" w:hAnsi="Calibri" w:cs="Calibri"/>
        </w:rPr>
        <w:t xml:space="preserve"> </w:t>
      </w:r>
      <w:r w:rsidRPr="4717B9FC">
        <w:rPr>
          <w:rFonts w:ascii="Calibri" w:eastAsia="Calibri" w:hAnsi="Calibri" w:cs="Calibri"/>
        </w:rPr>
        <w:t xml:space="preserve">There is also a different view </w:t>
      </w:r>
      <w:r w:rsidR="1A34BF69" w:rsidRPr="4717B9FC">
        <w:rPr>
          <w:rFonts w:ascii="Calibri" w:eastAsia="Calibri" w:hAnsi="Calibri" w:cs="Calibri"/>
        </w:rPr>
        <w:t xml:space="preserve">for </w:t>
      </w:r>
      <w:r w:rsidRPr="4717B9FC">
        <w:rPr>
          <w:rFonts w:ascii="Calibri" w:eastAsia="Calibri" w:hAnsi="Calibri" w:cs="Calibri"/>
        </w:rPr>
        <w:t>Papua New Guinea where</w:t>
      </w:r>
      <w:r w:rsidR="7C9C4FBD" w:rsidRPr="4717B9FC">
        <w:rPr>
          <w:rFonts w:ascii="Calibri" w:eastAsia="Calibri" w:hAnsi="Calibri" w:cs="Calibri"/>
        </w:rPr>
        <w:t xml:space="preserve"> for some within the Ministry of Health</w:t>
      </w:r>
      <w:r w:rsidRPr="4717B9FC">
        <w:rPr>
          <w:rFonts w:ascii="Calibri" w:eastAsia="Calibri" w:hAnsi="Calibri" w:cs="Calibri"/>
        </w:rPr>
        <w:t xml:space="preserve"> the Australian focus on </w:t>
      </w:r>
      <w:r w:rsidR="1A34BF69" w:rsidRPr="4717B9FC">
        <w:rPr>
          <w:rFonts w:ascii="Calibri" w:eastAsia="Calibri" w:hAnsi="Calibri" w:cs="Calibri"/>
        </w:rPr>
        <w:t>COVID</w:t>
      </w:r>
      <w:r w:rsidRPr="4717B9FC">
        <w:rPr>
          <w:rFonts w:ascii="Calibri" w:eastAsia="Calibri" w:hAnsi="Calibri" w:cs="Calibri"/>
        </w:rPr>
        <w:t>-19 and adult vaccination was seen</w:t>
      </w:r>
      <w:r w:rsidR="63AE9753" w:rsidRPr="4717B9FC">
        <w:rPr>
          <w:rFonts w:ascii="Calibri" w:eastAsia="Calibri" w:hAnsi="Calibri" w:cs="Calibri"/>
        </w:rPr>
        <w:t xml:space="preserve"> </w:t>
      </w:r>
      <w:r w:rsidRPr="4717B9FC">
        <w:rPr>
          <w:rFonts w:ascii="Calibri" w:eastAsia="Calibri" w:hAnsi="Calibri" w:cs="Calibri"/>
        </w:rPr>
        <w:t xml:space="preserve">as a distraction as </w:t>
      </w:r>
      <w:r w:rsidR="00A4789C">
        <w:rPr>
          <w:rFonts w:ascii="Calibri" w:eastAsia="Calibri" w:hAnsi="Calibri" w:cs="Calibri"/>
        </w:rPr>
        <w:t xml:space="preserve">the </w:t>
      </w:r>
      <w:r w:rsidR="09F37677" w:rsidRPr="4717B9FC">
        <w:rPr>
          <w:rFonts w:ascii="Calibri" w:eastAsia="Calibri" w:hAnsi="Calibri" w:cs="Calibri"/>
        </w:rPr>
        <w:t>COVID-19</w:t>
      </w:r>
      <w:r w:rsidRPr="4717B9FC">
        <w:rPr>
          <w:rFonts w:ascii="Calibri" w:eastAsia="Calibri" w:hAnsi="Calibri" w:cs="Calibri"/>
        </w:rPr>
        <w:t xml:space="preserve"> </w:t>
      </w:r>
      <w:r w:rsidR="00A4789C">
        <w:rPr>
          <w:rFonts w:ascii="Calibri" w:eastAsia="Calibri" w:hAnsi="Calibri" w:cs="Calibri"/>
        </w:rPr>
        <w:t xml:space="preserve">pandemic </w:t>
      </w:r>
      <w:r w:rsidRPr="4717B9FC">
        <w:rPr>
          <w:rFonts w:ascii="Calibri" w:eastAsia="Calibri" w:hAnsi="Calibri" w:cs="Calibri"/>
        </w:rPr>
        <w:t xml:space="preserve">was not </w:t>
      </w:r>
      <w:r w:rsidR="1A34BF69" w:rsidRPr="4717B9FC">
        <w:rPr>
          <w:rFonts w:ascii="Calibri" w:eastAsia="Calibri" w:hAnsi="Calibri" w:cs="Calibri"/>
        </w:rPr>
        <w:t xml:space="preserve">perceived </w:t>
      </w:r>
      <w:r w:rsidRPr="4717B9FC">
        <w:rPr>
          <w:rFonts w:ascii="Calibri" w:eastAsia="Calibri" w:hAnsi="Calibri" w:cs="Calibri"/>
        </w:rPr>
        <w:t xml:space="preserve">as </w:t>
      </w:r>
      <w:r w:rsidR="02A7190C" w:rsidRPr="4717B9FC">
        <w:rPr>
          <w:rFonts w:ascii="Calibri" w:eastAsia="Calibri" w:hAnsi="Calibri" w:cs="Calibri"/>
        </w:rPr>
        <w:t xml:space="preserve">a </w:t>
      </w:r>
      <w:r w:rsidRPr="4717B9FC">
        <w:rPr>
          <w:rFonts w:ascii="Calibri" w:eastAsia="Calibri" w:hAnsi="Calibri" w:cs="Calibri"/>
        </w:rPr>
        <w:t>pressing issue</w:t>
      </w:r>
      <w:r w:rsidR="09F37677" w:rsidRPr="4717B9FC">
        <w:rPr>
          <w:rFonts w:ascii="Calibri" w:eastAsia="Calibri" w:hAnsi="Calibri" w:cs="Calibri"/>
        </w:rPr>
        <w:t xml:space="preserve"> for the country</w:t>
      </w:r>
      <w:r w:rsidR="63AE9753" w:rsidRPr="4717B9FC">
        <w:rPr>
          <w:rFonts w:ascii="Calibri" w:eastAsia="Calibri" w:hAnsi="Calibri" w:cs="Calibri"/>
        </w:rPr>
        <w:t xml:space="preserve"> or</w:t>
      </w:r>
      <w:r w:rsidR="00A4789C">
        <w:rPr>
          <w:rFonts w:ascii="Calibri" w:eastAsia="Calibri" w:hAnsi="Calibri" w:cs="Calibri"/>
        </w:rPr>
        <w:t xml:space="preserve"> vaccinations of adults</w:t>
      </w:r>
      <w:r w:rsidR="63AE9753" w:rsidRPr="4717B9FC">
        <w:rPr>
          <w:rFonts w:ascii="Calibri" w:eastAsia="Calibri" w:hAnsi="Calibri" w:cs="Calibri"/>
        </w:rPr>
        <w:t xml:space="preserve"> </w:t>
      </w:r>
      <w:r w:rsidRPr="4717B9FC">
        <w:rPr>
          <w:rFonts w:ascii="Calibri" w:eastAsia="Calibri" w:hAnsi="Calibri" w:cs="Calibri"/>
        </w:rPr>
        <w:t>culturally appropriate. Overall VAHSI was appreciated, but not by all.</w:t>
      </w:r>
    </w:p>
    <w:p w14:paraId="2A8C478C" w14:textId="306EDE94" w:rsidR="7A54BC0E" w:rsidRPr="006B0C6C" w:rsidRDefault="493613EC" w:rsidP="44C8811F">
      <w:pPr>
        <w:pStyle w:val="Heading3SHS"/>
      </w:pPr>
      <w:bookmarkStart w:id="117" w:name="_Toc200617280"/>
      <w:r>
        <w:t>Vaccines</w:t>
      </w:r>
      <w:r w:rsidR="187C40AA">
        <w:t xml:space="preserve"> </w:t>
      </w:r>
      <w:r w:rsidR="000017BA">
        <w:t>and</w:t>
      </w:r>
      <w:r w:rsidR="187C40AA">
        <w:t xml:space="preserve"> </w:t>
      </w:r>
      <w:r w:rsidR="608865B3">
        <w:t>d</w:t>
      </w:r>
      <w:r w:rsidR="187C40AA">
        <w:t xml:space="preserve">elivery </w:t>
      </w:r>
      <w:r w:rsidR="3237E56A">
        <w:t>s</w:t>
      </w:r>
      <w:r w:rsidR="187C40AA">
        <w:t>upport</w:t>
      </w:r>
      <w:bookmarkEnd w:id="117"/>
    </w:p>
    <w:p w14:paraId="3A6F3B66" w14:textId="6C705985" w:rsidR="44C8811F" w:rsidRPr="006B0C6C" w:rsidRDefault="3FBBFFCB" w:rsidP="00AF3C14">
      <w:pPr>
        <w:spacing w:after="0" w:line="257" w:lineRule="auto"/>
        <w:jc w:val="both"/>
      </w:pPr>
      <w:r w:rsidRPr="4717B9FC">
        <w:rPr>
          <w:rFonts w:ascii="Calibri" w:eastAsia="Calibri" w:hAnsi="Calibri" w:cs="Calibri"/>
        </w:rPr>
        <w:t xml:space="preserve">While it is </w:t>
      </w:r>
      <w:r w:rsidR="09F37677" w:rsidRPr="4717B9FC">
        <w:rPr>
          <w:rFonts w:ascii="Calibri" w:eastAsia="Calibri" w:hAnsi="Calibri" w:cs="Calibri"/>
        </w:rPr>
        <w:t>perhaps obvious</w:t>
      </w:r>
      <w:r w:rsidRPr="4717B9FC">
        <w:rPr>
          <w:rFonts w:ascii="Calibri" w:eastAsia="Calibri" w:hAnsi="Calibri" w:cs="Calibri"/>
        </w:rPr>
        <w:t xml:space="preserve"> that </w:t>
      </w:r>
      <w:r w:rsidR="35BEBFF7" w:rsidRPr="4717B9FC">
        <w:rPr>
          <w:rFonts w:ascii="Calibri" w:eastAsia="Calibri" w:hAnsi="Calibri" w:cs="Calibri"/>
        </w:rPr>
        <w:t xml:space="preserve">the vaccines were the </w:t>
      </w:r>
      <w:r w:rsidRPr="4717B9FC">
        <w:rPr>
          <w:rFonts w:ascii="Calibri" w:eastAsia="Calibri" w:hAnsi="Calibri" w:cs="Calibri"/>
        </w:rPr>
        <w:t xml:space="preserve">aspect of VAHSI most </w:t>
      </w:r>
      <w:r w:rsidR="35BEBFF7" w:rsidRPr="4717B9FC">
        <w:rPr>
          <w:rFonts w:ascii="Calibri" w:eastAsia="Calibri" w:hAnsi="Calibri" w:cs="Calibri"/>
        </w:rPr>
        <w:t xml:space="preserve">appreciated by partner </w:t>
      </w:r>
      <w:r w:rsidR="00B35C78">
        <w:rPr>
          <w:rFonts w:ascii="Calibri" w:eastAsia="Calibri" w:hAnsi="Calibri" w:cs="Calibri"/>
        </w:rPr>
        <w:t>g</w:t>
      </w:r>
      <w:r w:rsidR="35BEBFF7" w:rsidRPr="4717B9FC">
        <w:rPr>
          <w:rFonts w:ascii="Calibri" w:eastAsia="Calibri" w:hAnsi="Calibri" w:cs="Calibri"/>
        </w:rPr>
        <w:t>overnments</w:t>
      </w:r>
      <w:r w:rsidRPr="4717B9FC">
        <w:rPr>
          <w:rFonts w:ascii="Calibri" w:eastAsia="Calibri" w:hAnsi="Calibri" w:cs="Calibri"/>
        </w:rPr>
        <w:t>, it was not only</w:t>
      </w:r>
      <w:r w:rsidR="35BEBFF7" w:rsidRPr="4717B9FC">
        <w:rPr>
          <w:rFonts w:ascii="Calibri" w:eastAsia="Calibri" w:hAnsi="Calibri" w:cs="Calibri"/>
        </w:rPr>
        <w:t xml:space="preserve"> the supply of vaccines themselves that was </w:t>
      </w:r>
      <w:r w:rsidR="0F460787" w:rsidRPr="4717B9FC">
        <w:rPr>
          <w:rFonts w:ascii="Calibri" w:eastAsia="Calibri" w:hAnsi="Calibri" w:cs="Calibri"/>
        </w:rPr>
        <w:t>valued</w:t>
      </w:r>
      <w:r w:rsidR="35BEBFF7" w:rsidRPr="4717B9FC">
        <w:rPr>
          <w:rFonts w:ascii="Calibri" w:eastAsia="Calibri" w:hAnsi="Calibri" w:cs="Calibri"/>
        </w:rPr>
        <w:t xml:space="preserve">. </w:t>
      </w:r>
      <w:r w:rsidR="722D14ED" w:rsidRPr="4717B9FC">
        <w:rPr>
          <w:rFonts w:ascii="Calibri" w:eastAsia="Calibri" w:hAnsi="Calibri" w:cs="Calibri"/>
        </w:rPr>
        <w:t>P</w:t>
      </w:r>
      <w:r w:rsidRPr="4717B9FC">
        <w:rPr>
          <w:rFonts w:ascii="Calibri" w:eastAsia="Calibri" w:hAnsi="Calibri" w:cs="Calibri"/>
        </w:rPr>
        <w:t xml:space="preserve">artner </w:t>
      </w:r>
      <w:r w:rsidR="00B35C78">
        <w:rPr>
          <w:rFonts w:ascii="Calibri" w:eastAsia="Calibri" w:hAnsi="Calibri" w:cs="Calibri"/>
        </w:rPr>
        <w:t>g</w:t>
      </w:r>
      <w:r w:rsidRPr="4717B9FC">
        <w:rPr>
          <w:rFonts w:ascii="Calibri" w:eastAsia="Calibri" w:hAnsi="Calibri" w:cs="Calibri"/>
        </w:rPr>
        <w:t xml:space="preserve">overnments appreciated </w:t>
      </w:r>
      <w:r w:rsidR="35BEBFF7" w:rsidRPr="4717B9FC">
        <w:rPr>
          <w:rFonts w:ascii="Calibri" w:eastAsia="Calibri" w:hAnsi="Calibri" w:cs="Calibri"/>
        </w:rPr>
        <w:t>that the vaccines were safe</w:t>
      </w:r>
      <w:r w:rsidR="63AE9753" w:rsidRPr="4717B9FC">
        <w:rPr>
          <w:rFonts w:ascii="Calibri" w:eastAsia="Calibri" w:hAnsi="Calibri" w:cs="Calibri"/>
        </w:rPr>
        <w:t xml:space="preserve"> and</w:t>
      </w:r>
      <w:r w:rsidR="35BEBFF7" w:rsidRPr="4717B9FC">
        <w:rPr>
          <w:rFonts w:ascii="Calibri" w:eastAsia="Calibri" w:hAnsi="Calibri" w:cs="Calibri"/>
        </w:rPr>
        <w:t xml:space="preserve"> that they</w:t>
      </w:r>
      <w:r w:rsidRPr="4717B9FC">
        <w:rPr>
          <w:rFonts w:ascii="Calibri" w:eastAsia="Calibri" w:hAnsi="Calibri" w:cs="Calibri"/>
        </w:rPr>
        <w:t xml:space="preserve"> were not</w:t>
      </w:r>
      <w:r w:rsidR="35BEBFF7" w:rsidRPr="4717B9FC">
        <w:rPr>
          <w:rFonts w:ascii="Calibri" w:eastAsia="Calibri" w:hAnsi="Calibri" w:cs="Calibri"/>
        </w:rPr>
        <w:t xml:space="preserve"> short shelf-life doses (except</w:t>
      </w:r>
      <w:r w:rsidR="16AFAC4F" w:rsidRPr="4717B9FC">
        <w:rPr>
          <w:rFonts w:ascii="Calibri" w:eastAsia="Calibri" w:hAnsi="Calibri" w:cs="Calibri"/>
        </w:rPr>
        <w:t xml:space="preserve"> in the infrequent circumstances</w:t>
      </w:r>
      <w:r w:rsidR="35BEBFF7" w:rsidRPr="4717B9FC">
        <w:rPr>
          <w:rFonts w:ascii="Calibri" w:eastAsia="Calibri" w:hAnsi="Calibri" w:cs="Calibri"/>
        </w:rPr>
        <w:t xml:space="preserve"> where </w:t>
      </w:r>
      <w:r w:rsidR="458510C3" w:rsidRPr="4717B9FC">
        <w:rPr>
          <w:rFonts w:ascii="Calibri" w:eastAsia="Calibri" w:hAnsi="Calibri" w:cs="Calibri"/>
        </w:rPr>
        <w:t xml:space="preserve">these were </w:t>
      </w:r>
      <w:r w:rsidR="35BEBFF7" w:rsidRPr="4717B9FC">
        <w:rPr>
          <w:rFonts w:ascii="Calibri" w:eastAsia="Calibri" w:hAnsi="Calibri" w:cs="Calibri"/>
        </w:rPr>
        <w:t>requested</w:t>
      </w:r>
      <w:r w:rsidR="2AF620A1" w:rsidRPr="4717B9FC">
        <w:rPr>
          <w:rFonts w:ascii="Calibri" w:eastAsia="Calibri" w:hAnsi="Calibri" w:cs="Calibri"/>
        </w:rPr>
        <w:t xml:space="preserve"> </w:t>
      </w:r>
      <w:r w:rsidR="00503372" w:rsidRPr="006B0C6C">
        <w:rPr>
          <w:rFonts w:ascii="Calibri" w:eastAsia="Calibri" w:hAnsi="Calibri" w:cs="Calibri"/>
        </w:rPr>
        <w:t xml:space="preserve">– </w:t>
      </w:r>
      <w:r w:rsidR="2AF620A1" w:rsidRPr="4717B9FC">
        <w:rPr>
          <w:rFonts w:ascii="Calibri" w:eastAsia="Calibri" w:hAnsi="Calibri" w:cs="Calibri"/>
        </w:rPr>
        <w:t xml:space="preserve">e.g. Vietnam, which was sufficiently effective in its </w:t>
      </w:r>
      <w:r w:rsidR="77769E87" w:rsidRPr="4717B9FC">
        <w:rPr>
          <w:rFonts w:ascii="Calibri" w:eastAsia="Calibri" w:hAnsi="Calibri" w:cs="Calibri"/>
        </w:rPr>
        <w:t>vaccination program</w:t>
      </w:r>
      <w:r w:rsidR="2AF620A1" w:rsidRPr="4717B9FC">
        <w:rPr>
          <w:rFonts w:ascii="Calibri" w:eastAsia="Calibri" w:hAnsi="Calibri" w:cs="Calibri"/>
        </w:rPr>
        <w:t xml:space="preserve"> to be able to deploy them</w:t>
      </w:r>
      <w:r w:rsidR="35BEBFF7" w:rsidRPr="4717B9FC">
        <w:rPr>
          <w:rFonts w:ascii="Calibri" w:eastAsia="Calibri" w:hAnsi="Calibri" w:cs="Calibri"/>
        </w:rPr>
        <w:t>)</w:t>
      </w:r>
      <w:r w:rsidR="63AE9753" w:rsidRPr="4717B9FC">
        <w:rPr>
          <w:rFonts w:ascii="Calibri" w:eastAsia="Calibri" w:hAnsi="Calibri" w:cs="Calibri"/>
        </w:rPr>
        <w:t>. They also appreciated that the vaccines came</w:t>
      </w:r>
      <w:r w:rsidR="35BEBFF7" w:rsidRPr="4717B9FC">
        <w:rPr>
          <w:rFonts w:ascii="Calibri" w:eastAsia="Calibri" w:hAnsi="Calibri" w:cs="Calibri"/>
        </w:rPr>
        <w:t xml:space="preserve"> as a package with delivery support interventions through </w:t>
      </w:r>
      <w:r w:rsidR="0EAC2555" w:rsidRPr="4717B9FC">
        <w:rPr>
          <w:rFonts w:ascii="Calibri" w:eastAsia="Calibri" w:hAnsi="Calibri" w:cs="Calibri"/>
        </w:rPr>
        <w:t xml:space="preserve">delivery </w:t>
      </w:r>
      <w:proofErr w:type="spellStart"/>
      <w:r w:rsidR="00A4789C">
        <w:rPr>
          <w:rFonts w:ascii="Calibri" w:eastAsia="Calibri" w:hAnsi="Calibri" w:cs="Calibri"/>
        </w:rPr>
        <w:t>support</w:t>
      </w:r>
      <w:r w:rsidR="35BEBFF7" w:rsidRPr="4717B9FC">
        <w:rPr>
          <w:rFonts w:ascii="Calibri" w:eastAsia="Calibri" w:hAnsi="Calibri" w:cs="Calibri"/>
        </w:rPr>
        <w:t>partners</w:t>
      </w:r>
      <w:proofErr w:type="spellEnd"/>
      <w:r w:rsidR="35BEBFF7" w:rsidRPr="4717B9FC">
        <w:rPr>
          <w:rFonts w:ascii="Calibri" w:eastAsia="Calibri" w:hAnsi="Calibri" w:cs="Calibri"/>
        </w:rPr>
        <w:t>, including multilateral organi</w:t>
      </w:r>
      <w:r w:rsidRPr="4717B9FC">
        <w:rPr>
          <w:rFonts w:ascii="Calibri" w:eastAsia="Calibri" w:hAnsi="Calibri" w:cs="Calibri"/>
        </w:rPr>
        <w:t>s</w:t>
      </w:r>
      <w:r w:rsidR="35BEBFF7" w:rsidRPr="4717B9FC">
        <w:rPr>
          <w:rFonts w:ascii="Calibri" w:eastAsia="Calibri" w:hAnsi="Calibri" w:cs="Calibri"/>
        </w:rPr>
        <w:t xml:space="preserve">ations such as WHO and UNICEF, and </w:t>
      </w:r>
      <w:r w:rsidRPr="4717B9FC">
        <w:rPr>
          <w:rFonts w:ascii="Calibri" w:eastAsia="Calibri" w:hAnsi="Calibri" w:cs="Calibri"/>
        </w:rPr>
        <w:t xml:space="preserve">coupled with </w:t>
      </w:r>
      <w:r w:rsidR="35BEBFF7" w:rsidRPr="4717B9FC">
        <w:rPr>
          <w:rFonts w:ascii="Calibri" w:eastAsia="Calibri" w:hAnsi="Calibri" w:cs="Calibri"/>
        </w:rPr>
        <w:t xml:space="preserve">technical expertise when needed. </w:t>
      </w:r>
      <w:r w:rsidR="1C745B57" w:rsidRPr="4717B9FC">
        <w:rPr>
          <w:rFonts w:ascii="Calibri" w:eastAsia="Calibri" w:hAnsi="Calibri" w:cs="Calibri"/>
        </w:rPr>
        <w:t xml:space="preserve">In Vanuatu, </w:t>
      </w:r>
      <w:r w:rsidR="29ECF9FC" w:rsidRPr="4717B9FC">
        <w:rPr>
          <w:rFonts w:ascii="Calibri" w:eastAsia="Calibri" w:hAnsi="Calibri" w:cs="Calibri"/>
        </w:rPr>
        <w:t>w</w:t>
      </w:r>
      <w:r w:rsidR="35BEBFF7" w:rsidRPr="4717B9FC">
        <w:rPr>
          <w:rFonts w:ascii="Calibri" w:eastAsia="Calibri" w:hAnsi="Calibri" w:cs="Calibri"/>
        </w:rPr>
        <w:t xml:space="preserve">hen there were doubts about the </w:t>
      </w:r>
      <w:r w:rsidRPr="4717B9FC">
        <w:rPr>
          <w:rFonts w:ascii="Calibri" w:eastAsia="Calibri" w:hAnsi="Calibri" w:cs="Calibri"/>
        </w:rPr>
        <w:t xml:space="preserve">AstraZeneca </w:t>
      </w:r>
      <w:r w:rsidR="35BEBFF7" w:rsidRPr="4717B9FC">
        <w:rPr>
          <w:rFonts w:ascii="Calibri" w:eastAsia="Calibri" w:hAnsi="Calibri" w:cs="Calibri"/>
        </w:rPr>
        <w:t xml:space="preserve">vaccine, the Australian </w:t>
      </w:r>
      <w:r w:rsidR="222F6F4D" w:rsidRPr="4717B9FC">
        <w:rPr>
          <w:rFonts w:ascii="Calibri" w:eastAsia="Calibri" w:hAnsi="Calibri" w:cs="Calibri"/>
        </w:rPr>
        <w:t>G</w:t>
      </w:r>
      <w:r w:rsidR="35BEBFF7" w:rsidRPr="4717B9FC">
        <w:rPr>
          <w:rFonts w:ascii="Calibri" w:eastAsia="Calibri" w:hAnsi="Calibri" w:cs="Calibri"/>
        </w:rPr>
        <w:t xml:space="preserve">overnment was able to </w:t>
      </w:r>
      <w:r w:rsidR="31CD334C" w:rsidRPr="4717B9FC">
        <w:rPr>
          <w:rFonts w:ascii="Calibri" w:eastAsia="Calibri" w:hAnsi="Calibri" w:cs="Calibri"/>
        </w:rPr>
        <w:t xml:space="preserve">facilitate the provision of </w:t>
      </w:r>
      <w:r w:rsidR="35BEBFF7" w:rsidRPr="4717B9FC">
        <w:rPr>
          <w:rFonts w:ascii="Calibri" w:eastAsia="Calibri" w:hAnsi="Calibri" w:cs="Calibri"/>
        </w:rPr>
        <w:t xml:space="preserve">expert </w:t>
      </w:r>
      <w:r w:rsidR="39511BFC" w:rsidRPr="4717B9FC">
        <w:rPr>
          <w:rFonts w:ascii="Calibri" w:eastAsia="Calibri" w:hAnsi="Calibri" w:cs="Calibri"/>
        </w:rPr>
        <w:t xml:space="preserve">technical </w:t>
      </w:r>
      <w:r w:rsidR="35BEBFF7" w:rsidRPr="4717B9FC">
        <w:rPr>
          <w:rFonts w:ascii="Calibri" w:eastAsia="Calibri" w:hAnsi="Calibri" w:cs="Calibri"/>
        </w:rPr>
        <w:t>advice</w:t>
      </w:r>
      <w:r w:rsidR="5D6DAFD9" w:rsidRPr="4717B9FC">
        <w:rPr>
          <w:rFonts w:ascii="Calibri" w:eastAsia="Calibri" w:hAnsi="Calibri" w:cs="Calibri"/>
        </w:rPr>
        <w:t xml:space="preserve"> from the TGA</w:t>
      </w:r>
      <w:r w:rsidR="35BEBFF7" w:rsidRPr="4717B9FC">
        <w:rPr>
          <w:rFonts w:ascii="Calibri" w:eastAsia="Calibri" w:hAnsi="Calibri" w:cs="Calibri"/>
        </w:rPr>
        <w:t xml:space="preserve"> to </w:t>
      </w:r>
      <w:r w:rsidR="00A4789C">
        <w:rPr>
          <w:rFonts w:ascii="Calibri" w:eastAsia="Calibri" w:hAnsi="Calibri" w:cs="Calibri"/>
        </w:rPr>
        <w:t>partner government</w:t>
      </w:r>
      <w:r w:rsidR="35BEBFF7" w:rsidRPr="4717B9FC">
        <w:rPr>
          <w:rFonts w:ascii="Calibri" w:eastAsia="Calibri" w:hAnsi="Calibri" w:cs="Calibri"/>
        </w:rPr>
        <w:t xml:space="preserve"> </w:t>
      </w:r>
      <w:r w:rsidR="5644B8A6" w:rsidRPr="4717B9FC">
        <w:rPr>
          <w:rFonts w:ascii="Calibri" w:eastAsia="Calibri" w:hAnsi="Calibri" w:cs="Calibri"/>
        </w:rPr>
        <w:t xml:space="preserve">counterparts </w:t>
      </w:r>
      <w:r w:rsidR="35BEBFF7" w:rsidRPr="4717B9FC">
        <w:rPr>
          <w:rFonts w:ascii="Calibri" w:eastAsia="Calibri" w:hAnsi="Calibri" w:cs="Calibri"/>
        </w:rPr>
        <w:t>on their use.</w:t>
      </w:r>
    </w:p>
    <w:p w14:paraId="31CB2AE8" w14:textId="66A40541" w:rsidR="7A54BC0E" w:rsidRPr="006B0C6C" w:rsidRDefault="493613EC" w:rsidP="00585ACC">
      <w:pPr>
        <w:pStyle w:val="Heading3SHS"/>
      </w:pPr>
      <w:bookmarkStart w:id="118" w:name="_Toc200617281"/>
      <w:r w:rsidRPr="006B0C6C">
        <w:t>Flexibility of VAHSI</w:t>
      </w:r>
      <w:bookmarkEnd w:id="118"/>
    </w:p>
    <w:p w14:paraId="7F311FD1" w14:textId="41AEB6A0" w:rsidR="57F28AD4" w:rsidRPr="006B0C6C" w:rsidRDefault="68429176" w:rsidP="4A351EF4">
      <w:pPr>
        <w:spacing w:after="0" w:line="257" w:lineRule="auto"/>
        <w:jc w:val="both"/>
        <w:rPr>
          <w:rFonts w:ascii="Calibri" w:eastAsia="Calibri" w:hAnsi="Calibri" w:cs="Calibri"/>
        </w:rPr>
      </w:pPr>
      <w:r w:rsidRPr="4A351EF4">
        <w:rPr>
          <w:rFonts w:ascii="Calibri" w:eastAsia="Calibri" w:hAnsi="Calibri" w:cs="Calibri"/>
        </w:rPr>
        <w:t xml:space="preserve">As mentioned </w:t>
      </w:r>
      <w:r w:rsidR="00E61DEA" w:rsidRPr="4A351EF4">
        <w:rPr>
          <w:rFonts w:ascii="Calibri" w:eastAsia="Calibri" w:hAnsi="Calibri" w:cs="Calibri"/>
        </w:rPr>
        <w:t xml:space="preserve">earlier in this </w:t>
      </w:r>
      <w:r w:rsidR="00AF3C14" w:rsidRPr="4A351EF4">
        <w:rPr>
          <w:rFonts w:ascii="Calibri" w:eastAsia="Calibri" w:hAnsi="Calibri" w:cs="Calibri"/>
        </w:rPr>
        <w:t xml:space="preserve">section </w:t>
      </w:r>
      <w:r w:rsidR="00E61DEA" w:rsidRPr="4A351EF4">
        <w:rPr>
          <w:rFonts w:ascii="Calibri" w:eastAsia="Calibri" w:hAnsi="Calibri" w:cs="Calibri"/>
        </w:rPr>
        <w:t>(</w:t>
      </w:r>
      <w:r w:rsidR="109C21AA" w:rsidRPr="4A351EF4">
        <w:rPr>
          <w:rFonts w:ascii="Calibri" w:eastAsia="Calibri" w:hAnsi="Calibri" w:cs="Calibri"/>
        </w:rPr>
        <w:t>5.</w:t>
      </w:r>
      <w:r w:rsidR="00A24DF0" w:rsidRPr="4A351EF4">
        <w:rPr>
          <w:rFonts w:ascii="Calibri" w:eastAsia="Calibri" w:hAnsi="Calibri" w:cs="Calibri"/>
        </w:rPr>
        <w:t>2</w:t>
      </w:r>
      <w:r w:rsidR="109C21AA" w:rsidRPr="4A351EF4">
        <w:rPr>
          <w:rFonts w:ascii="Calibri" w:eastAsia="Calibri" w:hAnsi="Calibri" w:cs="Calibri"/>
        </w:rPr>
        <w:t>.2</w:t>
      </w:r>
      <w:r w:rsidRPr="4A351EF4">
        <w:rPr>
          <w:rFonts w:ascii="Calibri" w:eastAsia="Calibri" w:hAnsi="Calibri" w:cs="Calibri"/>
        </w:rPr>
        <w:t>) the flexibility of Australian support was highly valued and frequently cited in key informant interviews as a notable</w:t>
      </w:r>
      <w:r w:rsidR="00AF3C14" w:rsidRPr="4A351EF4">
        <w:rPr>
          <w:rFonts w:ascii="Calibri" w:eastAsia="Calibri" w:hAnsi="Calibri" w:cs="Calibri"/>
        </w:rPr>
        <w:t>, appreciated</w:t>
      </w:r>
      <w:r w:rsidR="004C265B">
        <w:rPr>
          <w:rFonts w:ascii="Calibri" w:eastAsia="Calibri" w:hAnsi="Calibri" w:cs="Calibri"/>
        </w:rPr>
        <w:t>,</w:t>
      </w:r>
      <w:r w:rsidR="00AF3C14" w:rsidRPr="4A351EF4">
        <w:rPr>
          <w:rFonts w:ascii="Calibri" w:eastAsia="Calibri" w:hAnsi="Calibri" w:cs="Calibri"/>
        </w:rPr>
        <w:t xml:space="preserve"> and</w:t>
      </w:r>
      <w:r w:rsidR="00B6207A" w:rsidRPr="4A351EF4">
        <w:rPr>
          <w:rFonts w:ascii="Calibri" w:eastAsia="Calibri" w:hAnsi="Calibri" w:cs="Calibri"/>
        </w:rPr>
        <w:t xml:space="preserve"> </w:t>
      </w:r>
      <w:r w:rsidRPr="4A351EF4">
        <w:rPr>
          <w:rFonts w:ascii="Calibri" w:eastAsia="Calibri" w:hAnsi="Calibri" w:cs="Calibri"/>
        </w:rPr>
        <w:t xml:space="preserve">positive </w:t>
      </w:r>
      <w:r w:rsidR="00AF3C14" w:rsidRPr="4A351EF4">
        <w:rPr>
          <w:rFonts w:ascii="Calibri" w:eastAsia="Calibri" w:hAnsi="Calibri" w:cs="Calibri"/>
        </w:rPr>
        <w:t xml:space="preserve">aspect </w:t>
      </w:r>
      <w:r w:rsidRPr="4A351EF4">
        <w:rPr>
          <w:rFonts w:ascii="Calibri" w:eastAsia="Calibri" w:hAnsi="Calibri" w:cs="Calibri"/>
        </w:rPr>
        <w:t xml:space="preserve">of VAHSI. This flexibility </w:t>
      </w:r>
      <w:r w:rsidR="00AF3C14" w:rsidRPr="4A351EF4">
        <w:rPr>
          <w:rFonts w:ascii="Calibri" w:eastAsia="Calibri" w:hAnsi="Calibri" w:cs="Calibri"/>
        </w:rPr>
        <w:t xml:space="preserve">was </w:t>
      </w:r>
      <w:r w:rsidRPr="4A351EF4">
        <w:rPr>
          <w:rFonts w:ascii="Calibri" w:eastAsia="Calibri" w:hAnsi="Calibri" w:cs="Calibri"/>
        </w:rPr>
        <w:t>most clearly seen in big shifts, such as the shift to support to routine immunisation catch-up support, but also in responsiveness to changing needs</w:t>
      </w:r>
      <w:r w:rsidR="00AF3C14" w:rsidRPr="4A351EF4">
        <w:rPr>
          <w:rFonts w:ascii="Calibri" w:eastAsia="Calibri" w:hAnsi="Calibri" w:cs="Calibri"/>
        </w:rPr>
        <w:t xml:space="preserve"> of countries</w:t>
      </w:r>
      <w:r w:rsidRPr="4A351EF4">
        <w:rPr>
          <w:rFonts w:ascii="Calibri" w:eastAsia="Calibri" w:hAnsi="Calibri" w:cs="Calibri"/>
        </w:rPr>
        <w:t xml:space="preserve"> over the course of the </w:t>
      </w:r>
      <w:r w:rsidR="00AF3C14" w:rsidRPr="4A351EF4">
        <w:rPr>
          <w:rFonts w:ascii="Calibri" w:eastAsia="Calibri" w:hAnsi="Calibri" w:cs="Calibri"/>
        </w:rPr>
        <w:t>p</w:t>
      </w:r>
      <w:r w:rsidRPr="4A351EF4">
        <w:rPr>
          <w:rFonts w:ascii="Calibri" w:eastAsia="Calibri" w:hAnsi="Calibri" w:cs="Calibri"/>
        </w:rPr>
        <w:t xml:space="preserve">andemic. </w:t>
      </w:r>
      <w:r w:rsidR="3CEC3B82" w:rsidRPr="4A351EF4">
        <w:rPr>
          <w:rFonts w:ascii="Calibri" w:eastAsia="Calibri" w:hAnsi="Calibri" w:cs="Calibri"/>
        </w:rPr>
        <w:t xml:space="preserve">For example, Australian support through VAHSI to the Philippines catch-up immunisation campaign in early 2023, which enabled vaccination </w:t>
      </w:r>
      <w:r w:rsidR="661734A6" w:rsidRPr="4A351EF4">
        <w:rPr>
          <w:rFonts w:ascii="Calibri" w:eastAsia="Calibri" w:hAnsi="Calibri" w:cs="Calibri"/>
        </w:rPr>
        <w:t xml:space="preserve">of over </w:t>
      </w:r>
      <w:r w:rsidR="670B7800" w:rsidRPr="4A351EF4">
        <w:rPr>
          <w:rFonts w:ascii="Calibri" w:eastAsia="Calibri" w:hAnsi="Calibri" w:cs="Calibri"/>
        </w:rPr>
        <w:t>5</w:t>
      </w:r>
      <w:r w:rsidR="661734A6" w:rsidRPr="4A351EF4">
        <w:rPr>
          <w:rFonts w:ascii="Calibri" w:eastAsia="Calibri" w:hAnsi="Calibri" w:cs="Calibri"/>
        </w:rPr>
        <w:t xml:space="preserve">0,000 children </w:t>
      </w:r>
      <w:r w:rsidR="3CEC3B82" w:rsidRPr="4A351EF4">
        <w:rPr>
          <w:rFonts w:ascii="Calibri" w:eastAsia="Calibri" w:hAnsi="Calibri" w:cs="Calibri"/>
        </w:rPr>
        <w:t xml:space="preserve">with measles-rubella </w:t>
      </w:r>
      <w:r w:rsidR="003446C2">
        <w:rPr>
          <w:rFonts w:ascii="Calibri" w:eastAsia="Calibri" w:hAnsi="Calibri" w:cs="Calibri"/>
        </w:rPr>
        <w:t xml:space="preserve">vaccines </w:t>
      </w:r>
      <w:r w:rsidR="3CEC3B82" w:rsidRPr="4A351EF4">
        <w:rPr>
          <w:rFonts w:ascii="Calibri" w:eastAsia="Calibri" w:hAnsi="Calibri" w:cs="Calibri"/>
        </w:rPr>
        <w:t xml:space="preserve">and </w:t>
      </w:r>
      <w:r w:rsidR="77A745E5" w:rsidRPr="4A351EF4">
        <w:rPr>
          <w:rFonts w:ascii="Calibri" w:eastAsia="Calibri" w:hAnsi="Calibri" w:cs="Calibri"/>
        </w:rPr>
        <w:t xml:space="preserve">over 30,000 with </w:t>
      </w:r>
      <w:r w:rsidR="19D1DDB7" w:rsidRPr="4A351EF4">
        <w:rPr>
          <w:rFonts w:ascii="Calibri" w:eastAsia="Calibri" w:hAnsi="Calibri" w:cs="Calibri"/>
        </w:rPr>
        <w:t xml:space="preserve">bivalent oral </w:t>
      </w:r>
      <w:r w:rsidR="3CEC3B82" w:rsidRPr="4A351EF4">
        <w:rPr>
          <w:rFonts w:ascii="Calibri" w:eastAsia="Calibri" w:hAnsi="Calibri" w:cs="Calibri"/>
        </w:rPr>
        <w:t>polio</w:t>
      </w:r>
      <w:r w:rsidR="579B1B19" w:rsidRPr="4A351EF4">
        <w:rPr>
          <w:rFonts w:ascii="Calibri" w:eastAsia="Calibri" w:hAnsi="Calibri" w:cs="Calibri"/>
        </w:rPr>
        <w:t>virus vaccines.</w:t>
      </w:r>
      <w:r w:rsidR="3CEC3B82" w:rsidRPr="4A351EF4">
        <w:rPr>
          <w:rFonts w:ascii="Calibri" w:eastAsia="Calibri" w:hAnsi="Calibri" w:cs="Calibri"/>
        </w:rPr>
        <w:t xml:space="preserve">  </w:t>
      </w:r>
    </w:p>
    <w:p w14:paraId="1BEBFCE1" w14:textId="1ADE3B77" w:rsidR="57F28AD4" w:rsidRPr="006B0C6C" w:rsidRDefault="68429176" w:rsidP="7E56B70C">
      <w:pPr>
        <w:pStyle w:val="Heading3SHS"/>
        <w:rPr>
          <w:rFonts w:ascii="Calibri" w:eastAsia="Calibri" w:hAnsi="Calibri" w:cs="Calibri"/>
        </w:rPr>
      </w:pPr>
      <w:bookmarkStart w:id="119" w:name="_Toc200617282"/>
      <w:r w:rsidRPr="7E56B70C">
        <w:rPr>
          <w:rFonts w:ascii="Calibri" w:eastAsia="Calibri" w:hAnsi="Calibri" w:cs="Calibri"/>
        </w:rPr>
        <w:t xml:space="preserve">Technical </w:t>
      </w:r>
      <w:r w:rsidR="5FBB4406" w:rsidRPr="7E56B70C">
        <w:rPr>
          <w:rFonts w:ascii="Calibri" w:eastAsia="Calibri" w:hAnsi="Calibri" w:cs="Calibri"/>
        </w:rPr>
        <w:t>a</w:t>
      </w:r>
      <w:r w:rsidRPr="7E56B70C">
        <w:rPr>
          <w:rFonts w:ascii="Calibri" w:eastAsia="Calibri" w:hAnsi="Calibri" w:cs="Calibri"/>
        </w:rPr>
        <w:t>ssistance and Australian expertise</w:t>
      </w:r>
      <w:bookmarkEnd w:id="119"/>
    </w:p>
    <w:p w14:paraId="71289F27" w14:textId="3505B023" w:rsidR="44C8811F" w:rsidRPr="006B0C6C" w:rsidRDefault="1915282F" w:rsidP="000A5EDB">
      <w:pPr>
        <w:spacing w:after="0" w:line="257" w:lineRule="auto"/>
        <w:jc w:val="both"/>
      </w:pPr>
      <w:r w:rsidRPr="006B0C6C">
        <w:rPr>
          <w:rFonts w:ascii="Calibri" w:eastAsia="Calibri" w:hAnsi="Calibri" w:cs="Calibri"/>
        </w:rPr>
        <w:t xml:space="preserve">Partner </w:t>
      </w:r>
      <w:r w:rsidR="00B35C78">
        <w:rPr>
          <w:rFonts w:ascii="Calibri" w:eastAsia="Calibri" w:hAnsi="Calibri" w:cs="Calibri"/>
        </w:rPr>
        <w:t>g</w:t>
      </w:r>
      <w:r w:rsidRPr="006B0C6C">
        <w:rPr>
          <w:rFonts w:ascii="Calibri" w:eastAsia="Calibri" w:hAnsi="Calibri" w:cs="Calibri"/>
        </w:rPr>
        <w:t xml:space="preserve">overnments highly </w:t>
      </w:r>
      <w:r w:rsidR="0D370FC1" w:rsidRPr="006B0C6C">
        <w:rPr>
          <w:rFonts w:ascii="Calibri" w:eastAsia="Calibri" w:hAnsi="Calibri" w:cs="Calibri"/>
        </w:rPr>
        <w:t xml:space="preserve">appreciated that Australia was not just a source of </w:t>
      </w:r>
      <w:r w:rsidRPr="006B0C6C">
        <w:rPr>
          <w:rFonts w:ascii="Calibri" w:eastAsia="Calibri" w:hAnsi="Calibri" w:cs="Calibri"/>
        </w:rPr>
        <w:t xml:space="preserve">vaccine </w:t>
      </w:r>
      <w:r w:rsidR="0D370FC1" w:rsidRPr="006B0C6C">
        <w:rPr>
          <w:rFonts w:ascii="Calibri" w:eastAsia="Calibri" w:hAnsi="Calibri" w:cs="Calibri"/>
        </w:rPr>
        <w:t>doses</w:t>
      </w:r>
      <w:r w:rsidRPr="006B0C6C">
        <w:rPr>
          <w:rFonts w:ascii="Calibri" w:eastAsia="Calibri" w:hAnsi="Calibri" w:cs="Calibri"/>
        </w:rPr>
        <w:t xml:space="preserve"> </w:t>
      </w:r>
      <w:r w:rsidR="00CD7AD5" w:rsidRPr="006B0C6C">
        <w:rPr>
          <w:rFonts w:ascii="Calibri" w:eastAsia="Calibri" w:hAnsi="Calibri" w:cs="Calibri"/>
        </w:rPr>
        <w:t xml:space="preserve">but </w:t>
      </w:r>
      <w:r w:rsidRPr="006B0C6C">
        <w:rPr>
          <w:rFonts w:ascii="Calibri" w:eastAsia="Calibri" w:hAnsi="Calibri" w:cs="Calibri"/>
        </w:rPr>
        <w:t xml:space="preserve">also provided </w:t>
      </w:r>
      <w:r w:rsidR="0D370FC1" w:rsidRPr="006B0C6C">
        <w:rPr>
          <w:rFonts w:ascii="Calibri" w:eastAsia="Calibri" w:hAnsi="Calibri" w:cs="Calibri"/>
        </w:rPr>
        <w:t xml:space="preserve">regulatory assistance through Australian expert institutions </w:t>
      </w:r>
      <w:r w:rsidR="7B55DECE" w:rsidRPr="006B0C6C">
        <w:rPr>
          <w:rFonts w:ascii="Calibri" w:eastAsia="Calibri" w:hAnsi="Calibri" w:cs="Calibri"/>
        </w:rPr>
        <w:t>to enable</w:t>
      </w:r>
      <w:r w:rsidR="4085BA09" w:rsidRPr="006B0C6C">
        <w:rPr>
          <w:rFonts w:ascii="Calibri" w:eastAsia="Calibri" w:hAnsi="Calibri" w:cs="Calibri"/>
        </w:rPr>
        <w:t xml:space="preserve"> </w:t>
      </w:r>
      <w:r w:rsidR="0D370FC1" w:rsidRPr="006B0C6C">
        <w:rPr>
          <w:rFonts w:ascii="Calibri" w:eastAsia="Calibri" w:hAnsi="Calibri" w:cs="Calibri"/>
        </w:rPr>
        <w:t xml:space="preserve">the use of new vaccines in countries in the region. The secondment of technical experts to support </w:t>
      </w:r>
      <w:r w:rsidR="00230CF8">
        <w:rPr>
          <w:rFonts w:ascii="Calibri" w:eastAsia="Calibri" w:hAnsi="Calibri" w:cs="Calibri"/>
        </w:rPr>
        <w:t>M</w:t>
      </w:r>
      <w:r w:rsidR="0D370FC1" w:rsidRPr="006B0C6C">
        <w:rPr>
          <w:rFonts w:ascii="Calibri" w:eastAsia="Calibri" w:hAnsi="Calibri" w:cs="Calibri"/>
        </w:rPr>
        <w:t xml:space="preserve">inistries of </w:t>
      </w:r>
      <w:r w:rsidR="00230CF8">
        <w:rPr>
          <w:rFonts w:ascii="Calibri" w:eastAsia="Calibri" w:hAnsi="Calibri" w:cs="Calibri"/>
        </w:rPr>
        <w:t>H</w:t>
      </w:r>
      <w:r w:rsidR="0D370FC1" w:rsidRPr="006B0C6C">
        <w:rPr>
          <w:rFonts w:ascii="Calibri" w:eastAsia="Calibri" w:hAnsi="Calibri" w:cs="Calibri"/>
        </w:rPr>
        <w:t xml:space="preserve">ealth was of </w:t>
      </w:r>
      <w:r w:rsidR="00C734C7">
        <w:rPr>
          <w:rFonts w:ascii="Calibri" w:eastAsia="Calibri" w:hAnsi="Calibri" w:cs="Calibri"/>
        </w:rPr>
        <w:t>significant</w:t>
      </w:r>
      <w:r w:rsidR="00C734C7" w:rsidRPr="006B0C6C">
        <w:rPr>
          <w:rFonts w:ascii="Calibri" w:eastAsia="Calibri" w:hAnsi="Calibri" w:cs="Calibri"/>
        </w:rPr>
        <w:t xml:space="preserve"> </w:t>
      </w:r>
      <w:r w:rsidR="0D370FC1" w:rsidRPr="006B0C6C">
        <w:rPr>
          <w:rFonts w:ascii="Calibri" w:eastAsia="Calibri" w:hAnsi="Calibri" w:cs="Calibri"/>
        </w:rPr>
        <w:t xml:space="preserve">value to countries in the region, not least as it enabled institutional strengthening which could have a long-lasting positive </w:t>
      </w:r>
      <w:r w:rsidR="7B55DECE" w:rsidRPr="006B0C6C">
        <w:rPr>
          <w:rFonts w:ascii="Calibri" w:eastAsia="Calibri" w:hAnsi="Calibri" w:cs="Calibri"/>
        </w:rPr>
        <w:t>impact</w:t>
      </w:r>
      <w:r w:rsidR="0D370FC1" w:rsidRPr="006B0C6C">
        <w:rPr>
          <w:rFonts w:ascii="Calibri" w:eastAsia="Calibri" w:hAnsi="Calibri" w:cs="Calibri"/>
        </w:rPr>
        <w:t xml:space="preserve">. </w:t>
      </w:r>
      <w:r w:rsidR="00A4789C" w:rsidRPr="00BE1EFD">
        <w:t>The support to countries to upgrade to e-medical records from previous use of paper records enabled better targeting of populations that had not been vaccinated.</w:t>
      </w:r>
      <w:r w:rsidR="0D370FC1" w:rsidRPr="006B0C6C">
        <w:rPr>
          <w:rFonts w:ascii="Calibri" w:eastAsia="Calibri" w:hAnsi="Calibri" w:cs="Calibri"/>
        </w:rPr>
        <w:t xml:space="preserve"> </w:t>
      </w:r>
      <w:r w:rsidR="45AC8430" w:rsidRPr="006B0C6C">
        <w:rPr>
          <w:rFonts w:ascii="Calibri" w:eastAsia="Calibri" w:hAnsi="Calibri" w:cs="Calibri"/>
        </w:rPr>
        <w:t xml:space="preserve">Tonga </w:t>
      </w:r>
      <w:r w:rsidR="7B55DECE" w:rsidRPr="006B0C6C">
        <w:rPr>
          <w:rFonts w:ascii="Calibri" w:eastAsia="Calibri" w:hAnsi="Calibri" w:cs="Calibri"/>
        </w:rPr>
        <w:t>experienced</w:t>
      </w:r>
      <w:r w:rsidR="45AC8430" w:rsidRPr="006B0C6C">
        <w:rPr>
          <w:rFonts w:ascii="Calibri" w:eastAsia="Calibri" w:hAnsi="Calibri" w:cs="Calibri"/>
        </w:rPr>
        <w:t xml:space="preserve"> </w:t>
      </w:r>
      <w:r w:rsidR="00B03C5F" w:rsidRPr="006B0C6C">
        <w:rPr>
          <w:rFonts w:ascii="Calibri" w:eastAsia="Calibri" w:hAnsi="Calibri" w:cs="Calibri"/>
        </w:rPr>
        <w:t xml:space="preserve">the effects of </w:t>
      </w:r>
      <w:r w:rsidR="45AC8430" w:rsidRPr="006B0C6C">
        <w:rPr>
          <w:rFonts w:ascii="Calibri" w:eastAsia="Calibri" w:hAnsi="Calibri" w:cs="Calibri"/>
        </w:rPr>
        <w:t>a tsunami in 2022 and needed humanitarian support</w:t>
      </w:r>
      <w:r w:rsidR="00B03C5F" w:rsidRPr="006B0C6C">
        <w:rPr>
          <w:rFonts w:ascii="Calibri" w:eastAsia="Calibri" w:hAnsi="Calibri" w:cs="Calibri"/>
        </w:rPr>
        <w:t>, but</w:t>
      </w:r>
      <w:r w:rsidR="45AC8430" w:rsidRPr="006B0C6C">
        <w:rPr>
          <w:rFonts w:ascii="Calibri" w:eastAsia="Calibri" w:hAnsi="Calibri" w:cs="Calibri"/>
        </w:rPr>
        <w:t xml:space="preserve"> there was a reluctance to let humanitarian aid workers into the country before the national vaccination campaign for </w:t>
      </w:r>
      <w:r w:rsidR="7B55DECE" w:rsidRPr="006B0C6C">
        <w:rPr>
          <w:rFonts w:ascii="Calibri" w:eastAsia="Calibri" w:hAnsi="Calibri" w:cs="Calibri"/>
        </w:rPr>
        <w:t>COVID</w:t>
      </w:r>
      <w:r w:rsidR="45AC8430" w:rsidRPr="006B0C6C">
        <w:rPr>
          <w:rFonts w:ascii="Calibri" w:eastAsia="Calibri" w:hAnsi="Calibri" w:cs="Calibri"/>
        </w:rPr>
        <w:t xml:space="preserve">-19 had taken place. Australia expedited the necessary technical </w:t>
      </w:r>
      <w:r w:rsidR="00158637" w:rsidRPr="006B0C6C">
        <w:rPr>
          <w:rFonts w:ascii="Calibri" w:eastAsia="Calibri" w:hAnsi="Calibri" w:cs="Calibri"/>
        </w:rPr>
        <w:t xml:space="preserve">and logistical </w:t>
      </w:r>
      <w:r w:rsidR="45AC8430" w:rsidRPr="006B0C6C">
        <w:rPr>
          <w:rFonts w:ascii="Calibri" w:eastAsia="Calibri" w:hAnsi="Calibri" w:cs="Calibri"/>
        </w:rPr>
        <w:t xml:space="preserve">support to enable Tonga to </w:t>
      </w:r>
      <w:r w:rsidR="3E1599B7" w:rsidRPr="006B0C6C">
        <w:rPr>
          <w:rFonts w:ascii="Calibri" w:eastAsia="Calibri" w:hAnsi="Calibri" w:cs="Calibri"/>
        </w:rPr>
        <w:t xml:space="preserve">safely </w:t>
      </w:r>
      <w:r w:rsidR="45AC8430" w:rsidRPr="006B0C6C">
        <w:rPr>
          <w:rFonts w:ascii="Calibri" w:eastAsia="Calibri" w:hAnsi="Calibri" w:cs="Calibri"/>
        </w:rPr>
        <w:t xml:space="preserve">receive </w:t>
      </w:r>
      <w:r w:rsidR="020DBC31" w:rsidRPr="006B0C6C">
        <w:rPr>
          <w:rFonts w:ascii="Calibri" w:eastAsia="Calibri" w:hAnsi="Calibri" w:cs="Calibri"/>
        </w:rPr>
        <w:t xml:space="preserve">and distribute </w:t>
      </w:r>
      <w:r w:rsidR="45AC8430" w:rsidRPr="006B0C6C">
        <w:rPr>
          <w:rFonts w:ascii="Calibri" w:eastAsia="Calibri" w:hAnsi="Calibri" w:cs="Calibri"/>
        </w:rPr>
        <w:t>Pfizer</w:t>
      </w:r>
      <w:r w:rsidR="18086B25" w:rsidRPr="006B0C6C">
        <w:rPr>
          <w:rFonts w:ascii="Calibri" w:eastAsia="Calibri" w:hAnsi="Calibri" w:cs="Calibri"/>
        </w:rPr>
        <w:t xml:space="preserve"> doses</w:t>
      </w:r>
      <w:r w:rsidR="45AC8430" w:rsidRPr="006B0C6C">
        <w:rPr>
          <w:rFonts w:ascii="Calibri" w:eastAsia="Calibri" w:hAnsi="Calibri" w:cs="Calibri"/>
        </w:rPr>
        <w:t>, thus enabling the arrival of humanitarian support.</w:t>
      </w:r>
    </w:p>
    <w:p w14:paraId="74E06262" w14:textId="5298E2D4" w:rsidR="57F28AD4" w:rsidRPr="006B0C6C" w:rsidRDefault="57F28AD4" w:rsidP="44C8811F">
      <w:pPr>
        <w:pStyle w:val="Heading3SHS"/>
      </w:pPr>
      <w:bookmarkStart w:id="120" w:name="_Toc200617283"/>
      <w:r w:rsidRPr="006B0C6C">
        <w:t>Relationship building</w:t>
      </w:r>
      <w:bookmarkEnd w:id="120"/>
    </w:p>
    <w:p w14:paraId="59FC42BA" w14:textId="10C30A66" w:rsidR="00CD002B" w:rsidRPr="006B0C6C" w:rsidRDefault="70EADB96" w:rsidP="000A5EDB">
      <w:pPr>
        <w:jc w:val="both"/>
        <w:rPr>
          <w:rFonts w:ascii="Calibri" w:eastAsia="Calibri" w:hAnsi="Calibri" w:cs="Calibri"/>
        </w:rPr>
      </w:pPr>
      <w:r w:rsidRPr="006B0C6C">
        <w:t xml:space="preserve">Throughout the </w:t>
      </w:r>
      <w:r w:rsidR="4D115533" w:rsidRPr="006B0C6C">
        <w:t>p</w:t>
      </w:r>
      <w:r w:rsidRPr="006B0C6C">
        <w:t>andemic, Australia was able to mobilise health and</w:t>
      </w:r>
      <w:r w:rsidR="42F94305" w:rsidRPr="006B0C6C">
        <w:t xml:space="preserve"> technical </w:t>
      </w:r>
      <w:r w:rsidRPr="006B0C6C">
        <w:t>specialist agencies</w:t>
      </w:r>
      <w:r w:rsidR="6309AB2C" w:rsidRPr="006B0C6C">
        <w:t xml:space="preserve"> (e.g. TGA, Menzies, NCIRS) t</w:t>
      </w:r>
      <w:r w:rsidRPr="006B0C6C">
        <w:t>o assist countries in the P</w:t>
      </w:r>
      <w:r w:rsidR="0D4904CF" w:rsidRPr="006B0C6C">
        <w:t>acific and SE</w:t>
      </w:r>
      <w:r w:rsidR="53FBCCA2" w:rsidRPr="006B0C6C">
        <w:t>A, including facilitating direct contact betwe</w:t>
      </w:r>
      <w:r w:rsidR="2959CB77" w:rsidRPr="006B0C6C">
        <w:t>e</w:t>
      </w:r>
      <w:r w:rsidR="53FBCCA2" w:rsidRPr="006B0C6C">
        <w:t xml:space="preserve">n Australian and partner </w:t>
      </w:r>
      <w:r w:rsidR="00B35C78">
        <w:t>g</w:t>
      </w:r>
      <w:r w:rsidR="53FBCCA2" w:rsidRPr="006B0C6C">
        <w:t xml:space="preserve">overnment ministries, doctors and technical specialists. </w:t>
      </w:r>
      <w:r w:rsidR="2B076837" w:rsidRPr="006B0C6C">
        <w:t>These di</w:t>
      </w:r>
      <w:r w:rsidR="3C693549" w:rsidRPr="006B0C6C">
        <w:t xml:space="preserve">rect contacts were </w:t>
      </w:r>
      <w:r w:rsidR="4D115533" w:rsidRPr="006B0C6C">
        <w:t xml:space="preserve">highly </w:t>
      </w:r>
      <w:r w:rsidR="3C693549" w:rsidRPr="006B0C6C">
        <w:t xml:space="preserve">valued by partner </w:t>
      </w:r>
      <w:r w:rsidR="00B35C78">
        <w:t>g</w:t>
      </w:r>
      <w:r w:rsidR="3C693549" w:rsidRPr="006B0C6C">
        <w:t xml:space="preserve">overnments (e.g. </w:t>
      </w:r>
      <w:r w:rsidR="415974B6" w:rsidRPr="006B0C6C">
        <w:t>regulatory assistance</w:t>
      </w:r>
      <w:r w:rsidR="3C693549" w:rsidRPr="006B0C6C">
        <w:t>) and have led to relationships that should continue to</w:t>
      </w:r>
      <w:r w:rsidR="07863908" w:rsidRPr="006B0C6C">
        <w:t xml:space="preserve"> </w:t>
      </w:r>
      <w:r w:rsidR="4D115533" w:rsidRPr="006B0C6C">
        <w:t xml:space="preserve">strengthen </w:t>
      </w:r>
      <w:r w:rsidR="07863908" w:rsidRPr="006B0C6C">
        <w:t xml:space="preserve">health systems in the </w:t>
      </w:r>
      <w:r w:rsidR="2033AD14" w:rsidRPr="006B0C6C">
        <w:t xml:space="preserve">region and </w:t>
      </w:r>
      <w:r w:rsidR="009B58B8" w:rsidRPr="006B0C6C">
        <w:t xml:space="preserve">help to </w:t>
      </w:r>
      <w:r w:rsidR="07863908" w:rsidRPr="006B0C6C">
        <w:t>protect Australia’s neighbours.</w:t>
      </w:r>
      <w:r w:rsidR="78A41875" w:rsidRPr="006B0C6C">
        <w:t xml:space="preserve"> </w:t>
      </w:r>
      <w:r w:rsidR="78A41875" w:rsidRPr="006B0C6C">
        <w:rPr>
          <w:rFonts w:ascii="Calibri" w:eastAsia="Calibri" w:hAnsi="Calibri" w:cs="Calibri"/>
        </w:rPr>
        <w:t xml:space="preserve">The </w:t>
      </w:r>
      <w:r w:rsidR="3301A216" w:rsidRPr="006B0C6C">
        <w:rPr>
          <w:rFonts w:ascii="Calibri" w:eastAsia="Calibri" w:hAnsi="Calibri" w:cs="Calibri"/>
        </w:rPr>
        <w:t xml:space="preserve">new relationships </w:t>
      </w:r>
      <w:r w:rsidR="4D115533" w:rsidRPr="006B0C6C">
        <w:rPr>
          <w:rFonts w:ascii="Calibri" w:eastAsia="Calibri" w:hAnsi="Calibri" w:cs="Calibri"/>
        </w:rPr>
        <w:t xml:space="preserve">established </w:t>
      </w:r>
      <w:r w:rsidR="3301A216" w:rsidRPr="006B0C6C">
        <w:rPr>
          <w:rFonts w:ascii="Calibri" w:eastAsia="Calibri" w:hAnsi="Calibri" w:cs="Calibri"/>
        </w:rPr>
        <w:t xml:space="preserve">through </w:t>
      </w:r>
      <w:r w:rsidR="4D115533" w:rsidRPr="006B0C6C">
        <w:rPr>
          <w:rFonts w:ascii="Calibri" w:eastAsia="Calibri" w:hAnsi="Calibri" w:cs="Calibri"/>
        </w:rPr>
        <w:t>VAHSI</w:t>
      </w:r>
      <w:r w:rsidR="3301A216" w:rsidRPr="006B0C6C">
        <w:rPr>
          <w:rFonts w:ascii="Calibri" w:eastAsia="Calibri" w:hAnsi="Calibri" w:cs="Calibri"/>
        </w:rPr>
        <w:t xml:space="preserve"> continue to lend significant weight to </w:t>
      </w:r>
      <w:r w:rsidR="6806BA36" w:rsidRPr="006B0C6C">
        <w:rPr>
          <w:rFonts w:ascii="Calibri" w:eastAsia="Calibri" w:hAnsi="Calibri" w:cs="Calibri"/>
        </w:rPr>
        <w:t xml:space="preserve">the </w:t>
      </w:r>
      <w:r w:rsidR="3301A216" w:rsidRPr="006B0C6C">
        <w:rPr>
          <w:rFonts w:ascii="Calibri" w:eastAsia="Calibri" w:hAnsi="Calibri" w:cs="Calibri"/>
        </w:rPr>
        <w:t xml:space="preserve">standing </w:t>
      </w:r>
      <w:r w:rsidR="797C2005" w:rsidRPr="006B0C6C">
        <w:rPr>
          <w:rFonts w:ascii="Calibri" w:eastAsia="Calibri" w:hAnsi="Calibri" w:cs="Calibri"/>
        </w:rPr>
        <w:t>of the Health Security</w:t>
      </w:r>
      <w:r w:rsidR="6964D6CF" w:rsidRPr="006B0C6C">
        <w:rPr>
          <w:rFonts w:ascii="Calibri" w:eastAsia="Calibri" w:hAnsi="Calibri" w:cs="Calibri"/>
        </w:rPr>
        <w:t xml:space="preserve"> Partnership</w:t>
      </w:r>
      <w:r w:rsidR="797C2005" w:rsidRPr="006B0C6C">
        <w:rPr>
          <w:rFonts w:ascii="Calibri" w:eastAsia="Calibri" w:hAnsi="Calibri" w:cs="Calibri"/>
        </w:rPr>
        <w:t xml:space="preserve"> </w:t>
      </w:r>
      <w:r w:rsidR="7DF7B025" w:rsidRPr="006B0C6C">
        <w:rPr>
          <w:rFonts w:ascii="Calibri" w:eastAsia="Calibri" w:hAnsi="Calibri" w:cs="Calibri"/>
        </w:rPr>
        <w:t>agencies</w:t>
      </w:r>
      <w:r w:rsidR="535DF158" w:rsidRPr="006B0C6C">
        <w:rPr>
          <w:rFonts w:ascii="Calibri" w:eastAsia="Calibri" w:hAnsi="Calibri" w:cs="Calibri"/>
        </w:rPr>
        <w:t xml:space="preserve"> in the region, evidenced by continuing requests for assistance following the drop off in requests for COVID-19 </w:t>
      </w:r>
      <w:r w:rsidR="6180AAFC" w:rsidRPr="006B0C6C">
        <w:rPr>
          <w:rFonts w:ascii="Calibri" w:eastAsia="Calibri" w:hAnsi="Calibri" w:cs="Calibri"/>
        </w:rPr>
        <w:t>response</w:t>
      </w:r>
      <w:r w:rsidR="3301A216" w:rsidRPr="006B0C6C">
        <w:rPr>
          <w:rFonts w:ascii="Calibri" w:eastAsia="Calibri" w:hAnsi="Calibri" w:cs="Calibri"/>
        </w:rPr>
        <w:t>.</w:t>
      </w:r>
      <w:r w:rsidR="6B3B901A" w:rsidRPr="006B0C6C">
        <w:rPr>
          <w:rFonts w:ascii="Calibri" w:eastAsia="Calibri" w:hAnsi="Calibri" w:cs="Calibri"/>
        </w:rPr>
        <w:t xml:space="preserve"> </w:t>
      </w:r>
      <w:r w:rsidR="1EB66EF6" w:rsidRPr="006B0C6C">
        <w:rPr>
          <w:rFonts w:ascii="Calibri" w:eastAsia="Calibri" w:hAnsi="Calibri" w:cs="Calibri"/>
        </w:rPr>
        <w:t>TGA engagement with the Philippines’ Epidemiology Bureau under</w:t>
      </w:r>
      <w:r w:rsidR="4D5FB179" w:rsidRPr="006B0C6C">
        <w:rPr>
          <w:rFonts w:ascii="Calibri" w:eastAsia="Calibri" w:hAnsi="Calibri" w:cs="Calibri"/>
        </w:rPr>
        <w:t xml:space="preserve"> the Australian Expert Technical Assistance Program</w:t>
      </w:r>
      <w:r w:rsidR="1EB66EF6" w:rsidRPr="006B0C6C">
        <w:rPr>
          <w:rFonts w:ascii="Calibri" w:eastAsia="Calibri" w:hAnsi="Calibri" w:cs="Calibri"/>
        </w:rPr>
        <w:t xml:space="preserve"> </w:t>
      </w:r>
      <w:r w:rsidR="3BF2F2FD" w:rsidRPr="006B0C6C">
        <w:rPr>
          <w:rFonts w:ascii="Calibri" w:eastAsia="Calibri" w:hAnsi="Calibri" w:cs="Calibri"/>
        </w:rPr>
        <w:t>(</w:t>
      </w:r>
      <w:r w:rsidR="1EB66EF6" w:rsidRPr="006B0C6C">
        <w:rPr>
          <w:rFonts w:ascii="Calibri" w:eastAsia="Calibri" w:hAnsi="Calibri" w:cs="Calibri"/>
        </w:rPr>
        <w:t>AETAP</w:t>
      </w:r>
      <w:r w:rsidR="7E5E0A7D" w:rsidRPr="006B0C6C">
        <w:rPr>
          <w:rFonts w:ascii="Calibri" w:eastAsia="Calibri" w:hAnsi="Calibri" w:cs="Calibri"/>
        </w:rPr>
        <w:t>)</w:t>
      </w:r>
      <w:r w:rsidR="1EB66EF6" w:rsidRPr="006B0C6C">
        <w:rPr>
          <w:rFonts w:ascii="Calibri" w:eastAsia="Calibri" w:hAnsi="Calibri" w:cs="Calibri"/>
        </w:rPr>
        <w:t xml:space="preserve"> </w:t>
      </w:r>
      <w:r w:rsidR="375F82ED" w:rsidRPr="006B0C6C">
        <w:rPr>
          <w:rFonts w:ascii="Calibri" w:eastAsia="Calibri" w:hAnsi="Calibri" w:cs="Calibri"/>
        </w:rPr>
        <w:t xml:space="preserve">was </w:t>
      </w:r>
      <w:r w:rsidR="1EB66EF6" w:rsidRPr="006B0C6C">
        <w:rPr>
          <w:rFonts w:ascii="Calibri" w:eastAsia="Calibri" w:hAnsi="Calibri" w:cs="Calibri"/>
        </w:rPr>
        <w:t>well received</w:t>
      </w:r>
      <w:r w:rsidR="646FCAF8" w:rsidRPr="006B0C6C">
        <w:rPr>
          <w:rFonts w:ascii="Calibri" w:eastAsia="Calibri" w:hAnsi="Calibri" w:cs="Calibri"/>
        </w:rPr>
        <w:t>, as demonstrated by</w:t>
      </w:r>
      <w:r w:rsidR="1EB66EF6" w:rsidRPr="006B0C6C">
        <w:rPr>
          <w:rFonts w:ascii="Calibri" w:eastAsia="Calibri" w:hAnsi="Calibri" w:cs="Calibri"/>
        </w:rPr>
        <w:t xml:space="preserve"> </w:t>
      </w:r>
      <w:r w:rsidR="55FF9786" w:rsidRPr="006B0C6C">
        <w:rPr>
          <w:rFonts w:ascii="Calibri" w:eastAsia="Calibri" w:hAnsi="Calibri" w:cs="Calibri"/>
        </w:rPr>
        <w:t>p</w:t>
      </w:r>
      <w:r w:rsidR="1EB66EF6" w:rsidRPr="006B0C6C">
        <w:rPr>
          <w:rFonts w:ascii="Calibri" w:eastAsia="Calibri" w:hAnsi="Calibri" w:cs="Calibri"/>
        </w:rPr>
        <w:t>ositive written feedback received by TGA from the Philippine’s Department of Health.</w:t>
      </w:r>
    </w:p>
    <w:p w14:paraId="3497A9E2" w14:textId="55C11EF6" w:rsidR="11D2668B" w:rsidRPr="004A2C53" w:rsidRDefault="59775E53" w:rsidP="004A2C53">
      <w:pPr>
        <w:pStyle w:val="Heading2SHS"/>
        <w:ind w:left="142"/>
        <w:rPr>
          <w:rFonts w:ascii="Calibri" w:eastAsia="Calibri" w:hAnsi="Calibri" w:cs="Calibri"/>
        </w:rPr>
      </w:pPr>
      <w:r w:rsidRPr="004A2C53">
        <w:rPr>
          <w:rFonts w:ascii="Calibri" w:eastAsia="Calibri" w:hAnsi="Calibri" w:cs="Calibri"/>
        </w:rPr>
        <w:t xml:space="preserve"> </w:t>
      </w:r>
      <w:bookmarkStart w:id="121" w:name="_Toc200617284"/>
      <w:r w:rsidR="6CF676E0" w:rsidRPr="004A2C53">
        <w:rPr>
          <w:rFonts w:ascii="Calibri" w:eastAsia="Calibri" w:hAnsi="Calibri" w:cs="Calibri"/>
        </w:rPr>
        <w:t>Key lessons</w:t>
      </w:r>
      <w:r w:rsidR="04B089DF" w:rsidRPr="004A2C53">
        <w:rPr>
          <w:rFonts w:ascii="Calibri" w:eastAsia="Calibri" w:hAnsi="Calibri" w:cs="Calibri"/>
        </w:rPr>
        <w:t xml:space="preserve"> </w:t>
      </w:r>
      <w:r w:rsidR="002D646D" w:rsidRPr="004A2C53">
        <w:rPr>
          <w:rFonts w:ascii="Calibri" w:eastAsia="Calibri" w:hAnsi="Calibri" w:cs="Calibri"/>
        </w:rPr>
        <w:t>learned</w:t>
      </w:r>
      <w:bookmarkEnd w:id="121"/>
      <w:r w:rsidR="002D646D" w:rsidRPr="004A2C53">
        <w:rPr>
          <w:rFonts w:ascii="Calibri" w:eastAsia="Calibri" w:hAnsi="Calibri" w:cs="Calibri"/>
        </w:rPr>
        <w:t xml:space="preserve"> </w:t>
      </w:r>
    </w:p>
    <w:p w14:paraId="5D112B2A" w14:textId="470DD462" w:rsidR="00F52344" w:rsidRPr="006B0C6C" w:rsidRDefault="7514E908" w:rsidP="371AEC96">
      <w:pPr>
        <w:spacing w:after="0" w:line="257" w:lineRule="auto"/>
        <w:jc w:val="both"/>
        <w:rPr>
          <w:rFonts w:ascii="Calibri" w:eastAsia="Calibri" w:hAnsi="Calibri" w:cs="Calibri"/>
        </w:rPr>
      </w:pPr>
      <w:r w:rsidRPr="006B0C6C">
        <w:rPr>
          <w:rFonts w:ascii="Calibri" w:eastAsia="Calibri" w:hAnsi="Calibri" w:cs="Calibri"/>
        </w:rPr>
        <w:t xml:space="preserve">Delivery </w:t>
      </w:r>
      <w:r w:rsidR="00A4789C">
        <w:rPr>
          <w:rFonts w:ascii="Calibri" w:eastAsia="Calibri" w:hAnsi="Calibri" w:cs="Calibri"/>
        </w:rPr>
        <w:t xml:space="preserve">support </w:t>
      </w:r>
      <w:r w:rsidRPr="006B0C6C">
        <w:rPr>
          <w:rFonts w:ascii="Calibri" w:eastAsia="Calibri" w:hAnsi="Calibri" w:cs="Calibri"/>
        </w:rPr>
        <w:t xml:space="preserve">partners, </w:t>
      </w:r>
      <w:r w:rsidR="00AF5F3E">
        <w:rPr>
          <w:rFonts w:ascii="Calibri" w:eastAsia="Calibri" w:hAnsi="Calibri" w:cs="Calibri"/>
        </w:rPr>
        <w:t xml:space="preserve">partner </w:t>
      </w:r>
      <w:r w:rsidR="00B35C78">
        <w:rPr>
          <w:rFonts w:ascii="Calibri" w:eastAsia="Calibri" w:hAnsi="Calibri" w:cs="Calibri"/>
        </w:rPr>
        <w:t>g</w:t>
      </w:r>
      <w:r w:rsidRPr="006B0C6C">
        <w:rPr>
          <w:rFonts w:ascii="Calibri" w:eastAsia="Calibri" w:hAnsi="Calibri" w:cs="Calibri"/>
        </w:rPr>
        <w:t>overnment</w:t>
      </w:r>
      <w:r w:rsidR="00AF5F3E">
        <w:rPr>
          <w:rFonts w:ascii="Calibri" w:eastAsia="Calibri" w:hAnsi="Calibri" w:cs="Calibri"/>
        </w:rPr>
        <w:t>s</w:t>
      </w:r>
      <w:r w:rsidRPr="006B0C6C">
        <w:rPr>
          <w:rFonts w:ascii="Calibri" w:eastAsia="Calibri" w:hAnsi="Calibri" w:cs="Calibri"/>
        </w:rPr>
        <w:t xml:space="preserve"> and DFAT officers reported</w:t>
      </w:r>
      <w:r w:rsidR="00AF5F3E">
        <w:rPr>
          <w:rFonts w:ascii="Calibri" w:eastAsia="Calibri" w:hAnsi="Calibri" w:cs="Calibri"/>
        </w:rPr>
        <w:t xml:space="preserve"> the following</w:t>
      </w:r>
      <w:r w:rsidRPr="006B0C6C">
        <w:rPr>
          <w:rFonts w:ascii="Calibri" w:eastAsia="Calibri" w:hAnsi="Calibri" w:cs="Calibri"/>
        </w:rPr>
        <w:t xml:space="preserve"> key lessons learned from implementation of VAHSI</w:t>
      </w:r>
      <w:r w:rsidR="00AF5F3E">
        <w:rPr>
          <w:rFonts w:ascii="Calibri" w:eastAsia="Calibri" w:hAnsi="Calibri" w:cs="Calibri"/>
        </w:rPr>
        <w:t>:</w:t>
      </w:r>
    </w:p>
    <w:p w14:paraId="50A0E0C1" w14:textId="59E200AC" w:rsidR="00F52344" w:rsidRDefault="249C1DB1" w:rsidP="00133E7C">
      <w:pPr>
        <w:pStyle w:val="bullet"/>
      </w:pPr>
      <w:r w:rsidRPr="00477F8F">
        <w:t xml:space="preserve">The importance of being responsive to </w:t>
      </w:r>
      <w:proofErr w:type="gramStart"/>
      <w:r w:rsidRPr="00477F8F">
        <w:t>country</w:t>
      </w:r>
      <w:proofErr w:type="gramEnd"/>
      <w:r w:rsidRPr="00477F8F">
        <w:t xml:space="preserve"> needs and </w:t>
      </w:r>
      <w:r w:rsidR="00A4789C">
        <w:t>prompt in providing</w:t>
      </w:r>
      <w:r w:rsidRPr="00477F8F">
        <w:t xml:space="preserve"> deliver</w:t>
      </w:r>
      <w:r w:rsidR="00A4789C">
        <w:t>y</w:t>
      </w:r>
      <w:r w:rsidRPr="00477F8F">
        <w:t xml:space="preserve"> support </w:t>
      </w:r>
      <w:r w:rsidR="00AF5F3E">
        <w:t>to</w:t>
      </w:r>
      <w:r w:rsidRPr="00477F8F">
        <w:t xml:space="preserve"> trust and </w:t>
      </w:r>
      <w:r w:rsidR="00AF5F3E">
        <w:t>strengthen relationships with</w:t>
      </w:r>
      <w:r w:rsidRPr="00477F8F">
        <w:t xml:space="preserve"> partner </w:t>
      </w:r>
      <w:r w:rsidR="00B35C78">
        <w:t>g</w:t>
      </w:r>
      <w:r w:rsidRPr="00477F8F">
        <w:t>overnments.</w:t>
      </w:r>
    </w:p>
    <w:p w14:paraId="72BED20F" w14:textId="7F6F589B" w:rsidR="003D3895" w:rsidRPr="003D3895" w:rsidRDefault="00AF5F3E" w:rsidP="00133E7C">
      <w:pPr>
        <w:pStyle w:val="bullet"/>
      </w:pPr>
      <w:r>
        <w:t>The</w:t>
      </w:r>
      <w:r w:rsidR="691AA794" w:rsidRPr="00477F8F">
        <w:t xml:space="preserve"> importance of flexibility </w:t>
      </w:r>
      <w:proofErr w:type="gramStart"/>
      <w:r w:rsidR="691AA794" w:rsidRPr="00477F8F">
        <w:t>to</w:t>
      </w:r>
      <w:proofErr w:type="gramEnd"/>
      <w:r w:rsidR="691AA794" w:rsidRPr="00477F8F">
        <w:t xml:space="preserve"> be able to respond to changing partner </w:t>
      </w:r>
      <w:proofErr w:type="gramStart"/>
      <w:r w:rsidR="6737BBF4" w:rsidRPr="00477F8F">
        <w:t>country</w:t>
      </w:r>
      <w:proofErr w:type="gramEnd"/>
      <w:r w:rsidR="6737BBF4" w:rsidRPr="00477F8F">
        <w:t xml:space="preserve"> </w:t>
      </w:r>
      <w:r w:rsidR="691AA794" w:rsidRPr="00477F8F">
        <w:t>needs</w:t>
      </w:r>
      <w:r w:rsidR="003D3895">
        <w:t xml:space="preserve"> and enable</w:t>
      </w:r>
      <w:r w:rsidR="7524F584" w:rsidRPr="00477F8F">
        <w:t xml:space="preserve"> the effective and efficient use of resources</w:t>
      </w:r>
      <w:r w:rsidR="691AA794" w:rsidRPr="00477F8F">
        <w:t>.</w:t>
      </w:r>
    </w:p>
    <w:p w14:paraId="480B9A15" w14:textId="47B0375B" w:rsidR="00A25BBF" w:rsidRPr="00A25BBF" w:rsidRDefault="00F52344" w:rsidP="00A25BBF">
      <w:pPr>
        <w:pStyle w:val="Heading2SHS"/>
        <w:ind w:left="142"/>
        <w:rPr>
          <w:rFonts w:ascii="Calibri" w:eastAsia="Calibri" w:hAnsi="Calibri" w:cs="Calibri"/>
        </w:rPr>
      </w:pPr>
      <w:bookmarkStart w:id="122" w:name="_Toc200617285"/>
      <w:r w:rsidRPr="004A2C53">
        <w:rPr>
          <w:rFonts w:ascii="Calibri" w:eastAsia="Calibri" w:hAnsi="Calibri" w:cs="Calibri"/>
        </w:rPr>
        <w:t>Recommendation</w:t>
      </w:r>
      <w:r w:rsidR="00BB43BE" w:rsidRPr="004A2C53">
        <w:rPr>
          <w:rFonts w:ascii="Calibri" w:eastAsia="Calibri" w:hAnsi="Calibri" w:cs="Calibri"/>
        </w:rPr>
        <w:t>s</w:t>
      </w:r>
      <w:bookmarkEnd w:id="122"/>
      <w:r w:rsidRPr="004A2C53">
        <w:rPr>
          <w:rFonts w:ascii="Calibri" w:eastAsia="Calibri" w:hAnsi="Calibri" w:cs="Calibri"/>
        </w:rPr>
        <w:t xml:space="preserve"> </w:t>
      </w:r>
    </w:p>
    <w:p w14:paraId="01FD1AFD" w14:textId="1B708E30" w:rsidR="44C8811F" w:rsidRDefault="00F52344" w:rsidP="00C30814">
      <w:pPr>
        <w:pStyle w:val="ListParagraph"/>
        <w:numPr>
          <w:ilvl w:val="0"/>
          <w:numId w:val="21"/>
        </w:numPr>
      </w:pPr>
      <w:r w:rsidRPr="00097248">
        <w:t xml:space="preserve">DFAT should ensure that future health emergency response mechanisms are designed to </w:t>
      </w:r>
      <w:r w:rsidR="003D3895">
        <w:t xml:space="preserve">enable </w:t>
      </w:r>
      <w:r w:rsidRPr="00097248">
        <w:t xml:space="preserve">flexible deployment of </w:t>
      </w:r>
      <w:r w:rsidR="003D3895">
        <w:t xml:space="preserve">support, </w:t>
      </w:r>
      <w:r w:rsidRPr="00097248">
        <w:t>resources and programmatic changes</w:t>
      </w:r>
      <w:r w:rsidR="003D3895">
        <w:t xml:space="preserve"> in response </w:t>
      </w:r>
      <w:r w:rsidRPr="00097248">
        <w:t>to changing partner country needs</w:t>
      </w:r>
      <w:r w:rsidR="003D3895">
        <w:t xml:space="preserve"> and priorities</w:t>
      </w:r>
      <w:r w:rsidRPr="00097248">
        <w:t>.</w:t>
      </w:r>
    </w:p>
    <w:p w14:paraId="7A1AA5B2" w14:textId="06AD5ABE" w:rsidR="001F7ED7" w:rsidRPr="006B0C6C" w:rsidRDefault="10FAFEC6" w:rsidP="214FDC17">
      <w:pPr>
        <w:pStyle w:val="Heading1SHS"/>
      </w:pPr>
      <w:bookmarkStart w:id="123" w:name="_Toc200617286"/>
      <w:r w:rsidRPr="006B0C6C">
        <w:t>E</w:t>
      </w:r>
      <w:r w:rsidR="4E13B2AE" w:rsidRPr="006B0C6C">
        <w:t>Q3</w:t>
      </w:r>
      <w:r w:rsidR="4849A2CE" w:rsidRPr="006B0C6C">
        <w:t xml:space="preserve"> – </w:t>
      </w:r>
      <w:r w:rsidR="055EC547" w:rsidRPr="006B0C6C">
        <w:t>Efficiency</w:t>
      </w:r>
      <w:bookmarkEnd w:id="123"/>
    </w:p>
    <w:p w14:paraId="6C1A9C40" w14:textId="7C762DA3" w:rsidR="2A966478" w:rsidRPr="006B0C6C" w:rsidRDefault="5F7B467C" w:rsidP="00DD7007">
      <w:pPr>
        <w:spacing w:after="160" w:line="257" w:lineRule="auto"/>
        <w:jc w:val="both"/>
        <w:rPr>
          <w:rFonts w:ascii="Calibri" w:eastAsia="Calibri" w:hAnsi="Calibri" w:cs="Calibri"/>
        </w:rPr>
      </w:pPr>
      <w:r w:rsidRPr="006B0C6C">
        <w:rPr>
          <w:rFonts w:ascii="Calibri" w:eastAsia="Calibri" w:hAnsi="Calibri" w:cs="Calibri"/>
        </w:rPr>
        <w:t xml:space="preserve">This </w:t>
      </w:r>
      <w:r w:rsidR="00D94CFF" w:rsidRPr="006B0C6C">
        <w:rPr>
          <w:rFonts w:ascii="Calibri" w:eastAsia="Calibri" w:hAnsi="Calibri" w:cs="Calibri"/>
        </w:rPr>
        <w:t>section</w:t>
      </w:r>
      <w:r w:rsidRPr="006B0C6C">
        <w:rPr>
          <w:rFonts w:ascii="Calibri" w:eastAsia="Calibri" w:hAnsi="Calibri" w:cs="Calibri"/>
        </w:rPr>
        <w:t xml:space="preserve"> provides the</w:t>
      </w:r>
      <w:r w:rsidR="00D94CFF" w:rsidRPr="006B0C6C">
        <w:rPr>
          <w:rFonts w:ascii="Calibri" w:eastAsia="Calibri" w:hAnsi="Calibri" w:cs="Calibri"/>
        </w:rPr>
        <w:t xml:space="preserve"> findings from </w:t>
      </w:r>
      <w:r w:rsidRPr="006B0C6C">
        <w:rPr>
          <w:rFonts w:ascii="Calibri" w:eastAsia="Calibri" w:hAnsi="Calibri" w:cs="Calibri"/>
        </w:rPr>
        <w:t xml:space="preserve">the evaluation of </w:t>
      </w:r>
      <w:r w:rsidR="2A966478" w:rsidRPr="006B0C6C">
        <w:rPr>
          <w:rFonts w:ascii="Calibri" w:eastAsia="Calibri" w:hAnsi="Calibri" w:cs="Calibri"/>
        </w:rPr>
        <w:t>the third Evaluation Question (EQ3):</w:t>
      </w:r>
      <w:r w:rsidR="00D94CFF" w:rsidRPr="006B0C6C">
        <w:rPr>
          <w:rFonts w:ascii="Calibri" w:eastAsia="Calibri" w:hAnsi="Calibri" w:cs="Calibri"/>
        </w:rPr>
        <w:t xml:space="preserve"> </w:t>
      </w:r>
      <w:r w:rsidR="0189C60E" w:rsidRPr="006B0C6C">
        <w:rPr>
          <w:rFonts w:ascii="Calibri" w:eastAsia="Calibri" w:hAnsi="Calibri" w:cs="Calibri"/>
        </w:rPr>
        <w:t>“H</w:t>
      </w:r>
      <w:r w:rsidR="363057C1" w:rsidRPr="006B0C6C">
        <w:rPr>
          <w:rFonts w:ascii="Calibri" w:eastAsia="Calibri" w:hAnsi="Calibri" w:cs="Calibri"/>
        </w:rPr>
        <w:t xml:space="preserve">ow </w:t>
      </w:r>
      <w:r w:rsidR="687915ED" w:rsidRPr="006B0C6C">
        <w:rPr>
          <w:rFonts w:ascii="Calibri" w:eastAsia="Calibri" w:hAnsi="Calibri" w:cs="Calibri"/>
        </w:rPr>
        <w:t xml:space="preserve">has </w:t>
      </w:r>
      <w:r w:rsidR="363057C1" w:rsidRPr="006B0C6C">
        <w:rPr>
          <w:rFonts w:ascii="Calibri" w:eastAsia="Calibri" w:hAnsi="Calibri" w:cs="Calibri"/>
        </w:rPr>
        <w:t xml:space="preserve">VAHSI </w:t>
      </w:r>
      <w:r w:rsidR="09895163" w:rsidRPr="006B0C6C">
        <w:rPr>
          <w:rFonts w:ascii="Calibri" w:eastAsia="Calibri" w:hAnsi="Calibri" w:cs="Calibri"/>
        </w:rPr>
        <w:t xml:space="preserve">made efficient use of Australia and partners’ time, money and resources to achieve outputs and expected outcomes? Was the modality an appropriate mechanism to </w:t>
      </w:r>
      <w:r w:rsidR="0083CBA7" w:rsidRPr="006B0C6C">
        <w:rPr>
          <w:rFonts w:ascii="Calibri" w:eastAsia="Calibri" w:hAnsi="Calibri" w:cs="Calibri"/>
        </w:rPr>
        <w:t xml:space="preserve">respond to </w:t>
      </w:r>
      <w:r w:rsidR="7085C145" w:rsidRPr="006B0C6C">
        <w:rPr>
          <w:rFonts w:ascii="Calibri" w:eastAsia="Calibri" w:hAnsi="Calibri" w:cs="Calibri"/>
        </w:rPr>
        <w:t xml:space="preserve">regional and partner </w:t>
      </w:r>
      <w:r w:rsidR="00EA6BAC">
        <w:rPr>
          <w:rFonts w:ascii="Calibri" w:eastAsia="Calibri" w:hAnsi="Calibri" w:cs="Calibri"/>
        </w:rPr>
        <w:t>g</w:t>
      </w:r>
      <w:r w:rsidR="7085C145" w:rsidRPr="006B0C6C">
        <w:rPr>
          <w:rFonts w:ascii="Calibri" w:eastAsia="Calibri" w:hAnsi="Calibri" w:cs="Calibri"/>
        </w:rPr>
        <w:t xml:space="preserve">overnment needs? (Efficiency) </w:t>
      </w:r>
    </w:p>
    <w:p w14:paraId="20197986" w14:textId="29F76D70" w:rsidR="7388A156" w:rsidRPr="006B0C6C" w:rsidRDefault="5F7B467C" w:rsidP="00D94CFF">
      <w:pPr>
        <w:spacing w:after="160" w:line="257" w:lineRule="auto"/>
        <w:jc w:val="both"/>
      </w:pPr>
      <w:r w:rsidRPr="006B0C6C">
        <w:rPr>
          <w:rFonts w:ascii="Calibri" w:eastAsia="Calibri" w:hAnsi="Calibri" w:cs="Calibri"/>
        </w:rPr>
        <w:t>This</w:t>
      </w:r>
      <w:r w:rsidR="6B7DAAAD" w:rsidRPr="006B0C6C">
        <w:t xml:space="preserve"> </w:t>
      </w:r>
      <w:r w:rsidR="00D94CFF" w:rsidRPr="006B0C6C">
        <w:t xml:space="preserve">section </w:t>
      </w:r>
      <w:r w:rsidR="6B7DAAAD" w:rsidRPr="006B0C6C">
        <w:t xml:space="preserve">is structured </w:t>
      </w:r>
      <w:r w:rsidR="00D94CFF" w:rsidRPr="006B0C6C">
        <w:t xml:space="preserve">to align with </w:t>
      </w:r>
      <w:r w:rsidR="6B7DAAAD" w:rsidRPr="006B0C6C">
        <w:t>the two main elements of EQ</w:t>
      </w:r>
      <w:r w:rsidR="00D94CFF" w:rsidRPr="006B0C6C">
        <w:t>3</w:t>
      </w:r>
      <w:r w:rsidR="6B7DAAAD" w:rsidRPr="006B0C6C">
        <w:t xml:space="preserve"> (</w:t>
      </w:r>
      <w:proofErr w:type="spellStart"/>
      <w:r w:rsidR="6B7DAAAD" w:rsidRPr="006B0C6C">
        <w:t>i</w:t>
      </w:r>
      <w:proofErr w:type="spellEnd"/>
      <w:r w:rsidR="6B7DAAAD" w:rsidRPr="006B0C6C">
        <w:t>) the efficient use of Australia and partners’ time, money and resources, and (ii) w</w:t>
      </w:r>
      <w:r w:rsidR="621B79BC" w:rsidRPr="006B0C6C">
        <w:t>hether</w:t>
      </w:r>
      <w:r w:rsidR="6B7DAAAD" w:rsidRPr="006B0C6C">
        <w:t xml:space="preserve"> the modality </w:t>
      </w:r>
      <w:r w:rsidR="00D94CFF" w:rsidRPr="006B0C6C">
        <w:t xml:space="preserve">was </w:t>
      </w:r>
      <w:r w:rsidR="6B7DAAAD" w:rsidRPr="006B0C6C">
        <w:t xml:space="preserve">an appropriate </w:t>
      </w:r>
      <w:r w:rsidR="0D874168" w:rsidRPr="006B0C6C">
        <w:t xml:space="preserve">response </w:t>
      </w:r>
      <w:r w:rsidR="6B7DAAAD" w:rsidRPr="006B0C6C">
        <w:t>mech</w:t>
      </w:r>
      <w:r w:rsidR="4A189EBE" w:rsidRPr="006B0C6C">
        <w:t>anism</w:t>
      </w:r>
      <w:r w:rsidR="6B7DAAAD" w:rsidRPr="006B0C6C">
        <w:t xml:space="preserve">. </w:t>
      </w:r>
    </w:p>
    <w:p w14:paraId="57B1BE36" w14:textId="4AF9007E" w:rsidR="7388A156" w:rsidRPr="004A2C53" w:rsidRDefault="57435FAC" w:rsidP="004A2C53">
      <w:pPr>
        <w:pStyle w:val="Heading2SHS"/>
        <w:ind w:left="142"/>
        <w:rPr>
          <w:rFonts w:ascii="Calibri" w:eastAsia="Calibri" w:hAnsi="Calibri" w:cs="Calibri"/>
        </w:rPr>
      </w:pPr>
      <w:r w:rsidRPr="004A2C53">
        <w:rPr>
          <w:rFonts w:ascii="Calibri" w:eastAsia="Calibri" w:hAnsi="Calibri" w:cs="Calibri"/>
        </w:rPr>
        <w:t xml:space="preserve"> </w:t>
      </w:r>
      <w:bookmarkStart w:id="124" w:name="_Toc200617287"/>
      <w:r w:rsidR="345B47AE" w:rsidRPr="004A2C53">
        <w:rPr>
          <w:rFonts w:ascii="Calibri" w:eastAsia="Calibri" w:hAnsi="Calibri" w:cs="Calibri"/>
        </w:rPr>
        <w:t xml:space="preserve">Evaluative </w:t>
      </w:r>
      <w:r w:rsidR="004A2C53">
        <w:rPr>
          <w:rFonts w:ascii="Calibri" w:eastAsia="Calibri" w:hAnsi="Calibri" w:cs="Calibri"/>
        </w:rPr>
        <w:t>finding</w:t>
      </w:r>
      <w:bookmarkEnd w:id="124"/>
    </w:p>
    <w:p w14:paraId="3C015480" w14:textId="11705B0A" w:rsidR="003D3895" w:rsidRPr="006B0C6C" w:rsidRDefault="003D3895" w:rsidP="00A977E6">
      <w:pPr>
        <w:jc w:val="both"/>
        <w:rPr>
          <w:rFonts w:eastAsia="Calibri"/>
        </w:rPr>
      </w:pPr>
      <w:r w:rsidRPr="006B0C6C">
        <w:rPr>
          <w:rFonts w:eastAsia="Calibri"/>
        </w:rPr>
        <w:t xml:space="preserve">It is important to consider the context of the pandemic when assessing the efficiency of Australia and partners’ time, money and resources under VAHSI. This was an unprecedented situation and the need to respond at speed to support the region did not allow for the usual investment of time in the design of a multi-country, multi-pronged health program </w:t>
      </w:r>
      <w:r w:rsidR="00D73AB5" w:rsidRPr="006B0C6C">
        <w:rPr>
          <w:rFonts w:ascii="Calibri" w:eastAsia="Calibri" w:hAnsi="Calibri" w:cs="Calibri"/>
        </w:rPr>
        <w:t xml:space="preserve">– </w:t>
      </w:r>
      <w:r w:rsidRPr="006B0C6C">
        <w:rPr>
          <w:rFonts w:eastAsia="Calibri"/>
        </w:rPr>
        <w:t>the ability to supply vaccines quickly was of primary importance. It is also valid to consider the counter-factual: what would have happened if Australia had not delivered the VAHSI initiative and what alternative mechanisms could have been used to attempt to achieve the same, or similar, outcomes.</w:t>
      </w:r>
    </w:p>
    <w:p w14:paraId="2A67F4EA" w14:textId="64C9AD3B" w:rsidR="00855235" w:rsidRPr="006B0C6C" w:rsidRDefault="001F6ADF">
      <w:pPr>
        <w:jc w:val="both"/>
        <w:rPr>
          <w:rFonts w:ascii="Calibri" w:eastAsia="Calibri" w:hAnsi="Calibri" w:cs="Calibri"/>
        </w:rPr>
      </w:pPr>
      <w:r w:rsidRPr="006B0C6C">
        <w:rPr>
          <w:rFonts w:ascii="Calibri" w:eastAsia="Calibri" w:hAnsi="Calibri" w:cs="Calibri"/>
        </w:rPr>
        <w:t>The evaluation concludes that overall VAHSI made efficient use of Australia and partners’ time, money</w:t>
      </w:r>
      <w:r w:rsidR="004736B9">
        <w:rPr>
          <w:rFonts w:ascii="Calibri" w:eastAsia="Calibri" w:hAnsi="Calibri" w:cs="Calibri"/>
        </w:rPr>
        <w:t xml:space="preserve"> </w:t>
      </w:r>
      <w:r w:rsidRPr="006B0C6C">
        <w:rPr>
          <w:rFonts w:ascii="Calibri" w:eastAsia="Calibri" w:hAnsi="Calibri" w:cs="Calibri"/>
        </w:rPr>
        <w:t xml:space="preserve">and resources. </w:t>
      </w:r>
      <w:r w:rsidR="00AD40FF" w:rsidRPr="006B0C6C">
        <w:rPr>
          <w:rFonts w:ascii="Calibri" w:eastAsia="Calibri" w:hAnsi="Calibri" w:cs="Calibri"/>
        </w:rPr>
        <w:t>T</w:t>
      </w:r>
      <w:r w:rsidRPr="006B0C6C">
        <w:rPr>
          <w:rFonts w:ascii="Calibri" w:eastAsia="Calibri" w:hAnsi="Calibri" w:cs="Calibri"/>
        </w:rPr>
        <w:t>his conclusion is drawn from evidence of the appropriate</w:t>
      </w:r>
      <w:r w:rsidR="14272431" w:rsidRPr="006B0C6C">
        <w:rPr>
          <w:rFonts w:ascii="Calibri" w:eastAsia="Calibri" w:hAnsi="Calibri" w:cs="Calibri"/>
        </w:rPr>
        <w:t xml:space="preserve"> and efficient</w:t>
      </w:r>
      <w:r w:rsidRPr="006B0C6C">
        <w:rPr>
          <w:rFonts w:ascii="Calibri" w:eastAsia="Calibri" w:hAnsi="Calibri" w:cs="Calibri"/>
        </w:rPr>
        <w:t xml:space="preserve"> use of resources to achieve VAHSI’s EOPOs</w:t>
      </w:r>
      <w:r w:rsidR="00A84A71" w:rsidRPr="006B0C6C">
        <w:rPr>
          <w:rFonts w:ascii="Calibri" w:eastAsia="Calibri" w:hAnsi="Calibri" w:cs="Calibri"/>
        </w:rPr>
        <w:t xml:space="preserve"> (see </w:t>
      </w:r>
      <w:r w:rsidR="00D86544" w:rsidRPr="006B0C6C">
        <w:rPr>
          <w:rFonts w:ascii="Calibri" w:eastAsia="Calibri" w:hAnsi="Calibri" w:cs="Calibri"/>
        </w:rPr>
        <w:t xml:space="preserve">Section 4 </w:t>
      </w:r>
      <w:r w:rsidR="003D3895">
        <w:rPr>
          <w:rFonts w:ascii="Calibri" w:eastAsia="Calibri" w:hAnsi="Calibri" w:cs="Calibri"/>
        </w:rPr>
        <w:t>and</w:t>
      </w:r>
      <w:r w:rsidR="00D86544" w:rsidRPr="006B0C6C">
        <w:rPr>
          <w:rFonts w:ascii="Calibri" w:eastAsia="Calibri" w:hAnsi="Calibri" w:cs="Calibri"/>
        </w:rPr>
        <w:t xml:space="preserve"> </w:t>
      </w:r>
      <w:r w:rsidR="003D3895">
        <w:rPr>
          <w:rFonts w:ascii="Calibri" w:eastAsia="Calibri" w:hAnsi="Calibri" w:cs="Calibri"/>
        </w:rPr>
        <w:t xml:space="preserve">Section </w:t>
      </w:r>
      <w:r w:rsidR="00D86544" w:rsidRPr="006B0C6C">
        <w:rPr>
          <w:rFonts w:ascii="Calibri" w:eastAsia="Calibri" w:hAnsi="Calibri" w:cs="Calibri"/>
        </w:rPr>
        <w:t>5</w:t>
      </w:r>
      <w:r w:rsidR="00A84A71" w:rsidRPr="006B0C6C">
        <w:rPr>
          <w:rFonts w:ascii="Calibri" w:eastAsia="Calibri" w:hAnsi="Calibri" w:cs="Calibri"/>
        </w:rPr>
        <w:t>)</w:t>
      </w:r>
      <w:r w:rsidRPr="006B0C6C">
        <w:rPr>
          <w:rFonts w:ascii="Calibri" w:eastAsia="Calibri" w:hAnsi="Calibri" w:cs="Calibri"/>
        </w:rPr>
        <w:t xml:space="preserve">. </w:t>
      </w:r>
      <w:r w:rsidR="00A05883" w:rsidRPr="006B0C6C">
        <w:rPr>
          <w:rFonts w:ascii="Calibri" w:eastAsia="Calibri" w:hAnsi="Calibri" w:cs="Calibri"/>
        </w:rPr>
        <w:t>Investments were aligned and coordinated with other donors</w:t>
      </w:r>
      <w:r w:rsidR="0049766D" w:rsidRPr="006B0C6C">
        <w:rPr>
          <w:rFonts w:ascii="Calibri" w:eastAsia="Calibri" w:hAnsi="Calibri" w:cs="Calibri"/>
        </w:rPr>
        <w:t xml:space="preserve">, </w:t>
      </w:r>
      <w:r w:rsidR="003D3895">
        <w:rPr>
          <w:rFonts w:ascii="Calibri" w:eastAsia="Calibri" w:hAnsi="Calibri" w:cs="Calibri"/>
        </w:rPr>
        <w:t xml:space="preserve">delivery </w:t>
      </w:r>
      <w:r w:rsidR="00A4789C">
        <w:rPr>
          <w:rFonts w:ascii="Calibri" w:eastAsia="Calibri" w:hAnsi="Calibri" w:cs="Calibri"/>
        </w:rPr>
        <w:t xml:space="preserve">support </w:t>
      </w:r>
      <w:r w:rsidR="0049766D" w:rsidRPr="006B0C6C">
        <w:rPr>
          <w:rFonts w:ascii="Calibri" w:eastAsia="Calibri" w:hAnsi="Calibri" w:cs="Calibri"/>
        </w:rPr>
        <w:t>partners,</w:t>
      </w:r>
      <w:r w:rsidR="00A05883" w:rsidRPr="006B0C6C">
        <w:rPr>
          <w:rFonts w:ascii="Calibri" w:eastAsia="Calibri" w:hAnsi="Calibri" w:cs="Calibri"/>
        </w:rPr>
        <w:t xml:space="preserve"> and partner </w:t>
      </w:r>
      <w:r w:rsidR="00095595">
        <w:rPr>
          <w:rFonts w:ascii="Calibri" w:eastAsia="Calibri" w:hAnsi="Calibri" w:cs="Calibri"/>
        </w:rPr>
        <w:t>g</w:t>
      </w:r>
      <w:r w:rsidR="00A05883" w:rsidRPr="006B0C6C">
        <w:rPr>
          <w:rFonts w:ascii="Calibri" w:eastAsia="Calibri" w:hAnsi="Calibri" w:cs="Calibri"/>
        </w:rPr>
        <w:t>overnment systems to ensure efficiency and prevent duplication.</w:t>
      </w:r>
      <w:r w:rsidR="00D730DE" w:rsidRPr="006B0C6C">
        <w:rPr>
          <w:rFonts w:ascii="Calibri" w:eastAsia="Calibri" w:hAnsi="Calibri" w:cs="Calibri"/>
        </w:rPr>
        <w:t xml:space="preserve"> The mechanism was appropriate as it maximised efficiency </w:t>
      </w:r>
      <w:proofErr w:type="gramStart"/>
      <w:r w:rsidR="00D730DE" w:rsidRPr="006B0C6C">
        <w:rPr>
          <w:rFonts w:ascii="Calibri" w:eastAsia="Calibri" w:hAnsi="Calibri" w:cs="Calibri"/>
        </w:rPr>
        <w:t>through the use of</w:t>
      </w:r>
      <w:proofErr w:type="gramEnd"/>
      <w:r w:rsidR="00D730DE" w:rsidRPr="006B0C6C">
        <w:rPr>
          <w:rFonts w:ascii="Calibri" w:eastAsia="Calibri" w:hAnsi="Calibri" w:cs="Calibri"/>
        </w:rPr>
        <w:t xml:space="preserve"> existing partners, programs and networks and built on Australia’s long-term investment in health in the region. </w:t>
      </w:r>
      <w:r w:rsidR="00B019F1" w:rsidRPr="006B0C6C">
        <w:rPr>
          <w:rFonts w:ascii="Calibri" w:eastAsia="Calibri" w:hAnsi="Calibri" w:cs="Calibri"/>
        </w:rPr>
        <w:t xml:space="preserve">Australian support came as a package </w:t>
      </w:r>
      <w:r w:rsidR="00EB08B3" w:rsidRPr="006B0C6C">
        <w:rPr>
          <w:rFonts w:ascii="Calibri" w:eastAsia="Calibri" w:hAnsi="Calibri" w:cs="Calibri"/>
        </w:rPr>
        <w:t xml:space="preserve">– </w:t>
      </w:r>
      <w:r w:rsidR="00B019F1" w:rsidRPr="006B0C6C">
        <w:rPr>
          <w:rFonts w:ascii="Calibri" w:eastAsia="Calibri" w:hAnsi="Calibri" w:cs="Calibri"/>
        </w:rPr>
        <w:t xml:space="preserve">vaccines, delivery support, technical assistance </w:t>
      </w:r>
      <w:r w:rsidR="00EB08B3" w:rsidRPr="006B0C6C">
        <w:rPr>
          <w:rFonts w:ascii="Calibri" w:eastAsia="Calibri" w:hAnsi="Calibri" w:cs="Calibri"/>
        </w:rPr>
        <w:t xml:space="preserve">– </w:t>
      </w:r>
      <w:r w:rsidR="00B019F1" w:rsidRPr="006B0C6C">
        <w:rPr>
          <w:rFonts w:ascii="Calibri" w:eastAsia="Calibri" w:hAnsi="Calibri" w:cs="Calibri"/>
        </w:rPr>
        <w:t xml:space="preserve">tailored to country needs. </w:t>
      </w:r>
      <w:r w:rsidR="00D730DE" w:rsidRPr="006B0C6C">
        <w:rPr>
          <w:rFonts w:ascii="Calibri" w:eastAsia="Calibri" w:hAnsi="Calibri" w:cs="Calibri"/>
        </w:rPr>
        <w:t xml:space="preserve">The combination of bilateral </w:t>
      </w:r>
      <w:r w:rsidR="003D3895">
        <w:rPr>
          <w:rFonts w:ascii="Calibri" w:eastAsia="Calibri" w:hAnsi="Calibri" w:cs="Calibri"/>
        </w:rPr>
        <w:t xml:space="preserve">vaccine </w:t>
      </w:r>
      <w:r w:rsidR="00D730DE" w:rsidRPr="006B0C6C">
        <w:rPr>
          <w:rFonts w:ascii="Calibri" w:eastAsia="Calibri" w:hAnsi="Calibri" w:cs="Calibri"/>
        </w:rPr>
        <w:t>doses and investment in the multilateral system was considered an efficient overall approach.</w:t>
      </w:r>
      <w:r w:rsidR="003D3895">
        <w:rPr>
          <w:rFonts w:ascii="Calibri" w:eastAsia="Calibri" w:hAnsi="Calibri" w:cs="Calibri"/>
        </w:rPr>
        <w:t xml:space="preserve"> </w:t>
      </w:r>
      <w:r w:rsidR="00D730DE" w:rsidRPr="006B0C6C">
        <w:rPr>
          <w:rFonts w:ascii="Calibri" w:eastAsia="Calibri" w:hAnsi="Calibri" w:cs="Calibri"/>
        </w:rPr>
        <w:t xml:space="preserve">VAHSI also outperformed alternatives, notably COVAX, in terms of rapid response and flexibility. </w:t>
      </w:r>
      <w:r w:rsidR="00A0208C" w:rsidRPr="006B0C6C">
        <w:rPr>
          <w:rFonts w:ascii="Calibri" w:eastAsia="Calibri" w:hAnsi="Calibri" w:cs="Calibri"/>
        </w:rPr>
        <w:t>T</w:t>
      </w:r>
      <w:r w:rsidR="00D730DE" w:rsidRPr="006B0C6C">
        <w:rPr>
          <w:rFonts w:ascii="Calibri" w:eastAsia="Calibri" w:hAnsi="Calibri" w:cs="Calibri"/>
        </w:rPr>
        <w:t>he mechanism can be considered efficient and appropriate.</w:t>
      </w:r>
    </w:p>
    <w:p w14:paraId="0AC110E8" w14:textId="28C87BB5" w:rsidR="44F0CEEF" w:rsidRPr="006B0C6C" w:rsidRDefault="001F6ADF" w:rsidP="006B0C6C">
      <w:pPr>
        <w:jc w:val="both"/>
        <w:rPr>
          <w:rFonts w:ascii="Calibri" w:eastAsia="Calibri" w:hAnsi="Calibri" w:cs="Calibri"/>
        </w:rPr>
      </w:pPr>
      <w:r w:rsidRPr="006B0C6C">
        <w:rPr>
          <w:rFonts w:ascii="Calibri" w:eastAsia="Calibri" w:hAnsi="Calibri" w:cs="Calibri"/>
        </w:rPr>
        <w:t xml:space="preserve">There were some </w:t>
      </w:r>
      <w:r w:rsidR="00192995" w:rsidRPr="006B0C6C">
        <w:rPr>
          <w:rFonts w:ascii="Calibri" w:eastAsia="Calibri" w:hAnsi="Calibri" w:cs="Calibri"/>
        </w:rPr>
        <w:t xml:space="preserve">inefficiencies, </w:t>
      </w:r>
      <w:r w:rsidR="00A0208C" w:rsidRPr="006B0C6C">
        <w:rPr>
          <w:rFonts w:ascii="Calibri" w:eastAsia="Calibri" w:hAnsi="Calibri" w:cs="Calibri"/>
        </w:rPr>
        <w:t>notably bureaucratic,</w:t>
      </w:r>
      <w:r w:rsidR="003324C7" w:rsidRPr="006B0C6C">
        <w:rPr>
          <w:rFonts w:ascii="Calibri" w:eastAsia="Calibri" w:hAnsi="Calibri" w:cs="Calibri"/>
        </w:rPr>
        <w:t xml:space="preserve"> but also</w:t>
      </w:r>
      <w:r w:rsidR="00A0208C" w:rsidRPr="006B0C6C">
        <w:rPr>
          <w:rFonts w:ascii="Calibri" w:eastAsia="Calibri" w:hAnsi="Calibri" w:cs="Calibri"/>
        </w:rPr>
        <w:t xml:space="preserve"> </w:t>
      </w:r>
      <w:r w:rsidR="004C56D2" w:rsidRPr="006B0C6C">
        <w:rPr>
          <w:rFonts w:ascii="Calibri" w:eastAsia="Calibri" w:hAnsi="Calibri" w:cs="Calibri"/>
        </w:rPr>
        <w:t xml:space="preserve">reported </w:t>
      </w:r>
      <w:r w:rsidRPr="006B0C6C">
        <w:rPr>
          <w:rFonts w:ascii="Calibri" w:eastAsia="Calibri" w:hAnsi="Calibri" w:cs="Calibri"/>
        </w:rPr>
        <w:t xml:space="preserve">deviations from budgets </w:t>
      </w:r>
      <w:r w:rsidR="00192995" w:rsidRPr="006B0C6C">
        <w:rPr>
          <w:rFonts w:ascii="Calibri" w:eastAsia="Calibri" w:hAnsi="Calibri" w:cs="Calibri"/>
        </w:rPr>
        <w:t>and</w:t>
      </w:r>
      <w:r w:rsidRPr="006B0C6C">
        <w:rPr>
          <w:rFonts w:ascii="Calibri" w:eastAsia="Calibri" w:hAnsi="Calibri" w:cs="Calibri"/>
        </w:rPr>
        <w:t xml:space="preserve"> evidence of gaps in skills that reduced efficiency early </w:t>
      </w:r>
      <w:r w:rsidR="003324C7" w:rsidRPr="006B0C6C">
        <w:rPr>
          <w:rFonts w:ascii="Calibri" w:eastAsia="Calibri" w:hAnsi="Calibri" w:cs="Calibri"/>
        </w:rPr>
        <w:t>i</w:t>
      </w:r>
      <w:r w:rsidRPr="006B0C6C">
        <w:rPr>
          <w:rFonts w:ascii="Calibri" w:eastAsia="Calibri" w:hAnsi="Calibri" w:cs="Calibri"/>
        </w:rPr>
        <w:t>n</w:t>
      </w:r>
      <w:r w:rsidR="003324C7" w:rsidRPr="006B0C6C">
        <w:rPr>
          <w:rFonts w:ascii="Calibri" w:eastAsia="Calibri" w:hAnsi="Calibri" w:cs="Calibri"/>
        </w:rPr>
        <w:t xml:space="preserve"> the response. O</w:t>
      </w:r>
      <w:r w:rsidR="00192995" w:rsidRPr="006B0C6C">
        <w:rPr>
          <w:rFonts w:ascii="Calibri" w:eastAsia="Calibri" w:hAnsi="Calibri" w:cs="Calibri"/>
        </w:rPr>
        <w:t>verall</w:t>
      </w:r>
      <w:r w:rsidR="003324C7" w:rsidRPr="006B0C6C">
        <w:rPr>
          <w:rFonts w:ascii="Calibri" w:eastAsia="Calibri" w:hAnsi="Calibri" w:cs="Calibri"/>
        </w:rPr>
        <w:t>,</w:t>
      </w:r>
      <w:r w:rsidR="00192995" w:rsidRPr="006B0C6C">
        <w:rPr>
          <w:rFonts w:ascii="Calibri" w:eastAsia="Calibri" w:hAnsi="Calibri" w:cs="Calibri"/>
        </w:rPr>
        <w:t xml:space="preserve"> </w:t>
      </w:r>
      <w:r w:rsidR="00E47460" w:rsidRPr="006B0C6C">
        <w:rPr>
          <w:rFonts w:ascii="Calibri" w:eastAsia="Calibri" w:hAnsi="Calibri" w:cs="Calibri"/>
        </w:rPr>
        <w:t>the</w:t>
      </w:r>
      <w:r w:rsidR="00595942" w:rsidRPr="006B0C6C">
        <w:rPr>
          <w:rFonts w:ascii="Calibri" w:eastAsia="Calibri" w:hAnsi="Calibri" w:cs="Calibri"/>
        </w:rPr>
        <w:t>se</w:t>
      </w:r>
      <w:r w:rsidR="00E47460" w:rsidRPr="006B0C6C">
        <w:rPr>
          <w:rFonts w:ascii="Calibri" w:eastAsia="Calibri" w:hAnsi="Calibri" w:cs="Calibri"/>
        </w:rPr>
        <w:t xml:space="preserve"> </w:t>
      </w:r>
      <w:r w:rsidR="003D3895">
        <w:rPr>
          <w:rFonts w:ascii="Calibri" w:eastAsia="Calibri" w:hAnsi="Calibri" w:cs="Calibri"/>
        </w:rPr>
        <w:t xml:space="preserve">inefficiencies </w:t>
      </w:r>
      <w:r w:rsidRPr="006B0C6C">
        <w:rPr>
          <w:rFonts w:ascii="Calibri" w:eastAsia="Calibri" w:hAnsi="Calibri" w:cs="Calibri"/>
        </w:rPr>
        <w:t xml:space="preserve">did not </w:t>
      </w:r>
      <w:r w:rsidR="003D3895">
        <w:rPr>
          <w:rFonts w:ascii="Calibri" w:eastAsia="Calibri" w:hAnsi="Calibri" w:cs="Calibri"/>
        </w:rPr>
        <w:t xml:space="preserve">significantly impact </w:t>
      </w:r>
      <w:r w:rsidRPr="006B0C6C">
        <w:rPr>
          <w:rFonts w:ascii="Calibri" w:eastAsia="Calibri" w:hAnsi="Calibri" w:cs="Calibri"/>
        </w:rPr>
        <w:t>implementation</w:t>
      </w:r>
      <w:r w:rsidR="00F362B4" w:rsidRPr="006B0C6C">
        <w:rPr>
          <w:rFonts w:ascii="Calibri" w:eastAsia="Calibri" w:hAnsi="Calibri" w:cs="Calibri"/>
        </w:rPr>
        <w:t>, and</w:t>
      </w:r>
      <w:r w:rsidRPr="006B0C6C">
        <w:rPr>
          <w:rFonts w:ascii="Calibri" w:eastAsia="Calibri" w:hAnsi="Calibri" w:cs="Calibri"/>
        </w:rPr>
        <w:t xml:space="preserve"> </w:t>
      </w:r>
      <w:r w:rsidR="00192995" w:rsidRPr="006B0C6C">
        <w:rPr>
          <w:rFonts w:ascii="Calibri" w:eastAsia="Calibri" w:hAnsi="Calibri" w:cs="Calibri"/>
        </w:rPr>
        <w:t>th</w:t>
      </w:r>
      <w:r w:rsidR="00D828EF" w:rsidRPr="006B0C6C">
        <w:rPr>
          <w:rFonts w:ascii="Calibri" w:eastAsia="Calibri" w:hAnsi="Calibri" w:cs="Calibri"/>
        </w:rPr>
        <w:t>e</w:t>
      </w:r>
      <w:r w:rsidR="00192995" w:rsidRPr="006B0C6C">
        <w:rPr>
          <w:rFonts w:ascii="Calibri" w:eastAsia="Calibri" w:hAnsi="Calibri" w:cs="Calibri"/>
        </w:rPr>
        <w:t xml:space="preserve"> </w:t>
      </w:r>
      <w:r w:rsidR="003324C7" w:rsidRPr="006B0C6C">
        <w:rPr>
          <w:rFonts w:ascii="Calibri" w:eastAsia="Calibri" w:hAnsi="Calibri" w:cs="Calibri"/>
        </w:rPr>
        <w:t>issue of skills</w:t>
      </w:r>
      <w:r w:rsidR="00192995" w:rsidRPr="006B0C6C">
        <w:rPr>
          <w:rFonts w:ascii="Calibri" w:eastAsia="Calibri" w:hAnsi="Calibri" w:cs="Calibri"/>
        </w:rPr>
        <w:t xml:space="preserve"> was</w:t>
      </w:r>
      <w:r w:rsidR="00D828EF" w:rsidRPr="006B0C6C">
        <w:rPr>
          <w:rFonts w:ascii="Calibri" w:eastAsia="Calibri" w:hAnsi="Calibri" w:cs="Calibri"/>
        </w:rPr>
        <w:t xml:space="preserve"> </w:t>
      </w:r>
      <w:r w:rsidRPr="006B0C6C">
        <w:rPr>
          <w:rFonts w:ascii="Calibri" w:eastAsia="Calibri" w:hAnsi="Calibri" w:cs="Calibri"/>
        </w:rPr>
        <w:t>la</w:t>
      </w:r>
      <w:r w:rsidR="00D828EF" w:rsidRPr="006B0C6C">
        <w:rPr>
          <w:rFonts w:ascii="Calibri" w:eastAsia="Calibri" w:hAnsi="Calibri" w:cs="Calibri"/>
        </w:rPr>
        <w:t>rgely</w:t>
      </w:r>
      <w:r w:rsidRPr="006B0C6C">
        <w:rPr>
          <w:rFonts w:ascii="Calibri" w:eastAsia="Calibri" w:hAnsi="Calibri" w:cs="Calibri"/>
        </w:rPr>
        <w:t xml:space="preserve"> resolved with </w:t>
      </w:r>
      <w:r w:rsidR="00A05883" w:rsidRPr="006B0C6C">
        <w:rPr>
          <w:rFonts w:ascii="Calibri" w:eastAsia="Calibri" w:hAnsi="Calibri" w:cs="Calibri"/>
        </w:rPr>
        <w:t xml:space="preserve">the </w:t>
      </w:r>
      <w:r w:rsidR="003D3895">
        <w:rPr>
          <w:rFonts w:ascii="Calibri" w:eastAsia="Calibri" w:hAnsi="Calibri" w:cs="Calibri"/>
        </w:rPr>
        <w:t>recruitment</w:t>
      </w:r>
      <w:r w:rsidR="003D3895" w:rsidRPr="006B0C6C">
        <w:rPr>
          <w:rFonts w:ascii="Calibri" w:eastAsia="Calibri" w:hAnsi="Calibri" w:cs="Calibri"/>
        </w:rPr>
        <w:t xml:space="preserve"> </w:t>
      </w:r>
      <w:r w:rsidR="00A05883" w:rsidRPr="006B0C6C">
        <w:rPr>
          <w:rFonts w:ascii="Calibri" w:eastAsia="Calibri" w:hAnsi="Calibri" w:cs="Calibri"/>
        </w:rPr>
        <w:t xml:space="preserve">of </w:t>
      </w:r>
      <w:r w:rsidR="003D3895">
        <w:rPr>
          <w:rFonts w:ascii="Calibri" w:eastAsia="Calibri" w:hAnsi="Calibri" w:cs="Calibri"/>
        </w:rPr>
        <w:t xml:space="preserve">additional </w:t>
      </w:r>
      <w:r w:rsidRPr="006B0C6C">
        <w:rPr>
          <w:rFonts w:ascii="Calibri" w:eastAsia="Calibri" w:hAnsi="Calibri" w:cs="Calibri"/>
        </w:rPr>
        <w:t xml:space="preserve">local expertise (e.g. </w:t>
      </w:r>
      <w:r w:rsidR="00A05883" w:rsidRPr="006B0C6C">
        <w:rPr>
          <w:rFonts w:ascii="Calibri" w:eastAsia="Calibri" w:hAnsi="Calibri" w:cs="Calibri"/>
        </w:rPr>
        <w:t xml:space="preserve">for </w:t>
      </w:r>
      <w:r w:rsidRPr="006B0C6C">
        <w:rPr>
          <w:rFonts w:ascii="Calibri" w:eastAsia="Calibri" w:hAnsi="Calibri" w:cs="Calibri"/>
        </w:rPr>
        <w:t xml:space="preserve">delivery support projects). </w:t>
      </w:r>
    </w:p>
    <w:p w14:paraId="68E9E7CA" w14:textId="2D1C9E43" w:rsidR="7388A156" w:rsidRPr="006B0C6C" w:rsidRDefault="00437590" w:rsidP="003D3895">
      <w:pPr>
        <w:spacing w:after="0" w:line="257" w:lineRule="auto"/>
        <w:jc w:val="both"/>
      </w:pPr>
      <w:r w:rsidRPr="006B0C6C">
        <w:t xml:space="preserve">VAHSI was efficient at raising vaccination coverage levels, and </w:t>
      </w:r>
      <w:r w:rsidRPr="006B0C6C">
        <w:rPr>
          <w:rFonts w:ascii="Calibri" w:eastAsia="Calibri" w:hAnsi="Calibri" w:cs="Calibri"/>
          <w:szCs w:val="22"/>
        </w:rPr>
        <w:t>a</w:t>
      </w:r>
      <w:r w:rsidR="00AD40FF" w:rsidRPr="006B0C6C">
        <w:rPr>
          <w:rFonts w:ascii="Calibri" w:eastAsia="Calibri" w:hAnsi="Calibri" w:cs="Calibri"/>
          <w:szCs w:val="22"/>
        </w:rPr>
        <w:t xml:space="preserve">lthough not within the scope of this evaluation, it </w:t>
      </w:r>
      <w:r w:rsidR="003D3895">
        <w:rPr>
          <w:rFonts w:ascii="Calibri" w:eastAsia="Calibri" w:hAnsi="Calibri" w:cs="Calibri"/>
          <w:szCs w:val="22"/>
        </w:rPr>
        <w:t>was</w:t>
      </w:r>
      <w:r w:rsidR="00AD40FF" w:rsidRPr="006B0C6C">
        <w:rPr>
          <w:rFonts w:ascii="Calibri" w:eastAsia="Calibri" w:hAnsi="Calibri" w:cs="Calibri"/>
          <w:szCs w:val="22"/>
        </w:rPr>
        <w:t xml:space="preserve"> reported to the evaluation team that VAHSI undoubtedly saved lives</w:t>
      </w:r>
      <w:r w:rsidR="003D3895">
        <w:rPr>
          <w:rFonts w:ascii="Calibri" w:eastAsia="Calibri" w:hAnsi="Calibri" w:cs="Calibri"/>
          <w:szCs w:val="22"/>
        </w:rPr>
        <w:t xml:space="preserve">. This indicates </w:t>
      </w:r>
      <w:r w:rsidR="00AD40FF" w:rsidRPr="006B0C6C">
        <w:rPr>
          <w:rFonts w:ascii="Calibri" w:eastAsia="Calibri" w:hAnsi="Calibri" w:cs="Calibri"/>
          <w:szCs w:val="22"/>
        </w:rPr>
        <w:t xml:space="preserve">an efficient use of time and resources and </w:t>
      </w:r>
      <w:r w:rsidR="003D3895">
        <w:rPr>
          <w:rFonts w:ascii="Calibri" w:eastAsia="Calibri" w:hAnsi="Calibri" w:cs="Calibri"/>
          <w:szCs w:val="22"/>
        </w:rPr>
        <w:t xml:space="preserve">demonstrates contribution </w:t>
      </w:r>
      <w:r w:rsidR="00AD40FF" w:rsidRPr="006B0C6C">
        <w:rPr>
          <w:rFonts w:ascii="Calibri" w:eastAsia="Calibri" w:hAnsi="Calibri" w:cs="Calibri"/>
          <w:szCs w:val="22"/>
        </w:rPr>
        <w:t>to Australia’s own health security through bolstering the health security of neighbouring countries.</w:t>
      </w:r>
      <w:bookmarkStart w:id="125" w:name="_Hlk179613680"/>
    </w:p>
    <w:p w14:paraId="23545BBC" w14:textId="1C98C948" w:rsidR="009B7B0A" w:rsidRPr="004A2C53" w:rsidRDefault="57435FAC" w:rsidP="004A2C53">
      <w:pPr>
        <w:pStyle w:val="Heading2SHS"/>
        <w:ind w:left="142"/>
        <w:rPr>
          <w:rFonts w:ascii="Calibri" w:eastAsia="Calibri" w:hAnsi="Calibri" w:cs="Calibri"/>
        </w:rPr>
      </w:pPr>
      <w:bookmarkStart w:id="126" w:name="_Toc179742179"/>
      <w:bookmarkStart w:id="127" w:name="_Toc179742784"/>
      <w:bookmarkStart w:id="128" w:name="_Toc179743327"/>
      <w:bookmarkStart w:id="129" w:name="_Toc179746217"/>
      <w:bookmarkEnd w:id="125"/>
      <w:bookmarkEnd w:id="126"/>
      <w:bookmarkEnd w:id="127"/>
      <w:bookmarkEnd w:id="128"/>
      <w:bookmarkEnd w:id="129"/>
      <w:r w:rsidRPr="004A2C53">
        <w:rPr>
          <w:rFonts w:ascii="Calibri" w:eastAsia="Calibri" w:hAnsi="Calibri" w:cs="Calibri"/>
        </w:rPr>
        <w:t xml:space="preserve"> </w:t>
      </w:r>
      <w:bookmarkStart w:id="130" w:name="_Toc200617288"/>
      <w:r w:rsidR="25F59D74" w:rsidRPr="004A2C53">
        <w:rPr>
          <w:rFonts w:ascii="Calibri" w:eastAsia="Calibri" w:hAnsi="Calibri" w:cs="Calibri"/>
        </w:rPr>
        <w:t>Evidence</w:t>
      </w:r>
      <w:bookmarkEnd w:id="130"/>
      <w:r w:rsidR="25F59D74" w:rsidRPr="004A2C53">
        <w:rPr>
          <w:rFonts w:ascii="Calibri" w:eastAsia="Calibri" w:hAnsi="Calibri" w:cs="Calibri"/>
        </w:rPr>
        <w:t xml:space="preserve"> </w:t>
      </w:r>
    </w:p>
    <w:p w14:paraId="634A6591" w14:textId="14692FBF" w:rsidR="009B7B0A" w:rsidRPr="006B0C6C" w:rsidRDefault="009B7B0A" w:rsidP="006B0C6C">
      <w:pPr>
        <w:pStyle w:val="Heading3SHS"/>
      </w:pPr>
      <w:bookmarkStart w:id="131" w:name="_Toc200617289"/>
      <w:r>
        <w:t>Reporting on efficiency</w:t>
      </w:r>
      <w:bookmarkEnd w:id="131"/>
    </w:p>
    <w:p w14:paraId="64737E3B" w14:textId="123EB91A" w:rsidR="7D3591ED" w:rsidRPr="006B0C6C" w:rsidRDefault="2B65140D" w:rsidP="004A2C53">
      <w:pPr>
        <w:jc w:val="both"/>
        <w:rPr>
          <w:rFonts w:ascii="Calibri" w:eastAsia="Calibri" w:hAnsi="Calibri" w:cs="Calibri"/>
        </w:rPr>
      </w:pPr>
      <w:r w:rsidRPr="4A351EF4">
        <w:rPr>
          <w:rFonts w:ascii="Calibri" w:eastAsia="Calibri" w:hAnsi="Calibri" w:cs="Calibri"/>
        </w:rPr>
        <w:t xml:space="preserve">The VAHSI Performance Assessment Framework (PAF) did not include </w:t>
      </w:r>
      <w:r w:rsidR="00B32278" w:rsidRPr="4A351EF4">
        <w:rPr>
          <w:rFonts w:ascii="Calibri" w:eastAsia="Calibri" w:hAnsi="Calibri" w:cs="Calibri"/>
        </w:rPr>
        <w:t xml:space="preserve">specific </w:t>
      </w:r>
      <w:r w:rsidRPr="4A351EF4">
        <w:rPr>
          <w:rFonts w:ascii="Calibri" w:eastAsia="Calibri" w:hAnsi="Calibri" w:cs="Calibri"/>
        </w:rPr>
        <w:t xml:space="preserve">measures on efficiency. </w:t>
      </w:r>
      <w:r w:rsidR="00FB6A3D">
        <w:rPr>
          <w:rFonts w:ascii="Calibri" w:eastAsia="Calibri" w:hAnsi="Calibri" w:cs="Calibri"/>
        </w:rPr>
        <w:t>D</w:t>
      </w:r>
      <w:r w:rsidRPr="4A351EF4">
        <w:rPr>
          <w:rFonts w:ascii="Calibri" w:eastAsia="Calibri" w:hAnsi="Calibri" w:cs="Calibri"/>
        </w:rPr>
        <w:t>efined indicators on efficiency were not reported against as part of VAHSI reporting</w:t>
      </w:r>
      <w:r w:rsidR="00F856A7" w:rsidRPr="4A351EF4">
        <w:rPr>
          <w:rFonts w:ascii="Calibri" w:eastAsia="Calibri" w:hAnsi="Calibri" w:cs="Calibri"/>
        </w:rPr>
        <w:t xml:space="preserve"> and reporting s</w:t>
      </w:r>
      <w:r w:rsidR="006741AA" w:rsidRPr="4A351EF4">
        <w:rPr>
          <w:rFonts w:ascii="Calibri" w:eastAsia="Calibri" w:hAnsi="Calibri" w:cs="Calibri"/>
        </w:rPr>
        <w:t>pecific to efficiency was not available except as high-level assessments and through some partner reporting</w:t>
      </w:r>
      <w:r w:rsidR="00774C37" w:rsidRPr="4A351EF4">
        <w:rPr>
          <w:rFonts w:ascii="Calibri" w:eastAsia="Calibri" w:hAnsi="Calibri" w:cs="Calibri"/>
        </w:rPr>
        <w:t xml:space="preserve"> (see </w:t>
      </w:r>
      <w:r w:rsidR="0036713D" w:rsidRPr="4A351EF4">
        <w:rPr>
          <w:rFonts w:ascii="Calibri" w:eastAsia="Calibri" w:hAnsi="Calibri" w:cs="Calibri"/>
        </w:rPr>
        <w:t xml:space="preserve">section </w:t>
      </w:r>
      <w:r w:rsidR="00774C37" w:rsidRPr="4A351EF4">
        <w:rPr>
          <w:rFonts w:ascii="Calibri" w:eastAsia="Calibri" w:hAnsi="Calibri" w:cs="Calibri"/>
        </w:rPr>
        <w:t>4.2.3, 4.2.5 on partner reporting)</w:t>
      </w:r>
      <w:r w:rsidR="006741AA" w:rsidRPr="4A351EF4">
        <w:rPr>
          <w:rFonts w:ascii="Calibri" w:eastAsia="Calibri" w:hAnsi="Calibri" w:cs="Calibri"/>
        </w:rPr>
        <w:t>. The evaluation team has mainly had to draw from qualitative reporting to assess the efficiency of the program, as well as examination of budgets and expenditure. In a future response if efficiency is to be evaluated, it should be built in and clearly defined</w:t>
      </w:r>
      <w:r w:rsidR="0036713D" w:rsidRPr="4A351EF4">
        <w:rPr>
          <w:rFonts w:ascii="Calibri" w:eastAsia="Calibri" w:hAnsi="Calibri" w:cs="Calibri"/>
        </w:rPr>
        <w:t xml:space="preserve"> in the initiative design and MEL</w:t>
      </w:r>
      <w:r w:rsidR="006741AA" w:rsidRPr="4A351EF4">
        <w:rPr>
          <w:rFonts w:ascii="Calibri" w:eastAsia="Calibri" w:hAnsi="Calibri" w:cs="Calibri"/>
        </w:rPr>
        <w:t>.</w:t>
      </w:r>
      <w:r w:rsidR="00F94344" w:rsidRPr="4A351EF4">
        <w:rPr>
          <w:rFonts w:ascii="Calibri" w:eastAsia="Calibri" w:hAnsi="Calibri" w:cs="Calibri"/>
        </w:rPr>
        <w:t xml:space="preserve"> </w:t>
      </w:r>
      <w:r w:rsidR="0036713D" w:rsidRPr="4A351EF4">
        <w:rPr>
          <w:rFonts w:ascii="Calibri" w:eastAsia="Calibri" w:hAnsi="Calibri" w:cs="Calibri"/>
        </w:rPr>
        <w:t>H</w:t>
      </w:r>
      <w:r w:rsidR="00F94344" w:rsidRPr="4A351EF4">
        <w:rPr>
          <w:rFonts w:ascii="Calibri" w:eastAsia="Calibri" w:hAnsi="Calibri" w:cs="Calibri"/>
        </w:rPr>
        <w:t>owever,</w:t>
      </w:r>
      <w:r w:rsidRPr="4A351EF4">
        <w:rPr>
          <w:rFonts w:ascii="Calibri" w:eastAsia="Calibri" w:hAnsi="Calibri" w:cs="Calibri"/>
        </w:rPr>
        <w:t xml:space="preserve"> </w:t>
      </w:r>
      <w:r w:rsidR="0036713D" w:rsidRPr="4A351EF4">
        <w:rPr>
          <w:rFonts w:ascii="Calibri" w:eastAsia="Calibri" w:hAnsi="Calibri" w:cs="Calibri"/>
        </w:rPr>
        <w:t xml:space="preserve">there is sufficient evidence available in </w:t>
      </w:r>
      <w:r w:rsidRPr="4A351EF4">
        <w:rPr>
          <w:rFonts w:ascii="Calibri" w:eastAsia="Calibri" w:hAnsi="Calibri" w:cs="Calibri"/>
        </w:rPr>
        <w:t xml:space="preserve">both </w:t>
      </w:r>
      <w:r w:rsidR="0036713D" w:rsidRPr="4A351EF4">
        <w:rPr>
          <w:rFonts w:ascii="Calibri" w:eastAsia="Calibri" w:hAnsi="Calibri" w:cs="Calibri"/>
        </w:rPr>
        <w:t xml:space="preserve">documentation </w:t>
      </w:r>
      <w:r w:rsidRPr="4A351EF4">
        <w:rPr>
          <w:rFonts w:ascii="Calibri" w:eastAsia="Calibri" w:hAnsi="Calibri" w:cs="Calibri"/>
        </w:rPr>
        <w:t xml:space="preserve">and </w:t>
      </w:r>
      <w:r w:rsidR="0036713D" w:rsidRPr="4A351EF4">
        <w:rPr>
          <w:rFonts w:ascii="Calibri" w:eastAsia="Calibri" w:hAnsi="Calibri" w:cs="Calibri"/>
        </w:rPr>
        <w:t>from</w:t>
      </w:r>
      <w:r w:rsidR="00120F00" w:rsidRPr="4A351EF4">
        <w:rPr>
          <w:rFonts w:ascii="Calibri" w:eastAsia="Calibri" w:hAnsi="Calibri" w:cs="Calibri"/>
        </w:rPr>
        <w:t xml:space="preserve"> </w:t>
      </w:r>
      <w:r w:rsidRPr="4A351EF4">
        <w:rPr>
          <w:rFonts w:ascii="Calibri" w:eastAsia="Calibri" w:hAnsi="Calibri" w:cs="Calibri"/>
        </w:rPr>
        <w:t xml:space="preserve">KIIs, to </w:t>
      </w:r>
      <w:r w:rsidR="0036713D" w:rsidRPr="4A351EF4">
        <w:rPr>
          <w:rFonts w:ascii="Calibri" w:eastAsia="Calibri" w:hAnsi="Calibri" w:cs="Calibri"/>
        </w:rPr>
        <w:t>assess</w:t>
      </w:r>
      <w:r w:rsidRPr="4A351EF4">
        <w:rPr>
          <w:rFonts w:ascii="Calibri" w:eastAsia="Calibri" w:hAnsi="Calibri" w:cs="Calibri"/>
        </w:rPr>
        <w:t xml:space="preserve"> VAHSI was an efficient use of Australia and partners’ time, money and resources and an appropriate mechanism to respond to regional and partner </w:t>
      </w:r>
      <w:r w:rsidR="00810A45">
        <w:rPr>
          <w:rFonts w:ascii="Calibri" w:eastAsia="Calibri" w:hAnsi="Calibri" w:cs="Calibri"/>
        </w:rPr>
        <w:t>g</w:t>
      </w:r>
      <w:r w:rsidRPr="4A351EF4">
        <w:rPr>
          <w:rFonts w:ascii="Calibri" w:eastAsia="Calibri" w:hAnsi="Calibri" w:cs="Calibri"/>
        </w:rPr>
        <w:t xml:space="preserve">overnment needs. </w:t>
      </w:r>
    </w:p>
    <w:p w14:paraId="178017DA" w14:textId="451A2206" w:rsidR="00A72EE6" w:rsidRPr="006B0C6C" w:rsidRDefault="00A72EE6" w:rsidP="7388A156">
      <w:pPr>
        <w:pStyle w:val="Heading3SHS"/>
      </w:pPr>
      <w:bookmarkStart w:id="132" w:name="_Toc179742184"/>
      <w:bookmarkStart w:id="133" w:name="_Toc179742789"/>
      <w:bookmarkStart w:id="134" w:name="_Toc179743332"/>
      <w:bookmarkStart w:id="135" w:name="_Toc179746222"/>
      <w:bookmarkStart w:id="136" w:name="_Toc179742185"/>
      <w:bookmarkStart w:id="137" w:name="_Toc179742790"/>
      <w:bookmarkStart w:id="138" w:name="_Toc179743333"/>
      <w:bookmarkStart w:id="139" w:name="_Toc179746223"/>
      <w:bookmarkStart w:id="140" w:name="_Toc200617290"/>
      <w:bookmarkEnd w:id="132"/>
      <w:bookmarkEnd w:id="133"/>
      <w:bookmarkEnd w:id="134"/>
      <w:bookmarkEnd w:id="135"/>
      <w:bookmarkEnd w:id="136"/>
      <w:bookmarkEnd w:id="137"/>
      <w:bookmarkEnd w:id="138"/>
      <w:bookmarkEnd w:id="139"/>
      <w:r w:rsidRPr="006B0C6C">
        <w:t>Use of existing partners and programs</w:t>
      </w:r>
      <w:bookmarkEnd w:id="140"/>
    </w:p>
    <w:p w14:paraId="763C9015" w14:textId="0B4FD8A4" w:rsidR="00A72EE6" w:rsidRPr="006B0C6C" w:rsidRDefault="00A72EE6" w:rsidP="006B0C6C">
      <w:pPr>
        <w:jc w:val="both"/>
        <w:rPr>
          <w:lang w:bidi="ar-SA"/>
        </w:rPr>
      </w:pPr>
      <w:r w:rsidRPr="006B0C6C">
        <w:rPr>
          <w:lang w:bidi="ar-SA"/>
        </w:rPr>
        <w:t xml:space="preserve">The use of existing partners and programs was efficient as it enabled rapid and smooth implementation by leveraging existing relationships, networks and partnerships </w:t>
      </w:r>
      <w:r w:rsidR="001D45CC" w:rsidRPr="006B0C6C">
        <w:rPr>
          <w:lang w:bidi="ar-SA"/>
        </w:rPr>
        <w:t xml:space="preserve">to </w:t>
      </w:r>
      <w:r w:rsidRPr="006B0C6C">
        <w:rPr>
          <w:lang w:bidi="ar-SA"/>
        </w:rPr>
        <w:t>pivot</w:t>
      </w:r>
      <w:r w:rsidR="001D45CC" w:rsidRPr="006B0C6C">
        <w:rPr>
          <w:lang w:bidi="ar-SA"/>
        </w:rPr>
        <w:t xml:space="preserve"> to</w:t>
      </w:r>
      <w:r w:rsidRPr="006B0C6C">
        <w:rPr>
          <w:lang w:bidi="ar-SA"/>
        </w:rPr>
        <w:t xml:space="preserve"> support for national COVID-19 response</w:t>
      </w:r>
      <w:r w:rsidR="0036713D">
        <w:rPr>
          <w:lang w:bidi="ar-SA"/>
        </w:rPr>
        <w:t>s</w:t>
      </w:r>
      <w:r w:rsidRPr="006B0C6C">
        <w:rPr>
          <w:lang w:bidi="ar-SA"/>
        </w:rPr>
        <w:t>. Key informants stated that Australia’s long-term bilateral health investments in several countries w</w:t>
      </w:r>
      <w:r w:rsidR="001D45CC" w:rsidRPr="006B0C6C">
        <w:rPr>
          <w:lang w:bidi="ar-SA"/>
        </w:rPr>
        <w:t>ere</w:t>
      </w:r>
      <w:r w:rsidRPr="006B0C6C">
        <w:rPr>
          <w:lang w:bidi="ar-SA"/>
        </w:rPr>
        <w:t xml:space="preserve"> critical to Australia’s response. This facilitated quick deployment to support partner </w:t>
      </w:r>
      <w:r w:rsidR="001870EB">
        <w:rPr>
          <w:lang w:bidi="ar-SA"/>
        </w:rPr>
        <w:t>g</w:t>
      </w:r>
      <w:r w:rsidRPr="006B0C6C">
        <w:rPr>
          <w:lang w:bidi="ar-SA"/>
        </w:rPr>
        <w:t xml:space="preserve">overnments as relationships and mechanisms were already in place and these could be leveraged with minimal incremental burden. In contrast, for Posts where there was not a bilateral health relationship (notably in SEA) this required some quick uplift to build the required in-country health relationships. </w:t>
      </w:r>
      <w:r w:rsidR="00176D88" w:rsidRPr="006B0C6C">
        <w:rPr>
          <w:lang w:bidi="ar-SA"/>
        </w:rPr>
        <w:t>Evidence indicates that</w:t>
      </w:r>
      <w:r w:rsidR="002D7544" w:rsidRPr="006B0C6C">
        <w:rPr>
          <w:lang w:bidi="ar-SA"/>
        </w:rPr>
        <w:t>,</w:t>
      </w:r>
      <w:r w:rsidRPr="006B0C6C">
        <w:rPr>
          <w:lang w:bidi="ar-SA"/>
        </w:rPr>
        <w:t xml:space="preserve"> in general</w:t>
      </w:r>
      <w:r w:rsidR="002D7544" w:rsidRPr="006B0C6C">
        <w:rPr>
          <w:lang w:bidi="ar-SA"/>
        </w:rPr>
        <w:t>,</w:t>
      </w:r>
      <w:r w:rsidRPr="006B0C6C">
        <w:rPr>
          <w:lang w:bidi="ar-SA"/>
        </w:rPr>
        <w:t xml:space="preserve"> </w:t>
      </w:r>
      <w:r w:rsidR="00176D88" w:rsidRPr="006B0C6C">
        <w:rPr>
          <w:lang w:bidi="ar-SA"/>
        </w:rPr>
        <w:t>building these relationships has been</w:t>
      </w:r>
      <w:r w:rsidRPr="006B0C6C">
        <w:rPr>
          <w:lang w:bidi="ar-SA"/>
        </w:rPr>
        <w:t xml:space="preserve"> valuable, contributing to better bilateral relations overall, and </w:t>
      </w:r>
      <w:r w:rsidR="002D7544" w:rsidRPr="006B0C6C">
        <w:rPr>
          <w:lang w:bidi="ar-SA"/>
        </w:rPr>
        <w:t>whilst valuable for</w:t>
      </w:r>
      <w:r w:rsidRPr="006B0C6C">
        <w:rPr>
          <w:lang w:bidi="ar-SA"/>
        </w:rPr>
        <w:t xml:space="preserve"> </w:t>
      </w:r>
      <w:r w:rsidR="002D7544" w:rsidRPr="006B0C6C">
        <w:rPr>
          <w:lang w:bidi="ar-SA"/>
        </w:rPr>
        <w:t>their</w:t>
      </w:r>
      <w:r w:rsidRPr="006B0C6C">
        <w:rPr>
          <w:lang w:bidi="ar-SA"/>
        </w:rPr>
        <w:t xml:space="preserve"> own sake </w:t>
      </w:r>
      <w:r w:rsidR="002D7544" w:rsidRPr="006B0C6C">
        <w:rPr>
          <w:lang w:bidi="ar-SA"/>
        </w:rPr>
        <w:t>potentially</w:t>
      </w:r>
      <w:r w:rsidRPr="006B0C6C">
        <w:rPr>
          <w:lang w:bidi="ar-SA"/>
        </w:rPr>
        <w:t xml:space="preserve"> </w:t>
      </w:r>
      <w:r w:rsidR="004A12ED" w:rsidRPr="006B0C6C">
        <w:rPr>
          <w:lang w:bidi="ar-SA"/>
        </w:rPr>
        <w:t>beneficial</w:t>
      </w:r>
      <w:r w:rsidRPr="006B0C6C">
        <w:rPr>
          <w:lang w:bidi="ar-SA"/>
        </w:rPr>
        <w:t xml:space="preserve"> </w:t>
      </w:r>
      <w:r w:rsidR="0036713D">
        <w:rPr>
          <w:lang w:bidi="ar-SA"/>
        </w:rPr>
        <w:t xml:space="preserve">in </w:t>
      </w:r>
      <w:r w:rsidRPr="006B0C6C">
        <w:rPr>
          <w:lang w:bidi="ar-SA"/>
        </w:rPr>
        <w:t>a</w:t>
      </w:r>
      <w:r w:rsidR="004A12ED" w:rsidRPr="006B0C6C">
        <w:rPr>
          <w:lang w:bidi="ar-SA"/>
        </w:rPr>
        <w:t>ny</w:t>
      </w:r>
      <w:r w:rsidRPr="006B0C6C">
        <w:rPr>
          <w:lang w:bidi="ar-SA"/>
        </w:rPr>
        <w:t xml:space="preserve"> future emergency health response. </w:t>
      </w:r>
    </w:p>
    <w:p w14:paraId="06D038E9" w14:textId="719005F3" w:rsidR="00A72EE6" w:rsidRPr="006B0C6C" w:rsidRDefault="00A72EE6" w:rsidP="006B0C6C">
      <w:pPr>
        <w:jc w:val="both"/>
        <w:rPr>
          <w:lang w:bidi="ar-SA"/>
        </w:rPr>
      </w:pPr>
      <w:r w:rsidRPr="006B0C6C">
        <w:rPr>
          <w:lang w:bidi="ar-SA"/>
        </w:rPr>
        <w:t xml:space="preserve">Australian funding for </w:t>
      </w:r>
      <w:r w:rsidR="00CA435B" w:rsidRPr="006B0C6C">
        <w:rPr>
          <w:lang w:bidi="ar-SA"/>
        </w:rPr>
        <w:t>delivery</w:t>
      </w:r>
      <w:r w:rsidR="00A4789C">
        <w:rPr>
          <w:lang w:bidi="ar-SA"/>
        </w:rPr>
        <w:t xml:space="preserve"> support</w:t>
      </w:r>
      <w:r w:rsidR="00CA435B" w:rsidRPr="006B0C6C">
        <w:rPr>
          <w:lang w:bidi="ar-SA"/>
        </w:rPr>
        <w:t xml:space="preserve"> partners, including </w:t>
      </w:r>
      <w:r w:rsidRPr="006B0C6C">
        <w:rPr>
          <w:lang w:bidi="ar-SA"/>
        </w:rPr>
        <w:t>WHO and UNICEF</w:t>
      </w:r>
      <w:r w:rsidR="0036713D">
        <w:rPr>
          <w:lang w:bidi="ar-SA"/>
        </w:rPr>
        <w:t>,</w:t>
      </w:r>
      <w:r w:rsidRPr="006B0C6C">
        <w:rPr>
          <w:lang w:bidi="ar-SA"/>
        </w:rPr>
        <w:t xml:space="preserve"> was </w:t>
      </w:r>
      <w:r w:rsidR="00CA435B" w:rsidRPr="006B0C6C">
        <w:rPr>
          <w:lang w:bidi="ar-SA"/>
        </w:rPr>
        <w:t xml:space="preserve">generally considered </w:t>
      </w:r>
      <w:r w:rsidRPr="006B0C6C">
        <w:rPr>
          <w:lang w:bidi="ar-SA"/>
        </w:rPr>
        <w:t xml:space="preserve">efficient and </w:t>
      </w:r>
      <w:r w:rsidR="00CA435B" w:rsidRPr="006B0C6C">
        <w:rPr>
          <w:lang w:bidi="ar-SA"/>
        </w:rPr>
        <w:t xml:space="preserve">to have </w:t>
      </w:r>
      <w:r w:rsidRPr="006B0C6C">
        <w:rPr>
          <w:lang w:bidi="ar-SA"/>
        </w:rPr>
        <w:t xml:space="preserve">achieved significant </w:t>
      </w:r>
      <w:r w:rsidR="0036713D">
        <w:rPr>
          <w:lang w:bidi="ar-SA"/>
        </w:rPr>
        <w:t>impact</w:t>
      </w:r>
      <w:r w:rsidR="0036713D" w:rsidRPr="006B0C6C">
        <w:rPr>
          <w:lang w:bidi="ar-SA"/>
        </w:rPr>
        <w:t xml:space="preserve"> </w:t>
      </w:r>
      <w:r w:rsidRPr="006B0C6C">
        <w:rPr>
          <w:lang w:bidi="ar-SA"/>
        </w:rPr>
        <w:t xml:space="preserve">with relatively small amounts. The delivery support </w:t>
      </w:r>
      <w:r w:rsidR="0036713D">
        <w:rPr>
          <w:lang w:bidi="ar-SA"/>
        </w:rPr>
        <w:t>projects</w:t>
      </w:r>
      <w:r w:rsidR="0036713D" w:rsidRPr="006B0C6C">
        <w:rPr>
          <w:lang w:bidi="ar-SA"/>
        </w:rPr>
        <w:t xml:space="preserve"> </w:t>
      </w:r>
      <w:r w:rsidRPr="006B0C6C">
        <w:rPr>
          <w:lang w:bidi="ar-SA"/>
        </w:rPr>
        <w:t xml:space="preserve">were a vital complement to the vaccines, enabling </w:t>
      </w:r>
      <w:r w:rsidR="0036713D">
        <w:rPr>
          <w:lang w:bidi="ar-SA"/>
        </w:rPr>
        <w:t>access</w:t>
      </w:r>
      <w:r w:rsidR="0036713D" w:rsidRPr="006B0C6C">
        <w:rPr>
          <w:lang w:bidi="ar-SA"/>
        </w:rPr>
        <w:t xml:space="preserve"> </w:t>
      </w:r>
      <w:r w:rsidRPr="006B0C6C">
        <w:rPr>
          <w:lang w:bidi="ar-SA"/>
        </w:rPr>
        <w:t>to hard-to-reach areas and vulnerable populations</w:t>
      </w:r>
      <w:r w:rsidR="001815CF" w:rsidRPr="006B0C6C">
        <w:rPr>
          <w:lang w:bidi="ar-SA"/>
        </w:rPr>
        <w:t xml:space="preserve"> (see</w:t>
      </w:r>
      <w:r w:rsidR="0036713D">
        <w:rPr>
          <w:lang w:bidi="ar-SA"/>
        </w:rPr>
        <w:t xml:space="preserve"> section</w:t>
      </w:r>
      <w:r w:rsidR="001815CF" w:rsidRPr="006B0C6C">
        <w:rPr>
          <w:lang w:bidi="ar-SA"/>
        </w:rPr>
        <w:t xml:space="preserve"> 4.2.4 for detail)</w:t>
      </w:r>
      <w:r w:rsidRPr="006B0C6C">
        <w:rPr>
          <w:lang w:bidi="ar-SA"/>
        </w:rPr>
        <w:t xml:space="preserve">. The delivery support funding can be considered efficient </w:t>
      </w:r>
      <w:r w:rsidR="0036713D">
        <w:rPr>
          <w:lang w:bidi="ar-SA"/>
        </w:rPr>
        <w:t>as</w:t>
      </w:r>
      <w:r w:rsidRPr="006B0C6C">
        <w:rPr>
          <w:lang w:bidi="ar-SA"/>
        </w:rPr>
        <w:t xml:space="preserve"> existing programs were used to pivot to COVID-19 support and provide rapid responses.</w:t>
      </w:r>
      <w:r w:rsidR="0036713D">
        <w:rPr>
          <w:lang w:bidi="ar-SA"/>
        </w:rPr>
        <w:t xml:space="preserve"> </w:t>
      </w:r>
      <w:r w:rsidRPr="006B0C6C">
        <w:rPr>
          <w:lang w:bidi="ar-SA"/>
        </w:rPr>
        <w:t xml:space="preserve">Qualitative evidence from KIIs with DFAT officers and delivery </w:t>
      </w:r>
      <w:r w:rsidR="00A4789C">
        <w:rPr>
          <w:lang w:bidi="ar-SA"/>
        </w:rPr>
        <w:t xml:space="preserve">support </w:t>
      </w:r>
      <w:r w:rsidRPr="006B0C6C">
        <w:rPr>
          <w:lang w:bidi="ar-SA"/>
        </w:rPr>
        <w:t>partner</w:t>
      </w:r>
      <w:r w:rsidR="0036713D">
        <w:rPr>
          <w:lang w:bidi="ar-SA"/>
        </w:rPr>
        <w:t>s</w:t>
      </w:r>
      <w:r w:rsidRPr="006B0C6C">
        <w:rPr>
          <w:lang w:bidi="ar-SA"/>
        </w:rPr>
        <w:t xml:space="preserve"> suggests that the delivery support projects were considered a good use of taxpayer money; </w:t>
      </w:r>
      <w:r w:rsidR="007731CE" w:rsidRPr="006B0C6C">
        <w:rPr>
          <w:lang w:bidi="ar-SA"/>
        </w:rPr>
        <w:t>particularly where the investments may have a lasting effect (e.g. on cold chain</w:t>
      </w:r>
      <w:r w:rsidR="001815CF" w:rsidRPr="006B0C6C">
        <w:rPr>
          <w:lang w:bidi="ar-SA"/>
        </w:rPr>
        <w:t xml:space="preserve"> investments</w:t>
      </w:r>
      <w:r w:rsidR="0027345F" w:rsidRPr="006B0C6C">
        <w:rPr>
          <w:lang w:bidi="ar-SA"/>
        </w:rPr>
        <w:t xml:space="preserve">, adoption of Tamanu </w:t>
      </w:r>
      <w:r w:rsidR="009751F3" w:rsidRPr="006B0C6C">
        <w:rPr>
          <w:lang w:bidi="ar-SA"/>
        </w:rPr>
        <w:t xml:space="preserve">record </w:t>
      </w:r>
      <w:r w:rsidR="0027345F" w:rsidRPr="006B0C6C">
        <w:rPr>
          <w:lang w:bidi="ar-SA"/>
        </w:rPr>
        <w:t xml:space="preserve">system </w:t>
      </w:r>
      <w:r w:rsidR="001F547E" w:rsidRPr="006B0C6C">
        <w:rPr>
          <w:lang w:bidi="ar-SA"/>
        </w:rPr>
        <w:t>in the Pacific</w:t>
      </w:r>
      <w:r w:rsidR="007731CE" w:rsidRPr="006B0C6C">
        <w:rPr>
          <w:lang w:bidi="ar-SA"/>
        </w:rPr>
        <w:t xml:space="preserve">). </w:t>
      </w:r>
      <w:r w:rsidRPr="006B0C6C">
        <w:rPr>
          <w:lang w:bidi="ar-SA"/>
        </w:rPr>
        <w:t xml:space="preserve">The evaluation also found evidence of delivery </w:t>
      </w:r>
      <w:r w:rsidR="00A4789C">
        <w:rPr>
          <w:lang w:bidi="ar-SA"/>
        </w:rPr>
        <w:t xml:space="preserve">support </w:t>
      </w:r>
      <w:r w:rsidRPr="006B0C6C">
        <w:rPr>
          <w:lang w:bidi="ar-SA"/>
        </w:rPr>
        <w:t>partners reporting on efficiency (e.g. UNICEF conducting supervision trips at provincial and district levels to ensure efficient as well as effective implementation of VAHSI activities).</w:t>
      </w:r>
      <w:r w:rsidR="009564EB" w:rsidRPr="006B0C6C">
        <w:rPr>
          <w:rFonts w:ascii="Calibri" w:eastAsia="Calibri" w:hAnsi="Calibri" w:cs="Calibri"/>
        </w:rPr>
        <w:t xml:space="preserve"> Wastage was minimised through not over-supplying and through investments in cold</w:t>
      </w:r>
      <w:r w:rsidR="00A4789C">
        <w:rPr>
          <w:rFonts w:ascii="Calibri" w:eastAsia="Calibri" w:hAnsi="Calibri" w:cs="Calibri"/>
        </w:rPr>
        <w:t xml:space="preserve"> </w:t>
      </w:r>
      <w:r w:rsidR="009564EB" w:rsidRPr="006B0C6C">
        <w:rPr>
          <w:rFonts w:ascii="Calibri" w:eastAsia="Calibri" w:hAnsi="Calibri" w:cs="Calibri"/>
        </w:rPr>
        <w:t xml:space="preserve">chains (see </w:t>
      </w:r>
      <w:r w:rsidR="0036713D">
        <w:rPr>
          <w:rFonts w:ascii="Calibri" w:eastAsia="Calibri" w:hAnsi="Calibri" w:cs="Calibri"/>
        </w:rPr>
        <w:t xml:space="preserve">section </w:t>
      </w:r>
      <w:r w:rsidR="009564EB" w:rsidRPr="006B0C6C">
        <w:rPr>
          <w:rFonts w:ascii="Calibri" w:eastAsia="Calibri" w:hAnsi="Calibri" w:cs="Calibri"/>
        </w:rPr>
        <w:t xml:space="preserve">4.2.6).  </w:t>
      </w:r>
    </w:p>
    <w:p w14:paraId="0B8BD1A2" w14:textId="28E39803" w:rsidR="00A72EE6" w:rsidRPr="004A2C53" w:rsidRDefault="00A72EE6" w:rsidP="004A2C53">
      <w:pPr>
        <w:spacing w:after="0" w:line="257" w:lineRule="auto"/>
        <w:jc w:val="both"/>
        <w:rPr>
          <w:rFonts w:ascii="Calibri" w:eastAsia="Calibri" w:hAnsi="Calibri" w:cs="Calibri"/>
        </w:rPr>
      </w:pPr>
      <w:r w:rsidRPr="006B0C6C">
        <w:rPr>
          <w:rFonts w:ascii="Calibri" w:eastAsia="Calibri" w:hAnsi="Calibri" w:cs="Calibri"/>
        </w:rPr>
        <w:t>Utilising existing Health Security Partnerships was also efficient (e.g. TGA for regulatory support, NCIRS for technical support for immunisation services, and others). TGA and NCIRS both had capacity building programs in the region and were able to leverage existing program models and relationships. These expert groups coordinated well together and with partners on the ground to prevent duplication.</w:t>
      </w:r>
    </w:p>
    <w:p w14:paraId="3E231155" w14:textId="7546B75E" w:rsidR="00A72EE6" w:rsidRPr="006B0C6C" w:rsidRDefault="00A72EE6" w:rsidP="7388A156">
      <w:pPr>
        <w:pStyle w:val="Heading3SHS"/>
      </w:pPr>
      <w:bookmarkStart w:id="141" w:name="_Toc179742188"/>
      <w:bookmarkStart w:id="142" w:name="_Toc179742793"/>
      <w:bookmarkStart w:id="143" w:name="_Toc179743336"/>
      <w:bookmarkStart w:id="144" w:name="_Toc179746226"/>
      <w:bookmarkStart w:id="145" w:name="_Toc200617291"/>
      <w:bookmarkEnd w:id="141"/>
      <w:bookmarkEnd w:id="142"/>
      <w:bookmarkEnd w:id="143"/>
      <w:bookmarkEnd w:id="144"/>
      <w:r w:rsidRPr="006B0C6C">
        <w:t>Fast and flexible</w:t>
      </w:r>
      <w:bookmarkEnd w:id="145"/>
    </w:p>
    <w:p w14:paraId="63A20254" w14:textId="59B6F947" w:rsidR="00A72EE6" w:rsidRPr="006B0C6C" w:rsidRDefault="00A72EE6" w:rsidP="006B0C6C">
      <w:pPr>
        <w:jc w:val="both"/>
        <w:rPr>
          <w:lang w:bidi="ar-SA"/>
        </w:rPr>
      </w:pPr>
      <w:r w:rsidRPr="006B0C6C">
        <w:rPr>
          <w:lang w:bidi="ar-SA"/>
        </w:rPr>
        <w:t xml:space="preserve">Australia was quicker than most donors to provide vaccine doses in most partner countries in the region. The use of vaccine doses from the Australian domestic supply enabled early support to countries. This political decision, firmly aligned with EOPO3 (see </w:t>
      </w:r>
      <w:r w:rsidR="00FD7ADD" w:rsidRPr="006B0C6C">
        <w:rPr>
          <w:lang w:bidi="ar-SA"/>
        </w:rPr>
        <w:t>section 5</w:t>
      </w:r>
      <w:r w:rsidRPr="006B0C6C">
        <w:rPr>
          <w:lang w:bidi="ar-SA"/>
        </w:rPr>
        <w:t>), was efficient in both</w:t>
      </w:r>
      <w:r w:rsidR="0036713D">
        <w:rPr>
          <w:lang w:bidi="ar-SA"/>
        </w:rPr>
        <w:t>,</w:t>
      </w:r>
      <w:r w:rsidRPr="006B0C6C">
        <w:rPr>
          <w:lang w:bidi="ar-SA"/>
        </w:rPr>
        <w:t xml:space="preserve"> a) its low cost – transportation only, and b) responding quickly to the needs of countries. Early response also demonstrated that Australia </w:t>
      </w:r>
      <w:r w:rsidR="00ED3588" w:rsidRPr="006B0C6C">
        <w:rPr>
          <w:lang w:bidi="ar-SA"/>
        </w:rPr>
        <w:t>c</w:t>
      </w:r>
      <w:r w:rsidRPr="006B0C6C">
        <w:rPr>
          <w:lang w:bidi="ar-SA"/>
        </w:rPr>
        <w:t xml:space="preserve">ould be a trusted partner </w:t>
      </w:r>
      <w:r w:rsidR="00ED3588" w:rsidRPr="006B0C6C">
        <w:rPr>
          <w:lang w:bidi="ar-SA"/>
        </w:rPr>
        <w:t>dur</w:t>
      </w:r>
      <w:r w:rsidRPr="006B0C6C">
        <w:rPr>
          <w:lang w:bidi="ar-SA"/>
        </w:rPr>
        <w:t>in</w:t>
      </w:r>
      <w:r w:rsidR="00ED3588" w:rsidRPr="006B0C6C">
        <w:rPr>
          <w:lang w:bidi="ar-SA"/>
        </w:rPr>
        <w:t>g</w:t>
      </w:r>
      <w:r w:rsidRPr="006B0C6C">
        <w:rPr>
          <w:lang w:bidi="ar-SA"/>
        </w:rPr>
        <w:t xml:space="preserve"> the response. </w:t>
      </w:r>
    </w:p>
    <w:p w14:paraId="0FD63D84" w14:textId="5AD87C42" w:rsidR="00A72EE6" w:rsidRPr="006B0C6C" w:rsidRDefault="00A72EE6" w:rsidP="006B0C6C">
      <w:pPr>
        <w:jc w:val="both"/>
        <w:rPr>
          <w:lang w:bidi="ar-SA"/>
        </w:rPr>
      </w:pPr>
      <w:r w:rsidRPr="006B0C6C">
        <w:rPr>
          <w:lang w:bidi="ar-SA"/>
        </w:rPr>
        <w:t>The flexibility of VAHSI was important in its effectiveness (i.e. meeting country needs) but also efficient in</w:t>
      </w:r>
      <w:r w:rsidR="0036713D">
        <w:rPr>
          <w:lang w:bidi="ar-SA"/>
        </w:rPr>
        <w:t xml:space="preserve"> terms of</w:t>
      </w:r>
      <w:r w:rsidRPr="006B0C6C">
        <w:rPr>
          <w:lang w:bidi="ar-SA"/>
        </w:rPr>
        <w:t xml:space="preserve"> eliminating potential wastage and responding to changing priorities through the life of the program. The key over-arching example of this is the ‘pivot’ to support routine immunisation catch-up. This occurred across the region as both demand for COVID-19 vaccines dropped off and awareness increased on the need to catch up the cohorts that had missed routine immunisations during the pandemic. Reprogramming VAHSI funds to support routine immunisation was an efficient use of resources and beneficial in terms of sustainability.</w:t>
      </w:r>
    </w:p>
    <w:p w14:paraId="6AD0743D" w14:textId="15BF3701" w:rsidR="008C7F1C" w:rsidRDefault="4F550445" w:rsidP="006B0C6C">
      <w:pPr>
        <w:jc w:val="both"/>
        <w:rPr>
          <w:lang w:bidi="ar-SA"/>
        </w:rPr>
      </w:pPr>
      <w:r w:rsidRPr="4717B9FC">
        <w:rPr>
          <w:lang w:bidi="ar-SA"/>
        </w:rPr>
        <w:t>A good example of efficiency was in Indonesia when partners (AIHSP, UNICEF, W</w:t>
      </w:r>
      <w:r w:rsidR="7E7ED380" w:rsidRPr="4717B9FC">
        <w:rPr>
          <w:lang w:bidi="ar-SA"/>
        </w:rPr>
        <w:t xml:space="preserve">orld </w:t>
      </w:r>
      <w:r w:rsidRPr="4717B9FC">
        <w:rPr>
          <w:lang w:bidi="ar-SA"/>
        </w:rPr>
        <w:t>B</w:t>
      </w:r>
      <w:r w:rsidR="7E7ED380" w:rsidRPr="4717B9FC">
        <w:rPr>
          <w:lang w:bidi="ar-SA"/>
        </w:rPr>
        <w:t>ank</w:t>
      </w:r>
      <w:r w:rsidRPr="4717B9FC">
        <w:rPr>
          <w:lang w:bidi="ar-SA"/>
        </w:rPr>
        <w:t xml:space="preserve">, WHO) coordinated </w:t>
      </w:r>
      <w:r w:rsidR="0DBC7FBF" w:rsidRPr="4717B9FC">
        <w:rPr>
          <w:lang w:bidi="ar-SA"/>
        </w:rPr>
        <w:t xml:space="preserve">closely to support response planning, helping </w:t>
      </w:r>
      <w:r w:rsidRPr="4717B9FC">
        <w:rPr>
          <w:lang w:bidi="ar-SA"/>
        </w:rPr>
        <w:t xml:space="preserve">to reduce the burden on over stretched </w:t>
      </w:r>
      <w:r w:rsidR="006874E4">
        <w:rPr>
          <w:lang w:bidi="ar-SA"/>
        </w:rPr>
        <w:t>Ministries of Health</w:t>
      </w:r>
      <w:r w:rsidRPr="4717B9FC">
        <w:rPr>
          <w:lang w:bidi="ar-SA"/>
        </w:rPr>
        <w:t xml:space="preserve">. DFAT’s targeted grant </w:t>
      </w:r>
      <w:r w:rsidR="6C87548B" w:rsidRPr="4717B9FC">
        <w:rPr>
          <w:lang w:bidi="ar-SA"/>
        </w:rPr>
        <w:t xml:space="preserve">funding </w:t>
      </w:r>
      <w:r w:rsidRPr="4717B9FC">
        <w:rPr>
          <w:lang w:bidi="ar-SA"/>
        </w:rPr>
        <w:t>towards the achievement of three W</w:t>
      </w:r>
      <w:r w:rsidR="7E7ED380" w:rsidRPr="4717B9FC">
        <w:rPr>
          <w:lang w:bidi="ar-SA"/>
        </w:rPr>
        <w:t xml:space="preserve">orld </w:t>
      </w:r>
      <w:r w:rsidRPr="4717B9FC">
        <w:rPr>
          <w:lang w:bidi="ar-SA"/>
        </w:rPr>
        <w:t>B</w:t>
      </w:r>
      <w:r w:rsidR="7E7ED380" w:rsidRPr="4717B9FC">
        <w:rPr>
          <w:lang w:bidi="ar-SA"/>
        </w:rPr>
        <w:t>ank</w:t>
      </w:r>
      <w:r w:rsidRPr="4717B9FC">
        <w:rPr>
          <w:lang w:bidi="ar-SA"/>
        </w:rPr>
        <w:t xml:space="preserve"> disbursement-linked indicators, helping to ensure the achievement of these targets, meant that significant funding was accessed by the country - AUD15m helping to leverage </w:t>
      </w:r>
      <w:r w:rsidR="7D084CF4" w:rsidRPr="4717B9FC">
        <w:rPr>
          <w:lang w:bidi="ar-SA"/>
        </w:rPr>
        <w:t xml:space="preserve">more than </w:t>
      </w:r>
      <w:r w:rsidRPr="4717B9FC">
        <w:rPr>
          <w:lang w:bidi="ar-SA"/>
        </w:rPr>
        <w:t>US</w:t>
      </w:r>
      <w:r w:rsidR="00AB61D3">
        <w:rPr>
          <w:lang w:bidi="ar-SA"/>
        </w:rPr>
        <w:t>D</w:t>
      </w:r>
      <w:r w:rsidRPr="4717B9FC">
        <w:rPr>
          <w:lang w:bidi="ar-SA"/>
        </w:rPr>
        <w:t>1bn</w:t>
      </w:r>
      <w:r w:rsidR="1FA7F188" w:rsidRPr="4717B9FC">
        <w:rPr>
          <w:lang w:bidi="ar-SA"/>
        </w:rPr>
        <w:t xml:space="preserve"> of concessional World Bank finance</w:t>
      </w:r>
      <w:r w:rsidRPr="4717B9FC">
        <w:rPr>
          <w:lang w:bidi="ar-SA"/>
        </w:rPr>
        <w:t xml:space="preserve">. This comparatively small investment had the additional bonus of </w:t>
      </w:r>
      <w:r w:rsidR="5E8919A6" w:rsidRPr="4717B9FC">
        <w:rPr>
          <w:lang w:bidi="ar-SA"/>
        </w:rPr>
        <w:t>reinforc</w:t>
      </w:r>
      <w:r w:rsidRPr="4717B9FC">
        <w:rPr>
          <w:lang w:bidi="ar-SA"/>
        </w:rPr>
        <w:t xml:space="preserve">ing the position of Australia as a trusted </w:t>
      </w:r>
      <w:r w:rsidR="5E8919A6" w:rsidRPr="4717B9FC">
        <w:rPr>
          <w:lang w:bidi="ar-SA"/>
        </w:rPr>
        <w:t xml:space="preserve">partner to the Indonesian </w:t>
      </w:r>
      <w:r w:rsidR="001870EB">
        <w:rPr>
          <w:lang w:bidi="ar-SA"/>
        </w:rPr>
        <w:t>G</w:t>
      </w:r>
      <w:r w:rsidR="5E8919A6" w:rsidRPr="4717B9FC">
        <w:rPr>
          <w:lang w:bidi="ar-SA"/>
        </w:rPr>
        <w:t>overnment</w:t>
      </w:r>
      <w:r w:rsidR="0C987999" w:rsidRPr="4717B9FC">
        <w:rPr>
          <w:lang w:bidi="ar-SA"/>
        </w:rPr>
        <w:t xml:space="preserve">, notably the </w:t>
      </w:r>
      <w:r w:rsidR="6C87548B" w:rsidRPr="4717B9FC">
        <w:rPr>
          <w:lang w:bidi="ar-SA"/>
        </w:rPr>
        <w:t>Ministry of Health</w:t>
      </w:r>
      <w:r w:rsidRPr="4717B9FC">
        <w:rPr>
          <w:lang w:bidi="ar-SA"/>
        </w:rPr>
        <w:t>.</w:t>
      </w:r>
      <w:r w:rsidR="008C7F1C">
        <w:rPr>
          <w:lang w:bidi="ar-SA"/>
        </w:rPr>
        <w:br w:type="page"/>
      </w:r>
    </w:p>
    <w:p w14:paraId="6A36A553" w14:textId="6783961F" w:rsidR="02F4CFA3" w:rsidRPr="006B0C6C" w:rsidRDefault="02F4CFA3" w:rsidP="7388A156">
      <w:pPr>
        <w:pStyle w:val="Heading3SHS"/>
      </w:pPr>
      <w:bookmarkStart w:id="146" w:name="_Toc200617292"/>
      <w:r w:rsidRPr="006B0C6C">
        <w:t>Alternative</w:t>
      </w:r>
      <w:r w:rsidR="4CBF1ED1" w:rsidRPr="006B0C6C">
        <w:t xml:space="preserve"> mechani</w:t>
      </w:r>
      <w:r w:rsidRPr="006B0C6C">
        <w:t>s</w:t>
      </w:r>
      <w:r w:rsidR="2069ADD8" w:rsidRPr="006B0C6C">
        <w:t>ms</w:t>
      </w:r>
      <w:bookmarkEnd w:id="146"/>
    </w:p>
    <w:p w14:paraId="1EFA3140" w14:textId="6626D00C" w:rsidR="00856305" w:rsidRPr="0036713D" w:rsidRDefault="6233A27F" w:rsidP="009130F9">
      <w:pPr>
        <w:spacing w:after="0" w:line="257" w:lineRule="auto"/>
        <w:jc w:val="both"/>
        <w:rPr>
          <w:rFonts w:ascii="Calibri" w:eastAsia="Calibri" w:hAnsi="Calibri" w:cs="Calibri"/>
        </w:rPr>
      </w:pPr>
      <w:r w:rsidRPr="006B0C6C">
        <w:rPr>
          <w:rFonts w:ascii="Calibri" w:eastAsia="Calibri" w:hAnsi="Calibri" w:cs="Calibri"/>
        </w:rPr>
        <w:t xml:space="preserve">To assess </w:t>
      </w:r>
      <w:r w:rsidR="251AF4E7" w:rsidRPr="006B0C6C">
        <w:rPr>
          <w:rFonts w:ascii="Calibri" w:eastAsia="Calibri" w:hAnsi="Calibri" w:cs="Calibri"/>
        </w:rPr>
        <w:t xml:space="preserve">whether VAHSI was an appropriate mechanism, it is </w:t>
      </w:r>
      <w:r w:rsidR="2EFCB049" w:rsidRPr="006B0C6C">
        <w:rPr>
          <w:rFonts w:ascii="Calibri" w:eastAsia="Calibri" w:hAnsi="Calibri" w:cs="Calibri"/>
        </w:rPr>
        <w:t xml:space="preserve">instructive </w:t>
      </w:r>
      <w:r w:rsidR="251AF4E7" w:rsidRPr="006B0C6C">
        <w:rPr>
          <w:rFonts w:ascii="Calibri" w:eastAsia="Calibri" w:hAnsi="Calibri" w:cs="Calibri"/>
        </w:rPr>
        <w:t xml:space="preserve">to look at </w:t>
      </w:r>
      <w:r w:rsidRPr="006B0C6C">
        <w:rPr>
          <w:rFonts w:ascii="Calibri" w:eastAsia="Calibri" w:hAnsi="Calibri" w:cs="Calibri"/>
        </w:rPr>
        <w:t>alternative mechanisms</w:t>
      </w:r>
      <w:r w:rsidR="251AF4E7" w:rsidRPr="006B0C6C">
        <w:rPr>
          <w:rFonts w:ascii="Calibri" w:eastAsia="Calibri" w:hAnsi="Calibri" w:cs="Calibri"/>
        </w:rPr>
        <w:t xml:space="preserve">. </w:t>
      </w:r>
      <w:r w:rsidR="0059134F" w:rsidRPr="006B0C6C">
        <w:rPr>
          <w:rFonts w:ascii="Calibri" w:eastAsia="Calibri" w:hAnsi="Calibri" w:cs="Calibri"/>
        </w:rPr>
        <w:t>Aside from doing nothing, t</w:t>
      </w:r>
      <w:r w:rsidR="251AF4E7" w:rsidRPr="006B0C6C">
        <w:rPr>
          <w:rFonts w:ascii="Calibri" w:eastAsia="Calibri" w:hAnsi="Calibri" w:cs="Calibri"/>
        </w:rPr>
        <w:t xml:space="preserve">he most obvious alternative </w:t>
      </w:r>
      <w:r w:rsidRPr="006B0C6C">
        <w:rPr>
          <w:rFonts w:ascii="Calibri" w:eastAsia="Calibri" w:hAnsi="Calibri" w:cs="Calibri"/>
        </w:rPr>
        <w:t xml:space="preserve">mechanism </w:t>
      </w:r>
      <w:r w:rsidR="251AF4E7" w:rsidRPr="006B0C6C">
        <w:rPr>
          <w:rFonts w:ascii="Calibri" w:eastAsia="Calibri" w:hAnsi="Calibri" w:cs="Calibri"/>
        </w:rPr>
        <w:t xml:space="preserve">was COVAX, the </w:t>
      </w:r>
      <w:r w:rsidR="0059134F" w:rsidRPr="006B0C6C">
        <w:rPr>
          <w:rFonts w:ascii="Calibri" w:eastAsia="Calibri" w:hAnsi="Calibri" w:cs="Calibri"/>
        </w:rPr>
        <w:t>multilater</w:t>
      </w:r>
      <w:r w:rsidR="251AF4E7" w:rsidRPr="006B0C6C">
        <w:rPr>
          <w:rFonts w:ascii="Calibri" w:eastAsia="Calibri" w:hAnsi="Calibri" w:cs="Calibri"/>
        </w:rPr>
        <w:t xml:space="preserve">al program to supply vaccines to 150+ participant countries. Australia invested in COVAX, contributing </w:t>
      </w:r>
      <w:r w:rsidR="131F9F8C" w:rsidRPr="006B0C6C">
        <w:rPr>
          <w:rFonts w:ascii="Calibri" w:eastAsia="Calibri" w:hAnsi="Calibri" w:cs="Calibri"/>
        </w:rPr>
        <w:t>AUD</w:t>
      </w:r>
      <w:r w:rsidR="251AF4E7" w:rsidRPr="006B0C6C">
        <w:rPr>
          <w:rFonts w:ascii="Calibri" w:eastAsia="Calibri" w:hAnsi="Calibri" w:cs="Calibri"/>
        </w:rPr>
        <w:t xml:space="preserve">215m to the global pot and had a prominent role in the governance of COVAX. This is not an evaluation of COVAX, </w:t>
      </w:r>
      <w:r w:rsidR="315C5FEC" w:rsidRPr="006B0C6C">
        <w:rPr>
          <w:rFonts w:ascii="Calibri" w:eastAsia="Calibri" w:hAnsi="Calibri" w:cs="Calibri"/>
        </w:rPr>
        <w:t>but</w:t>
      </w:r>
      <w:r w:rsidR="251AF4E7" w:rsidRPr="006B0C6C">
        <w:rPr>
          <w:rFonts w:ascii="Calibri" w:eastAsia="Calibri" w:hAnsi="Calibri" w:cs="Calibri"/>
        </w:rPr>
        <w:t xml:space="preserve"> </w:t>
      </w:r>
      <w:proofErr w:type="gramStart"/>
      <w:r w:rsidR="251AF4E7" w:rsidRPr="006B0C6C">
        <w:rPr>
          <w:rFonts w:ascii="Calibri" w:eastAsia="Calibri" w:hAnsi="Calibri" w:cs="Calibri"/>
        </w:rPr>
        <w:t>during the course of</w:t>
      </w:r>
      <w:proofErr w:type="gramEnd"/>
      <w:r w:rsidR="251AF4E7" w:rsidRPr="006B0C6C">
        <w:rPr>
          <w:rFonts w:ascii="Calibri" w:eastAsia="Calibri" w:hAnsi="Calibri" w:cs="Calibri"/>
        </w:rPr>
        <w:t xml:space="preserve"> this evaluation COVAX has been reported as slow to deliver and unpredictable in both its timelines for vaccine supply and for the actual vaccine itself – not giving countries a choice. Australia stepped in to supply doses in Timor</w:t>
      </w:r>
      <w:r w:rsidR="6F95C75E" w:rsidRPr="006B0C6C">
        <w:rPr>
          <w:rFonts w:ascii="Calibri" w:eastAsia="Calibri" w:hAnsi="Calibri" w:cs="Calibri"/>
        </w:rPr>
        <w:t>-</w:t>
      </w:r>
      <w:r w:rsidR="251AF4E7" w:rsidRPr="006B0C6C">
        <w:rPr>
          <w:rFonts w:ascii="Calibri" w:eastAsia="Calibri" w:hAnsi="Calibri" w:cs="Calibri"/>
        </w:rPr>
        <w:t xml:space="preserve">Leste to fill the gap left by delay in COVAX doses arriving. COVAX also operated with a global equity model that had initial and later phase coverage targets for vulnerable people and </w:t>
      </w:r>
      <w:r w:rsidR="005B1066">
        <w:rPr>
          <w:rFonts w:ascii="Calibri" w:eastAsia="Calibri" w:hAnsi="Calibri" w:cs="Calibri"/>
        </w:rPr>
        <w:t>healthcare w</w:t>
      </w:r>
      <w:r w:rsidRPr="006B0C6C">
        <w:rPr>
          <w:rFonts w:ascii="Calibri" w:eastAsia="Calibri" w:hAnsi="Calibri" w:cs="Calibri"/>
        </w:rPr>
        <w:t>orkers</w:t>
      </w:r>
      <w:r w:rsidR="251AF4E7" w:rsidRPr="006B0C6C">
        <w:rPr>
          <w:rFonts w:ascii="Calibri" w:eastAsia="Calibri" w:hAnsi="Calibri" w:cs="Calibri"/>
        </w:rPr>
        <w:t xml:space="preserve">. This approach would not </w:t>
      </w:r>
      <w:r w:rsidRPr="006B0C6C">
        <w:rPr>
          <w:rFonts w:ascii="Calibri" w:eastAsia="Calibri" w:hAnsi="Calibri" w:cs="Calibri"/>
        </w:rPr>
        <w:t xml:space="preserve">have </w:t>
      </w:r>
      <w:r w:rsidR="251AF4E7" w:rsidRPr="006B0C6C">
        <w:rPr>
          <w:rFonts w:ascii="Calibri" w:eastAsia="Calibri" w:hAnsi="Calibri" w:cs="Calibri"/>
        </w:rPr>
        <w:t>facilitated high early coverage levels in Pacific Island countries with small populations that required a relatively small number of vaccines – something that Australia was able to supply bilaterally through VAHSI.</w:t>
      </w:r>
      <w:r w:rsidR="00954428" w:rsidRPr="006B0C6C">
        <w:rPr>
          <w:rFonts w:ascii="Calibri" w:eastAsia="Calibri" w:hAnsi="Calibri" w:cs="Calibri"/>
        </w:rPr>
        <w:t xml:space="preserve"> COVAX also struggled to deliver small batch sizes, a problem Australia did not have in supplying Pacific Island </w:t>
      </w:r>
      <w:r w:rsidR="0036713D">
        <w:rPr>
          <w:rFonts w:ascii="Calibri" w:eastAsia="Calibri" w:hAnsi="Calibri" w:cs="Calibri"/>
        </w:rPr>
        <w:t>countries</w:t>
      </w:r>
      <w:r w:rsidR="00954428" w:rsidRPr="006B0C6C">
        <w:rPr>
          <w:rFonts w:ascii="Calibri" w:eastAsia="Calibri" w:hAnsi="Calibri" w:cs="Calibri"/>
        </w:rPr>
        <w:t>.</w:t>
      </w:r>
    </w:p>
    <w:p w14:paraId="67329B76" w14:textId="59EF5355" w:rsidR="02F4CFA3" w:rsidRPr="006B0C6C" w:rsidRDefault="02F4CFA3" w:rsidP="7388A156">
      <w:pPr>
        <w:pStyle w:val="Heading3SHS"/>
      </w:pPr>
      <w:bookmarkStart w:id="147" w:name="_Toc200617293"/>
      <w:r w:rsidRPr="006B0C6C">
        <w:t>Bureaucratic inefficiencies</w:t>
      </w:r>
      <w:bookmarkEnd w:id="147"/>
    </w:p>
    <w:p w14:paraId="7063580B" w14:textId="372B20EF" w:rsidR="00FE3749" w:rsidRPr="004A2C53" w:rsidRDefault="2D557F6F" w:rsidP="00DD7007">
      <w:pPr>
        <w:spacing w:after="0" w:line="257" w:lineRule="auto"/>
        <w:jc w:val="both"/>
        <w:rPr>
          <w:rFonts w:ascii="Calibri" w:eastAsia="Calibri" w:hAnsi="Calibri" w:cs="Calibri"/>
        </w:rPr>
      </w:pPr>
      <w:r w:rsidRPr="006B0C6C">
        <w:rPr>
          <w:rFonts w:ascii="Calibri" w:eastAsia="Calibri" w:hAnsi="Calibri" w:cs="Calibri"/>
        </w:rPr>
        <w:t xml:space="preserve">With a program as </w:t>
      </w:r>
      <w:r w:rsidR="6233A27F" w:rsidRPr="006B0C6C">
        <w:rPr>
          <w:rFonts w:ascii="Calibri" w:eastAsia="Calibri" w:hAnsi="Calibri" w:cs="Calibri"/>
        </w:rPr>
        <w:t xml:space="preserve">large </w:t>
      </w:r>
      <w:r w:rsidRPr="006B0C6C">
        <w:rPr>
          <w:rFonts w:ascii="Calibri" w:eastAsia="Calibri" w:hAnsi="Calibri" w:cs="Calibri"/>
        </w:rPr>
        <w:t>as VAHSI, covering</w:t>
      </w:r>
      <w:r w:rsidR="6233A27F" w:rsidRPr="006B0C6C">
        <w:rPr>
          <w:rFonts w:ascii="Calibri" w:eastAsia="Calibri" w:hAnsi="Calibri" w:cs="Calibri"/>
        </w:rPr>
        <w:t xml:space="preserve"> </w:t>
      </w:r>
      <w:r w:rsidR="5FED231C" w:rsidRPr="006B0C6C">
        <w:rPr>
          <w:rFonts w:ascii="Calibri" w:eastAsia="Calibri" w:hAnsi="Calibri" w:cs="Calibri"/>
        </w:rPr>
        <w:t xml:space="preserve">18 </w:t>
      </w:r>
      <w:r w:rsidRPr="006B0C6C">
        <w:rPr>
          <w:rFonts w:ascii="Calibri" w:eastAsia="Calibri" w:hAnsi="Calibri" w:cs="Calibri"/>
        </w:rPr>
        <w:t xml:space="preserve">countries in </w:t>
      </w:r>
      <w:r w:rsidR="6233A27F" w:rsidRPr="006B0C6C">
        <w:rPr>
          <w:rFonts w:ascii="Calibri" w:eastAsia="Calibri" w:hAnsi="Calibri" w:cs="Calibri"/>
        </w:rPr>
        <w:t>the Indo-Pacific region</w:t>
      </w:r>
      <w:r w:rsidRPr="006B0C6C">
        <w:rPr>
          <w:rFonts w:ascii="Calibri" w:eastAsia="Calibri" w:hAnsi="Calibri" w:cs="Calibri"/>
        </w:rPr>
        <w:t xml:space="preserve">, there are inevitably going to be bureaucratic inefficiencies. There is some reporting and evidence of bureaucratic inefficiencies, even </w:t>
      </w:r>
      <w:r w:rsidR="7919BEEA" w:rsidRPr="006B0C6C">
        <w:rPr>
          <w:rFonts w:ascii="Calibri" w:eastAsia="Calibri" w:hAnsi="Calibri" w:cs="Calibri"/>
        </w:rPr>
        <w:t xml:space="preserve">some </w:t>
      </w:r>
      <w:r w:rsidRPr="006B0C6C">
        <w:rPr>
          <w:rFonts w:ascii="Calibri" w:eastAsia="Calibri" w:hAnsi="Calibri" w:cs="Calibri"/>
        </w:rPr>
        <w:t>tensions, between Post and Canberra (</w:t>
      </w:r>
      <w:r w:rsidR="055752B7" w:rsidRPr="006B0C6C">
        <w:rPr>
          <w:rFonts w:ascii="Calibri" w:eastAsia="Calibri" w:hAnsi="Calibri" w:cs="Calibri"/>
        </w:rPr>
        <w:t xml:space="preserve">e.g. a </w:t>
      </w:r>
      <w:r w:rsidRPr="006B0C6C">
        <w:rPr>
          <w:rFonts w:ascii="Calibri" w:eastAsia="Calibri" w:hAnsi="Calibri" w:cs="Calibri"/>
        </w:rPr>
        <w:t xml:space="preserve">lack of understanding of local context) but nothing to suggest anything out of the ordinary </w:t>
      </w:r>
      <w:r w:rsidR="6233A27F" w:rsidRPr="006B0C6C">
        <w:rPr>
          <w:rFonts w:ascii="Calibri" w:eastAsia="Calibri" w:hAnsi="Calibri" w:cs="Calibri"/>
        </w:rPr>
        <w:t xml:space="preserve">for </w:t>
      </w:r>
      <w:r w:rsidRPr="006B0C6C">
        <w:rPr>
          <w:rFonts w:ascii="Calibri" w:eastAsia="Calibri" w:hAnsi="Calibri" w:cs="Calibri"/>
        </w:rPr>
        <w:t>a</w:t>
      </w:r>
      <w:r w:rsidR="6233A27F" w:rsidRPr="006B0C6C">
        <w:rPr>
          <w:rFonts w:ascii="Calibri" w:eastAsia="Calibri" w:hAnsi="Calibri" w:cs="Calibri"/>
        </w:rPr>
        <w:t>n investment</w:t>
      </w:r>
      <w:r w:rsidRPr="006B0C6C">
        <w:rPr>
          <w:rFonts w:ascii="Calibri" w:eastAsia="Calibri" w:hAnsi="Calibri" w:cs="Calibri"/>
        </w:rPr>
        <w:t xml:space="preserve"> of this size</w:t>
      </w:r>
      <w:r w:rsidR="6233A27F" w:rsidRPr="006B0C6C">
        <w:rPr>
          <w:rFonts w:ascii="Calibri" w:eastAsia="Calibri" w:hAnsi="Calibri" w:cs="Calibri"/>
        </w:rPr>
        <w:t xml:space="preserve"> delivered</w:t>
      </w:r>
      <w:r w:rsidRPr="006B0C6C">
        <w:rPr>
          <w:rFonts w:ascii="Calibri" w:eastAsia="Calibri" w:hAnsi="Calibri" w:cs="Calibri"/>
        </w:rPr>
        <w:t xml:space="preserve"> in </w:t>
      </w:r>
      <w:proofErr w:type="gramStart"/>
      <w:r w:rsidRPr="006B0C6C">
        <w:rPr>
          <w:rFonts w:ascii="Calibri" w:eastAsia="Calibri" w:hAnsi="Calibri" w:cs="Calibri"/>
        </w:rPr>
        <w:t>an emergency situation</w:t>
      </w:r>
      <w:proofErr w:type="gramEnd"/>
      <w:r w:rsidRPr="006B0C6C">
        <w:rPr>
          <w:rFonts w:ascii="Calibri" w:eastAsia="Calibri" w:hAnsi="Calibri" w:cs="Calibri"/>
        </w:rPr>
        <w:t xml:space="preserve">. </w:t>
      </w:r>
      <w:r w:rsidR="6233A27F" w:rsidRPr="006B0C6C">
        <w:rPr>
          <w:rFonts w:ascii="Calibri" w:eastAsia="Calibri" w:hAnsi="Calibri" w:cs="Calibri"/>
        </w:rPr>
        <w:t xml:space="preserve">However, the evaluation identified the following </w:t>
      </w:r>
      <w:r w:rsidRPr="006B0C6C">
        <w:rPr>
          <w:rFonts w:ascii="Calibri" w:eastAsia="Calibri" w:hAnsi="Calibri" w:cs="Calibri"/>
        </w:rPr>
        <w:t>inefficiencies</w:t>
      </w:r>
      <w:r w:rsidR="6233A27F" w:rsidRPr="006B0C6C">
        <w:rPr>
          <w:rFonts w:ascii="Calibri" w:eastAsia="Calibri" w:hAnsi="Calibri" w:cs="Calibri"/>
        </w:rPr>
        <w:t>:</w:t>
      </w:r>
    </w:p>
    <w:p w14:paraId="54D3F7C3" w14:textId="77777777" w:rsidR="00133E7C" w:rsidRDefault="00133E7C" w:rsidP="00133E7C">
      <w:pPr>
        <w:spacing w:after="0" w:line="257" w:lineRule="auto"/>
        <w:jc w:val="both"/>
        <w:rPr>
          <w:rFonts w:ascii="Calibri" w:eastAsia="Calibri" w:hAnsi="Calibri" w:cs="Calibri"/>
          <w:b/>
          <w:bCs/>
          <w:u w:val="single"/>
        </w:rPr>
      </w:pPr>
    </w:p>
    <w:p w14:paraId="401C8FA3" w14:textId="450127FB" w:rsidR="00133E7C" w:rsidRPr="00133E7C" w:rsidRDefault="759394CC" w:rsidP="00133E7C">
      <w:pPr>
        <w:pStyle w:val="bullet"/>
      </w:pPr>
      <w:r w:rsidRPr="7E56B70C">
        <w:rPr>
          <w:b/>
          <w:bCs/>
          <w:u w:val="single"/>
        </w:rPr>
        <w:t xml:space="preserve">Approval process for the </w:t>
      </w:r>
      <w:r w:rsidR="7B0252E2" w:rsidRPr="7E56B70C">
        <w:rPr>
          <w:b/>
          <w:bCs/>
          <w:u w:val="single"/>
        </w:rPr>
        <w:t>d</w:t>
      </w:r>
      <w:r w:rsidRPr="7E56B70C">
        <w:rPr>
          <w:b/>
          <w:bCs/>
          <w:u w:val="single"/>
        </w:rPr>
        <w:t>eliver</w:t>
      </w:r>
      <w:r w:rsidR="4F02E206" w:rsidRPr="7E56B70C">
        <w:rPr>
          <w:b/>
          <w:bCs/>
          <w:u w:val="single"/>
        </w:rPr>
        <w:t>y</w:t>
      </w:r>
      <w:r w:rsidRPr="7E56B70C">
        <w:rPr>
          <w:b/>
          <w:bCs/>
          <w:u w:val="single"/>
        </w:rPr>
        <w:t xml:space="preserve"> </w:t>
      </w:r>
      <w:r w:rsidR="6777C788" w:rsidRPr="7E56B70C">
        <w:rPr>
          <w:b/>
          <w:bCs/>
          <w:u w:val="single"/>
        </w:rPr>
        <w:t>s</w:t>
      </w:r>
      <w:r w:rsidRPr="7E56B70C">
        <w:rPr>
          <w:b/>
          <w:bCs/>
          <w:u w:val="single"/>
        </w:rPr>
        <w:t xml:space="preserve">upport </w:t>
      </w:r>
      <w:r w:rsidR="26964F36" w:rsidRPr="7E56B70C">
        <w:rPr>
          <w:b/>
          <w:bCs/>
          <w:u w:val="single"/>
        </w:rPr>
        <w:t>p</w:t>
      </w:r>
      <w:r w:rsidRPr="7E56B70C">
        <w:rPr>
          <w:b/>
          <w:bCs/>
          <w:u w:val="single"/>
        </w:rPr>
        <w:t>rojects.</w:t>
      </w:r>
      <w:r>
        <w:t xml:space="preserve"> </w:t>
      </w:r>
      <w:r w:rsidR="71AFD89F">
        <w:t xml:space="preserve">The process for approving </w:t>
      </w:r>
      <w:r w:rsidR="0067304A">
        <w:t xml:space="preserve">  </w:t>
      </w:r>
      <w:r w:rsidR="71AFD89F">
        <w:t xml:space="preserve">support proposals was a lengthy and iterative process that involved multiple levels of decision-makers and oversight. This was </w:t>
      </w:r>
      <w:proofErr w:type="gramStart"/>
      <w:r w:rsidR="71AFD89F">
        <w:t>a positive</w:t>
      </w:r>
      <w:proofErr w:type="gramEnd"/>
      <w:r w:rsidR="77EB08FF">
        <w:t xml:space="preserve"> as it meant there was a high level of senior ownership and </w:t>
      </w:r>
      <w:proofErr w:type="gramStart"/>
      <w:r w:rsidR="77EB08FF">
        <w:t>oversight</w:t>
      </w:r>
      <w:proofErr w:type="gramEnd"/>
      <w:r w:rsidR="77EB08FF">
        <w:t xml:space="preserve"> of the proposed work, as well as accountability. In practice, in some cases, it also meant that the process for approval</w:t>
      </w:r>
      <w:r w:rsidR="61034CD2">
        <w:t xml:space="preserve"> was slower than ideal in an emergency response</w:t>
      </w:r>
      <w:r w:rsidR="77EB08FF">
        <w:t xml:space="preserve">. </w:t>
      </w:r>
      <w:r w:rsidR="3C6D74D5">
        <w:t>Later in the implementation, the approvals process was revised to ensure greater rapidity</w:t>
      </w:r>
      <w:r>
        <w:t>.</w:t>
      </w:r>
    </w:p>
    <w:p w14:paraId="4F6164CA" w14:textId="1E7D185E" w:rsidR="00607795" w:rsidRPr="00133E7C" w:rsidRDefault="46E4A133" w:rsidP="00133E7C">
      <w:pPr>
        <w:pStyle w:val="bullet"/>
      </w:pPr>
      <w:r w:rsidRPr="00133E7C">
        <w:rPr>
          <w:b/>
          <w:bCs/>
          <w:u w:val="single"/>
        </w:rPr>
        <w:t xml:space="preserve">Vaccine readiness tool. </w:t>
      </w:r>
      <w:r w:rsidR="21D16BED" w:rsidRPr="00133E7C">
        <w:t>The vaccine readiness tool</w:t>
      </w:r>
      <w:r w:rsidR="288B7941" w:rsidRPr="00133E7C">
        <w:t xml:space="preserve"> was an essential step in assessing countries’ needs and their ability to safely accept Australian vaccines.</w:t>
      </w:r>
      <w:r w:rsidR="21D16BED" w:rsidRPr="00133E7C">
        <w:t xml:space="preserve"> </w:t>
      </w:r>
      <w:r w:rsidR="3E7D6F42" w:rsidRPr="00133E7C">
        <w:t>W</w:t>
      </w:r>
      <w:r w:rsidR="43B20349" w:rsidRPr="00133E7C">
        <w:t>hile</w:t>
      </w:r>
      <w:r w:rsidR="21D16BED" w:rsidRPr="00133E7C">
        <w:t xml:space="preserve"> considered essential</w:t>
      </w:r>
      <w:r w:rsidR="6109F682" w:rsidRPr="00133E7C">
        <w:t xml:space="preserve">, </w:t>
      </w:r>
      <w:r w:rsidR="00A853E8" w:rsidRPr="00133E7C">
        <w:t xml:space="preserve">some </w:t>
      </w:r>
      <w:r w:rsidR="6109F682" w:rsidRPr="00133E7C">
        <w:t xml:space="preserve">reporting </w:t>
      </w:r>
      <w:r w:rsidR="00693126" w:rsidRPr="00133E7C">
        <w:t xml:space="preserve">in KIIs </w:t>
      </w:r>
      <w:r w:rsidR="6109F682" w:rsidRPr="00133E7C">
        <w:t>to the evaluation team suggested that it</w:t>
      </w:r>
      <w:r w:rsidR="21D16BED" w:rsidRPr="00133E7C">
        <w:t xml:space="preserve"> </w:t>
      </w:r>
      <w:r w:rsidRPr="00133E7C">
        <w:t xml:space="preserve">slowed </w:t>
      </w:r>
      <w:r w:rsidR="21D16BED" w:rsidRPr="00133E7C">
        <w:t xml:space="preserve">down the deployment of vaccines and </w:t>
      </w:r>
      <w:r w:rsidRPr="00133E7C">
        <w:t xml:space="preserve">was </w:t>
      </w:r>
      <w:r w:rsidR="7296DD0E" w:rsidRPr="00133E7C">
        <w:t xml:space="preserve">perhaps </w:t>
      </w:r>
      <w:r w:rsidR="21D16BED" w:rsidRPr="00133E7C">
        <w:t xml:space="preserve">disproportionate to the risk, albeit with the </w:t>
      </w:r>
      <w:r w:rsidR="490DABA4" w:rsidRPr="00133E7C">
        <w:t>clear and good</w:t>
      </w:r>
      <w:r w:rsidR="05EB221A" w:rsidRPr="00133E7C">
        <w:t xml:space="preserve"> </w:t>
      </w:r>
      <w:r w:rsidR="21D16BED" w:rsidRPr="00133E7C">
        <w:t xml:space="preserve">purpose of appropriate handling of Australian vaccines and </w:t>
      </w:r>
      <w:proofErr w:type="spellStart"/>
      <w:r w:rsidR="21D16BED" w:rsidRPr="00133E7C">
        <w:t>minimising</w:t>
      </w:r>
      <w:proofErr w:type="spellEnd"/>
      <w:r w:rsidR="21D16BED" w:rsidRPr="00133E7C">
        <w:t xml:space="preserve"> wastage.</w:t>
      </w:r>
    </w:p>
    <w:p w14:paraId="29F7651F" w14:textId="4B2B91C1" w:rsidR="02F4CFA3" w:rsidRPr="006B0C6C" w:rsidRDefault="02F4CFA3" w:rsidP="7388A156">
      <w:pPr>
        <w:pStyle w:val="Heading3SHS"/>
      </w:pPr>
      <w:bookmarkStart w:id="148" w:name="_Toc179742192"/>
      <w:bookmarkStart w:id="149" w:name="_Toc179742797"/>
      <w:bookmarkStart w:id="150" w:name="_Toc179743340"/>
      <w:bookmarkStart w:id="151" w:name="_Toc179746230"/>
      <w:bookmarkStart w:id="152" w:name="_Toc200617294"/>
      <w:bookmarkEnd w:id="148"/>
      <w:bookmarkEnd w:id="149"/>
      <w:bookmarkEnd w:id="150"/>
      <w:bookmarkEnd w:id="151"/>
      <w:r w:rsidRPr="006B0C6C">
        <w:t>Staffing</w:t>
      </w:r>
      <w:bookmarkEnd w:id="152"/>
    </w:p>
    <w:p w14:paraId="7A81F96B" w14:textId="424ED180" w:rsidR="00F36625" w:rsidRDefault="00607795" w:rsidP="00607795">
      <w:pPr>
        <w:spacing w:after="0" w:line="257" w:lineRule="auto"/>
        <w:jc w:val="both"/>
        <w:rPr>
          <w:rFonts w:ascii="Calibri" w:eastAsia="Calibri" w:hAnsi="Calibri" w:cs="Calibri"/>
        </w:rPr>
      </w:pPr>
      <w:r w:rsidRPr="006B0C6C">
        <w:rPr>
          <w:rFonts w:ascii="Calibri" w:eastAsia="Calibri" w:hAnsi="Calibri" w:cs="Calibri"/>
        </w:rPr>
        <w:t>DFAT Canberra</w:t>
      </w:r>
      <w:r w:rsidR="40EABE6E" w:rsidRPr="006B0C6C">
        <w:rPr>
          <w:rFonts w:ascii="Calibri" w:eastAsia="Calibri" w:hAnsi="Calibri" w:cs="Calibri"/>
        </w:rPr>
        <w:t xml:space="preserve"> </w:t>
      </w:r>
      <w:r w:rsidR="000D030B" w:rsidRPr="006B0C6C">
        <w:rPr>
          <w:rFonts w:ascii="Calibri" w:eastAsia="Calibri" w:hAnsi="Calibri" w:cs="Calibri"/>
        </w:rPr>
        <w:t xml:space="preserve">was able to </w:t>
      </w:r>
      <w:r w:rsidR="00FE3749">
        <w:rPr>
          <w:rFonts w:ascii="Calibri" w:eastAsia="Calibri" w:hAnsi="Calibri" w:cs="Calibri"/>
        </w:rPr>
        <w:t>implement</w:t>
      </w:r>
      <w:r w:rsidR="00FE3749" w:rsidRPr="006B0C6C">
        <w:rPr>
          <w:rFonts w:ascii="Calibri" w:eastAsia="Calibri" w:hAnsi="Calibri" w:cs="Calibri"/>
        </w:rPr>
        <w:t xml:space="preserve"> </w:t>
      </w:r>
      <w:r w:rsidR="000D030B" w:rsidRPr="006B0C6C">
        <w:rPr>
          <w:rFonts w:ascii="Calibri" w:eastAsia="Calibri" w:hAnsi="Calibri" w:cs="Calibri"/>
        </w:rPr>
        <w:t>VAHSI centrally</w:t>
      </w:r>
      <w:r w:rsidRPr="006B0C6C">
        <w:rPr>
          <w:rFonts w:ascii="Calibri" w:eastAsia="Calibri" w:hAnsi="Calibri" w:cs="Calibri"/>
        </w:rPr>
        <w:t xml:space="preserve"> with</w:t>
      </w:r>
      <w:r w:rsidR="0047785C" w:rsidRPr="006B0C6C">
        <w:rPr>
          <w:rFonts w:ascii="Calibri" w:eastAsia="Calibri" w:hAnsi="Calibri" w:cs="Calibri"/>
        </w:rPr>
        <w:t xml:space="preserve">out a </w:t>
      </w:r>
      <w:r w:rsidR="000D030B" w:rsidRPr="006B0C6C">
        <w:rPr>
          <w:rFonts w:ascii="Calibri" w:eastAsia="Calibri" w:hAnsi="Calibri" w:cs="Calibri"/>
        </w:rPr>
        <w:t>major</w:t>
      </w:r>
      <w:r w:rsidR="0047785C" w:rsidRPr="006B0C6C">
        <w:rPr>
          <w:rFonts w:ascii="Calibri" w:eastAsia="Calibri" w:hAnsi="Calibri" w:cs="Calibri"/>
        </w:rPr>
        <w:t xml:space="preserve"> increase in</w:t>
      </w:r>
      <w:r w:rsidR="40EABE6E" w:rsidRPr="006B0C6C">
        <w:rPr>
          <w:rFonts w:ascii="Calibri" w:eastAsia="Calibri" w:hAnsi="Calibri" w:cs="Calibri"/>
        </w:rPr>
        <w:t xml:space="preserve"> staff</w:t>
      </w:r>
      <w:r w:rsidR="000D030B" w:rsidRPr="006B0C6C">
        <w:rPr>
          <w:rFonts w:ascii="Calibri" w:eastAsia="Calibri" w:hAnsi="Calibri" w:cs="Calibri"/>
        </w:rPr>
        <w:t>ing</w:t>
      </w:r>
      <w:r w:rsidR="40EABE6E" w:rsidRPr="006B0C6C">
        <w:rPr>
          <w:rFonts w:ascii="Calibri" w:eastAsia="Calibri" w:hAnsi="Calibri" w:cs="Calibri"/>
        </w:rPr>
        <w:t xml:space="preserve">. </w:t>
      </w:r>
      <w:r w:rsidR="00C728D5" w:rsidRPr="006B0C6C">
        <w:rPr>
          <w:rFonts w:ascii="Calibri" w:eastAsia="Calibri" w:hAnsi="Calibri" w:cs="Calibri"/>
        </w:rPr>
        <w:t>In contrast</w:t>
      </w:r>
      <w:r w:rsidR="046A72A6" w:rsidRPr="006B0C6C">
        <w:rPr>
          <w:rFonts w:ascii="Calibri" w:eastAsia="Calibri" w:hAnsi="Calibri" w:cs="Calibri"/>
        </w:rPr>
        <w:t>, a</w:t>
      </w:r>
      <w:r w:rsidR="40EABE6E" w:rsidRPr="006B0C6C">
        <w:rPr>
          <w:rFonts w:ascii="Calibri" w:eastAsia="Calibri" w:hAnsi="Calibri" w:cs="Calibri"/>
        </w:rPr>
        <w:t xml:space="preserve"> </w:t>
      </w:r>
      <w:r w:rsidR="00C728D5" w:rsidRPr="006B0C6C">
        <w:rPr>
          <w:rFonts w:ascii="Calibri" w:eastAsia="Calibri" w:hAnsi="Calibri" w:cs="Calibri"/>
        </w:rPr>
        <w:t xml:space="preserve">clear </w:t>
      </w:r>
      <w:r w:rsidR="40EABE6E" w:rsidRPr="006B0C6C">
        <w:rPr>
          <w:rFonts w:ascii="Calibri" w:eastAsia="Calibri" w:hAnsi="Calibri" w:cs="Calibri"/>
        </w:rPr>
        <w:t>message from Post</w:t>
      </w:r>
      <w:r w:rsidR="4FDEDA0B" w:rsidRPr="006B0C6C">
        <w:rPr>
          <w:rFonts w:ascii="Calibri" w:eastAsia="Calibri" w:hAnsi="Calibri" w:cs="Calibri"/>
        </w:rPr>
        <w:t>s</w:t>
      </w:r>
      <w:r w:rsidR="40EABE6E" w:rsidRPr="006B0C6C">
        <w:rPr>
          <w:rFonts w:ascii="Calibri" w:eastAsia="Calibri" w:hAnsi="Calibri" w:cs="Calibri"/>
        </w:rPr>
        <w:t xml:space="preserve"> </w:t>
      </w:r>
      <w:r w:rsidR="00FE3749">
        <w:rPr>
          <w:rFonts w:ascii="Calibri" w:eastAsia="Calibri" w:hAnsi="Calibri" w:cs="Calibri"/>
        </w:rPr>
        <w:t>during</w:t>
      </w:r>
      <w:r w:rsidR="000D030B" w:rsidRPr="006B0C6C">
        <w:rPr>
          <w:rFonts w:ascii="Calibri" w:eastAsia="Calibri" w:hAnsi="Calibri" w:cs="Calibri"/>
        </w:rPr>
        <w:t xml:space="preserve"> the evaluation </w:t>
      </w:r>
      <w:r w:rsidR="40EABE6E" w:rsidRPr="006B0C6C">
        <w:rPr>
          <w:rFonts w:ascii="Calibri" w:eastAsia="Calibri" w:hAnsi="Calibri" w:cs="Calibri"/>
        </w:rPr>
        <w:t xml:space="preserve">was that they did not have enough staff and that when additional </w:t>
      </w:r>
      <w:r w:rsidR="00E95CC0" w:rsidRPr="006B0C6C">
        <w:rPr>
          <w:rFonts w:ascii="Calibri" w:eastAsia="Calibri" w:hAnsi="Calibri" w:cs="Calibri"/>
        </w:rPr>
        <w:t xml:space="preserve">DFAT </w:t>
      </w:r>
      <w:r w:rsidR="40EABE6E" w:rsidRPr="006B0C6C">
        <w:rPr>
          <w:rFonts w:ascii="Calibri" w:eastAsia="Calibri" w:hAnsi="Calibri" w:cs="Calibri"/>
        </w:rPr>
        <w:t xml:space="preserve">staff were deployed it took </w:t>
      </w:r>
      <w:r w:rsidR="00FE3749">
        <w:rPr>
          <w:rFonts w:ascii="Calibri" w:eastAsia="Calibri" w:hAnsi="Calibri" w:cs="Calibri"/>
        </w:rPr>
        <w:t>too long for</w:t>
      </w:r>
      <w:r w:rsidR="40EABE6E" w:rsidRPr="006B0C6C">
        <w:rPr>
          <w:rFonts w:ascii="Calibri" w:eastAsia="Calibri" w:hAnsi="Calibri" w:cs="Calibri"/>
        </w:rPr>
        <w:t xml:space="preserve"> them to arrive (e.g. clearance processes for deployment) and in some cases they did not have the specific skills necessary to be able to fully support the response at Post. Locally engaged staff (</w:t>
      </w:r>
      <w:r w:rsidRPr="006B0C6C">
        <w:rPr>
          <w:rFonts w:ascii="Calibri" w:eastAsia="Calibri" w:hAnsi="Calibri" w:cs="Calibri"/>
        </w:rPr>
        <w:t>LES</w:t>
      </w:r>
      <w:r w:rsidR="40EABE6E" w:rsidRPr="006B0C6C">
        <w:rPr>
          <w:rFonts w:ascii="Calibri" w:eastAsia="Calibri" w:hAnsi="Calibri" w:cs="Calibri"/>
        </w:rPr>
        <w:t xml:space="preserve">) with </w:t>
      </w:r>
      <w:r w:rsidRPr="006B0C6C">
        <w:rPr>
          <w:rFonts w:ascii="Calibri" w:eastAsia="Calibri" w:hAnsi="Calibri" w:cs="Calibri"/>
        </w:rPr>
        <w:t>knowledge</w:t>
      </w:r>
      <w:r w:rsidR="40EABE6E" w:rsidRPr="006B0C6C">
        <w:rPr>
          <w:rFonts w:ascii="Calibri" w:eastAsia="Calibri" w:hAnsi="Calibri" w:cs="Calibri"/>
        </w:rPr>
        <w:t xml:space="preserve"> of local context</w:t>
      </w:r>
      <w:r w:rsidRPr="006B0C6C">
        <w:rPr>
          <w:rFonts w:ascii="Calibri" w:eastAsia="Calibri" w:hAnsi="Calibri" w:cs="Calibri"/>
        </w:rPr>
        <w:t xml:space="preserve">, political economy and </w:t>
      </w:r>
      <w:r w:rsidR="00FE3749">
        <w:rPr>
          <w:rFonts w:ascii="Calibri" w:eastAsia="Calibri" w:hAnsi="Calibri" w:cs="Calibri"/>
        </w:rPr>
        <w:t xml:space="preserve">the </w:t>
      </w:r>
      <w:r w:rsidRPr="006B0C6C">
        <w:rPr>
          <w:rFonts w:ascii="Calibri" w:eastAsia="Calibri" w:hAnsi="Calibri" w:cs="Calibri"/>
        </w:rPr>
        <w:t>required</w:t>
      </w:r>
      <w:r w:rsidR="002D1017" w:rsidRPr="006B0C6C">
        <w:rPr>
          <w:rFonts w:ascii="Calibri" w:eastAsia="Calibri" w:hAnsi="Calibri" w:cs="Calibri"/>
        </w:rPr>
        <w:t xml:space="preserve"> </w:t>
      </w:r>
      <w:r w:rsidR="40EABE6E" w:rsidRPr="006B0C6C">
        <w:rPr>
          <w:rFonts w:ascii="Calibri" w:eastAsia="Calibri" w:hAnsi="Calibri" w:cs="Calibri"/>
        </w:rPr>
        <w:t xml:space="preserve">networks were considered of most value at Post. Not being given the discretion, and funding, to hire additional local staff </w:t>
      </w:r>
      <w:r w:rsidR="00FE3749">
        <w:rPr>
          <w:rFonts w:ascii="Calibri" w:eastAsia="Calibri" w:hAnsi="Calibri" w:cs="Calibri"/>
        </w:rPr>
        <w:t xml:space="preserve">at Post </w:t>
      </w:r>
      <w:r w:rsidR="40EABE6E" w:rsidRPr="006B0C6C">
        <w:rPr>
          <w:rFonts w:ascii="Calibri" w:eastAsia="Calibri" w:hAnsi="Calibri" w:cs="Calibri"/>
        </w:rPr>
        <w:t xml:space="preserve">was </w:t>
      </w:r>
      <w:r w:rsidR="005E49D2" w:rsidRPr="006B0C6C">
        <w:rPr>
          <w:rFonts w:ascii="Calibri" w:eastAsia="Calibri" w:hAnsi="Calibri" w:cs="Calibri"/>
        </w:rPr>
        <w:t>report</w:t>
      </w:r>
      <w:r w:rsidR="40EABE6E" w:rsidRPr="006B0C6C">
        <w:rPr>
          <w:rFonts w:ascii="Calibri" w:eastAsia="Calibri" w:hAnsi="Calibri" w:cs="Calibri"/>
        </w:rPr>
        <w:t xml:space="preserve">ed to be </w:t>
      </w:r>
      <w:r w:rsidR="00735CF0" w:rsidRPr="006B0C6C">
        <w:rPr>
          <w:rFonts w:ascii="Calibri" w:eastAsia="Calibri" w:hAnsi="Calibri" w:cs="Calibri"/>
        </w:rPr>
        <w:t>sub-optimal</w:t>
      </w:r>
      <w:r w:rsidR="40EABE6E" w:rsidRPr="006B0C6C">
        <w:rPr>
          <w:rFonts w:ascii="Calibri" w:eastAsia="Calibri" w:hAnsi="Calibri" w:cs="Calibri"/>
        </w:rPr>
        <w:t xml:space="preserve"> in the management of resources for VAHSI, and that with the ramp up in funding there should have been a commensurate ramp up in staffing</w:t>
      </w:r>
      <w:r w:rsidRPr="006B0C6C">
        <w:rPr>
          <w:rFonts w:ascii="Calibri" w:eastAsia="Calibri" w:hAnsi="Calibri" w:cs="Calibri"/>
        </w:rPr>
        <w:t xml:space="preserve"> at Posts</w:t>
      </w:r>
      <w:r w:rsidR="40EABE6E" w:rsidRPr="006B0C6C">
        <w:rPr>
          <w:rFonts w:ascii="Calibri" w:eastAsia="Calibri" w:hAnsi="Calibri" w:cs="Calibri"/>
        </w:rPr>
        <w:t>.</w:t>
      </w:r>
    </w:p>
    <w:p w14:paraId="52B91C31" w14:textId="77777777" w:rsidR="00477706" w:rsidRPr="00FE3749" w:rsidRDefault="00477706" w:rsidP="00607795">
      <w:pPr>
        <w:spacing w:after="0" w:line="257" w:lineRule="auto"/>
        <w:jc w:val="both"/>
        <w:rPr>
          <w:rFonts w:ascii="Calibri" w:eastAsia="Calibri" w:hAnsi="Calibri" w:cs="Calibri"/>
        </w:rPr>
      </w:pPr>
    </w:p>
    <w:p w14:paraId="4113CA32" w14:textId="7C7C6F36" w:rsidR="02F4CFA3" w:rsidRPr="006B0C6C" w:rsidRDefault="02F4CFA3" w:rsidP="00DD7007">
      <w:pPr>
        <w:pStyle w:val="Heading3SHS"/>
        <w:jc w:val="both"/>
      </w:pPr>
      <w:bookmarkStart w:id="153" w:name="_Toc200617295"/>
      <w:r w:rsidRPr="006B0C6C">
        <w:t>Reporting</w:t>
      </w:r>
      <w:r w:rsidR="00A0521B" w:rsidRPr="006B0C6C">
        <w:t xml:space="preserve"> inefficiencies</w:t>
      </w:r>
      <w:bookmarkEnd w:id="153"/>
    </w:p>
    <w:p w14:paraId="7DA96992" w14:textId="7ACAA573" w:rsidR="66CED825" w:rsidRPr="004A2C53" w:rsidRDefault="00D826DD" w:rsidP="00DD7007">
      <w:pPr>
        <w:spacing w:after="0" w:line="257" w:lineRule="auto"/>
        <w:jc w:val="both"/>
        <w:rPr>
          <w:rFonts w:ascii="Calibri" w:eastAsia="Calibri" w:hAnsi="Calibri" w:cs="Calibri"/>
        </w:rPr>
      </w:pPr>
      <w:r>
        <w:rPr>
          <w:rFonts w:ascii="Calibri" w:eastAsia="Calibri" w:hAnsi="Calibri" w:cs="Calibri"/>
        </w:rPr>
        <w:t>R</w:t>
      </w:r>
      <w:r w:rsidR="66CED825" w:rsidRPr="006B0C6C">
        <w:rPr>
          <w:rFonts w:ascii="Calibri" w:eastAsia="Calibri" w:hAnsi="Calibri" w:cs="Calibri"/>
        </w:rPr>
        <w:t xml:space="preserve">eporting </w:t>
      </w:r>
      <w:r>
        <w:rPr>
          <w:rFonts w:ascii="Calibri" w:eastAsia="Calibri" w:hAnsi="Calibri" w:cs="Calibri"/>
        </w:rPr>
        <w:t>was inconsistent during</w:t>
      </w:r>
      <w:r w:rsidR="00020115" w:rsidRPr="006B0C6C">
        <w:rPr>
          <w:rFonts w:ascii="Calibri" w:eastAsia="Calibri" w:hAnsi="Calibri" w:cs="Calibri"/>
        </w:rPr>
        <w:t xml:space="preserve"> the </w:t>
      </w:r>
      <w:r w:rsidR="66CED825" w:rsidRPr="006B0C6C">
        <w:rPr>
          <w:rFonts w:ascii="Calibri" w:eastAsia="Calibri" w:hAnsi="Calibri" w:cs="Calibri"/>
        </w:rPr>
        <w:t xml:space="preserve">response. Given the multitude of different </w:t>
      </w:r>
      <w:r w:rsidR="00615FF8" w:rsidRPr="006B0C6C">
        <w:rPr>
          <w:rFonts w:ascii="Calibri" w:eastAsia="Calibri" w:hAnsi="Calibri" w:cs="Calibri"/>
        </w:rPr>
        <w:t xml:space="preserve">delivery </w:t>
      </w:r>
      <w:r w:rsidR="00AB61D3">
        <w:rPr>
          <w:rFonts w:ascii="Calibri" w:eastAsia="Calibri" w:hAnsi="Calibri" w:cs="Calibri"/>
        </w:rPr>
        <w:t xml:space="preserve">support </w:t>
      </w:r>
      <w:r w:rsidR="66CED825" w:rsidRPr="006B0C6C">
        <w:rPr>
          <w:rFonts w:ascii="Calibri" w:eastAsia="Calibri" w:hAnsi="Calibri" w:cs="Calibri"/>
        </w:rPr>
        <w:t xml:space="preserve">partners across </w:t>
      </w:r>
      <w:proofErr w:type="gramStart"/>
      <w:r w:rsidR="00615FF8" w:rsidRPr="006B0C6C">
        <w:rPr>
          <w:rFonts w:ascii="Calibri" w:eastAsia="Calibri" w:hAnsi="Calibri" w:cs="Calibri"/>
        </w:rPr>
        <w:t>a large number of</w:t>
      </w:r>
      <w:proofErr w:type="gramEnd"/>
      <w:r w:rsidR="00615FF8" w:rsidRPr="006B0C6C">
        <w:rPr>
          <w:rFonts w:ascii="Calibri" w:eastAsia="Calibri" w:hAnsi="Calibri" w:cs="Calibri"/>
        </w:rPr>
        <w:t xml:space="preserve"> </w:t>
      </w:r>
      <w:r w:rsidR="66CED825" w:rsidRPr="006B0C6C">
        <w:rPr>
          <w:rFonts w:ascii="Calibri" w:eastAsia="Calibri" w:hAnsi="Calibri" w:cs="Calibri"/>
        </w:rPr>
        <w:t>countries</w:t>
      </w:r>
      <w:r w:rsidR="00615FF8" w:rsidRPr="006B0C6C">
        <w:rPr>
          <w:rFonts w:ascii="Calibri" w:eastAsia="Calibri" w:hAnsi="Calibri" w:cs="Calibri"/>
        </w:rPr>
        <w:t xml:space="preserve">, it was </w:t>
      </w:r>
      <w:r w:rsidR="00020115" w:rsidRPr="006B0C6C">
        <w:rPr>
          <w:rFonts w:ascii="Calibri" w:eastAsia="Calibri" w:hAnsi="Calibri" w:cs="Calibri"/>
        </w:rPr>
        <w:t xml:space="preserve">also </w:t>
      </w:r>
      <w:r w:rsidR="00615FF8" w:rsidRPr="006B0C6C">
        <w:rPr>
          <w:rFonts w:ascii="Calibri" w:eastAsia="Calibri" w:hAnsi="Calibri" w:cs="Calibri"/>
        </w:rPr>
        <w:t xml:space="preserve">difficult for DFAT to monitor projects and complete initiative level reporting. </w:t>
      </w:r>
      <w:r w:rsidR="66CED825" w:rsidRPr="006B0C6C">
        <w:rPr>
          <w:rFonts w:ascii="Calibri" w:eastAsia="Calibri" w:hAnsi="Calibri" w:cs="Calibri"/>
        </w:rPr>
        <w:t xml:space="preserve">In addition, </w:t>
      </w:r>
      <w:r w:rsidR="00615FF8" w:rsidRPr="006B0C6C">
        <w:rPr>
          <w:rFonts w:ascii="Calibri" w:eastAsia="Calibri" w:hAnsi="Calibri" w:cs="Calibri"/>
        </w:rPr>
        <w:t xml:space="preserve">the evaluation team found it </w:t>
      </w:r>
      <w:r w:rsidR="66CED825" w:rsidRPr="006B0C6C">
        <w:rPr>
          <w:rFonts w:ascii="Calibri" w:eastAsia="Calibri" w:hAnsi="Calibri" w:cs="Calibri"/>
        </w:rPr>
        <w:t>difficult to</w:t>
      </w:r>
      <w:r w:rsidR="00615FF8" w:rsidRPr="006B0C6C">
        <w:rPr>
          <w:rFonts w:ascii="Calibri" w:eastAsia="Calibri" w:hAnsi="Calibri" w:cs="Calibri"/>
        </w:rPr>
        <w:t xml:space="preserve"> determine in some partner reports what achievements could be attributed to VAHSI support</w:t>
      </w:r>
      <w:r w:rsidR="001978E8" w:rsidRPr="006B0C6C">
        <w:rPr>
          <w:rFonts w:ascii="Calibri" w:eastAsia="Calibri" w:hAnsi="Calibri" w:cs="Calibri"/>
        </w:rPr>
        <w:t xml:space="preserve"> (see </w:t>
      </w:r>
      <w:r w:rsidR="00FE3749">
        <w:rPr>
          <w:rFonts w:ascii="Calibri" w:eastAsia="Calibri" w:hAnsi="Calibri" w:cs="Calibri"/>
        </w:rPr>
        <w:t xml:space="preserve">section </w:t>
      </w:r>
      <w:r w:rsidR="001978E8" w:rsidRPr="006B0C6C">
        <w:rPr>
          <w:rFonts w:ascii="Calibri" w:eastAsia="Calibri" w:hAnsi="Calibri" w:cs="Calibri"/>
        </w:rPr>
        <w:t>4.2.3)</w:t>
      </w:r>
      <w:r w:rsidR="00615FF8" w:rsidRPr="006B0C6C">
        <w:rPr>
          <w:rFonts w:ascii="Calibri" w:eastAsia="Calibri" w:hAnsi="Calibri" w:cs="Calibri"/>
        </w:rPr>
        <w:t xml:space="preserve">. </w:t>
      </w:r>
      <w:r w:rsidR="66CED825" w:rsidRPr="006B0C6C">
        <w:rPr>
          <w:rFonts w:ascii="Calibri" w:eastAsia="Calibri" w:hAnsi="Calibri" w:cs="Calibri"/>
        </w:rPr>
        <w:t xml:space="preserve">A streamlined, less complex system </w:t>
      </w:r>
      <w:r w:rsidR="00615FF8" w:rsidRPr="006B0C6C">
        <w:rPr>
          <w:rFonts w:ascii="Calibri" w:eastAsia="Calibri" w:hAnsi="Calibri" w:cs="Calibri"/>
        </w:rPr>
        <w:t xml:space="preserve">that continues to meet DFAT reporting and accountability requirements </w:t>
      </w:r>
      <w:r w:rsidR="66CED825" w:rsidRPr="006B0C6C">
        <w:rPr>
          <w:rFonts w:ascii="Calibri" w:eastAsia="Calibri" w:hAnsi="Calibri" w:cs="Calibri"/>
        </w:rPr>
        <w:t>should be considered for future response</w:t>
      </w:r>
      <w:r w:rsidR="005B37FC" w:rsidRPr="006B0C6C">
        <w:rPr>
          <w:rFonts w:ascii="Calibri" w:eastAsia="Calibri" w:hAnsi="Calibri" w:cs="Calibri"/>
        </w:rPr>
        <w:t xml:space="preserve"> (</w:t>
      </w:r>
      <w:r w:rsidR="00FE3749">
        <w:rPr>
          <w:rFonts w:ascii="Calibri" w:eastAsia="Calibri" w:hAnsi="Calibri" w:cs="Calibri"/>
        </w:rPr>
        <w:t>see</w:t>
      </w:r>
      <w:r w:rsidR="009B646A" w:rsidRPr="006B0C6C">
        <w:rPr>
          <w:rFonts w:ascii="Calibri" w:eastAsia="Calibri" w:hAnsi="Calibri" w:cs="Calibri"/>
        </w:rPr>
        <w:t xml:space="preserve"> Section 4</w:t>
      </w:r>
      <w:r w:rsidR="001D3D3A">
        <w:rPr>
          <w:rFonts w:ascii="Calibri" w:eastAsia="Calibri" w:hAnsi="Calibri" w:cs="Calibri"/>
        </w:rPr>
        <w:t>.4</w:t>
      </w:r>
      <w:r w:rsidR="009B646A" w:rsidRPr="006B0C6C">
        <w:rPr>
          <w:rFonts w:ascii="Calibri" w:eastAsia="Calibri" w:hAnsi="Calibri" w:cs="Calibri"/>
        </w:rPr>
        <w:t xml:space="preserve"> </w:t>
      </w:r>
      <w:r w:rsidR="00162216">
        <w:rPr>
          <w:rFonts w:ascii="Calibri" w:eastAsia="Calibri" w:hAnsi="Calibri" w:cs="Calibri"/>
        </w:rPr>
        <w:t>R</w:t>
      </w:r>
      <w:r w:rsidR="009B646A" w:rsidRPr="006B0C6C">
        <w:rPr>
          <w:rFonts w:ascii="Calibri" w:eastAsia="Calibri" w:hAnsi="Calibri" w:cs="Calibri"/>
        </w:rPr>
        <w:t>ecommendations)</w:t>
      </w:r>
      <w:r w:rsidR="00615FF8" w:rsidRPr="006B0C6C">
        <w:rPr>
          <w:rFonts w:ascii="Calibri" w:eastAsia="Calibri" w:hAnsi="Calibri" w:cs="Calibri"/>
        </w:rPr>
        <w:t xml:space="preserve">. </w:t>
      </w:r>
      <w:r w:rsidR="66CED825" w:rsidRPr="006B0C6C">
        <w:rPr>
          <w:rFonts w:ascii="Calibri" w:eastAsia="Calibri" w:hAnsi="Calibri" w:cs="Calibri"/>
          <w:szCs w:val="22"/>
        </w:rPr>
        <w:t xml:space="preserve"> </w:t>
      </w:r>
    </w:p>
    <w:p w14:paraId="0A00608D" w14:textId="77777777" w:rsidR="004A2C53" w:rsidRDefault="004A2C53" w:rsidP="00DD7007">
      <w:pPr>
        <w:spacing w:after="0" w:line="257" w:lineRule="auto"/>
        <w:jc w:val="both"/>
        <w:rPr>
          <w:rFonts w:ascii="Calibri" w:eastAsia="Calibri" w:hAnsi="Calibri" w:cs="Calibri"/>
        </w:rPr>
      </w:pPr>
    </w:p>
    <w:p w14:paraId="5EBE90BE" w14:textId="28F55290" w:rsidR="0087365F" w:rsidRPr="004A2C53" w:rsidRDefault="00FE3749" w:rsidP="00DD7007">
      <w:pPr>
        <w:spacing w:after="0" w:line="257" w:lineRule="auto"/>
        <w:jc w:val="both"/>
        <w:rPr>
          <w:rFonts w:ascii="Calibri" w:eastAsia="Calibri" w:hAnsi="Calibri" w:cs="Calibri"/>
        </w:rPr>
      </w:pPr>
      <w:r>
        <w:rPr>
          <w:rFonts w:ascii="Calibri" w:eastAsia="Calibri" w:hAnsi="Calibri" w:cs="Calibri"/>
        </w:rPr>
        <w:t>The PAF did not include e</w:t>
      </w:r>
      <w:r w:rsidR="008A7A85" w:rsidRPr="006B0C6C">
        <w:rPr>
          <w:rFonts w:ascii="Calibri" w:eastAsia="Calibri" w:hAnsi="Calibri" w:cs="Calibri"/>
        </w:rPr>
        <w:t xml:space="preserve">fficiency </w:t>
      </w:r>
      <w:r>
        <w:rPr>
          <w:rFonts w:ascii="Calibri" w:eastAsia="Calibri" w:hAnsi="Calibri" w:cs="Calibri"/>
        </w:rPr>
        <w:t>indicators which means</w:t>
      </w:r>
      <w:r w:rsidR="66CED825" w:rsidRPr="006B0C6C">
        <w:rPr>
          <w:rFonts w:ascii="Calibri" w:eastAsia="Calibri" w:hAnsi="Calibri" w:cs="Calibri"/>
        </w:rPr>
        <w:t xml:space="preserve"> reporting specific </w:t>
      </w:r>
      <w:r w:rsidR="00746FCD" w:rsidRPr="006B0C6C">
        <w:rPr>
          <w:rFonts w:ascii="Calibri" w:eastAsia="Calibri" w:hAnsi="Calibri" w:cs="Calibri"/>
        </w:rPr>
        <w:t>to efficiency</w:t>
      </w:r>
      <w:r w:rsidR="66CED825" w:rsidRPr="006B0C6C">
        <w:rPr>
          <w:rFonts w:ascii="Calibri" w:eastAsia="Calibri" w:hAnsi="Calibri" w:cs="Calibri"/>
        </w:rPr>
        <w:t xml:space="preserve"> </w:t>
      </w:r>
      <w:r w:rsidR="008D7F03" w:rsidRPr="006B0C6C">
        <w:rPr>
          <w:rFonts w:ascii="Calibri" w:eastAsia="Calibri" w:hAnsi="Calibri" w:cs="Calibri"/>
        </w:rPr>
        <w:t xml:space="preserve">was </w:t>
      </w:r>
      <w:r>
        <w:rPr>
          <w:rFonts w:ascii="Calibri" w:eastAsia="Calibri" w:hAnsi="Calibri" w:cs="Calibri"/>
        </w:rPr>
        <w:t>only</w:t>
      </w:r>
      <w:r w:rsidRPr="006B0C6C">
        <w:rPr>
          <w:rFonts w:ascii="Calibri" w:eastAsia="Calibri" w:hAnsi="Calibri" w:cs="Calibri"/>
        </w:rPr>
        <w:t xml:space="preserve"> </w:t>
      </w:r>
      <w:r w:rsidR="008D7F03" w:rsidRPr="006B0C6C">
        <w:rPr>
          <w:rFonts w:ascii="Calibri" w:eastAsia="Calibri" w:hAnsi="Calibri" w:cs="Calibri"/>
        </w:rPr>
        <w:t xml:space="preserve">available </w:t>
      </w:r>
      <w:r>
        <w:rPr>
          <w:rFonts w:ascii="Calibri" w:eastAsia="Calibri" w:hAnsi="Calibri" w:cs="Calibri"/>
        </w:rPr>
        <w:t>through</w:t>
      </w:r>
      <w:r w:rsidR="008D7F03" w:rsidRPr="006B0C6C">
        <w:rPr>
          <w:rFonts w:ascii="Calibri" w:eastAsia="Calibri" w:hAnsi="Calibri" w:cs="Calibri"/>
        </w:rPr>
        <w:t xml:space="preserve"> </w:t>
      </w:r>
      <w:r w:rsidR="00DF6E49">
        <w:rPr>
          <w:rFonts w:ascii="Calibri" w:eastAsia="Calibri" w:hAnsi="Calibri" w:cs="Calibri"/>
        </w:rPr>
        <w:t xml:space="preserve">annual investment </w:t>
      </w:r>
      <w:r w:rsidR="004A2C53">
        <w:rPr>
          <w:rFonts w:ascii="Calibri" w:eastAsia="Calibri" w:hAnsi="Calibri" w:cs="Calibri"/>
        </w:rPr>
        <w:t xml:space="preserve">monitoring </w:t>
      </w:r>
      <w:r w:rsidR="00DF6E49">
        <w:rPr>
          <w:rFonts w:ascii="Calibri" w:eastAsia="Calibri" w:hAnsi="Calibri" w:cs="Calibri"/>
        </w:rPr>
        <w:t>reporting</w:t>
      </w:r>
      <w:r w:rsidR="008D7F03" w:rsidRPr="006B0C6C">
        <w:rPr>
          <w:rFonts w:ascii="Calibri" w:eastAsia="Calibri" w:hAnsi="Calibri" w:cs="Calibri"/>
        </w:rPr>
        <w:t xml:space="preserve"> </w:t>
      </w:r>
      <w:r w:rsidR="009C0A09" w:rsidRPr="006B0C6C">
        <w:rPr>
          <w:rFonts w:ascii="Calibri" w:eastAsia="Calibri" w:hAnsi="Calibri" w:cs="Calibri"/>
        </w:rPr>
        <w:t xml:space="preserve">and </w:t>
      </w:r>
      <w:r>
        <w:rPr>
          <w:rFonts w:ascii="Calibri" w:eastAsia="Calibri" w:hAnsi="Calibri" w:cs="Calibri"/>
        </w:rPr>
        <w:t xml:space="preserve">delivery </w:t>
      </w:r>
      <w:r w:rsidR="00AB61D3">
        <w:rPr>
          <w:rFonts w:ascii="Calibri" w:eastAsia="Calibri" w:hAnsi="Calibri" w:cs="Calibri"/>
        </w:rPr>
        <w:t xml:space="preserve">support </w:t>
      </w:r>
      <w:r w:rsidR="009C0A09" w:rsidRPr="006B0C6C">
        <w:rPr>
          <w:rFonts w:ascii="Calibri" w:eastAsia="Calibri" w:hAnsi="Calibri" w:cs="Calibri"/>
        </w:rPr>
        <w:t>partner reporting</w:t>
      </w:r>
      <w:r w:rsidR="66CED825" w:rsidRPr="006B0C6C">
        <w:rPr>
          <w:rFonts w:ascii="Calibri" w:eastAsia="Calibri" w:hAnsi="Calibri" w:cs="Calibri"/>
        </w:rPr>
        <w:t xml:space="preserve">. </w:t>
      </w:r>
    </w:p>
    <w:p w14:paraId="60A3294D" w14:textId="4CBE1739" w:rsidR="005B69F5" w:rsidRPr="004A2C53" w:rsidRDefault="00B463F0" w:rsidP="004A2C53">
      <w:pPr>
        <w:pStyle w:val="Heading2SHS"/>
        <w:ind w:left="142"/>
        <w:rPr>
          <w:rFonts w:ascii="Calibri" w:eastAsia="Calibri" w:hAnsi="Calibri" w:cs="Calibri"/>
        </w:rPr>
      </w:pPr>
      <w:bookmarkStart w:id="154" w:name="_Toc200617296"/>
      <w:r w:rsidRPr="004A2C53">
        <w:rPr>
          <w:rFonts w:ascii="Calibri" w:eastAsia="Calibri" w:hAnsi="Calibri" w:cs="Calibri"/>
        </w:rPr>
        <w:t>Key</w:t>
      </w:r>
      <w:r w:rsidR="13910B7D" w:rsidRPr="004A2C53">
        <w:rPr>
          <w:rFonts w:ascii="Calibri" w:eastAsia="Calibri" w:hAnsi="Calibri" w:cs="Calibri"/>
        </w:rPr>
        <w:t xml:space="preserve"> </w:t>
      </w:r>
      <w:r w:rsidRPr="004A2C53">
        <w:rPr>
          <w:rFonts w:ascii="Calibri" w:eastAsia="Calibri" w:hAnsi="Calibri" w:cs="Calibri"/>
        </w:rPr>
        <w:t>l</w:t>
      </w:r>
      <w:r w:rsidR="00A72EE6" w:rsidRPr="004A2C53">
        <w:rPr>
          <w:rFonts w:ascii="Calibri" w:eastAsia="Calibri" w:hAnsi="Calibri" w:cs="Calibri"/>
        </w:rPr>
        <w:t xml:space="preserve">essons </w:t>
      </w:r>
      <w:r w:rsidR="00FE3749" w:rsidRPr="004A2C53">
        <w:rPr>
          <w:rFonts w:ascii="Calibri" w:eastAsia="Calibri" w:hAnsi="Calibri" w:cs="Calibri"/>
        </w:rPr>
        <w:t>learned</w:t>
      </w:r>
      <w:bookmarkStart w:id="155" w:name="_Hlk178897413"/>
      <w:bookmarkEnd w:id="154"/>
    </w:p>
    <w:bookmarkEnd w:id="155"/>
    <w:p w14:paraId="1B43EA68" w14:textId="15094D9B" w:rsidR="00B30A8A" w:rsidRPr="006B0C6C" w:rsidRDefault="00B30A8A" w:rsidP="00B30A8A">
      <w:pPr>
        <w:spacing w:after="160" w:line="257" w:lineRule="auto"/>
        <w:jc w:val="both"/>
        <w:rPr>
          <w:rFonts w:ascii="Calibri" w:eastAsia="Calibri" w:hAnsi="Calibri" w:cs="Calibri"/>
        </w:rPr>
      </w:pPr>
      <w:r w:rsidRPr="006B0C6C">
        <w:rPr>
          <w:rFonts w:ascii="Calibri" w:eastAsia="Calibri" w:hAnsi="Calibri" w:cs="Calibri"/>
        </w:rPr>
        <w:t xml:space="preserve">DFAT officers, delivery </w:t>
      </w:r>
      <w:r w:rsidR="00AB61D3">
        <w:rPr>
          <w:rFonts w:ascii="Calibri" w:eastAsia="Calibri" w:hAnsi="Calibri" w:cs="Calibri"/>
        </w:rPr>
        <w:t xml:space="preserve">support </w:t>
      </w:r>
      <w:r w:rsidR="00FE3749">
        <w:rPr>
          <w:rFonts w:ascii="Calibri" w:eastAsia="Calibri" w:hAnsi="Calibri" w:cs="Calibri"/>
        </w:rPr>
        <w:t xml:space="preserve">partners, </w:t>
      </w:r>
      <w:r w:rsidRPr="006B0C6C">
        <w:rPr>
          <w:rFonts w:ascii="Calibri" w:eastAsia="Calibri" w:hAnsi="Calibri" w:cs="Calibri"/>
        </w:rPr>
        <w:t xml:space="preserve">technical </w:t>
      </w:r>
      <w:r w:rsidR="00FE3749">
        <w:rPr>
          <w:rFonts w:ascii="Calibri" w:eastAsia="Calibri" w:hAnsi="Calibri" w:cs="Calibri"/>
        </w:rPr>
        <w:t>advisors</w:t>
      </w:r>
      <w:r w:rsidRPr="006B0C6C">
        <w:rPr>
          <w:rFonts w:ascii="Calibri" w:eastAsia="Calibri" w:hAnsi="Calibri" w:cs="Calibri"/>
        </w:rPr>
        <w:t xml:space="preserve"> and </w:t>
      </w:r>
      <w:r w:rsidR="006874E4">
        <w:rPr>
          <w:rFonts w:ascii="Calibri" w:eastAsia="Calibri" w:hAnsi="Calibri" w:cs="Calibri"/>
        </w:rPr>
        <w:t>M</w:t>
      </w:r>
      <w:r w:rsidRPr="006B0C6C">
        <w:rPr>
          <w:rFonts w:ascii="Calibri" w:eastAsia="Calibri" w:hAnsi="Calibri" w:cs="Calibri"/>
        </w:rPr>
        <w:t xml:space="preserve">inistries of </w:t>
      </w:r>
      <w:r w:rsidR="006874E4">
        <w:rPr>
          <w:rFonts w:ascii="Calibri" w:eastAsia="Calibri" w:hAnsi="Calibri" w:cs="Calibri"/>
        </w:rPr>
        <w:t>H</w:t>
      </w:r>
      <w:r w:rsidRPr="006B0C6C">
        <w:rPr>
          <w:rFonts w:ascii="Calibri" w:eastAsia="Calibri" w:hAnsi="Calibri" w:cs="Calibri"/>
        </w:rPr>
        <w:t xml:space="preserve">ealth reported </w:t>
      </w:r>
      <w:r w:rsidR="00B463F0">
        <w:rPr>
          <w:rFonts w:ascii="Calibri" w:eastAsia="Calibri" w:hAnsi="Calibri" w:cs="Calibri"/>
        </w:rPr>
        <w:t xml:space="preserve">the following </w:t>
      </w:r>
      <w:r w:rsidRPr="006B0C6C">
        <w:rPr>
          <w:rFonts w:ascii="Calibri" w:eastAsia="Calibri" w:hAnsi="Calibri" w:cs="Calibri"/>
        </w:rPr>
        <w:t xml:space="preserve">key lessons </w:t>
      </w:r>
      <w:r w:rsidR="00423ABF" w:rsidRPr="006B0C6C">
        <w:rPr>
          <w:rFonts w:ascii="Calibri" w:eastAsia="Calibri" w:hAnsi="Calibri" w:cs="Calibri"/>
        </w:rPr>
        <w:t>relevant to efficiency</w:t>
      </w:r>
      <w:r w:rsidRPr="006B0C6C">
        <w:rPr>
          <w:rFonts w:ascii="Calibri" w:eastAsia="Calibri" w:hAnsi="Calibri" w:cs="Calibri"/>
        </w:rPr>
        <w:t>:</w:t>
      </w:r>
    </w:p>
    <w:p w14:paraId="5FDF20B8" w14:textId="5D38D33D" w:rsidR="00BD45C6" w:rsidRPr="00B463F0" w:rsidRDefault="00BD45C6" w:rsidP="00133E7C">
      <w:pPr>
        <w:pStyle w:val="bullet"/>
      </w:pPr>
      <w:r w:rsidRPr="00B463F0">
        <w:t>T</w:t>
      </w:r>
      <w:r w:rsidR="00F07534" w:rsidRPr="00B463F0">
        <w:t>he importance of</w:t>
      </w:r>
      <w:r w:rsidR="00BF4FCE" w:rsidRPr="00B463F0">
        <w:t xml:space="preserve"> </w:t>
      </w:r>
      <w:r w:rsidR="00B463F0">
        <w:t>leveraging</w:t>
      </w:r>
      <w:r w:rsidR="00B463F0" w:rsidRPr="00B463F0">
        <w:t xml:space="preserve"> </w:t>
      </w:r>
      <w:r w:rsidR="00F07534" w:rsidRPr="00B463F0">
        <w:t>existing partnerships</w:t>
      </w:r>
      <w:r w:rsidRPr="00B463F0">
        <w:t xml:space="preserve"> to enable rapid and efficient response</w:t>
      </w:r>
      <w:r w:rsidR="00F07534" w:rsidRPr="00B463F0">
        <w:t>.</w:t>
      </w:r>
      <w:r w:rsidR="00102F15" w:rsidRPr="00B463F0">
        <w:t xml:space="preserve"> </w:t>
      </w:r>
    </w:p>
    <w:p w14:paraId="21D29505" w14:textId="2EB2EA25" w:rsidR="00BF4FCE" w:rsidRPr="006B0C6C" w:rsidRDefault="00BA4E1C" w:rsidP="00133E7C">
      <w:pPr>
        <w:pStyle w:val="bullet"/>
      </w:pPr>
      <w:r w:rsidRPr="006B0C6C">
        <w:t xml:space="preserve">The importance of </w:t>
      </w:r>
      <w:r w:rsidR="00B463F0">
        <w:t xml:space="preserve">investment </w:t>
      </w:r>
      <w:r w:rsidR="00102F15" w:rsidRPr="006B0C6C">
        <w:t>in bilateral health relationships in partner countries</w:t>
      </w:r>
      <w:r w:rsidR="00912A60" w:rsidRPr="006B0C6C">
        <w:t xml:space="preserve"> to</w:t>
      </w:r>
      <w:r w:rsidR="00102F15" w:rsidRPr="006B0C6C">
        <w:t xml:space="preserve"> </w:t>
      </w:r>
      <w:r w:rsidR="00BD45C6" w:rsidRPr="006B0C6C">
        <w:t xml:space="preserve">enable rapid </w:t>
      </w:r>
      <w:r w:rsidR="00912A60" w:rsidRPr="006B0C6C">
        <w:t xml:space="preserve">scale-up of </w:t>
      </w:r>
      <w:r w:rsidR="00BD45C6" w:rsidRPr="006B0C6C">
        <w:t>support</w:t>
      </w:r>
      <w:r w:rsidR="00102F15" w:rsidRPr="006B0C6C">
        <w:t>.</w:t>
      </w:r>
    </w:p>
    <w:p w14:paraId="0298B670" w14:textId="0A4BA6FE" w:rsidR="00DA6FAD" w:rsidRPr="00B463F0" w:rsidRDefault="007F109C" w:rsidP="00133E7C">
      <w:pPr>
        <w:pStyle w:val="bullet"/>
      </w:pPr>
      <w:r>
        <w:rPr>
          <w:lang w:val="en-AU"/>
        </w:rPr>
        <w:t>Specific</w:t>
      </w:r>
      <w:r w:rsidR="00BF4FCE" w:rsidRPr="006B0C6C">
        <w:rPr>
          <w:lang w:val="en-AU"/>
        </w:rPr>
        <w:t xml:space="preserve"> </w:t>
      </w:r>
      <w:r w:rsidR="00B463F0">
        <w:rPr>
          <w:lang w:val="en-AU"/>
        </w:rPr>
        <w:t xml:space="preserve">efficiency </w:t>
      </w:r>
      <w:r w:rsidR="00BF4FCE" w:rsidRPr="006B0C6C">
        <w:rPr>
          <w:lang w:val="en-AU"/>
        </w:rPr>
        <w:t>reporting</w:t>
      </w:r>
      <w:r w:rsidR="00250470" w:rsidRPr="006B0C6C">
        <w:rPr>
          <w:lang w:val="en-AU"/>
        </w:rPr>
        <w:t xml:space="preserve"> </w:t>
      </w:r>
      <w:r>
        <w:rPr>
          <w:lang w:val="en-AU"/>
        </w:rPr>
        <w:t xml:space="preserve">and </w:t>
      </w:r>
      <w:r w:rsidR="00B463F0">
        <w:rPr>
          <w:lang w:val="en-AU"/>
        </w:rPr>
        <w:t xml:space="preserve">indicators </w:t>
      </w:r>
      <w:r>
        <w:rPr>
          <w:lang w:val="en-AU"/>
        </w:rPr>
        <w:t>are</w:t>
      </w:r>
      <w:r w:rsidR="00250470" w:rsidRPr="006B0C6C">
        <w:rPr>
          <w:lang w:val="en-AU"/>
        </w:rPr>
        <w:t xml:space="preserve"> required to enable </w:t>
      </w:r>
      <w:r w:rsidR="00FD4C9F">
        <w:rPr>
          <w:lang w:val="en-AU"/>
        </w:rPr>
        <w:t>evaluation</w:t>
      </w:r>
      <w:r w:rsidR="00250470" w:rsidRPr="006B0C6C">
        <w:rPr>
          <w:lang w:val="en-AU"/>
        </w:rPr>
        <w:t xml:space="preserve"> of </w:t>
      </w:r>
      <w:r w:rsidR="00FD4C9F">
        <w:rPr>
          <w:lang w:val="en-AU"/>
        </w:rPr>
        <w:t xml:space="preserve">program </w:t>
      </w:r>
      <w:r w:rsidR="00250470" w:rsidRPr="006B0C6C">
        <w:rPr>
          <w:lang w:val="en-AU"/>
        </w:rPr>
        <w:t>efficiency.</w:t>
      </w:r>
    </w:p>
    <w:p w14:paraId="73B59527" w14:textId="3F6FB83D" w:rsidR="00350B88" w:rsidRPr="004A2C53" w:rsidRDefault="00350B88" w:rsidP="004A2C53">
      <w:pPr>
        <w:pStyle w:val="Heading2SHS"/>
        <w:ind w:left="142"/>
        <w:rPr>
          <w:rFonts w:ascii="Calibri" w:eastAsia="Calibri" w:hAnsi="Calibri" w:cs="Calibri"/>
        </w:rPr>
      </w:pPr>
      <w:bookmarkStart w:id="156" w:name="_Toc200617297"/>
      <w:r w:rsidRPr="004A2C53">
        <w:rPr>
          <w:rFonts w:ascii="Calibri" w:eastAsia="Calibri" w:hAnsi="Calibri" w:cs="Calibri"/>
        </w:rPr>
        <w:t>Recommendations</w:t>
      </w:r>
      <w:bookmarkEnd w:id="156"/>
    </w:p>
    <w:p w14:paraId="7965EB57" w14:textId="378B47E2" w:rsidR="000A793C" w:rsidRDefault="00774CED" w:rsidP="00C30814">
      <w:pPr>
        <w:pStyle w:val="ListParagraph"/>
        <w:numPr>
          <w:ilvl w:val="0"/>
          <w:numId w:val="21"/>
        </w:numPr>
        <w:spacing w:line="257" w:lineRule="auto"/>
      </w:pPr>
      <w:r>
        <w:t>I</w:t>
      </w:r>
      <w:r w:rsidR="00643528">
        <w:t xml:space="preserve">f not already in place, or under development, DFAT should consider </w:t>
      </w:r>
      <w:r w:rsidR="00952C0B">
        <w:t>establishi</w:t>
      </w:r>
      <w:r w:rsidR="005A1555">
        <w:t>ng</w:t>
      </w:r>
      <w:r w:rsidR="00643528">
        <w:t xml:space="preserve"> an emergency </w:t>
      </w:r>
      <w:r w:rsidR="00347033">
        <w:t>staffing</w:t>
      </w:r>
      <w:r w:rsidR="00643528">
        <w:t xml:space="preserve"> plan </w:t>
      </w:r>
      <w:r w:rsidR="71891934">
        <w:t>to be able to respond quickly to sta</w:t>
      </w:r>
      <w:r w:rsidR="7B619A9A">
        <w:t xml:space="preserve">ffing needs in a </w:t>
      </w:r>
      <w:r w:rsidR="00643528">
        <w:t>regional health emergency</w:t>
      </w:r>
      <w:r w:rsidR="47F1892D">
        <w:t xml:space="preserve"> response.</w:t>
      </w:r>
    </w:p>
    <w:p w14:paraId="1E4009C3" w14:textId="28975B4A" w:rsidR="0074057D" w:rsidRPr="006B0C6C" w:rsidRDefault="007842FA" w:rsidP="006B0C6C">
      <w:pPr>
        <w:pStyle w:val="Heading1SHS"/>
        <w:rPr>
          <w:rFonts w:eastAsia="Calibri"/>
        </w:rPr>
      </w:pPr>
      <w:bookmarkStart w:id="157" w:name="_Toc200617298"/>
      <w:r w:rsidRPr="006B0C6C">
        <w:rPr>
          <w:rFonts w:eastAsia="Calibri"/>
        </w:rPr>
        <w:t xml:space="preserve">EQ4 - </w:t>
      </w:r>
      <w:r w:rsidR="6F6BBCCE" w:rsidRPr="006B0C6C">
        <w:rPr>
          <w:rFonts w:eastAsia="Calibri"/>
        </w:rPr>
        <w:t>Gender, Disability and Social Inclusion</w:t>
      </w:r>
      <w:bookmarkEnd w:id="157"/>
      <w:r w:rsidR="6F6BBCCE" w:rsidRPr="006B0C6C">
        <w:rPr>
          <w:rFonts w:eastAsia="Calibri"/>
        </w:rPr>
        <w:t xml:space="preserve"> </w:t>
      </w:r>
    </w:p>
    <w:p w14:paraId="53CEF6A6" w14:textId="77777777" w:rsidR="0097028F" w:rsidRDefault="43616E45" w:rsidP="00141C1B">
      <w:pPr>
        <w:spacing w:after="160" w:line="257" w:lineRule="auto"/>
        <w:jc w:val="both"/>
        <w:rPr>
          <w:rFonts w:ascii="Calibri" w:eastAsia="Calibri" w:hAnsi="Calibri" w:cs="Calibri"/>
        </w:rPr>
      </w:pPr>
      <w:r w:rsidRPr="006B0C6C">
        <w:rPr>
          <w:rFonts w:ascii="Calibri" w:eastAsia="Calibri" w:hAnsi="Calibri" w:cs="Calibri"/>
        </w:rPr>
        <w:t xml:space="preserve">This </w:t>
      </w:r>
      <w:r w:rsidR="00141C1B" w:rsidRPr="006B0C6C">
        <w:rPr>
          <w:rFonts w:ascii="Calibri" w:eastAsia="Calibri" w:hAnsi="Calibri" w:cs="Calibri"/>
        </w:rPr>
        <w:t>section</w:t>
      </w:r>
      <w:r w:rsidRPr="006B0C6C">
        <w:rPr>
          <w:rFonts w:ascii="Calibri" w:eastAsia="Calibri" w:hAnsi="Calibri" w:cs="Calibri"/>
        </w:rPr>
        <w:t xml:space="preserve"> provides the </w:t>
      </w:r>
      <w:r w:rsidR="00141C1B" w:rsidRPr="006B0C6C">
        <w:rPr>
          <w:rFonts w:ascii="Calibri" w:eastAsia="Calibri" w:hAnsi="Calibri" w:cs="Calibri"/>
        </w:rPr>
        <w:t>findings from</w:t>
      </w:r>
      <w:r w:rsidRPr="006B0C6C">
        <w:rPr>
          <w:rFonts w:ascii="Calibri" w:eastAsia="Calibri" w:hAnsi="Calibri" w:cs="Calibri"/>
        </w:rPr>
        <w:t xml:space="preserve"> </w:t>
      </w:r>
    </w:p>
    <w:p w14:paraId="4B59F6B3" w14:textId="1F81DB83" w:rsidR="00564D4C" w:rsidRPr="006B0C6C" w:rsidRDefault="43616E45" w:rsidP="00141C1B">
      <w:pPr>
        <w:spacing w:after="160" w:line="257" w:lineRule="auto"/>
        <w:jc w:val="both"/>
        <w:rPr>
          <w:rFonts w:ascii="Calibri" w:eastAsia="Calibri" w:hAnsi="Calibri" w:cs="Calibri"/>
        </w:rPr>
      </w:pPr>
      <w:r w:rsidRPr="006B0C6C">
        <w:rPr>
          <w:rFonts w:ascii="Calibri" w:eastAsia="Calibri" w:hAnsi="Calibri" w:cs="Calibri"/>
        </w:rPr>
        <w:t xml:space="preserve">the evaluation of the </w:t>
      </w:r>
      <w:r w:rsidR="49FF817D" w:rsidRPr="006B0C6C">
        <w:rPr>
          <w:rFonts w:ascii="Calibri" w:eastAsia="Calibri" w:hAnsi="Calibri" w:cs="Calibri"/>
        </w:rPr>
        <w:t>fourth</w:t>
      </w:r>
      <w:r w:rsidRPr="006B0C6C">
        <w:rPr>
          <w:rFonts w:ascii="Calibri" w:eastAsia="Calibri" w:hAnsi="Calibri" w:cs="Calibri"/>
        </w:rPr>
        <w:t xml:space="preserve"> Evaluation Question (EQ</w:t>
      </w:r>
      <w:r w:rsidR="31CBBA3C" w:rsidRPr="006B0C6C">
        <w:rPr>
          <w:rFonts w:ascii="Calibri" w:eastAsia="Calibri" w:hAnsi="Calibri" w:cs="Calibri"/>
        </w:rPr>
        <w:t>4</w:t>
      </w:r>
      <w:r w:rsidRPr="006B0C6C">
        <w:rPr>
          <w:rFonts w:ascii="Calibri" w:eastAsia="Calibri" w:hAnsi="Calibri" w:cs="Calibri"/>
        </w:rPr>
        <w:t>):</w:t>
      </w:r>
      <w:r w:rsidR="00141C1B" w:rsidRPr="006B0C6C">
        <w:rPr>
          <w:rFonts w:ascii="Calibri" w:eastAsia="Calibri" w:hAnsi="Calibri" w:cs="Calibri"/>
        </w:rPr>
        <w:t xml:space="preserve"> </w:t>
      </w:r>
      <w:r w:rsidR="00564D4C" w:rsidRPr="006B0C6C">
        <w:rPr>
          <w:rFonts w:ascii="Calibri" w:eastAsia="Calibri" w:hAnsi="Calibri" w:cs="Calibri"/>
        </w:rPr>
        <w:t xml:space="preserve">“To what extent was VAHSI effective in promoting and progressing gender equality and supporting disability equality and social inclusion processes and outcomes?” </w:t>
      </w:r>
    </w:p>
    <w:p w14:paraId="444FCAF9" w14:textId="22D68C5D" w:rsidR="0087365F" w:rsidRDefault="018C2373" w:rsidP="002B4707">
      <w:pPr>
        <w:jc w:val="both"/>
        <w:rPr>
          <w:rFonts w:ascii="Calibri" w:eastAsia="Calibri" w:hAnsi="Calibri" w:cs="Calibri"/>
        </w:rPr>
      </w:pPr>
      <w:r w:rsidRPr="4A351EF4">
        <w:rPr>
          <w:rFonts w:ascii="Calibri" w:eastAsia="Calibri" w:hAnsi="Calibri" w:cs="Calibri"/>
        </w:rPr>
        <w:t>Data and analysis for this section is based on KIIs and review of documents from Indonesia, Timor</w:t>
      </w:r>
      <w:r w:rsidR="79D19A4E" w:rsidRPr="4A351EF4">
        <w:rPr>
          <w:rFonts w:ascii="Calibri" w:eastAsia="Calibri" w:hAnsi="Calibri" w:cs="Calibri"/>
        </w:rPr>
        <w:t>-</w:t>
      </w:r>
      <w:r w:rsidRPr="4A351EF4">
        <w:rPr>
          <w:rFonts w:ascii="Calibri" w:eastAsia="Calibri" w:hAnsi="Calibri" w:cs="Calibri"/>
        </w:rPr>
        <w:t xml:space="preserve">Leste and Vanuatu. </w:t>
      </w:r>
      <w:r w:rsidR="7510D8F8" w:rsidRPr="4A351EF4">
        <w:rPr>
          <w:rFonts w:ascii="Calibri" w:eastAsia="Calibri" w:hAnsi="Calibri" w:cs="Calibri"/>
        </w:rPr>
        <w:t>Th</w:t>
      </w:r>
      <w:r w:rsidR="1E5BC04A" w:rsidRPr="4A351EF4">
        <w:rPr>
          <w:rFonts w:ascii="Calibri" w:eastAsia="Calibri" w:hAnsi="Calibri" w:cs="Calibri"/>
        </w:rPr>
        <w:t xml:space="preserve">is section </w:t>
      </w:r>
      <w:r w:rsidR="7510D8F8" w:rsidRPr="4A351EF4">
        <w:rPr>
          <w:rFonts w:ascii="Calibri" w:eastAsia="Calibri" w:hAnsi="Calibri" w:cs="Calibri"/>
        </w:rPr>
        <w:t xml:space="preserve">is structured </w:t>
      </w:r>
      <w:r w:rsidR="2CCB8C63" w:rsidRPr="4A351EF4">
        <w:rPr>
          <w:rFonts w:ascii="Calibri" w:eastAsia="Calibri" w:hAnsi="Calibri" w:cs="Calibri"/>
        </w:rPr>
        <w:t>to align with the</w:t>
      </w:r>
      <w:r w:rsidR="7510D8F8" w:rsidRPr="4A351EF4">
        <w:rPr>
          <w:rFonts w:ascii="Calibri" w:eastAsia="Calibri" w:hAnsi="Calibri" w:cs="Calibri"/>
        </w:rPr>
        <w:t xml:space="preserve"> </w:t>
      </w:r>
      <w:r w:rsidRPr="4A351EF4">
        <w:rPr>
          <w:rFonts w:ascii="Calibri" w:eastAsia="Calibri" w:hAnsi="Calibri" w:cs="Calibri"/>
        </w:rPr>
        <w:t>K</w:t>
      </w:r>
      <w:r w:rsidR="7510D8F8" w:rsidRPr="4A351EF4">
        <w:rPr>
          <w:rFonts w:ascii="Calibri" w:eastAsia="Calibri" w:hAnsi="Calibri" w:cs="Calibri"/>
        </w:rPr>
        <w:t xml:space="preserve">ey </w:t>
      </w:r>
      <w:r w:rsidRPr="4A351EF4">
        <w:rPr>
          <w:rFonts w:ascii="Calibri" w:eastAsia="Calibri" w:hAnsi="Calibri" w:cs="Calibri"/>
        </w:rPr>
        <w:t>F</w:t>
      </w:r>
      <w:r w:rsidR="7510D8F8" w:rsidRPr="4A351EF4">
        <w:rPr>
          <w:rFonts w:ascii="Calibri" w:eastAsia="Calibri" w:hAnsi="Calibri" w:cs="Calibri"/>
        </w:rPr>
        <w:t xml:space="preserve">ocus </w:t>
      </w:r>
      <w:r w:rsidRPr="4A351EF4">
        <w:rPr>
          <w:rFonts w:ascii="Calibri" w:eastAsia="Calibri" w:hAnsi="Calibri" w:cs="Calibri"/>
        </w:rPr>
        <w:t>A</w:t>
      </w:r>
      <w:r w:rsidR="7510D8F8" w:rsidRPr="4A351EF4">
        <w:rPr>
          <w:rFonts w:ascii="Calibri" w:eastAsia="Calibri" w:hAnsi="Calibri" w:cs="Calibri"/>
        </w:rPr>
        <w:t>reas of the VAHSI Gender, Disability and Social Inclusion (GEDSI) Strategy</w:t>
      </w:r>
      <w:r w:rsidR="2CCB8C63" w:rsidRPr="4A351EF4">
        <w:rPr>
          <w:rFonts w:ascii="Calibri" w:eastAsia="Calibri" w:hAnsi="Calibri" w:cs="Calibri"/>
        </w:rPr>
        <w:t xml:space="preserve"> </w:t>
      </w:r>
      <w:r w:rsidR="5FBFC7E7" w:rsidRPr="4A351EF4">
        <w:rPr>
          <w:rFonts w:ascii="Calibri" w:eastAsia="Calibri" w:hAnsi="Calibri" w:cs="Calibri"/>
        </w:rPr>
        <w:t xml:space="preserve">which </w:t>
      </w:r>
      <w:r w:rsidR="2CCB8C63" w:rsidRPr="4A351EF4">
        <w:rPr>
          <w:rFonts w:ascii="Calibri" w:eastAsia="Calibri" w:hAnsi="Calibri" w:cs="Calibri"/>
        </w:rPr>
        <w:t xml:space="preserve">provides the framework for </w:t>
      </w:r>
      <w:r w:rsidR="7510D8F8" w:rsidRPr="4A351EF4">
        <w:rPr>
          <w:rFonts w:ascii="Calibri" w:eastAsia="Calibri" w:hAnsi="Calibri" w:cs="Calibri"/>
        </w:rPr>
        <w:t xml:space="preserve">promoting and progressing GEDSI under the VAHSI investment (see Annex </w:t>
      </w:r>
      <w:r w:rsidR="008C53B1">
        <w:rPr>
          <w:rFonts w:ascii="Calibri" w:eastAsia="Calibri" w:hAnsi="Calibri" w:cs="Calibri"/>
        </w:rPr>
        <w:t>8</w:t>
      </w:r>
      <w:r w:rsidR="7510D8F8" w:rsidRPr="4A351EF4">
        <w:rPr>
          <w:rFonts w:ascii="Calibri" w:eastAsia="Calibri" w:hAnsi="Calibri" w:cs="Calibri"/>
        </w:rPr>
        <w:t xml:space="preserve">). To some extent, </w:t>
      </w:r>
      <w:r w:rsidR="162981CB" w:rsidRPr="4A351EF4">
        <w:rPr>
          <w:rFonts w:ascii="Calibri" w:eastAsia="Calibri" w:hAnsi="Calibri" w:cs="Calibri"/>
        </w:rPr>
        <w:t xml:space="preserve">efforts by </w:t>
      </w:r>
      <w:r w:rsidR="14F16236" w:rsidRPr="4A351EF4">
        <w:rPr>
          <w:rFonts w:ascii="Calibri" w:eastAsia="Calibri" w:hAnsi="Calibri" w:cs="Calibri"/>
        </w:rPr>
        <w:t xml:space="preserve">delivery </w:t>
      </w:r>
      <w:r w:rsidR="00AB61D3">
        <w:rPr>
          <w:rFonts w:ascii="Calibri" w:eastAsia="Calibri" w:hAnsi="Calibri" w:cs="Calibri"/>
        </w:rPr>
        <w:t xml:space="preserve">support </w:t>
      </w:r>
      <w:r w:rsidR="162981CB" w:rsidRPr="4A351EF4">
        <w:rPr>
          <w:rFonts w:ascii="Calibri" w:eastAsia="Calibri" w:hAnsi="Calibri" w:cs="Calibri"/>
        </w:rPr>
        <w:t xml:space="preserve">partners in each of these five focus areas </w:t>
      </w:r>
      <w:r w:rsidR="7510D8F8" w:rsidRPr="4A351EF4">
        <w:rPr>
          <w:rFonts w:ascii="Calibri" w:eastAsia="Calibri" w:hAnsi="Calibri" w:cs="Calibri"/>
        </w:rPr>
        <w:t>serve</w:t>
      </w:r>
      <w:r w:rsidR="162981CB" w:rsidRPr="4A351EF4">
        <w:rPr>
          <w:rFonts w:ascii="Calibri" w:eastAsia="Calibri" w:hAnsi="Calibri" w:cs="Calibri"/>
        </w:rPr>
        <w:t>s</w:t>
      </w:r>
      <w:r w:rsidR="7510D8F8" w:rsidRPr="4A351EF4">
        <w:rPr>
          <w:rFonts w:ascii="Calibri" w:eastAsia="Calibri" w:hAnsi="Calibri" w:cs="Calibri"/>
        </w:rPr>
        <w:t xml:space="preserve"> as a proxy for the extent to which </w:t>
      </w:r>
      <w:r w:rsidR="162981CB" w:rsidRPr="4A351EF4">
        <w:rPr>
          <w:rFonts w:ascii="Calibri" w:eastAsia="Calibri" w:hAnsi="Calibri" w:cs="Calibri"/>
        </w:rPr>
        <w:t xml:space="preserve">VAHSI </w:t>
      </w:r>
      <w:r w:rsidR="7510D8F8" w:rsidRPr="4A351EF4">
        <w:rPr>
          <w:rFonts w:ascii="Calibri" w:eastAsia="Calibri" w:hAnsi="Calibri" w:cs="Calibri"/>
        </w:rPr>
        <w:t xml:space="preserve">GEDSI outcomes </w:t>
      </w:r>
      <w:r w:rsidR="162981CB" w:rsidRPr="4A351EF4">
        <w:rPr>
          <w:rFonts w:ascii="Calibri" w:eastAsia="Calibri" w:hAnsi="Calibri" w:cs="Calibri"/>
        </w:rPr>
        <w:t>and indicators (as defined in the P</w:t>
      </w:r>
      <w:r w:rsidR="484904C2" w:rsidRPr="4A351EF4">
        <w:rPr>
          <w:rFonts w:ascii="Calibri" w:eastAsia="Calibri" w:hAnsi="Calibri" w:cs="Calibri"/>
        </w:rPr>
        <w:t xml:space="preserve">AF) </w:t>
      </w:r>
      <w:r w:rsidR="7510D8F8" w:rsidRPr="4A351EF4">
        <w:rPr>
          <w:rFonts w:ascii="Calibri" w:eastAsia="Calibri" w:hAnsi="Calibri" w:cs="Calibri"/>
        </w:rPr>
        <w:t xml:space="preserve">were achieved, in the context of incomplete </w:t>
      </w:r>
      <w:r w:rsidR="484904C2" w:rsidRPr="4A351EF4">
        <w:rPr>
          <w:rFonts w:ascii="Calibri" w:eastAsia="Calibri" w:hAnsi="Calibri" w:cs="Calibri"/>
        </w:rPr>
        <w:t xml:space="preserve">reporting and </w:t>
      </w:r>
      <w:r w:rsidR="7510D8F8" w:rsidRPr="4A351EF4">
        <w:rPr>
          <w:rFonts w:ascii="Calibri" w:eastAsia="Calibri" w:hAnsi="Calibri" w:cs="Calibri"/>
        </w:rPr>
        <w:t xml:space="preserve">results data. </w:t>
      </w:r>
    </w:p>
    <w:p w14:paraId="6389305E" w14:textId="5867A46B" w:rsidR="00962083" w:rsidRPr="0005628E" w:rsidRDefault="00962083" w:rsidP="0005628E">
      <w:pPr>
        <w:pStyle w:val="Heading2SHS"/>
        <w:ind w:left="142"/>
        <w:rPr>
          <w:rFonts w:ascii="Calibri" w:eastAsia="Calibri" w:hAnsi="Calibri" w:cs="Calibri"/>
        </w:rPr>
      </w:pPr>
      <w:bookmarkStart w:id="158" w:name="_Toc179742197"/>
      <w:bookmarkStart w:id="159" w:name="_Toc179742802"/>
      <w:bookmarkStart w:id="160" w:name="_Toc179743345"/>
      <w:bookmarkStart w:id="161" w:name="_Toc179746235"/>
      <w:bookmarkStart w:id="162" w:name="_Toc200617299"/>
      <w:bookmarkEnd w:id="158"/>
      <w:bookmarkEnd w:id="159"/>
      <w:bookmarkEnd w:id="160"/>
      <w:bookmarkEnd w:id="161"/>
      <w:r w:rsidRPr="7E56B70C">
        <w:rPr>
          <w:rFonts w:ascii="Calibri" w:eastAsia="Calibri" w:hAnsi="Calibri" w:cs="Calibri"/>
        </w:rPr>
        <w:t xml:space="preserve">Evaluative </w:t>
      </w:r>
      <w:r w:rsidR="08676759" w:rsidRPr="7E56B70C">
        <w:rPr>
          <w:rFonts w:ascii="Calibri" w:eastAsia="Calibri" w:hAnsi="Calibri" w:cs="Calibri"/>
        </w:rPr>
        <w:t>f</w:t>
      </w:r>
      <w:r w:rsidR="0005628E" w:rsidRPr="7E56B70C">
        <w:rPr>
          <w:rFonts w:ascii="Calibri" w:eastAsia="Calibri" w:hAnsi="Calibri" w:cs="Calibri"/>
        </w:rPr>
        <w:t>inding</w:t>
      </w:r>
      <w:bookmarkEnd w:id="162"/>
    </w:p>
    <w:p w14:paraId="71F2C7BA" w14:textId="03DE6ADB" w:rsidR="00962083" w:rsidRPr="00B463F0" w:rsidRDefault="00117116" w:rsidP="00B463F0">
      <w:pPr>
        <w:jc w:val="both"/>
        <w:rPr>
          <w:rFonts w:eastAsia="Calibri"/>
        </w:rPr>
      </w:pPr>
      <w:r w:rsidRPr="4A351EF4">
        <w:rPr>
          <w:rFonts w:ascii="Calibri" w:eastAsia="Calibri" w:hAnsi="Calibri" w:cs="Calibri"/>
        </w:rPr>
        <w:t xml:space="preserve">Overall, evidence indicates that </w:t>
      </w:r>
      <w:r w:rsidR="00B463F0" w:rsidRPr="4A351EF4">
        <w:rPr>
          <w:rFonts w:ascii="Calibri" w:eastAsia="Calibri" w:hAnsi="Calibri" w:cs="Calibri"/>
        </w:rPr>
        <w:t xml:space="preserve">delivery </w:t>
      </w:r>
      <w:r w:rsidR="00AB61D3">
        <w:rPr>
          <w:rFonts w:ascii="Calibri" w:eastAsia="Calibri" w:hAnsi="Calibri" w:cs="Calibri"/>
        </w:rPr>
        <w:t xml:space="preserve">support </w:t>
      </w:r>
      <w:r w:rsidRPr="4A351EF4">
        <w:rPr>
          <w:rFonts w:ascii="Calibri" w:eastAsia="Calibri" w:hAnsi="Calibri" w:cs="Calibri"/>
        </w:rPr>
        <w:t xml:space="preserve">partners delivered GEDSI-sensitive programming. Almost all </w:t>
      </w:r>
      <w:r w:rsidR="00B463F0" w:rsidRPr="4A351EF4">
        <w:rPr>
          <w:rFonts w:ascii="Calibri" w:eastAsia="Calibri" w:hAnsi="Calibri" w:cs="Calibri"/>
        </w:rPr>
        <w:t xml:space="preserve">delivery </w:t>
      </w:r>
      <w:r w:rsidR="00AB61D3">
        <w:rPr>
          <w:rFonts w:ascii="Calibri" w:eastAsia="Calibri" w:hAnsi="Calibri" w:cs="Calibri"/>
        </w:rPr>
        <w:t xml:space="preserve">support </w:t>
      </w:r>
      <w:r w:rsidRPr="4A351EF4">
        <w:rPr>
          <w:rFonts w:ascii="Calibri" w:eastAsia="Calibri" w:hAnsi="Calibri" w:cs="Calibri"/>
        </w:rPr>
        <w:t xml:space="preserve">partners responded to partner government prioritisation of high-risk groups and hard-to-reach populations and applied knowledge of gender barriers to access to interventions. </w:t>
      </w:r>
      <w:r w:rsidR="00962083" w:rsidRPr="4A351EF4">
        <w:rPr>
          <w:rFonts w:eastAsia="Calibri"/>
        </w:rPr>
        <w:t>The picture for disability was</w:t>
      </w:r>
      <w:r w:rsidR="3A377129" w:rsidRPr="4A351EF4">
        <w:rPr>
          <w:rFonts w:eastAsia="Calibri"/>
        </w:rPr>
        <w:t xml:space="preserve"> </w:t>
      </w:r>
      <w:r w:rsidR="00962083" w:rsidRPr="4A351EF4">
        <w:rPr>
          <w:rFonts w:eastAsia="Calibri"/>
        </w:rPr>
        <w:t xml:space="preserve">mixed, with some </w:t>
      </w:r>
      <w:r w:rsidR="00B463F0" w:rsidRPr="4A351EF4">
        <w:rPr>
          <w:rFonts w:eastAsia="Calibri"/>
        </w:rPr>
        <w:t>delivery</w:t>
      </w:r>
      <w:r w:rsidR="00AB61D3">
        <w:rPr>
          <w:rFonts w:eastAsia="Calibri"/>
        </w:rPr>
        <w:t xml:space="preserve"> </w:t>
      </w:r>
      <w:proofErr w:type="gramStart"/>
      <w:r w:rsidR="00AB61D3">
        <w:rPr>
          <w:rFonts w:eastAsia="Calibri"/>
        </w:rPr>
        <w:t xml:space="preserve">support </w:t>
      </w:r>
      <w:r w:rsidR="00B463F0" w:rsidRPr="4A351EF4">
        <w:rPr>
          <w:rFonts w:eastAsia="Calibri"/>
        </w:rPr>
        <w:t xml:space="preserve"> </w:t>
      </w:r>
      <w:r w:rsidR="00962083" w:rsidRPr="4A351EF4">
        <w:rPr>
          <w:rFonts w:eastAsia="Calibri"/>
        </w:rPr>
        <w:t>partners</w:t>
      </w:r>
      <w:proofErr w:type="gramEnd"/>
      <w:r w:rsidR="00962083" w:rsidRPr="4A351EF4">
        <w:rPr>
          <w:rFonts w:eastAsia="Calibri"/>
        </w:rPr>
        <w:t xml:space="preserve"> providing high priority focus on including and reaching people with disabilities and others not having the internal policies and processes to ensure that this occurred.</w:t>
      </w:r>
    </w:p>
    <w:p w14:paraId="175CAB14" w14:textId="13A9D580" w:rsidR="00117116" w:rsidRPr="0005628E" w:rsidRDefault="00117116" w:rsidP="0005628E">
      <w:pPr>
        <w:pStyle w:val="Heading2SHS"/>
        <w:ind w:left="142"/>
        <w:rPr>
          <w:rFonts w:ascii="Calibri" w:eastAsia="Calibri" w:hAnsi="Calibri" w:cs="Calibri"/>
        </w:rPr>
      </w:pPr>
      <w:bookmarkStart w:id="163" w:name="_Toc200617300"/>
      <w:r w:rsidRPr="0005628E">
        <w:rPr>
          <w:rFonts w:ascii="Calibri" w:eastAsia="Calibri" w:hAnsi="Calibri" w:cs="Calibri"/>
        </w:rPr>
        <w:t>Evidence</w:t>
      </w:r>
      <w:bookmarkEnd w:id="163"/>
      <w:r w:rsidRPr="0005628E">
        <w:rPr>
          <w:rFonts w:ascii="Calibri" w:eastAsia="Calibri" w:hAnsi="Calibri" w:cs="Calibri"/>
        </w:rPr>
        <w:t xml:space="preserve"> </w:t>
      </w:r>
    </w:p>
    <w:p w14:paraId="3A547075" w14:textId="1202BE4D" w:rsidR="6F6BBCCE" w:rsidRPr="006B0C6C" w:rsidRDefault="009130F9" w:rsidP="006B0C6C">
      <w:pPr>
        <w:pStyle w:val="Heading3SHS"/>
      </w:pPr>
      <w:bookmarkStart w:id="164" w:name="_Toc200617301"/>
      <w:r w:rsidRPr="006B0C6C">
        <w:t>GEDSI a</w:t>
      </w:r>
      <w:r w:rsidR="6F6BBCCE" w:rsidRPr="006B0C6C">
        <w:t xml:space="preserve">dvocacy, policy dialogue and negotiation with </w:t>
      </w:r>
      <w:r w:rsidR="00B463F0">
        <w:t xml:space="preserve">delivery </w:t>
      </w:r>
      <w:r w:rsidR="00AB61D3">
        <w:t xml:space="preserve">support </w:t>
      </w:r>
      <w:r w:rsidR="6F6BBCCE" w:rsidRPr="006B0C6C">
        <w:t>partners</w:t>
      </w:r>
      <w:bookmarkEnd w:id="164"/>
    </w:p>
    <w:p w14:paraId="3A57C6BA" w14:textId="66F743BD" w:rsidR="6F6BBCCE" w:rsidRPr="006B0C6C" w:rsidRDefault="6F6BBCCE" w:rsidP="000B7F90">
      <w:pPr>
        <w:jc w:val="both"/>
      </w:pPr>
      <w:r w:rsidRPr="006B0C6C">
        <w:rPr>
          <w:rFonts w:ascii="Calibri" w:eastAsia="Calibri" w:hAnsi="Calibri" w:cs="Calibri"/>
          <w:szCs w:val="22"/>
        </w:rPr>
        <w:t xml:space="preserve">Starting from a strong DFAT policy base, the VAHSI </w:t>
      </w:r>
      <w:r w:rsidR="00667298" w:rsidRPr="006B0C6C">
        <w:rPr>
          <w:rFonts w:ascii="Calibri" w:eastAsia="Calibri" w:hAnsi="Calibri" w:cs="Calibri"/>
          <w:szCs w:val="22"/>
        </w:rPr>
        <w:t xml:space="preserve">Strategic Investment Framework (SIF) </w:t>
      </w:r>
      <w:r w:rsidRPr="006B0C6C">
        <w:rPr>
          <w:rFonts w:ascii="Calibri" w:eastAsia="Calibri" w:hAnsi="Calibri" w:cs="Calibri"/>
          <w:szCs w:val="22"/>
        </w:rPr>
        <w:t xml:space="preserve">reflected prioritisation of the goal of </w:t>
      </w:r>
      <w:r w:rsidRPr="006B0C6C">
        <w:rPr>
          <w:rFonts w:ascii="Calibri" w:eastAsia="Calibri" w:hAnsi="Calibri" w:cs="Calibri"/>
          <w:i/>
          <w:iCs/>
          <w:szCs w:val="22"/>
        </w:rPr>
        <w:t>inclusive</w:t>
      </w:r>
      <w:r w:rsidRPr="006B0C6C">
        <w:rPr>
          <w:rFonts w:ascii="Calibri" w:eastAsia="Calibri" w:hAnsi="Calibri" w:cs="Calibri"/>
          <w:szCs w:val="22"/>
        </w:rPr>
        <w:t xml:space="preserve"> recovery. A VAHSI GEDSI strategy was developed and there is evidence of efforts to socialise this </w:t>
      </w:r>
      <w:r w:rsidR="00141C1B" w:rsidRPr="006B0C6C">
        <w:rPr>
          <w:rFonts w:ascii="Calibri" w:eastAsia="Calibri" w:hAnsi="Calibri" w:cs="Calibri"/>
          <w:szCs w:val="22"/>
        </w:rPr>
        <w:t xml:space="preserve">with </w:t>
      </w:r>
      <w:r w:rsidRPr="006B0C6C">
        <w:rPr>
          <w:rFonts w:ascii="Calibri" w:eastAsia="Calibri" w:hAnsi="Calibri" w:cs="Calibri"/>
          <w:szCs w:val="22"/>
        </w:rPr>
        <w:t xml:space="preserve">key </w:t>
      </w:r>
      <w:r w:rsidR="00110F7A">
        <w:rPr>
          <w:rFonts w:ascii="Calibri" w:eastAsia="Calibri" w:hAnsi="Calibri" w:cs="Calibri"/>
          <w:szCs w:val="22"/>
        </w:rPr>
        <w:t xml:space="preserve">DFAT </w:t>
      </w:r>
      <w:r w:rsidRPr="006B0C6C">
        <w:rPr>
          <w:rFonts w:ascii="Calibri" w:eastAsia="Calibri" w:hAnsi="Calibri" w:cs="Calibri"/>
          <w:szCs w:val="22"/>
        </w:rPr>
        <w:t xml:space="preserve">decision-makers and DFAT Posts. </w:t>
      </w:r>
    </w:p>
    <w:p w14:paraId="048E9D64" w14:textId="570B9CCB" w:rsidR="6F6BBCCE" w:rsidRPr="006B0C6C" w:rsidRDefault="6F6BBCCE" w:rsidP="000B7F90">
      <w:pPr>
        <w:jc w:val="both"/>
      </w:pPr>
      <w:r w:rsidRPr="006B0C6C">
        <w:rPr>
          <w:rFonts w:ascii="Calibri" w:eastAsia="Calibri" w:hAnsi="Calibri" w:cs="Calibri"/>
        </w:rPr>
        <w:t xml:space="preserve">DFAT has sound and easily accessible policies, strategies and guidance </w:t>
      </w:r>
      <w:proofErr w:type="gramStart"/>
      <w:r w:rsidRPr="006B0C6C">
        <w:rPr>
          <w:rFonts w:ascii="Calibri" w:eastAsia="Calibri" w:hAnsi="Calibri" w:cs="Calibri"/>
        </w:rPr>
        <w:t>notes</w:t>
      </w:r>
      <w:proofErr w:type="gramEnd"/>
      <w:r w:rsidRPr="006B0C6C">
        <w:rPr>
          <w:rFonts w:ascii="Calibri" w:eastAsia="Calibri" w:hAnsi="Calibri" w:cs="Calibri"/>
        </w:rPr>
        <w:t xml:space="preserve"> detailing expectations around GEDSI. DFAT’s organisational GEDSI policies, including the Gender Equality and Women’s Empowerment Strategy (2016)</w:t>
      </w:r>
      <w:r w:rsidR="00110F7A">
        <w:rPr>
          <w:rStyle w:val="EndnoteReference"/>
          <w:rFonts w:ascii="Calibri" w:eastAsia="Calibri" w:hAnsi="Calibri" w:cs="Calibri"/>
        </w:rPr>
        <w:endnoteReference w:id="11"/>
      </w:r>
      <w:r w:rsidRPr="006B0C6C">
        <w:rPr>
          <w:rFonts w:ascii="Calibri" w:eastAsia="Calibri" w:hAnsi="Calibri" w:cs="Calibri"/>
        </w:rPr>
        <w:t>, the Development for All Strategy (2015)</w:t>
      </w:r>
      <w:r w:rsidR="00110F7A">
        <w:rPr>
          <w:rStyle w:val="EndnoteReference"/>
          <w:rFonts w:ascii="Calibri" w:eastAsia="Calibri" w:hAnsi="Calibri" w:cs="Calibri"/>
        </w:rPr>
        <w:endnoteReference w:id="12"/>
      </w:r>
      <w:r w:rsidRPr="006B0C6C">
        <w:rPr>
          <w:rFonts w:ascii="Calibri" w:eastAsia="Calibri" w:hAnsi="Calibri" w:cs="Calibri"/>
        </w:rPr>
        <w:t xml:space="preserve"> and Partnerships for Recovery (2020)</w:t>
      </w:r>
      <w:r w:rsidR="00110F7A">
        <w:rPr>
          <w:rStyle w:val="EndnoteReference"/>
          <w:rFonts w:ascii="Calibri" w:eastAsia="Calibri" w:hAnsi="Calibri" w:cs="Calibri"/>
        </w:rPr>
        <w:endnoteReference w:id="13"/>
      </w:r>
      <w:r w:rsidR="00110F7A">
        <w:rPr>
          <w:rFonts w:ascii="Calibri" w:eastAsia="Calibri" w:hAnsi="Calibri" w:cs="Calibri"/>
        </w:rPr>
        <w:t xml:space="preserve"> </w:t>
      </w:r>
      <w:r w:rsidRPr="006B0C6C">
        <w:rPr>
          <w:rFonts w:ascii="Calibri" w:eastAsia="Calibri" w:hAnsi="Calibri" w:cs="Calibri"/>
        </w:rPr>
        <w:t>provided a strong institutional grounding for integrating GEDSI into the VAHSI investment. In addition, the Health Security Initiative (HSI) for the Indo-Pacific region provisional strategic framework 2019-22 highlighted gender equality as a cross-cutting theme for selecting, implementing, and evaluating investments under HSI. HSI Guidance Notes for supporting disability inclusion</w:t>
      </w:r>
      <w:r w:rsidR="00110F7A">
        <w:rPr>
          <w:rStyle w:val="EndnoteReference"/>
          <w:rFonts w:ascii="Calibri" w:eastAsia="Calibri" w:hAnsi="Calibri" w:cs="Calibri"/>
        </w:rPr>
        <w:endnoteReference w:id="14"/>
      </w:r>
      <w:r w:rsidRPr="006B0C6C">
        <w:rPr>
          <w:rFonts w:ascii="Calibri" w:eastAsia="Calibri" w:hAnsi="Calibri" w:cs="Calibri"/>
        </w:rPr>
        <w:t xml:space="preserve"> and gender equality</w:t>
      </w:r>
      <w:r w:rsidR="00110F7A">
        <w:rPr>
          <w:rStyle w:val="EndnoteReference"/>
          <w:rFonts w:ascii="Calibri" w:eastAsia="Calibri" w:hAnsi="Calibri" w:cs="Calibri"/>
        </w:rPr>
        <w:endnoteReference w:id="15"/>
      </w:r>
      <w:r w:rsidR="00367960">
        <w:rPr>
          <w:rFonts w:ascii="Calibri" w:eastAsia="Calibri" w:hAnsi="Calibri" w:cs="Calibri"/>
        </w:rPr>
        <w:t xml:space="preserve"> </w:t>
      </w:r>
      <w:r w:rsidRPr="006B0C6C">
        <w:rPr>
          <w:rFonts w:ascii="Calibri" w:eastAsia="Calibri" w:hAnsi="Calibri" w:cs="Calibri"/>
        </w:rPr>
        <w:t>provided further practical guidance and insights. All</w:t>
      </w:r>
      <w:r w:rsidR="31F3A05C" w:rsidRPr="006B0C6C">
        <w:rPr>
          <w:rFonts w:ascii="Calibri" w:eastAsia="Calibri" w:hAnsi="Calibri" w:cs="Calibri"/>
        </w:rPr>
        <w:t xml:space="preserve"> </w:t>
      </w:r>
      <w:r w:rsidRPr="006B0C6C">
        <w:rPr>
          <w:rFonts w:ascii="Calibri" w:eastAsia="Calibri" w:hAnsi="Calibri" w:cs="Calibri"/>
        </w:rPr>
        <w:t>these documents are publicly available and easily accessible online. These are also consistent with the WHO Strategic Advisory Group of Experts on Immunisation (SAGE) prioritisation Roadmap and Values Framework which states ‘The overarching goal is for COVID-19 vaccines to contribute significantly to the equitable protection and promotion of human well-being among all people of the world.’</w:t>
      </w:r>
      <w:r w:rsidR="00110F7A">
        <w:rPr>
          <w:rStyle w:val="EndnoteReference"/>
          <w:rFonts w:ascii="Calibri" w:eastAsia="Calibri" w:hAnsi="Calibri" w:cs="Calibri"/>
        </w:rPr>
        <w:endnoteReference w:id="16"/>
      </w:r>
    </w:p>
    <w:p w14:paraId="14268824" w14:textId="29FA12FA" w:rsidR="6F6BBCCE" w:rsidRPr="006B0C6C" w:rsidRDefault="53DA8C31" w:rsidP="7E56B70C">
      <w:pPr>
        <w:jc w:val="both"/>
        <w:rPr>
          <w:rFonts w:ascii="Calibri" w:eastAsia="Calibri" w:hAnsi="Calibri" w:cs="Calibri"/>
          <w:color w:val="000000" w:themeColor="text1"/>
        </w:rPr>
      </w:pPr>
      <w:r w:rsidRPr="003D669E">
        <w:rPr>
          <w:rFonts w:eastAsiaTheme="minorEastAsia" w:cstheme="minorBidi"/>
          <w:color w:val="333333"/>
          <w:szCs w:val="22"/>
        </w:rPr>
        <w:t xml:space="preserve">The VAHSI SIF expands on the SAGE </w:t>
      </w:r>
      <w:r w:rsidRPr="0017037C">
        <w:rPr>
          <w:rFonts w:eastAsiaTheme="minorEastAsia" w:cstheme="minorBidi"/>
          <w:szCs w:val="22"/>
        </w:rPr>
        <w:t xml:space="preserve">Framework and notes the need for country level vaccine </w:t>
      </w:r>
      <w:r w:rsidR="00AB61D3">
        <w:rPr>
          <w:rFonts w:eastAsiaTheme="minorEastAsia" w:cstheme="minorBidi"/>
          <w:szCs w:val="22"/>
        </w:rPr>
        <w:t xml:space="preserve">delivery support </w:t>
      </w:r>
      <w:r w:rsidRPr="0017037C">
        <w:rPr>
          <w:rFonts w:eastAsiaTheme="minorEastAsia" w:cstheme="minorBidi"/>
          <w:szCs w:val="22"/>
        </w:rPr>
        <w:t>programming to consider</w:t>
      </w:r>
      <w:r w:rsidRPr="0017037C">
        <w:rPr>
          <w:rFonts w:eastAsiaTheme="minorEastAsia" w:cstheme="minorBidi"/>
          <w:strike/>
          <w:szCs w:val="22"/>
        </w:rPr>
        <w:t>s</w:t>
      </w:r>
      <w:r w:rsidRPr="0017037C">
        <w:rPr>
          <w:rFonts w:eastAsiaTheme="minorEastAsia" w:cstheme="minorBidi"/>
          <w:szCs w:val="22"/>
        </w:rPr>
        <w:t xml:space="preserve"> vulnerabilities and needs of at-risk groups and to ensure priority of access for these populations. The SIF noted that these should be documented in COVID-19 National Deployment Plans (NDVPs) which were developed and owned by partner countries – against which it was hoped that outcomes would be monitored. </w:t>
      </w:r>
      <w:r w:rsidR="6F6BBCCE" w:rsidRPr="0017037C">
        <w:rPr>
          <w:rFonts w:ascii="Calibri" w:eastAsia="Calibri" w:hAnsi="Calibri" w:cs="Calibri"/>
        </w:rPr>
        <w:t xml:space="preserve"> While monitoring of NDVP outcomes did not </w:t>
      </w:r>
      <w:r w:rsidR="6F6BBCCE" w:rsidRPr="7E56B70C">
        <w:rPr>
          <w:rFonts w:ascii="Calibri" w:eastAsia="Calibri" w:hAnsi="Calibri" w:cs="Calibri"/>
        </w:rPr>
        <w:t xml:space="preserve">form part of this evaluation – DFAT’s own Vaccine Response Plans all contained </w:t>
      </w:r>
      <w:r w:rsidR="6F6BBCCE" w:rsidRPr="7E56B70C">
        <w:rPr>
          <w:rFonts w:ascii="Calibri" w:eastAsia="Calibri" w:hAnsi="Calibri" w:cs="Calibri"/>
          <w:color w:val="000000" w:themeColor="text1"/>
        </w:rPr>
        <w:t>the statement (or a slight variant) that</w:t>
      </w:r>
      <w:r w:rsidR="00667298" w:rsidRPr="7E56B70C">
        <w:rPr>
          <w:rFonts w:ascii="Calibri" w:eastAsia="Calibri" w:hAnsi="Calibri" w:cs="Calibri"/>
          <w:color w:val="000000" w:themeColor="text1"/>
        </w:rPr>
        <w:t>:</w:t>
      </w:r>
      <w:r w:rsidR="005E27D0" w:rsidRPr="7E56B70C">
        <w:rPr>
          <w:rFonts w:ascii="Calibri" w:eastAsia="Calibri" w:hAnsi="Calibri" w:cs="Calibri"/>
          <w:color w:val="000000" w:themeColor="text1"/>
        </w:rPr>
        <w:t xml:space="preserve"> </w:t>
      </w:r>
      <w:r w:rsidR="00667298" w:rsidRPr="7E56B70C">
        <w:rPr>
          <w:rFonts w:ascii="Calibri" w:eastAsia="Calibri" w:hAnsi="Calibri" w:cs="Calibri"/>
          <w:color w:val="000000" w:themeColor="text1"/>
        </w:rPr>
        <w:t>“</w:t>
      </w:r>
      <w:r w:rsidR="6F6BBCCE" w:rsidRPr="7E56B70C">
        <w:rPr>
          <w:rFonts w:ascii="Calibri" w:eastAsia="Calibri" w:hAnsi="Calibri" w:cs="Calibri"/>
          <w:color w:val="000000" w:themeColor="text1"/>
        </w:rPr>
        <w:t>The core principle of equity will underpin all our efforts. We remain committed to advancing the Australian Government’s strategic policy priorities on gender equality, disability and social inclusion across our vaccine support. We will look for opportunities to both mainstream and target our funding to ensure that no-one is left behind</w:t>
      </w:r>
      <w:r w:rsidR="00667298" w:rsidRPr="7E56B70C">
        <w:rPr>
          <w:rFonts w:ascii="Calibri" w:eastAsia="Calibri" w:hAnsi="Calibri" w:cs="Calibri"/>
          <w:color w:val="000000" w:themeColor="text1"/>
        </w:rPr>
        <w:t>”</w:t>
      </w:r>
      <w:r w:rsidR="6F6BBCCE" w:rsidRPr="7E56B70C">
        <w:rPr>
          <w:rFonts w:ascii="Calibri" w:eastAsia="Calibri" w:hAnsi="Calibri" w:cs="Calibri"/>
          <w:color w:val="000000" w:themeColor="text1"/>
        </w:rPr>
        <w:t>.</w:t>
      </w:r>
    </w:p>
    <w:p w14:paraId="52E347C4" w14:textId="18C558FC" w:rsidR="6F6BBCCE" w:rsidRPr="006B0C6C" w:rsidRDefault="6F6BBCCE" w:rsidP="000B7F90">
      <w:pPr>
        <w:jc w:val="both"/>
      </w:pPr>
      <w:r w:rsidRPr="33FE3C21">
        <w:rPr>
          <w:rFonts w:ascii="Calibri" w:eastAsia="Calibri" w:hAnsi="Calibri" w:cs="Calibri"/>
        </w:rPr>
        <w:t xml:space="preserve">This clear and strategic intent of VAHSI to support equitable and inclusive access to </w:t>
      </w:r>
      <w:r w:rsidR="20E8FE31" w:rsidRPr="33FE3C21">
        <w:rPr>
          <w:rFonts w:ascii="Calibri" w:eastAsia="Calibri" w:hAnsi="Calibri" w:cs="Calibri"/>
        </w:rPr>
        <w:t xml:space="preserve">COVID-19 </w:t>
      </w:r>
      <w:r w:rsidRPr="33FE3C21">
        <w:rPr>
          <w:rFonts w:ascii="Calibri" w:eastAsia="Calibri" w:hAnsi="Calibri" w:cs="Calibri"/>
        </w:rPr>
        <w:t>vaccine</w:t>
      </w:r>
      <w:r w:rsidR="275DF8EA" w:rsidRPr="33FE3C21">
        <w:rPr>
          <w:rFonts w:ascii="Calibri" w:eastAsia="Calibri" w:hAnsi="Calibri" w:cs="Calibri"/>
        </w:rPr>
        <w:t>s</w:t>
      </w:r>
      <w:r w:rsidRPr="33FE3C21">
        <w:rPr>
          <w:rFonts w:ascii="Calibri" w:eastAsia="Calibri" w:hAnsi="Calibri" w:cs="Calibri"/>
        </w:rPr>
        <w:t xml:space="preserve"> was demonstrated in the upfront allocation of resources to GEDSI in the Centre for Health Security (CHS) with a core team with strong GEDSI and </w:t>
      </w:r>
      <w:r w:rsidR="00667298" w:rsidRPr="33FE3C21">
        <w:rPr>
          <w:rFonts w:ascii="Calibri" w:eastAsia="Calibri" w:hAnsi="Calibri" w:cs="Calibri"/>
        </w:rPr>
        <w:t>MEL</w:t>
      </w:r>
      <w:r w:rsidRPr="33FE3C21">
        <w:rPr>
          <w:rFonts w:ascii="Calibri" w:eastAsia="Calibri" w:hAnsi="Calibri" w:cs="Calibri"/>
        </w:rPr>
        <w:t xml:space="preserve"> skills appointed to its VAHSI Program Support Unit (PSU). The PSU Team commissioned relevant desktop reviews on GEDSI to inform what was a well-considered and relevant GEDSI strategy for VAHSI. The GEDSI Strategy also contained a clear Action Plan and allocation of roles and responsibilities across the CHS and in-country DFAT teams. Responsibilities variously included advice to </w:t>
      </w:r>
      <w:r w:rsidR="00B463F0" w:rsidRPr="33FE3C21">
        <w:rPr>
          <w:rFonts w:ascii="Calibri" w:eastAsia="Calibri" w:hAnsi="Calibri" w:cs="Calibri"/>
        </w:rPr>
        <w:t xml:space="preserve">delivery </w:t>
      </w:r>
      <w:r w:rsidR="00AB61D3">
        <w:rPr>
          <w:rFonts w:ascii="Calibri" w:eastAsia="Calibri" w:hAnsi="Calibri" w:cs="Calibri"/>
        </w:rPr>
        <w:t xml:space="preserve">support </w:t>
      </w:r>
      <w:r w:rsidRPr="33FE3C21">
        <w:rPr>
          <w:rFonts w:ascii="Calibri" w:eastAsia="Calibri" w:hAnsi="Calibri" w:cs="Calibri"/>
        </w:rPr>
        <w:t>partners on MEL plans and indicators to advocacy and partner dialogue on GEDSI (by DFAT Post). Minutes of Steering Committee meetings demonstrated efforts to socialise the strategy but amidst very packed agenda</w:t>
      </w:r>
      <w:r w:rsidR="0054D7A4" w:rsidRPr="33FE3C21">
        <w:rPr>
          <w:rFonts w:ascii="Calibri" w:eastAsia="Calibri" w:hAnsi="Calibri" w:cs="Calibri"/>
        </w:rPr>
        <w:t>s</w:t>
      </w:r>
      <w:r w:rsidRPr="33FE3C21">
        <w:rPr>
          <w:rFonts w:ascii="Calibri" w:eastAsia="Calibri" w:hAnsi="Calibri" w:cs="Calibri"/>
        </w:rPr>
        <w:t>, very early in the program. Email correspondence demonstrated that the GEDSI Strategy was also shared with DFAT Posts. While there were champions for GEDSI at Post, this was often incidental (i.e. an individual’s commitment to GEDSI) and was often later in the life cycle of the VAHSI program. Despite these efforts, it was unfortunate to note during this evaluation that not one country-level stakeholder interviewed could recall seeing or hearing about the VAHSI GEDSI strategy and awareness within CHS (and</w:t>
      </w:r>
      <w:r w:rsidR="00667298" w:rsidRPr="33FE3C21">
        <w:rPr>
          <w:rFonts w:ascii="Calibri" w:eastAsia="Calibri" w:hAnsi="Calibri" w:cs="Calibri"/>
        </w:rPr>
        <w:t>/</w:t>
      </w:r>
      <w:r w:rsidRPr="33FE3C21">
        <w:rPr>
          <w:rFonts w:ascii="Calibri" w:eastAsia="Calibri" w:hAnsi="Calibri" w:cs="Calibri"/>
        </w:rPr>
        <w:t xml:space="preserve">or GHD) was similarly limited. </w:t>
      </w:r>
    </w:p>
    <w:p w14:paraId="3ED1CE48" w14:textId="083ACF14" w:rsidR="6F6BBCCE" w:rsidRPr="006B0C6C" w:rsidRDefault="7510D8F8" w:rsidP="000B7F90">
      <w:pPr>
        <w:jc w:val="both"/>
      </w:pPr>
      <w:r w:rsidRPr="4A351EF4">
        <w:rPr>
          <w:rFonts w:ascii="Calibri" w:eastAsia="Calibri" w:hAnsi="Calibri" w:cs="Calibri"/>
        </w:rPr>
        <w:t xml:space="preserve">Reasons for this are myriad. Not least, the GEDSI Strategy was released at the </w:t>
      </w:r>
      <w:r w:rsidR="1319519A" w:rsidRPr="4A351EF4">
        <w:rPr>
          <w:rFonts w:ascii="Calibri" w:eastAsia="Calibri" w:hAnsi="Calibri" w:cs="Calibri"/>
        </w:rPr>
        <w:t xml:space="preserve">height </w:t>
      </w:r>
      <w:r w:rsidRPr="4A351EF4">
        <w:rPr>
          <w:rFonts w:ascii="Calibri" w:eastAsia="Calibri" w:hAnsi="Calibri" w:cs="Calibri"/>
        </w:rPr>
        <w:t xml:space="preserve">of VAHSI activity and vaccine distribution amidst what one senior DFAT </w:t>
      </w:r>
      <w:r w:rsidR="511E3763" w:rsidRPr="4A351EF4">
        <w:rPr>
          <w:rFonts w:ascii="Calibri" w:eastAsia="Calibri" w:hAnsi="Calibri" w:cs="Calibri"/>
        </w:rPr>
        <w:t>officer</w:t>
      </w:r>
      <w:r w:rsidRPr="4A351EF4">
        <w:rPr>
          <w:rFonts w:ascii="Calibri" w:eastAsia="Calibri" w:hAnsi="Calibri" w:cs="Calibri"/>
        </w:rPr>
        <w:t xml:space="preserve"> referred to as a time of ‘life and death’ decisions. While acknowledging the importance of equity in principle, some key decision</w:t>
      </w:r>
      <w:r w:rsidR="029E2E08" w:rsidRPr="4A351EF4">
        <w:rPr>
          <w:rFonts w:ascii="Calibri" w:eastAsia="Calibri" w:hAnsi="Calibri" w:cs="Calibri"/>
        </w:rPr>
        <w:t>-</w:t>
      </w:r>
      <w:r w:rsidRPr="4A351EF4">
        <w:rPr>
          <w:rFonts w:ascii="Calibri" w:eastAsia="Calibri" w:hAnsi="Calibri" w:cs="Calibri"/>
        </w:rPr>
        <w:t xml:space="preserve">makers interviewed indicated that the priority was </w:t>
      </w:r>
      <w:r w:rsidR="1008AEC7" w:rsidRPr="4A351EF4">
        <w:rPr>
          <w:rFonts w:ascii="Calibri" w:eastAsia="Calibri" w:hAnsi="Calibri" w:cs="Calibri"/>
        </w:rPr>
        <w:t xml:space="preserve">mobilising </w:t>
      </w:r>
      <w:r w:rsidRPr="4A351EF4">
        <w:rPr>
          <w:rFonts w:ascii="Calibri" w:eastAsia="Calibri" w:hAnsi="Calibri" w:cs="Calibri"/>
        </w:rPr>
        <w:t xml:space="preserve">vaccines and establishing associated cold chains, </w:t>
      </w:r>
      <w:r w:rsidR="1EA903BC" w:rsidRPr="4A351EF4">
        <w:rPr>
          <w:rFonts w:ascii="Calibri" w:eastAsia="Calibri" w:hAnsi="Calibri" w:cs="Calibri"/>
        </w:rPr>
        <w:t xml:space="preserve">i.e. </w:t>
      </w:r>
      <w:r w:rsidRPr="4A351EF4">
        <w:rPr>
          <w:rFonts w:ascii="Calibri" w:eastAsia="Calibri" w:hAnsi="Calibri" w:cs="Calibri"/>
        </w:rPr>
        <w:t xml:space="preserve">not GEDSI-related work. </w:t>
      </w:r>
      <w:r w:rsidR="018C2373" w:rsidRPr="4A351EF4">
        <w:rPr>
          <w:rFonts w:ascii="Calibri" w:eastAsia="Calibri" w:hAnsi="Calibri" w:cs="Calibri"/>
        </w:rPr>
        <w:t xml:space="preserve">There was also an imperative to get vaccines to those most at risk of COVID-19 infection (for example frontline health workers – many of whom are women) rather than traditionally recognised groups at risk of marginalisation. </w:t>
      </w:r>
      <w:r w:rsidRPr="4A351EF4">
        <w:rPr>
          <w:rFonts w:ascii="Calibri" w:eastAsia="Calibri" w:hAnsi="Calibri" w:cs="Calibri"/>
        </w:rPr>
        <w:t>Th</w:t>
      </w:r>
      <w:r w:rsidR="018C2373" w:rsidRPr="4A351EF4">
        <w:rPr>
          <w:rFonts w:ascii="Calibri" w:eastAsia="Calibri" w:hAnsi="Calibri" w:cs="Calibri"/>
        </w:rPr>
        <w:t xml:space="preserve">us, </w:t>
      </w:r>
      <w:r w:rsidRPr="4A351EF4">
        <w:rPr>
          <w:rFonts w:ascii="Calibri" w:eastAsia="Calibri" w:hAnsi="Calibri" w:cs="Calibri"/>
        </w:rPr>
        <w:t>while the importance of GEDSI was acknowledged</w:t>
      </w:r>
      <w:r w:rsidR="114E60B2" w:rsidRPr="4A351EF4">
        <w:rPr>
          <w:rFonts w:ascii="Calibri" w:eastAsia="Calibri" w:hAnsi="Calibri" w:cs="Calibri"/>
        </w:rPr>
        <w:t>,</w:t>
      </w:r>
      <w:r w:rsidRPr="4A351EF4">
        <w:rPr>
          <w:rFonts w:ascii="Calibri" w:eastAsia="Calibri" w:hAnsi="Calibri" w:cs="Calibri"/>
        </w:rPr>
        <w:t xml:space="preserve"> it was not championed in a programmatic sense by senior-level decision-makers. </w:t>
      </w:r>
    </w:p>
    <w:p w14:paraId="76E545DA" w14:textId="4F43F0E6" w:rsidR="6F6BBCCE" w:rsidRPr="006B0C6C" w:rsidRDefault="6F6BBCCE" w:rsidP="000B7F90">
      <w:pPr>
        <w:jc w:val="both"/>
      </w:pPr>
      <w:r w:rsidRPr="4A351EF4">
        <w:rPr>
          <w:rFonts w:ascii="Calibri" w:eastAsia="Calibri" w:hAnsi="Calibri" w:cs="Calibri"/>
        </w:rPr>
        <w:t xml:space="preserve">This evaluation demonstrated that the strongest champions of GEDSI were </w:t>
      </w:r>
      <w:r w:rsidR="00667298" w:rsidRPr="4A351EF4">
        <w:rPr>
          <w:rFonts w:ascii="Calibri" w:eastAsia="Calibri" w:hAnsi="Calibri" w:cs="Calibri"/>
        </w:rPr>
        <w:t xml:space="preserve">delivery </w:t>
      </w:r>
      <w:r w:rsidR="00AB61D3">
        <w:rPr>
          <w:rFonts w:ascii="Calibri" w:eastAsia="Calibri" w:hAnsi="Calibri" w:cs="Calibri"/>
        </w:rPr>
        <w:t xml:space="preserve">support </w:t>
      </w:r>
      <w:r w:rsidRPr="4A351EF4">
        <w:rPr>
          <w:rFonts w:ascii="Calibri" w:eastAsia="Calibri" w:hAnsi="Calibri" w:cs="Calibri"/>
        </w:rPr>
        <w:t xml:space="preserve">partners themselves. As a result, there were </w:t>
      </w:r>
      <w:r w:rsidR="00667298" w:rsidRPr="4A351EF4">
        <w:rPr>
          <w:rFonts w:ascii="Calibri" w:eastAsia="Calibri" w:hAnsi="Calibri" w:cs="Calibri"/>
        </w:rPr>
        <w:t>multiple</w:t>
      </w:r>
      <w:r w:rsidRPr="4A351EF4">
        <w:rPr>
          <w:rFonts w:ascii="Calibri" w:eastAsia="Calibri" w:hAnsi="Calibri" w:cs="Calibri"/>
        </w:rPr>
        <w:t xml:space="preserve"> strong GEDSI-focused </w:t>
      </w:r>
      <w:r w:rsidR="00B463F0" w:rsidRPr="4A351EF4">
        <w:rPr>
          <w:rFonts w:ascii="Calibri" w:eastAsia="Calibri" w:hAnsi="Calibri" w:cs="Calibri"/>
        </w:rPr>
        <w:t xml:space="preserve">projects </w:t>
      </w:r>
      <w:r w:rsidRPr="4A351EF4">
        <w:rPr>
          <w:rFonts w:ascii="Calibri" w:eastAsia="Calibri" w:hAnsi="Calibri" w:cs="Calibri"/>
        </w:rPr>
        <w:t>under VAHSI</w:t>
      </w:r>
      <w:r w:rsidR="00667298" w:rsidRPr="4A351EF4">
        <w:rPr>
          <w:rFonts w:ascii="Calibri" w:eastAsia="Calibri" w:hAnsi="Calibri" w:cs="Calibri"/>
        </w:rPr>
        <w:t xml:space="preserve">. However, </w:t>
      </w:r>
      <w:r w:rsidRPr="4A351EF4">
        <w:rPr>
          <w:rFonts w:ascii="Calibri" w:eastAsia="Calibri" w:hAnsi="Calibri" w:cs="Calibri"/>
        </w:rPr>
        <w:t xml:space="preserve">the overall message from </w:t>
      </w:r>
      <w:r w:rsidR="00667298" w:rsidRPr="4A351EF4">
        <w:rPr>
          <w:rFonts w:ascii="Calibri" w:eastAsia="Calibri" w:hAnsi="Calibri" w:cs="Calibri"/>
        </w:rPr>
        <w:t xml:space="preserve">delivery </w:t>
      </w:r>
      <w:r w:rsidR="00AB61D3">
        <w:rPr>
          <w:rFonts w:ascii="Calibri" w:eastAsia="Calibri" w:hAnsi="Calibri" w:cs="Calibri"/>
        </w:rPr>
        <w:t xml:space="preserve">support </w:t>
      </w:r>
      <w:r w:rsidRPr="4A351EF4">
        <w:rPr>
          <w:rFonts w:ascii="Calibri" w:eastAsia="Calibri" w:hAnsi="Calibri" w:cs="Calibri"/>
        </w:rPr>
        <w:t xml:space="preserve">partners was that this was </w:t>
      </w:r>
      <w:proofErr w:type="gramStart"/>
      <w:r w:rsidRPr="4A351EF4">
        <w:rPr>
          <w:rFonts w:ascii="Calibri" w:eastAsia="Calibri" w:hAnsi="Calibri" w:cs="Calibri"/>
        </w:rPr>
        <w:t>supported</w:t>
      </w:r>
      <w:r w:rsidR="61ED9DDA" w:rsidRPr="4A351EF4">
        <w:rPr>
          <w:rFonts w:ascii="Calibri" w:eastAsia="Calibri" w:hAnsi="Calibri" w:cs="Calibri"/>
        </w:rPr>
        <w:t>,</w:t>
      </w:r>
      <w:r w:rsidRPr="4A351EF4">
        <w:rPr>
          <w:rFonts w:ascii="Calibri" w:eastAsia="Calibri" w:hAnsi="Calibri" w:cs="Calibri"/>
        </w:rPr>
        <w:t xml:space="preserve"> but</w:t>
      </w:r>
      <w:proofErr w:type="gramEnd"/>
      <w:r w:rsidRPr="4A351EF4">
        <w:rPr>
          <w:rFonts w:ascii="Calibri" w:eastAsia="Calibri" w:hAnsi="Calibri" w:cs="Calibri"/>
        </w:rPr>
        <w:t xml:space="preserve"> not driven by DFAT. </w:t>
      </w:r>
    </w:p>
    <w:p w14:paraId="01A0A084" w14:textId="14C08891" w:rsidR="0087365F" w:rsidRPr="006B0C6C" w:rsidRDefault="00B463F0" w:rsidP="4A351EF4">
      <w:pPr>
        <w:jc w:val="both"/>
        <w:rPr>
          <w:rFonts w:ascii="Calibri" w:eastAsia="Calibri" w:hAnsi="Calibri" w:cs="Calibri"/>
        </w:rPr>
      </w:pPr>
      <w:r w:rsidRPr="4A351EF4">
        <w:rPr>
          <w:rFonts w:ascii="Calibri" w:eastAsia="Calibri" w:hAnsi="Calibri" w:cs="Calibri"/>
        </w:rPr>
        <w:t xml:space="preserve">Delivery </w:t>
      </w:r>
      <w:r w:rsidR="00AB61D3">
        <w:rPr>
          <w:rFonts w:ascii="Calibri" w:eastAsia="Calibri" w:hAnsi="Calibri" w:cs="Calibri"/>
        </w:rPr>
        <w:t xml:space="preserve">support </w:t>
      </w:r>
      <w:r w:rsidRPr="4A351EF4">
        <w:rPr>
          <w:rFonts w:ascii="Calibri" w:eastAsia="Calibri" w:hAnsi="Calibri" w:cs="Calibri"/>
        </w:rPr>
        <w:t>p</w:t>
      </w:r>
      <w:r w:rsidR="6F6BBCCE" w:rsidRPr="4A351EF4">
        <w:rPr>
          <w:rFonts w:ascii="Calibri" w:eastAsia="Calibri" w:hAnsi="Calibri" w:cs="Calibri"/>
        </w:rPr>
        <w:t xml:space="preserve">artner ‘champions’ </w:t>
      </w:r>
      <w:r w:rsidR="00667298" w:rsidRPr="4A351EF4">
        <w:rPr>
          <w:rFonts w:ascii="Calibri" w:eastAsia="Calibri" w:hAnsi="Calibri" w:cs="Calibri"/>
        </w:rPr>
        <w:t xml:space="preserve">for GEDSI </w:t>
      </w:r>
      <w:r w:rsidR="6F6BBCCE" w:rsidRPr="4A351EF4">
        <w:rPr>
          <w:rFonts w:ascii="Calibri" w:eastAsia="Calibri" w:hAnsi="Calibri" w:cs="Calibri"/>
        </w:rPr>
        <w:t xml:space="preserve">had some advocacy </w:t>
      </w:r>
      <w:r w:rsidR="5E48ED1B" w:rsidRPr="4A351EF4">
        <w:rPr>
          <w:rFonts w:ascii="Calibri" w:eastAsia="Calibri" w:hAnsi="Calibri" w:cs="Calibri"/>
        </w:rPr>
        <w:t>successes</w:t>
      </w:r>
      <w:r w:rsidR="6F6BBCCE" w:rsidRPr="4A351EF4">
        <w:rPr>
          <w:rFonts w:ascii="Calibri" w:eastAsia="Calibri" w:hAnsi="Calibri" w:cs="Calibri"/>
        </w:rPr>
        <w:t xml:space="preserve"> with </w:t>
      </w:r>
      <w:r w:rsidR="44B31F8B" w:rsidRPr="4A351EF4">
        <w:rPr>
          <w:rFonts w:ascii="Calibri" w:eastAsia="Calibri" w:hAnsi="Calibri" w:cs="Calibri"/>
        </w:rPr>
        <w:t xml:space="preserve">partner </w:t>
      </w:r>
      <w:r w:rsidR="6F6BBCCE" w:rsidRPr="4A351EF4">
        <w:rPr>
          <w:rFonts w:ascii="Calibri" w:eastAsia="Calibri" w:hAnsi="Calibri" w:cs="Calibri"/>
        </w:rPr>
        <w:t>government</w:t>
      </w:r>
      <w:r w:rsidR="2EB6B8A3" w:rsidRPr="4A351EF4">
        <w:rPr>
          <w:rFonts w:ascii="Calibri" w:eastAsia="Calibri" w:hAnsi="Calibri" w:cs="Calibri"/>
        </w:rPr>
        <w:t>s</w:t>
      </w:r>
      <w:r w:rsidR="6F6BBCCE" w:rsidRPr="4A351EF4">
        <w:rPr>
          <w:rFonts w:ascii="Calibri" w:eastAsia="Calibri" w:hAnsi="Calibri" w:cs="Calibri"/>
        </w:rPr>
        <w:t xml:space="preserve"> – notably in Indonesia with the Last Mile initiative</w:t>
      </w:r>
      <w:r w:rsidR="005E27D0" w:rsidRPr="4A351EF4">
        <w:rPr>
          <w:rFonts w:ascii="Calibri" w:eastAsia="Calibri" w:hAnsi="Calibri" w:cs="Calibri"/>
        </w:rPr>
        <w:t>,</w:t>
      </w:r>
      <w:r w:rsidR="6F6BBCCE" w:rsidRPr="4A351EF4">
        <w:rPr>
          <w:rFonts w:ascii="Calibri" w:eastAsia="Calibri" w:hAnsi="Calibri" w:cs="Calibri"/>
        </w:rPr>
        <w:t xml:space="preserve"> where reaching hard-to-reach populations was advocated and ultimately well supported by both the </w:t>
      </w:r>
      <w:r w:rsidR="00AB61D3">
        <w:rPr>
          <w:rFonts w:ascii="Calibri" w:eastAsia="Calibri" w:hAnsi="Calibri" w:cs="Calibri"/>
        </w:rPr>
        <w:t xml:space="preserve">Ministry of Health </w:t>
      </w:r>
      <w:r w:rsidR="6F6BBCCE" w:rsidRPr="4A351EF4">
        <w:rPr>
          <w:rFonts w:ascii="Calibri" w:eastAsia="Calibri" w:hAnsi="Calibri" w:cs="Calibri"/>
        </w:rPr>
        <w:t>and provincial authorities. In some instances</w:t>
      </w:r>
      <w:r w:rsidR="005E27D0" w:rsidRPr="4A351EF4">
        <w:rPr>
          <w:rFonts w:ascii="Calibri" w:eastAsia="Calibri" w:hAnsi="Calibri" w:cs="Calibri"/>
        </w:rPr>
        <w:t>,</w:t>
      </w:r>
      <w:r w:rsidR="6F6BBCCE" w:rsidRPr="4A351EF4">
        <w:rPr>
          <w:rFonts w:ascii="Calibri" w:eastAsia="Calibri" w:hAnsi="Calibri" w:cs="Calibri"/>
        </w:rPr>
        <w:t xml:space="preserve"> </w:t>
      </w:r>
      <w:r w:rsidRPr="4A351EF4">
        <w:rPr>
          <w:rFonts w:ascii="Calibri" w:eastAsia="Calibri" w:hAnsi="Calibri" w:cs="Calibri"/>
        </w:rPr>
        <w:t>delivery</w:t>
      </w:r>
      <w:r w:rsidR="00AB61D3">
        <w:rPr>
          <w:rFonts w:ascii="Calibri" w:eastAsia="Calibri" w:hAnsi="Calibri" w:cs="Calibri"/>
        </w:rPr>
        <w:t xml:space="preserve"> support</w:t>
      </w:r>
      <w:r w:rsidRPr="4A351EF4">
        <w:rPr>
          <w:rFonts w:ascii="Calibri" w:eastAsia="Calibri" w:hAnsi="Calibri" w:cs="Calibri"/>
        </w:rPr>
        <w:t xml:space="preserve"> </w:t>
      </w:r>
      <w:r w:rsidR="6F6BBCCE" w:rsidRPr="4A351EF4">
        <w:rPr>
          <w:rFonts w:ascii="Calibri" w:eastAsia="Calibri" w:hAnsi="Calibri" w:cs="Calibri"/>
        </w:rPr>
        <w:t xml:space="preserve">partners could even demonstrate influencing GEDSI-aware legislative change at the </w:t>
      </w:r>
      <w:r w:rsidR="00255ED7">
        <w:rPr>
          <w:rFonts w:ascii="Calibri" w:eastAsia="Calibri" w:hAnsi="Calibri" w:cs="Calibri"/>
        </w:rPr>
        <w:t>p</w:t>
      </w:r>
      <w:r w:rsidR="6F6BBCCE" w:rsidRPr="4A351EF4">
        <w:rPr>
          <w:rFonts w:ascii="Calibri" w:eastAsia="Calibri" w:hAnsi="Calibri" w:cs="Calibri"/>
        </w:rPr>
        <w:t xml:space="preserve">rovincial level </w:t>
      </w:r>
      <w:proofErr w:type="gramStart"/>
      <w:r w:rsidR="6F6BBCCE" w:rsidRPr="4A351EF4">
        <w:rPr>
          <w:rFonts w:ascii="Calibri" w:eastAsia="Calibri" w:hAnsi="Calibri" w:cs="Calibri"/>
        </w:rPr>
        <w:t>as a result of</w:t>
      </w:r>
      <w:proofErr w:type="gramEnd"/>
      <w:r w:rsidR="6F6BBCCE" w:rsidRPr="4A351EF4">
        <w:rPr>
          <w:rFonts w:ascii="Calibri" w:eastAsia="Calibri" w:hAnsi="Calibri" w:cs="Calibri"/>
        </w:rPr>
        <w:t xml:space="preserve"> their activities. </w:t>
      </w:r>
    </w:p>
    <w:p w14:paraId="6CFD9C8A" w14:textId="411F119C" w:rsidR="6F6BBCCE" w:rsidRPr="006B0C6C" w:rsidRDefault="00B87417" w:rsidP="006B0C6C">
      <w:pPr>
        <w:pStyle w:val="Heading3SHS"/>
      </w:pPr>
      <w:bookmarkStart w:id="165" w:name="_Toc200617302"/>
      <w:r>
        <w:t>Consultation and c</w:t>
      </w:r>
      <w:r w:rsidR="6F6BBCCE" w:rsidRPr="006B0C6C">
        <w:t>ommunications</w:t>
      </w:r>
      <w:bookmarkEnd w:id="165"/>
      <w:r w:rsidR="6F6BBCCE" w:rsidRPr="006B0C6C">
        <w:t xml:space="preserve"> </w:t>
      </w:r>
    </w:p>
    <w:p w14:paraId="03F7CA23" w14:textId="52549DD7" w:rsidR="6F6BBCCE" w:rsidRPr="006B0C6C" w:rsidRDefault="6F6BBCCE" w:rsidP="000B7F90">
      <w:pPr>
        <w:jc w:val="both"/>
      </w:pPr>
      <w:r w:rsidRPr="006B0C6C">
        <w:rPr>
          <w:rFonts w:ascii="Calibri" w:eastAsia="Calibri" w:hAnsi="Calibri" w:cs="Calibri"/>
        </w:rPr>
        <w:t xml:space="preserve">There was significant evidence that </w:t>
      </w:r>
      <w:r w:rsidR="00667298" w:rsidRPr="006B0C6C">
        <w:rPr>
          <w:rFonts w:ascii="Calibri" w:eastAsia="Calibri" w:hAnsi="Calibri" w:cs="Calibri"/>
        </w:rPr>
        <w:t xml:space="preserve">delivery </w:t>
      </w:r>
      <w:r w:rsidR="00AB61D3">
        <w:rPr>
          <w:rFonts w:ascii="Calibri" w:eastAsia="Calibri" w:hAnsi="Calibri" w:cs="Calibri"/>
        </w:rPr>
        <w:t xml:space="preserve">support </w:t>
      </w:r>
      <w:r w:rsidRPr="006B0C6C">
        <w:rPr>
          <w:rFonts w:ascii="Calibri" w:eastAsia="Calibri" w:hAnsi="Calibri" w:cs="Calibri"/>
        </w:rPr>
        <w:t>partners developed and</w:t>
      </w:r>
      <w:r w:rsidR="00667298" w:rsidRPr="006B0C6C">
        <w:rPr>
          <w:rFonts w:ascii="Calibri" w:eastAsia="Calibri" w:hAnsi="Calibri" w:cs="Calibri"/>
        </w:rPr>
        <w:t>/</w:t>
      </w:r>
      <w:r w:rsidRPr="006B0C6C">
        <w:rPr>
          <w:rFonts w:ascii="Calibri" w:eastAsia="Calibri" w:hAnsi="Calibri" w:cs="Calibri"/>
        </w:rPr>
        <w:t>or facilitated effective risk communication and community engagement (RCCE)</w:t>
      </w:r>
      <w:r w:rsidR="00667298" w:rsidRPr="006B0C6C">
        <w:rPr>
          <w:rFonts w:ascii="Calibri" w:eastAsia="Calibri" w:hAnsi="Calibri" w:cs="Calibri"/>
        </w:rPr>
        <w:t xml:space="preserve"> through</w:t>
      </w:r>
      <w:r w:rsidRPr="006B0C6C">
        <w:rPr>
          <w:rFonts w:ascii="Calibri" w:eastAsia="Calibri" w:hAnsi="Calibri" w:cs="Calibri"/>
        </w:rPr>
        <w:t xml:space="preserve"> developing information, education and communication (IEC) materials that considered the </w:t>
      </w:r>
      <w:proofErr w:type="gramStart"/>
      <w:r w:rsidRPr="006B0C6C">
        <w:rPr>
          <w:rFonts w:ascii="Calibri" w:eastAsia="Calibri" w:hAnsi="Calibri" w:cs="Calibri"/>
        </w:rPr>
        <w:t>particular needs</w:t>
      </w:r>
      <w:proofErr w:type="gramEnd"/>
      <w:r w:rsidRPr="006B0C6C">
        <w:rPr>
          <w:rFonts w:ascii="Calibri" w:eastAsia="Calibri" w:hAnsi="Calibri" w:cs="Calibri"/>
        </w:rPr>
        <w:t xml:space="preserve"> and concerns of diverse groups in accessible and appropriate ways. </w:t>
      </w:r>
    </w:p>
    <w:p w14:paraId="47E54D09" w14:textId="24681E04" w:rsidR="6F6BBCCE" w:rsidRPr="006B0C6C" w:rsidRDefault="6F6BBCCE" w:rsidP="4A351EF4">
      <w:pPr>
        <w:jc w:val="both"/>
        <w:rPr>
          <w:rFonts w:ascii="Calibri" w:eastAsia="Calibri" w:hAnsi="Calibri" w:cs="Calibri"/>
        </w:rPr>
      </w:pPr>
      <w:r w:rsidRPr="4A351EF4">
        <w:rPr>
          <w:rFonts w:ascii="Calibri" w:eastAsia="Calibri" w:hAnsi="Calibri" w:cs="Calibri"/>
        </w:rPr>
        <w:t xml:space="preserve">As </w:t>
      </w:r>
      <w:r w:rsidR="56DA769D" w:rsidRPr="4A351EF4">
        <w:rPr>
          <w:rFonts w:ascii="Calibri" w:eastAsia="Calibri" w:hAnsi="Calibri" w:cs="Calibri"/>
        </w:rPr>
        <w:t xml:space="preserve">laid-out </w:t>
      </w:r>
      <w:r w:rsidRPr="4A351EF4">
        <w:rPr>
          <w:rFonts w:ascii="Calibri" w:eastAsia="Calibri" w:hAnsi="Calibri" w:cs="Calibri"/>
        </w:rPr>
        <w:t xml:space="preserve">in the SIF, targeted communication efforts were one of VAHSI’s key mechanisms for advancing accessibility, equity and inclusion. Data available </w:t>
      </w:r>
      <w:r w:rsidR="00667298" w:rsidRPr="4A351EF4">
        <w:rPr>
          <w:rFonts w:ascii="Calibri" w:eastAsia="Calibri" w:hAnsi="Calibri" w:cs="Calibri"/>
        </w:rPr>
        <w:t>for the</w:t>
      </w:r>
      <w:r w:rsidRPr="4A351EF4">
        <w:rPr>
          <w:rFonts w:ascii="Calibri" w:eastAsia="Calibri" w:hAnsi="Calibri" w:cs="Calibri"/>
        </w:rPr>
        <w:t xml:space="preserve"> evaluation demonstrated that this occurred most efficiently and effectively where </w:t>
      </w:r>
      <w:r w:rsidR="00667298" w:rsidRPr="4A351EF4">
        <w:rPr>
          <w:rFonts w:ascii="Calibri" w:eastAsia="Calibri" w:hAnsi="Calibri" w:cs="Calibri"/>
        </w:rPr>
        <w:t xml:space="preserve">delivery </w:t>
      </w:r>
      <w:r w:rsidR="00AB61D3">
        <w:rPr>
          <w:rFonts w:ascii="Calibri" w:eastAsia="Calibri" w:hAnsi="Calibri" w:cs="Calibri"/>
        </w:rPr>
        <w:t xml:space="preserve">support </w:t>
      </w:r>
      <w:r w:rsidRPr="4A351EF4">
        <w:rPr>
          <w:rFonts w:ascii="Calibri" w:eastAsia="Calibri" w:hAnsi="Calibri" w:cs="Calibri"/>
        </w:rPr>
        <w:t xml:space="preserve">partners had sound pre-existing strategies for both gender and disability and partners had already undertaken gender and or disability analyses to identify barriers to access – even where this was not vaccine-specific. These </w:t>
      </w:r>
      <w:r w:rsidR="00667298" w:rsidRPr="4A351EF4">
        <w:rPr>
          <w:rFonts w:ascii="Calibri" w:eastAsia="Calibri" w:hAnsi="Calibri" w:cs="Calibri"/>
        </w:rPr>
        <w:t xml:space="preserve">delivery </w:t>
      </w:r>
      <w:r w:rsidR="00AB61D3">
        <w:rPr>
          <w:rFonts w:ascii="Calibri" w:eastAsia="Calibri" w:hAnsi="Calibri" w:cs="Calibri"/>
        </w:rPr>
        <w:t xml:space="preserve">support </w:t>
      </w:r>
      <w:r w:rsidRPr="4A351EF4">
        <w:rPr>
          <w:rFonts w:ascii="Calibri" w:eastAsia="Calibri" w:hAnsi="Calibri" w:cs="Calibri"/>
        </w:rPr>
        <w:t xml:space="preserve">partners also frequently demonstrated established networks and relationships on the ground with both communities and a range of representative organisations, for example, women’s groups and </w:t>
      </w:r>
      <w:r w:rsidR="00B463F0" w:rsidRPr="4A351EF4">
        <w:rPr>
          <w:rFonts w:ascii="Calibri" w:eastAsia="Calibri" w:hAnsi="Calibri" w:cs="Calibri"/>
        </w:rPr>
        <w:t>O</w:t>
      </w:r>
      <w:r w:rsidRPr="4A351EF4">
        <w:rPr>
          <w:rFonts w:ascii="Calibri" w:eastAsia="Calibri" w:hAnsi="Calibri" w:cs="Calibri"/>
        </w:rPr>
        <w:t xml:space="preserve">rganisations of </w:t>
      </w:r>
      <w:r w:rsidR="00B463F0" w:rsidRPr="4A351EF4">
        <w:rPr>
          <w:rFonts w:ascii="Calibri" w:eastAsia="Calibri" w:hAnsi="Calibri" w:cs="Calibri"/>
        </w:rPr>
        <w:t>Persons</w:t>
      </w:r>
      <w:r w:rsidRPr="4A351EF4">
        <w:rPr>
          <w:rFonts w:ascii="Calibri" w:eastAsia="Calibri" w:hAnsi="Calibri" w:cs="Calibri"/>
        </w:rPr>
        <w:t xml:space="preserve"> with </w:t>
      </w:r>
      <w:r w:rsidR="00B463F0" w:rsidRPr="4A351EF4">
        <w:rPr>
          <w:rFonts w:ascii="Calibri" w:eastAsia="Calibri" w:hAnsi="Calibri" w:cs="Calibri"/>
        </w:rPr>
        <w:t>D</w:t>
      </w:r>
      <w:r w:rsidRPr="4A351EF4">
        <w:rPr>
          <w:rFonts w:ascii="Calibri" w:eastAsia="Calibri" w:hAnsi="Calibri" w:cs="Calibri"/>
        </w:rPr>
        <w:t xml:space="preserve">isability (OPDs). </w:t>
      </w:r>
      <w:r w:rsidR="046B2931" w:rsidRPr="4A351EF4">
        <w:rPr>
          <w:rFonts w:ascii="Calibri" w:eastAsia="Calibri" w:hAnsi="Calibri" w:cs="Calibri"/>
        </w:rPr>
        <w:t>T</w:t>
      </w:r>
      <w:r w:rsidRPr="4A351EF4">
        <w:rPr>
          <w:rFonts w:ascii="Calibri" w:eastAsia="Calibri" w:hAnsi="Calibri" w:cs="Calibri"/>
        </w:rPr>
        <w:t xml:space="preserve">his group of </w:t>
      </w:r>
      <w:r w:rsidR="00667298" w:rsidRPr="4A351EF4">
        <w:rPr>
          <w:rFonts w:ascii="Calibri" w:eastAsia="Calibri" w:hAnsi="Calibri" w:cs="Calibri"/>
        </w:rPr>
        <w:t xml:space="preserve">delivery </w:t>
      </w:r>
      <w:r w:rsidR="00AB61D3">
        <w:rPr>
          <w:rFonts w:ascii="Calibri" w:eastAsia="Calibri" w:hAnsi="Calibri" w:cs="Calibri"/>
        </w:rPr>
        <w:t xml:space="preserve">support </w:t>
      </w:r>
      <w:r w:rsidRPr="4A351EF4">
        <w:rPr>
          <w:rFonts w:ascii="Calibri" w:eastAsia="Calibri" w:hAnsi="Calibri" w:cs="Calibri"/>
        </w:rPr>
        <w:t xml:space="preserve">partners included local NGOs with a history of programming funds from the DFAT Australian NGO Cooperation Program (ANCP) or Australian bilateral health partners </w:t>
      </w:r>
      <w:r w:rsidR="00C90AD3" w:rsidRPr="4A351EF4">
        <w:rPr>
          <w:rFonts w:ascii="Calibri" w:eastAsia="Calibri" w:hAnsi="Calibri" w:cs="Calibri"/>
        </w:rPr>
        <w:t>(</w:t>
      </w:r>
      <w:r w:rsidRPr="4A351EF4">
        <w:rPr>
          <w:rFonts w:ascii="Calibri" w:eastAsia="Calibri" w:hAnsi="Calibri" w:cs="Calibri"/>
        </w:rPr>
        <w:t>i.e. were well-practised in DFAT expectations regarding cross-cutting issues</w:t>
      </w:r>
      <w:r w:rsidR="00C90AD3" w:rsidRPr="4A351EF4">
        <w:rPr>
          <w:rFonts w:ascii="Calibri" w:eastAsia="Calibri" w:hAnsi="Calibri" w:cs="Calibri"/>
        </w:rPr>
        <w:t>)</w:t>
      </w:r>
      <w:r w:rsidRPr="4A351EF4">
        <w:rPr>
          <w:rFonts w:ascii="Calibri" w:eastAsia="Calibri" w:hAnsi="Calibri" w:cs="Calibri"/>
        </w:rPr>
        <w:t>. A subset of these partners operating under the Australian Humanitarian Partnership (AHP) also demonstrated capacity to undertake rapid ‘emergency’ assessments that were COVID</w:t>
      </w:r>
      <w:r w:rsidR="00B463F0" w:rsidRPr="4A351EF4">
        <w:rPr>
          <w:rFonts w:ascii="Calibri" w:eastAsia="Calibri" w:hAnsi="Calibri" w:cs="Calibri"/>
        </w:rPr>
        <w:t>-19</w:t>
      </w:r>
      <w:r w:rsidRPr="4A351EF4">
        <w:rPr>
          <w:rFonts w:ascii="Calibri" w:eastAsia="Calibri" w:hAnsi="Calibri" w:cs="Calibri"/>
        </w:rPr>
        <w:t xml:space="preserve"> and GEDSI-specific</w:t>
      </w:r>
      <w:r w:rsidR="00A25BBF">
        <w:rPr>
          <w:rStyle w:val="FootnoteReference"/>
          <w:rFonts w:ascii="Calibri" w:eastAsia="Calibri" w:hAnsi="Calibri" w:cs="Calibri"/>
        </w:rPr>
        <w:footnoteReference w:id="6"/>
      </w:r>
      <w:r w:rsidR="00A25BBF">
        <w:rPr>
          <w:rFonts w:ascii="Calibri" w:eastAsia="Calibri" w:hAnsi="Calibri" w:cs="Calibri"/>
        </w:rPr>
        <w:t xml:space="preserve"> </w:t>
      </w:r>
      <w:r w:rsidRPr="4A351EF4">
        <w:rPr>
          <w:rFonts w:ascii="Calibri" w:eastAsia="Calibri" w:hAnsi="Calibri" w:cs="Calibri"/>
        </w:rPr>
        <w:t>and</w:t>
      </w:r>
      <w:r w:rsidR="00667298" w:rsidRPr="4A351EF4">
        <w:rPr>
          <w:rFonts w:ascii="Calibri" w:eastAsia="Calibri" w:hAnsi="Calibri" w:cs="Calibri"/>
        </w:rPr>
        <w:t xml:space="preserve"> rapidly</w:t>
      </w:r>
      <w:r w:rsidRPr="4A351EF4">
        <w:rPr>
          <w:rFonts w:ascii="Calibri" w:eastAsia="Calibri" w:hAnsi="Calibri" w:cs="Calibri"/>
        </w:rPr>
        <w:t xml:space="preserve"> mobilise communication pieces. This report highlighted the highly gendered decision-making around issues such as health (and vaccination) and provided strategies for partners to address this in planning and programming.  </w:t>
      </w:r>
    </w:p>
    <w:p w14:paraId="24998821" w14:textId="5610BCD5" w:rsidR="6F6BBCCE" w:rsidRPr="006B0C6C" w:rsidRDefault="6F6BBCCE" w:rsidP="000B7F90">
      <w:pPr>
        <w:jc w:val="both"/>
      </w:pPr>
      <w:r w:rsidRPr="4608E2EE">
        <w:rPr>
          <w:rFonts w:ascii="Calibri" w:eastAsia="Calibri" w:hAnsi="Calibri" w:cs="Calibri"/>
        </w:rPr>
        <w:t xml:space="preserve">Larger multilateral partners also undertook gender analyses to better inform RCCE and IEC materials, but in some instances, these were finalised well after the communication materials had been developed. </w:t>
      </w:r>
      <w:r w:rsidR="63246B05" w:rsidRPr="4608E2EE">
        <w:rPr>
          <w:rFonts w:ascii="Calibri" w:eastAsia="Calibri" w:hAnsi="Calibri" w:cs="Calibri"/>
        </w:rPr>
        <w:t xml:space="preserve">In Indonesia, </w:t>
      </w:r>
      <w:r w:rsidRPr="4608E2EE">
        <w:rPr>
          <w:rFonts w:ascii="Calibri" w:eastAsia="Calibri" w:hAnsi="Calibri" w:cs="Calibri"/>
        </w:rPr>
        <w:t>UNICEF conceded that while efforts were made to address gendered barriers to vaccine access, the needs of people with disabilities were not well considered in the early years of the VAHSI program. UNICEF nevertheless made a valuable contribution with its 2023 report ‘Landscape Analysis on Children with Disabilities in Indonesia’ designed to identify barriers and bottlenecks to access</w:t>
      </w:r>
      <w:r w:rsidR="00667298" w:rsidRPr="4608E2EE">
        <w:rPr>
          <w:rFonts w:ascii="Calibri" w:eastAsia="Calibri" w:hAnsi="Calibri" w:cs="Calibri"/>
        </w:rPr>
        <w:t>. R</w:t>
      </w:r>
      <w:r w:rsidRPr="4608E2EE">
        <w:rPr>
          <w:rFonts w:ascii="Calibri" w:eastAsia="Calibri" w:hAnsi="Calibri" w:cs="Calibri"/>
        </w:rPr>
        <w:t xml:space="preserve">ecommendations </w:t>
      </w:r>
      <w:r w:rsidR="00667298" w:rsidRPr="4608E2EE">
        <w:rPr>
          <w:rFonts w:ascii="Calibri" w:eastAsia="Calibri" w:hAnsi="Calibri" w:cs="Calibri"/>
        </w:rPr>
        <w:t xml:space="preserve">from </w:t>
      </w:r>
      <w:r w:rsidRPr="4608E2EE">
        <w:rPr>
          <w:rFonts w:ascii="Calibri" w:eastAsia="Calibri" w:hAnsi="Calibri" w:cs="Calibri"/>
        </w:rPr>
        <w:t>that report included improved data capture and coordination plus the development of disability-inclusive and accessible emergency preparedness programs.</w:t>
      </w:r>
      <w:r w:rsidR="00367960" w:rsidRPr="4608E2EE">
        <w:rPr>
          <w:rStyle w:val="EndnoteReference"/>
          <w:rFonts w:ascii="Calibri" w:eastAsia="Calibri" w:hAnsi="Calibri" w:cs="Calibri"/>
        </w:rPr>
        <w:endnoteReference w:id="17"/>
      </w:r>
    </w:p>
    <w:p w14:paraId="71D3840E" w14:textId="4612C2BA" w:rsidR="6F6BBCCE" w:rsidRPr="006B0C6C" w:rsidRDefault="6F6BBCCE" w:rsidP="4A351EF4">
      <w:pPr>
        <w:jc w:val="both"/>
        <w:rPr>
          <w:rFonts w:ascii="Calibri" w:eastAsia="Calibri" w:hAnsi="Calibri" w:cs="Calibri"/>
        </w:rPr>
      </w:pPr>
      <w:r w:rsidRPr="7E56B70C">
        <w:rPr>
          <w:rFonts w:ascii="Calibri" w:eastAsia="Calibri" w:hAnsi="Calibri" w:cs="Calibri"/>
        </w:rPr>
        <w:t>In practical terms, these local and perhaps more agile ‘DFAT policy</w:t>
      </w:r>
      <w:r w:rsidR="00462C71" w:rsidRPr="7E56B70C">
        <w:rPr>
          <w:rFonts w:ascii="Calibri" w:eastAsia="Calibri" w:hAnsi="Calibri" w:cs="Calibri"/>
        </w:rPr>
        <w:t>-</w:t>
      </w:r>
      <w:r w:rsidRPr="7E56B70C">
        <w:rPr>
          <w:rFonts w:ascii="Calibri" w:eastAsia="Calibri" w:hAnsi="Calibri" w:cs="Calibri"/>
        </w:rPr>
        <w:t xml:space="preserve">informed’ </w:t>
      </w:r>
      <w:r w:rsidR="00667298" w:rsidRPr="7E56B70C">
        <w:rPr>
          <w:rFonts w:ascii="Calibri" w:eastAsia="Calibri" w:hAnsi="Calibri" w:cs="Calibri"/>
        </w:rPr>
        <w:t xml:space="preserve">delivery </w:t>
      </w:r>
      <w:r w:rsidR="00AB61D3">
        <w:rPr>
          <w:rFonts w:ascii="Calibri" w:eastAsia="Calibri" w:hAnsi="Calibri" w:cs="Calibri"/>
        </w:rPr>
        <w:t xml:space="preserve">support </w:t>
      </w:r>
      <w:r w:rsidRPr="7E56B70C">
        <w:rPr>
          <w:rFonts w:ascii="Calibri" w:eastAsia="Calibri" w:hAnsi="Calibri" w:cs="Calibri"/>
        </w:rPr>
        <w:t xml:space="preserve">partners were more able to work </w:t>
      </w:r>
      <w:r w:rsidR="0FDFBBAA" w:rsidRPr="7E56B70C">
        <w:rPr>
          <w:rFonts w:ascii="Calibri" w:eastAsia="Calibri" w:hAnsi="Calibri" w:cs="Calibri"/>
        </w:rPr>
        <w:t xml:space="preserve">effectively </w:t>
      </w:r>
      <w:r w:rsidRPr="7E56B70C">
        <w:rPr>
          <w:rFonts w:ascii="Calibri" w:eastAsia="Calibri" w:hAnsi="Calibri" w:cs="Calibri"/>
        </w:rPr>
        <w:t xml:space="preserve">with community structures, women’s support </w:t>
      </w:r>
      <w:r w:rsidR="17010F78" w:rsidRPr="7E56B70C">
        <w:rPr>
          <w:rFonts w:ascii="Calibri" w:eastAsia="Calibri" w:hAnsi="Calibri" w:cs="Calibri"/>
        </w:rPr>
        <w:t>and/</w:t>
      </w:r>
      <w:r w:rsidRPr="7E56B70C">
        <w:rPr>
          <w:rFonts w:ascii="Calibri" w:eastAsia="Calibri" w:hAnsi="Calibri" w:cs="Calibri"/>
        </w:rPr>
        <w:t xml:space="preserve">or advocacy groups and OPDs to better identify and quantify hard-to-reach or vulnerable groups and work together with them to tailor communication materials to meet a diverse range of needs. In all three case study countries examined for GEDSI, partners provided multiple examples of consulting with community networks and or OPDs in the process of developing IEC materials. This was either undertaken directly, or through subcontracting arrangements with more relevant or better-connected </w:t>
      </w:r>
      <w:r w:rsidR="00667298" w:rsidRPr="7E56B70C">
        <w:rPr>
          <w:rFonts w:ascii="Calibri" w:eastAsia="Calibri" w:hAnsi="Calibri" w:cs="Calibri"/>
        </w:rPr>
        <w:t>organisations</w:t>
      </w:r>
      <w:r w:rsidRPr="7E56B70C">
        <w:rPr>
          <w:rFonts w:ascii="Calibri" w:eastAsia="Calibri" w:hAnsi="Calibri" w:cs="Calibri"/>
        </w:rPr>
        <w:t xml:space="preserve">. In </w:t>
      </w:r>
      <w:r w:rsidR="00667298" w:rsidRPr="7E56B70C">
        <w:rPr>
          <w:rFonts w:ascii="Calibri" w:eastAsia="Calibri" w:hAnsi="Calibri" w:cs="Calibri"/>
        </w:rPr>
        <w:t>some</w:t>
      </w:r>
      <w:r w:rsidRPr="7E56B70C">
        <w:rPr>
          <w:rFonts w:ascii="Calibri" w:eastAsia="Calibri" w:hAnsi="Calibri" w:cs="Calibri"/>
        </w:rPr>
        <w:t xml:space="preserve"> cases</w:t>
      </w:r>
      <w:r w:rsidR="25733367" w:rsidRPr="7E56B70C">
        <w:rPr>
          <w:rFonts w:ascii="Calibri" w:eastAsia="Calibri" w:hAnsi="Calibri" w:cs="Calibri"/>
        </w:rPr>
        <w:t>,</w:t>
      </w:r>
      <w:r w:rsidRPr="7E56B70C">
        <w:rPr>
          <w:rFonts w:ascii="Calibri" w:eastAsia="Calibri" w:hAnsi="Calibri" w:cs="Calibri"/>
        </w:rPr>
        <w:t xml:space="preserve"> </w:t>
      </w:r>
      <w:r w:rsidR="005C722C" w:rsidRPr="7E56B70C">
        <w:rPr>
          <w:rFonts w:ascii="Calibri" w:eastAsia="Calibri" w:hAnsi="Calibri" w:cs="Calibri"/>
        </w:rPr>
        <w:t xml:space="preserve">delivery </w:t>
      </w:r>
      <w:r w:rsidR="00AB61D3">
        <w:rPr>
          <w:rFonts w:ascii="Calibri" w:eastAsia="Calibri" w:hAnsi="Calibri" w:cs="Calibri"/>
        </w:rPr>
        <w:t xml:space="preserve">support </w:t>
      </w:r>
      <w:r w:rsidRPr="7E56B70C">
        <w:rPr>
          <w:rFonts w:ascii="Calibri" w:eastAsia="Calibri" w:hAnsi="Calibri" w:cs="Calibri"/>
        </w:rPr>
        <w:t xml:space="preserve">partners guided disability groups to </w:t>
      </w:r>
      <w:r w:rsidR="00667298" w:rsidRPr="7E56B70C">
        <w:rPr>
          <w:rFonts w:ascii="Calibri" w:eastAsia="Calibri" w:hAnsi="Calibri" w:cs="Calibri"/>
        </w:rPr>
        <w:t xml:space="preserve">develop </w:t>
      </w:r>
      <w:r w:rsidRPr="7E56B70C">
        <w:rPr>
          <w:rFonts w:ascii="Calibri" w:eastAsia="Calibri" w:hAnsi="Calibri" w:cs="Calibri"/>
        </w:rPr>
        <w:t>their own unique communication pieces</w:t>
      </w:r>
      <w:r w:rsidR="00667298" w:rsidRPr="7E56B70C">
        <w:rPr>
          <w:rFonts w:ascii="Calibri" w:eastAsia="Calibri" w:hAnsi="Calibri" w:cs="Calibri"/>
        </w:rPr>
        <w:t>,</w:t>
      </w:r>
      <w:r w:rsidRPr="7E56B70C">
        <w:rPr>
          <w:rFonts w:ascii="Calibri" w:eastAsia="Calibri" w:hAnsi="Calibri" w:cs="Calibri"/>
        </w:rPr>
        <w:t xml:space="preserve"> for example, an advocacy group for </w:t>
      </w:r>
      <w:r w:rsidR="6846CD69" w:rsidRPr="7E56B70C">
        <w:rPr>
          <w:rFonts w:ascii="Calibri" w:eastAsia="Calibri" w:hAnsi="Calibri" w:cs="Calibri"/>
        </w:rPr>
        <w:t xml:space="preserve">deaf </w:t>
      </w:r>
      <w:r w:rsidRPr="7E56B70C">
        <w:rPr>
          <w:rFonts w:ascii="Calibri" w:eastAsia="Calibri" w:hAnsi="Calibri" w:cs="Calibri"/>
        </w:rPr>
        <w:t>people</w:t>
      </w:r>
      <w:r w:rsidR="00667298" w:rsidRPr="7E56B70C">
        <w:rPr>
          <w:rFonts w:ascii="Calibri" w:eastAsia="Calibri" w:hAnsi="Calibri" w:cs="Calibri"/>
        </w:rPr>
        <w:t xml:space="preserve"> </w:t>
      </w:r>
      <w:r w:rsidRPr="7E56B70C">
        <w:rPr>
          <w:rFonts w:ascii="Calibri" w:eastAsia="Calibri" w:hAnsi="Calibri" w:cs="Calibri"/>
        </w:rPr>
        <w:t>was supported to develop a WhatsApp video for its membership – reaching 100% of intended targets. In Timor</w:t>
      </w:r>
      <w:r w:rsidR="005E27D0" w:rsidRPr="7E56B70C">
        <w:rPr>
          <w:rFonts w:ascii="Calibri" w:eastAsia="Calibri" w:hAnsi="Calibri" w:cs="Calibri"/>
        </w:rPr>
        <w:t>-</w:t>
      </w:r>
      <w:r w:rsidRPr="7E56B70C">
        <w:rPr>
          <w:rFonts w:ascii="Calibri" w:eastAsia="Calibri" w:hAnsi="Calibri" w:cs="Calibri"/>
        </w:rPr>
        <w:t xml:space="preserve">Leste, a VAHSI partner worked with people who were visually impaired to ensure materials were provided in </w:t>
      </w:r>
      <w:r w:rsidR="005E27D0" w:rsidRPr="7E56B70C">
        <w:rPr>
          <w:rFonts w:ascii="Calibri" w:eastAsia="Calibri" w:hAnsi="Calibri" w:cs="Calibri"/>
        </w:rPr>
        <w:t>B</w:t>
      </w:r>
      <w:r w:rsidRPr="7E56B70C">
        <w:rPr>
          <w:rFonts w:ascii="Calibri" w:eastAsia="Calibri" w:hAnsi="Calibri" w:cs="Calibri"/>
        </w:rPr>
        <w:t xml:space="preserve">raille. Some </w:t>
      </w:r>
      <w:r w:rsidR="005C722C" w:rsidRPr="7E56B70C">
        <w:rPr>
          <w:rFonts w:ascii="Calibri" w:eastAsia="Calibri" w:hAnsi="Calibri" w:cs="Calibri"/>
        </w:rPr>
        <w:t xml:space="preserve">delivery </w:t>
      </w:r>
      <w:r w:rsidR="00AB61D3">
        <w:rPr>
          <w:rFonts w:ascii="Calibri" w:eastAsia="Calibri" w:hAnsi="Calibri" w:cs="Calibri"/>
        </w:rPr>
        <w:t xml:space="preserve">support </w:t>
      </w:r>
      <w:r w:rsidRPr="7E56B70C">
        <w:rPr>
          <w:rFonts w:ascii="Calibri" w:eastAsia="Calibri" w:hAnsi="Calibri" w:cs="Calibri"/>
        </w:rPr>
        <w:t>partners provided evidence of undertaking (commissioning) research with diverse groups to better understand ‘how’ different groups want to receive information and ‘who’ they will listen to</w:t>
      </w:r>
      <w:r w:rsidR="00712AD0" w:rsidRPr="7E56B70C">
        <w:rPr>
          <w:rFonts w:ascii="Calibri" w:eastAsia="Calibri" w:hAnsi="Calibri" w:cs="Calibri"/>
        </w:rPr>
        <w:t xml:space="preserve">. In </w:t>
      </w:r>
      <w:r w:rsidRPr="7E56B70C">
        <w:rPr>
          <w:rFonts w:ascii="Calibri" w:eastAsia="Calibri" w:hAnsi="Calibri" w:cs="Calibri"/>
        </w:rPr>
        <w:t xml:space="preserve">several instances </w:t>
      </w:r>
      <w:r w:rsidR="00712AD0" w:rsidRPr="7E56B70C">
        <w:rPr>
          <w:rFonts w:ascii="Calibri" w:eastAsia="Calibri" w:hAnsi="Calibri" w:cs="Calibri"/>
        </w:rPr>
        <w:t xml:space="preserve">this resulted in </w:t>
      </w:r>
      <w:r w:rsidRPr="7E56B70C">
        <w:rPr>
          <w:rFonts w:ascii="Calibri" w:eastAsia="Calibri" w:hAnsi="Calibri" w:cs="Calibri"/>
        </w:rPr>
        <w:t xml:space="preserve">increased outreach using more personalised door-to-door strategies.  </w:t>
      </w:r>
    </w:p>
    <w:p w14:paraId="4067EACA" w14:textId="5E71E396" w:rsidR="6F6BBCCE" w:rsidRPr="006B0C6C" w:rsidRDefault="6F6BBCCE" w:rsidP="000B7F90">
      <w:pPr>
        <w:jc w:val="both"/>
      </w:pPr>
      <w:r w:rsidRPr="006B0C6C">
        <w:rPr>
          <w:rFonts w:ascii="Calibri" w:eastAsia="Calibri" w:hAnsi="Calibri" w:cs="Calibri"/>
          <w:szCs w:val="22"/>
        </w:rPr>
        <w:t>The depth of analysis and consultation with communities and or key groups reportedly allowed for an understanding of the depth of vaccine hesitancy</w:t>
      </w:r>
      <w:r w:rsidR="00712AD0" w:rsidRPr="006B0C6C">
        <w:rPr>
          <w:rFonts w:ascii="Calibri" w:eastAsia="Calibri" w:hAnsi="Calibri" w:cs="Calibri"/>
          <w:szCs w:val="22"/>
        </w:rPr>
        <w:t>,</w:t>
      </w:r>
      <w:r w:rsidRPr="006B0C6C">
        <w:rPr>
          <w:rFonts w:ascii="Calibri" w:eastAsia="Calibri" w:hAnsi="Calibri" w:cs="Calibri"/>
          <w:szCs w:val="22"/>
        </w:rPr>
        <w:t xml:space="preserve"> informing the need for multipronged communication strategies utilising a range of modalities (combining mass media with social media and face-to-face strategies) delivered by a range of stakeholders (experts, church leaders, local authorities and local community leaders) where the intention was to not merely inform and educate but to (re) build trust. </w:t>
      </w:r>
      <w:r w:rsidR="00712AD0" w:rsidRPr="006B0C6C">
        <w:rPr>
          <w:rFonts w:ascii="Calibri" w:eastAsia="Calibri" w:hAnsi="Calibri" w:cs="Calibri"/>
          <w:szCs w:val="22"/>
        </w:rPr>
        <w:t>O</w:t>
      </w:r>
      <w:r w:rsidRPr="006B0C6C">
        <w:rPr>
          <w:rFonts w:ascii="Calibri" w:eastAsia="Calibri" w:hAnsi="Calibri" w:cs="Calibri"/>
          <w:szCs w:val="22"/>
        </w:rPr>
        <w:t xml:space="preserve">ne </w:t>
      </w:r>
      <w:r w:rsidR="00712AD0" w:rsidRPr="006B0C6C">
        <w:rPr>
          <w:rFonts w:ascii="Calibri" w:eastAsia="Calibri" w:hAnsi="Calibri" w:cs="Calibri"/>
          <w:szCs w:val="22"/>
        </w:rPr>
        <w:t xml:space="preserve">key informant </w:t>
      </w:r>
      <w:r w:rsidRPr="006B0C6C">
        <w:rPr>
          <w:rFonts w:ascii="Calibri" w:eastAsia="Calibri" w:hAnsi="Calibri" w:cs="Calibri"/>
          <w:szCs w:val="22"/>
        </w:rPr>
        <w:t xml:space="preserve">reported </w:t>
      </w:r>
      <w:r w:rsidR="00712AD0" w:rsidRPr="006B0C6C">
        <w:rPr>
          <w:rFonts w:ascii="Calibri" w:eastAsia="Calibri" w:hAnsi="Calibri" w:cs="Calibri"/>
          <w:szCs w:val="22"/>
        </w:rPr>
        <w:t xml:space="preserve">that </w:t>
      </w:r>
      <w:r w:rsidRPr="006B0C6C">
        <w:rPr>
          <w:rFonts w:ascii="Calibri" w:eastAsia="Calibri" w:hAnsi="Calibri" w:cs="Calibri"/>
          <w:szCs w:val="22"/>
        </w:rPr>
        <w:t>in many countries (especially the Pacific) due to low case numbers and low number</w:t>
      </w:r>
      <w:r w:rsidR="00712AD0" w:rsidRPr="006B0C6C">
        <w:rPr>
          <w:rFonts w:ascii="Calibri" w:eastAsia="Calibri" w:hAnsi="Calibri" w:cs="Calibri"/>
          <w:szCs w:val="22"/>
        </w:rPr>
        <w:t>s</w:t>
      </w:r>
      <w:r w:rsidRPr="006B0C6C">
        <w:rPr>
          <w:rFonts w:ascii="Calibri" w:eastAsia="Calibri" w:hAnsi="Calibri" w:cs="Calibri"/>
          <w:szCs w:val="22"/>
        </w:rPr>
        <w:t xml:space="preserve"> of reported deaths</w:t>
      </w:r>
      <w:r w:rsidR="00712AD0" w:rsidRPr="006B0C6C">
        <w:rPr>
          <w:rFonts w:ascii="Calibri" w:eastAsia="Calibri" w:hAnsi="Calibri" w:cs="Calibri"/>
          <w:szCs w:val="22"/>
        </w:rPr>
        <w:t>,</w:t>
      </w:r>
      <w:r w:rsidRPr="006B0C6C">
        <w:rPr>
          <w:rFonts w:ascii="Calibri" w:eastAsia="Calibri" w:hAnsi="Calibri" w:cs="Calibri"/>
          <w:szCs w:val="22"/>
        </w:rPr>
        <w:t xml:space="preserve"> there was a low fear of the disease, but a very high fear of the vaccine. </w:t>
      </w:r>
      <w:r w:rsidR="00712AD0" w:rsidRPr="006B0C6C">
        <w:rPr>
          <w:rFonts w:ascii="Calibri" w:eastAsia="Calibri" w:hAnsi="Calibri" w:cs="Calibri"/>
          <w:szCs w:val="22"/>
        </w:rPr>
        <w:t xml:space="preserve">This further </w:t>
      </w:r>
      <w:r w:rsidRPr="006B0C6C">
        <w:rPr>
          <w:rFonts w:ascii="Calibri" w:eastAsia="Calibri" w:hAnsi="Calibri" w:cs="Calibri"/>
          <w:szCs w:val="22"/>
        </w:rPr>
        <w:t>highlight</w:t>
      </w:r>
      <w:r w:rsidR="00712AD0" w:rsidRPr="006B0C6C">
        <w:rPr>
          <w:rFonts w:ascii="Calibri" w:eastAsia="Calibri" w:hAnsi="Calibri" w:cs="Calibri"/>
          <w:szCs w:val="22"/>
        </w:rPr>
        <w:t>ed</w:t>
      </w:r>
      <w:r w:rsidRPr="006B0C6C">
        <w:rPr>
          <w:rFonts w:ascii="Calibri" w:eastAsia="Calibri" w:hAnsi="Calibri" w:cs="Calibri"/>
          <w:szCs w:val="22"/>
        </w:rPr>
        <w:t xml:space="preserve"> the need for well-focused communication strategies</w:t>
      </w:r>
      <w:r w:rsidR="00712AD0" w:rsidRPr="006B0C6C">
        <w:rPr>
          <w:rFonts w:ascii="Calibri" w:eastAsia="Calibri" w:hAnsi="Calibri" w:cs="Calibri"/>
          <w:szCs w:val="22"/>
        </w:rPr>
        <w:t>,</w:t>
      </w:r>
      <w:r w:rsidRPr="006B0C6C">
        <w:rPr>
          <w:rFonts w:ascii="Calibri" w:eastAsia="Calibri" w:hAnsi="Calibri" w:cs="Calibri"/>
          <w:szCs w:val="22"/>
        </w:rPr>
        <w:t xml:space="preserve"> particularly in the context of massive misinformation. </w:t>
      </w:r>
    </w:p>
    <w:p w14:paraId="0269E438" w14:textId="5646B645" w:rsidR="0090118F" w:rsidRPr="006B0C6C" w:rsidRDefault="6F6BBCCE" w:rsidP="000B7F90">
      <w:pPr>
        <w:jc w:val="both"/>
        <w:rPr>
          <w:rFonts w:ascii="Calibri" w:eastAsia="Calibri" w:hAnsi="Calibri" w:cs="Calibri"/>
          <w:szCs w:val="22"/>
        </w:rPr>
      </w:pPr>
      <w:r w:rsidRPr="006B0C6C">
        <w:rPr>
          <w:rFonts w:ascii="Calibri" w:eastAsia="Calibri" w:hAnsi="Calibri" w:cs="Calibri"/>
          <w:szCs w:val="22"/>
        </w:rPr>
        <w:t>It was advantageous that the NGOs associated with both the AHP and the ANCP programs routinely included examples of their communication pieces in six monthly reports</w:t>
      </w:r>
      <w:r w:rsidR="00712AD0" w:rsidRPr="006B0C6C">
        <w:rPr>
          <w:rFonts w:ascii="Calibri" w:eastAsia="Calibri" w:hAnsi="Calibri" w:cs="Calibri"/>
          <w:szCs w:val="22"/>
        </w:rPr>
        <w:t xml:space="preserve">. This included </w:t>
      </w:r>
      <w:r w:rsidRPr="006B0C6C">
        <w:rPr>
          <w:rFonts w:ascii="Calibri" w:eastAsia="Calibri" w:hAnsi="Calibri" w:cs="Calibri"/>
          <w:szCs w:val="22"/>
        </w:rPr>
        <w:t>providing either hyperlinks (for example to YouTube videos) or embedded files</w:t>
      </w:r>
      <w:r w:rsidR="00712AD0" w:rsidRPr="006B0C6C">
        <w:rPr>
          <w:rFonts w:ascii="Calibri" w:eastAsia="Calibri" w:hAnsi="Calibri" w:cs="Calibri"/>
          <w:szCs w:val="22"/>
        </w:rPr>
        <w:t xml:space="preserve"> (</w:t>
      </w:r>
      <w:r w:rsidRPr="006B0C6C">
        <w:rPr>
          <w:rFonts w:ascii="Calibri" w:eastAsia="Calibri" w:hAnsi="Calibri" w:cs="Calibri"/>
          <w:szCs w:val="22"/>
        </w:rPr>
        <w:t>for example for posters</w:t>
      </w:r>
      <w:r w:rsidR="00712AD0" w:rsidRPr="006B0C6C">
        <w:rPr>
          <w:rFonts w:ascii="Calibri" w:eastAsia="Calibri" w:hAnsi="Calibri" w:cs="Calibri"/>
          <w:szCs w:val="22"/>
        </w:rPr>
        <w:t>)</w:t>
      </w:r>
      <w:r w:rsidRPr="006B0C6C">
        <w:rPr>
          <w:rFonts w:ascii="Calibri" w:eastAsia="Calibri" w:hAnsi="Calibri" w:cs="Calibri"/>
          <w:szCs w:val="22"/>
        </w:rPr>
        <w:t xml:space="preserve"> allowing these processes and GEDSI focused communication pieces to be easily evidenced. DFAT’s principal bilateral health partner in Indonesia was invited to present a series of sessions and posters describing its GEDSI-focused approach to RCCE and behaviour change at the 2024 Global Health Security Conference in Sydney</w:t>
      </w:r>
      <w:r w:rsidR="00712AD0" w:rsidRPr="006B0C6C">
        <w:rPr>
          <w:rFonts w:ascii="Calibri" w:eastAsia="Calibri" w:hAnsi="Calibri" w:cs="Calibri"/>
          <w:szCs w:val="22"/>
        </w:rPr>
        <w:t>. This provided further</w:t>
      </w:r>
      <w:r w:rsidRPr="006B0C6C">
        <w:rPr>
          <w:rFonts w:ascii="Calibri" w:eastAsia="Calibri" w:hAnsi="Calibri" w:cs="Calibri"/>
          <w:szCs w:val="22"/>
        </w:rPr>
        <w:t xml:space="preserve"> sound evidence of </w:t>
      </w:r>
      <w:r w:rsidR="00712AD0" w:rsidRPr="006B0C6C">
        <w:rPr>
          <w:rFonts w:ascii="Calibri" w:eastAsia="Calibri" w:hAnsi="Calibri" w:cs="Calibri"/>
          <w:szCs w:val="22"/>
        </w:rPr>
        <w:t xml:space="preserve">the </w:t>
      </w:r>
      <w:r w:rsidRPr="006B0C6C">
        <w:rPr>
          <w:rFonts w:ascii="Calibri" w:eastAsia="Calibri" w:hAnsi="Calibri" w:cs="Calibri"/>
          <w:szCs w:val="22"/>
        </w:rPr>
        <w:t xml:space="preserve">focus on targeting marginalised and hard to reach groups. </w:t>
      </w:r>
    </w:p>
    <w:p w14:paraId="3BAEFA51" w14:textId="2E13CD19" w:rsidR="6F6BBCCE" w:rsidRPr="006B0C6C" w:rsidRDefault="6F6BBCCE" w:rsidP="006B0C6C">
      <w:pPr>
        <w:pStyle w:val="Heading3SHS"/>
      </w:pPr>
      <w:bookmarkStart w:id="166" w:name="_Toc200617303"/>
      <w:r>
        <w:t xml:space="preserve">Community </w:t>
      </w:r>
      <w:r w:rsidR="0C4446AB">
        <w:t>e</w:t>
      </w:r>
      <w:r>
        <w:t>ngagement</w:t>
      </w:r>
      <w:bookmarkEnd w:id="166"/>
      <w:r>
        <w:t xml:space="preserve"> </w:t>
      </w:r>
    </w:p>
    <w:p w14:paraId="256A33A2" w14:textId="5007622B" w:rsidR="6F6BBCCE" w:rsidRPr="006B0C6C" w:rsidRDefault="6F6BBCCE" w:rsidP="000B7F90">
      <w:pPr>
        <w:jc w:val="both"/>
      </w:pPr>
      <w:r w:rsidRPr="006B0C6C">
        <w:rPr>
          <w:rFonts w:ascii="Calibri" w:eastAsia="Calibri" w:hAnsi="Calibri" w:cs="Calibri"/>
          <w:szCs w:val="22"/>
        </w:rPr>
        <w:t xml:space="preserve">There was significant evidence that VAHSI </w:t>
      </w:r>
      <w:r w:rsidR="00B87417">
        <w:rPr>
          <w:rFonts w:ascii="Calibri" w:eastAsia="Calibri" w:hAnsi="Calibri" w:cs="Calibri"/>
          <w:szCs w:val="22"/>
        </w:rPr>
        <w:t xml:space="preserve">delivery </w:t>
      </w:r>
      <w:r w:rsidR="00AB61D3">
        <w:rPr>
          <w:rFonts w:ascii="Calibri" w:eastAsia="Calibri" w:hAnsi="Calibri" w:cs="Calibri"/>
          <w:szCs w:val="22"/>
        </w:rPr>
        <w:t xml:space="preserve">support </w:t>
      </w:r>
      <w:r w:rsidRPr="006B0C6C">
        <w:rPr>
          <w:rFonts w:ascii="Calibri" w:eastAsia="Calibri" w:hAnsi="Calibri" w:cs="Calibri"/>
          <w:szCs w:val="22"/>
        </w:rPr>
        <w:t xml:space="preserve">partners actively engaged with diverse community members and representative organisations including women’s groups and </w:t>
      </w:r>
      <w:r w:rsidR="001D0E26" w:rsidRPr="006B0C6C">
        <w:rPr>
          <w:rFonts w:ascii="Calibri" w:eastAsia="Calibri" w:hAnsi="Calibri" w:cs="Calibri"/>
          <w:szCs w:val="22"/>
        </w:rPr>
        <w:t>OPDs</w:t>
      </w:r>
      <w:r w:rsidRPr="006B0C6C">
        <w:rPr>
          <w:rFonts w:ascii="Calibri" w:eastAsia="Calibri" w:hAnsi="Calibri" w:cs="Calibri"/>
          <w:szCs w:val="22"/>
        </w:rPr>
        <w:t xml:space="preserve"> to help inform and provide feedback on COVID-19 vaccination programs and influence vaccine hesitancy, acceptance, confidence and access to vaccine information and services. </w:t>
      </w:r>
    </w:p>
    <w:p w14:paraId="2E91F050" w14:textId="10D239ED" w:rsidR="6F6BBCCE" w:rsidRPr="006B0C6C" w:rsidRDefault="6F6BBCCE" w:rsidP="0A544168">
      <w:pPr>
        <w:jc w:val="both"/>
        <w:rPr>
          <w:rFonts w:ascii="Calibri" w:eastAsia="Calibri" w:hAnsi="Calibri" w:cs="Calibri"/>
        </w:rPr>
      </w:pPr>
      <w:r w:rsidRPr="006B0C6C">
        <w:rPr>
          <w:rFonts w:ascii="Calibri" w:eastAsia="Calibri" w:hAnsi="Calibri" w:cs="Calibri"/>
        </w:rPr>
        <w:t xml:space="preserve">The first and biggest barrier to ensuring the inclusion of diverse community members in community engagement activities is to be able to access reliable data. While population data on age and </w:t>
      </w:r>
      <w:r w:rsidR="001D0E26" w:rsidRPr="006B0C6C">
        <w:rPr>
          <w:rFonts w:ascii="Calibri" w:eastAsia="Calibri" w:hAnsi="Calibri" w:cs="Calibri"/>
        </w:rPr>
        <w:t xml:space="preserve">sex </w:t>
      </w:r>
      <w:proofErr w:type="gramStart"/>
      <w:r w:rsidRPr="006B0C6C">
        <w:rPr>
          <w:rFonts w:ascii="Calibri" w:eastAsia="Calibri" w:hAnsi="Calibri" w:cs="Calibri"/>
        </w:rPr>
        <w:t>was</w:t>
      </w:r>
      <w:proofErr w:type="gramEnd"/>
      <w:r w:rsidRPr="006B0C6C">
        <w:rPr>
          <w:rFonts w:ascii="Calibri" w:eastAsia="Calibri" w:hAnsi="Calibri" w:cs="Calibri"/>
        </w:rPr>
        <w:t xml:space="preserve"> generally available to </w:t>
      </w:r>
      <w:r w:rsidR="00B87417">
        <w:rPr>
          <w:rFonts w:ascii="Calibri" w:eastAsia="Calibri" w:hAnsi="Calibri" w:cs="Calibri"/>
        </w:rPr>
        <w:t xml:space="preserve">delivery </w:t>
      </w:r>
      <w:r w:rsidR="00AB61D3">
        <w:rPr>
          <w:rFonts w:ascii="Calibri" w:eastAsia="Calibri" w:hAnsi="Calibri" w:cs="Calibri"/>
        </w:rPr>
        <w:t xml:space="preserve">support </w:t>
      </w:r>
      <w:r w:rsidRPr="006B0C6C">
        <w:rPr>
          <w:rFonts w:ascii="Calibri" w:eastAsia="Calibri" w:hAnsi="Calibri" w:cs="Calibri"/>
        </w:rPr>
        <w:t>partners in most locations through national ministry databases or local authorities, obtaining data on people with disabilit</w:t>
      </w:r>
      <w:r w:rsidR="00B87417">
        <w:rPr>
          <w:rFonts w:ascii="Calibri" w:eastAsia="Calibri" w:hAnsi="Calibri" w:cs="Calibri"/>
        </w:rPr>
        <w:t>y</w:t>
      </w:r>
      <w:r w:rsidRPr="006B0C6C">
        <w:rPr>
          <w:rFonts w:ascii="Calibri" w:eastAsia="Calibri" w:hAnsi="Calibri" w:cs="Calibri"/>
        </w:rPr>
        <w:t xml:space="preserve"> was in some instances, more complex. For example, in Indonesia, </w:t>
      </w:r>
      <w:r w:rsidR="001D0E26" w:rsidRPr="006B0C6C">
        <w:rPr>
          <w:rFonts w:ascii="Calibri" w:eastAsia="Calibri" w:hAnsi="Calibri" w:cs="Calibri"/>
        </w:rPr>
        <w:t xml:space="preserve">while </w:t>
      </w:r>
      <w:r w:rsidRPr="006B0C6C">
        <w:rPr>
          <w:rFonts w:ascii="Calibri" w:eastAsia="Calibri" w:hAnsi="Calibri" w:cs="Calibri"/>
        </w:rPr>
        <w:t xml:space="preserve">each Ministry </w:t>
      </w:r>
      <w:r w:rsidR="001D0E26" w:rsidRPr="006B0C6C">
        <w:rPr>
          <w:rFonts w:ascii="Calibri" w:eastAsia="Calibri" w:hAnsi="Calibri" w:cs="Calibri"/>
        </w:rPr>
        <w:t>has</w:t>
      </w:r>
      <w:r w:rsidRPr="006B0C6C">
        <w:rPr>
          <w:rFonts w:ascii="Calibri" w:eastAsia="Calibri" w:hAnsi="Calibri" w:cs="Calibri"/>
        </w:rPr>
        <w:t xml:space="preserve"> some data on people with </w:t>
      </w:r>
      <w:r w:rsidR="1984B36E" w:rsidRPr="006B0C6C">
        <w:rPr>
          <w:rFonts w:ascii="Calibri" w:eastAsia="Calibri" w:hAnsi="Calibri" w:cs="Calibri"/>
        </w:rPr>
        <w:t>disabilit</w:t>
      </w:r>
      <w:r w:rsidR="00B87417">
        <w:rPr>
          <w:rFonts w:ascii="Calibri" w:eastAsia="Calibri" w:hAnsi="Calibri" w:cs="Calibri"/>
        </w:rPr>
        <w:t>y</w:t>
      </w:r>
      <w:r w:rsidR="1984B36E" w:rsidRPr="006B0C6C">
        <w:rPr>
          <w:rFonts w:ascii="Calibri" w:eastAsia="Calibri" w:hAnsi="Calibri" w:cs="Calibri"/>
        </w:rPr>
        <w:t>,</w:t>
      </w:r>
      <w:r w:rsidRPr="006B0C6C">
        <w:rPr>
          <w:rFonts w:ascii="Calibri" w:eastAsia="Calibri" w:hAnsi="Calibri" w:cs="Calibri"/>
        </w:rPr>
        <w:t xml:space="preserve"> data sets and definitions vary widely, and some Ministries were reluctant to share data at all. Ultimately, in Indonesia, </w:t>
      </w:r>
      <w:r w:rsidR="005E27D0" w:rsidRPr="006B0C6C">
        <w:rPr>
          <w:rFonts w:ascii="Calibri" w:eastAsia="Calibri" w:hAnsi="Calibri" w:cs="Calibri"/>
        </w:rPr>
        <w:t>Timor-Leste</w:t>
      </w:r>
      <w:r w:rsidRPr="006B0C6C">
        <w:rPr>
          <w:rFonts w:ascii="Calibri" w:eastAsia="Calibri" w:hAnsi="Calibri" w:cs="Calibri"/>
        </w:rPr>
        <w:t xml:space="preserve"> and Vanuatu, it was connecting with OPDs that allowed </w:t>
      </w:r>
      <w:r w:rsidR="00B87417">
        <w:rPr>
          <w:rFonts w:ascii="Calibri" w:eastAsia="Calibri" w:hAnsi="Calibri" w:cs="Calibri"/>
        </w:rPr>
        <w:t>delivery</w:t>
      </w:r>
      <w:r w:rsidR="00B87417" w:rsidRPr="006B0C6C">
        <w:rPr>
          <w:rFonts w:ascii="Calibri" w:eastAsia="Calibri" w:hAnsi="Calibri" w:cs="Calibri"/>
        </w:rPr>
        <w:t xml:space="preserve"> </w:t>
      </w:r>
      <w:r w:rsidR="00AB61D3">
        <w:rPr>
          <w:rFonts w:ascii="Calibri" w:eastAsia="Calibri" w:hAnsi="Calibri" w:cs="Calibri"/>
        </w:rPr>
        <w:t xml:space="preserve">support </w:t>
      </w:r>
      <w:r w:rsidRPr="006B0C6C">
        <w:rPr>
          <w:rFonts w:ascii="Calibri" w:eastAsia="Calibri" w:hAnsi="Calibri" w:cs="Calibri"/>
        </w:rPr>
        <w:t>partners to access data about and</w:t>
      </w:r>
      <w:r w:rsidR="001D0E26" w:rsidRPr="006B0C6C">
        <w:rPr>
          <w:rFonts w:ascii="Calibri" w:eastAsia="Calibri" w:hAnsi="Calibri" w:cs="Calibri"/>
        </w:rPr>
        <w:t>/</w:t>
      </w:r>
      <w:r w:rsidRPr="006B0C6C">
        <w:rPr>
          <w:rFonts w:ascii="Calibri" w:eastAsia="Calibri" w:hAnsi="Calibri" w:cs="Calibri"/>
        </w:rPr>
        <w:t>or gain access to individuals in respective communities with disabilities. In Vanuatu</w:t>
      </w:r>
      <w:r w:rsidR="001D0E26" w:rsidRPr="006B0C6C">
        <w:rPr>
          <w:rFonts w:ascii="Calibri" w:eastAsia="Calibri" w:hAnsi="Calibri" w:cs="Calibri"/>
        </w:rPr>
        <w:t xml:space="preserve">, </w:t>
      </w:r>
      <w:r w:rsidRPr="006B0C6C">
        <w:rPr>
          <w:rFonts w:ascii="Calibri" w:eastAsia="Calibri" w:hAnsi="Calibri" w:cs="Calibri"/>
        </w:rPr>
        <w:t>the Vanuatu Society for People with Disabilities (VSPD) maintains a database of people with disabilit</w:t>
      </w:r>
      <w:r w:rsidR="001D0E26" w:rsidRPr="006B0C6C">
        <w:rPr>
          <w:rFonts w:ascii="Calibri" w:eastAsia="Calibri" w:hAnsi="Calibri" w:cs="Calibri"/>
        </w:rPr>
        <w:t>y</w:t>
      </w:r>
      <w:r w:rsidRPr="006B0C6C">
        <w:rPr>
          <w:rFonts w:ascii="Calibri" w:eastAsia="Calibri" w:hAnsi="Calibri" w:cs="Calibri"/>
        </w:rPr>
        <w:t>, allowing partners to understand the location</w:t>
      </w:r>
      <w:r w:rsidR="001D0E26" w:rsidRPr="006B0C6C">
        <w:rPr>
          <w:rFonts w:ascii="Calibri" w:eastAsia="Calibri" w:hAnsi="Calibri" w:cs="Calibri"/>
        </w:rPr>
        <w:t>s</w:t>
      </w:r>
      <w:r w:rsidRPr="006B0C6C">
        <w:rPr>
          <w:rFonts w:ascii="Calibri" w:eastAsia="Calibri" w:hAnsi="Calibri" w:cs="Calibri"/>
        </w:rPr>
        <w:t xml:space="preserve"> of people with disabilit</w:t>
      </w:r>
      <w:r w:rsidR="001D0E26" w:rsidRPr="006B0C6C">
        <w:rPr>
          <w:rFonts w:ascii="Calibri" w:eastAsia="Calibri" w:hAnsi="Calibri" w:cs="Calibri"/>
        </w:rPr>
        <w:t>y</w:t>
      </w:r>
      <w:r w:rsidRPr="006B0C6C">
        <w:rPr>
          <w:rFonts w:ascii="Calibri" w:eastAsia="Calibri" w:hAnsi="Calibri" w:cs="Calibri"/>
        </w:rPr>
        <w:t xml:space="preserve"> and the broad range of disabilities that need to be considered in complex emergencies. Partners in Timor</w:t>
      </w:r>
      <w:r w:rsidR="001D0E26" w:rsidRPr="006B0C6C">
        <w:rPr>
          <w:rFonts w:ascii="Calibri" w:eastAsia="Calibri" w:hAnsi="Calibri" w:cs="Calibri"/>
        </w:rPr>
        <w:t>-</w:t>
      </w:r>
      <w:r w:rsidRPr="006B0C6C">
        <w:rPr>
          <w:rFonts w:ascii="Calibri" w:eastAsia="Calibri" w:hAnsi="Calibri" w:cs="Calibri"/>
        </w:rPr>
        <w:t>Leste demonstrated close consultation and cooperation with RHTO (</w:t>
      </w:r>
      <w:r w:rsidRPr="006B0C6C">
        <w:rPr>
          <w:rFonts w:ascii="Calibri" w:eastAsia="Calibri" w:hAnsi="Calibri" w:cs="Calibri"/>
          <w:i/>
          <w:iCs/>
        </w:rPr>
        <w:t xml:space="preserve">Raes </w:t>
      </w:r>
      <w:proofErr w:type="spellStart"/>
      <w:r w:rsidRPr="006B0C6C">
        <w:rPr>
          <w:rFonts w:ascii="Calibri" w:eastAsia="Calibri" w:hAnsi="Calibri" w:cs="Calibri"/>
          <w:i/>
          <w:iCs/>
        </w:rPr>
        <w:t>Hadomi</w:t>
      </w:r>
      <w:proofErr w:type="spellEnd"/>
      <w:r w:rsidRPr="006B0C6C">
        <w:rPr>
          <w:rFonts w:ascii="Calibri" w:eastAsia="Calibri" w:hAnsi="Calibri" w:cs="Calibri"/>
          <w:i/>
          <w:iCs/>
        </w:rPr>
        <w:t xml:space="preserve"> Timor Oan</w:t>
      </w:r>
      <w:r w:rsidRPr="006B0C6C">
        <w:rPr>
          <w:rFonts w:ascii="Calibri" w:eastAsia="Calibri" w:hAnsi="Calibri" w:cs="Calibri"/>
        </w:rPr>
        <w:t xml:space="preserve">), the principal OPD in </w:t>
      </w:r>
      <w:r w:rsidR="005E27D0" w:rsidRPr="006B0C6C">
        <w:rPr>
          <w:rFonts w:ascii="Calibri" w:eastAsia="Calibri" w:hAnsi="Calibri" w:cs="Calibri"/>
        </w:rPr>
        <w:t>Timor-Leste</w:t>
      </w:r>
      <w:r w:rsidRPr="006B0C6C">
        <w:rPr>
          <w:rFonts w:ascii="Calibri" w:eastAsia="Calibri" w:hAnsi="Calibri" w:cs="Calibri"/>
        </w:rPr>
        <w:t>. This cooperation was facilitated in Timor</w:t>
      </w:r>
      <w:r w:rsidR="001D0E26" w:rsidRPr="006B0C6C">
        <w:rPr>
          <w:rFonts w:ascii="Calibri" w:eastAsia="Calibri" w:hAnsi="Calibri" w:cs="Calibri"/>
        </w:rPr>
        <w:t>-</w:t>
      </w:r>
      <w:r w:rsidRPr="006B0C6C">
        <w:rPr>
          <w:rFonts w:ascii="Calibri" w:eastAsia="Calibri" w:hAnsi="Calibri" w:cs="Calibri"/>
        </w:rPr>
        <w:t xml:space="preserve">Leste where VAHSI funded </w:t>
      </w:r>
      <w:r w:rsidR="001A33CA" w:rsidRPr="009B7B0A">
        <w:rPr>
          <w:rFonts w:ascii="Calibri" w:eastAsia="Calibri" w:hAnsi="Calibri" w:cs="Calibri"/>
        </w:rPr>
        <w:t>N</w:t>
      </w:r>
      <w:r w:rsidR="001A33CA">
        <w:rPr>
          <w:rFonts w:ascii="Calibri" w:eastAsia="Calibri" w:hAnsi="Calibri" w:cs="Calibri"/>
        </w:rPr>
        <w:t>on-Government</w:t>
      </w:r>
      <w:r w:rsidR="00532C26">
        <w:rPr>
          <w:rFonts w:ascii="Calibri" w:eastAsia="Calibri" w:hAnsi="Calibri" w:cs="Calibri"/>
        </w:rPr>
        <w:t xml:space="preserve"> Organisation (NG</w:t>
      </w:r>
      <w:r w:rsidRPr="006B0C6C">
        <w:rPr>
          <w:rFonts w:ascii="Calibri" w:eastAsia="Calibri" w:hAnsi="Calibri" w:cs="Calibri"/>
        </w:rPr>
        <w:t>O</w:t>
      </w:r>
      <w:r w:rsidR="00532C26">
        <w:rPr>
          <w:rFonts w:ascii="Calibri" w:eastAsia="Calibri" w:hAnsi="Calibri" w:cs="Calibri"/>
        </w:rPr>
        <w:t>)</w:t>
      </w:r>
      <w:r w:rsidRPr="006B0C6C">
        <w:rPr>
          <w:rFonts w:ascii="Calibri" w:eastAsia="Calibri" w:hAnsi="Calibri" w:cs="Calibri"/>
        </w:rPr>
        <w:t xml:space="preserve"> partners had a pre-existing partnership agreement with RHTO. </w:t>
      </w:r>
      <w:r w:rsidR="001D0E26" w:rsidRPr="006B0C6C">
        <w:rPr>
          <w:rFonts w:ascii="Calibri" w:eastAsia="Calibri" w:hAnsi="Calibri" w:cs="Calibri"/>
        </w:rPr>
        <w:t xml:space="preserve">However, multiple </w:t>
      </w:r>
      <w:r w:rsidR="00B87417">
        <w:rPr>
          <w:rFonts w:ascii="Calibri" w:eastAsia="Calibri" w:hAnsi="Calibri" w:cs="Calibri"/>
        </w:rPr>
        <w:t xml:space="preserve">delivery </w:t>
      </w:r>
      <w:r w:rsidR="00AB61D3">
        <w:rPr>
          <w:rFonts w:ascii="Calibri" w:eastAsia="Calibri" w:hAnsi="Calibri" w:cs="Calibri"/>
        </w:rPr>
        <w:t xml:space="preserve">support </w:t>
      </w:r>
      <w:r w:rsidRPr="006B0C6C">
        <w:rPr>
          <w:rFonts w:ascii="Calibri" w:eastAsia="Calibri" w:hAnsi="Calibri" w:cs="Calibri"/>
        </w:rPr>
        <w:t xml:space="preserve">partners reported that while partnerships existed with </w:t>
      </w:r>
      <w:r w:rsidR="00BF4F39" w:rsidRPr="00BF4F39">
        <w:rPr>
          <w:rFonts w:ascii="Calibri" w:eastAsia="Calibri" w:hAnsi="Calibri" w:cs="Calibri"/>
        </w:rPr>
        <w:t>implementing</w:t>
      </w:r>
      <w:r w:rsidRPr="006B0C6C">
        <w:rPr>
          <w:rFonts w:ascii="Calibri" w:eastAsia="Calibri" w:hAnsi="Calibri" w:cs="Calibri"/>
        </w:rPr>
        <w:t xml:space="preserve"> organisations, OPDs were rarely included in more formal ministry or donor-level planning and progress meetings. There may be scope going forward to explore how to better capture and manage data on disability and its management at a national level</w:t>
      </w:r>
      <w:r w:rsidR="001D0E26" w:rsidRPr="006B0C6C">
        <w:rPr>
          <w:rFonts w:ascii="Calibri" w:eastAsia="Calibri" w:hAnsi="Calibri" w:cs="Calibri"/>
        </w:rPr>
        <w:t>,</w:t>
      </w:r>
      <w:r w:rsidR="003A3479" w:rsidRPr="006B0C6C">
        <w:rPr>
          <w:rFonts w:ascii="Calibri" w:eastAsia="Calibri" w:hAnsi="Calibri" w:cs="Calibri"/>
        </w:rPr>
        <w:t xml:space="preserve"> </w:t>
      </w:r>
      <w:r w:rsidRPr="006B0C6C">
        <w:rPr>
          <w:rFonts w:ascii="Calibri" w:eastAsia="Calibri" w:hAnsi="Calibri" w:cs="Calibri"/>
        </w:rPr>
        <w:t>ensuring better inclusion and cooperation with OPDs</w:t>
      </w:r>
      <w:r w:rsidR="001D0E26" w:rsidRPr="006B0C6C">
        <w:rPr>
          <w:rFonts w:ascii="Calibri" w:eastAsia="Calibri" w:hAnsi="Calibri" w:cs="Calibri"/>
        </w:rPr>
        <w:t>,</w:t>
      </w:r>
      <w:r w:rsidRPr="006B0C6C">
        <w:rPr>
          <w:rFonts w:ascii="Calibri" w:eastAsia="Calibri" w:hAnsi="Calibri" w:cs="Calibri"/>
        </w:rPr>
        <w:t xml:space="preserve"> ministry and donors.  </w:t>
      </w:r>
    </w:p>
    <w:p w14:paraId="552B330D" w14:textId="2F8ACCED" w:rsidR="6F6BBCCE" w:rsidRPr="006B0C6C" w:rsidRDefault="6F6BBCCE" w:rsidP="000B7F90">
      <w:pPr>
        <w:jc w:val="both"/>
      </w:pPr>
      <w:r w:rsidRPr="7E56B70C">
        <w:rPr>
          <w:rFonts w:ascii="Calibri" w:eastAsia="Calibri" w:hAnsi="Calibri" w:cs="Calibri"/>
        </w:rPr>
        <w:t xml:space="preserve">Almost all </w:t>
      </w:r>
      <w:r w:rsidR="001D0E26" w:rsidRPr="7E56B70C">
        <w:rPr>
          <w:rFonts w:ascii="Calibri" w:eastAsia="Calibri" w:hAnsi="Calibri" w:cs="Calibri"/>
        </w:rPr>
        <w:t xml:space="preserve">delivery </w:t>
      </w:r>
      <w:r w:rsidR="00AB61D3">
        <w:rPr>
          <w:rFonts w:ascii="Calibri" w:eastAsia="Calibri" w:hAnsi="Calibri" w:cs="Calibri"/>
        </w:rPr>
        <w:t xml:space="preserve">support </w:t>
      </w:r>
      <w:r w:rsidRPr="7E56B70C">
        <w:rPr>
          <w:rFonts w:ascii="Calibri" w:eastAsia="Calibri" w:hAnsi="Calibri" w:cs="Calibri"/>
        </w:rPr>
        <w:t>partners consulted and</w:t>
      </w:r>
      <w:r w:rsidR="001D0E26" w:rsidRPr="7E56B70C">
        <w:rPr>
          <w:rFonts w:ascii="Calibri" w:eastAsia="Calibri" w:hAnsi="Calibri" w:cs="Calibri"/>
        </w:rPr>
        <w:t>/</w:t>
      </w:r>
      <w:r w:rsidRPr="7E56B70C">
        <w:rPr>
          <w:rFonts w:ascii="Calibri" w:eastAsia="Calibri" w:hAnsi="Calibri" w:cs="Calibri"/>
        </w:rPr>
        <w:t xml:space="preserve">or engaged with </w:t>
      </w:r>
      <w:r w:rsidR="001D0E26" w:rsidRPr="7E56B70C">
        <w:rPr>
          <w:rFonts w:ascii="Calibri" w:eastAsia="Calibri" w:hAnsi="Calibri" w:cs="Calibri"/>
        </w:rPr>
        <w:t>OPDs</w:t>
      </w:r>
      <w:r w:rsidRPr="7E56B70C">
        <w:rPr>
          <w:rFonts w:ascii="Calibri" w:eastAsia="Calibri" w:hAnsi="Calibri" w:cs="Calibri"/>
        </w:rPr>
        <w:t xml:space="preserve"> in both the planning and implementation of activities. These engagements allowed </w:t>
      </w:r>
      <w:r w:rsidR="001D0E26" w:rsidRPr="7E56B70C">
        <w:rPr>
          <w:rFonts w:ascii="Calibri" w:eastAsia="Calibri" w:hAnsi="Calibri" w:cs="Calibri"/>
        </w:rPr>
        <w:t xml:space="preserve">delivery </w:t>
      </w:r>
      <w:r w:rsidR="00AB61D3">
        <w:rPr>
          <w:rFonts w:ascii="Calibri" w:eastAsia="Calibri" w:hAnsi="Calibri" w:cs="Calibri"/>
        </w:rPr>
        <w:t xml:space="preserve">support </w:t>
      </w:r>
      <w:r w:rsidRPr="7E56B70C">
        <w:rPr>
          <w:rFonts w:ascii="Calibri" w:eastAsia="Calibri" w:hAnsi="Calibri" w:cs="Calibri"/>
        </w:rPr>
        <w:t>partners to either undertake targeted focus group discussions with people with disabilit</w:t>
      </w:r>
      <w:r w:rsidR="001D0E26" w:rsidRPr="7E56B70C">
        <w:rPr>
          <w:rFonts w:ascii="Calibri" w:eastAsia="Calibri" w:hAnsi="Calibri" w:cs="Calibri"/>
        </w:rPr>
        <w:t>y</w:t>
      </w:r>
      <w:r w:rsidRPr="7E56B70C">
        <w:rPr>
          <w:rFonts w:ascii="Calibri" w:eastAsia="Calibri" w:hAnsi="Calibri" w:cs="Calibri"/>
        </w:rPr>
        <w:t xml:space="preserve"> or engage with schools for people with </w:t>
      </w:r>
      <w:r w:rsidR="00B87417" w:rsidRPr="7E56B70C">
        <w:rPr>
          <w:rFonts w:ascii="Calibri" w:eastAsia="Calibri" w:hAnsi="Calibri" w:cs="Calibri"/>
        </w:rPr>
        <w:t>disability</w:t>
      </w:r>
      <w:r w:rsidRPr="7E56B70C">
        <w:rPr>
          <w:rFonts w:ascii="Calibri" w:eastAsia="Calibri" w:hAnsi="Calibri" w:cs="Calibri"/>
        </w:rPr>
        <w:t xml:space="preserve">. More often at a community level, engagement occurred at a house-to-house level where individuals were either unable or were reluctant to engage in public meetings. </w:t>
      </w:r>
      <w:r w:rsidR="001D0E26" w:rsidRPr="7E56B70C">
        <w:rPr>
          <w:rFonts w:ascii="Calibri" w:eastAsia="Calibri" w:hAnsi="Calibri" w:cs="Calibri"/>
        </w:rPr>
        <w:t>P</w:t>
      </w:r>
      <w:r w:rsidRPr="7E56B70C">
        <w:rPr>
          <w:rFonts w:ascii="Calibri" w:eastAsia="Calibri" w:hAnsi="Calibri" w:cs="Calibri"/>
        </w:rPr>
        <w:t>hysical access was an issue, not only to vaccine</w:t>
      </w:r>
      <w:r w:rsidR="744AEB2F" w:rsidRPr="7E56B70C">
        <w:rPr>
          <w:rFonts w:ascii="Calibri" w:eastAsia="Calibri" w:hAnsi="Calibri" w:cs="Calibri"/>
        </w:rPr>
        <w:t xml:space="preserve"> administration</w:t>
      </w:r>
      <w:r w:rsidRPr="7E56B70C">
        <w:rPr>
          <w:rFonts w:ascii="Calibri" w:eastAsia="Calibri" w:hAnsi="Calibri" w:cs="Calibri"/>
        </w:rPr>
        <w:t xml:space="preserve"> sites but in terms of location with </w:t>
      </w:r>
      <w:proofErr w:type="gramStart"/>
      <w:r w:rsidRPr="7E56B70C">
        <w:rPr>
          <w:rFonts w:ascii="Calibri" w:eastAsia="Calibri" w:hAnsi="Calibri" w:cs="Calibri"/>
        </w:rPr>
        <w:t>a large number of</w:t>
      </w:r>
      <w:proofErr w:type="gramEnd"/>
      <w:r w:rsidRPr="7E56B70C">
        <w:rPr>
          <w:rFonts w:ascii="Calibri" w:eastAsia="Calibri" w:hAnsi="Calibri" w:cs="Calibri"/>
        </w:rPr>
        <w:t xml:space="preserve"> </w:t>
      </w:r>
      <w:r w:rsidR="001D0E26" w:rsidRPr="7E56B70C">
        <w:rPr>
          <w:rFonts w:ascii="Calibri" w:eastAsia="Calibri" w:hAnsi="Calibri" w:cs="Calibri"/>
        </w:rPr>
        <w:t xml:space="preserve">delivery </w:t>
      </w:r>
      <w:r w:rsidR="00AB61D3">
        <w:rPr>
          <w:rFonts w:ascii="Calibri" w:eastAsia="Calibri" w:hAnsi="Calibri" w:cs="Calibri"/>
        </w:rPr>
        <w:t xml:space="preserve">support </w:t>
      </w:r>
      <w:r w:rsidRPr="7E56B70C">
        <w:rPr>
          <w:rFonts w:ascii="Calibri" w:eastAsia="Calibri" w:hAnsi="Calibri" w:cs="Calibri"/>
        </w:rPr>
        <w:t xml:space="preserve">partners describing not only mobile services but expanded outreach to serve not only </w:t>
      </w:r>
      <w:r w:rsidR="6C6F57E3" w:rsidRPr="7E56B70C">
        <w:rPr>
          <w:rFonts w:ascii="Calibri" w:eastAsia="Calibri" w:hAnsi="Calibri" w:cs="Calibri"/>
        </w:rPr>
        <w:t>older persons</w:t>
      </w:r>
      <w:r w:rsidRPr="7E56B70C">
        <w:rPr>
          <w:rFonts w:ascii="Calibri" w:eastAsia="Calibri" w:hAnsi="Calibri" w:cs="Calibri"/>
        </w:rPr>
        <w:t xml:space="preserve"> and people with disabilit</w:t>
      </w:r>
      <w:r w:rsidR="00B87417" w:rsidRPr="7E56B70C">
        <w:rPr>
          <w:rFonts w:ascii="Calibri" w:eastAsia="Calibri" w:hAnsi="Calibri" w:cs="Calibri"/>
        </w:rPr>
        <w:t>y</w:t>
      </w:r>
      <w:r w:rsidRPr="7E56B70C">
        <w:rPr>
          <w:rFonts w:ascii="Calibri" w:eastAsia="Calibri" w:hAnsi="Calibri" w:cs="Calibri"/>
        </w:rPr>
        <w:t xml:space="preserve"> but those in the hardest-to-reach locations. </w:t>
      </w:r>
    </w:p>
    <w:p w14:paraId="48570F85" w14:textId="369289FB" w:rsidR="6F6BBCCE" w:rsidRPr="006B0C6C" w:rsidRDefault="6F6BBCCE" w:rsidP="000B7F90">
      <w:pPr>
        <w:jc w:val="both"/>
      </w:pPr>
      <w:r w:rsidRPr="006B0C6C">
        <w:rPr>
          <w:rFonts w:ascii="Calibri" w:eastAsia="Calibri" w:hAnsi="Calibri" w:cs="Calibri"/>
          <w:szCs w:val="22"/>
        </w:rPr>
        <w:t xml:space="preserve">Either directly, or through subcontracted local partners, most </w:t>
      </w:r>
      <w:r w:rsidR="00B87417">
        <w:rPr>
          <w:rFonts w:ascii="Calibri" w:eastAsia="Calibri" w:hAnsi="Calibri" w:cs="Calibri"/>
          <w:szCs w:val="22"/>
        </w:rPr>
        <w:t>delivery</w:t>
      </w:r>
      <w:r w:rsidR="00AB61D3">
        <w:rPr>
          <w:rFonts w:ascii="Calibri" w:eastAsia="Calibri" w:hAnsi="Calibri" w:cs="Calibri"/>
          <w:szCs w:val="22"/>
        </w:rPr>
        <w:t xml:space="preserve"> support</w:t>
      </w:r>
      <w:r w:rsidR="00B87417" w:rsidRPr="006B0C6C">
        <w:rPr>
          <w:rFonts w:ascii="Calibri" w:eastAsia="Calibri" w:hAnsi="Calibri" w:cs="Calibri"/>
          <w:szCs w:val="22"/>
        </w:rPr>
        <w:t xml:space="preserve"> </w:t>
      </w:r>
      <w:r w:rsidRPr="006B0C6C">
        <w:rPr>
          <w:rFonts w:ascii="Calibri" w:eastAsia="Calibri" w:hAnsi="Calibri" w:cs="Calibri"/>
          <w:szCs w:val="22"/>
        </w:rPr>
        <w:t xml:space="preserve">partners were able to demonstrate not only the inclusion but also the targeting of diverse groups through community consultation processes. Evidenced both in KIIs and six-monthly reports, </w:t>
      </w:r>
      <w:r w:rsidR="00B87417">
        <w:rPr>
          <w:rFonts w:ascii="Calibri" w:eastAsia="Calibri" w:hAnsi="Calibri" w:cs="Calibri"/>
          <w:szCs w:val="22"/>
        </w:rPr>
        <w:t xml:space="preserve">delivery </w:t>
      </w:r>
      <w:r w:rsidR="00603B68">
        <w:rPr>
          <w:rFonts w:ascii="Calibri" w:eastAsia="Calibri" w:hAnsi="Calibri" w:cs="Calibri"/>
          <w:szCs w:val="22"/>
        </w:rPr>
        <w:t xml:space="preserve">support </w:t>
      </w:r>
      <w:r w:rsidR="00603B68" w:rsidRPr="006B0C6C">
        <w:rPr>
          <w:rFonts w:ascii="Calibri" w:eastAsia="Calibri" w:hAnsi="Calibri" w:cs="Calibri"/>
          <w:szCs w:val="22"/>
        </w:rPr>
        <w:t>facilitated</w:t>
      </w:r>
      <w:r w:rsidRPr="006B0C6C">
        <w:rPr>
          <w:rFonts w:ascii="Calibri" w:eastAsia="Calibri" w:hAnsi="Calibri" w:cs="Calibri"/>
          <w:szCs w:val="22"/>
        </w:rPr>
        <w:t xml:space="preserve"> community dialogue (for example using Mother’s Support Groups in </w:t>
      </w:r>
      <w:r w:rsidR="005E27D0" w:rsidRPr="006B0C6C">
        <w:rPr>
          <w:rFonts w:ascii="Calibri" w:eastAsia="Calibri" w:hAnsi="Calibri" w:cs="Calibri"/>
          <w:szCs w:val="22"/>
        </w:rPr>
        <w:t>Timor-Leste</w:t>
      </w:r>
      <w:r w:rsidRPr="006B0C6C">
        <w:rPr>
          <w:rFonts w:ascii="Calibri" w:eastAsia="Calibri" w:hAnsi="Calibri" w:cs="Calibri"/>
          <w:szCs w:val="22"/>
        </w:rPr>
        <w:t xml:space="preserve"> or Women’s networks in Vanuatu) to engage and empower women</w:t>
      </w:r>
      <w:r w:rsidR="001D0E26" w:rsidRPr="006B0C6C">
        <w:rPr>
          <w:rFonts w:ascii="Calibri" w:eastAsia="Calibri" w:hAnsi="Calibri" w:cs="Calibri"/>
          <w:szCs w:val="22"/>
        </w:rPr>
        <w:t>,</w:t>
      </w:r>
      <w:r w:rsidRPr="006B0C6C">
        <w:rPr>
          <w:rFonts w:ascii="Calibri" w:eastAsia="Calibri" w:hAnsi="Calibri" w:cs="Calibri"/>
          <w:szCs w:val="22"/>
        </w:rPr>
        <w:t xml:space="preserve"> often with a view to influencing men around vaccination. In some provinces in Indonesia, </w:t>
      </w:r>
      <w:r w:rsidR="001D0E26" w:rsidRPr="006B0C6C">
        <w:rPr>
          <w:rFonts w:ascii="Calibri" w:eastAsia="Calibri" w:hAnsi="Calibri" w:cs="Calibri"/>
          <w:szCs w:val="22"/>
        </w:rPr>
        <w:t xml:space="preserve">delivery </w:t>
      </w:r>
      <w:r w:rsidR="00AB61D3">
        <w:rPr>
          <w:rFonts w:ascii="Calibri" w:eastAsia="Calibri" w:hAnsi="Calibri" w:cs="Calibri"/>
          <w:szCs w:val="22"/>
        </w:rPr>
        <w:t xml:space="preserve">support </w:t>
      </w:r>
      <w:r w:rsidRPr="006B0C6C">
        <w:rPr>
          <w:rFonts w:ascii="Calibri" w:eastAsia="Calibri" w:hAnsi="Calibri" w:cs="Calibri"/>
          <w:szCs w:val="22"/>
        </w:rPr>
        <w:t xml:space="preserve">partners focused on fathers’ groups and male church leaders to become advocates for immunisation while simultaneously supporting women-specific groups as key influencers for immunisation. </w:t>
      </w:r>
    </w:p>
    <w:p w14:paraId="54E9CF70" w14:textId="3C6F4CA7" w:rsidR="0090118F" w:rsidRPr="006B0C6C" w:rsidRDefault="6F6BBCCE" w:rsidP="000B7F90">
      <w:pPr>
        <w:jc w:val="both"/>
        <w:rPr>
          <w:rFonts w:ascii="Calibri" w:eastAsia="Calibri" w:hAnsi="Calibri" w:cs="Calibri"/>
          <w:color w:val="000000" w:themeColor="text1"/>
        </w:rPr>
      </w:pPr>
      <w:r w:rsidRPr="006B0C6C">
        <w:rPr>
          <w:rFonts w:ascii="Calibri" w:eastAsia="Calibri" w:hAnsi="Calibri" w:cs="Calibri"/>
        </w:rPr>
        <w:t xml:space="preserve">By using GEDSI-focused programming, and involving government counterparts, </w:t>
      </w:r>
      <w:r w:rsidR="001D0E26" w:rsidRPr="006B0C6C">
        <w:rPr>
          <w:rFonts w:ascii="Calibri" w:eastAsia="Calibri" w:hAnsi="Calibri" w:cs="Calibri"/>
        </w:rPr>
        <w:t xml:space="preserve">delivery </w:t>
      </w:r>
      <w:r w:rsidR="00AB61D3">
        <w:rPr>
          <w:rFonts w:ascii="Calibri" w:eastAsia="Calibri" w:hAnsi="Calibri" w:cs="Calibri"/>
        </w:rPr>
        <w:t xml:space="preserve">support </w:t>
      </w:r>
      <w:r w:rsidRPr="006B0C6C">
        <w:rPr>
          <w:rFonts w:ascii="Calibri" w:eastAsia="Calibri" w:hAnsi="Calibri" w:cs="Calibri"/>
        </w:rPr>
        <w:t xml:space="preserve">partners in Indonesia were able to demonstrate significantly higher vaccination rates </w:t>
      </w:r>
      <w:r w:rsidRPr="0017037C">
        <w:rPr>
          <w:rFonts w:ascii="Calibri" w:eastAsia="Calibri" w:hAnsi="Calibri" w:cs="Calibri"/>
        </w:rPr>
        <w:t xml:space="preserve">amongst </w:t>
      </w:r>
      <w:r w:rsidR="00AB61D3">
        <w:rPr>
          <w:rFonts w:ascii="Calibri" w:eastAsia="Calibri" w:hAnsi="Calibri" w:cs="Calibri"/>
        </w:rPr>
        <w:t>older persons</w:t>
      </w:r>
      <w:r w:rsidRPr="0017037C">
        <w:rPr>
          <w:rFonts w:ascii="Calibri" w:eastAsia="Calibri" w:hAnsi="Calibri" w:cs="Calibri"/>
        </w:rPr>
        <w:t>, prisoners and people with disabilit</w:t>
      </w:r>
      <w:r w:rsidR="001D0E26" w:rsidRPr="0017037C">
        <w:rPr>
          <w:rFonts w:ascii="Calibri" w:eastAsia="Calibri" w:hAnsi="Calibri" w:cs="Calibri"/>
        </w:rPr>
        <w:t>y</w:t>
      </w:r>
      <w:r w:rsidRPr="0017037C">
        <w:rPr>
          <w:rFonts w:ascii="Calibri" w:eastAsia="Calibri" w:hAnsi="Calibri" w:cs="Calibri"/>
        </w:rPr>
        <w:t xml:space="preserve"> in their program districts compared to other</w:t>
      </w:r>
      <w:r w:rsidR="00962083" w:rsidRPr="0017037C">
        <w:rPr>
          <w:rFonts w:ascii="Calibri" w:eastAsia="Calibri" w:hAnsi="Calibri" w:cs="Calibri"/>
        </w:rPr>
        <w:t xml:space="preserve"> similar districts</w:t>
      </w:r>
      <w:r w:rsidRPr="006B0C6C">
        <w:rPr>
          <w:rFonts w:ascii="Calibri" w:eastAsia="Calibri" w:hAnsi="Calibri" w:cs="Calibri"/>
        </w:rPr>
        <w:t>. DFAT’s bilateral health program in Indonesia attributed some of its success to what it termed the ‘</w:t>
      </w:r>
      <w:proofErr w:type="spellStart"/>
      <w:r w:rsidRPr="006B0C6C">
        <w:rPr>
          <w:rFonts w:ascii="Calibri" w:eastAsia="Calibri" w:hAnsi="Calibri" w:cs="Calibri"/>
        </w:rPr>
        <w:t>pentahelix</w:t>
      </w:r>
      <w:proofErr w:type="spellEnd"/>
      <w:r w:rsidRPr="006B0C6C">
        <w:rPr>
          <w:rFonts w:ascii="Calibri" w:eastAsia="Calibri" w:hAnsi="Calibri" w:cs="Calibri"/>
        </w:rPr>
        <w:t xml:space="preserve"> approach’ </w:t>
      </w:r>
      <w:r w:rsidR="001D0E26" w:rsidRPr="006B0C6C">
        <w:rPr>
          <w:rFonts w:ascii="Calibri" w:eastAsia="Calibri" w:hAnsi="Calibri" w:cs="Calibri"/>
        </w:rPr>
        <w:t>which included</w:t>
      </w:r>
      <w:r w:rsidRPr="006B0C6C">
        <w:rPr>
          <w:rFonts w:ascii="Calibri" w:eastAsia="Calibri" w:hAnsi="Calibri" w:cs="Calibri"/>
        </w:rPr>
        <w:t xml:space="preserve"> consulting and engaging broadly </w:t>
      </w:r>
      <w:r w:rsidRPr="006B0C6C">
        <w:rPr>
          <w:rFonts w:ascii="Calibri" w:eastAsia="Calibri" w:hAnsi="Calibri" w:cs="Calibri"/>
          <w:color w:val="000000" w:themeColor="text1"/>
        </w:rPr>
        <w:t xml:space="preserve">involving multisectoral </w:t>
      </w:r>
      <w:proofErr w:type="gramStart"/>
      <w:r w:rsidRPr="006B0C6C">
        <w:rPr>
          <w:rFonts w:ascii="Calibri" w:eastAsia="Calibri" w:hAnsi="Calibri" w:cs="Calibri"/>
          <w:color w:val="000000" w:themeColor="text1"/>
        </w:rPr>
        <w:t>stakeholders;</w:t>
      </w:r>
      <w:proofErr w:type="gramEnd"/>
      <w:r w:rsidRPr="006B0C6C">
        <w:rPr>
          <w:rFonts w:ascii="Calibri" w:eastAsia="Calibri" w:hAnsi="Calibri" w:cs="Calibri"/>
          <w:color w:val="000000" w:themeColor="text1"/>
        </w:rPr>
        <w:t xml:space="preserve"> community, government, academia, media, and private sector partnership</w:t>
      </w:r>
      <w:r w:rsidR="001D0E26" w:rsidRPr="006B0C6C">
        <w:rPr>
          <w:rFonts w:ascii="Calibri" w:eastAsia="Calibri" w:hAnsi="Calibri" w:cs="Calibri"/>
          <w:color w:val="000000" w:themeColor="text1"/>
        </w:rPr>
        <w:t>s</w:t>
      </w:r>
      <w:r w:rsidR="64F3CC0D" w:rsidRPr="006B0C6C">
        <w:rPr>
          <w:rFonts w:ascii="Calibri" w:eastAsia="Calibri" w:hAnsi="Calibri" w:cs="Calibri"/>
          <w:color w:val="000000" w:themeColor="text1"/>
        </w:rPr>
        <w:t>.</w:t>
      </w:r>
    </w:p>
    <w:p w14:paraId="0423168C" w14:textId="1C71BDBF" w:rsidR="6F6BBCCE" w:rsidRPr="006B0C6C" w:rsidRDefault="6F6BBCCE" w:rsidP="006B0C6C">
      <w:pPr>
        <w:pStyle w:val="Heading3SHS"/>
      </w:pPr>
      <w:bookmarkStart w:id="167" w:name="_Toc200617304"/>
      <w:r w:rsidRPr="006B0C6C">
        <w:t xml:space="preserve">Monitoring </w:t>
      </w:r>
      <w:r w:rsidR="00B87417">
        <w:t>and</w:t>
      </w:r>
      <w:r w:rsidRPr="006B0C6C">
        <w:t xml:space="preserve"> reporting </w:t>
      </w:r>
      <w:r w:rsidR="009130F9" w:rsidRPr="006B0C6C">
        <w:t>on GEDSI</w:t>
      </w:r>
      <w:bookmarkEnd w:id="167"/>
    </w:p>
    <w:p w14:paraId="31710AEB" w14:textId="2C7895EE" w:rsidR="6F6BBCCE" w:rsidRPr="006B0C6C" w:rsidRDefault="6F6BBCCE" w:rsidP="0A544168">
      <w:pPr>
        <w:jc w:val="both"/>
        <w:rPr>
          <w:rFonts w:ascii="Calibri" w:eastAsia="Calibri" w:hAnsi="Calibri" w:cs="Calibri"/>
        </w:rPr>
      </w:pPr>
      <w:r w:rsidRPr="4A351EF4">
        <w:rPr>
          <w:rFonts w:ascii="Calibri" w:eastAsia="Calibri" w:hAnsi="Calibri" w:cs="Calibri"/>
        </w:rPr>
        <w:t xml:space="preserve">VAHSI reporting on GEDSI relied heavily on assumptions of availability of disaggregated data and quality reporting on GEDSI as informed by the </w:t>
      </w:r>
      <w:r w:rsidR="00B87417" w:rsidRPr="4A351EF4">
        <w:rPr>
          <w:rFonts w:ascii="Calibri" w:eastAsia="Calibri" w:hAnsi="Calibri" w:cs="Calibri"/>
        </w:rPr>
        <w:t>PAF</w:t>
      </w:r>
      <w:r w:rsidRPr="4A351EF4">
        <w:rPr>
          <w:rFonts w:ascii="Calibri" w:eastAsia="Calibri" w:hAnsi="Calibri" w:cs="Calibri"/>
        </w:rPr>
        <w:t xml:space="preserve">. The lack of disaggregated data from </w:t>
      </w:r>
      <w:proofErr w:type="gramStart"/>
      <w:r w:rsidRPr="4A351EF4">
        <w:rPr>
          <w:rFonts w:ascii="Calibri" w:eastAsia="Calibri" w:hAnsi="Calibri" w:cs="Calibri"/>
        </w:rPr>
        <w:t>a number of</w:t>
      </w:r>
      <w:proofErr w:type="gramEnd"/>
      <w:r w:rsidR="41A9759C" w:rsidRPr="4A351EF4">
        <w:rPr>
          <w:rFonts w:ascii="Calibri" w:eastAsia="Calibri" w:hAnsi="Calibri" w:cs="Calibri"/>
        </w:rPr>
        <w:t xml:space="preserve"> </w:t>
      </w:r>
      <w:r w:rsidR="00B87417" w:rsidRPr="4A351EF4">
        <w:rPr>
          <w:rFonts w:ascii="Calibri" w:eastAsia="Calibri" w:hAnsi="Calibri" w:cs="Calibri"/>
        </w:rPr>
        <w:t>delivery</w:t>
      </w:r>
      <w:r w:rsidR="006874E4">
        <w:rPr>
          <w:rFonts w:ascii="Calibri" w:eastAsia="Calibri" w:hAnsi="Calibri" w:cs="Calibri"/>
        </w:rPr>
        <w:t xml:space="preserve"> support</w:t>
      </w:r>
      <w:r w:rsidR="00B87417" w:rsidRPr="4A351EF4">
        <w:rPr>
          <w:rFonts w:ascii="Calibri" w:eastAsia="Calibri" w:hAnsi="Calibri" w:cs="Calibri"/>
        </w:rPr>
        <w:t xml:space="preserve"> </w:t>
      </w:r>
      <w:r w:rsidRPr="4A351EF4">
        <w:rPr>
          <w:rFonts w:ascii="Calibri" w:eastAsia="Calibri" w:hAnsi="Calibri" w:cs="Calibri"/>
        </w:rPr>
        <w:t xml:space="preserve">partners and the high variability </w:t>
      </w:r>
      <w:r w:rsidR="0AAF5375" w:rsidRPr="4A351EF4">
        <w:rPr>
          <w:rFonts w:ascii="Calibri" w:eastAsia="Calibri" w:hAnsi="Calibri" w:cs="Calibri"/>
        </w:rPr>
        <w:t>i</w:t>
      </w:r>
      <w:r w:rsidRPr="4A351EF4">
        <w:rPr>
          <w:rFonts w:ascii="Calibri" w:eastAsia="Calibri" w:hAnsi="Calibri" w:cs="Calibri"/>
        </w:rPr>
        <w:t xml:space="preserve">n the quality of reporting (and subsequent analysis by DFAT) compromised DFAT’s ability to adequately monitor </w:t>
      </w:r>
      <w:r w:rsidR="009130F9" w:rsidRPr="4A351EF4">
        <w:rPr>
          <w:rFonts w:ascii="Calibri" w:eastAsia="Calibri" w:hAnsi="Calibri" w:cs="Calibri"/>
        </w:rPr>
        <w:t xml:space="preserve">delivery </w:t>
      </w:r>
      <w:r w:rsidR="006874E4">
        <w:rPr>
          <w:rFonts w:ascii="Calibri" w:eastAsia="Calibri" w:hAnsi="Calibri" w:cs="Calibri"/>
        </w:rPr>
        <w:t xml:space="preserve">support </w:t>
      </w:r>
      <w:r w:rsidRPr="4A351EF4">
        <w:rPr>
          <w:rFonts w:ascii="Calibri" w:eastAsia="Calibri" w:hAnsi="Calibri" w:cs="Calibri"/>
        </w:rPr>
        <w:t xml:space="preserve">partner </w:t>
      </w:r>
      <w:r w:rsidR="009130F9" w:rsidRPr="4A351EF4">
        <w:rPr>
          <w:rFonts w:ascii="Calibri" w:eastAsia="Calibri" w:hAnsi="Calibri" w:cs="Calibri"/>
        </w:rPr>
        <w:t xml:space="preserve">GEDSI </w:t>
      </w:r>
      <w:r w:rsidRPr="4A351EF4">
        <w:rPr>
          <w:rFonts w:ascii="Calibri" w:eastAsia="Calibri" w:hAnsi="Calibri" w:cs="Calibri"/>
        </w:rPr>
        <w:t xml:space="preserve">efforts and achievements.  </w:t>
      </w:r>
    </w:p>
    <w:p w14:paraId="12A70048" w14:textId="3775B9F7" w:rsidR="6F6BBCCE" w:rsidRPr="006B0C6C" w:rsidRDefault="6F6BBCCE" w:rsidP="000B7F90">
      <w:pPr>
        <w:jc w:val="both"/>
      </w:pPr>
      <w:r w:rsidRPr="4608E2EE">
        <w:rPr>
          <w:rFonts w:ascii="Calibri" w:eastAsia="Calibri" w:hAnsi="Calibri" w:cs="Calibri"/>
        </w:rPr>
        <w:t xml:space="preserve">The overall strategic intent of the VAHSI program was to support ‘equitable and inclusive access to and </w:t>
      </w:r>
      <w:r w:rsidRPr="0017037C">
        <w:rPr>
          <w:rFonts w:ascii="Calibri" w:eastAsia="Calibri" w:hAnsi="Calibri" w:cs="Calibri"/>
        </w:rPr>
        <w:t>delivery of safe, effective vaccines’.</w:t>
      </w:r>
      <w:r w:rsidR="001A33CA" w:rsidRPr="0017037C">
        <w:rPr>
          <w:rStyle w:val="EndnoteReference"/>
          <w:rFonts w:ascii="Calibri" w:eastAsia="Calibri" w:hAnsi="Calibri" w:cs="Calibri"/>
        </w:rPr>
        <w:endnoteReference w:id="18"/>
      </w:r>
      <w:r w:rsidRPr="0017037C">
        <w:rPr>
          <w:rFonts w:ascii="Calibri" w:eastAsia="Calibri" w:hAnsi="Calibri" w:cs="Calibri"/>
        </w:rPr>
        <w:t xml:space="preserve"> This is formally articulated in the VAHSI Program Logic under Intermediate Outcome (IO) 3: Partner health Authorities administer effective systems that enable </w:t>
      </w:r>
      <w:r w:rsidRPr="0017037C">
        <w:rPr>
          <w:rFonts w:ascii="Calibri" w:eastAsia="Calibri" w:hAnsi="Calibri" w:cs="Calibri"/>
          <w:i/>
          <w:iCs/>
        </w:rPr>
        <w:t xml:space="preserve">accessible </w:t>
      </w:r>
      <w:r w:rsidRPr="0017037C">
        <w:rPr>
          <w:rFonts w:ascii="Calibri" w:eastAsia="Calibri" w:hAnsi="Calibri" w:cs="Calibri"/>
        </w:rPr>
        <w:t>and safe national delivery of vaccines</w:t>
      </w:r>
      <w:r w:rsidRPr="4608E2EE">
        <w:rPr>
          <w:rFonts w:ascii="Calibri" w:eastAsia="Calibri" w:hAnsi="Calibri" w:cs="Calibri"/>
        </w:rPr>
        <w:t>, and Intermediate Outcome (IO) 4: Partner countries implement effective and</w:t>
      </w:r>
      <w:r w:rsidRPr="4608E2EE">
        <w:rPr>
          <w:rFonts w:ascii="Calibri" w:eastAsia="Calibri" w:hAnsi="Calibri" w:cs="Calibri"/>
          <w:i/>
          <w:iCs/>
        </w:rPr>
        <w:t xml:space="preserve"> inclusive</w:t>
      </w:r>
      <w:r w:rsidRPr="4608E2EE">
        <w:rPr>
          <w:rFonts w:ascii="Calibri" w:eastAsia="Calibri" w:hAnsi="Calibri" w:cs="Calibri"/>
        </w:rPr>
        <w:t xml:space="preserve"> COVID-19 vaccination/routine immunisation social mobilisation and engagement strategy. While alluding to GEDSI – there was no stand-alone outcome for gender, disability or social inclusion. </w:t>
      </w:r>
    </w:p>
    <w:p w14:paraId="562DE5ED" w14:textId="6696E6ED" w:rsidR="6F6BBCCE" w:rsidRPr="006B0C6C" w:rsidRDefault="6F6BBCCE" w:rsidP="000B7F90">
      <w:pPr>
        <w:jc w:val="both"/>
      </w:pPr>
      <w:r w:rsidRPr="006B0C6C">
        <w:rPr>
          <w:rFonts w:ascii="Calibri" w:eastAsia="Calibri" w:hAnsi="Calibri" w:cs="Calibri"/>
        </w:rPr>
        <w:t xml:space="preserve">Six (out of a total of 21) indicators in the associated VAHSI </w:t>
      </w:r>
      <w:r w:rsidR="00B87417">
        <w:rPr>
          <w:rFonts w:ascii="Calibri" w:eastAsia="Calibri" w:hAnsi="Calibri" w:cs="Calibri"/>
        </w:rPr>
        <w:t>PAF</w:t>
      </w:r>
      <w:r w:rsidRPr="006B0C6C">
        <w:rPr>
          <w:rFonts w:ascii="Calibri" w:eastAsia="Calibri" w:hAnsi="Calibri" w:cs="Calibri"/>
        </w:rPr>
        <w:t xml:space="preserve"> were anticipated to be the mechanisms for ensuring that data was collected to evidence effectiveness in terms of equity, inclusion and accessibility.</w:t>
      </w:r>
      <w:r w:rsidR="64B09457" w:rsidRPr="006B0C6C">
        <w:rPr>
          <w:rFonts w:ascii="Calibri" w:eastAsia="Calibri" w:hAnsi="Calibri" w:cs="Calibri"/>
        </w:rPr>
        <w:t xml:space="preserve"> </w:t>
      </w:r>
      <w:r w:rsidRPr="006B0C6C">
        <w:rPr>
          <w:rFonts w:ascii="Calibri" w:eastAsia="Calibri" w:hAnsi="Calibri" w:cs="Calibri"/>
        </w:rPr>
        <w:t xml:space="preserve">Indicators proposed were substantively based on disaggregated quantitative data to be provided to DFAT in partner six monthly reports. This </w:t>
      </w:r>
      <w:proofErr w:type="gramStart"/>
      <w:r w:rsidRPr="006B0C6C">
        <w:rPr>
          <w:rFonts w:ascii="Calibri" w:eastAsia="Calibri" w:hAnsi="Calibri" w:cs="Calibri"/>
        </w:rPr>
        <w:t>was based on the assumption</w:t>
      </w:r>
      <w:proofErr w:type="gramEnd"/>
      <w:r w:rsidRPr="006B0C6C">
        <w:rPr>
          <w:rFonts w:ascii="Calibri" w:eastAsia="Calibri" w:hAnsi="Calibri" w:cs="Calibri"/>
        </w:rPr>
        <w:t xml:space="preserve"> that </w:t>
      </w:r>
      <w:r w:rsidR="00B87417">
        <w:rPr>
          <w:rFonts w:ascii="Calibri" w:eastAsia="Calibri" w:hAnsi="Calibri" w:cs="Calibri"/>
        </w:rPr>
        <w:t xml:space="preserve">delivery </w:t>
      </w:r>
      <w:r w:rsidR="006874E4">
        <w:rPr>
          <w:rFonts w:ascii="Calibri" w:eastAsia="Calibri" w:hAnsi="Calibri" w:cs="Calibri"/>
        </w:rPr>
        <w:t xml:space="preserve">support </w:t>
      </w:r>
      <w:r w:rsidRPr="006B0C6C">
        <w:rPr>
          <w:rFonts w:ascii="Calibri" w:eastAsia="Calibri" w:hAnsi="Calibri" w:cs="Calibri"/>
        </w:rPr>
        <w:t xml:space="preserve">partners would develop MEL frameworks (MELFs), integrating GEDSI across process and outcome indicators, ensuring a ‘line of sight’ back to the higher-level initiative reporting system. The PAF also assumed reasonable quality and consistency of reporting from </w:t>
      </w:r>
      <w:r w:rsidR="009130F9" w:rsidRPr="006B0C6C">
        <w:rPr>
          <w:rFonts w:ascii="Calibri" w:eastAsia="Calibri" w:hAnsi="Calibri" w:cs="Calibri"/>
        </w:rPr>
        <w:t xml:space="preserve">delivery </w:t>
      </w:r>
      <w:r w:rsidR="006874E4">
        <w:rPr>
          <w:rFonts w:ascii="Calibri" w:eastAsia="Calibri" w:hAnsi="Calibri" w:cs="Calibri"/>
        </w:rPr>
        <w:t xml:space="preserve">support </w:t>
      </w:r>
      <w:r w:rsidRPr="006B0C6C">
        <w:rPr>
          <w:rFonts w:ascii="Calibri" w:eastAsia="Calibri" w:hAnsi="Calibri" w:cs="Calibri"/>
        </w:rPr>
        <w:t xml:space="preserve">partners and a process whereby partner reports and data (perhaps at a country level) could be collated for analysis and periodic progress review. </w:t>
      </w:r>
    </w:p>
    <w:p w14:paraId="259EE12E" w14:textId="59645E42" w:rsidR="6F6BBCCE" w:rsidRPr="006B0C6C" w:rsidRDefault="6F6BBCCE" w:rsidP="4A351EF4">
      <w:pPr>
        <w:jc w:val="both"/>
        <w:rPr>
          <w:rFonts w:ascii="Calibri" w:eastAsia="Calibri" w:hAnsi="Calibri" w:cs="Calibri"/>
        </w:rPr>
      </w:pPr>
      <w:r w:rsidRPr="4A351EF4">
        <w:rPr>
          <w:rFonts w:ascii="Calibri" w:eastAsia="Calibri" w:hAnsi="Calibri" w:cs="Calibri"/>
        </w:rPr>
        <w:t xml:space="preserve">In practice, </w:t>
      </w:r>
      <w:r w:rsidR="009130F9" w:rsidRPr="4A351EF4">
        <w:rPr>
          <w:rFonts w:ascii="Calibri" w:eastAsia="Calibri" w:hAnsi="Calibri" w:cs="Calibri"/>
        </w:rPr>
        <w:t xml:space="preserve">delivery </w:t>
      </w:r>
      <w:r w:rsidR="006874E4">
        <w:rPr>
          <w:rFonts w:ascii="Calibri" w:eastAsia="Calibri" w:hAnsi="Calibri" w:cs="Calibri"/>
        </w:rPr>
        <w:t xml:space="preserve">support </w:t>
      </w:r>
      <w:r w:rsidRPr="4A351EF4">
        <w:rPr>
          <w:rFonts w:ascii="Calibri" w:eastAsia="Calibri" w:hAnsi="Calibri" w:cs="Calibri"/>
        </w:rPr>
        <w:t xml:space="preserve">partner MEL frameworks frequently bore no resemblance to the expected data requirements in the </w:t>
      </w:r>
      <w:proofErr w:type="gramStart"/>
      <w:r w:rsidRPr="4A351EF4">
        <w:rPr>
          <w:rFonts w:ascii="Calibri" w:eastAsia="Calibri" w:hAnsi="Calibri" w:cs="Calibri"/>
        </w:rPr>
        <w:t>PAF</w:t>
      </w:r>
      <w:proofErr w:type="gramEnd"/>
      <w:r w:rsidRPr="4A351EF4">
        <w:rPr>
          <w:rFonts w:ascii="Calibri" w:eastAsia="Calibri" w:hAnsi="Calibri" w:cs="Calibri"/>
        </w:rPr>
        <w:t xml:space="preserve"> and reports were of highly variable detail and quality. One DFAT respondent stat</w:t>
      </w:r>
      <w:r w:rsidR="009130F9" w:rsidRPr="4A351EF4">
        <w:rPr>
          <w:rFonts w:ascii="Calibri" w:eastAsia="Calibri" w:hAnsi="Calibri" w:cs="Calibri"/>
        </w:rPr>
        <w:t>ed</w:t>
      </w:r>
      <w:r w:rsidRPr="4A351EF4">
        <w:rPr>
          <w:rFonts w:ascii="Calibri" w:eastAsia="Calibri" w:hAnsi="Calibri" w:cs="Calibri"/>
        </w:rPr>
        <w:t xml:space="preserve"> that a lot of partner reports were ‘not very good at all</w:t>
      </w:r>
      <w:r w:rsidR="001D5C74" w:rsidRPr="4A351EF4">
        <w:rPr>
          <w:rFonts w:ascii="Calibri" w:eastAsia="Calibri" w:hAnsi="Calibri" w:cs="Calibri"/>
        </w:rPr>
        <w:t>.’</w:t>
      </w:r>
      <w:r w:rsidRPr="4A351EF4">
        <w:rPr>
          <w:rFonts w:ascii="Calibri" w:eastAsia="Calibri" w:hAnsi="Calibri" w:cs="Calibri"/>
        </w:rPr>
        <w:t xml:space="preserve"> With the notable exceptions of DFAT bilateral health partners and NGOs with experience of reporting under either DFAT’s ANCP or AHP programs</w:t>
      </w:r>
      <w:r w:rsidR="003A3479" w:rsidRPr="4A351EF4">
        <w:rPr>
          <w:rFonts w:ascii="Calibri" w:eastAsia="Calibri" w:hAnsi="Calibri" w:cs="Calibri"/>
        </w:rPr>
        <w:t>,</w:t>
      </w:r>
      <w:r w:rsidRPr="4A351EF4">
        <w:rPr>
          <w:rFonts w:ascii="Calibri" w:eastAsia="Calibri" w:hAnsi="Calibri" w:cs="Calibri"/>
        </w:rPr>
        <w:t xml:space="preserve"> almost no disaggregated data was available in partner reports (for example, sex, age, disability or other sociodemographic variables).  </w:t>
      </w:r>
    </w:p>
    <w:p w14:paraId="1C227A65" w14:textId="10BA24A0" w:rsidR="6F6BBCCE" w:rsidRPr="006B0C6C" w:rsidRDefault="6F6BBCCE" w:rsidP="000B7F90">
      <w:pPr>
        <w:jc w:val="both"/>
      </w:pPr>
      <w:r w:rsidRPr="006B0C6C">
        <w:rPr>
          <w:rFonts w:ascii="Calibri" w:eastAsia="Calibri" w:hAnsi="Calibri" w:cs="Calibri"/>
        </w:rPr>
        <w:t xml:space="preserve">Overall awareness of the VAHSI PAF </w:t>
      </w:r>
      <w:r w:rsidR="407B0E0A" w:rsidRPr="006B0C6C">
        <w:rPr>
          <w:rFonts w:ascii="Calibri" w:eastAsia="Calibri" w:hAnsi="Calibri" w:cs="Calibri"/>
        </w:rPr>
        <w:t xml:space="preserve">data requirements </w:t>
      </w:r>
      <w:r w:rsidRPr="006B0C6C">
        <w:rPr>
          <w:rFonts w:ascii="Calibri" w:eastAsia="Calibri" w:hAnsi="Calibri" w:cs="Calibri"/>
        </w:rPr>
        <w:t xml:space="preserve">was very low among </w:t>
      </w:r>
      <w:r w:rsidR="009130F9" w:rsidRPr="006B0C6C">
        <w:rPr>
          <w:rFonts w:ascii="Calibri" w:eastAsia="Calibri" w:hAnsi="Calibri" w:cs="Calibri"/>
        </w:rPr>
        <w:t xml:space="preserve">delivery </w:t>
      </w:r>
      <w:r w:rsidR="006874E4">
        <w:rPr>
          <w:rFonts w:ascii="Calibri" w:eastAsia="Calibri" w:hAnsi="Calibri" w:cs="Calibri"/>
        </w:rPr>
        <w:t xml:space="preserve">support </w:t>
      </w:r>
      <w:r w:rsidRPr="006B0C6C">
        <w:rPr>
          <w:rFonts w:ascii="Calibri" w:eastAsia="Calibri" w:hAnsi="Calibri" w:cs="Calibri"/>
        </w:rPr>
        <w:t xml:space="preserve">partners and </w:t>
      </w:r>
      <w:proofErr w:type="gramStart"/>
      <w:r w:rsidRPr="006B0C6C">
        <w:rPr>
          <w:rFonts w:ascii="Calibri" w:eastAsia="Calibri" w:hAnsi="Calibri" w:cs="Calibri"/>
        </w:rPr>
        <w:t xml:space="preserve">a number </w:t>
      </w:r>
      <w:r w:rsidR="009130F9" w:rsidRPr="006B0C6C">
        <w:rPr>
          <w:rFonts w:ascii="Calibri" w:eastAsia="Calibri" w:hAnsi="Calibri" w:cs="Calibri"/>
        </w:rPr>
        <w:t>of</w:t>
      </w:r>
      <w:proofErr w:type="gramEnd"/>
      <w:r w:rsidR="009130F9" w:rsidRPr="006B0C6C">
        <w:rPr>
          <w:rFonts w:ascii="Calibri" w:eastAsia="Calibri" w:hAnsi="Calibri" w:cs="Calibri"/>
        </w:rPr>
        <w:t xml:space="preserve"> </w:t>
      </w:r>
      <w:r w:rsidR="00B87417">
        <w:rPr>
          <w:rFonts w:ascii="Calibri" w:eastAsia="Calibri" w:hAnsi="Calibri" w:cs="Calibri"/>
        </w:rPr>
        <w:t xml:space="preserve">delivery </w:t>
      </w:r>
      <w:r w:rsidR="006874E4">
        <w:rPr>
          <w:rFonts w:ascii="Calibri" w:eastAsia="Calibri" w:hAnsi="Calibri" w:cs="Calibri"/>
        </w:rPr>
        <w:t xml:space="preserve">support </w:t>
      </w:r>
      <w:r w:rsidR="009130F9" w:rsidRPr="006B0C6C">
        <w:rPr>
          <w:rFonts w:ascii="Calibri" w:eastAsia="Calibri" w:hAnsi="Calibri" w:cs="Calibri"/>
        </w:rPr>
        <w:t xml:space="preserve">partners </w:t>
      </w:r>
      <w:r w:rsidRPr="006B0C6C">
        <w:rPr>
          <w:rFonts w:ascii="Calibri" w:eastAsia="Calibri" w:hAnsi="Calibri" w:cs="Calibri"/>
        </w:rPr>
        <w:t xml:space="preserve">reported struggling with the development of their project-level MELFs in terms of understanding DFAT’s minimum data and reporting expectations. While arguments could be made for better socialising the PAF, some respondents who were familiar with the PAF, reported it to be overly complex and difficult to adapt to a project-level MELF. Support and feedback on reporting and MEL system development was reportedly provided to </w:t>
      </w:r>
      <w:r w:rsidR="00B87417">
        <w:rPr>
          <w:rFonts w:ascii="Calibri" w:eastAsia="Calibri" w:hAnsi="Calibri" w:cs="Calibri"/>
        </w:rPr>
        <w:t>delivery</w:t>
      </w:r>
      <w:r w:rsidR="006874E4">
        <w:rPr>
          <w:rFonts w:ascii="Calibri" w:eastAsia="Calibri" w:hAnsi="Calibri" w:cs="Calibri"/>
        </w:rPr>
        <w:t xml:space="preserve"> </w:t>
      </w:r>
      <w:r w:rsidR="00603B68">
        <w:rPr>
          <w:rFonts w:ascii="Calibri" w:eastAsia="Calibri" w:hAnsi="Calibri" w:cs="Calibri"/>
        </w:rPr>
        <w:t>support partners</w:t>
      </w:r>
      <w:r w:rsidRPr="006B0C6C">
        <w:rPr>
          <w:rFonts w:ascii="Calibri" w:eastAsia="Calibri" w:hAnsi="Calibri" w:cs="Calibri"/>
        </w:rPr>
        <w:t xml:space="preserve"> by DFAT in the initial phase of the program including the provision of a standard reporting template. However, not all </w:t>
      </w:r>
      <w:r w:rsidR="00B87417">
        <w:rPr>
          <w:rFonts w:ascii="Calibri" w:eastAsia="Calibri" w:hAnsi="Calibri" w:cs="Calibri"/>
        </w:rPr>
        <w:t xml:space="preserve">delivery </w:t>
      </w:r>
      <w:r w:rsidR="006874E4">
        <w:rPr>
          <w:rFonts w:ascii="Calibri" w:eastAsia="Calibri" w:hAnsi="Calibri" w:cs="Calibri"/>
        </w:rPr>
        <w:t xml:space="preserve">support </w:t>
      </w:r>
      <w:r w:rsidRPr="006B0C6C">
        <w:rPr>
          <w:rFonts w:ascii="Calibri" w:eastAsia="Calibri" w:hAnsi="Calibri" w:cs="Calibri"/>
        </w:rPr>
        <w:t xml:space="preserve">partners were receptive to feedback and suggestions and DFAT’s MEL supports were not sustained throughout the life of the program. </w:t>
      </w:r>
    </w:p>
    <w:p w14:paraId="1F88CC9C" w14:textId="637D7B96" w:rsidR="6F6BBCCE" w:rsidRPr="006B0C6C" w:rsidRDefault="6F6BBCCE" w:rsidP="000B7F90">
      <w:pPr>
        <w:jc w:val="both"/>
      </w:pPr>
      <w:r w:rsidRPr="4A351EF4">
        <w:rPr>
          <w:rFonts w:ascii="Calibri" w:eastAsia="Calibri" w:hAnsi="Calibri" w:cs="Calibri"/>
        </w:rPr>
        <w:t xml:space="preserve">The drop off in MEL supports was evidenced most starkly in the failure to maintain regular and comprehensive review of all partner reports </w:t>
      </w:r>
      <w:r w:rsidR="009130F9" w:rsidRPr="4A351EF4">
        <w:rPr>
          <w:rFonts w:ascii="Calibri" w:eastAsia="Calibri" w:hAnsi="Calibri" w:cs="Calibri"/>
        </w:rPr>
        <w:t>and provide</w:t>
      </w:r>
      <w:r w:rsidRPr="4A351EF4">
        <w:rPr>
          <w:rFonts w:ascii="Calibri" w:eastAsia="Calibri" w:hAnsi="Calibri" w:cs="Calibri"/>
        </w:rPr>
        <w:t xml:space="preserve"> feedback to </w:t>
      </w:r>
      <w:r w:rsidR="00B87417" w:rsidRPr="4A351EF4">
        <w:rPr>
          <w:rFonts w:ascii="Calibri" w:eastAsia="Calibri" w:hAnsi="Calibri" w:cs="Calibri"/>
        </w:rPr>
        <w:t xml:space="preserve">delivery </w:t>
      </w:r>
      <w:r w:rsidR="006874E4">
        <w:rPr>
          <w:rFonts w:ascii="Calibri" w:eastAsia="Calibri" w:hAnsi="Calibri" w:cs="Calibri"/>
        </w:rPr>
        <w:t xml:space="preserve">support </w:t>
      </w:r>
      <w:r w:rsidRPr="4A351EF4">
        <w:rPr>
          <w:rFonts w:ascii="Calibri" w:eastAsia="Calibri" w:hAnsi="Calibri" w:cs="Calibri"/>
        </w:rPr>
        <w:t xml:space="preserve">partners in terms of information requirements. Equally importantly, this impacted any effort to attempt some form of collation into annual progress reports </w:t>
      </w:r>
      <w:r w:rsidR="009130F9" w:rsidRPr="4A351EF4">
        <w:rPr>
          <w:rFonts w:ascii="Calibri" w:eastAsia="Calibri" w:hAnsi="Calibri" w:cs="Calibri"/>
        </w:rPr>
        <w:t>which</w:t>
      </w:r>
      <w:r w:rsidR="003A3479" w:rsidRPr="4A351EF4">
        <w:rPr>
          <w:rFonts w:ascii="Calibri" w:eastAsia="Calibri" w:hAnsi="Calibri" w:cs="Calibri"/>
        </w:rPr>
        <w:t xml:space="preserve"> </w:t>
      </w:r>
      <w:r w:rsidRPr="4A351EF4">
        <w:rPr>
          <w:rFonts w:ascii="Calibri" w:eastAsia="Calibri" w:hAnsi="Calibri" w:cs="Calibri"/>
        </w:rPr>
        <w:t>occurred (at a country level) in the first year of the program only. This not only compromised DFAT’s ability to monitor progress against indicators and outcomes but also diminishe</w:t>
      </w:r>
      <w:r w:rsidR="009130F9" w:rsidRPr="4A351EF4">
        <w:rPr>
          <w:rFonts w:ascii="Calibri" w:eastAsia="Calibri" w:hAnsi="Calibri" w:cs="Calibri"/>
        </w:rPr>
        <w:t>d</w:t>
      </w:r>
      <w:r w:rsidRPr="4A351EF4">
        <w:rPr>
          <w:rFonts w:ascii="Calibri" w:eastAsia="Calibri" w:hAnsi="Calibri" w:cs="Calibri"/>
        </w:rPr>
        <w:t xml:space="preserve"> the value and utility of the PAF as a tool for assessing the overall effectiveness and achievement of intended outcomes. </w:t>
      </w:r>
    </w:p>
    <w:p w14:paraId="245CCDEE" w14:textId="39D0542F" w:rsidR="6F6BBCCE" w:rsidRPr="006B0C6C" w:rsidRDefault="6F6BBCCE" w:rsidP="000B7F90">
      <w:pPr>
        <w:jc w:val="both"/>
      </w:pPr>
      <w:r w:rsidRPr="006B0C6C">
        <w:rPr>
          <w:rFonts w:ascii="Calibri" w:eastAsia="Calibri" w:hAnsi="Calibri" w:cs="Calibri"/>
        </w:rPr>
        <w:t xml:space="preserve">For a program of this nature – supporting the ‘equitable and inclusive access to and delivery of safe, effective vaccines’ </w:t>
      </w:r>
      <w:r w:rsidR="00C21CD7" w:rsidRPr="4A351EF4">
        <w:rPr>
          <w:rFonts w:ascii="Calibri" w:eastAsia="Calibri" w:hAnsi="Calibri" w:cs="Calibri"/>
        </w:rPr>
        <w:t xml:space="preserve">– </w:t>
      </w:r>
      <w:r w:rsidRPr="006B0C6C">
        <w:rPr>
          <w:rFonts w:ascii="Calibri" w:eastAsia="Calibri" w:hAnsi="Calibri" w:cs="Calibri"/>
        </w:rPr>
        <w:t>it is perhaps not surprising that the PAF leans heavily on quantitative data</w:t>
      </w:r>
      <w:r w:rsidR="009130F9" w:rsidRPr="006B0C6C">
        <w:rPr>
          <w:rFonts w:ascii="Calibri" w:eastAsia="Calibri" w:hAnsi="Calibri" w:cs="Calibri"/>
        </w:rPr>
        <w:t xml:space="preserve">. </w:t>
      </w:r>
      <w:r w:rsidRPr="006B0C6C">
        <w:rPr>
          <w:rFonts w:ascii="Calibri" w:eastAsia="Calibri" w:hAnsi="Calibri" w:cs="Calibri"/>
        </w:rPr>
        <w:t xml:space="preserve">However, the GEDSI Strategy and indeed the PAF itself does still provide scope for the capture of qualitative data, for example, Indicator 14: Evidence of GEDSI through policy dialogue and programming or Indicator 12: Evidence that partner countries have implemented effective RCCE and social mobilisation strategies to reach key populations. </w:t>
      </w:r>
      <w:r w:rsidR="009130F9" w:rsidRPr="006B0C6C">
        <w:rPr>
          <w:rFonts w:ascii="Calibri" w:eastAsia="Calibri" w:hAnsi="Calibri" w:cs="Calibri"/>
        </w:rPr>
        <w:t xml:space="preserve">Strategies for capturing this type of qualitative information (‘proactive monitoring pieces’ as referenced in the GEDSI strategy) </w:t>
      </w:r>
      <w:r w:rsidRPr="006B0C6C">
        <w:rPr>
          <w:rFonts w:ascii="Calibri" w:eastAsia="Calibri" w:hAnsi="Calibri" w:cs="Calibri"/>
        </w:rPr>
        <w:t>appears to be missing</w:t>
      </w:r>
      <w:r w:rsidR="009130F9" w:rsidRPr="006B0C6C">
        <w:rPr>
          <w:rFonts w:ascii="Calibri" w:eastAsia="Calibri" w:hAnsi="Calibri" w:cs="Calibri"/>
        </w:rPr>
        <w:t xml:space="preserve">. </w:t>
      </w:r>
    </w:p>
    <w:p w14:paraId="01DA31F4" w14:textId="63E9437C" w:rsidR="0090118F" w:rsidRPr="006B0C6C" w:rsidRDefault="5FA9E714" w:rsidP="000B7F90">
      <w:pPr>
        <w:jc w:val="both"/>
        <w:rPr>
          <w:rFonts w:ascii="Calibri" w:eastAsia="Calibri" w:hAnsi="Calibri" w:cs="Calibri"/>
          <w:szCs w:val="22"/>
        </w:rPr>
      </w:pPr>
      <w:r w:rsidRPr="006B0C6C">
        <w:rPr>
          <w:rFonts w:ascii="Calibri" w:eastAsia="Calibri" w:hAnsi="Calibri" w:cs="Calibri"/>
          <w:szCs w:val="22"/>
        </w:rPr>
        <w:t>In conclusion</w:t>
      </w:r>
      <w:r w:rsidR="009130F9" w:rsidRPr="006B0C6C">
        <w:rPr>
          <w:rFonts w:ascii="Calibri" w:eastAsia="Calibri" w:hAnsi="Calibri" w:cs="Calibri"/>
          <w:szCs w:val="22"/>
        </w:rPr>
        <w:t>,</w:t>
      </w:r>
      <w:r w:rsidRPr="006B0C6C">
        <w:rPr>
          <w:rFonts w:ascii="Calibri" w:eastAsia="Calibri" w:hAnsi="Calibri" w:cs="Calibri"/>
          <w:szCs w:val="22"/>
        </w:rPr>
        <w:t xml:space="preserve"> while the </w:t>
      </w:r>
      <w:r w:rsidR="009130F9" w:rsidRPr="006B0C6C">
        <w:rPr>
          <w:rFonts w:ascii="Calibri" w:eastAsia="Calibri" w:hAnsi="Calibri" w:cs="Calibri"/>
          <w:szCs w:val="22"/>
        </w:rPr>
        <w:t xml:space="preserve">evaluation team </w:t>
      </w:r>
      <w:r w:rsidRPr="006B0C6C">
        <w:rPr>
          <w:rFonts w:ascii="Calibri" w:eastAsia="Calibri" w:hAnsi="Calibri" w:cs="Calibri"/>
          <w:szCs w:val="22"/>
        </w:rPr>
        <w:t>could focus on the complexity of the PAF, the reliance on quantitative data or the recalcitrant nature of some partners in terms of responding to feedback</w:t>
      </w:r>
      <w:r w:rsidR="009130F9" w:rsidRPr="006B0C6C">
        <w:rPr>
          <w:rFonts w:ascii="Calibri" w:eastAsia="Calibri" w:hAnsi="Calibri" w:cs="Calibri"/>
          <w:szCs w:val="22"/>
        </w:rPr>
        <w:t xml:space="preserve">, </w:t>
      </w:r>
      <w:r w:rsidRPr="006B0C6C">
        <w:rPr>
          <w:rFonts w:ascii="Calibri" w:eastAsia="Calibri" w:hAnsi="Calibri" w:cs="Calibri"/>
          <w:szCs w:val="22"/>
        </w:rPr>
        <w:t xml:space="preserve">an overarching </w:t>
      </w:r>
      <w:r w:rsidR="00DA58F6" w:rsidRPr="006B0C6C">
        <w:rPr>
          <w:rFonts w:ascii="Calibri" w:eastAsia="Calibri" w:hAnsi="Calibri" w:cs="Calibri"/>
          <w:szCs w:val="22"/>
        </w:rPr>
        <w:t>MEL</w:t>
      </w:r>
      <w:r w:rsidRPr="006B0C6C">
        <w:rPr>
          <w:rFonts w:ascii="Calibri" w:eastAsia="Calibri" w:hAnsi="Calibri" w:cs="Calibri"/>
          <w:szCs w:val="22"/>
        </w:rPr>
        <w:t xml:space="preserve"> Plan</w:t>
      </w:r>
      <w:r w:rsidR="41768702" w:rsidRPr="006B0C6C">
        <w:rPr>
          <w:rFonts w:ascii="Calibri" w:eastAsia="Calibri" w:hAnsi="Calibri" w:cs="Calibri"/>
          <w:szCs w:val="22"/>
        </w:rPr>
        <w:t xml:space="preserve"> and an associated MEL Guide for partners</w:t>
      </w:r>
      <w:r w:rsidR="009130F9" w:rsidRPr="006B0C6C">
        <w:rPr>
          <w:rFonts w:ascii="Calibri" w:eastAsia="Calibri" w:hAnsi="Calibri" w:cs="Calibri"/>
          <w:szCs w:val="22"/>
        </w:rPr>
        <w:t xml:space="preserve"> was missing</w:t>
      </w:r>
      <w:r w:rsidRPr="006B0C6C">
        <w:rPr>
          <w:rFonts w:ascii="Calibri" w:eastAsia="Calibri" w:hAnsi="Calibri" w:cs="Calibri"/>
          <w:szCs w:val="22"/>
        </w:rPr>
        <w:t>. That is the step beyond the PAF in terms of</w:t>
      </w:r>
      <w:r w:rsidR="009130F9" w:rsidRPr="006B0C6C">
        <w:rPr>
          <w:rFonts w:ascii="Calibri" w:eastAsia="Calibri" w:hAnsi="Calibri" w:cs="Calibri"/>
          <w:szCs w:val="22"/>
        </w:rPr>
        <w:t xml:space="preserve"> communicating </w:t>
      </w:r>
      <w:r w:rsidRPr="006B0C6C">
        <w:rPr>
          <w:rFonts w:ascii="Calibri" w:eastAsia="Calibri" w:hAnsi="Calibri" w:cs="Calibri"/>
          <w:szCs w:val="22"/>
        </w:rPr>
        <w:t>expectations communicated to partners</w:t>
      </w:r>
      <w:r w:rsidR="009130F9" w:rsidRPr="006B0C6C">
        <w:rPr>
          <w:rFonts w:ascii="Calibri" w:eastAsia="Calibri" w:hAnsi="Calibri" w:cs="Calibri"/>
          <w:szCs w:val="22"/>
        </w:rPr>
        <w:t xml:space="preserve"> including</w:t>
      </w:r>
      <w:r w:rsidRPr="006B0C6C">
        <w:rPr>
          <w:rFonts w:ascii="Calibri" w:eastAsia="Calibri" w:hAnsi="Calibri" w:cs="Calibri"/>
          <w:szCs w:val="22"/>
        </w:rPr>
        <w:t>, indicator definitions, how different types of data would be collected and by whom, and how progress and or achievement of outcomes would be measured. This was a significant oversight.</w:t>
      </w:r>
    </w:p>
    <w:p w14:paraId="4D1A1500" w14:textId="34FF4E51" w:rsidR="6F6BBCCE" w:rsidRPr="006B0C6C" w:rsidRDefault="6F6BBCCE" w:rsidP="006B0C6C">
      <w:pPr>
        <w:pStyle w:val="Heading3SHS"/>
      </w:pPr>
      <w:r>
        <w:t xml:space="preserve"> </w:t>
      </w:r>
      <w:bookmarkStart w:id="168" w:name="_Toc200617305"/>
      <w:r>
        <w:t xml:space="preserve">Workforce </w:t>
      </w:r>
      <w:r w:rsidR="3A44E87A">
        <w:t>d</w:t>
      </w:r>
      <w:r>
        <w:t>evelopment</w:t>
      </w:r>
      <w:bookmarkEnd w:id="168"/>
    </w:p>
    <w:p w14:paraId="34E55541" w14:textId="6F977C48" w:rsidR="6F6BBCCE" w:rsidRPr="00B87417" w:rsidRDefault="7510D8F8" w:rsidP="00B87417">
      <w:pPr>
        <w:jc w:val="both"/>
        <w:rPr>
          <w:rFonts w:eastAsia="Calibri"/>
        </w:rPr>
      </w:pPr>
      <w:r w:rsidRPr="28FD34D3">
        <w:rPr>
          <w:rFonts w:eastAsia="Calibri"/>
        </w:rPr>
        <w:t>The GEDSI strategy included workforce development with a view to ensuring that training include</w:t>
      </w:r>
      <w:r w:rsidR="3300AB31" w:rsidRPr="28FD34D3">
        <w:rPr>
          <w:rFonts w:eastAsia="Calibri"/>
        </w:rPr>
        <w:t>d</w:t>
      </w:r>
      <w:r w:rsidRPr="28FD34D3">
        <w:rPr>
          <w:rFonts w:eastAsia="Calibri"/>
        </w:rPr>
        <w:t xml:space="preserve"> content on the barriers that groups at increased risk of exclusion and disadvantage face in accessing vaccination information and services and that capacity-building activities be gender equitable and disability-inclusive. Ultimately it was assessed that this was </w:t>
      </w:r>
      <w:r w:rsidR="3300AB31" w:rsidRPr="28FD34D3">
        <w:rPr>
          <w:rFonts w:eastAsia="Calibri"/>
        </w:rPr>
        <w:t xml:space="preserve">likely </w:t>
      </w:r>
      <w:r w:rsidRPr="28FD34D3">
        <w:rPr>
          <w:rFonts w:eastAsia="Calibri"/>
        </w:rPr>
        <w:t xml:space="preserve">overly ambitious and difficult to document. </w:t>
      </w:r>
      <w:r w:rsidR="70BFD558" w:rsidRPr="28FD34D3">
        <w:rPr>
          <w:rFonts w:eastAsia="Calibri"/>
        </w:rPr>
        <w:t>It was not possible to assess this comp</w:t>
      </w:r>
      <w:r w:rsidR="1B78E4D3" w:rsidRPr="28FD34D3">
        <w:rPr>
          <w:rFonts w:eastAsia="Calibri"/>
        </w:rPr>
        <w:t>o</w:t>
      </w:r>
      <w:r w:rsidR="70BFD558" w:rsidRPr="28FD34D3">
        <w:rPr>
          <w:rFonts w:eastAsia="Calibri"/>
        </w:rPr>
        <w:t>nent of the GEDSI Strategy.</w:t>
      </w:r>
    </w:p>
    <w:p w14:paraId="60CC9152" w14:textId="35BC2073" w:rsidR="6F6BBCCE" w:rsidRPr="0005628E" w:rsidRDefault="00B87417" w:rsidP="0005628E">
      <w:pPr>
        <w:pStyle w:val="Heading2SHS"/>
        <w:ind w:left="142"/>
        <w:rPr>
          <w:rFonts w:ascii="Calibri" w:eastAsia="Calibri" w:hAnsi="Calibri" w:cs="Calibri"/>
        </w:rPr>
      </w:pPr>
      <w:bookmarkStart w:id="169" w:name="_Toc200617306"/>
      <w:r w:rsidRPr="0005628E">
        <w:rPr>
          <w:rFonts w:ascii="Calibri" w:eastAsia="Calibri" w:hAnsi="Calibri" w:cs="Calibri"/>
        </w:rPr>
        <w:t>Key l</w:t>
      </w:r>
      <w:r w:rsidR="00707F51" w:rsidRPr="0005628E">
        <w:rPr>
          <w:rFonts w:ascii="Calibri" w:eastAsia="Calibri" w:hAnsi="Calibri" w:cs="Calibri"/>
        </w:rPr>
        <w:t>essons</w:t>
      </w:r>
      <w:r w:rsidRPr="0005628E">
        <w:rPr>
          <w:rFonts w:ascii="Calibri" w:eastAsia="Calibri" w:hAnsi="Calibri" w:cs="Calibri"/>
        </w:rPr>
        <w:t xml:space="preserve"> learned</w:t>
      </w:r>
      <w:bookmarkEnd w:id="169"/>
      <w:r w:rsidR="00707F51" w:rsidRPr="0005628E">
        <w:rPr>
          <w:rFonts w:ascii="Calibri" w:eastAsia="Calibri" w:hAnsi="Calibri" w:cs="Calibri"/>
        </w:rPr>
        <w:t xml:space="preserve"> </w:t>
      </w:r>
    </w:p>
    <w:p w14:paraId="04D2E2D5" w14:textId="0902D20C" w:rsidR="00A678B0" w:rsidRDefault="00A678B0" w:rsidP="006B0C6C">
      <w:pPr>
        <w:rPr>
          <w:rFonts w:eastAsia="Calibri"/>
        </w:rPr>
      </w:pPr>
      <w:r w:rsidRPr="00097248">
        <w:rPr>
          <w:rFonts w:eastAsia="Calibri"/>
        </w:rPr>
        <w:t xml:space="preserve">Delivery </w:t>
      </w:r>
      <w:r w:rsidR="006874E4">
        <w:rPr>
          <w:rFonts w:eastAsia="Calibri"/>
        </w:rPr>
        <w:t xml:space="preserve">support </w:t>
      </w:r>
      <w:r w:rsidR="00CD221A">
        <w:rPr>
          <w:rFonts w:eastAsia="Calibri"/>
        </w:rPr>
        <w:t>partners</w:t>
      </w:r>
      <w:r w:rsidRPr="00097248">
        <w:rPr>
          <w:rFonts w:eastAsia="Calibri"/>
        </w:rPr>
        <w:t>, partner</w:t>
      </w:r>
      <w:r w:rsidR="00A45AB4">
        <w:rPr>
          <w:rFonts w:eastAsia="Calibri"/>
        </w:rPr>
        <w:t xml:space="preserve"> governments</w:t>
      </w:r>
      <w:r w:rsidRPr="00097248">
        <w:rPr>
          <w:rFonts w:eastAsia="Calibri"/>
        </w:rPr>
        <w:t xml:space="preserve"> and DFAT officers reported </w:t>
      </w:r>
      <w:r w:rsidR="00A45AB4">
        <w:rPr>
          <w:rFonts w:eastAsia="Calibri"/>
        </w:rPr>
        <w:t xml:space="preserve">the following </w:t>
      </w:r>
      <w:r w:rsidRPr="00097248">
        <w:rPr>
          <w:rFonts w:eastAsia="Calibri"/>
        </w:rPr>
        <w:t>key lessons learned:</w:t>
      </w:r>
    </w:p>
    <w:p w14:paraId="5713AD93" w14:textId="721117B4" w:rsidR="00834371" w:rsidRPr="006B0C6C" w:rsidRDefault="7B7B4D6F" w:rsidP="00F11EFB">
      <w:pPr>
        <w:pStyle w:val="bullet"/>
      </w:pPr>
      <w:r>
        <w:t xml:space="preserve">The inclusion of a Gender Outcome (or intermediate outcome) would have </w:t>
      </w:r>
      <w:proofErr w:type="spellStart"/>
      <w:r>
        <w:t>prioritised</w:t>
      </w:r>
      <w:proofErr w:type="spellEnd"/>
      <w:r>
        <w:t xml:space="preserve"> GEDSI from the inception of VAHSI programming and allowed for continued and commensurate resourcing for the life of the program. </w:t>
      </w:r>
    </w:p>
    <w:p w14:paraId="1ED924F1" w14:textId="4C418562" w:rsidR="00834371" w:rsidRDefault="00834371" w:rsidP="00F11EFB">
      <w:pPr>
        <w:pStyle w:val="bullet"/>
      </w:pPr>
      <w:r>
        <w:t>GEDSI outcomes are achieved by working with local actors with demonstrated understanding of DFAT standards – this was demonstrated through the work of D</w:t>
      </w:r>
      <w:r w:rsidR="000002F7">
        <w:t>F</w:t>
      </w:r>
      <w:r>
        <w:t>AT Accredited NGOs and DFAT bilateral health programs (and their NGO partners)</w:t>
      </w:r>
      <w:r w:rsidR="000002F7">
        <w:t>.</w:t>
      </w:r>
    </w:p>
    <w:p w14:paraId="576CD8D9" w14:textId="5606C06A" w:rsidR="00834371" w:rsidRDefault="00834371" w:rsidP="00F11EFB">
      <w:pPr>
        <w:pStyle w:val="bullet"/>
        <w:rPr>
          <w:rFonts w:ascii="Calibri" w:eastAsia="Calibri" w:hAnsi="Calibri" w:cs="Calibri"/>
          <w:lang w:val="en-AU"/>
        </w:rPr>
      </w:pPr>
      <w:r w:rsidRPr="00977F83">
        <w:rPr>
          <w:rFonts w:ascii="Calibri" w:eastAsia="Calibri" w:hAnsi="Calibri" w:cs="Calibri"/>
          <w:lang w:val="en-AU"/>
        </w:rPr>
        <w:t>Investments need a well-articulated</w:t>
      </w:r>
      <w:r w:rsidRPr="00913943">
        <w:rPr>
          <w:rFonts w:ascii="Calibri" w:eastAsia="Calibri" w:hAnsi="Calibri" w:cs="Calibri"/>
          <w:lang w:val="en-AU"/>
        </w:rPr>
        <w:t>, timely and well</w:t>
      </w:r>
      <w:r>
        <w:rPr>
          <w:rFonts w:ascii="Calibri" w:eastAsia="Calibri" w:hAnsi="Calibri" w:cs="Calibri"/>
          <w:lang w:val="en-AU"/>
        </w:rPr>
        <w:t>-</w:t>
      </w:r>
      <w:r w:rsidRPr="00977F83">
        <w:rPr>
          <w:rFonts w:ascii="Calibri" w:eastAsia="Calibri" w:hAnsi="Calibri" w:cs="Calibri"/>
          <w:lang w:val="en-AU"/>
        </w:rPr>
        <w:t>socialised MEL Plan</w:t>
      </w:r>
      <w:r w:rsidR="00A45AB4">
        <w:rPr>
          <w:rFonts w:ascii="Calibri" w:eastAsia="Calibri" w:hAnsi="Calibri" w:cs="Calibri"/>
          <w:lang w:val="en-AU"/>
        </w:rPr>
        <w:t xml:space="preserve"> </w:t>
      </w:r>
      <w:r w:rsidR="00913943">
        <w:rPr>
          <w:rFonts w:ascii="Calibri" w:eastAsia="Calibri" w:hAnsi="Calibri" w:cs="Calibri"/>
          <w:lang w:val="en-AU"/>
        </w:rPr>
        <w:t>and partner guidelines</w:t>
      </w:r>
      <w:r>
        <w:rPr>
          <w:rFonts w:ascii="Calibri" w:eastAsia="Calibri" w:hAnsi="Calibri" w:cs="Calibri"/>
          <w:lang w:val="en-AU"/>
        </w:rPr>
        <w:t>.</w:t>
      </w:r>
    </w:p>
    <w:p w14:paraId="4BA2A9C8" w14:textId="08B10D52" w:rsidR="00834371" w:rsidRPr="006B0C6C" w:rsidRDefault="00834371" w:rsidP="00F11EFB">
      <w:pPr>
        <w:pStyle w:val="bullet"/>
        <w:rPr>
          <w:rFonts w:eastAsia="Calibri"/>
        </w:rPr>
      </w:pPr>
      <w:r>
        <w:t>PAF’s need to be based on realistic expectations of data availability and periodically revised to adjust for any invalid assumptions</w:t>
      </w:r>
      <w:r w:rsidR="0D98F0F6">
        <w:t>.</w:t>
      </w:r>
      <w:r>
        <w:t xml:space="preserve"> </w:t>
      </w:r>
    </w:p>
    <w:p w14:paraId="04181FA0" w14:textId="7D56C24E" w:rsidR="00660ADA" w:rsidRPr="00977F83" w:rsidRDefault="00834371" w:rsidP="00F11EFB">
      <w:pPr>
        <w:pStyle w:val="bullet"/>
      </w:pPr>
      <w:r w:rsidRPr="00660ADA">
        <w:rPr>
          <w:rFonts w:eastAsia="Calibri"/>
        </w:rPr>
        <w:t xml:space="preserve">OPDs were invaluable in many contexts by providing access to people with </w:t>
      </w:r>
      <w:proofErr w:type="gramStart"/>
      <w:r w:rsidRPr="00660ADA">
        <w:rPr>
          <w:rFonts w:eastAsia="Calibri"/>
        </w:rPr>
        <w:t>disability</w:t>
      </w:r>
      <w:proofErr w:type="gramEnd"/>
      <w:r w:rsidRPr="00660ADA">
        <w:rPr>
          <w:rFonts w:eastAsia="Calibri"/>
        </w:rPr>
        <w:t xml:space="preserve"> </w:t>
      </w:r>
      <w:proofErr w:type="gramStart"/>
      <w:r w:rsidRPr="00660ADA">
        <w:rPr>
          <w:rFonts w:eastAsia="Calibri"/>
        </w:rPr>
        <w:t>and or</w:t>
      </w:r>
      <w:proofErr w:type="gramEnd"/>
      <w:r w:rsidRPr="00660ADA">
        <w:rPr>
          <w:rFonts w:eastAsia="Calibri"/>
        </w:rPr>
        <w:t xml:space="preserve"> relevant data that enabled that connection. </w:t>
      </w:r>
    </w:p>
    <w:p w14:paraId="515FB54A" w14:textId="52AF58EC" w:rsidR="008C7F1C" w:rsidRDefault="005B1066" w:rsidP="00117116">
      <w:pPr>
        <w:pStyle w:val="bullet"/>
        <w:rPr>
          <w:lang w:val="en-AU"/>
        </w:rPr>
      </w:pPr>
      <w:r w:rsidRPr="7E56B70C">
        <w:rPr>
          <w:lang w:val="en-AU"/>
        </w:rPr>
        <w:t xml:space="preserve">More broadly, to better understand the impacts on men, women and youth (and </w:t>
      </w:r>
      <w:r w:rsidR="617B82C1" w:rsidRPr="7E56B70C">
        <w:rPr>
          <w:lang w:val="en-AU"/>
        </w:rPr>
        <w:t>older persons</w:t>
      </w:r>
      <w:r w:rsidRPr="7E56B70C">
        <w:rPr>
          <w:lang w:val="en-AU"/>
        </w:rPr>
        <w:t xml:space="preserve">), </w:t>
      </w:r>
      <w:r w:rsidR="0C9A2A3D" w:rsidRPr="7E56B70C">
        <w:rPr>
          <w:lang w:val="en-AU"/>
        </w:rPr>
        <w:t>people with disabilit</w:t>
      </w:r>
      <w:r w:rsidR="00A60467">
        <w:rPr>
          <w:lang w:val="en-AU"/>
        </w:rPr>
        <w:t>y</w:t>
      </w:r>
      <w:r w:rsidR="0C9A2A3D" w:rsidRPr="7E56B70C">
        <w:rPr>
          <w:lang w:val="en-AU"/>
        </w:rPr>
        <w:t xml:space="preserve"> </w:t>
      </w:r>
      <w:r w:rsidRPr="7E56B70C">
        <w:rPr>
          <w:lang w:val="en-AU"/>
        </w:rPr>
        <w:t xml:space="preserve">and other marginalised groups, there is a need for </w:t>
      </w:r>
      <w:r w:rsidR="000002F7" w:rsidRPr="7E56B70C">
        <w:rPr>
          <w:lang w:val="en-AU"/>
        </w:rPr>
        <w:t xml:space="preserve">continued </w:t>
      </w:r>
      <w:r w:rsidRPr="7E56B70C">
        <w:rPr>
          <w:lang w:val="en-AU"/>
        </w:rPr>
        <w:t xml:space="preserve">advocacy on the collection </w:t>
      </w:r>
      <w:r w:rsidR="000002F7" w:rsidRPr="7E56B70C">
        <w:rPr>
          <w:lang w:val="en-AU"/>
        </w:rPr>
        <w:t xml:space="preserve">and sharing </w:t>
      </w:r>
      <w:r w:rsidRPr="7E56B70C">
        <w:rPr>
          <w:lang w:val="en-AU"/>
        </w:rPr>
        <w:t>of comprehensive sex-, age- and disability disaggregated data (SADDD) on testing, cases, mortality and vaccines – from all partners.</w:t>
      </w:r>
      <w:r w:rsidR="008C7F1C">
        <w:rPr>
          <w:lang w:val="en-AU"/>
        </w:rPr>
        <w:br w:type="page"/>
      </w:r>
    </w:p>
    <w:p w14:paraId="290C9762" w14:textId="0C527CFB" w:rsidR="00133E7C" w:rsidRPr="00133E7C" w:rsidRDefault="00913943" w:rsidP="00133E7C">
      <w:pPr>
        <w:pStyle w:val="Heading2SHS"/>
        <w:ind w:left="142"/>
        <w:rPr>
          <w:rFonts w:ascii="Calibri" w:eastAsia="Calibri" w:hAnsi="Calibri" w:cs="Calibri"/>
        </w:rPr>
      </w:pPr>
      <w:bookmarkStart w:id="170" w:name="_Toc200617307"/>
      <w:r w:rsidRPr="0005628E">
        <w:rPr>
          <w:rFonts w:ascii="Calibri" w:eastAsia="Calibri" w:hAnsi="Calibri" w:cs="Calibri"/>
        </w:rPr>
        <w:t>Recommendations</w:t>
      </w:r>
      <w:bookmarkEnd w:id="170"/>
      <w:r w:rsidRPr="0005628E">
        <w:rPr>
          <w:rFonts w:ascii="Calibri" w:eastAsia="Calibri" w:hAnsi="Calibri" w:cs="Calibri"/>
        </w:rPr>
        <w:t xml:space="preserve"> </w:t>
      </w:r>
    </w:p>
    <w:p w14:paraId="14DEE3EB" w14:textId="1FEEA66F" w:rsidR="006874E4" w:rsidRDefault="00BD506B" w:rsidP="00C30814">
      <w:pPr>
        <w:pStyle w:val="ListParagraph"/>
        <w:numPr>
          <w:ilvl w:val="0"/>
          <w:numId w:val="21"/>
        </w:numPr>
        <w:jc w:val="both"/>
        <w:rPr>
          <w:rFonts w:eastAsia="Calibri" w:cs="Calibri"/>
        </w:rPr>
      </w:pPr>
      <w:r w:rsidRPr="00133E7C">
        <w:rPr>
          <w:rFonts w:eastAsia="Calibri"/>
        </w:rPr>
        <w:t>DFAT should e</w:t>
      </w:r>
      <w:r w:rsidR="00913943" w:rsidRPr="00133E7C">
        <w:rPr>
          <w:rFonts w:eastAsia="Calibri"/>
        </w:rPr>
        <w:t xml:space="preserve">nsure development and use of </w:t>
      </w:r>
      <w:proofErr w:type="gramStart"/>
      <w:r w:rsidR="00913943" w:rsidRPr="00133E7C">
        <w:rPr>
          <w:rFonts w:eastAsia="Calibri"/>
        </w:rPr>
        <w:t>a MEL</w:t>
      </w:r>
      <w:proofErr w:type="gramEnd"/>
      <w:r w:rsidR="00913943" w:rsidRPr="00133E7C">
        <w:rPr>
          <w:rFonts w:eastAsia="Calibri"/>
        </w:rPr>
        <w:t xml:space="preserve"> Plan for complex investments</w:t>
      </w:r>
      <w:r w:rsidR="001A33CA" w:rsidRPr="00133E7C">
        <w:rPr>
          <w:rFonts w:eastAsia="Calibri"/>
        </w:rPr>
        <w:t xml:space="preserve">. </w:t>
      </w:r>
      <w:r w:rsidR="00913943" w:rsidRPr="00133E7C">
        <w:rPr>
          <w:rFonts w:eastAsia="Calibri" w:cs="Calibri"/>
        </w:rPr>
        <w:t xml:space="preserve">In addition to a Performance Assessment Framework (PAF), DFAT investments should include an overarching MEL Plan to better articulate broader management of MEL including how different types of data are collected and how progress towards, and achievement of outcomes, are measured – and by whom. This could (or should) be communicated to </w:t>
      </w:r>
      <w:r w:rsidR="00A45AB4" w:rsidRPr="00133E7C">
        <w:rPr>
          <w:rFonts w:eastAsia="Calibri" w:cs="Calibri"/>
        </w:rPr>
        <w:t xml:space="preserve">delivery </w:t>
      </w:r>
      <w:r w:rsidR="006874E4">
        <w:rPr>
          <w:rFonts w:eastAsia="Calibri" w:cs="Calibri"/>
        </w:rPr>
        <w:t xml:space="preserve">support </w:t>
      </w:r>
      <w:r w:rsidR="00913943" w:rsidRPr="00133E7C">
        <w:rPr>
          <w:rFonts w:eastAsia="Calibri" w:cs="Calibri"/>
        </w:rPr>
        <w:t>partners in a MEL Guide that describes</w:t>
      </w:r>
      <w:r w:rsidR="006874E4">
        <w:rPr>
          <w:rFonts w:eastAsia="Calibri" w:cs="Calibri"/>
        </w:rPr>
        <w:t>:</w:t>
      </w:r>
    </w:p>
    <w:p w14:paraId="5FDFC182" w14:textId="77777777" w:rsidR="006874E4" w:rsidRDefault="00913943" w:rsidP="006874E4">
      <w:pPr>
        <w:pStyle w:val="ListParagraph"/>
        <w:numPr>
          <w:ilvl w:val="0"/>
          <w:numId w:val="23"/>
        </w:numPr>
        <w:jc w:val="both"/>
        <w:rPr>
          <w:rFonts w:eastAsia="Calibri" w:cs="Calibri"/>
        </w:rPr>
      </w:pPr>
      <w:r w:rsidRPr="00133E7C">
        <w:rPr>
          <w:rFonts w:eastAsia="Calibri" w:cs="Calibri"/>
        </w:rPr>
        <w:t xml:space="preserve">minimum data and reporting requirements </w:t>
      </w:r>
    </w:p>
    <w:p w14:paraId="2D307CAD" w14:textId="77777777" w:rsidR="006874E4" w:rsidRDefault="00913943" w:rsidP="006874E4">
      <w:pPr>
        <w:pStyle w:val="ListParagraph"/>
        <w:numPr>
          <w:ilvl w:val="0"/>
          <w:numId w:val="23"/>
        </w:numPr>
        <w:jc w:val="both"/>
        <w:rPr>
          <w:rFonts w:eastAsia="Calibri" w:cs="Calibri"/>
        </w:rPr>
      </w:pPr>
      <w:r w:rsidRPr="00133E7C">
        <w:rPr>
          <w:rFonts w:eastAsia="Calibri" w:cs="Calibri"/>
        </w:rPr>
        <w:t xml:space="preserve">includes a process to ensure that these are understood and accepted by all funded </w:t>
      </w:r>
      <w:r w:rsidR="00A45AB4" w:rsidRPr="00133E7C">
        <w:rPr>
          <w:rFonts w:eastAsia="Calibri" w:cs="Calibri"/>
        </w:rPr>
        <w:t xml:space="preserve">delivery </w:t>
      </w:r>
      <w:r w:rsidR="006874E4">
        <w:rPr>
          <w:rFonts w:eastAsia="Calibri" w:cs="Calibri"/>
        </w:rPr>
        <w:t xml:space="preserve">support </w:t>
      </w:r>
      <w:r w:rsidRPr="00133E7C">
        <w:rPr>
          <w:rFonts w:eastAsia="Calibri" w:cs="Calibri"/>
        </w:rPr>
        <w:t>partners</w:t>
      </w:r>
      <w:r w:rsidR="006874E4">
        <w:rPr>
          <w:rFonts w:eastAsia="Calibri" w:cs="Calibri"/>
        </w:rPr>
        <w:t>. and</w:t>
      </w:r>
      <w:r w:rsidRPr="00133E7C">
        <w:rPr>
          <w:rFonts w:eastAsia="Calibri" w:cs="Calibri"/>
        </w:rPr>
        <w:t xml:space="preserve"> </w:t>
      </w:r>
    </w:p>
    <w:p w14:paraId="629FDE96" w14:textId="0AB3C245" w:rsidR="0090118F" w:rsidRPr="00133E7C" w:rsidRDefault="00913943" w:rsidP="006874E4">
      <w:pPr>
        <w:pStyle w:val="ListParagraph"/>
        <w:numPr>
          <w:ilvl w:val="0"/>
          <w:numId w:val="23"/>
        </w:numPr>
        <w:jc w:val="both"/>
        <w:rPr>
          <w:rFonts w:eastAsia="Calibri" w:cs="Calibri"/>
        </w:rPr>
      </w:pPr>
      <w:r w:rsidRPr="00133E7C">
        <w:rPr>
          <w:rFonts w:eastAsia="Calibri" w:cs="Calibri"/>
        </w:rPr>
        <w:t xml:space="preserve">that systems are in place for ensuring quality/compliance with these requirements. </w:t>
      </w:r>
    </w:p>
    <w:p w14:paraId="327D2410" w14:textId="0C90BA91" w:rsidR="00BD506B" w:rsidRDefault="00BD506B" w:rsidP="00133E7C">
      <w:pPr>
        <w:ind w:left="720"/>
        <w:jc w:val="both"/>
        <w:rPr>
          <w:rFonts w:eastAsia="Calibri" w:cs="Calibri"/>
        </w:rPr>
      </w:pPr>
      <w:r>
        <w:rPr>
          <w:rFonts w:eastAsia="Calibri" w:cs="Calibri"/>
        </w:rPr>
        <w:t xml:space="preserve">Where an overarching PAF is focused on End of Program Outcomes, the MEL Plan should include a description of ‘fit for purpose’ tools and processes (for example Dashboards or tailored Annual Reports) to strengthen DFAT progress monitoring at the investment level. </w:t>
      </w:r>
    </w:p>
    <w:p w14:paraId="7BCC3CD0" w14:textId="2598E4CA" w:rsidR="00B07277" w:rsidRPr="006874E4" w:rsidRDefault="003E4EE4" w:rsidP="006874E4">
      <w:pPr>
        <w:pStyle w:val="ListParagraph"/>
        <w:numPr>
          <w:ilvl w:val="0"/>
          <w:numId w:val="21"/>
        </w:numPr>
        <w:jc w:val="both"/>
        <w:rPr>
          <w:rFonts w:eastAsia="Calibri" w:cs="Calibri"/>
        </w:rPr>
      </w:pPr>
      <w:r w:rsidRPr="006874E4">
        <w:rPr>
          <w:rFonts w:eastAsia="Calibri" w:cs="Calibri"/>
        </w:rPr>
        <w:t>In</w:t>
      </w:r>
      <w:r w:rsidR="00B07277" w:rsidRPr="006874E4">
        <w:rPr>
          <w:rFonts w:eastAsia="Calibri" w:cs="Calibri"/>
        </w:rPr>
        <w:t xml:space="preserve"> recognition of the significant value</w:t>
      </w:r>
      <w:r w:rsidR="003270D1" w:rsidRPr="006874E4">
        <w:rPr>
          <w:rFonts w:eastAsia="Calibri" w:cs="Calibri"/>
        </w:rPr>
        <w:t>-</w:t>
      </w:r>
      <w:r w:rsidR="00B07277" w:rsidRPr="006874E4">
        <w:rPr>
          <w:rFonts w:eastAsia="Calibri" w:cs="Calibri"/>
        </w:rPr>
        <w:t xml:space="preserve">add </w:t>
      </w:r>
      <w:r w:rsidR="00AA1AAD" w:rsidRPr="006874E4">
        <w:rPr>
          <w:rFonts w:eastAsia="Calibri" w:cs="Calibri"/>
        </w:rPr>
        <w:t xml:space="preserve">of OPDs to disability inclusion </w:t>
      </w:r>
      <w:r w:rsidR="00B07277" w:rsidRPr="006874E4">
        <w:rPr>
          <w:rFonts w:eastAsia="Calibri" w:cs="Calibri"/>
        </w:rPr>
        <w:t>in these situations</w:t>
      </w:r>
      <w:r w:rsidR="003270D1" w:rsidRPr="006874E4">
        <w:rPr>
          <w:rFonts w:eastAsia="Calibri" w:cs="Calibri"/>
        </w:rPr>
        <w:t>,</w:t>
      </w:r>
      <w:r w:rsidR="00B07277" w:rsidRPr="006874E4">
        <w:rPr>
          <w:rFonts w:eastAsia="Calibri" w:cs="Calibri"/>
        </w:rPr>
        <w:t xml:space="preserve"> </w:t>
      </w:r>
      <w:r w:rsidR="00AA1AAD" w:rsidRPr="006874E4">
        <w:rPr>
          <w:rFonts w:eastAsia="Calibri" w:cs="Calibri"/>
        </w:rPr>
        <w:t>DFAT should ensure</w:t>
      </w:r>
      <w:r w:rsidR="004A2082" w:rsidRPr="006874E4">
        <w:rPr>
          <w:rFonts w:eastAsia="Calibri" w:cs="Calibri"/>
        </w:rPr>
        <w:t xml:space="preserve"> ongoing support to OPDs, inclusive of supporting DFAT-funded</w:t>
      </w:r>
      <w:r w:rsidR="00920B17" w:rsidRPr="006874E4">
        <w:rPr>
          <w:rFonts w:eastAsia="Calibri" w:cs="Calibri"/>
        </w:rPr>
        <w:t xml:space="preserve"> delivery </w:t>
      </w:r>
      <w:r w:rsidR="006874E4">
        <w:rPr>
          <w:rFonts w:eastAsia="Calibri" w:cs="Calibri"/>
        </w:rPr>
        <w:t xml:space="preserve">support </w:t>
      </w:r>
      <w:r w:rsidR="00920B17" w:rsidRPr="006874E4">
        <w:rPr>
          <w:rFonts w:eastAsia="Calibri" w:cs="Calibri"/>
        </w:rPr>
        <w:t xml:space="preserve">partners to foster </w:t>
      </w:r>
      <w:r w:rsidR="00B07277" w:rsidRPr="006874E4">
        <w:rPr>
          <w:rFonts w:eastAsia="Calibri" w:cs="Calibri"/>
        </w:rPr>
        <w:t xml:space="preserve">formal and long-term partnerships with </w:t>
      </w:r>
      <w:r w:rsidR="00920B17" w:rsidRPr="006874E4">
        <w:rPr>
          <w:rFonts w:eastAsia="Calibri" w:cs="Calibri"/>
        </w:rPr>
        <w:t>OPDs</w:t>
      </w:r>
      <w:r w:rsidR="00B07277" w:rsidRPr="006874E4">
        <w:rPr>
          <w:rFonts w:eastAsia="Calibri" w:cs="Calibri"/>
        </w:rPr>
        <w:t xml:space="preserve">. There may also be a role for DFAT and its delivery </w:t>
      </w:r>
      <w:r w:rsidR="006874E4">
        <w:rPr>
          <w:rFonts w:eastAsia="Calibri" w:cs="Calibri"/>
        </w:rPr>
        <w:t xml:space="preserve">support </w:t>
      </w:r>
      <w:r w:rsidR="00B07277" w:rsidRPr="006874E4">
        <w:rPr>
          <w:rFonts w:eastAsia="Calibri" w:cs="Calibri"/>
        </w:rPr>
        <w:t>partners to advocate for the inclusion of OPDs in ministry-level planning and coordination meetings</w:t>
      </w:r>
      <w:r w:rsidR="000609CC" w:rsidRPr="006874E4">
        <w:rPr>
          <w:rFonts w:eastAsia="Calibri" w:cs="Calibri"/>
        </w:rPr>
        <w:t>.</w:t>
      </w:r>
    </w:p>
    <w:p w14:paraId="739EC352" w14:textId="1E64BA22" w:rsidR="001F7ED7" w:rsidRPr="006B0C6C" w:rsidRDefault="0B01FF5B" w:rsidP="006B0C6C">
      <w:pPr>
        <w:pStyle w:val="Heading1SHS"/>
      </w:pPr>
      <w:bookmarkStart w:id="171" w:name="_Toc179743355"/>
      <w:bookmarkStart w:id="172" w:name="_Toc179746245"/>
      <w:bookmarkStart w:id="173" w:name="_Toc179742812"/>
      <w:bookmarkStart w:id="174" w:name="_Toc179743356"/>
      <w:bookmarkStart w:id="175" w:name="_Toc179746246"/>
      <w:bookmarkStart w:id="176" w:name="_Toc179742813"/>
      <w:bookmarkStart w:id="177" w:name="_Toc179743357"/>
      <w:bookmarkStart w:id="178" w:name="_Toc179746247"/>
      <w:bookmarkStart w:id="179" w:name="_Toc179742814"/>
      <w:bookmarkStart w:id="180" w:name="_Toc179743358"/>
      <w:bookmarkStart w:id="181" w:name="_Toc179746248"/>
      <w:bookmarkStart w:id="182" w:name="_Toc179742815"/>
      <w:bookmarkStart w:id="183" w:name="_Toc179743359"/>
      <w:bookmarkStart w:id="184" w:name="_Toc179746249"/>
      <w:bookmarkStart w:id="185" w:name="_Toc179742816"/>
      <w:bookmarkStart w:id="186" w:name="_Toc179743360"/>
      <w:bookmarkStart w:id="187" w:name="_Toc179746250"/>
      <w:bookmarkStart w:id="188" w:name="_Toc179742817"/>
      <w:bookmarkStart w:id="189" w:name="_Toc179743361"/>
      <w:bookmarkStart w:id="190" w:name="_Toc179746251"/>
      <w:bookmarkStart w:id="191" w:name="_Toc179742818"/>
      <w:bookmarkStart w:id="192" w:name="_Toc179743362"/>
      <w:bookmarkStart w:id="193" w:name="_Toc179746252"/>
      <w:bookmarkStart w:id="194" w:name="_Toc179742819"/>
      <w:bookmarkStart w:id="195" w:name="_Toc179743363"/>
      <w:bookmarkStart w:id="196" w:name="_Toc179746253"/>
      <w:bookmarkStart w:id="197" w:name="_Toc179742820"/>
      <w:bookmarkStart w:id="198" w:name="_Toc179743364"/>
      <w:bookmarkStart w:id="199" w:name="_Toc179746254"/>
      <w:bookmarkStart w:id="200" w:name="_Toc179742821"/>
      <w:bookmarkStart w:id="201" w:name="_Toc179743365"/>
      <w:bookmarkStart w:id="202" w:name="_Toc179746255"/>
      <w:bookmarkStart w:id="203" w:name="_Toc179742822"/>
      <w:bookmarkStart w:id="204" w:name="_Toc179743366"/>
      <w:bookmarkStart w:id="205" w:name="_Toc179746256"/>
      <w:bookmarkStart w:id="206" w:name="_Toc20061730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6B0C6C">
        <w:t>EQ5</w:t>
      </w:r>
      <w:r w:rsidR="4543DE43" w:rsidRPr="006B0C6C">
        <w:t xml:space="preserve"> – Lessons to inform design and implementation of large-scale health emergency response program</w:t>
      </w:r>
      <w:r w:rsidR="00660ADA">
        <w:t>s</w:t>
      </w:r>
      <w:bookmarkEnd w:id="206"/>
    </w:p>
    <w:p w14:paraId="6655D0BA" w14:textId="1EF94096" w:rsidR="004E55C7" w:rsidRPr="006B0C6C" w:rsidRDefault="00D82E7F" w:rsidP="003D669E">
      <w:pPr>
        <w:jc w:val="both"/>
      </w:pPr>
      <w:r w:rsidRPr="7E56B70C">
        <w:rPr>
          <w:rFonts w:eastAsia="Calibri"/>
        </w:rPr>
        <w:t>Th</w:t>
      </w:r>
      <w:r w:rsidR="008467A0" w:rsidRPr="7E56B70C">
        <w:rPr>
          <w:rFonts w:eastAsia="Calibri"/>
        </w:rPr>
        <w:t>is section is a summary</w:t>
      </w:r>
      <w:r w:rsidR="004E55C7" w:rsidRPr="7E56B70C">
        <w:rPr>
          <w:rFonts w:eastAsia="Calibri"/>
        </w:rPr>
        <w:t xml:space="preserve"> of key lessons </w:t>
      </w:r>
      <w:r w:rsidR="00A45AB4" w:rsidRPr="7E56B70C">
        <w:rPr>
          <w:rFonts w:eastAsia="Calibri"/>
        </w:rPr>
        <w:t>learned</w:t>
      </w:r>
      <w:r w:rsidR="008467A0" w:rsidRPr="7E56B70C">
        <w:rPr>
          <w:rFonts w:eastAsia="Calibri"/>
        </w:rPr>
        <w:t xml:space="preserve"> </w:t>
      </w:r>
      <w:r w:rsidRPr="7E56B70C">
        <w:rPr>
          <w:rFonts w:eastAsia="Calibri"/>
        </w:rPr>
        <w:t>from</w:t>
      </w:r>
      <w:r w:rsidR="004E55C7" w:rsidRPr="7E56B70C">
        <w:rPr>
          <w:rFonts w:eastAsia="Calibri"/>
        </w:rPr>
        <w:t xml:space="preserve"> </w:t>
      </w:r>
      <w:r w:rsidR="004D75A6" w:rsidRPr="7E56B70C">
        <w:rPr>
          <w:rFonts w:eastAsia="Calibri"/>
        </w:rPr>
        <w:t xml:space="preserve">the evaluation of </w:t>
      </w:r>
      <w:r w:rsidR="004E55C7" w:rsidRPr="7E56B70C">
        <w:rPr>
          <w:rFonts w:eastAsia="Calibri"/>
        </w:rPr>
        <w:t xml:space="preserve">VAHSI </w:t>
      </w:r>
      <w:r w:rsidR="00AD459D" w:rsidRPr="7E56B70C">
        <w:rPr>
          <w:rFonts w:eastAsia="Calibri"/>
        </w:rPr>
        <w:t xml:space="preserve">to </w:t>
      </w:r>
      <w:r w:rsidR="008B30FE" w:rsidRPr="7E56B70C">
        <w:rPr>
          <w:rFonts w:eastAsia="Calibri"/>
        </w:rPr>
        <w:t>inform the design and implementation of</w:t>
      </w:r>
      <w:r w:rsidR="00A45AB4" w:rsidRPr="7E56B70C">
        <w:rPr>
          <w:rFonts w:eastAsia="Calibri"/>
        </w:rPr>
        <w:t xml:space="preserve"> future</w:t>
      </w:r>
      <w:r w:rsidR="008B30FE" w:rsidRPr="7E56B70C">
        <w:rPr>
          <w:rFonts w:eastAsia="Calibri"/>
        </w:rPr>
        <w:t xml:space="preserve"> </w:t>
      </w:r>
      <w:r w:rsidR="00FB097D" w:rsidRPr="7E56B70C">
        <w:rPr>
          <w:rFonts w:eastAsia="Calibri"/>
        </w:rPr>
        <w:t>large-scale health emergency response programs</w:t>
      </w:r>
      <w:r w:rsidR="004E55C7" w:rsidRPr="7E56B70C">
        <w:rPr>
          <w:rFonts w:eastAsia="Calibri"/>
        </w:rPr>
        <w:t xml:space="preserve">. </w:t>
      </w:r>
    </w:p>
    <w:p w14:paraId="3FB58972" w14:textId="38770C19" w:rsidR="00696CEE" w:rsidRPr="006906C7" w:rsidRDefault="005220AF" w:rsidP="003D669E">
      <w:pPr>
        <w:pStyle w:val="bullet"/>
        <w:jc w:val="both"/>
      </w:pPr>
      <w:r w:rsidRPr="7E56B70C">
        <w:rPr>
          <w:b/>
          <w:bCs/>
        </w:rPr>
        <w:t xml:space="preserve">Bilateral health relationships: </w:t>
      </w:r>
      <w:r w:rsidR="00A4302C">
        <w:t>Strong</w:t>
      </w:r>
      <w:r w:rsidR="0C8B51DE">
        <w:t xml:space="preserve"> </w:t>
      </w:r>
      <w:r w:rsidR="00A45AB4">
        <w:t xml:space="preserve">existing </w:t>
      </w:r>
      <w:r w:rsidR="0C8B51DE">
        <w:t>bilateral</w:t>
      </w:r>
      <w:r w:rsidR="009E74A9">
        <w:t xml:space="preserve"> health</w:t>
      </w:r>
      <w:r w:rsidR="0C8B51DE">
        <w:t xml:space="preserve"> relationships</w:t>
      </w:r>
      <w:r w:rsidR="20A457BD">
        <w:t xml:space="preserve"> </w:t>
      </w:r>
      <w:r w:rsidR="00A45AB4">
        <w:t xml:space="preserve">support an effective and quick health emergency response. </w:t>
      </w:r>
      <w:r w:rsidR="007B394B">
        <w:t>E</w:t>
      </w:r>
      <w:r w:rsidR="002E4059">
        <w:t xml:space="preserve">stablished </w:t>
      </w:r>
      <w:r w:rsidR="19C4B402">
        <w:t xml:space="preserve">relationships and networks enable faster deployment of resources and a level of trust that might not otherwise </w:t>
      </w:r>
      <w:r w:rsidR="00A45AB4">
        <w:t>exist</w:t>
      </w:r>
      <w:r w:rsidR="19C4B402">
        <w:t>.</w:t>
      </w:r>
      <w:r w:rsidR="65AD4CAE">
        <w:t xml:space="preserve"> </w:t>
      </w:r>
      <w:r w:rsidR="00A45AB4">
        <w:t>Australian investment</w:t>
      </w:r>
      <w:r w:rsidR="00DA0337">
        <w:t xml:space="preserve"> </w:t>
      </w:r>
      <w:r w:rsidR="00056365">
        <w:t xml:space="preserve">in bilateral health relationships </w:t>
      </w:r>
      <w:r w:rsidR="00A45AB4">
        <w:t>is</w:t>
      </w:r>
      <w:r w:rsidR="00056365">
        <w:t xml:space="preserve"> </w:t>
      </w:r>
      <w:r w:rsidR="00A45AB4">
        <w:t xml:space="preserve">highly </w:t>
      </w:r>
      <w:r w:rsidR="00056365">
        <w:t xml:space="preserve">beneficial </w:t>
      </w:r>
      <w:r w:rsidR="00A45AB4">
        <w:t>for health emergency</w:t>
      </w:r>
      <w:r w:rsidR="00056365">
        <w:t xml:space="preserve"> response</w:t>
      </w:r>
      <w:r w:rsidR="00A45AB4">
        <w:t>s</w:t>
      </w:r>
      <w:r w:rsidR="00056365">
        <w:t xml:space="preserve">. </w:t>
      </w:r>
    </w:p>
    <w:p w14:paraId="0F0C7A40" w14:textId="5FC90995" w:rsidR="000848E0" w:rsidRPr="005C4426" w:rsidRDefault="005220AF" w:rsidP="003D669E">
      <w:pPr>
        <w:pStyle w:val="bullet"/>
        <w:jc w:val="both"/>
      </w:pPr>
      <w:r w:rsidRPr="7E56B70C">
        <w:rPr>
          <w:b/>
          <w:bCs/>
        </w:rPr>
        <w:t xml:space="preserve">Dual approach: </w:t>
      </w:r>
      <w:r w:rsidR="00D14874">
        <w:t>The</w:t>
      </w:r>
      <w:r w:rsidR="7C695E2F">
        <w:t xml:space="preserve"> dual approach</w:t>
      </w:r>
      <w:r w:rsidR="00AB4F6B">
        <w:t xml:space="preserve"> </w:t>
      </w:r>
      <w:r w:rsidR="00D14874">
        <w:t>of</w:t>
      </w:r>
      <w:r w:rsidR="00AB4F6B">
        <w:t xml:space="preserve"> investment </w:t>
      </w:r>
      <w:r w:rsidR="0C8B51DE">
        <w:t xml:space="preserve">in multilateral or international/global-level initiatives </w:t>
      </w:r>
      <w:r w:rsidR="007B394B">
        <w:t xml:space="preserve">(e.g. COVAX) </w:t>
      </w:r>
      <w:r w:rsidR="00AB4F6B">
        <w:t xml:space="preserve">and </w:t>
      </w:r>
      <w:r w:rsidR="0C8B51DE">
        <w:t xml:space="preserve">dedicated country-specific </w:t>
      </w:r>
      <w:r w:rsidR="00A45AB4">
        <w:t xml:space="preserve">investments </w:t>
      </w:r>
      <w:r w:rsidR="0C8B51DE">
        <w:t>ensure</w:t>
      </w:r>
      <w:r w:rsidR="00A45AB4">
        <w:t>s</w:t>
      </w:r>
      <w:r w:rsidR="0C8B51DE">
        <w:t xml:space="preserve"> </w:t>
      </w:r>
      <w:r w:rsidR="2D931F1F">
        <w:t xml:space="preserve">countries </w:t>
      </w:r>
      <w:r w:rsidR="55CB165D">
        <w:t xml:space="preserve">of interest to Australia </w:t>
      </w:r>
      <w:r w:rsidR="00A45AB4">
        <w:t>are</w:t>
      </w:r>
      <w:r w:rsidR="007B394B">
        <w:t xml:space="preserve"> appropriately </w:t>
      </w:r>
      <w:r w:rsidR="00A45AB4">
        <w:t>supported</w:t>
      </w:r>
      <w:r w:rsidR="2D931F1F">
        <w:t>.</w:t>
      </w:r>
    </w:p>
    <w:p w14:paraId="214198E4" w14:textId="3EE78A5E" w:rsidR="005220AF" w:rsidRDefault="005220AF" w:rsidP="003D669E">
      <w:pPr>
        <w:pStyle w:val="bullet"/>
        <w:jc w:val="both"/>
      </w:pPr>
      <w:r w:rsidRPr="7E56B70C">
        <w:rPr>
          <w:b/>
          <w:bCs/>
        </w:rPr>
        <w:t xml:space="preserve">Partnerships: </w:t>
      </w:r>
      <w:r w:rsidR="00E32CEB">
        <w:t>Establish</w:t>
      </w:r>
      <w:r w:rsidR="002523B4">
        <w:t>ed</w:t>
      </w:r>
      <w:r w:rsidR="00E32CEB">
        <w:t xml:space="preserve"> </w:t>
      </w:r>
      <w:r w:rsidR="3C2389E2">
        <w:t xml:space="preserve">partnerships </w:t>
      </w:r>
      <w:r w:rsidR="0C11D59F">
        <w:t xml:space="preserve">that </w:t>
      </w:r>
      <w:r>
        <w:t xml:space="preserve">can </w:t>
      </w:r>
      <w:r w:rsidR="0C11D59F">
        <w:t>be drawn upon from</w:t>
      </w:r>
      <w:r w:rsidR="3C2389E2">
        <w:t xml:space="preserve"> the outset</w:t>
      </w:r>
      <w:r w:rsidR="00E32CEB">
        <w:t xml:space="preserve"> of an emergency</w:t>
      </w:r>
      <w:r w:rsidR="00211D81">
        <w:t xml:space="preserve"> </w:t>
      </w:r>
      <w:r>
        <w:t xml:space="preserve">and effective consultation and coordination of delivery </w:t>
      </w:r>
      <w:r w:rsidR="006874E4">
        <w:t xml:space="preserve">support </w:t>
      </w:r>
      <w:r>
        <w:t xml:space="preserve">partners in-country are </w:t>
      </w:r>
      <w:r w:rsidR="00211D81">
        <w:t xml:space="preserve">important in </w:t>
      </w:r>
      <w:r w:rsidR="1BCC74A8">
        <w:t xml:space="preserve">ensuring a </w:t>
      </w:r>
      <w:r w:rsidR="00211D81">
        <w:t>rapid response</w:t>
      </w:r>
      <w:r w:rsidR="3C2389E2">
        <w:t>.</w:t>
      </w:r>
      <w:r w:rsidR="6B54DEFE">
        <w:t xml:space="preserve"> </w:t>
      </w:r>
    </w:p>
    <w:p w14:paraId="1DBCB4D2" w14:textId="00E57712" w:rsidR="005220AF" w:rsidRDefault="005220AF" w:rsidP="003D669E">
      <w:pPr>
        <w:pStyle w:val="bullet"/>
        <w:jc w:val="both"/>
      </w:pPr>
      <w:r w:rsidRPr="7E56B70C">
        <w:rPr>
          <w:b/>
          <w:bCs/>
        </w:rPr>
        <w:t xml:space="preserve">Tailored support: </w:t>
      </w:r>
      <w:r w:rsidR="00A11571">
        <w:t xml:space="preserve">DFAT's </w:t>
      </w:r>
      <w:r w:rsidR="002A4D05">
        <w:t xml:space="preserve">approach to support effectively enabled delivery </w:t>
      </w:r>
      <w:r w:rsidR="006874E4">
        <w:t xml:space="preserve">support </w:t>
      </w:r>
      <w:r w:rsidR="002A4D05">
        <w:t>partners to tailor proposals to the priority needs of countries</w:t>
      </w:r>
      <w:r w:rsidR="00980795">
        <w:t>.</w:t>
      </w:r>
    </w:p>
    <w:p w14:paraId="6AC91E35" w14:textId="77777777" w:rsidR="005220AF" w:rsidRDefault="005220AF" w:rsidP="003D669E">
      <w:pPr>
        <w:pStyle w:val="bullet"/>
        <w:jc w:val="both"/>
      </w:pPr>
      <w:r w:rsidRPr="7E56B70C">
        <w:rPr>
          <w:b/>
          <w:bCs/>
        </w:rPr>
        <w:t xml:space="preserve">Linkages: </w:t>
      </w:r>
      <w:r w:rsidR="00A11571">
        <w:t>Linking vaccine donations with provision of technical advice was highly effective</w:t>
      </w:r>
      <w:r w:rsidR="00EB3215">
        <w:t xml:space="preserve"> in enabling partner countries to deploy </w:t>
      </w:r>
      <w:r>
        <w:t xml:space="preserve">vaccine </w:t>
      </w:r>
      <w:r w:rsidR="00EB3215">
        <w:t>doses safely and effectively</w:t>
      </w:r>
      <w:r w:rsidR="00767F21">
        <w:t>.</w:t>
      </w:r>
      <w:r w:rsidR="00980795">
        <w:t xml:space="preserve"> </w:t>
      </w:r>
      <w:r w:rsidR="00767F21">
        <w:t>The role played by Australian expert research and health institutes to ensure sharing of best practice and knowledge including for regulatory issues and health information systems was vital</w:t>
      </w:r>
      <w:r w:rsidR="00123E2D">
        <w:t>,</w:t>
      </w:r>
      <w:r w:rsidR="00767F21">
        <w:t xml:space="preserve"> </w:t>
      </w:r>
      <w:r w:rsidR="00980795">
        <w:t xml:space="preserve">and helped develop relationships that could prove of </w:t>
      </w:r>
      <w:r w:rsidR="00382499">
        <w:t xml:space="preserve">longer-term </w:t>
      </w:r>
      <w:r w:rsidR="00980795">
        <w:t>benefit</w:t>
      </w:r>
      <w:r w:rsidR="00382499">
        <w:t xml:space="preserve"> to countries in the Indo-Pacific region </w:t>
      </w:r>
      <w:r w:rsidR="00123E2D">
        <w:t>as well as to</w:t>
      </w:r>
      <w:r w:rsidR="00382499">
        <w:t xml:space="preserve"> Australian health security.</w:t>
      </w:r>
    </w:p>
    <w:p w14:paraId="0A1834CF" w14:textId="3ACF44D6" w:rsidR="00696CEE" w:rsidRPr="005C4426" w:rsidRDefault="005220AF" w:rsidP="003D669E">
      <w:pPr>
        <w:pStyle w:val="bullet"/>
        <w:jc w:val="both"/>
        <w:rPr>
          <w:b/>
          <w:bCs/>
        </w:rPr>
      </w:pPr>
      <w:r w:rsidRPr="7E56B70C">
        <w:rPr>
          <w:b/>
          <w:bCs/>
        </w:rPr>
        <w:t>Flexibility and responsiveness:</w:t>
      </w:r>
      <w:r>
        <w:t xml:space="preserve"> </w:t>
      </w:r>
      <w:r w:rsidR="008E370B">
        <w:t xml:space="preserve">The </w:t>
      </w:r>
      <w:r w:rsidR="00C654ED">
        <w:t xml:space="preserve">importance of flexibility to be able to respond to changing partner </w:t>
      </w:r>
      <w:proofErr w:type="gramStart"/>
      <w:r w:rsidR="00C654ED">
        <w:t>country</w:t>
      </w:r>
      <w:proofErr w:type="gramEnd"/>
      <w:r w:rsidR="00C654ED">
        <w:t xml:space="preserve"> needs and enable the effective and efficient use of resources. The </w:t>
      </w:r>
      <w:r w:rsidR="008E370B">
        <w:t>importance of being responsive to country needs and fast to deliver support to trust and strengthen relationships with partner governments.</w:t>
      </w:r>
    </w:p>
    <w:p w14:paraId="7E75D60A" w14:textId="1B3574A7" w:rsidR="005220AF" w:rsidRDefault="005220AF" w:rsidP="003D669E">
      <w:pPr>
        <w:pStyle w:val="bullet"/>
        <w:jc w:val="both"/>
      </w:pPr>
      <w:r w:rsidRPr="7E56B70C">
        <w:rPr>
          <w:b/>
          <w:bCs/>
        </w:rPr>
        <w:t xml:space="preserve">Approval processes: </w:t>
      </w:r>
      <w:r w:rsidR="005F1E5C">
        <w:t>S</w:t>
      </w:r>
      <w:r w:rsidR="003311F4">
        <w:t xml:space="preserve">ome </w:t>
      </w:r>
      <w:r w:rsidR="005F1E5C">
        <w:t xml:space="preserve">bureaucratic </w:t>
      </w:r>
      <w:r w:rsidR="003311F4">
        <w:t>processes</w:t>
      </w:r>
      <w:r w:rsidR="005F1E5C">
        <w:t>, notably</w:t>
      </w:r>
      <w:r w:rsidR="003311F4">
        <w:t xml:space="preserve"> for approvals and </w:t>
      </w:r>
      <w:proofErr w:type="gramStart"/>
      <w:r w:rsidR="003311F4">
        <w:t>clearances</w:t>
      </w:r>
      <w:proofErr w:type="gramEnd"/>
      <w:r w:rsidR="009662E5">
        <w:t xml:space="preserve"> </w:t>
      </w:r>
      <w:r w:rsidR="003311F4">
        <w:t xml:space="preserve">were considered </w:t>
      </w:r>
      <w:r w:rsidR="0877322D">
        <w:t>lengthy</w:t>
      </w:r>
      <w:r w:rsidR="00647BAD">
        <w:t xml:space="preserve">, and </w:t>
      </w:r>
      <w:r w:rsidR="6607FC60">
        <w:t>could be streamlined</w:t>
      </w:r>
      <w:r w:rsidR="009662E5">
        <w:t>.</w:t>
      </w:r>
      <w:bookmarkStart w:id="207" w:name="_Toc179742214"/>
      <w:bookmarkStart w:id="208" w:name="_Toc179742828"/>
      <w:bookmarkStart w:id="209" w:name="_Toc179743372"/>
      <w:bookmarkStart w:id="210" w:name="_Toc179746262"/>
      <w:bookmarkEnd w:id="207"/>
      <w:bookmarkEnd w:id="208"/>
      <w:bookmarkEnd w:id="209"/>
      <w:bookmarkEnd w:id="210"/>
    </w:p>
    <w:p w14:paraId="43FF4FB4" w14:textId="42FCF3CA" w:rsidR="00111E1D" w:rsidRDefault="005220AF" w:rsidP="003D669E">
      <w:pPr>
        <w:pStyle w:val="bullet"/>
        <w:jc w:val="both"/>
      </w:pPr>
      <w:r w:rsidRPr="7E56B70C">
        <w:rPr>
          <w:b/>
          <w:bCs/>
        </w:rPr>
        <w:t xml:space="preserve">Resourcing: </w:t>
      </w:r>
      <w:r w:rsidR="17C793D5">
        <w:t xml:space="preserve">Most </w:t>
      </w:r>
      <w:r w:rsidR="00012A5D">
        <w:t xml:space="preserve">DFAT </w:t>
      </w:r>
      <w:r w:rsidR="17C793D5">
        <w:t xml:space="preserve">Posts reported </w:t>
      </w:r>
      <w:r w:rsidR="005642BB">
        <w:t xml:space="preserve">that </w:t>
      </w:r>
      <w:r w:rsidR="00E1030E">
        <w:t>more local</w:t>
      </w:r>
      <w:r w:rsidR="17C793D5">
        <w:t xml:space="preserve"> skills, networks and </w:t>
      </w:r>
      <w:r w:rsidR="00012A5D">
        <w:t xml:space="preserve">knowledge </w:t>
      </w:r>
      <w:r>
        <w:t xml:space="preserve">as well as health specialists, development specialists, logistics specialists </w:t>
      </w:r>
      <w:r w:rsidR="00BA3FF1">
        <w:t xml:space="preserve">would have been </w:t>
      </w:r>
      <w:r w:rsidR="002D4A28">
        <w:t>beneficial to the response</w:t>
      </w:r>
      <w:r w:rsidR="00B964F5">
        <w:t>.</w:t>
      </w:r>
      <w:r w:rsidR="704DB568">
        <w:t xml:space="preserve"> </w:t>
      </w:r>
      <w:r w:rsidR="004F73F2">
        <w:t xml:space="preserve">While the VAHSI program continued well beyond its anticipated duration, staffing levels in Canberra did not, with key staff reallocated to new initiatives. This further compromised support to posts and DFAT’s capacity to maintain previous levels of activity management. </w:t>
      </w:r>
      <w:r w:rsidR="00312297">
        <w:t xml:space="preserve">To enable whole of activity monitoring and management, </w:t>
      </w:r>
      <w:proofErr w:type="gramStart"/>
      <w:r w:rsidR="00312297">
        <w:t>resourcing</w:t>
      </w:r>
      <w:proofErr w:type="gramEnd"/>
      <w:r w:rsidR="00312297">
        <w:t xml:space="preserve"> for staffing in Canberra should be sustained for the entirety of an investment. </w:t>
      </w:r>
      <w:bookmarkStart w:id="211" w:name="_Toc179742216"/>
      <w:bookmarkStart w:id="212" w:name="_Toc179742830"/>
      <w:bookmarkStart w:id="213" w:name="_Toc179743374"/>
      <w:bookmarkStart w:id="214" w:name="_Toc179746264"/>
      <w:bookmarkStart w:id="215" w:name="_Toc179742217"/>
      <w:bookmarkStart w:id="216" w:name="_Toc179742831"/>
      <w:bookmarkStart w:id="217" w:name="_Toc179743375"/>
      <w:bookmarkStart w:id="218" w:name="_Toc179746265"/>
      <w:bookmarkStart w:id="219" w:name="_Toc179742218"/>
      <w:bookmarkStart w:id="220" w:name="_Toc179742832"/>
      <w:bookmarkStart w:id="221" w:name="_Toc179743376"/>
      <w:bookmarkStart w:id="222" w:name="_Toc179746266"/>
      <w:bookmarkStart w:id="223" w:name="_Toc179742219"/>
      <w:bookmarkStart w:id="224" w:name="_Toc179742833"/>
      <w:bookmarkStart w:id="225" w:name="_Toc179743377"/>
      <w:bookmarkStart w:id="226" w:name="_Toc179746267"/>
      <w:bookmarkStart w:id="227" w:name="_Toc179742220"/>
      <w:bookmarkStart w:id="228" w:name="_Toc179742834"/>
      <w:bookmarkStart w:id="229" w:name="_Toc179743378"/>
      <w:bookmarkStart w:id="230" w:name="_Toc179746268"/>
      <w:bookmarkStart w:id="231" w:name="_Toc179742221"/>
      <w:bookmarkStart w:id="232" w:name="_Toc179742835"/>
      <w:bookmarkStart w:id="233" w:name="_Toc179743379"/>
      <w:bookmarkStart w:id="234" w:name="_Toc179746269"/>
      <w:bookmarkStart w:id="235" w:name="_Toc179742226"/>
      <w:bookmarkStart w:id="236" w:name="_Toc179742840"/>
      <w:bookmarkStart w:id="237" w:name="_Toc179743384"/>
      <w:bookmarkStart w:id="238" w:name="_Toc179746274"/>
      <w:bookmarkStart w:id="239" w:name="_Toc179742227"/>
      <w:bookmarkStart w:id="240" w:name="_Toc179742841"/>
      <w:bookmarkStart w:id="241" w:name="_Toc179743385"/>
      <w:bookmarkStart w:id="242" w:name="_Toc179746275"/>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4162C953" w14:textId="52861223" w:rsidR="00111E1D" w:rsidRPr="00133E7C" w:rsidRDefault="00111E1D" w:rsidP="003D669E">
      <w:pPr>
        <w:pStyle w:val="bullet"/>
        <w:jc w:val="both"/>
        <w:rPr>
          <w:rFonts w:ascii="Calibri" w:eastAsia="Calibri" w:hAnsi="Calibri" w:cs="Calibri"/>
        </w:rPr>
      </w:pPr>
      <w:r w:rsidRPr="7E56B70C">
        <w:rPr>
          <w:b/>
          <w:bCs/>
        </w:rPr>
        <w:t>Data</w:t>
      </w:r>
      <w:r w:rsidR="00F076DE" w:rsidRPr="7E56B70C">
        <w:rPr>
          <w:b/>
          <w:bCs/>
        </w:rPr>
        <w:t xml:space="preserve"> and </w:t>
      </w:r>
      <w:r w:rsidR="66BDAAEF" w:rsidRPr="7E56B70C">
        <w:rPr>
          <w:b/>
          <w:bCs/>
        </w:rPr>
        <w:t>i</w:t>
      </w:r>
      <w:r w:rsidR="00F076DE" w:rsidRPr="7E56B70C">
        <w:rPr>
          <w:b/>
          <w:bCs/>
        </w:rPr>
        <w:t>nformation</w:t>
      </w:r>
      <w:r w:rsidRPr="7E56B70C">
        <w:rPr>
          <w:b/>
          <w:bCs/>
        </w:rPr>
        <w:t>:</w:t>
      </w:r>
      <w:r w:rsidRPr="7E56B70C">
        <w:rPr>
          <w:rFonts w:eastAsia="Times New Roman" w:cs="Mangal"/>
          <w:lang w:val="en-AU" w:eastAsia="ja-JP" w:bidi="hi-IN"/>
        </w:rPr>
        <w:t xml:space="preserve"> </w:t>
      </w:r>
      <w:r w:rsidR="005C4426">
        <w:t xml:space="preserve">Delivery </w:t>
      </w:r>
      <w:r w:rsidR="006874E4">
        <w:t xml:space="preserve">support </w:t>
      </w:r>
      <w:r w:rsidR="005C4426">
        <w:t xml:space="preserve">partners reported difficulties obtaining population data to inform program targets, as well as more sophisticated surveillance reporting. For countries such as Australia that other countries look to for support, it is important to ensure rapid supply of accurate information on how this country is managing a pandemic including vaccination, AEFIs, regulation, etc. Technical expertise from Australia can provide a role in supporting countries to rapidly design new policies and </w:t>
      </w:r>
      <w:r w:rsidR="00603B68">
        <w:t>programs and</w:t>
      </w:r>
      <w:r w:rsidR="005C4426">
        <w:t xml:space="preserve"> make changes to these with a developed country benchmark. This has flow-over benefits </w:t>
      </w:r>
      <w:proofErr w:type="gramStart"/>
      <w:r w:rsidR="005C4426">
        <w:t>to</w:t>
      </w:r>
      <w:proofErr w:type="gramEnd"/>
      <w:r w:rsidR="005C4426">
        <w:t xml:space="preserve"> multilateral agencies working in the sector.</w:t>
      </w:r>
      <w:bookmarkStart w:id="243" w:name="_Toc179742229"/>
      <w:bookmarkStart w:id="244" w:name="_Toc179742843"/>
      <w:bookmarkStart w:id="245" w:name="_Toc179743387"/>
      <w:bookmarkStart w:id="246" w:name="_Toc179746277"/>
      <w:bookmarkStart w:id="247" w:name="_Toc179742230"/>
      <w:bookmarkStart w:id="248" w:name="_Toc179742844"/>
      <w:bookmarkStart w:id="249" w:name="_Toc179743388"/>
      <w:bookmarkStart w:id="250" w:name="_Toc179746278"/>
      <w:bookmarkStart w:id="251" w:name="_Toc179742231"/>
      <w:bookmarkStart w:id="252" w:name="_Toc179742845"/>
      <w:bookmarkStart w:id="253" w:name="_Toc179743389"/>
      <w:bookmarkStart w:id="254" w:name="_Toc179746279"/>
      <w:bookmarkEnd w:id="243"/>
      <w:bookmarkEnd w:id="244"/>
      <w:bookmarkEnd w:id="245"/>
      <w:bookmarkEnd w:id="246"/>
      <w:bookmarkEnd w:id="247"/>
      <w:bookmarkEnd w:id="248"/>
      <w:bookmarkEnd w:id="249"/>
      <w:bookmarkEnd w:id="250"/>
      <w:bookmarkEnd w:id="251"/>
      <w:bookmarkEnd w:id="252"/>
      <w:bookmarkEnd w:id="253"/>
      <w:bookmarkEnd w:id="254"/>
    </w:p>
    <w:p w14:paraId="05AE72D1" w14:textId="7DD6FA16" w:rsidR="005C4426" w:rsidRDefault="00212D51" w:rsidP="003D669E">
      <w:pPr>
        <w:pStyle w:val="bullet"/>
        <w:jc w:val="both"/>
      </w:pPr>
      <w:r w:rsidRPr="7E56B70C">
        <w:rPr>
          <w:rFonts w:eastAsia="Times New Roman" w:cs="Mangal"/>
          <w:b/>
          <w:bCs/>
          <w:lang w:val="en-AU" w:eastAsia="ja-JP" w:bidi="hi-IN"/>
        </w:rPr>
        <w:t>OPDs</w:t>
      </w:r>
      <w:r>
        <w:t xml:space="preserve">: Many delivery </w:t>
      </w:r>
      <w:r w:rsidR="006874E4">
        <w:t xml:space="preserve">support </w:t>
      </w:r>
      <w:r>
        <w:t xml:space="preserve">partners experienced difficulties obtaining data on people with disability, which impacted both planning and programming for inclusion. The clear and strong role of OPDs and the benefits of in-country partners having strong connections (and or formal agreements) with these </w:t>
      </w:r>
      <w:proofErr w:type="spellStart"/>
      <w:r>
        <w:t>organisations</w:t>
      </w:r>
      <w:proofErr w:type="spellEnd"/>
      <w:r>
        <w:t xml:space="preserve"> can allow for rapid access to data and provide mechanisms for accessing people with disability for consultation and broader inclusion in subsequent programming</w:t>
      </w:r>
    </w:p>
    <w:p w14:paraId="4B695503" w14:textId="6C3ED42C" w:rsidR="00111E1D" w:rsidRDefault="00111E1D" w:rsidP="003D669E">
      <w:pPr>
        <w:pStyle w:val="bullet"/>
        <w:jc w:val="both"/>
      </w:pPr>
      <w:r w:rsidRPr="7E56B70C">
        <w:rPr>
          <w:rFonts w:eastAsia="Times New Roman" w:cs="Mangal"/>
          <w:b/>
          <w:bCs/>
          <w:lang w:val="en-AU" w:eastAsia="ja-JP" w:bidi="hi-IN"/>
        </w:rPr>
        <w:t>Championing GEDSI:</w:t>
      </w:r>
      <w:r>
        <w:t xml:space="preserve"> </w:t>
      </w:r>
      <w:r w:rsidR="007D786F">
        <w:t>For initiatives</w:t>
      </w:r>
      <w:r w:rsidR="64052D9A">
        <w:t xml:space="preserve"> </w:t>
      </w:r>
      <w:r w:rsidR="007D786F">
        <w:t xml:space="preserve">like </w:t>
      </w:r>
      <w:r w:rsidR="64052D9A">
        <w:t xml:space="preserve">VAHSI where one </w:t>
      </w:r>
      <w:r w:rsidR="007D786F">
        <w:t xml:space="preserve">of </w:t>
      </w:r>
      <w:r w:rsidR="64052D9A">
        <w:t xml:space="preserve">its </w:t>
      </w:r>
      <w:r w:rsidR="007D786F">
        <w:t xml:space="preserve">objectives </w:t>
      </w:r>
      <w:r w:rsidR="64052D9A">
        <w:t>is</w:t>
      </w:r>
      <w:r w:rsidR="001C7084">
        <w:t>:</w:t>
      </w:r>
      <w:r w:rsidR="64052D9A">
        <w:t xml:space="preserve"> ‘Inclusive recovery that protects the most vulnerable, facilitates the meaningful participation of all and leaves no one behind’</w:t>
      </w:r>
      <w:r w:rsidR="007D786F">
        <w:t>,</w:t>
      </w:r>
      <w:r w:rsidR="64052D9A">
        <w:t xml:space="preserve"> GEDSI should be</w:t>
      </w:r>
      <w:r w:rsidR="007D786F">
        <w:t xml:space="preserve"> an integrated element of the initiative and not seen as </w:t>
      </w:r>
      <w:r w:rsidR="64052D9A">
        <w:t xml:space="preserve">an add-on. </w:t>
      </w:r>
      <w:r w:rsidR="21ED8499">
        <w:t xml:space="preserve">GEDSI should be understood and accepted (ideally championed) as a cross-cutting priority by all </w:t>
      </w:r>
      <w:r w:rsidR="327A0612">
        <w:t xml:space="preserve">DFAT </w:t>
      </w:r>
      <w:r w:rsidR="21ED8499">
        <w:t>staff, including senior decision makers. Ultimately it was not just about “getting vaccines out there” but ensuring that the</w:t>
      </w:r>
      <w:r w:rsidR="327A0612">
        <w:t xml:space="preserve"> vaccines</w:t>
      </w:r>
      <w:r w:rsidR="21ED8499">
        <w:t xml:space="preserve"> reached targeted/vulnerable groups and that distinct population groupings received tailored messaging to combat misinformation and vaccine hesitancy.</w:t>
      </w:r>
      <w:r w:rsidR="5900987C">
        <w:t xml:space="preserve">  </w:t>
      </w:r>
      <w:bookmarkStart w:id="255" w:name="_Toc179742234"/>
      <w:bookmarkStart w:id="256" w:name="_Toc179742848"/>
      <w:bookmarkStart w:id="257" w:name="_Toc179743392"/>
      <w:bookmarkStart w:id="258" w:name="_Toc179746282"/>
      <w:bookmarkEnd w:id="255"/>
      <w:bookmarkEnd w:id="256"/>
      <w:bookmarkEnd w:id="257"/>
      <w:bookmarkEnd w:id="258"/>
    </w:p>
    <w:p w14:paraId="4CE087D6" w14:textId="02B24975" w:rsidR="00111E1D" w:rsidRPr="00111E1D" w:rsidRDefault="00111E1D" w:rsidP="003D669E">
      <w:pPr>
        <w:pStyle w:val="bullet"/>
        <w:jc w:val="both"/>
      </w:pPr>
      <w:r w:rsidRPr="00721F73">
        <w:rPr>
          <w:b/>
          <w:bCs/>
        </w:rPr>
        <w:t xml:space="preserve">Monitoring, </w:t>
      </w:r>
      <w:r w:rsidR="094AE551" w:rsidRPr="62CC2B41">
        <w:rPr>
          <w:b/>
          <w:bCs/>
        </w:rPr>
        <w:t>e</w:t>
      </w:r>
      <w:r w:rsidRPr="00721F73">
        <w:rPr>
          <w:b/>
          <w:bCs/>
        </w:rPr>
        <w:t xml:space="preserve">valuation and </w:t>
      </w:r>
      <w:r w:rsidR="0B52B3B2" w:rsidRPr="62CC2B41">
        <w:rPr>
          <w:b/>
          <w:bCs/>
        </w:rPr>
        <w:t>l</w:t>
      </w:r>
      <w:r w:rsidR="0FB6B616" w:rsidRPr="62CC2B41">
        <w:rPr>
          <w:b/>
          <w:bCs/>
        </w:rPr>
        <w:t>earning</w:t>
      </w:r>
      <w:r w:rsidRPr="00721F73">
        <w:rPr>
          <w:b/>
          <w:bCs/>
        </w:rPr>
        <w:t xml:space="preserve">: </w:t>
      </w:r>
      <w:r w:rsidR="64052D9A" w:rsidRPr="00721F73">
        <w:t xml:space="preserve">Investments need a </w:t>
      </w:r>
      <w:r w:rsidR="00BB19AA" w:rsidRPr="00721F73">
        <w:t>well-articulated</w:t>
      </w:r>
      <w:r w:rsidR="64052D9A" w:rsidRPr="00721F73">
        <w:t xml:space="preserve">, timely and well </w:t>
      </w:r>
      <w:proofErr w:type="spellStart"/>
      <w:r w:rsidR="64052D9A" w:rsidRPr="00721F73">
        <w:t>socialised</w:t>
      </w:r>
      <w:proofErr w:type="spellEnd"/>
      <w:r w:rsidR="64052D9A" w:rsidRPr="00721F73">
        <w:t xml:space="preserve"> MEL Plan an</w:t>
      </w:r>
      <w:r w:rsidR="00312297" w:rsidRPr="00721F73">
        <w:t>d</w:t>
      </w:r>
      <w:r w:rsidR="64052D9A" w:rsidRPr="00721F73">
        <w:t xml:space="preserve"> System</w:t>
      </w:r>
      <w:r w:rsidR="00312297" w:rsidRPr="00721F73">
        <w:t>.</w:t>
      </w:r>
      <w:r w:rsidR="6B6BB5D2" w:rsidRPr="00721F73">
        <w:t xml:space="preserve"> </w:t>
      </w:r>
      <w:r w:rsidR="0BF479C6" w:rsidRPr="00721F73">
        <w:t xml:space="preserve">DFAT investments involving multiple partners and partner types need to invest in ensuring that minimum </w:t>
      </w:r>
      <w:r w:rsidR="1BCBDC17" w:rsidRPr="00721F73">
        <w:t xml:space="preserve">data and </w:t>
      </w:r>
      <w:r w:rsidR="0BF479C6" w:rsidRPr="00721F73">
        <w:t xml:space="preserve">reporting requirements are clearly communicated to, </w:t>
      </w:r>
      <w:r w:rsidR="009C26CA" w:rsidRPr="00721F73">
        <w:t>understood,</w:t>
      </w:r>
      <w:r w:rsidR="0BF479C6" w:rsidRPr="00721F73">
        <w:t xml:space="preserve"> and accepted by all </w:t>
      </w:r>
      <w:r w:rsidR="007D786F" w:rsidRPr="00721F73">
        <w:t xml:space="preserve">delivery </w:t>
      </w:r>
      <w:r w:rsidR="006874E4">
        <w:t xml:space="preserve">support </w:t>
      </w:r>
      <w:r w:rsidR="0BF479C6" w:rsidRPr="00721F73">
        <w:t xml:space="preserve">partners </w:t>
      </w:r>
      <w:r w:rsidR="00696CEE">
        <w:t xml:space="preserve">(at the outset) </w:t>
      </w:r>
      <w:r w:rsidR="0BF479C6" w:rsidRPr="00721F73">
        <w:t>and that systems are in place for ensuring quality/compliance with these requirements.</w:t>
      </w:r>
      <w:r w:rsidR="007D786F" w:rsidRPr="00721F73">
        <w:t xml:space="preserve"> </w:t>
      </w:r>
      <w:r w:rsidR="5AEE454D">
        <w:t>If reporting changes are unavoidable, the fit within the MEL Plan, and the capability of delivery</w:t>
      </w:r>
      <w:r w:rsidR="006874E4">
        <w:t xml:space="preserve"> support</w:t>
      </w:r>
      <w:r w:rsidR="5AEE454D">
        <w:t xml:space="preserve"> partners to absorb the change (e.g. if required to collect new data partway through) must be carefully considered and </w:t>
      </w:r>
      <w:r w:rsidR="000848E0">
        <w:t xml:space="preserve">effectively </w:t>
      </w:r>
      <w:r w:rsidR="5AEE454D">
        <w:t>communicat</w:t>
      </w:r>
      <w:r w:rsidR="000848E0">
        <w:t>ed</w:t>
      </w:r>
      <w:r w:rsidR="5AEE454D">
        <w:t xml:space="preserve"> to all delivery </w:t>
      </w:r>
      <w:r w:rsidR="006874E4">
        <w:t xml:space="preserve">support </w:t>
      </w:r>
      <w:r w:rsidR="5AEE454D">
        <w:t>partners.</w:t>
      </w:r>
      <w:r w:rsidR="5AEE454D" w:rsidRPr="00721F73">
        <w:t xml:space="preserve"> </w:t>
      </w:r>
      <w:r w:rsidR="004F73F2" w:rsidRPr="00721F73">
        <w:t>The development of a MEL Plan and associated MEL Guide for partners should be a minimum requirement for programs of this nature.  Standard 5 of the DFAT Design, Monitoring, Evaluation and Learning Standards clearly articulates the need for and requirements of MEL Plan and MEL System.</w:t>
      </w:r>
      <w:r w:rsidR="004F73F2">
        <w:rPr>
          <w:rStyle w:val="EndnoteReference"/>
          <w:rFonts w:ascii="Calibri" w:eastAsia="Calibri" w:hAnsi="Calibri" w:cs="Calibri"/>
        </w:rPr>
        <w:endnoteReference w:id="19"/>
      </w:r>
      <w:r w:rsidR="004F73F2" w:rsidRPr="00721F73">
        <w:t xml:space="preserve"> </w:t>
      </w:r>
      <w:bookmarkStart w:id="259" w:name="_Toc179742236"/>
      <w:bookmarkStart w:id="260" w:name="_Toc179742850"/>
      <w:bookmarkStart w:id="261" w:name="_Toc179743394"/>
      <w:bookmarkStart w:id="262" w:name="_Toc179746284"/>
      <w:bookmarkEnd w:id="259"/>
      <w:bookmarkEnd w:id="260"/>
      <w:bookmarkEnd w:id="261"/>
      <w:bookmarkEnd w:id="262"/>
      <w:r w:rsidR="329E45A7" w:rsidRPr="33FE3C21">
        <w:t xml:space="preserve">Where an overarching PAF is focused on End of Program Outcomes – the MEL Plan should include a description of ‘fit for purpose’ tools or processes (for example Dashboards or streamlined Annual Reports) to </w:t>
      </w:r>
      <w:r w:rsidR="00696CEE" w:rsidRPr="33FE3C21">
        <w:t>strengthen</w:t>
      </w:r>
      <w:r w:rsidR="30AA4909">
        <w:t>/</w:t>
      </w:r>
      <w:r w:rsidR="329E45A7" w:rsidRPr="33FE3C21">
        <w:t>enable DFAT progress monitoring at the investment level.</w:t>
      </w:r>
      <w:r w:rsidR="27B0C5CA">
        <w:t xml:space="preserve"> </w:t>
      </w:r>
    </w:p>
    <w:p w14:paraId="5DBFC0B8" w14:textId="012C56AF" w:rsidR="00111E1D" w:rsidRPr="00111E1D" w:rsidRDefault="00111E1D" w:rsidP="003D669E">
      <w:pPr>
        <w:pStyle w:val="bullet"/>
        <w:jc w:val="both"/>
      </w:pPr>
      <w:r w:rsidRPr="00721F73">
        <w:t xml:space="preserve">Partner selection </w:t>
      </w:r>
      <w:r w:rsidR="000848E0" w:rsidRPr="00721F73">
        <w:t>(</w:t>
      </w:r>
      <w:r w:rsidRPr="00721F73">
        <w:t>GEDSI</w:t>
      </w:r>
      <w:r w:rsidR="000848E0" w:rsidRPr="00721F73">
        <w:t>)</w:t>
      </w:r>
      <w:r w:rsidRPr="00721F73">
        <w:t xml:space="preserve">: </w:t>
      </w:r>
    </w:p>
    <w:p w14:paraId="2BFE1973" w14:textId="5D0E3C60" w:rsidR="00111E1D" w:rsidRDefault="000848E0" w:rsidP="00C30814">
      <w:pPr>
        <w:pStyle w:val="ListParagraph"/>
        <w:numPr>
          <w:ilvl w:val="0"/>
          <w:numId w:val="9"/>
        </w:numPr>
        <w:jc w:val="both"/>
      </w:pPr>
      <w:r w:rsidRPr="00A25BBF">
        <w:rPr>
          <w:b/>
          <w:bCs/>
        </w:rPr>
        <w:t>NGO Partners</w:t>
      </w:r>
      <w:r>
        <w:t xml:space="preserve"> - </w:t>
      </w:r>
      <w:r w:rsidR="0B0530BD" w:rsidRPr="00111E1D">
        <w:t xml:space="preserve">There were significant benefits for </w:t>
      </w:r>
      <w:r>
        <w:t xml:space="preserve">DFAT and </w:t>
      </w:r>
      <w:r w:rsidR="0B0530BD" w:rsidRPr="00111E1D">
        <w:t xml:space="preserve">VAHSI </w:t>
      </w:r>
      <w:r w:rsidR="00100B1C" w:rsidRPr="00111E1D">
        <w:t xml:space="preserve">delivery </w:t>
      </w:r>
      <w:r w:rsidR="006874E4">
        <w:t xml:space="preserve">support </w:t>
      </w:r>
      <w:r w:rsidR="0B0530BD" w:rsidRPr="00111E1D">
        <w:t>partners working with NGOs on the ground that had pre-existing networks and relationships (for example to community leader</w:t>
      </w:r>
      <w:r w:rsidR="36A7FBE8" w:rsidRPr="00111E1D">
        <w:t>s</w:t>
      </w:r>
      <w:r w:rsidR="0B0530BD" w:rsidRPr="00111E1D">
        <w:t xml:space="preserve"> or groups as well as women’s networks or DPOs)</w:t>
      </w:r>
      <w:r w:rsidR="00100B1C" w:rsidRPr="00111E1D">
        <w:t>. This</w:t>
      </w:r>
      <w:r w:rsidR="0B0530BD" w:rsidRPr="00111E1D">
        <w:t xml:space="preserve"> proved valuable especially for community consultation and </w:t>
      </w:r>
      <w:proofErr w:type="spellStart"/>
      <w:r w:rsidR="0B0530BD" w:rsidRPr="00111E1D">
        <w:t>mobilisation</w:t>
      </w:r>
      <w:proofErr w:type="spellEnd"/>
      <w:r w:rsidR="0B0530BD" w:rsidRPr="00111E1D">
        <w:t xml:space="preserve">. These </w:t>
      </w:r>
      <w:proofErr w:type="spellStart"/>
      <w:r w:rsidR="00100B1C" w:rsidRPr="00111E1D">
        <w:t>organisations</w:t>
      </w:r>
      <w:proofErr w:type="spellEnd"/>
      <w:r w:rsidR="00100B1C" w:rsidRPr="00111E1D">
        <w:t xml:space="preserve"> </w:t>
      </w:r>
      <w:r w:rsidR="0B0530BD" w:rsidRPr="00111E1D">
        <w:t xml:space="preserve">have </w:t>
      </w:r>
      <w:r w:rsidR="00100B1C" w:rsidRPr="00111E1D">
        <w:t xml:space="preserve">an in-depth </w:t>
      </w:r>
      <w:r w:rsidR="0B0530BD" w:rsidRPr="00111E1D">
        <w:t xml:space="preserve">understanding of the context and culture and could often </w:t>
      </w:r>
      <w:proofErr w:type="spellStart"/>
      <w:r w:rsidR="0B0530BD" w:rsidRPr="00111E1D">
        <w:t>mobilise</w:t>
      </w:r>
      <w:proofErr w:type="spellEnd"/>
      <w:r w:rsidR="0B0530BD" w:rsidRPr="00111E1D">
        <w:t xml:space="preserve"> rapidly as countries transition from the immediate crisis and local communities </w:t>
      </w:r>
      <w:proofErr w:type="spellStart"/>
      <w:r w:rsidR="0B0530BD" w:rsidRPr="00111E1D">
        <w:t>stabilise</w:t>
      </w:r>
      <w:proofErr w:type="spellEnd"/>
      <w:r w:rsidR="0B0530BD" w:rsidRPr="00111E1D">
        <w:t xml:space="preserve">. Where this approach was applied it was presented as a key to ultimate success – both for GEDSI and overall. It was noted that in some countries, local NGOs were only engaged (for example by multilateral agencies) in the final year of VAHSI – when conceivably they could have had greater impact if subcontracted earlier in the program and for a longer </w:t>
      </w:r>
      <w:r w:rsidR="00E147B2" w:rsidRPr="00111E1D">
        <w:t>period</w:t>
      </w:r>
      <w:r w:rsidR="0B0530BD" w:rsidRPr="00111E1D">
        <w:t xml:space="preserve">.  </w:t>
      </w:r>
    </w:p>
    <w:p w14:paraId="436BEE2E" w14:textId="61E44C52" w:rsidR="5EB2BCB1" w:rsidRPr="006B0C6C" w:rsidRDefault="00834371" w:rsidP="00C30814">
      <w:pPr>
        <w:pStyle w:val="ListParagraph"/>
        <w:numPr>
          <w:ilvl w:val="0"/>
          <w:numId w:val="9"/>
        </w:numPr>
        <w:jc w:val="both"/>
      </w:pPr>
      <w:r w:rsidRPr="00A25BBF">
        <w:rPr>
          <w:rFonts w:ascii="Calibri" w:eastAsia="Calibri" w:hAnsi="Calibri" w:cs="Calibri"/>
          <w:b/>
          <w:bCs/>
        </w:rPr>
        <w:t>Existing DFAT partners</w:t>
      </w:r>
      <w:r w:rsidRPr="00111E1D">
        <w:rPr>
          <w:rFonts w:ascii="Calibri" w:eastAsia="Calibri" w:hAnsi="Calibri" w:cs="Calibri"/>
        </w:rPr>
        <w:t xml:space="preserve"> – especially DFAT Accredited Australian NGOs (and their in-country partners - including those operating under the AHP groupings) </w:t>
      </w:r>
      <w:r w:rsidR="00C21C32" w:rsidRPr="00111E1D">
        <w:rPr>
          <w:rFonts w:ascii="Calibri" w:eastAsia="Calibri" w:hAnsi="Calibri" w:cs="Calibri"/>
        </w:rPr>
        <w:t xml:space="preserve">– </w:t>
      </w:r>
      <w:r w:rsidRPr="00111E1D">
        <w:rPr>
          <w:rFonts w:ascii="Calibri" w:eastAsia="Calibri" w:hAnsi="Calibri" w:cs="Calibri"/>
        </w:rPr>
        <w:t>and DFAT bilateral health programs</w:t>
      </w:r>
      <w:r w:rsidR="00C9675D" w:rsidRPr="00111E1D">
        <w:rPr>
          <w:rFonts w:ascii="Calibri" w:eastAsia="Calibri" w:hAnsi="Calibri" w:cs="Calibri"/>
        </w:rPr>
        <w:t xml:space="preserve"> </w:t>
      </w:r>
      <w:r w:rsidRPr="00111E1D">
        <w:rPr>
          <w:rFonts w:ascii="Calibri" w:eastAsia="Calibri" w:hAnsi="Calibri" w:cs="Calibri"/>
        </w:rPr>
        <w:t xml:space="preserve">have a demonstrated commitment to GEDSI. </w:t>
      </w:r>
      <w:r w:rsidR="00C9675D" w:rsidRPr="00111E1D">
        <w:rPr>
          <w:rFonts w:ascii="Calibri" w:eastAsia="Calibri" w:hAnsi="Calibri" w:cs="Calibri"/>
        </w:rPr>
        <w:t>All</w:t>
      </w:r>
      <w:r w:rsidRPr="00111E1D">
        <w:rPr>
          <w:rFonts w:ascii="Calibri" w:eastAsia="Calibri" w:hAnsi="Calibri" w:cs="Calibri"/>
        </w:rPr>
        <w:t xml:space="preserve"> these types of partners interviewed had pre-existing GEDSI strategies inclusive of analyses of likely barriers to engagement and </w:t>
      </w:r>
      <w:proofErr w:type="gramStart"/>
      <w:r w:rsidRPr="00111E1D">
        <w:rPr>
          <w:rFonts w:ascii="Calibri" w:eastAsia="Calibri" w:hAnsi="Calibri" w:cs="Calibri"/>
        </w:rPr>
        <w:t>access</w:t>
      </w:r>
      <w:r w:rsidR="00C9675D" w:rsidRPr="00111E1D">
        <w:rPr>
          <w:rFonts w:ascii="Calibri" w:eastAsia="Calibri" w:hAnsi="Calibri" w:cs="Calibri"/>
        </w:rPr>
        <w:t>,</w:t>
      </w:r>
      <w:r w:rsidRPr="00111E1D">
        <w:rPr>
          <w:rFonts w:ascii="Calibri" w:eastAsia="Calibri" w:hAnsi="Calibri" w:cs="Calibri"/>
        </w:rPr>
        <w:t xml:space="preserve"> and</w:t>
      </w:r>
      <w:proofErr w:type="gramEnd"/>
      <w:r w:rsidRPr="00111E1D">
        <w:rPr>
          <w:rFonts w:ascii="Calibri" w:eastAsia="Calibri" w:hAnsi="Calibri" w:cs="Calibri"/>
        </w:rPr>
        <w:t xml:space="preserve"> demonstrated solid networks with community groupings of women’s groups, OPDs and on the whole understood community structures and entry points.</w:t>
      </w:r>
      <w:r w:rsidRPr="00111E1D">
        <w:rPr>
          <w:rFonts w:ascii="Calibri" w:eastAsia="Calibri" w:hAnsi="Calibri" w:cs="Calibri"/>
          <w:b/>
          <w:bCs/>
        </w:rPr>
        <w:t xml:space="preserve"> </w:t>
      </w:r>
      <w:r w:rsidRPr="00111E1D">
        <w:rPr>
          <w:rFonts w:ascii="Calibri" w:eastAsia="Calibri" w:hAnsi="Calibri" w:cs="Calibri"/>
        </w:rPr>
        <w:t xml:space="preserve">All demonstrated a willingness and a capacity to collect the full range of disaggregated data required/expected under VAHSI and reporting from a GEDSI standpoint was of a high standard across the board. AHP </w:t>
      </w:r>
      <w:proofErr w:type="gramStart"/>
      <w:r w:rsidRPr="00111E1D">
        <w:rPr>
          <w:rFonts w:ascii="Calibri" w:eastAsia="Calibri" w:hAnsi="Calibri" w:cs="Calibri"/>
        </w:rPr>
        <w:t>in particular brings</w:t>
      </w:r>
      <w:proofErr w:type="gramEnd"/>
      <w:r w:rsidRPr="00111E1D">
        <w:rPr>
          <w:rFonts w:ascii="Calibri" w:eastAsia="Calibri" w:hAnsi="Calibri" w:cs="Calibri"/>
        </w:rPr>
        <w:t xml:space="preserve"> unique skills/networks for responding to emergencies such as COVID-19 and </w:t>
      </w:r>
      <w:proofErr w:type="gramStart"/>
      <w:r w:rsidRPr="00111E1D">
        <w:rPr>
          <w:rFonts w:ascii="Calibri" w:eastAsia="Calibri" w:hAnsi="Calibri" w:cs="Calibri"/>
        </w:rPr>
        <w:t>demonstrate</w:t>
      </w:r>
      <w:proofErr w:type="gramEnd"/>
      <w:r w:rsidRPr="00111E1D">
        <w:rPr>
          <w:rFonts w:ascii="Calibri" w:eastAsia="Calibri" w:hAnsi="Calibri" w:cs="Calibri"/>
        </w:rPr>
        <w:t xml:space="preserve"> strong outcomes when working as a collective using diverse strategies and approaches. AHP could well have been brought in earlier in more locations to enhance GEDSI outcomes. </w:t>
      </w:r>
    </w:p>
    <w:p w14:paraId="192FDB77" w14:textId="525F651E" w:rsidR="2F862C6E" w:rsidRPr="006B0C6C" w:rsidRDefault="2AC0A3BB" w:rsidP="2F862C6E">
      <w:pPr>
        <w:pStyle w:val="Heading1SHS"/>
      </w:pPr>
      <w:r w:rsidRPr="006B0C6C">
        <w:t xml:space="preserve"> </w:t>
      </w:r>
      <w:bookmarkStart w:id="263" w:name="_Toc200617309"/>
      <w:r w:rsidR="30E59941" w:rsidRPr="006B0C6C">
        <w:t>Acknowledgements</w:t>
      </w:r>
      <w:bookmarkEnd w:id="263"/>
    </w:p>
    <w:p w14:paraId="1813853C" w14:textId="72C33F3B" w:rsidR="00887185" w:rsidRPr="006B0C6C" w:rsidRDefault="58177BF8" w:rsidP="2E1252C7">
      <w:pPr>
        <w:jc w:val="both"/>
        <w:rPr>
          <w:rFonts w:ascii="Calibri" w:eastAsia="Calibri" w:hAnsi="Calibri" w:cs="Calibri"/>
        </w:rPr>
      </w:pPr>
      <w:r w:rsidRPr="006B0C6C">
        <w:rPr>
          <w:rFonts w:ascii="Calibri" w:eastAsia="Calibri" w:hAnsi="Calibri" w:cs="Calibri"/>
        </w:rPr>
        <w:t xml:space="preserve">We </w:t>
      </w:r>
      <w:r w:rsidR="00100B1C" w:rsidRPr="006B0C6C">
        <w:rPr>
          <w:rFonts w:ascii="Calibri" w:eastAsia="Calibri" w:hAnsi="Calibri" w:cs="Calibri"/>
        </w:rPr>
        <w:t xml:space="preserve">would like to express our gratitude to </w:t>
      </w:r>
      <w:r w:rsidRPr="006B0C6C">
        <w:rPr>
          <w:rFonts w:ascii="Calibri" w:eastAsia="Calibri" w:hAnsi="Calibri" w:cs="Calibri"/>
        </w:rPr>
        <w:t xml:space="preserve">the </w:t>
      </w:r>
      <w:r w:rsidR="006874E4">
        <w:rPr>
          <w:rFonts w:ascii="Calibri" w:eastAsia="Calibri" w:hAnsi="Calibri" w:cs="Calibri"/>
        </w:rPr>
        <w:t>M</w:t>
      </w:r>
      <w:r w:rsidRPr="006B0C6C">
        <w:rPr>
          <w:rFonts w:ascii="Calibri" w:eastAsia="Calibri" w:hAnsi="Calibri" w:cs="Calibri"/>
        </w:rPr>
        <w:t xml:space="preserve">inistries of Health, the </w:t>
      </w:r>
      <w:r w:rsidR="61E12266" w:rsidRPr="006B0C6C">
        <w:rPr>
          <w:rFonts w:ascii="Calibri" w:eastAsia="Calibri" w:hAnsi="Calibri" w:cs="Calibri"/>
        </w:rPr>
        <w:t xml:space="preserve">numerous </w:t>
      </w:r>
      <w:r w:rsidRPr="006B0C6C">
        <w:rPr>
          <w:rFonts w:ascii="Calibri" w:eastAsia="Calibri" w:hAnsi="Calibri" w:cs="Calibri"/>
        </w:rPr>
        <w:t xml:space="preserve">vaccine service delivery </w:t>
      </w:r>
      <w:r w:rsidR="006874E4">
        <w:rPr>
          <w:rFonts w:ascii="Calibri" w:eastAsia="Calibri" w:hAnsi="Calibri" w:cs="Calibri"/>
        </w:rPr>
        <w:t xml:space="preserve">support </w:t>
      </w:r>
      <w:r w:rsidR="2015E2AF" w:rsidRPr="006B0C6C">
        <w:rPr>
          <w:rFonts w:ascii="Calibri" w:eastAsia="Calibri" w:hAnsi="Calibri" w:cs="Calibri"/>
        </w:rPr>
        <w:t>partners</w:t>
      </w:r>
      <w:r w:rsidRPr="006B0C6C">
        <w:rPr>
          <w:rFonts w:ascii="Calibri" w:eastAsia="Calibri" w:hAnsi="Calibri" w:cs="Calibri"/>
        </w:rPr>
        <w:t xml:space="preserve">, </w:t>
      </w:r>
      <w:r w:rsidR="26B1F680" w:rsidRPr="006B0C6C">
        <w:rPr>
          <w:rFonts w:ascii="Calibri" w:eastAsia="Calibri" w:hAnsi="Calibri" w:cs="Calibri"/>
        </w:rPr>
        <w:t xml:space="preserve">current and former </w:t>
      </w:r>
      <w:r w:rsidR="00644234" w:rsidRPr="006B0C6C">
        <w:rPr>
          <w:rFonts w:ascii="Calibri" w:eastAsia="Calibri" w:hAnsi="Calibri" w:cs="Calibri"/>
        </w:rPr>
        <w:t xml:space="preserve">officers </w:t>
      </w:r>
      <w:r w:rsidR="199599FB" w:rsidRPr="006B0C6C">
        <w:rPr>
          <w:rFonts w:ascii="Calibri" w:eastAsia="Calibri" w:hAnsi="Calibri" w:cs="Calibri"/>
        </w:rPr>
        <w:t>from</w:t>
      </w:r>
      <w:r w:rsidRPr="006B0C6C">
        <w:rPr>
          <w:rFonts w:ascii="Calibri" w:eastAsia="Calibri" w:hAnsi="Calibri" w:cs="Calibri"/>
        </w:rPr>
        <w:t xml:space="preserve"> </w:t>
      </w:r>
      <w:r w:rsidR="6731C3E2" w:rsidRPr="006B0C6C">
        <w:rPr>
          <w:rFonts w:ascii="Calibri" w:eastAsia="Calibri" w:hAnsi="Calibri" w:cs="Calibri"/>
        </w:rPr>
        <w:t>D</w:t>
      </w:r>
      <w:r w:rsidR="24DEAF1D" w:rsidRPr="006B0C6C">
        <w:rPr>
          <w:rFonts w:ascii="Calibri" w:eastAsia="Calibri" w:hAnsi="Calibri" w:cs="Calibri"/>
        </w:rPr>
        <w:t xml:space="preserve">FAT Posts, and </w:t>
      </w:r>
      <w:r w:rsidR="44D8337E" w:rsidRPr="006B0C6C">
        <w:rPr>
          <w:rFonts w:ascii="Calibri" w:eastAsia="Calibri" w:hAnsi="Calibri" w:cs="Calibri"/>
        </w:rPr>
        <w:t xml:space="preserve">current and former </w:t>
      </w:r>
      <w:r w:rsidR="24DEAF1D" w:rsidRPr="006B0C6C">
        <w:rPr>
          <w:rFonts w:ascii="Calibri" w:eastAsia="Calibri" w:hAnsi="Calibri" w:cs="Calibri"/>
        </w:rPr>
        <w:t xml:space="preserve">staff from DFAT Canberra who have </w:t>
      </w:r>
      <w:r w:rsidRPr="006B0C6C">
        <w:rPr>
          <w:rFonts w:ascii="Calibri" w:eastAsia="Calibri" w:hAnsi="Calibri" w:cs="Calibri"/>
        </w:rPr>
        <w:t>participat</w:t>
      </w:r>
      <w:r w:rsidR="3F75B134" w:rsidRPr="006B0C6C">
        <w:rPr>
          <w:rFonts w:ascii="Calibri" w:eastAsia="Calibri" w:hAnsi="Calibri" w:cs="Calibri"/>
        </w:rPr>
        <w:t>ed</w:t>
      </w:r>
      <w:r w:rsidRPr="006B0C6C">
        <w:rPr>
          <w:rFonts w:ascii="Calibri" w:eastAsia="Calibri" w:hAnsi="Calibri" w:cs="Calibri"/>
        </w:rPr>
        <w:t xml:space="preserve"> in</w:t>
      </w:r>
      <w:r w:rsidR="00644234" w:rsidRPr="006B0C6C">
        <w:rPr>
          <w:rFonts w:ascii="Calibri" w:eastAsia="Calibri" w:hAnsi="Calibri" w:cs="Calibri"/>
        </w:rPr>
        <w:t xml:space="preserve"> the</w:t>
      </w:r>
      <w:r w:rsidRPr="006B0C6C">
        <w:rPr>
          <w:rFonts w:ascii="Calibri" w:eastAsia="Calibri" w:hAnsi="Calibri" w:cs="Calibri"/>
        </w:rPr>
        <w:t xml:space="preserve"> </w:t>
      </w:r>
      <w:r w:rsidR="5880F993" w:rsidRPr="006B0C6C">
        <w:rPr>
          <w:rFonts w:ascii="Calibri" w:eastAsia="Calibri" w:hAnsi="Calibri" w:cs="Calibri"/>
        </w:rPr>
        <w:t xml:space="preserve">evaluation. We wish to thank DFAT Canberra and Specialist Health Services for </w:t>
      </w:r>
      <w:r w:rsidRPr="006B0C6C">
        <w:rPr>
          <w:rFonts w:ascii="Calibri" w:eastAsia="Calibri" w:hAnsi="Calibri" w:cs="Calibri"/>
        </w:rPr>
        <w:t xml:space="preserve">programmatic </w:t>
      </w:r>
      <w:r w:rsidR="00644234" w:rsidRPr="006B0C6C">
        <w:rPr>
          <w:rFonts w:ascii="Calibri" w:eastAsia="Calibri" w:hAnsi="Calibri" w:cs="Calibri"/>
        </w:rPr>
        <w:t xml:space="preserve">and operational </w:t>
      </w:r>
      <w:r w:rsidRPr="006B0C6C">
        <w:rPr>
          <w:rFonts w:ascii="Calibri" w:eastAsia="Calibri" w:hAnsi="Calibri" w:cs="Calibri"/>
        </w:rPr>
        <w:t>support</w:t>
      </w:r>
      <w:r w:rsidR="63477FF0" w:rsidRPr="006B0C6C">
        <w:rPr>
          <w:rFonts w:ascii="Calibri" w:eastAsia="Calibri" w:hAnsi="Calibri" w:cs="Calibri"/>
        </w:rPr>
        <w:t xml:space="preserve"> for the evaluation. Lastly, we particularly wish to thank the personnel in the countries in which VAHSI was </w:t>
      </w:r>
      <w:r w:rsidR="00644234" w:rsidRPr="006B0C6C">
        <w:rPr>
          <w:rFonts w:ascii="Calibri" w:eastAsia="Calibri" w:hAnsi="Calibri" w:cs="Calibri"/>
        </w:rPr>
        <w:t>delivered</w:t>
      </w:r>
      <w:r w:rsidR="63477FF0" w:rsidRPr="006B0C6C">
        <w:rPr>
          <w:rFonts w:ascii="Calibri" w:eastAsia="Calibri" w:hAnsi="Calibri" w:cs="Calibri"/>
        </w:rPr>
        <w:t>, including those who worked remotely, for their extensive, excellent and dedicated work during the entire course of the COVID-19 pandemic</w:t>
      </w:r>
      <w:r w:rsidR="0EBE54E3" w:rsidRPr="006B0C6C">
        <w:rPr>
          <w:rFonts w:ascii="Calibri" w:eastAsia="Calibri" w:hAnsi="Calibri" w:cs="Calibri"/>
        </w:rPr>
        <w:t>: o</w:t>
      </w:r>
      <w:r w:rsidR="630F1A4C" w:rsidRPr="006B0C6C">
        <w:rPr>
          <w:rFonts w:ascii="Calibri" w:eastAsia="Calibri" w:hAnsi="Calibri" w:cs="Calibri"/>
        </w:rPr>
        <w:t xml:space="preserve">ur world would indeed </w:t>
      </w:r>
      <w:r w:rsidR="7AA53E95" w:rsidRPr="006B0C6C">
        <w:rPr>
          <w:rFonts w:ascii="Calibri" w:eastAsia="Calibri" w:hAnsi="Calibri" w:cs="Calibri"/>
        </w:rPr>
        <w:t>have been poorer</w:t>
      </w:r>
      <w:r w:rsidR="630F1A4C" w:rsidRPr="006B0C6C">
        <w:rPr>
          <w:rFonts w:ascii="Calibri" w:eastAsia="Calibri" w:hAnsi="Calibri" w:cs="Calibri"/>
        </w:rPr>
        <w:t xml:space="preserve"> without your efforts. </w:t>
      </w:r>
    </w:p>
    <w:p w14:paraId="209C80B1" w14:textId="77777777" w:rsidR="00887185" w:rsidRPr="006B0C6C" w:rsidRDefault="00887185" w:rsidP="2E1252C7">
      <w:pPr>
        <w:spacing w:after="160" w:line="259" w:lineRule="auto"/>
        <w:rPr>
          <w:rFonts w:ascii="Calibri" w:eastAsia="Calibri" w:hAnsi="Calibri" w:cs="Calibri"/>
        </w:rPr>
      </w:pPr>
      <w:r w:rsidRPr="006B0C6C">
        <w:rPr>
          <w:rFonts w:ascii="Calibri" w:eastAsia="Calibri" w:hAnsi="Calibri" w:cs="Calibri"/>
        </w:rPr>
        <w:br w:type="page"/>
      </w:r>
    </w:p>
    <w:p w14:paraId="13F0DD13" w14:textId="26F5CF2E" w:rsidR="003F0544" w:rsidRDefault="00913943" w:rsidP="00913943">
      <w:pPr>
        <w:rPr>
          <w:b/>
          <w:color w:val="FF0000"/>
          <w:sz w:val="32"/>
          <w:szCs w:val="32"/>
        </w:rPr>
      </w:pPr>
      <w:r w:rsidRPr="006B0C6C">
        <w:rPr>
          <w:b/>
          <w:color w:val="FF0000"/>
          <w:sz w:val="32"/>
          <w:szCs w:val="32"/>
        </w:rPr>
        <w:t>List of Annexes</w:t>
      </w:r>
    </w:p>
    <w:p w14:paraId="0CD9745E" w14:textId="79564B0C" w:rsidR="00243A6C" w:rsidRPr="005C4426" w:rsidRDefault="00913943" w:rsidP="7E56B70C">
      <w:pPr>
        <w:rPr>
          <w:sz w:val="24"/>
        </w:rPr>
      </w:pPr>
      <w:r w:rsidRPr="7E56B70C">
        <w:rPr>
          <w:sz w:val="24"/>
        </w:rPr>
        <w:t xml:space="preserve">Annex </w:t>
      </w:r>
      <w:r w:rsidR="7ADA4764" w:rsidRPr="7E56B70C">
        <w:rPr>
          <w:sz w:val="24"/>
        </w:rPr>
        <w:t>1</w:t>
      </w:r>
      <w:r w:rsidR="00537230" w:rsidRPr="7E56B70C">
        <w:rPr>
          <w:sz w:val="24"/>
        </w:rPr>
        <w:t xml:space="preserve">: </w:t>
      </w:r>
      <w:r w:rsidR="00243A6C" w:rsidRPr="7E56B70C">
        <w:rPr>
          <w:sz w:val="24"/>
        </w:rPr>
        <w:t xml:space="preserve">List of </w:t>
      </w:r>
      <w:r w:rsidR="0E1EFB7C" w:rsidRPr="7E56B70C">
        <w:rPr>
          <w:sz w:val="24"/>
        </w:rPr>
        <w:t xml:space="preserve">DFAT and </w:t>
      </w:r>
      <w:r w:rsidR="303A6A08" w:rsidRPr="7E56B70C">
        <w:rPr>
          <w:sz w:val="24"/>
        </w:rPr>
        <w:t>p</w:t>
      </w:r>
      <w:r w:rsidR="0E1EFB7C" w:rsidRPr="7E56B70C">
        <w:rPr>
          <w:sz w:val="24"/>
        </w:rPr>
        <w:t xml:space="preserve">artner </w:t>
      </w:r>
      <w:r w:rsidR="4EF59473" w:rsidRPr="7E56B70C">
        <w:rPr>
          <w:sz w:val="24"/>
        </w:rPr>
        <w:t>d</w:t>
      </w:r>
      <w:r w:rsidR="00243A6C" w:rsidRPr="7E56B70C">
        <w:rPr>
          <w:sz w:val="24"/>
        </w:rPr>
        <w:t>ocuments reviewed</w:t>
      </w:r>
    </w:p>
    <w:p w14:paraId="6C49FE2C" w14:textId="531E8DFF" w:rsidR="00243A6C" w:rsidRPr="005C4426" w:rsidRDefault="00243A6C" w:rsidP="006B0C6C">
      <w:pPr>
        <w:rPr>
          <w:sz w:val="24"/>
        </w:rPr>
      </w:pPr>
      <w:r w:rsidRPr="005C4426">
        <w:rPr>
          <w:sz w:val="24"/>
        </w:rPr>
        <w:t xml:space="preserve">Annex </w:t>
      </w:r>
      <w:r w:rsidR="608490AD" w:rsidRPr="005C4426">
        <w:rPr>
          <w:sz w:val="24"/>
        </w:rPr>
        <w:t>2</w:t>
      </w:r>
      <w:r w:rsidRPr="005C4426">
        <w:rPr>
          <w:sz w:val="24"/>
        </w:rPr>
        <w:t xml:space="preserve">: List of </w:t>
      </w:r>
      <w:r w:rsidR="47E478F4" w:rsidRPr="005C4426">
        <w:rPr>
          <w:sz w:val="24"/>
        </w:rPr>
        <w:t xml:space="preserve">key </w:t>
      </w:r>
      <w:r w:rsidRPr="005C4426">
        <w:rPr>
          <w:sz w:val="24"/>
        </w:rPr>
        <w:t>informants</w:t>
      </w:r>
      <w:r w:rsidR="60719AFB" w:rsidRPr="005C4426">
        <w:rPr>
          <w:sz w:val="24"/>
        </w:rPr>
        <w:t xml:space="preserve"> interviewed</w:t>
      </w:r>
    </w:p>
    <w:p w14:paraId="54E6CFF1" w14:textId="78DEED7F" w:rsidR="5D4D977C" w:rsidRDefault="5D4D977C" w:rsidP="006B0C6C">
      <w:pPr>
        <w:rPr>
          <w:sz w:val="24"/>
        </w:rPr>
      </w:pPr>
      <w:r w:rsidRPr="005C4426">
        <w:rPr>
          <w:sz w:val="24"/>
        </w:rPr>
        <w:t xml:space="preserve">Annex </w:t>
      </w:r>
      <w:r w:rsidR="298C1EB6" w:rsidRPr="005C4426">
        <w:rPr>
          <w:sz w:val="24"/>
        </w:rPr>
        <w:t>3</w:t>
      </w:r>
      <w:r w:rsidR="2593CE56" w:rsidRPr="005C4426">
        <w:rPr>
          <w:sz w:val="24"/>
        </w:rPr>
        <w:t>:</w:t>
      </w:r>
      <w:r w:rsidRPr="005C4426">
        <w:rPr>
          <w:sz w:val="24"/>
        </w:rPr>
        <w:t xml:space="preserve"> Eval</w:t>
      </w:r>
      <w:r w:rsidR="7867B3D0" w:rsidRPr="005C4426">
        <w:rPr>
          <w:sz w:val="24"/>
        </w:rPr>
        <w:t>uation p</w:t>
      </w:r>
      <w:r w:rsidRPr="005C4426">
        <w:rPr>
          <w:sz w:val="24"/>
        </w:rPr>
        <w:t>lan</w:t>
      </w:r>
    </w:p>
    <w:p w14:paraId="3465528F" w14:textId="069A1DA3" w:rsidR="0006473F" w:rsidRPr="005C4426" w:rsidRDefault="0006473F" w:rsidP="006B0C6C">
      <w:pPr>
        <w:rPr>
          <w:sz w:val="24"/>
        </w:rPr>
      </w:pPr>
      <w:r>
        <w:rPr>
          <w:sz w:val="24"/>
        </w:rPr>
        <w:t>Annex 4: Evaluation schedule</w:t>
      </w:r>
    </w:p>
    <w:p w14:paraId="33205F6C" w14:textId="77777777" w:rsidR="0006473F" w:rsidRDefault="0476ECC0" w:rsidP="006B0C6C">
      <w:pPr>
        <w:rPr>
          <w:sz w:val="24"/>
        </w:rPr>
      </w:pPr>
      <w:r w:rsidRPr="005C4426">
        <w:rPr>
          <w:sz w:val="24"/>
        </w:rPr>
        <w:t xml:space="preserve">Annex </w:t>
      </w:r>
      <w:r w:rsidR="0006473F">
        <w:rPr>
          <w:sz w:val="24"/>
        </w:rPr>
        <w:t>5</w:t>
      </w:r>
      <w:r w:rsidRPr="005C4426">
        <w:rPr>
          <w:sz w:val="24"/>
        </w:rPr>
        <w:t xml:space="preserve">: </w:t>
      </w:r>
      <w:r w:rsidR="0006473F" w:rsidRPr="00721F73">
        <w:t>DFAT Standard 9 - Independent Evaluation Plans</w:t>
      </w:r>
      <w:r w:rsidR="0006473F" w:rsidRPr="005C4426">
        <w:rPr>
          <w:sz w:val="24"/>
        </w:rPr>
        <w:t xml:space="preserve"> </w:t>
      </w:r>
    </w:p>
    <w:p w14:paraId="6965B8CE" w14:textId="4C9B304F" w:rsidR="0006473F" w:rsidRDefault="7D8FB59D" w:rsidP="006B0C6C">
      <w:r w:rsidRPr="005C4426">
        <w:rPr>
          <w:sz w:val="24"/>
        </w:rPr>
        <w:t xml:space="preserve">Annex </w:t>
      </w:r>
      <w:r w:rsidR="0006473F">
        <w:rPr>
          <w:sz w:val="24"/>
        </w:rPr>
        <w:t>6</w:t>
      </w:r>
      <w:r w:rsidRPr="005C4426">
        <w:rPr>
          <w:sz w:val="24"/>
        </w:rPr>
        <w:t xml:space="preserve">: </w:t>
      </w:r>
      <w:r w:rsidR="0006473F" w:rsidRPr="00721F73">
        <w:t>Detailed Sub-Questions against KEQs and Methods</w:t>
      </w:r>
    </w:p>
    <w:p w14:paraId="07A55713" w14:textId="1A85C7B1" w:rsidR="0006473F" w:rsidRDefault="0006473F" w:rsidP="006B0C6C">
      <w:r>
        <w:t>Annex 7: Data collection tools</w:t>
      </w:r>
    </w:p>
    <w:p w14:paraId="6D74C260" w14:textId="122F9BFF" w:rsidR="2C5B41EE" w:rsidRPr="005C4426" w:rsidRDefault="0006473F" w:rsidP="006B0C6C">
      <w:pPr>
        <w:rPr>
          <w:rFonts w:eastAsia="Calibri" w:cs="Calibri"/>
          <w:sz w:val="24"/>
        </w:rPr>
      </w:pPr>
      <w:r>
        <w:t xml:space="preserve">Annex 8: </w:t>
      </w:r>
      <w:r w:rsidR="316A5E02" w:rsidRPr="005C4426">
        <w:rPr>
          <w:sz w:val="24"/>
        </w:rPr>
        <w:t>Number of COVID-19 doses shared from Australia's supply, procured by Australia, or distributed through the COVAX Facility, May 2023</w:t>
      </w:r>
    </w:p>
    <w:p w14:paraId="7CE4865F" w14:textId="1DE51628" w:rsidR="5F503B76" w:rsidRPr="005C4426" w:rsidRDefault="32F90220" w:rsidP="006B0C6C">
      <w:pPr>
        <w:rPr>
          <w:rFonts w:eastAsia="Calibri" w:cs="Calibri"/>
          <w:sz w:val="24"/>
          <w:highlight w:val="yellow"/>
        </w:rPr>
      </w:pPr>
      <w:r w:rsidRPr="005C4426">
        <w:rPr>
          <w:sz w:val="24"/>
        </w:rPr>
        <w:t xml:space="preserve">Annex </w:t>
      </w:r>
      <w:r w:rsidR="0006473F">
        <w:rPr>
          <w:sz w:val="24"/>
        </w:rPr>
        <w:t>9</w:t>
      </w:r>
      <w:r w:rsidRPr="005C4426">
        <w:rPr>
          <w:sz w:val="24"/>
        </w:rPr>
        <w:t>: Estimate of VAHSI attributable proportion of total COVID-19 vaccine doses by country and year, 2021 and 2022</w:t>
      </w:r>
    </w:p>
    <w:p w14:paraId="08D621BB" w14:textId="51187E5A" w:rsidR="5ABA0743" w:rsidRPr="005C4426" w:rsidRDefault="2D3FBC8D" w:rsidP="006B0C6C">
      <w:pPr>
        <w:rPr>
          <w:rFonts w:eastAsia="Calibri" w:cs="Calibri"/>
          <w:sz w:val="24"/>
          <w:highlight w:val="yellow"/>
        </w:rPr>
      </w:pPr>
      <w:r w:rsidRPr="005C4426">
        <w:rPr>
          <w:sz w:val="24"/>
        </w:rPr>
        <w:t xml:space="preserve">Annex </w:t>
      </w:r>
      <w:r w:rsidR="0006473F">
        <w:rPr>
          <w:sz w:val="24"/>
        </w:rPr>
        <w:t>10</w:t>
      </w:r>
      <w:r w:rsidRPr="005C4426">
        <w:rPr>
          <w:sz w:val="24"/>
        </w:rPr>
        <w:t>: Challenges reported throughout the pandemic</w:t>
      </w:r>
      <w:r w:rsidRPr="005C4426">
        <w:rPr>
          <w:rFonts w:eastAsia="Calibri" w:cs="Calibri"/>
          <w:sz w:val="24"/>
        </w:rPr>
        <w:t xml:space="preserve"> </w:t>
      </w:r>
    </w:p>
    <w:p w14:paraId="208579DB" w14:textId="0976B8D0" w:rsidR="5ABA0743" w:rsidRDefault="03C8D134" w:rsidP="00913943">
      <w:pPr>
        <w:rPr>
          <w:rFonts w:eastAsia="Calibri" w:cs="Calibri"/>
          <w:sz w:val="24"/>
        </w:rPr>
      </w:pPr>
      <w:r w:rsidRPr="005C4426">
        <w:rPr>
          <w:sz w:val="24"/>
        </w:rPr>
        <w:t xml:space="preserve">Annex </w:t>
      </w:r>
      <w:r w:rsidR="0006473F">
        <w:rPr>
          <w:sz w:val="24"/>
        </w:rPr>
        <w:t>11</w:t>
      </w:r>
      <w:r w:rsidRPr="005C4426">
        <w:rPr>
          <w:sz w:val="24"/>
        </w:rPr>
        <w:t xml:space="preserve">: </w:t>
      </w:r>
      <w:r w:rsidRPr="005C4426">
        <w:rPr>
          <w:rFonts w:eastAsia="Calibri" w:cs="Calibri"/>
          <w:sz w:val="24"/>
        </w:rPr>
        <w:t xml:space="preserve">VAHSI GEDSI Strategy – Key Areas of </w:t>
      </w:r>
      <w:r w:rsidR="001A33CA" w:rsidRPr="005C4426">
        <w:rPr>
          <w:rFonts w:eastAsia="Calibri" w:cs="Calibri"/>
          <w:sz w:val="24"/>
        </w:rPr>
        <w:t>F</w:t>
      </w:r>
      <w:r w:rsidRPr="005C4426">
        <w:rPr>
          <w:rFonts w:eastAsia="Calibri" w:cs="Calibri"/>
          <w:sz w:val="24"/>
        </w:rPr>
        <w:t>ocus</w:t>
      </w:r>
    </w:p>
    <w:p w14:paraId="5788DEED" w14:textId="2A4071B1" w:rsidR="0006473F" w:rsidRPr="005C4426" w:rsidRDefault="0006473F" w:rsidP="00913943">
      <w:pPr>
        <w:rPr>
          <w:rFonts w:eastAsia="Calibri" w:cs="Calibri"/>
          <w:sz w:val="24"/>
        </w:rPr>
      </w:pPr>
      <w:r>
        <w:rPr>
          <w:rFonts w:eastAsia="Calibri" w:cs="Calibri"/>
          <w:sz w:val="24"/>
        </w:rPr>
        <w:t>Annex 12: Accessibility description of figures</w:t>
      </w:r>
    </w:p>
    <w:p w14:paraId="786C05E9" w14:textId="26F53F99" w:rsidR="0006473F" w:rsidRDefault="00913943" w:rsidP="0006473F">
      <w:pPr>
        <w:rPr>
          <w:rFonts w:eastAsia="Calibri" w:cs="Calibri"/>
          <w:sz w:val="24"/>
        </w:rPr>
      </w:pPr>
      <w:r w:rsidRPr="005C4426">
        <w:rPr>
          <w:rFonts w:eastAsia="Calibri" w:cs="Calibri"/>
          <w:sz w:val="24"/>
        </w:rPr>
        <w:t xml:space="preserve">Annex </w:t>
      </w:r>
      <w:r w:rsidR="0006473F">
        <w:rPr>
          <w:rFonts w:eastAsia="Calibri" w:cs="Calibri"/>
          <w:sz w:val="24"/>
        </w:rPr>
        <w:t>13</w:t>
      </w:r>
      <w:r w:rsidRPr="005C4426">
        <w:rPr>
          <w:rFonts w:eastAsia="Calibri" w:cs="Calibri"/>
          <w:sz w:val="24"/>
        </w:rPr>
        <w:t>: References</w:t>
      </w:r>
    </w:p>
    <w:p w14:paraId="0EC175F7" w14:textId="77777777" w:rsidR="0006473F" w:rsidRDefault="0006473F">
      <w:pPr>
        <w:spacing w:after="160" w:line="259" w:lineRule="auto"/>
        <w:rPr>
          <w:rFonts w:ascii="Calibri" w:hAnsi="Calibri" w:cs="Arial"/>
          <w:b/>
          <w:color w:val="D5291C"/>
          <w:sz w:val="28"/>
        </w:rPr>
      </w:pPr>
      <w:r>
        <w:br w:type="page"/>
      </w:r>
    </w:p>
    <w:p w14:paraId="3945D19B" w14:textId="6C0B762C" w:rsidR="004A34A0" w:rsidRPr="003D669E" w:rsidRDefault="00BD0084" w:rsidP="003D669E">
      <w:pPr>
        <w:pStyle w:val="Heading1SHS"/>
        <w:numPr>
          <w:ilvl w:val="0"/>
          <w:numId w:val="0"/>
        </w:numPr>
        <w:ind w:left="360" w:hanging="360"/>
      </w:pPr>
      <w:bookmarkStart w:id="264" w:name="_Toc200617310"/>
      <w:r w:rsidRPr="006B0C6C">
        <w:t>Annex 1: List</w:t>
      </w:r>
      <w:r w:rsidR="009C57B4" w:rsidRPr="006B0C6C">
        <w:t xml:space="preserve"> of documents reviewed</w:t>
      </w:r>
      <w:bookmarkEnd w:id="264"/>
    </w:p>
    <w:tbl>
      <w:tblPr>
        <w:tblStyle w:val="SHSReportTable"/>
        <w:tblW w:w="8274" w:type="dxa"/>
        <w:tblLook w:val="04A0" w:firstRow="1" w:lastRow="0" w:firstColumn="1" w:lastColumn="0" w:noHBand="0" w:noVBand="1"/>
      </w:tblPr>
      <w:tblGrid>
        <w:gridCol w:w="2786"/>
        <w:gridCol w:w="3681"/>
        <w:gridCol w:w="1807"/>
      </w:tblGrid>
      <w:tr w:rsidR="004A34A0" w:rsidRPr="00367960" w14:paraId="40BEBFD9" w14:textId="77777777" w:rsidTr="00603B68">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686E8F2" w14:textId="77777777" w:rsidR="004A34A0" w:rsidRPr="006B0C6C" w:rsidRDefault="66320C49" w:rsidP="2E1252C7">
            <w:pPr>
              <w:spacing w:after="0" w:line="240" w:lineRule="auto"/>
              <w:rPr>
                <w:rFonts w:ascii="Calibri" w:hAnsi="Calibri" w:cs="Calibri"/>
                <w:b w:val="0"/>
                <w:szCs w:val="22"/>
                <w:lang w:eastAsia="en-AU"/>
              </w:rPr>
            </w:pPr>
            <w:r w:rsidRPr="006B0C6C">
              <w:rPr>
                <w:rFonts w:ascii="Calibri" w:hAnsi="Calibri" w:cs="Calibri"/>
                <w:szCs w:val="22"/>
                <w:lang w:eastAsia="en-AU"/>
              </w:rPr>
              <w:t>Document</w:t>
            </w:r>
          </w:p>
        </w:tc>
        <w:tc>
          <w:tcPr>
            <w:tcW w:w="3681" w:type="dxa"/>
            <w:noWrap/>
            <w:hideMark/>
          </w:tcPr>
          <w:p w14:paraId="40A36A40" w14:textId="77777777" w:rsidR="004A34A0" w:rsidRPr="006B0C6C" w:rsidRDefault="66320C49" w:rsidP="2E1252C7">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Cs w:val="22"/>
                <w:lang w:eastAsia="en-AU"/>
              </w:rPr>
            </w:pPr>
            <w:r w:rsidRPr="006B0C6C">
              <w:rPr>
                <w:rFonts w:ascii="Calibri" w:hAnsi="Calibri" w:cs="Calibri"/>
                <w:szCs w:val="22"/>
                <w:lang w:eastAsia="en-AU"/>
              </w:rPr>
              <w:t xml:space="preserve">Description </w:t>
            </w:r>
          </w:p>
        </w:tc>
        <w:tc>
          <w:tcPr>
            <w:tcW w:w="1807" w:type="dxa"/>
            <w:noWrap/>
            <w:hideMark/>
          </w:tcPr>
          <w:p w14:paraId="582FE706" w14:textId="226C3E15" w:rsidR="004A34A0" w:rsidRPr="006B0C6C" w:rsidRDefault="2BD39C48" w:rsidP="7D4F1B9F">
            <w:pPr>
              <w:spacing w:after="0" w:line="240" w:lineRule="auto"/>
              <w:cnfStyle w:val="100000000000" w:firstRow="1" w:lastRow="0" w:firstColumn="0" w:lastColumn="0" w:oddVBand="0" w:evenVBand="0" w:oddHBand="0" w:evenHBand="0" w:firstRowFirstColumn="0" w:firstRowLastColumn="0" w:lastRowFirstColumn="0" w:lastRowLastColumn="0"/>
              <w:rPr>
                <w:szCs w:val="22"/>
              </w:rPr>
            </w:pPr>
            <w:r w:rsidRPr="006B0C6C">
              <w:rPr>
                <w:rFonts w:ascii="Calibri" w:hAnsi="Calibri" w:cs="Calibri"/>
                <w:szCs w:val="22"/>
                <w:lang w:eastAsia="en-AU"/>
              </w:rPr>
              <w:t>Document Type</w:t>
            </w:r>
          </w:p>
        </w:tc>
      </w:tr>
      <w:tr w:rsidR="004A34A0" w:rsidRPr="00367960" w14:paraId="4099B13B"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0D2CC88"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Partnerships for Recovery - Australia's COVID-19 development response</w:t>
            </w:r>
          </w:p>
        </w:tc>
        <w:tc>
          <w:tcPr>
            <w:tcW w:w="3681" w:type="dxa"/>
            <w:noWrap/>
            <w:hideMark/>
          </w:tcPr>
          <w:p w14:paraId="61FD8267"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Development program policy document during pandemic</w:t>
            </w:r>
          </w:p>
        </w:tc>
        <w:tc>
          <w:tcPr>
            <w:tcW w:w="1807" w:type="dxa"/>
            <w:noWrap/>
            <w:hideMark/>
          </w:tcPr>
          <w:p w14:paraId="55809324"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Policy document</w:t>
            </w:r>
          </w:p>
        </w:tc>
      </w:tr>
      <w:tr w:rsidR="004A34A0" w:rsidRPr="00367960" w14:paraId="53455959"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63310683"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ODE evaluation of previous infectious disease outbreak activities</w:t>
            </w:r>
          </w:p>
        </w:tc>
        <w:tc>
          <w:tcPr>
            <w:tcW w:w="3681" w:type="dxa"/>
            <w:noWrap/>
            <w:hideMark/>
          </w:tcPr>
          <w:p w14:paraId="6AD3C6E0"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DFAT Office of Development Effectiveness evaluation of infectious disease outbreak activities 2006-2015</w:t>
            </w:r>
          </w:p>
        </w:tc>
        <w:tc>
          <w:tcPr>
            <w:tcW w:w="1807" w:type="dxa"/>
            <w:noWrap/>
            <w:hideMark/>
          </w:tcPr>
          <w:p w14:paraId="59815FCE"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Background reading</w:t>
            </w:r>
          </w:p>
        </w:tc>
      </w:tr>
      <w:tr w:rsidR="004A34A0" w:rsidRPr="00367960" w14:paraId="3BC9C80F"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26817A4F"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 xml:space="preserve">FINAL Report - COVID Vaccine Access and Health Security in Pacific and Timor-Leste and Southeast Asia - 13 June 2023 </w:t>
            </w:r>
          </w:p>
        </w:tc>
        <w:tc>
          <w:tcPr>
            <w:tcW w:w="3681" w:type="dxa"/>
            <w:noWrap/>
            <w:hideMark/>
          </w:tcPr>
          <w:p w14:paraId="2DAB889B" w14:textId="77777777" w:rsidR="004A34A0" w:rsidRDefault="5E062084" w:rsidP="005707CE">
            <w:pPr>
              <w:pStyle w:val="ListParagraph"/>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lang w:eastAsia="en-AU"/>
              </w:rPr>
            </w:pPr>
            <w:r w:rsidRPr="005707CE">
              <w:rPr>
                <w:rFonts w:ascii="Calibri" w:hAnsi="Calibri" w:cs="Calibri"/>
                <w:color w:val="000000" w:themeColor="text1"/>
                <w:szCs w:val="22"/>
                <w:lang w:eastAsia="en-AU"/>
              </w:rPr>
              <w:t>Internal DFAT audit of VAHSI implementation</w:t>
            </w:r>
          </w:p>
          <w:p w14:paraId="503DED68" w14:textId="076BD5EF" w:rsidR="005707CE" w:rsidRPr="005707CE" w:rsidRDefault="005707CE" w:rsidP="005707CE">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eastAsia="en-AU"/>
              </w:rPr>
            </w:pPr>
            <w:r w:rsidRPr="006B0C6C">
              <w:rPr>
                <w:rFonts w:ascii="Calibri" w:hAnsi="Calibri" w:cs="Calibri"/>
                <w:color w:val="000000" w:themeColor="text1"/>
                <w:szCs w:val="22"/>
                <w:lang w:eastAsia="en-AU"/>
              </w:rPr>
              <w:t>Internal management response to DFAT audit of VAHSI implementation</w:t>
            </w:r>
          </w:p>
        </w:tc>
        <w:tc>
          <w:tcPr>
            <w:tcW w:w="1807" w:type="dxa"/>
            <w:noWrap/>
            <w:hideMark/>
          </w:tcPr>
          <w:p w14:paraId="72C99E46"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DFAT quality assurance document</w:t>
            </w:r>
          </w:p>
        </w:tc>
      </w:tr>
      <w:tr w:rsidR="004A34A0" w:rsidRPr="00367960" w14:paraId="66EAF4A1"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82B53C8"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Country level COVID-19 response plans</w:t>
            </w:r>
          </w:p>
        </w:tc>
        <w:tc>
          <w:tcPr>
            <w:tcW w:w="3681" w:type="dxa"/>
            <w:noWrap/>
            <w:hideMark/>
          </w:tcPr>
          <w:p w14:paraId="4139ED22"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Country-specific COVID-19 response plans that explained how Partnerships for Recovery would be implemented in partner countries</w:t>
            </w:r>
          </w:p>
        </w:tc>
        <w:tc>
          <w:tcPr>
            <w:tcW w:w="1807" w:type="dxa"/>
            <w:noWrap/>
            <w:hideMark/>
          </w:tcPr>
          <w:p w14:paraId="664B0425"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Policy document</w:t>
            </w:r>
          </w:p>
        </w:tc>
      </w:tr>
      <w:tr w:rsidR="004A34A0" w:rsidRPr="00367960" w14:paraId="23CEBC2A"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5EB7A19F"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 xml:space="preserve">BES progress update Jan to June 2022 </w:t>
            </w:r>
          </w:p>
        </w:tc>
        <w:tc>
          <w:tcPr>
            <w:tcW w:w="3681" w:type="dxa"/>
            <w:noWrap/>
            <w:hideMark/>
          </w:tcPr>
          <w:p w14:paraId="45C0487F"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Delivery support project routine reporting</w:t>
            </w:r>
          </w:p>
        </w:tc>
        <w:tc>
          <w:tcPr>
            <w:tcW w:w="1807" w:type="dxa"/>
            <w:noWrap/>
            <w:hideMark/>
          </w:tcPr>
          <w:p w14:paraId="7CAA1403"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4D8DCEEA"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D156183"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AETAP RSSM closure report</w:t>
            </w:r>
          </w:p>
        </w:tc>
        <w:tc>
          <w:tcPr>
            <w:tcW w:w="3681" w:type="dxa"/>
            <w:noWrap/>
            <w:hideMark/>
          </w:tcPr>
          <w:p w14:paraId="484AB8A7"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Delivery support project end reporting</w:t>
            </w:r>
          </w:p>
        </w:tc>
        <w:tc>
          <w:tcPr>
            <w:tcW w:w="1807" w:type="dxa"/>
            <w:noWrap/>
            <w:hideMark/>
          </w:tcPr>
          <w:p w14:paraId="759AC53E"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5B5CAB73"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5447B65B"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SPC PHD VAHSI project June23-March 24 progress report</w:t>
            </w:r>
          </w:p>
        </w:tc>
        <w:tc>
          <w:tcPr>
            <w:tcW w:w="3681" w:type="dxa"/>
            <w:noWrap/>
            <w:hideMark/>
          </w:tcPr>
          <w:p w14:paraId="5E2BA89C"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Delivery support project routine reporting</w:t>
            </w:r>
          </w:p>
        </w:tc>
        <w:tc>
          <w:tcPr>
            <w:tcW w:w="1807" w:type="dxa"/>
            <w:noWrap/>
            <w:hideMark/>
          </w:tcPr>
          <w:p w14:paraId="4BF0438F"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094364FA"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0D2A4734"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 xml:space="preserve">UNICEF </w:t>
            </w:r>
            <w:proofErr w:type="spellStart"/>
            <w:r w:rsidRPr="006B0C6C">
              <w:rPr>
                <w:rFonts w:ascii="Calibri" w:hAnsi="Calibri" w:cs="Calibri"/>
                <w:color w:val="000000" w:themeColor="text1"/>
                <w:szCs w:val="22"/>
                <w:lang w:eastAsia="en-AU"/>
              </w:rPr>
              <w:t>DFAT_Routine</w:t>
            </w:r>
            <w:proofErr w:type="spellEnd"/>
            <w:r w:rsidRPr="006B0C6C">
              <w:rPr>
                <w:rFonts w:ascii="Calibri" w:hAnsi="Calibri" w:cs="Calibri"/>
                <w:color w:val="000000" w:themeColor="text1"/>
                <w:szCs w:val="22"/>
                <w:lang w:eastAsia="en-AU"/>
              </w:rPr>
              <w:t xml:space="preserve"> Immunization Annual Report 2</w:t>
            </w:r>
          </w:p>
        </w:tc>
        <w:tc>
          <w:tcPr>
            <w:tcW w:w="3681" w:type="dxa"/>
            <w:noWrap/>
            <w:hideMark/>
          </w:tcPr>
          <w:p w14:paraId="29FA4300"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Delivery support project routine reporting</w:t>
            </w:r>
          </w:p>
        </w:tc>
        <w:tc>
          <w:tcPr>
            <w:tcW w:w="1807" w:type="dxa"/>
            <w:noWrap/>
            <w:hideMark/>
          </w:tcPr>
          <w:p w14:paraId="00E917D1"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680CB372"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9857933"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 xml:space="preserve">UNICEF VAHSI Delivery support project </w:t>
            </w:r>
            <w:proofErr w:type="spellStart"/>
            <w:r w:rsidRPr="006B0C6C">
              <w:rPr>
                <w:rFonts w:ascii="Calibri" w:hAnsi="Calibri" w:cs="Calibri"/>
                <w:color w:val="000000" w:themeColor="text1"/>
                <w:szCs w:val="22"/>
                <w:lang w:eastAsia="en-AU"/>
              </w:rPr>
              <w:t>AR_March</w:t>
            </w:r>
            <w:proofErr w:type="spellEnd"/>
            <w:r w:rsidRPr="006B0C6C">
              <w:rPr>
                <w:rFonts w:ascii="Calibri" w:hAnsi="Calibri" w:cs="Calibri"/>
                <w:color w:val="000000" w:themeColor="text1"/>
                <w:szCs w:val="22"/>
                <w:lang w:eastAsia="en-AU"/>
              </w:rPr>
              <w:t xml:space="preserve"> 2023</w:t>
            </w:r>
          </w:p>
        </w:tc>
        <w:tc>
          <w:tcPr>
            <w:tcW w:w="3681" w:type="dxa"/>
            <w:noWrap/>
            <w:hideMark/>
          </w:tcPr>
          <w:p w14:paraId="10878F95"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Delivery support project routine reporting</w:t>
            </w:r>
          </w:p>
        </w:tc>
        <w:tc>
          <w:tcPr>
            <w:tcW w:w="1807" w:type="dxa"/>
            <w:noWrap/>
            <w:hideMark/>
          </w:tcPr>
          <w:p w14:paraId="3B9BEE2B"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56D76808"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A4D15B9"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VAHSI Collaborative Meeting Minutes 130324</w:t>
            </w:r>
          </w:p>
        </w:tc>
        <w:tc>
          <w:tcPr>
            <w:tcW w:w="3681" w:type="dxa"/>
            <w:noWrap/>
            <w:hideMark/>
          </w:tcPr>
          <w:p w14:paraId="0A4736F9"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Delivery support project routine reporting</w:t>
            </w:r>
          </w:p>
        </w:tc>
        <w:tc>
          <w:tcPr>
            <w:tcW w:w="1807" w:type="dxa"/>
            <w:noWrap/>
            <w:hideMark/>
          </w:tcPr>
          <w:p w14:paraId="69149CFC"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61762371"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20BED7BF" w14:textId="022F5F4C"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 xml:space="preserve">WHO DFAT VAHSI RI </w:t>
            </w:r>
            <w:r w:rsidR="001A33CA" w:rsidRPr="009B7B0A">
              <w:rPr>
                <w:rFonts w:ascii="Calibri" w:hAnsi="Calibri" w:cs="Calibri"/>
                <w:color w:val="000000" w:themeColor="text1"/>
                <w:sz w:val="22"/>
                <w:szCs w:val="22"/>
                <w:lang w:eastAsia="en-AU"/>
              </w:rPr>
              <w:t>Annual</w:t>
            </w:r>
            <w:r w:rsidRPr="006B0C6C">
              <w:rPr>
                <w:rFonts w:ascii="Calibri" w:hAnsi="Calibri" w:cs="Calibri"/>
                <w:color w:val="000000" w:themeColor="text1"/>
                <w:szCs w:val="22"/>
                <w:lang w:eastAsia="en-AU"/>
              </w:rPr>
              <w:t xml:space="preserve"> Report 29 February 2024</w:t>
            </w:r>
          </w:p>
        </w:tc>
        <w:tc>
          <w:tcPr>
            <w:tcW w:w="3681" w:type="dxa"/>
            <w:noWrap/>
            <w:hideMark/>
          </w:tcPr>
          <w:p w14:paraId="54676FE2"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Delivery support project routine reporting</w:t>
            </w:r>
          </w:p>
        </w:tc>
        <w:tc>
          <w:tcPr>
            <w:tcW w:w="1807" w:type="dxa"/>
            <w:noWrap/>
            <w:hideMark/>
          </w:tcPr>
          <w:p w14:paraId="1F3C2578"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1E319700"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0C3A7E65" w14:textId="6E679E0E"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 xml:space="preserve">WHO DPS vaccine Award </w:t>
            </w:r>
            <w:r w:rsidR="001A33CA" w:rsidRPr="009B7B0A">
              <w:rPr>
                <w:rFonts w:ascii="Calibri" w:hAnsi="Calibri" w:cs="Calibri"/>
                <w:color w:val="000000" w:themeColor="text1"/>
                <w:sz w:val="22"/>
                <w:szCs w:val="22"/>
                <w:lang w:eastAsia="en-AU"/>
              </w:rPr>
              <w:t>Technical</w:t>
            </w:r>
            <w:r w:rsidRPr="006B0C6C">
              <w:rPr>
                <w:rFonts w:ascii="Calibri" w:hAnsi="Calibri" w:cs="Calibri"/>
                <w:color w:val="000000" w:themeColor="text1"/>
                <w:szCs w:val="22"/>
                <w:lang w:eastAsia="en-AU"/>
              </w:rPr>
              <w:t xml:space="preserve"> Report Final 20240424</w:t>
            </w:r>
          </w:p>
        </w:tc>
        <w:tc>
          <w:tcPr>
            <w:tcW w:w="3681" w:type="dxa"/>
            <w:noWrap/>
            <w:hideMark/>
          </w:tcPr>
          <w:p w14:paraId="3B0FA216"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Delivery support project routine reporting</w:t>
            </w:r>
          </w:p>
        </w:tc>
        <w:tc>
          <w:tcPr>
            <w:tcW w:w="1807" w:type="dxa"/>
            <w:noWrap/>
            <w:hideMark/>
          </w:tcPr>
          <w:p w14:paraId="61CA0513"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01004464"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6F7AA075"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Complete Vanuatu report</w:t>
            </w:r>
          </w:p>
        </w:tc>
        <w:tc>
          <w:tcPr>
            <w:tcW w:w="3681" w:type="dxa"/>
            <w:noWrap/>
            <w:hideMark/>
          </w:tcPr>
          <w:p w14:paraId="4E6A90F4" w14:textId="182768D1" w:rsidR="004A34A0" w:rsidRPr="006B0C6C" w:rsidRDefault="001A33CA"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9B7B0A">
              <w:rPr>
                <w:rFonts w:ascii="Calibri" w:hAnsi="Calibri" w:cs="Calibri"/>
                <w:color w:val="000000" w:themeColor="text1"/>
                <w:szCs w:val="22"/>
                <w:lang w:eastAsia="en-AU"/>
              </w:rPr>
              <w:t>Delivery</w:t>
            </w:r>
            <w:r w:rsidR="5E062084" w:rsidRPr="006B0C6C">
              <w:rPr>
                <w:rFonts w:ascii="Calibri" w:hAnsi="Calibri" w:cs="Calibri"/>
                <w:color w:val="000000" w:themeColor="text1"/>
                <w:szCs w:val="22"/>
                <w:lang w:eastAsia="en-AU"/>
              </w:rPr>
              <w:t xml:space="preserve"> Support proposals and available reporting for four activities undertaken in Vanuatu</w:t>
            </w:r>
          </w:p>
        </w:tc>
        <w:tc>
          <w:tcPr>
            <w:tcW w:w="1807" w:type="dxa"/>
            <w:noWrap/>
            <w:hideMark/>
          </w:tcPr>
          <w:p w14:paraId="6947C292"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Bilateral project reports</w:t>
            </w:r>
          </w:p>
        </w:tc>
      </w:tr>
      <w:tr w:rsidR="004A34A0" w:rsidRPr="00367960" w14:paraId="092D4BF5"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024C72A5"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Complete BES reports</w:t>
            </w:r>
          </w:p>
        </w:tc>
        <w:tc>
          <w:tcPr>
            <w:tcW w:w="3681" w:type="dxa"/>
            <w:noWrap/>
            <w:hideMark/>
          </w:tcPr>
          <w:p w14:paraId="49D6CDE7"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Delivery Support proposals and available reporting for four activities undertaken by Beyond Essential Systems in the Pacific region</w:t>
            </w:r>
          </w:p>
        </w:tc>
        <w:tc>
          <w:tcPr>
            <w:tcW w:w="1807" w:type="dxa"/>
            <w:noWrap/>
            <w:hideMark/>
          </w:tcPr>
          <w:p w14:paraId="50A5F177"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Bilateral project reports</w:t>
            </w:r>
          </w:p>
        </w:tc>
      </w:tr>
      <w:tr w:rsidR="004A34A0" w:rsidRPr="00367960" w14:paraId="09DFF1A0"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29C7B4CC"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Complete Indonesia reports</w:t>
            </w:r>
          </w:p>
        </w:tc>
        <w:tc>
          <w:tcPr>
            <w:tcW w:w="3681" w:type="dxa"/>
            <w:noWrap/>
            <w:hideMark/>
          </w:tcPr>
          <w:p w14:paraId="6D6FB1D3"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Delivery Support proposals and available reporting for activities undertaken in Indonesia</w:t>
            </w:r>
          </w:p>
        </w:tc>
        <w:tc>
          <w:tcPr>
            <w:tcW w:w="1807" w:type="dxa"/>
            <w:noWrap/>
            <w:hideMark/>
          </w:tcPr>
          <w:p w14:paraId="7105E2EF"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Bilateral project reports</w:t>
            </w:r>
          </w:p>
        </w:tc>
      </w:tr>
      <w:tr w:rsidR="004A34A0" w:rsidRPr="00367960" w14:paraId="1EAF18D5"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6F4531E8"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Complete Cambodia reports</w:t>
            </w:r>
          </w:p>
        </w:tc>
        <w:tc>
          <w:tcPr>
            <w:tcW w:w="3681" w:type="dxa"/>
            <w:noWrap/>
            <w:hideMark/>
          </w:tcPr>
          <w:p w14:paraId="4C98869E"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Delivery Support proposals and available reporting for activities undertaken in Cambodia</w:t>
            </w:r>
          </w:p>
        </w:tc>
        <w:tc>
          <w:tcPr>
            <w:tcW w:w="1807" w:type="dxa"/>
            <w:noWrap/>
            <w:hideMark/>
          </w:tcPr>
          <w:p w14:paraId="127146A0"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Bilateral project reports</w:t>
            </w:r>
          </w:p>
        </w:tc>
      </w:tr>
      <w:tr w:rsidR="004A34A0" w:rsidRPr="00367960" w14:paraId="5C65ACC5"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E585967"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Fiji</w:t>
            </w:r>
          </w:p>
        </w:tc>
        <w:tc>
          <w:tcPr>
            <w:tcW w:w="3681" w:type="dxa"/>
            <w:noWrap/>
            <w:hideMark/>
          </w:tcPr>
          <w:p w14:paraId="5E6A9CD5"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Country-level summaries of proposed delivery support activities for Foreign Minister approval</w:t>
            </w:r>
          </w:p>
        </w:tc>
        <w:tc>
          <w:tcPr>
            <w:tcW w:w="1807" w:type="dxa"/>
            <w:noWrap/>
            <w:hideMark/>
          </w:tcPr>
          <w:p w14:paraId="3B0F7E1B"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3291D9C2"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3A1EF09"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Indonesia</w:t>
            </w:r>
          </w:p>
        </w:tc>
        <w:tc>
          <w:tcPr>
            <w:tcW w:w="3681" w:type="dxa"/>
            <w:noWrap/>
            <w:hideMark/>
          </w:tcPr>
          <w:p w14:paraId="365C1492"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Country-level summaries of proposed delivery support activities for Foreign Minister approval</w:t>
            </w:r>
          </w:p>
        </w:tc>
        <w:tc>
          <w:tcPr>
            <w:tcW w:w="1807" w:type="dxa"/>
            <w:noWrap/>
            <w:hideMark/>
          </w:tcPr>
          <w:p w14:paraId="058DF8E3"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06F73EDE"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205BB148"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Malaysia</w:t>
            </w:r>
          </w:p>
        </w:tc>
        <w:tc>
          <w:tcPr>
            <w:tcW w:w="3681" w:type="dxa"/>
            <w:noWrap/>
            <w:hideMark/>
          </w:tcPr>
          <w:p w14:paraId="78ACEDC5"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Country-level summaries of proposed delivery support activities for Foreign Minister approval</w:t>
            </w:r>
          </w:p>
        </w:tc>
        <w:tc>
          <w:tcPr>
            <w:tcW w:w="1807" w:type="dxa"/>
            <w:noWrap/>
            <w:hideMark/>
          </w:tcPr>
          <w:p w14:paraId="1D2A9DDF"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3B2551E0"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56338FBB"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PNG</w:t>
            </w:r>
          </w:p>
        </w:tc>
        <w:tc>
          <w:tcPr>
            <w:tcW w:w="3681" w:type="dxa"/>
            <w:noWrap/>
            <w:hideMark/>
          </w:tcPr>
          <w:p w14:paraId="131DE4E9"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Country-level summaries of proposed delivery support activities for Foreign Minister approval</w:t>
            </w:r>
          </w:p>
        </w:tc>
        <w:tc>
          <w:tcPr>
            <w:tcW w:w="1807" w:type="dxa"/>
            <w:noWrap/>
            <w:hideMark/>
          </w:tcPr>
          <w:p w14:paraId="7CE3684D"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6AC57329"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21C2DA9D"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Regional Pacific</w:t>
            </w:r>
          </w:p>
        </w:tc>
        <w:tc>
          <w:tcPr>
            <w:tcW w:w="3681" w:type="dxa"/>
            <w:noWrap/>
            <w:hideMark/>
          </w:tcPr>
          <w:p w14:paraId="4B498383"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Country-level summaries of proposed delivery support activities for Foreign Minister approval</w:t>
            </w:r>
          </w:p>
        </w:tc>
        <w:tc>
          <w:tcPr>
            <w:tcW w:w="1807" w:type="dxa"/>
            <w:noWrap/>
            <w:hideMark/>
          </w:tcPr>
          <w:p w14:paraId="5E47278F"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7A60EA58"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3DFE069"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Solomon Islands</w:t>
            </w:r>
          </w:p>
        </w:tc>
        <w:tc>
          <w:tcPr>
            <w:tcW w:w="3681" w:type="dxa"/>
            <w:noWrap/>
            <w:hideMark/>
          </w:tcPr>
          <w:p w14:paraId="2EB0E101"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Country-level summaries of proposed delivery support activities for Foreign Minister approval</w:t>
            </w:r>
          </w:p>
        </w:tc>
        <w:tc>
          <w:tcPr>
            <w:tcW w:w="1807" w:type="dxa"/>
            <w:noWrap/>
            <w:hideMark/>
          </w:tcPr>
          <w:p w14:paraId="52B4BA6E"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0034827B"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30B30BF"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Thailand</w:t>
            </w:r>
          </w:p>
        </w:tc>
        <w:tc>
          <w:tcPr>
            <w:tcW w:w="3681" w:type="dxa"/>
            <w:noWrap/>
            <w:hideMark/>
          </w:tcPr>
          <w:p w14:paraId="0F59F61E"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Country-level summaries of proposed delivery support activities for Foreign Minister approval</w:t>
            </w:r>
          </w:p>
        </w:tc>
        <w:tc>
          <w:tcPr>
            <w:tcW w:w="1807" w:type="dxa"/>
            <w:noWrap/>
            <w:hideMark/>
          </w:tcPr>
          <w:p w14:paraId="09439194"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18BB338E"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97E667F"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Tonga</w:t>
            </w:r>
          </w:p>
        </w:tc>
        <w:tc>
          <w:tcPr>
            <w:tcW w:w="3681" w:type="dxa"/>
            <w:noWrap/>
            <w:hideMark/>
          </w:tcPr>
          <w:p w14:paraId="012F10BA"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Country-level summaries of proposed delivery support activities for Foreign Minister approval</w:t>
            </w:r>
          </w:p>
        </w:tc>
        <w:tc>
          <w:tcPr>
            <w:tcW w:w="1807" w:type="dxa"/>
            <w:noWrap/>
            <w:hideMark/>
          </w:tcPr>
          <w:p w14:paraId="05A1515E"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115639E5"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60B59A98"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Tuvalu</w:t>
            </w:r>
          </w:p>
        </w:tc>
        <w:tc>
          <w:tcPr>
            <w:tcW w:w="3681" w:type="dxa"/>
            <w:noWrap/>
            <w:hideMark/>
          </w:tcPr>
          <w:p w14:paraId="31F8A925"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Country-level summaries of proposed delivery support activities for Foreign Minister approval</w:t>
            </w:r>
          </w:p>
        </w:tc>
        <w:tc>
          <w:tcPr>
            <w:tcW w:w="1807" w:type="dxa"/>
            <w:noWrap/>
            <w:hideMark/>
          </w:tcPr>
          <w:p w14:paraId="2B7DBA06"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679E62F6"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3F7C522"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Vanuatu</w:t>
            </w:r>
          </w:p>
        </w:tc>
        <w:tc>
          <w:tcPr>
            <w:tcW w:w="3681" w:type="dxa"/>
            <w:noWrap/>
            <w:hideMark/>
          </w:tcPr>
          <w:p w14:paraId="43527302"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Country-level summaries of proposed delivery support activities for Foreign Minister approval</w:t>
            </w:r>
          </w:p>
        </w:tc>
        <w:tc>
          <w:tcPr>
            <w:tcW w:w="1807" w:type="dxa"/>
            <w:noWrap/>
            <w:hideMark/>
          </w:tcPr>
          <w:p w14:paraId="4D12DC68"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246C86AC"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24767C3"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Vietnam</w:t>
            </w:r>
          </w:p>
        </w:tc>
        <w:tc>
          <w:tcPr>
            <w:tcW w:w="3681" w:type="dxa"/>
            <w:noWrap/>
            <w:hideMark/>
          </w:tcPr>
          <w:p w14:paraId="48646900"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Country-level summaries of proposed delivery support activities for Foreign Minister approval</w:t>
            </w:r>
          </w:p>
        </w:tc>
        <w:tc>
          <w:tcPr>
            <w:tcW w:w="1807" w:type="dxa"/>
            <w:noWrap/>
            <w:hideMark/>
          </w:tcPr>
          <w:p w14:paraId="4F1CF193"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24CA637B"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2772808"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VAHSI Strategic Investment Framework</w:t>
            </w:r>
          </w:p>
        </w:tc>
        <w:tc>
          <w:tcPr>
            <w:tcW w:w="3681" w:type="dxa"/>
            <w:noWrap/>
            <w:hideMark/>
          </w:tcPr>
          <w:p w14:paraId="6047B9E8"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VAHSI design</w:t>
            </w:r>
          </w:p>
        </w:tc>
        <w:tc>
          <w:tcPr>
            <w:tcW w:w="1807" w:type="dxa"/>
            <w:noWrap/>
            <w:hideMark/>
          </w:tcPr>
          <w:p w14:paraId="3AB3F4FD"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Design document</w:t>
            </w:r>
          </w:p>
        </w:tc>
      </w:tr>
      <w:tr w:rsidR="00871A72" w:rsidRPr="00367960" w14:paraId="1DCE59D5"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tcPr>
          <w:p w14:paraId="40E2BD38" w14:textId="10F6F409" w:rsidR="00871A72" w:rsidRPr="006B0C6C" w:rsidRDefault="00871A72" w:rsidP="7D4F1B9F">
            <w:pPr>
              <w:spacing w:after="0" w:line="240" w:lineRule="auto"/>
              <w:rPr>
                <w:rFonts w:ascii="Calibri" w:hAnsi="Calibri" w:cs="Calibri"/>
                <w:color w:val="000000" w:themeColor="text1"/>
                <w:szCs w:val="22"/>
                <w:lang w:eastAsia="en-AU"/>
              </w:rPr>
            </w:pPr>
            <w:r>
              <w:rPr>
                <w:rFonts w:ascii="Calibri" w:hAnsi="Calibri" w:cs="Calibri"/>
                <w:color w:val="000000" w:themeColor="text1"/>
                <w:szCs w:val="22"/>
                <w:lang w:eastAsia="en-AU"/>
              </w:rPr>
              <w:t>Attachments 1-5</w:t>
            </w:r>
          </w:p>
        </w:tc>
        <w:tc>
          <w:tcPr>
            <w:tcW w:w="3681" w:type="dxa"/>
            <w:noWrap/>
          </w:tcPr>
          <w:p w14:paraId="5581F797" w14:textId="41D60DFD" w:rsidR="00871A72" w:rsidRPr="006B0C6C" w:rsidRDefault="00871A72"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lang w:eastAsia="en-AU"/>
              </w:rPr>
            </w:pPr>
            <w:r>
              <w:rPr>
                <w:rFonts w:ascii="Calibri" w:hAnsi="Calibri" w:cs="Calibri"/>
                <w:color w:val="000000" w:themeColor="text1"/>
                <w:szCs w:val="22"/>
                <w:lang w:eastAsia="en-AU"/>
              </w:rPr>
              <w:t>Guidance Note on VAHSI delivery support</w:t>
            </w:r>
          </w:p>
        </w:tc>
        <w:tc>
          <w:tcPr>
            <w:tcW w:w="1807" w:type="dxa"/>
            <w:noWrap/>
          </w:tcPr>
          <w:p w14:paraId="76044B6C" w14:textId="39BF45D1" w:rsidR="00871A72" w:rsidRPr="006B0C6C" w:rsidRDefault="005707CE"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lang w:eastAsia="en-AU"/>
              </w:rPr>
            </w:pPr>
            <w:r>
              <w:rPr>
                <w:rFonts w:ascii="Calibri" w:hAnsi="Calibri" w:cs="Calibri"/>
                <w:color w:val="000000" w:themeColor="text1"/>
                <w:szCs w:val="22"/>
                <w:lang w:eastAsia="en-AU"/>
              </w:rPr>
              <w:t xml:space="preserve">Guidance </w:t>
            </w:r>
            <w:proofErr w:type="gramStart"/>
            <w:r>
              <w:rPr>
                <w:rFonts w:ascii="Calibri" w:hAnsi="Calibri" w:cs="Calibri"/>
                <w:color w:val="000000" w:themeColor="text1"/>
                <w:szCs w:val="22"/>
                <w:lang w:eastAsia="en-AU"/>
              </w:rPr>
              <w:t>note</w:t>
            </w:r>
            <w:proofErr w:type="gramEnd"/>
          </w:p>
        </w:tc>
      </w:tr>
      <w:tr w:rsidR="004A34A0" w:rsidRPr="00367960" w14:paraId="370A2102"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67166CA" w14:textId="77777777" w:rsidR="004A34A0" w:rsidRPr="006B0C6C" w:rsidRDefault="5E062084" w:rsidP="7D4F1B9F">
            <w:pPr>
              <w:spacing w:after="0" w:line="240" w:lineRule="auto"/>
              <w:rPr>
                <w:rFonts w:ascii="Calibri" w:hAnsi="Calibri" w:cs="Calibri"/>
                <w:color w:val="000000"/>
                <w:sz w:val="22"/>
                <w:szCs w:val="22"/>
                <w:lang w:val="fr-FR" w:eastAsia="en-AU"/>
              </w:rPr>
            </w:pPr>
            <w:r w:rsidRPr="00477F8F">
              <w:rPr>
                <w:rFonts w:ascii="Calibri" w:hAnsi="Calibri" w:cs="Calibri"/>
                <w:color w:val="000000" w:themeColor="text1"/>
                <w:szCs w:val="22"/>
                <w:lang w:val="fr-FR" w:eastAsia="en-AU"/>
              </w:rPr>
              <w:t xml:space="preserve">VAHSI PAF Changes </w:t>
            </w:r>
            <w:proofErr w:type="spellStart"/>
            <w:r w:rsidRPr="00477F8F">
              <w:rPr>
                <w:rFonts w:ascii="Calibri" w:hAnsi="Calibri" w:cs="Calibri"/>
                <w:color w:val="000000" w:themeColor="text1"/>
                <w:szCs w:val="22"/>
                <w:lang w:val="fr-FR" w:eastAsia="en-AU"/>
              </w:rPr>
              <w:t>rationale</w:t>
            </w:r>
            <w:proofErr w:type="spellEnd"/>
            <w:r w:rsidRPr="00477F8F">
              <w:rPr>
                <w:rFonts w:ascii="Calibri" w:hAnsi="Calibri" w:cs="Calibri"/>
                <w:color w:val="000000" w:themeColor="text1"/>
                <w:szCs w:val="22"/>
                <w:lang w:val="fr-FR" w:eastAsia="en-AU"/>
              </w:rPr>
              <w:t xml:space="preserve"> July 23</w:t>
            </w:r>
          </w:p>
        </w:tc>
        <w:tc>
          <w:tcPr>
            <w:tcW w:w="3681" w:type="dxa"/>
            <w:noWrap/>
            <w:hideMark/>
          </w:tcPr>
          <w:p w14:paraId="77814E69"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Update to PAF mid-2023</w:t>
            </w:r>
          </w:p>
        </w:tc>
        <w:tc>
          <w:tcPr>
            <w:tcW w:w="1807" w:type="dxa"/>
            <w:noWrap/>
            <w:hideMark/>
          </w:tcPr>
          <w:p w14:paraId="36AA1C3D"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4B21A46B"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1AA12332"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VAHSI PAF _revised July2023</w:t>
            </w:r>
          </w:p>
        </w:tc>
        <w:tc>
          <w:tcPr>
            <w:tcW w:w="3681" w:type="dxa"/>
            <w:noWrap/>
            <w:hideMark/>
          </w:tcPr>
          <w:p w14:paraId="32CFE3FF"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Update to PAF mid-2023</w:t>
            </w:r>
          </w:p>
        </w:tc>
        <w:tc>
          <w:tcPr>
            <w:tcW w:w="1807" w:type="dxa"/>
            <w:noWrap/>
            <w:hideMark/>
          </w:tcPr>
          <w:p w14:paraId="6C6A7544"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509FC6F6"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64AD7A4E"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VAHSI Program Logic Updated</w:t>
            </w:r>
          </w:p>
        </w:tc>
        <w:tc>
          <w:tcPr>
            <w:tcW w:w="3681" w:type="dxa"/>
            <w:noWrap/>
            <w:hideMark/>
          </w:tcPr>
          <w:p w14:paraId="6E39EF94"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Update to PAF mid-2023</w:t>
            </w:r>
          </w:p>
        </w:tc>
        <w:tc>
          <w:tcPr>
            <w:tcW w:w="1807" w:type="dxa"/>
            <w:noWrap/>
            <w:hideMark/>
          </w:tcPr>
          <w:p w14:paraId="3FA8FA86"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3E5E5804"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1CA0B4DE" w14:textId="1057CB95" w:rsidR="004A34A0" w:rsidRPr="006B0C6C" w:rsidRDefault="1A568FBA" w:rsidP="7D4F1B9F">
            <w:pPr>
              <w:spacing w:after="0" w:line="240" w:lineRule="auto"/>
              <w:rPr>
                <w:rFonts w:ascii="Calibri" w:hAnsi="Calibri" w:cs="Calibri"/>
                <w:color w:val="000000"/>
                <w:sz w:val="22"/>
                <w:szCs w:val="22"/>
                <w:lang w:eastAsia="en-AU"/>
              </w:rPr>
            </w:pPr>
            <w:r w:rsidRPr="62CC2B41">
              <w:rPr>
                <w:rFonts w:ascii="Calibri" w:hAnsi="Calibri" w:cs="Calibri"/>
                <w:color w:val="000000" w:themeColor="text1"/>
                <w:lang w:eastAsia="en-AU"/>
              </w:rPr>
              <w:t xml:space="preserve">[UNOFFICIAL TRANSLATION] </w:t>
            </w:r>
            <w:r w:rsidR="0D0CE195" w:rsidRPr="62CC2B41">
              <w:rPr>
                <w:rFonts w:ascii="Calibri" w:hAnsi="Calibri" w:cs="Calibri"/>
                <w:color w:val="000000" w:themeColor="text1"/>
                <w:lang w:eastAsia="en-AU"/>
              </w:rPr>
              <w:t>Government to Government l</w:t>
            </w:r>
            <w:r w:rsidRPr="62CC2B41">
              <w:rPr>
                <w:rFonts w:ascii="Calibri" w:hAnsi="Calibri" w:cs="Calibri"/>
                <w:color w:val="000000" w:themeColor="text1"/>
                <w:lang w:eastAsia="en-AU"/>
              </w:rPr>
              <w:t>etter of appreciation</w:t>
            </w:r>
          </w:p>
        </w:tc>
        <w:tc>
          <w:tcPr>
            <w:tcW w:w="3681" w:type="dxa"/>
            <w:noWrap/>
            <w:hideMark/>
          </w:tcPr>
          <w:p w14:paraId="5C4778E5" w14:textId="1329D897" w:rsidR="004A34A0" w:rsidRPr="006B0C6C" w:rsidRDefault="001C709C"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Pr>
                <w:rFonts w:ascii="Calibri" w:hAnsi="Calibri" w:cs="Calibri"/>
                <w:color w:val="000000" w:themeColor="text1"/>
                <w:szCs w:val="22"/>
                <w:lang w:eastAsia="en-AU"/>
              </w:rPr>
              <w:t>L</w:t>
            </w:r>
            <w:r w:rsidR="5E062084" w:rsidRPr="006B0C6C">
              <w:rPr>
                <w:rFonts w:ascii="Calibri" w:hAnsi="Calibri" w:cs="Calibri"/>
                <w:color w:val="000000" w:themeColor="text1"/>
                <w:szCs w:val="22"/>
                <w:lang w:eastAsia="en-AU"/>
              </w:rPr>
              <w:t>etter to Australian PM thanking Australia for VAHSI contributions</w:t>
            </w:r>
          </w:p>
        </w:tc>
        <w:tc>
          <w:tcPr>
            <w:tcW w:w="1807" w:type="dxa"/>
            <w:noWrap/>
            <w:hideMark/>
          </w:tcPr>
          <w:p w14:paraId="3CF5D7A3"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Outcome evidence</w:t>
            </w:r>
          </w:p>
        </w:tc>
      </w:tr>
      <w:tr w:rsidR="004A34A0" w:rsidRPr="00367960" w14:paraId="256542AF"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4635616"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Indonesia</w:t>
            </w:r>
          </w:p>
        </w:tc>
        <w:tc>
          <w:tcPr>
            <w:tcW w:w="3681" w:type="dxa"/>
            <w:noWrap/>
            <w:hideMark/>
          </w:tcPr>
          <w:p w14:paraId="31EA7285"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0A381AB5"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525FF652"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8BBFE81"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Cambodia</w:t>
            </w:r>
          </w:p>
        </w:tc>
        <w:tc>
          <w:tcPr>
            <w:tcW w:w="3681" w:type="dxa"/>
            <w:noWrap/>
            <w:hideMark/>
          </w:tcPr>
          <w:p w14:paraId="1F1F66EB"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12BC06DD"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5F519167"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6797DCF"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Fiji</w:t>
            </w:r>
          </w:p>
        </w:tc>
        <w:tc>
          <w:tcPr>
            <w:tcW w:w="3681" w:type="dxa"/>
            <w:noWrap/>
            <w:hideMark/>
          </w:tcPr>
          <w:p w14:paraId="3DDC35C2"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440718DC"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46490B89"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57440252"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Myanmar</w:t>
            </w:r>
          </w:p>
        </w:tc>
        <w:tc>
          <w:tcPr>
            <w:tcW w:w="3681" w:type="dxa"/>
            <w:noWrap/>
            <w:hideMark/>
          </w:tcPr>
          <w:p w14:paraId="6719DED3"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66863917"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63605F4F"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B4C5AFC"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Laos</w:t>
            </w:r>
          </w:p>
        </w:tc>
        <w:tc>
          <w:tcPr>
            <w:tcW w:w="3681" w:type="dxa"/>
            <w:noWrap/>
            <w:hideMark/>
          </w:tcPr>
          <w:p w14:paraId="3B4B7C0B"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59E28DA2"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1DD2EEE2"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03354347"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Malaysia</w:t>
            </w:r>
          </w:p>
        </w:tc>
        <w:tc>
          <w:tcPr>
            <w:tcW w:w="3681" w:type="dxa"/>
            <w:noWrap/>
            <w:hideMark/>
          </w:tcPr>
          <w:p w14:paraId="2D62ABA6"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3D5FC344"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6CF31DDB"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0230C26"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Philippines</w:t>
            </w:r>
          </w:p>
        </w:tc>
        <w:tc>
          <w:tcPr>
            <w:tcW w:w="3681" w:type="dxa"/>
            <w:noWrap/>
            <w:hideMark/>
          </w:tcPr>
          <w:p w14:paraId="1B95E28D"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6020FF68"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4CE2AD01"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5CD5C09"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Samoa</w:t>
            </w:r>
          </w:p>
        </w:tc>
        <w:tc>
          <w:tcPr>
            <w:tcW w:w="3681" w:type="dxa"/>
            <w:noWrap/>
            <w:hideMark/>
          </w:tcPr>
          <w:p w14:paraId="72509A4F"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193CCF20"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1896F6D6"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2F13E9EA"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Solomon Islands</w:t>
            </w:r>
          </w:p>
        </w:tc>
        <w:tc>
          <w:tcPr>
            <w:tcW w:w="3681" w:type="dxa"/>
            <w:noWrap/>
            <w:hideMark/>
          </w:tcPr>
          <w:p w14:paraId="2A0174B9"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14E7B853"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27428C79"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288296F"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Thailand</w:t>
            </w:r>
          </w:p>
        </w:tc>
        <w:tc>
          <w:tcPr>
            <w:tcW w:w="3681" w:type="dxa"/>
            <w:noWrap/>
            <w:hideMark/>
          </w:tcPr>
          <w:p w14:paraId="6CAA8247"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6454E0D7"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7B15840A"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F13B4CE"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Timor-Leste</w:t>
            </w:r>
          </w:p>
        </w:tc>
        <w:tc>
          <w:tcPr>
            <w:tcW w:w="3681" w:type="dxa"/>
            <w:noWrap/>
            <w:hideMark/>
          </w:tcPr>
          <w:p w14:paraId="720C1B2C"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557B6D1B"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345EE492"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03776EAB"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Tonga</w:t>
            </w:r>
          </w:p>
        </w:tc>
        <w:tc>
          <w:tcPr>
            <w:tcW w:w="3681" w:type="dxa"/>
            <w:noWrap/>
            <w:hideMark/>
          </w:tcPr>
          <w:p w14:paraId="17DD537D"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20D8B32F"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6B6B9C93"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7738E5B"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Tuvalu</w:t>
            </w:r>
          </w:p>
        </w:tc>
        <w:tc>
          <w:tcPr>
            <w:tcW w:w="3681" w:type="dxa"/>
            <w:noWrap/>
            <w:hideMark/>
          </w:tcPr>
          <w:p w14:paraId="67290050"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2AFDF34D"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7B949A66"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1A6297CF"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Vietnam</w:t>
            </w:r>
          </w:p>
        </w:tc>
        <w:tc>
          <w:tcPr>
            <w:tcW w:w="3681" w:type="dxa"/>
            <w:noWrap/>
            <w:hideMark/>
          </w:tcPr>
          <w:p w14:paraId="5366A2F6"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23868B24"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523E23A6"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0EF42F59"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VAHSI IMR 2022</w:t>
            </w:r>
          </w:p>
        </w:tc>
        <w:tc>
          <w:tcPr>
            <w:tcW w:w="3681" w:type="dxa"/>
            <w:noWrap/>
            <w:hideMark/>
          </w:tcPr>
          <w:p w14:paraId="48C91936"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Annual Quality Reporting</w:t>
            </w:r>
          </w:p>
        </w:tc>
        <w:tc>
          <w:tcPr>
            <w:tcW w:w="1807" w:type="dxa"/>
            <w:noWrap/>
            <w:hideMark/>
          </w:tcPr>
          <w:p w14:paraId="65D90914"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DFAT quality assurance document</w:t>
            </w:r>
          </w:p>
        </w:tc>
      </w:tr>
      <w:tr w:rsidR="004A34A0" w:rsidRPr="00367960" w14:paraId="0686010D"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4EA79E9"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VAHSI IMR 2023</w:t>
            </w:r>
          </w:p>
        </w:tc>
        <w:tc>
          <w:tcPr>
            <w:tcW w:w="3681" w:type="dxa"/>
            <w:noWrap/>
            <w:hideMark/>
          </w:tcPr>
          <w:p w14:paraId="2253BAFC"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Annual Quality Reporting</w:t>
            </w:r>
          </w:p>
        </w:tc>
        <w:tc>
          <w:tcPr>
            <w:tcW w:w="1807" w:type="dxa"/>
            <w:noWrap/>
            <w:hideMark/>
          </w:tcPr>
          <w:p w14:paraId="01391923"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DFAT quality assurance document</w:t>
            </w:r>
          </w:p>
        </w:tc>
      </w:tr>
      <w:tr w:rsidR="004A34A0" w:rsidRPr="00367960" w14:paraId="7014E600"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5DE2FF14"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VAHSI IMR 2024</w:t>
            </w:r>
          </w:p>
        </w:tc>
        <w:tc>
          <w:tcPr>
            <w:tcW w:w="3681" w:type="dxa"/>
            <w:noWrap/>
            <w:hideMark/>
          </w:tcPr>
          <w:p w14:paraId="68607FCF"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Annual Quality Reporting</w:t>
            </w:r>
          </w:p>
        </w:tc>
        <w:tc>
          <w:tcPr>
            <w:tcW w:w="1807" w:type="dxa"/>
            <w:noWrap/>
            <w:hideMark/>
          </w:tcPr>
          <w:p w14:paraId="5914051C"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DFAT quality assurance document</w:t>
            </w:r>
          </w:p>
        </w:tc>
      </w:tr>
      <w:tr w:rsidR="004A34A0" w:rsidRPr="00367960" w14:paraId="681D9B14"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6CC87E3D" w14:textId="058EF040"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 xml:space="preserve">Expert Advisory group and </w:t>
            </w:r>
            <w:proofErr w:type="gramStart"/>
            <w:r w:rsidRPr="006B0C6C">
              <w:rPr>
                <w:rFonts w:ascii="Calibri" w:hAnsi="Calibri" w:cs="Calibri"/>
                <w:color w:val="000000" w:themeColor="text1"/>
                <w:szCs w:val="22"/>
                <w:lang w:eastAsia="en-AU"/>
              </w:rPr>
              <w:t>Technical</w:t>
            </w:r>
            <w:proofErr w:type="gramEnd"/>
            <w:r w:rsidRPr="006B0C6C">
              <w:rPr>
                <w:rFonts w:ascii="Calibri" w:hAnsi="Calibri" w:cs="Calibri"/>
                <w:color w:val="000000" w:themeColor="text1"/>
                <w:szCs w:val="22"/>
                <w:lang w:eastAsia="en-AU"/>
              </w:rPr>
              <w:t xml:space="preserve"> advi</w:t>
            </w:r>
            <w:r w:rsidR="09990813" w:rsidRPr="006B0C6C">
              <w:rPr>
                <w:rFonts w:ascii="Calibri" w:hAnsi="Calibri" w:cs="Calibri"/>
                <w:color w:val="000000" w:themeColor="text1"/>
                <w:szCs w:val="22"/>
                <w:lang w:eastAsia="en-AU"/>
              </w:rPr>
              <w:t>c</w:t>
            </w:r>
            <w:r w:rsidRPr="006B0C6C">
              <w:rPr>
                <w:rFonts w:ascii="Calibri" w:hAnsi="Calibri" w:cs="Calibri"/>
                <w:color w:val="000000" w:themeColor="text1"/>
                <w:szCs w:val="22"/>
                <w:lang w:eastAsia="en-AU"/>
              </w:rPr>
              <w:t>e per program</w:t>
            </w:r>
          </w:p>
        </w:tc>
        <w:tc>
          <w:tcPr>
            <w:tcW w:w="3681" w:type="dxa"/>
            <w:noWrap/>
            <w:hideMark/>
          </w:tcPr>
          <w:p w14:paraId="629FEE42"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Technical advice coordinated by Dr Stephanie Williams</w:t>
            </w:r>
          </w:p>
        </w:tc>
        <w:tc>
          <w:tcPr>
            <w:tcW w:w="1807" w:type="dxa"/>
            <w:noWrap/>
            <w:hideMark/>
          </w:tcPr>
          <w:p w14:paraId="2C843CCF"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Technical advice document</w:t>
            </w:r>
          </w:p>
        </w:tc>
      </w:tr>
      <w:tr w:rsidR="004A34A0" w:rsidRPr="00367960" w14:paraId="62CAC644"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52D32BDA"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VAHSI budget reconciliation 16 Jan 2024</w:t>
            </w:r>
          </w:p>
        </w:tc>
        <w:tc>
          <w:tcPr>
            <w:tcW w:w="3681" w:type="dxa"/>
            <w:noWrap/>
            <w:hideMark/>
          </w:tcPr>
          <w:p w14:paraId="0A461F05"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Table that provides a summary of total doses delivered and delivery support provided, by country (not for further circulation)</w:t>
            </w:r>
          </w:p>
        </w:tc>
        <w:tc>
          <w:tcPr>
            <w:tcW w:w="1807" w:type="dxa"/>
            <w:noWrap/>
            <w:hideMark/>
          </w:tcPr>
          <w:p w14:paraId="3F20A79B"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583292C6"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1824FA31"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Complete Vietnam reports</w:t>
            </w:r>
          </w:p>
        </w:tc>
        <w:tc>
          <w:tcPr>
            <w:tcW w:w="3681" w:type="dxa"/>
            <w:noWrap/>
            <w:hideMark/>
          </w:tcPr>
          <w:p w14:paraId="5D9EFB52"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Delivery Support proposals and available reporting for activities undertaken in Vietnam</w:t>
            </w:r>
          </w:p>
        </w:tc>
        <w:tc>
          <w:tcPr>
            <w:tcW w:w="1807" w:type="dxa"/>
            <w:noWrap/>
            <w:hideMark/>
          </w:tcPr>
          <w:p w14:paraId="371C6A9B"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Bilateral project reports</w:t>
            </w:r>
          </w:p>
        </w:tc>
      </w:tr>
      <w:tr w:rsidR="004A34A0" w:rsidRPr="00367960" w14:paraId="3984521E"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2735A74C"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Cambodia Delivery Proposal</w:t>
            </w:r>
          </w:p>
        </w:tc>
        <w:tc>
          <w:tcPr>
            <w:tcW w:w="3681" w:type="dxa"/>
            <w:noWrap/>
            <w:hideMark/>
          </w:tcPr>
          <w:p w14:paraId="505FE1A1"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 xml:space="preserve">Technical advice coordinated by Dr Stephanie Williams and Camilla </w:t>
            </w:r>
            <w:proofErr w:type="spellStart"/>
            <w:r w:rsidRPr="006B0C6C">
              <w:rPr>
                <w:rFonts w:ascii="Calibri" w:hAnsi="Calibri" w:cs="Calibri"/>
                <w:color w:val="000000" w:themeColor="text1"/>
                <w:szCs w:val="22"/>
                <w:lang w:eastAsia="en-AU"/>
              </w:rPr>
              <w:t>Burkot</w:t>
            </w:r>
            <w:proofErr w:type="spellEnd"/>
            <w:r w:rsidRPr="006B0C6C">
              <w:rPr>
                <w:rFonts w:ascii="Calibri" w:hAnsi="Calibri" w:cs="Calibri"/>
                <w:color w:val="000000" w:themeColor="text1"/>
                <w:szCs w:val="22"/>
                <w:lang w:eastAsia="en-AU"/>
              </w:rPr>
              <w:t xml:space="preserve"> on delivery support proposal</w:t>
            </w:r>
          </w:p>
        </w:tc>
        <w:tc>
          <w:tcPr>
            <w:tcW w:w="1807" w:type="dxa"/>
            <w:noWrap/>
            <w:hideMark/>
          </w:tcPr>
          <w:p w14:paraId="095FC139"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Technical advice document</w:t>
            </w:r>
          </w:p>
        </w:tc>
      </w:tr>
      <w:tr w:rsidR="004A34A0" w:rsidRPr="00367960" w14:paraId="196CDD6C"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244F1B66"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Indonesia Delivery Proposal</w:t>
            </w:r>
          </w:p>
        </w:tc>
        <w:tc>
          <w:tcPr>
            <w:tcW w:w="3681" w:type="dxa"/>
            <w:noWrap/>
            <w:hideMark/>
          </w:tcPr>
          <w:p w14:paraId="09DACB02"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 xml:space="preserve">Technical advice coordinated by Dr Stephanie Williams and Camilla </w:t>
            </w:r>
            <w:proofErr w:type="spellStart"/>
            <w:r w:rsidRPr="006B0C6C">
              <w:rPr>
                <w:rFonts w:ascii="Calibri" w:hAnsi="Calibri" w:cs="Calibri"/>
                <w:color w:val="000000" w:themeColor="text1"/>
                <w:szCs w:val="22"/>
                <w:lang w:eastAsia="en-AU"/>
              </w:rPr>
              <w:t>Burkot</w:t>
            </w:r>
            <w:proofErr w:type="spellEnd"/>
            <w:r w:rsidRPr="006B0C6C">
              <w:rPr>
                <w:rFonts w:ascii="Calibri" w:hAnsi="Calibri" w:cs="Calibri"/>
                <w:color w:val="000000" w:themeColor="text1"/>
                <w:szCs w:val="22"/>
                <w:lang w:eastAsia="en-AU"/>
              </w:rPr>
              <w:t xml:space="preserve"> on delivery support proposal</w:t>
            </w:r>
          </w:p>
        </w:tc>
        <w:tc>
          <w:tcPr>
            <w:tcW w:w="1807" w:type="dxa"/>
            <w:noWrap/>
            <w:hideMark/>
          </w:tcPr>
          <w:p w14:paraId="29AAD2FC"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Technical advice document</w:t>
            </w:r>
          </w:p>
        </w:tc>
      </w:tr>
      <w:tr w:rsidR="004A34A0" w:rsidRPr="00367960" w14:paraId="27A63310"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007743D7"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Vietnam Delivery Proposal</w:t>
            </w:r>
          </w:p>
        </w:tc>
        <w:tc>
          <w:tcPr>
            <w:tcW w:w="3681" w:type="dxa"/>
            <w:noWrap/>
            <w:hideMark/>
          </w:tcPr>
          <w:p w14:paraId="7A724D25"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 xml:space="preserve">Technical advice coordinated by Dr Stephanie Williams and Camilla </w:t>
            </w:r>
            <w:proofErr w:type="spellStart"/>
            <w:r w:rsidRPr="006B0C6C">
              <w:rPr>
                <w:rFonts w:ascii="Calibri" w:hAnsi="Calibri" w:cs="Calibri"/>
                <w:color w:val="000000" w:themeColor="text1"/>
                <w:szCs w:val="22"/>
                <w:lang w:eastAsia="en-AU"/>
              </w:rPr>
              <w:t>Burkot</w:t>
            </w:r>
            <w:proofErr w:type="spellEnd"/>
            <w:r w:rsidRPr="006B0C6C">
              <w:rPr>
                <w:rFonts w:ascii="Calibri" w:hAnsi="Calibri" w:cs="Calibri"/>
                <w:color w:val="000000" w:themeColor="text1"/>
                <w:szCs w:val="22"/>
                <w:lang w:eastAsia="en-AU"/>
              </w:rPr>
              <w:t xml:space="preserve"> on delivery support proposal</w:t>
            </w:r>
          </w:p>
        </w:tc>
        <w:tc>
          <w:tcPr>
            <w:tcW w:w="1807" w:type="dxa"/>
            <w:noWrap/>
            <w:hideMark/>
          </w:tcPr>
          <w:p w14:paraId="0E066D92"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Technical advice document</w:t>
            </w:r>
          </w:p>
        </w:tc>
      </w:tr>
      <w:tr w:rsidR="004A34A0" w:rsidRPr="00367960" w14:paraId="184DD4C6"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2E01A90E"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Vanuatu and BES option</w:t>
            </w:r>
          </w:p>
        </w:tc>
        <w:tc>
          <w:tcPr>
            <w:tcW w:w="3681" w:type="dxa"/>
            <w:noWrap/>
            <w:hideMark/>
          </w:tcPr>
          <w:p w14:paraId="10BF596D"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 xml:space="preserve">Technical advice coordinated by Dr Stephanie Williams and Camilla </w:t>
            </w:r>
            <w:proofErr w:type="spellStart"/>
            <w:r w:rsidRPr="006B0C6C">
              <w:rPr>
                <w:rFonts w:ascii="Calibri" w:hAnsi="Calibri" w:cs="Calibri"/>
                <w:color w:val="000000" w:themeColor="text1"/>
                <w:szCs w:val="22"/>
                <w:lang w:eastAsia="en-AU"/>
              </w:rPr>
              <w:t>Burkot</w:t>
            </w:r>
            <w:proofErr w:type="spellEnd"/>
            <w:r w:rsidRPr="006B0C6C">
              <w:rPr>
                <w:rFonts w:ascii="Calibri" w:hAnsi="Calibri" w:cs="Calibri"/>
                <w:color w:val="000000" w:themeColor="text1"/>
                <w:szCs w:val="22"/>
                <w:lang w:eastAsia="en-AU"/>
              </w:rPr>
              <w:t xml:space="preserve"> on delivery support proposal</w:t>
            </w:r>
          </w:p>
        </w:tc>
        <w:tc>
          <w:tcPr>
            <w:tcW w:w="1807" w:type="dxa"/>
            <w:noWrap/>
            <w:hideMark/>
          </w:tcPr>
          <w:p w14:paraId="17D66E30"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Technical advice document</w:t>
            </w:r>
          </w:p>
        </w:tc>
      </w:tr>
      <w:tr w:rsidR="004A34A0" w:rsidRPr="00367960" w14:paraId="6DB6116C"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CE85F48"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VAHSI evaluation - potential interviewees</w:t>
            </w:r>
          </w:p>
        </w:tc>
        <w:tc>
          <w:tcPr>
            <w:tcW w:w="3681" w:type="dxa"/>
            <w:noWrap/>
            <w:hideMark/>
          </w:tcPr>
          <w:p w14:paraId="799C4590"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List of interviewees from DFAT Canberra, DFAT Posts, Delivery Support partners and Gov counterparts</w:t>
            </w:r>
          </w:p>
        </w:tc>
        <w:tc>
          <w:tcPr>
            <w:tcW w:w="1807" w:type="dxa"/>
            <w:noWrap/>
            <w:hideMark/>
          </w:tcPr>
          <w:p w14:paraId="7B25A19E"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List of relevant contacts</w:t>
            </w:r>
          </w:p>
        </w:tc>
      </w:tr>
      <w:tr w:rsidR="004A34A0" w:rsidRPr="00367960" w14:paraId="4BEBFA68"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CC75324"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 xml:space="preserve">VAHSI Placemat </w:t>
            </w:r>
            <w:proofErr w:type="spellStart"/>
            <w:r w:rsidRPr="006B0C6C">
              <w:rPr>
                <w:rFonts w:ascii="Calibri" w:hAnsi="Calibri" w:cs="Calibri"/>
                <w:color w:val="000000" w:themeColor="text1"/>
                <w:szCs w:val="22"/>
                <w:lang w:eastAsia="en-AU"/>
              </w:rPr>
              <w:t>Doses_Oct</w:t>
            </w:r>
            <w:proofErr w:type="spellEnd"/>
            <w:r w:rsidRPr="006B0C6C">
              <w:rPr>
                <w:rFonts w:ascii="Calibri" w:hAnsi="Calibri" w:cs="Calibri"/>
                <w:color w:val="000000" w:themeColor="text1"/>
                <w:szCs w:val="22"/>
                <w:lang w:eastAsia="en-AU"/>
              </w:rPr>
              <w:t xml:space="preserve"> 2023</w:t>
            </w:r>
          </w:p>
        </w:tc>
        <w:tc>
          <w:tcPr>
            <w:tcW w:w="3681" w:type="dxa"/>
            <w:noWrap/>
            <w:hideMark/>
          </w:tcPr>
          <w:p w14:paraId="05CD9679"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List of Australian vaccine deliveries by country by calendar year and mechanism</w:t>
            </w:r>
          </w:p>
        </w:tc>
        <w:tc>
          <w:tcPr>
            <w:tcW w:w="1807" w:type="dxa"/>
            <w:noWrap/>
            <w:hideMark/>
          </w:tcPr>
          <w:p w14:paraId="3B126651"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2BB49331"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6F23E79"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Dose sharing timeline (domestic supply and UNICEF procured) 29092023</w:t>
            </w:r>
          </w:p>
        </w:tc>
        <w:tc>
          <w:tcPr>
            <w:tcW w:w="3681" w:type="dxa"/>
            <w:noWrap/>
            <w:hideMark/>
          </w:tcPr>
          <w:p w14:paraId="065387DE"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List of what vaccine doses were delivered, where, in chronological order</w:t>
            </w:r>
          </w:p>
        </w:tc>
        <w:tc>
          <w:tcPr>
            <w:tcW w:w="1807" w:type="dxa"/>
            <w:noWrap/>
            <w:hideMark/>
          </w:tcPr>
          <w:p w14:paraId="4D90164E"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13FD41AE"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97F8502"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Regional Vaccine Support Snapshot (Pacific and SEA activities) 29092023</w:t>
            </w:r>
          </w:p>
        </w:tc>
        <w:tc>
          <w:tcPr>
            <w:tcW w:w="3681" w:type="dxa"/>
            <w:noWrap/>
            <w:hideMark/>
          </w:tcPr>
          <w:p w14:paraId="3C1E7F22"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Summary of VAHSI support by country (doses and delivery support) with examples complete October 2023</w:t>
            </w:r>
          </w:p>
        </w:tc>
        <w:tc>
          <w:tcPr>
            <w:tcW w:w="1807" w:type="dxa"/>
            <w:noWrap/>
            <w:hideMark/>
          </w:tcPr>
          <w:p w14:paraId="79001A48"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0C15B528"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5CD7E0F"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Investment Design Approval Minute AETAP</w:t>
            </w:r>
          </w:p>
        </w:tc>
        <w:tc>
          <w:tcPr>
            <w:tcW w:w="3681" w:type="dxa"/>
            <w:noWrap/>
            <w:hideMark/>
          </w:tcPr>
          <w:p w14:paraId="6769FB16"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minute with background to AETAP to approve the designs</w:t>
            </w:r>
          </w:p>
        </w:tc>
        <w:tc>
          <w:tcPr>
            <w:tcW w:w="1807" w:type="dxa"/>
            <w:noWrap/>
            <w:hideMark/>
          </w:tcPr>
          <w:p w14:paraId="67D25BB9"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33E6F597"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7D3770E"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Investment Design Summary AETAP</w:t>
            </w:r>
          </w:p>
        </w:tc>
        <w:tc>
          <w:tcPr>
            <w:tcW w:w="3681" w:type="dxa"/>
            <w:noWrap/>
            <w:hideMark/>
          </w:tcPr>
          <w:p w14:paraId="468B1E6A"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Document summarising AETAP design</w:t>
            </w:r>
          </w:p>
        </w:tc>
        <w:tc>
          <w:tcPr>
            <w:tcW w:w="1807" w:type="dxa"/>
            <w:noWrap/>
            <w:hideMark/>
          </w:tcPr>
          <w:p w14:paraId="621AA98A"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5714B46B"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E686F42"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Partner-led Investment Design AETAP-PPI (NCIRS)</w:t>
            </w:r>
          </w:p>
        </w:tc>
        <w:tc>
          <w:tcPr>
            <w:tcW w:w="3681" w:type="dxa"/>
            <w:noWrap/>
            <w:hideMark/>
          </w:tcPr>
          <w:p w14:paraId="478102CE"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Design for NCIRS component of AETAP/VAHSI</w:t>
            </w:r>
          </w:p>
        </w:tc>
        <w:tc>
          <w:tcPr>
            <w:tcW w:w="1807" w:type="dxa"/>
            <w:noWrap/>
            <w:hideMark/>
          </w:tcPr>
          <w:p w14:paraId="3B556BC8"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65841FC5"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505A41C4"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Partner-led Investment Design AETAP-RSSM (TGA)</w:t>
            </w:r>
          </w:p>
        </w:tc>
        <w:tc>
          <w:tcPr>
            <w:tcW w:w="3681" w:type="dxa"/>
            <w:noWrap/>
            <w:hideMark/>
          </w:tcPr>
          <w:p w14:paraId="3199CE53"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Design for TGA component of AETAP/VAHSI</w:t>
            </w:r>
          </w:p>
        </w:tc>
        <w:tc>
          <w:tcPr>
            <w:tcW w:w="1807" w:type="dxa"/>
            <w:noWrap/>
            <w:hideMark/>
          </w:tcPr>
          <w:p w14:paraId="748D22FC"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7AB82FD0"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18C3BD15"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AETAP RSSM closure report</w:t>
            </w:r>
          </w:p>
        </w:tc>
        <w:tc>
          <w:tcPr>
            <w:tcW w:w="3681" w:type="dxa"/>
            <w:noWrap/>
            <w:hideMark/>
          </w:tcPr>
          <w:p w14:paraId="2839936A"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Final report for the TGA component of AETAP/VAHSI</w:t>
            </w:r>
          </w:p>
        </w:tc>
        <w:tc>
          <w:tcPr>
            <w:tcW w:w="1807" w:type="dxa"/>
            <w:noWrap/>
            <w:hideMark/>
          </w:tcPr>
          <w:p w14:paraId="43D9199B"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6D2D7A9A"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070F3CF8"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ANNEX A(a) - Summary Outputs and Outcomes - CLOSURE - AETAP-RSSM Jan 2021 - EOM June 2023</w:t>
            </w:r>
          </w:p>
        </w:tc>
        <w:tc>
          <w:tcPr>
            <w:tcW w:w="3681" w:type="dxa"/>
            <w:noWrap/>
            <w:hideMark/>
          </w:tcPr>
          <w:p w14:paraId="6EA2BA0D"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Annex to TGA AETAP final report - summary outputs and outcomes</w:t>
            </w:r>
          </w:p>
        </w:tc>
        <w:tc>
          <w:tcPr>
            <w:tcW w:w="1807" w:type="dxa"/>
            <w:noWrap/>
            <w:hideMark/>
          </w:tcPr>
          <w:p w14:paraId="73C87B42"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58FFC250"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04C547E1"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ANNEX A(b) - DATA SUMMARY (TGA-Supported Donated Vaccine Dose by Country)</w:t>
            </w:r>
          </w:p>
        </w:tc>
        <w:tc>
          <w:tcPr>
            <w:tcW w:w="3681" w:type="dxa"/>
            <w:noWrap/>
            <w:hideMark/>
          </w:tcPr>
          <w:p w14:paraId="1F6345CD"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Annex to TGA AETAP final report - dose delivery support information</w:t>
            </w:r>
          </w:p>
        </w:tc>
        <w:tc>
          <w:tcPr>
            <w:tcW w:w="1807" w:type="dxa"/>
            <w:noWrap/>
            <w:hideMark/>
          </w:tcPr>
          <w:p w14:paraId="3E7992C1"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57FF23BE"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66CE6CD9"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ANNEX C(a) - GEDSI Independent Review Report</w:t>
            </w:r>
          </w:p>
        </w:tc>
        <w:tc>
          <w:tcPr>
            <w:tcW w:w="3681" w:type="dxa"/>
            <w:noWrap/>
            <w:hideMark/>
          </w:tcPr>
          <w:p w14:paraId="1832AF5B"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Annex to TGA AETAP final report - Independent assessment of GEDSI outcomes</w:t>
            </w:r>
          </w:p>
        </w:tc>
        <w:tc>
          <w:tcPr>
            <w:tcW w:w="1807" w:type="dxa"/>
            <w:noWrap/>
            <w:hideMark/>
          </w:tcPr>
          <w:p w14:paraId="6B7DE676"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47775DE0"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20B18FF"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 xml:space="preserve">ANNEX C(b) - Case Study One - Equitable access to COVID19 </w:t>
            </w:r>
            <w:proofErr w:type="spellStart"/>
            <w:r w:rsidRPr="006B0C6C">
              <w:rPr>
                <w:rFonts w:ascii="Calibri" w:hAnsi="Calibri" w:cs="Calibri"/>
                <w:color w:val="000000" w:themeColor="text1"/>
                <w:szCs w:val="22"/>
                <w:lang w:eastAsia="en-AU"/>
              </w:rPr>
              <w:t>Therapie</w:t>
            </w:r>
            <w:proofErr w:type="spellEnd"/>
          </w:p>
        </w:tc>
        <w:tc>
          <w:tcPr>
            <w:tcW w:w="3681" w:type="dxa"/>
            <w:noWrap/>
            <w:hideMark/>
          </w:tcPr>
          <w:p w14:paraId="2ECADAD6"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Annex to TGA AETAP final report - case study</w:t>
            </w:r>
          </w:p>
        </w:tc>
        <w:tc>
          <w:tcPr>
            <w:tcW w:w="1807" w:type="dxa"/>
            <w:noWrap/>
            <w:hideMark/>
          </w:tcPr>
          <w:p w14:paraId="373A024F"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2AC1A214"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95937A9"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ANNEX C(c) - Case Study 2 - Engagement and Communication Principles - RSP Workshop</w:t>
            </w:r>
          </w:p>
        </w:tc>
        <w:tc>
          <w:tcPr>
            <w:tcW w:w="3681" w:type="dxa"/>
            <w:noWrap/>
            <w:hideMark/>
          </w:tcPr>
          <w:p w14:paraId="7EB92DB3"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Annex to TGA AETAP final report - case study</w:t>
            </w:r>
          </w:p>
        </w:tc>
        <w:tc>
          <w:tcPr>
            <w:tcW w:w="1807" w:type="dxa"/>
            <w:noWrap/>
            <w:hideMark/>
          </w:tcPr>
          <w:p w14:paraId="211B2E08"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535058C0"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6173A371"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Annex F - MELF</w:t>
            </w:r>
          </w:p>
        </w:tc>
        <w:tc>
          <w:tcPr>
            <w:tcW w:w="3681" w:type="dxa"/>
            <w:noWrap/>
            <w:hideMark/>
          </w:tcPr>
          <w:p w14:paraId="2C521F83"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Annex to TGA AETAP final report - monitoring and evaluation framework</w:t>
            </w:r>
          </w:p>
        </w:tc>
        <w:tc>
          <w:tcPr>
            <w:tcW w:w="1807" w:type="dxa"/>
            <w:noWrap/>
            <w:hideMark/>
          </w:tcPr>
          <w:p w14:paraId="658FA8EC"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256706B2"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C69909F"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Fiji (2)</w:t>
            </w:r>
          </w:p>
        </w:tc>
        <w:tc>
          <w:tcPr>
            <w:tcW w:w="3681" w:type="dxa"/>
            <w:noWrap/>
            <w:hideMark/>
          </w:tcPr>
          <w:p w14:paraId="08DDF98F"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Annex to TGA AETAP final report - case study</w:t>
            </w:r>
          </w:p>
        </w:tc>
        <w:tc>
          <w:tcPr>
            <w:tcW w:w="1807" w:type="dxa"/>
            <w:noWrap/>
            <w:hideMark/>
          </w:tcPr>
          <w:p w14:paraId="46BB959A"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6A3243D0"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C7894A8"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Master Annex B Training Summary - Closure Report - AETAP-RSSM</w:t>
            </w:r>
          </w:p>
        </w:tc>
        <w:tc>
          <w:tcPr>
            <w:tcW w:w="3681" w:type="dxa"/>
            <w:noWrap/>
            <w:hideMark/>
          </w:tcPr>
          <w:p w14:paraId="38EBE180"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Annex to TGA AETAP final report - summary of training completed</w:t>
            </w:r>
          </w:p>
        </w:tc>
        <w:tc>
          <w:tcPr>
            <w:tcW w:w="1807" w:type="dxa"/>
            <w:noWrap/>
            <w:hideMark/>
          </w:tcPr>
          <w:p w14:paraId="4C36B7B4"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646AF9A6"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25607115"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Solomon Islands (2)</w:t>
            </w:r>
          </w:p>
        </w:tc>
        <w:tc>
          <w:tcPr>
            <w:tcW w:w="3681" w:type="dxa"/>
            <w:noWrap/>
            <w:hideMark/>
          </w:tcPr>
          <w:p w14:paraId="7FDF0964"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Annex to TGA AETAP final report - case study</w:t>
            </w:r>
          </w:p>
        </w:tc>
        <w:tc>
          <w:tcPr>
            <w:tcW w:w="1807" w:type="dxa"/>
            <w:noWrap/>
            <w:hideMark/>
          </w:tcPr>
          <w:p w14:paraId="2A784E92"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4D65B0DF"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6F84180"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Timor-Leste (2)</w:t>
            </w:r>
          </w:p>
        </w:tc>
        <w:tc>
          <w:tcPr>
            <w:tcW w:w="3681" w:type="dxa"/>
            <w:noWrap/>
            <w:hideMark/>
          </w:tcPr>
          <w:p w14:paraId="2CF5B06E"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Annex to TGA AETAP final report - case study</w:t>
            </w:r>
          </w:p>
        </w:tc>
        <w:tc>
          <w:tcPr>
            <w:tcW w:w="1807" w:type="dxa"/>
            <w:noWrap/>
            <w:hideMark/>
          </w:tcPr>
          <w:p w14:paraId="687E3936"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50BF3782"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513F3633"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Papua New Guinea (2)</w:t>
            </w:r>
          </w:p>
        </w:tc>
        <w:tc>
          <w:tcPr>
            <w:tcW w:w="3681" w:type="dxa"/>
            <w:noWrap/>
            <w:hideMark/>
          </w:tcPr>
          <w:p w14:paraId="010F1E8B"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Annex to TGA AETAP final report - case study</w:t>
            </w:r>
          </w:p>
        </w:tc>
        <w:tc>
          <w:tcPr>
            <w:tcW w:w="1807" w:type="dxa"/>
            <w:noWrap/>
            <w:hideMark/>
          </w:tcPr>
          <w:p w14:paraId="3C137012"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1C24E0EE"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52C15AC8"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2021 09 01_AETAP PPI project report_ Final Version</w:t>
            </w:r>
          </w:p>
        </w:tc>
        <w:tc>
          <w:tcPr>
            <w:tcW w:w="3681" w:type="dxa"/>
            <w:noWrap/>
            <w:hideMark/>
          </w:tcPr>
          <w:p w14:paraId="5EC47B5A"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NCIRS AETAP regular reporting - milestone 2</w:t>
            </w:r>
          </w:p>
        </w:tc>
        <w:tc>
          <w:tcPr>
            <w:tcW w:w="1807" w:type="dxa"/>
            <w:noWrap/>
            <w:hideMark/>
          </w:tcPr>
          <w:p w14:paraId="32BD1D96"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7AC295CD"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DD5D158"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2022-01-19_Revised_AETAP PPI Project Report_Milestone3_Clean_v3.7</w:t>
            </w:r>
          </w:p>
        </w:tc>
        <w:tc>
          <w:tcPr>
            <w:tcW w:w="3681" w:type="dxa"/>
            <w:noWrap/>
            <w:hideMark/>
          </w:tcPr>
          <w:p w14:paraId="1ECCF05E"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NCIRS AETAP regular reporting - milestone 3</w:t>
            </w:r>
          </w:p>
        </w:tc>
        <w:tc>
          <w:tcPr>
            <w:tcW w:w="1807" w:type="dxa"/>
            <w:noWrap/>
            <w:hideMark/>
          </w:tcPr>
          <w:p w14:paraId="372DFFFE"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677E98F5"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15F9D435"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 xml:space="preserve">2022-03-07_AETAP-PPI Annual </w:t>
            </w:r>
            <w:proofErr w:type="spellStart"/>
            <w:r w:rsidRPr="006B0C6C">
              <w:rPr>
                <w:rFonts w:ascii="Calibri" w:hAnsi="Calibri" w:cs="Calibri"/>
                <w:color w:val="000000" w:themeColor="text1"/>
                <w:szCs w:val="22"/>
                <w:lang w:eastAsia="en-AU"/>
              </w:rPr>
              <w:t>Report_Milestone</w:t>
            </w:r>
            <w:proofErr w:type="spellEnd"/>
            <w:r w:rsidRPr="006B0C6C">
              <w:rPr>
                <w:rFonts w:ascii="Calibri" w:hAnsi="Calibri" w:cs="Calibri"/>
                <w:color w:val="000000" w:themeColor="text1"/>
                <w:szCs w:val="22"/>
                <w:lang w:eastAsia="en-AU"/>
              </w:rPr>
              <w:t xml:space="preserve"> 4_Final_v1.1_revised</w:t>
            </w:r>
          </w:p>
        </w:tc>
        <w:tc>
          <w:tcPr>
            <w:tcW w:w="3681" w:type="dxa"/>
            <w:noWrap/>
            <w:hideMark/>
          </w:tcPr>
          <w:p w14:paraId="2C4EBD1D"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NCIRS AETAP regular reporting - milestone 4</w:t>
            </w:r>
          </w:p>
        </w:tc>
        <w:tc>
          <w:tcPr>
            <w:tcW w:w="1807" w:type="dxa"/>
            <w:noWrap/>
            <w:hideMark/>
          </w:tcPr>
          <w:p w14:paraId="63B9BC6D"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5BCF7C77"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7EBED667"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2022-08-02_AETAP-PPI_Milestone 7__V.1.0</w:t>
            </w:r>
          </w:p>
        </w:tc>
        <w:tc>
          <w:tcPr>
            <w:tcW w:w="3681" w:type="dxa"/>
            <w:noWrap/>
            <w:hideMark/>
          </w:tcPr>
          <w:p w14:paraId="7A3420BB"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NCIRS AETAP regular reporting - milestone 7</w:t>
            </w:r>
          </w:p>
        </w:tc>
        <w:tc>
          <w:tcPr>
            <w:tcW w:w="1807" w:type="dxa"/>
            <w:noWrap/>
            <w:hideMark/>
          </w:tcPr>
          <w:p w14:paraId="3CD894C1"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04ADAC7C"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1E6BE97"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Vietnam - email with proposal attached</w:t>
            </w:r>
          </w:p>
        </w:tc>
        <w:tc>
          <w:tcPr>
            <w:tcW w:w="3681" w:type="dxa"/>
            <w:noWrap/>
            <w:hideMark/>
          </w:tcPr>
          <w:p w14:paraId="4C2A8D22"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Email detailing agreed procurement activities through UNICEF for Vietnam</w:t>
            </w:r>
          </w:p>
        </w:tc>
        <w:tc>
          <w:tcPr>
            <w:tcW w:w="1807" w:type="dxa"/>
            <w:noWrap/>
            <w:hideMark/>
          </w:tcPr>
          <w:p w14:paraId="177528DF"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2878D345"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15BED0BD"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Cambodia - email with proposal attached</w:t>
            </w:r>
          </w:p>
        </w:tc>
        <w:tc>
          <w:tcPr>
            <w:tcW w:w="3681" w:type="dxa"/>
            <w:noWrap/>
            <w:hideMark/>
          </w:tcPr>
          <w:p w14:paraId="545AA545"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Email detailing agreed procurement activities through UNICEF for Cambodia</w:t>
            </w:r>
          </w:p>
        </w:tc>
        <w:tc>
          <w:tcPr>
            <w:tcW w:w="1807" w:type="dxa"/>
            <w:noWrap/>
            <w:hideMark/>
          </w:tcPr>
          <w:p w14:paraId="34833444"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0536C0DE"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E4DCB3E"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Indonesia - email with proposal attached</w:t>
            </w:r>
          </w:p>
        </w:tc>
        <w:tc>
          <w:tcPr>
            <w:tcW w:w="3681" w:type="dxa"/>
            <w:noWrap/>
            <w:hideMark/>
          </w:tcPr>
          <w:p w14:paraId="497AE6CF"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Email detailing agreed procurement activities through UNICEF for Indonesia</w:t>
            </w:r>
          </w:p>
        </w:tc>
        <w:tc>
          <w:tcPr>
            <w:tcW w:w="1807" w:type="dxa"/>
            <w:noWrap/>
            <w:hideMark/>
          </w:tcPr>
          <w:p w14:paraId="0AF57283"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0A9A5370"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2091BDBF"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Laos - email with proposal attached</w:t>
            </w:r>
          </w:p>
        </w:tc>
        <w:tc>
          <w:tcPr>
            <w:tcW w:w="3681" w:type="dxa"/>
            <w:noWrap/>
            <w:hideMark/>
          </w:tcPr>
          <w:p w14:paraId="12290B9A"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Email detailing agreed procurement activities through UNICEF for Laos</w:t>
            </w:r>
          </w:p>
        </w:tc>
        <w:tc>
          <w:tcPr>
            <w:tcW w:w="1807" w:type="dxa"/>
            <w:noWrap/>
            <w:hideMark/>
          </w:tcPr>
          <w:p w14:paraId="4BAEC3CC"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2B4DD144"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5D7F997F"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Myanmar - approved proposal</w:t>
            </w:r>
          </w:p>
        </w:tc>
        <w:tc>
          <w:tcPr>
            <w:tcW w:w="3681" w:type="dxa"/>
            <w:noWrap/>
            <w:hideMark/>
          </w:tcPr>
          <w:p w14:paraId="0330849E"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Document detailing agreed procurement activities through UNICEF for Myanmar</w:t>
            </w:r>
          </w:p>
        </w:tc>
        <w:tc>
          <w:tcPr>
            <w:tcW w:w="1807" w:type="dxa"/>
            <w:noWrap/>
            <w:hideMark/>
          </w:tcPr>
          <w:p w14:paraId="775C4EF4"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59609105"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6361FA63"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Pacific multi-country - approved proposal</w:t>
            </w:r>
          </w:p>
        </w:tc>
        <w:tc>
          <w:tcPr>
            <w:tcW w:w="3681" w:type="dxa"/>
            <w:noWrap/>
            <w:hideMark/>
          </w:tcPr>
          <w:p w14:paraId="40CF9C41"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Document detailing agreed procurement activities through UNICEF for Pacific multi-country</w:t>
            </w:r>
          </w:p>
        </w:tc>
        <w:tc>
          <w:tcPr>
            <w:tcW w:w="1807" w:type="dxa"/>
            <w:noWrap/>
            <w:hideMark/>
          </w:tcPr>
          <w:p w14:paraId="77AA3FDA"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6FC9AC4A"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68A84C59"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PNG - email with proposal attached</w:t>
            </w:r>
          </w:p>
        </w:tc>
        <w:tc>
          <w:tcPr>
            <w:tcW w:w="3681" w:type="dxa"/>
            <w:noWrap/>
            <w:hideMark/>
          </w:tcPr>
          <w:p w14:paraId="1B85E2E0"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Email detailing agreed procurement activities through UNICEF for PNG</w:t>
            </w:r>
          </w:p>
        </w:tc>
        <w:tc>
          <w:tcPr>
            <w:tcW w:w="1807" w:type="dxa"/>
            <w:noWrap/>
            <w:hideMark/>
          </w:tcPr>
          <w:p w14:paraId="7A5D7E78"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5079913C"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26E385E6"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Timor-Leste - email with proposal attached</w:t>
            </w:r>
          </w:p>
        </w:tc>
        <w:tc>
          <w:tcPr>
            <w:tcW w:w="3681" w:type="dxa"/>
            <w:noWrap/>
            <w:hideMark/>
          </w:tcPr>
          <w:p w14:paraId="01949B81"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Email detailing agreed procurement activities through UNICEF for Timor-Leste</w:t>
            </w:r>
          </w:p>
        </w:tc>
        <w:tc>
          <w:tcPr>
            <w:tcW w:w="1807" w:type="dxa"/>
            <w:noWrap/>
            <w:hideMark/>
          </w:tcPr>
          <w:p w14:paraId="3D1E5A43"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2EE8D4EC"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62C58861"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UNICEF SD - email with proposal attached</w:t>
            </w:r>
          </w:p>
        </w:tc>
        <w:tc>
          <w:tcPr>
            <w:tcW w:w="3681" w:type="dxa"/>
            <w:noWrap/>
            <w:hideMark/>
          </w:tcPr>
          <w:p w14:paraId="4F0DEC6B"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Email detailing agreed procurement activities through UNICEF for Supply Division head office coordination support</w:t>
            </w:r>
          </w:p>
        </w:tc>
        <w:tc>
          <w:tcPr>
            <w:tcW w:w="1807" w:type="dxa"/>
            <w:noWrap/>
            <w:hideMark/>
          </w:tcPr>
          <w:p w14:paraId="6433B663"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7DA221EE"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53D3D39"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Cambodia - MR campaign - approval AS CHS 19 July 2024</w:t>
            </w:r>
          </w:p>
        </w:tc>
        <w:tc>
          <w:tcPr>
            <w:tcW w:w="3681" w:type="dxa"/>
            <w:noWrap/>
            <w:hideMark/>
          </w:tcPr>
          <w:p w14:paraId="0962853C"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Email detailing agreed procurement activities through UNICEF for Cambodia measles and rubella campaign</w:t>
            </w:r>
          </w:p>
        </w:tc>
        <w:tc>
          <w:tcPr>
            <w:tcW w:w="1807" w:type="dxa"/>
            <w:noWrap/>
            <w:hideMark/>
          </w:tcPr>
          <w:p w14:paraId="239DF3E3"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5377B3AA"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FFC98D4"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Demurrage approval KC to UNICEF - Tonga, Vietnam, Indonesia, Cambodia - 19 July 2024</w:t>
            </w:r>
          </w:p>
        </w:tc>
        <w:tc>
          <w:tcPr>
            <w:tcW w:w="3681" w:type="dxa"/>
            <w:noWrap/>
            <w:hideMark/>
          </w:tcPr>
          <w:p w14:paraId="287FD01D"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Email detailing agreed procurement activities through UNICEF for covering demurrage costs</w:t>
            </w:r>
          </w:p>
        </w:tc>
        <w:tc>
          <w:tcPr>
            <w:tcW w:w="1807" w:type="dxa"/>
            <w:noWrap/>
            <w:hideMark/>
          </w:tcPr>
          <w:p w14:paraId="4A5FACDF"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5D5C65BB"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23453A1"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Kiribati - Essential Medicines - AS CHS approval 11 March 2024</w:t>
            </w:r>
          </w:p>
        </w:tc>
        <w:tc>
          <w:tcPr>
            <w:tcW w:w="3681" w:type="dxa"/>
            <w:noWrap/>
            <w:hideMark/>
          </w:tcPr>
          <w:p w14:paraId="1C791D49"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Email detailing agreed procurement activities through UNICEF for Kiribati supply of critical medicines</w:t>
            </w:r>
          </w:p>
        </w:tc>
        <w:tc>
          <w:tcPr>
            <w:tcW w:w="1807" w:type="dxa"/>
            <w:noWrap/>
            <w:hideMark/>
          </w:tcPr>
          <w:p w14:paraId="6D652C2B"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2C4B5150"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CB7975E"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Indonesia - Polio Response - approval AS CHS 31 January 2024</w:t>
            </w:r>
          </w:p>
        </w:tc>
        <w:tc>
          <w:tcPr>
            <w:tcW w:w="3681" w:type="dxa"/>
            <w:noWrap/>
            <w:hideMark/>
          </w:tcPr>
          <w:p w14:paraId="6A36C238"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Email detailing agreed procurement activities through UNICEF for Indonesia - polio response</w:t>
            </w:r>
          </w:p>
        </w:tc>
        <w:tc>
          <w:tcPr>
            <w:tcW w:w="1807" w:type="dxa"/>
            <w:noWrap/>
            <w:hideMark/>
          </w:tcPr>
          <w:p w14:paraId="51C5CCB6"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610F98F4"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607B32D1"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Vietnam - Pentavalent vaccines - AS CHS approval 9 November 2023</w:t>
            </w:r>
          </w:p>
        </w:tc>
        <w:tc>
          <w:tcPr>
            <w:tcW w:w="3681" w:type="dxa"/>
            <w:noWrap/>
            <w:hideMark/>
          </w:tcPr>
          <w:p w14:paraId="71596413"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Email detailing agreed procurement activities through UNICEF for Vietnam - pentavalent vaccines</w:t>
            </w:r>
          </w:p>
        </w:tc>
        <w:tc>
          <w:tcPr>
            <w:tcW w:w="1807" w:type="dxa"/>
            <w:noWrap/>
            <w:hideMark/>
          </w:tcPr>
          <w:p w14:paraId="0D61192D"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6D2BDD67"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2E6BBF07" w14:textId="2DD3C8C2" w:rsidR="004A34A0" w:rsidRPr="006B0C6C" w:rsidRDefault="005E27D0" w:rsidP="2E1252C7">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Timor-Leste</w:t>
            </w:r>
            <w:r w:rsidR="66320C49" w:rsidRPr="006B0C6C">
              <w:rPr>
                <w:rFonts w:ascii="Calibri" w:hAnsi="Calibri" w:cs="Calibri"/>
                <w:color w:val="000000" w:themeColor="text1"/>
                <w:szCs w:val="22"/>
                <w:lang w:eastAsia="en-AU"/>
              </w:rPr>
              <w:t xml:space="preserve"> - HPV campaign - approval AS CHS 13 June 2024</w:t>
            </w:r>
          </w:p>
        </w:tc>
        <w:tc>
          <w:tcPr>
            <w:tcW w:w="3681" w:type="dxa"/>
            <w:noWrap/>
            <w:hideMark/>
          </w:tcPr>
          <w:p w14:paraId="768C4914"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Email detailing agreed procurement activities through UNICEF for Timor-Leste HPV campaign</w:t>
            </w:r>
          </w:p>
        </w:tc>
        <w:tc>
          <w:tcPr>
            <w:tcW w:w="1807" w:type="dxa"/>
            <w:noWrap/>
            <w:hideMark/>
          </w:tcPr>
          <w:p w14:paraId="7EDC86CA"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05913B09"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6D9B985"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Tonga - MICS - approval AS CHS 2 June 2024</w:t>
            </w:r>
          </w:p>
        </w:tc>
        <w:tc>
          <w:tcPr>
            <w:tcW w:w="3681" w:type="dxa"/>
            <w:noWrap/>
            <w:hideMark/>
          </w:tcPr>
          <w:p w14:paraId="29AEFBF5"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Email detailing agreed procurement activities through UNICEF for Tonga MICS survey</w:t>
            </w:r>
          </w:p>
        </w:tc>
        <w:tc>
          <w:tcPr>
            <w:tcW w:w="1807" w:type="dxa"/>
            <w:noWrap/>
            <w:hideMark/>
          </w:tcPr>
          <w:p w14:paraId="3904BB46"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20163EAF"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2F926A23"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Cambodia, Myanmar (2), Kiribati, Laos, Pacific Regional, Philippines, Samoa, Timor-Leste</w:t>
            </w:r>
          </w:p>
        </w:tc>
        <w:tc>
          <w:tcPr>
            <w:tcW w:w="3681" w:type="dxa"/>
            <w:noWrap/>
            <w:hideMark/>
          </w:tcPr>
          <w:p w14:paraId="1EFE9E74"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Country-level summaries of proposed delivery support activities for Foreign Minister approval</w:t>
            </w:r>
          </w:p>
        </w:tc>
        <w:tc>
          <w:tcPr>
            <w:tcW w:w="1807" w:type="dxa"/>
            <w:noWrap/>
            <w:hideMark/>
          </w:tcPr>
          <w:p w14:paraId="29118489"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004A34A0" w:rsidRPr="00367960" w14:paraId="04408826"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106F7AEC"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Kiribati, Nauru, PNG, Vanuatu, Pacific Regional (AHP, BES, UNICEF)</w:t>
            </w:r>
          </w:p>
        </w:tc>
        <w:tc>
          <w:tcPr>
            <w:tcW w:w="3681" w:type="dxa"/>
            <w:noWrap/>
            <w:hideMark/>
          </w:tcPr>
          <w:p w14:paraId="1FCB5DD1"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Internal reporting 2021</w:t>
            </w:r>
          </w:p>
        </w:tc>
        <w:tc>
          <w:tcPr>
            <w:tcW w:w="1807" w:type="dxa"/>
            <w:noWrap/>
            <w:hideMark/>
          </w:tcPr>
          <w:p w14:paraId="57DAE999"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7C838D65"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AB3CD0E"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Annexes submitted to moderators including old PAF</w:t>
            </w:r>
          </w:p>
        </w:tc>
        <w:tc>
          <w:tcPr>
            <w:tcW w:w="3681" w:type="dxa"/>
            <w:noWrap/>
            <w:hideMark/>
          </w:tcPr>
          <w:p w14:paraId="1ECE7538"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Additional evidence to support VAHSI evaluation process in 2022</w:t>
            </w:r>
          </w:p>
        </w:tc>
        <w:tc>
          <w:tcPr>
            <w:tcW w:w="1807" w:type="dxa"/>
            <w:noWrap/>
            <w:hideMark/>
          </w:tcPr>
          <w:p w14:paraId="7173A4BB"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636CEFA2" w14:textId="77777777" w:rsidTr="00871A7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5DD45872"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Outdated PAF</w:t>
            </w:r>
          </w:p>
        </w:tc>
        <w:tc>
          <w:tcPr>
            <w:tcW w:w="3681" w:type="dxa"/>
            <w:noWrap/>
            <w:hideMark/>
          </w:tcPr>
          <w:p w14:paraId="3651F7E3"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For reference while assessing initial reports</w:t>
            </w:r>
          </w:p>
        </w:tc>
        <w:tc>
          <w:tcPr>
            <w:tcW w:w="1807" w:type="dxa"/>
            <w:noWrap/>
            <w:hideMark/>
          </w:tcPr>
          <w:p w14:paraId="019F9D94" w14:textId="77777777" w:rsidR="004A34A0" w:rsidRPr="006B0C6C" w:rsidRDefault="5E062084" w:rsidP="7D4F1B9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MEL document</w:t>
            </w:r>
          </w:p>
        </w:tc>
      </w:tr>
      <w:tr w:rsidR="004A34A0" w:rsidRPr="00367960" w14:paraId="1A905928" w14:textId="77777777" w:rsidTr="00871A72">
        <w:trPr>
          <w:trHeight w:val="29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653214E2" w14:textId="77777777" w:rsidR="004A34A0" w:rsidRPr="006B0C6C" w:rsidRDefault="5E062084" w:rsidP="7D4F1B9F">
            <w:pPr>
              <w:spacing w:after="0" w:line="240" w:lineRule="auto"/>
              <w:rPr>
                <w:rFonts w:ascii="Calibri" w:hAnsi="Calibri" w:cs="Calibri"/>
                <w:color w:val="000000"/>
                <w:sz w:val="22"/>
                <w:szCs w:val="22"/>
                <w:lang w:eastAsia="en-AU"/>
              </w:rPr>
            </w:pPr>
            <w:r w:rsidRPr="006B0C6C">
              <w:rPr>
                <w:rFonts w:ascii="Calibri" w:hAnsi="Calibri" w:cs="Calibri"/>
                <w:color w:val="000000" w:themeColor="text1"/>
                <w:szCs w:val="22"/>
                <w:lang w:eastAsia="en-AU"/>
              </w:rPr>
              <w:t>Delivery Support Proposals - s23 agreements for delivery support projects</w:t>
            </w:r>
          </w:p>
        </w:tc>
        <w:tc>
          <w:tcPr>
            <w:tcW w:w="3681" w:type="dxa"/>
            <w:noWrap/>
            <w:hideMark/>
          </w:tcPr>
          <w:p w14:paraId="4D581125"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s23s that were specific to each delivery support proposal</w:t>
            </w:r>
          </w:p>
        </w:tc>
        <w:tc>
          <w:tcPr>
            <w:tcW w:w="1807" w:type="dxa"/>
            <w:noWrap/>
            <w:hideMark/>
          </w:tcPr>
          <w:p w14:paraId="469699A0" w14:textId="77777777" w:rsidR="004A34A0" w:rsidRPr="006B0C6C" w:rsidRDefault="5E062084" w:rsidP="7D4F1B9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eastAsia="en-AU"/>
              </w:rPr>
            </w:pPr>
            <w:r w:rsidRPr="006B0C6C">
              <w:rPr>
                <w:rFonts w:ascii="Calibri" w:hAnsi="Calibri" w:cs="Calibri"/>
                <w:color w:val="000000" w:themeColor="text1"/>
                <w:szCs w:val="22"/>
                <w:lang w:eastAsia="en-AU"/>
              </w:rPr>
              <w:t>Implementation document</w:t>
            </w:r>
          </w:p>
        </w:tc>
      </w:tr>
      <w:tr w:rsidR="7D4F1B9F" w:rsidRPr="00367960" w14:paraId="1623F0EB" w14:textId="77777777" w:rsidTr="00871A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4CC7F07F" w14:textId="7311F2CB" w:rsidR="3856DE72" w:rsidRPr="006B0C6C" w:rsidRDefault="3856DE72" w:rsidP="7D4F1B9F">
            <w:pPr>
              <w:spacing w:line="240" w:lineRule="auto"/>
              <w:rPr>
                <w:rFonts w:ascii="Calibri" w:hAnsi="Calibri" w:cs="Calibri"/>
                <w:color w:val="000000" w:themeColor="text1"/>
                <w:sz w:val="22"/>
                <w:szCs w:val="22"/>
                <w:lang w:eastAsia="en-AU"/>
              </w:rPr>
            </w:pPr>
            <w:r w:rsidRPr="006B0C6C">
              <w:rPr>
                <w:rFonts w:ascii="Calibri" w:hAnsi="Calibri" w:cs="Calibri"/>
                <w:color w:val="000000" w:themeColor="text1"/>
                <w:szCs w:val="22"/>
                <w:lang w:eastAsia="en-AU"/>
              </w:rPr>
              <w:t>VAHSI GEDSI S</w:t>
            </w:r>
            <w:r w:rsidR="4547A3B6" w:rsidRPr="006B0C6C">
              <w:rPr>
                <w:rFonts w:ascii="Calibri" w:hAnsi="Calibri" w:cs="Calibri"/>
                <w:color w:val="000000" w:themeColor="text1"/>
                <w:szCs w:val="22"/>
                <w:lang w:eastAsia="en-AU"/>
              </w:rPr>
              <w:t>t</w:t>
            </w:r>
            <w:r w:rsidRPr="006B0C6C">
              <w:rPr>
                <w:rFonts w:ascii="Calibri" w:hAnsi="Calibri" w:cs="Calibri"/>
                <w:color w:val="000000" w:themeColor="text1"/>
                <w:szCs w:val="22"/>
                <w:lang w:eastAsia="en-AU"/>
              </w:rPr>
              <w:t>rategy</w:t>
            </w:r>
            <w:r w:rsidR="6C89F011" w:rsidRPr="006B0C6C">
              <w:rPr>
                <w:rFonts w:ascii="Calibri" w:hAnsi="Calibri" w:cs="Calibri"/>
                <w:color w:val="000000" w:themeColor="text1"/>
                <w:szCs w:val="22"/>
                <w:lang w:eastAsia="en-AU"/>
              </w:rPr>
              <w:t xml:space="preserve"> 2021</w:t>
            </w:r>
          </w:p>
        </w:tc>
        <w:tc>
          <w:tcPr>
            <w:tcW w:w="3681" w:type="dxa"/>
            <w:noWrap/>
            <w:hideMark/>
          </w:tcPr>
          <w:p w14:paraId="12826925" w14:textId="0E093620" w:rsidR="6C89F011" w:rsidRPr="006B0C6C" w:rsidRDefault="6C89F011" w:rsidP="7D4F1B9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lang w:eastAsia="en-AU"/>
              </w:rPr>
            </w:pPr>
            <w:r w:rsidRPr="006B0C6C">
              <w:rPr>
                <w:rFonts w:ascii="Calibri" w:hAnsi="Calibri" w:cs="Calibri"/>
                <w:color w:val="000000" w:themeColor="text1"/>
                <w:szCs w:val="22"/>
                <w:lang w:eastAsia="en-AU"/>
              </w:rPr>
              <w:t>Describes underpinning principles and key areas of focus for VAHSI</w:t>
            </w:r>
          </w:p>
        </w:tc>
        <w:tc>
          <w:tcPr>
            <w:tcW w:w="1807" w:type="dxa"/>
            <w:noWrap/>
            <w:hideMark/>
          </w:tcPr>
          <w:p w14:paraId="26CBECD9" w14:textId="2CFE8A7B" w:rsidR="6C89F011" w:rsidRPr="006B0C6C" w:rsidRDefault="6C89F011" w:rsidP="7D4F1B9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lang w:eastAsia="en-AU"/>
              </w:rPr>
            </w:pPr>
            <w:r w:rsidRPr="006B0C6C">
              <w:rPr>
                <w:rFonts w:ascii="Calibri" w:hAnsi="Calibri" w:cs="Calibri"/>
                <w:color w:val="000000" w:themeColor="text1"/>
                <w:szCs w:val="22"/>
                <w:lang w:eastAsia="en-AU"/>
              </w:rPr>
              <w:t xml:space="preserve">Guidance document </w:t>
            </w:r>
          </w:p>
        </w:tc>
      </w:tr>
      <w:tr w:rsidR="7D4F1B9F" w:rsidRPr="00367960" w14:paraId="66CA32F9" w14:textId="77777777" w:rsidTr="00871A72">
        <w:trPr>
          <w:trHeight w:val="30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D868382" w14:textId="192BC758" w:rsidR="3856DE72" w:rsidRPr="006B0C6C" w:rsidRDefault="3856DE72" w:rsidP="7D4F1B9F">
            <w:pPr>
              <w:spacing w:line="240" w:lineRule="auto"/>
              <w:rPr>
                <w:rFonts w:ascii="Calibri" w:hAnsi="Calibri" w:cs="Calibri"/>
                <w:color w:val="000000" w:themeColor="text1"/>
                <w:sz w:val="22"/>
                <w:szCs w:val="22"/>
                <w:lang w:eastAsia="en-AU"/>
              </w:rPr>
            </w:pPr>
            <w:r w:rsidRPr="006B0C6C">
              <w:rPr>
                <w:rFonts w:ascii="Calibri" w:hAnsi="Calibri" w:cs="Calibri"/>
                <w:color w:val="000000" w:themeColor="text1"/>
                <w:szCs w:val="22"/>
                <w:lang w:eastAsia="en-AU"/>
              </w:rPr>
              <w:t>Gendered approaches to vaccination campaigns 2021</w:t>
            </w:r>
          </w:p>
        </w:tc>
        <w:tc>
          <w:tcPr>
            <w:tcW w:w="3681" w:type="dxa"/>
            <w:noWrap/>
            <w:hideMark/>
          </w:tcPr>
          <w:p w14:paraId="3D26C893" w14:textId="3C22F60C" w:rsidR="3856DE72" w:rsidRPr="006B0C6C" w:rsidRDefault="3856DE72" w:rsidP="7D4F1B9F">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lang w:eastAsia="en-AU"/>
              </w:rPr>
            </w:pPr>
            <w:r w:rsidRPr="006B0C6C">
              <w:rPr>
                <w:rFonts w:ascii="Calibri" w:hAnsi="Calibri" w:cs="Calibri"/>
                <w:color w:val="000000" w:themeColor="text1"/>
                <w:szCs w:val="22"/>
                <w:lang w:eastAsia="en-AU"/>
              </w:rPr>
              <w:t>SHS background paper to inform VAHSI</w:t>
            </w:r>
          </w:p>
        </w:tc>
        <w:tc>
          <w:tcPr>
            <w:tcW w:w="1807" w:type="dxa"/>
            <w:noWrap/>
            <w:hideMark/>
          </w:tcPr>
          <w:p w14:paraId="6172105F" w14:textId="44034D37" w:rsidR="3856DE72" w:rsidRPr="006B0C6C" w:rsidRDefault="3856DE72" w:rsidP="7D4F1B9F">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lang w:eastAsia="en-AU"/>
              </w:rPr>
            </w:pPr>
            <w:r w:rsidRPr="006B0C6C">
              <w:rPr>
                <w:rFonts w:ascii="Calibri" w:hAnsi="Calibri" w:cs="Calibri"/>
                <w:color w:val="000000" w:themeColor="text1"/>
                <w:szCs w:val="22"/>
                <w:lang w:eastAsia="en-AU"/>
              </w:rPr>
              <w:t>Literature review</w:t>
            </w:r>
          </w:p>
        </w:tc>
      </w:tr>
      <w:tr w:rsidR="7D4F1B9F" w:rsidRPr="00367960" w14:paraId="2DC264E9" w14:textId="77777777" w:rsidTr="00871A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65CAF138" w14:textId="0045CFDD" w:rsidR="3856DE72" w:rsidRPr="006B0C6C" w:rsidRDefault="3856DE72" w:rsidP="7D4F1B9F">
            <w:pPr>
              <w:spacing w:line="240" w:lineRule="auto"/>
              <w:rPr>
                <w:rFonts w:ascii="Calibri" w:hAnsi="Calibri" w:cs="Calibri"/>
                <w:color w:val="000000" w:themeColor="text1"/>
                <w:sz w:val="22"/>
                <w:szCs w:val="22"/>
                <w:lang w:eastAsia="en-AU"/>
              </w:rPr>
            </w:pPr>
            <w:r w:rsidRPr="006B0C6C">
              <w:rPr>
                <w:rFonts w:ascii="Calibri" w:hAnsi="Calibri" w:cs="Calibri"/>
                <w:color w:val="000000" w:themeColor="text1"/>
                <w:szCs w:val="22"/>
                <w:lang w:eastAsia="en-AU"/>
              </w:rPr>
              <w:t>Monitoring Access to vaccination programs 2022</w:t>
            </w:r>
          </w:p>
        </w:tc>
        <w:tc>
          <w:tcPr>
            <w:tcW w:w="3681" w:type="dxa"/>
            <w:noWrap/>
            <w:hideMark/>
          </w:tcPr>
          <w:p w14:paraId="7AC42813" w14:textId="7EAEB04B" w:rsidR="11C4076F" w:rsidRPr="006B0C6C" w:rsidRDefault="11C4076F" w:rsidP="7D4F1B9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lang w:eastAsia="en-AU"/>
              </w:rPr>
            </w:pPr>
            <w:r w:rsidRPr="006B0C6C">
              <w:rPr>
                <w:rFonts w:ascii="Calibri" w:hAnsi="Calibri" w:cs="Calibri"/>
                <w:color w:val="000000" w:themeColor="text1"/>
                <w:szCs w:val="22"/>
                <w:lang w:eastAsia="en-AU"/>
              </w:rPr>
              <w:t>Scoping paper commissioned by CHS</w:t>
            </w:r>
            <w:r w:rsidR="170D5B24" w:rsidRPr="006B0C6C">
              <w:rPr>
                <w:rFonts w:ascii="Calibri" w:hAnsi="Calibri" w:cs="Calibri"/>
                <w:color w:val="000000" w:themeColor="text1"/>
                <w:szCs w:val="22"/>
                <w:lang w:eastAsia="en-AU"/>
              </w:rPr>
              <w:t xml:space="preserve"> – interview DPOs in 3 countries regardin</w:t>
            </w:r>
            <w:r w:rsidR="202BF027" w:rsidRPr="006B0C6C">
              <w:rPr>
                <w:rFonts w:ascii="Calibri" w:hAnsi="Calibri" w:cs="Calibri"/>
                <w:color w:val="000000" w:themeColor="text1"/>
                <w:szCs w:val="22"/>
                <w:lang w:eastAsia="en-AU"/>
              </w:rPr>
              <w:t>g</w:t>
            </w:r>
            <w:r w:rsidR="170D5B24" w:rsidRPr="006B0C6C">
              <w:rPr>
                <w:rFonts w:ascii="Calibri" w:hAnsi="Calibri" w:cs="Calibri"/>
                <w:color w:val="000000" w:themeColor="text1"/>
                <w:szCs w:val="22"/>
                <w:lang w:eastAsia="en-AU"/>
              </w:rPr>
              <w:t xml:space="preserve"> barriers to access</w:t>
            </w:r>
          </w:p>
        </w:tc>
        <w:tc>
          <w:tcPr>
            <w:tcW w:w="1807" w:type="dxa"/>
            <w:noWrap/>
            <w:hideMark/>
          </w:tcPr>
          <w:p w14:paraId="768C4C3F" w14:textId="520C10D1" w:rsidR="170D5B24" w:rsidRPr="006B0C6C" w:rsidRDefault="170D5B24" w:rsidP="7D4F1B9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lang w:eastAsia="en-AU"/>
              </w:rPr>
            </w:pPr>
            <w:r w:rsidRPr="006B0C6C">
              <w:rPr>
                <w:rFonts w:ascii="Calibri" w:hAnsi="Calibri" w:cs="Calibri"/>
                <w:color w:val="000000" w:themeColor="text1"/>
                <w:szCs w:val="22"/>
                <w:lang w:eastAsia="en-AU"/>
              </w:rPr>
              <w:t>Discussion paper</w:t>
            </w:r>
          </w:p>
        </w:tc>
      </w:tr>
      <w:tr w:rsidR="7D4F1B9F" w:rsidRPr="00367960" w14:paraId="73838CAA" w14:textId="77777777" w:rsidTr="00871A72">
        <w:trPr>
          <w:trHeight w:val="300"/>
        </w:trPr>
        <w:tc>
          <w:tcPr>
            <w:cnfStyle w:val="001000000000" w:firstRow="0" w:lastRow="0" w:firstColumn="1" w:lastColumn="0" w:oddVBand="0" w:evenVBand="0" w:oddHBand="0" w:evenHBand="0" w:firstRowFirstColumn="0" w:firstRowLastColumn="0" w:lastRowFirstColumn="0" w:lastRowLastColumn="0"/>
            <w:tcW w:w="2786" w:type="dxa"/>
            <w:noWrap/>
            <w:hideMark/>
          </w:tcPr>
          <w:p w14:paraId="309F3ED4" w14:textId="3FC7B72B" w:rsidR="7D4F1B9F" w:rsidRPr="006B0C6C" w:rsidRDefault="00367960" w:rsidP="7D4F1B9F">
            <w:pPr>
              <w:spacing w:line="240" w:lineRule="auto"/>
              <w:rPr>
                <w:rFonts w:ascii="Calibri" w:hAnsi="Calibri" w:cs="Calibri"/>
                <w:color w:val="000000" w:themeColor="text1"/>
                <w:sz w:val="22"/>
                <w:szCs w:val="22"/>
                <w:lang w:eastAsia="en-AU"/>
              </w:rPr>
            </w:pPr>
            <w:r w:rsidRPr="00477F8F">
              <w:rPr>
                <w:szCs w:val="22"/>
              </w:rPr>
              <w:t>Gender, Disability and Social Inclusion Analysis Report 2023</w:t>
            </w:r>
          </w:p>
        </w:tc>
        <w:tc>
          <w:tcPr>
            <w:tcW w:w="3681" w:type="dxa"/>
            <w:noWrap/>
            <w:hideMark/>
          </w:tcPr>
          <w:p w14:paraId="7C0A15F6" w14:textId="71A01528" w:rsidR="7D4F1B9F" w:rsidRPr="006B0C6C" w:rsidRDefault="00367960" w:rsidP="7D4F1B9F">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lang w:eastAsia="en-AU"/>
              </w:rPr>
            </w:pPr>
            <w:r w:rsidRPr="00367960">
              <w:rPr>
                <w:rFonts w:ascii="Calibri" w:hAnsi="Calibri" w:cs="Calibri"/>
                <w:color w:val="000000" w:themeColor="text1"/>
                <w:szCs w:val="22"/>
                <w:lang w:eastAsia="en-AU"/>
              </w:rPr>
              <w:t xml:space="preserve">GEDSI review of </w:t>
            </w:r>
            <w:r w:rsidRPr="00977F83">
              <w:rPr>
                <w:szCs w:val="22"/>
              </w:rPr>
              <w:t>ARIA-Rid</w:t>
            </w:r>
            <w:r w:rsidRPr="00913943">
              <w:rPr>
                <w:szCs w:val="22"/>
              </w:rPr>
              <w:t>e and AETAP-PPI</w:t>
            </w:r>
          </w:p>
        </w:tc>
        <w:tc>
          <w:tcPr>
            <w:tcW w:w="1807" w:type="dxa"/>
            <w:noWrap/>
            <w:hideMark/>
          </w:tcPr>
          <w:p w14:paraId="09E7BC1E" w14:textId="3DBAF3F0" w:rsidR="7D4F1B9F" w:rsidRPr="006B0C6C" w:rsidRDefault="00367960" w:rsidP="7D4F1B9F">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lang w:eastAsia="en-AU"/>
              </w:rPr>
            </w:pPr>
            <w:r w:rsidRPr="00367960">
              <w:rPr>
                <w:rFonts w:ascii="Calibri" w:hAnsi="Calibri" w:cs="Calibri"/>
                <w:color w:val="000000" w:themeColor="text1"/>
                <w:szCs w:val="22"/>
                <w:lang w:eastAsia="en-AU"/>
              </w:rPr>
              <w:t>Review paper</w:t>
            </w:r>
          </w:p>
        </w:tc>
      </w:tr>
      <w:tr w:rsidR="00367960" w:rsidRPr="00367960" w14:paraId="6A5DCDA2" w14:textId="77777777" w:rsidTr="00871A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6" w:type="dxa"/>
            <w:noWrap/>
          </w:tcPr>
          <w:p w14:paraId="164A1E0E" w14:textId="1A243D1F" w:rsidR="00367960" w:rsidRPr="006B0C6C" w:rsidRDefault="00367960" w:rsidP="7D4F1B9F">
            <w:pPr>
              <w:spacing w:line="240" w:lineRule="auto"/>
              <w:rPr>
                <w:sz w:val="22"/>
                <w:szCs w:val="22"/>
              </w:rPr>
            </w:pPr>
            <w:r w:rsidRPr="00477F8F">
              <w:rPr>
                <w:szCs w:val="22"/>
              </w:rPr>
              <w:t>Evaluating a decade of Australia’s efforts to combat pandemics and emerging infectious diseases in Asia and the Pacific 2006-2015</w:t>
            </w:r>
          </w:p>
        </w:tc>
        <w:tc>
          <w:tcPr>
            <w:tcW w:w="3681" w:type="dxa"/>
            <w:noWrap/>
          </w:tcPr>
          <w:p w14:paraId="346FAA8C" w14:textId="3CD6B296" w:rsidR="00367960" w:rsidRPr="00913943" w:rsidRDefault="00367960" w:rsidP="7D4F1B9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lang w:eastAsia="en-AU"/>
              </w:rPr>
            </w:pPr>
            <w:r w:rsidRPr="00367960">
              <w:rPr>
                <w:szCs w:val="22"/>
              </w:rPr>
              <w:t>Office of Development Effectiveness</w:t>
            </w:r>
            <w:r w:rsidRPr="00977F83">
              <w:rPr>
                <w:szCs w:val="22"/>
              </w:rPr>
              <w:t xml:space="preserve"> (ODE</w:t>
            </w:r>
            <w:r w:rsidRPr="00913943">
              <w:rPr>
                <w:szCs w:val="22"/>
              </w:rPr>
              <w:t>) Evaluation</w:t>
            </w:r>
          </w:p>
        </w:tc>
        <w:tc>
          <w:tcPr>
            <w:tcW w:w="1807" w:type="dxa"/>
            <w:noWrap/>
          </w:tcPr>
          <w:p w14:paraId="3AEE7DD3" w14:textId="1362C73E" w:rsidR="00367960" w:rsidRPr="00367960" w:rsidRDefault="00367960" w:rsidP="7D4F1B9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lang w:eastAsia="en-AU"/>
              </w:rPr>
            </w:pPr>
            <w:r w:rsidRPr="009B7B0A">
              <w:rPr>
                <w:rFonts w:ascii="Calibri" w:hAnsi="Calibri" w:cs="Calibri"/>
                <w:color w:val="000000" w:themeColor="text1"/>
                <w:szCs w:val="22"/>
                <w:lang w:eastAsia="en-AU"/>
              </w:rPr>
              <w:t>Reference document</w:t>
            </w:r>
          </w:p>
        </w:tc>
      </w:tr>
    </w:tbl>
    <w:p w14:paraId="2EB918B1" w14:textId="77777777" w:rsidR="004A34A0" w:rsidRPr="006B0C6C" w:rsidRDefault="004A34A0" w:rsidP="004A34A0">
      <w:pPr>
        <w:rPr>
          <w:szCs w:val="22"/>
        </w:rPr>
      </w:pPr>
    </w:p>
    <w:p w14:paraId="73EC117B" w14:textId="0961D548" w:rsidR="004F00C3" w:rsidRPr="006B0C6C" w:rsidRDefault="004F00C3">
      <w:pPr>
        <w:spacing w:after="160" w:line="259" w:lineRule="auto"/>
        <w:rPr>
          <w:szCs w:val="22"/>
        </w:rPr>
      </w:pPr>
      <w:r w:rsidRPr="006B0C6C">
        <w:rPr>
          <w:szCs w:val="22"/>
        </w:rPr>
        <w:br w:type="page"/>
      </w:r>
    </w:p>
    <w:p w14:paraId="54B9EB01" w14:textId="14C8E308" w:rsidR="1E1FFBB8" w:rsidRPr="006B0C6C" w:rsidRDefault="2E22195E" w:rsidP="00644234">
      <w:pPr>
        <w:pStyle w:val="Heading1SHS"/>
        <w:numPr>
          <w:ilvl w:val="0"/>
          <w:numId w:val="0"/>
        </w:numPr>
        <w:ind w:left="360" w:hanging="360"/>
      </w:pPr>
      <w:bookmarkStart w:id="265" w:name="_Toc200617311"/>
      <w:r w:rsidRPr="006B0C6C">
        <w:t>Annex 2: List of key informants interviewed</w:t>
      </w:r>
      <w:bookmarkEnd w:id="265"/>
      <w:r w:rsidRPr="006B0C6C">
        <w:t xml:space="preserve"> </w:t>
      </w:r>
    </w:p>
    <w:tbl>
      <w:tblPr>
        <w:tblStyle w:val="TableGrid"/>
        <w:tblW w:w="9126" w:type="dxa"/>
        <w:tblLayout w:type="fixed"/>
        <w:tblLook w:val="04A0" w:firstRow="1" w:lastRow="0" w:firstColumn="1" w:lastColumn="0" w:noHBand="0" w:noVBand="1"/>
      </w:tblPr>
      <w:tblGrid>
        <w:gridCol w:w="3818"/>
        <w:gridCol w:w="5308"/>
      </w:tblGrid>
      <w:tr w:rsidR="1E1FFBB8" w:rsidRPr="00532C26" w14:paraId="30AE8F2A" w14:textId="77777777" w:rsidTr="00603B68">
        <w:trPr>
          <w:trHeight w:val="300"/>
          <w:tblHeader/>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0F84BA0F" w14:textId="70716535" w:rsidR="1E1FFBB8" w:rsidRPr="005707CE" w:rsidRDefault="1E1FFBB8" w:rsidP="1E1FFBB8">
            <w:pPr>
              <w:spacing w:after="0"/>
              <w:jc w:val="center"/>
              <w:rPr>
                <w:b/>
                <w:bCs/>
                <w:szCs w:val="22"/>
              </w:rPr>
            </w:pPr>
            <w:r w:rsidRPr="005707CE">
              <w:rPr>
                <w:rFonts w:ascii="Calibri" w:eastAsia="Calibri" w:hAnsi="Calibri" w:cs="Calibri"/>
                <w:b/>
                <w:bCs/>
                <w:szCs w:val="22"/>
              </w:rPr>
              <w:t>Key informant interview</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6C70E17" w14:textId="7473428F" w:rsidR="1E1FFBB8" w:rsidRPr="005707CE" w:rsidRDefault="56AB0FEF" w:rsidP="50C218EC">
            <w:pPr>
              <w:spacing w:after="0"/>
              <w:jc w:val="center"/>
              <w:rPr>
                <w:rFonts w:ascii="Calibri" w:eastAsia="Calibri" w:hAnsi="Calibri" w:cs="Calibri"/>
                <w:b/>
                <w:bCs/>
                <w:szCs w:val="22"/>
              </w:rPr>
            </w:pPr>
            <w:r w:rsidRPr="005707CE">
              <w:rPr>
                <w:rFonts w:ascii="Calibri" w:eastAsia="Calibri" w:hAnsi="Calibri" w:cs="Calibri"/>
                <w:b/>
                <w:bCs/>
                <w:szCs w:val="22"/>
              </w:rPr>
              <w:t>Organi</w:t>
            </w:r>
            <w:r w:rsidR="00367960" w:rsidRPr="005707CE">
              <w:rPr>
                <w:rFonts w:ascii="Calibri" w:eastAsia="Calibri" w:hAnsi="Calibri" w:cs="Calibri"/>
                <w:b/>
                <w:bCs/>
                <w:szCs w:val="22"/>
              </w:rPr>
              <w:t>s</w:t>
            </w:r>
            <w:r w:rsidRPr="005707CE">
              <w:rPr>
                <w:rFonts w:ascii="Calibri" w:eastAsia="Calibri" w:hAnsi="Calibri" w:cs="Calibri"/>
                <w:b/>
                <w:bCs/>
                <w:szCs w:val="22"/>
              </w:rPr>
              <w:t>ation</w:t>
            </w:r>
          </w:p>
        </w:tc>
      </w:tr>
      <w:tr w:rsidR="1E1FFBB8" w:rsidRPr="005707CE" w14:paraId="02DF6C5D"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B739F62" w14:textId="1DE57FE6" w:rsidR="1E1FFBB8" w:rsidRPr="005707CE" w:rsidRDefault="1E1FFBB8" w:rsidP="1E1FFBB8">
            <w:pPr>
              <w:spacing w:before="240" w:after="0"/>
              <w:rPr>
                <w:szCs w:val="22"/>
              </w:rPr>
            </w:pPr>
            <w:r w:rsidRPr="005707CE">
              <w:rPr>
                <w:szCs w:val="22"/>
              </w:rPr>
              <w:t>Ms Sarah Wadley</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06E9911" w14:textId="16AA5F2E" w:rsidR="1E1FFBB8" w:rsidRPr="005707CE" w:rsidRDefault="11B607FA" w:rsidP="1E1FFBB8">
            <w:pPr>
              <w:spacing w:before="240" w:after="0"/>
              <w:rPr>
                <w:szCs w:val="22"/>
              </w:rPr>
            </w:pPr>
            <w:r w:rsidRPr="005707CE">
              <w:rPr>
                <w:szCs w:val="22"/>
              </w:rPr>
              <w:t xml:space="preserve"> </w:t>
            </w:r>
            <w:r w:rsidR="32B127F9" w:rsidRPr="005707CE">
              <w:rPr>
                <w:szCs w:val="22"/>
              </w:rPr>
              <w:t>DFAT</w:t>
            </w:r>
            <w:r w:rsidR="005707CE">
              <w:rPr>
                <w:szCs w:val="22"/>
              </w:rPr>
              <w:t xml:space="preserve"> - Cambodia</w:t>
            </w:r>
          </w:p>
        </w:tc>
      </w:tr>
      <w:tr w:rsidR="1E1FFBB8" w:rsidRPr="005707CE" w14:paraId="17EB4B9C"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CB78BC5" w14:textId="410A0731" w:rsidR="1E1FFBB8" w:rsidRPr="005707CE" w:rsidRDefault="1E1FFBB8" w:rsidP="1E1FFBB8">
            <w:pPr>
              <w:spacing w:before="240" w:after="0"/>
              <w:rPr>
                <w:szCs w:val="22"/>
              </w:rPr>
            </w:pPr>
            <w:r w:rsidRPr="005707CE">
              <w:rPr>
                <w:szCs w:val="22"/>
              </w:rPr>
              <w:t>Ms Rochelle White</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28406B5" w14:textId="2171C810" w:rsidR="1E1FFBB8" w:rsidRPr="005707CE" w:rsidRDefault="3DEB8600" w:rsidP="50C218EC">
            <w:pPr>
              <w:spacing w:before="240" w:after="0"/>
              <w:rPr>
                <w:szCs w:val="22"/>
              </w:rPr>
            </w:pPr>
            <w:r w:rsidRPr="005707CE">
              <w:rPr>
                <w:szCs w:val="22"/>
              </w:rPr>
              <w:t>DFAT</w:t>
            </w:r>
            <w:r w:rsidR="005707CE">
              <w:rPr>
                <w:szCs w:val="22"/>
              </w:rPr>
              <w:t xml:space="preserve"> - Fiji</w:t>
            </w:r>
          </w:p>
        </w:tc>
      </w:tr>
      <w:tr w:rsidR="1E1FFBB8" w:rsidRPr="005707CE" w14:paraId="40883197"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52D92C60" w14:textId="7638F796" w:rsidR="1E1FFBB8" w:rsidRPr="005707CE" w:rsidRDefault="1E1FFBB8" w:rsidP="1E1FFBB8">
            <w:pPr>
              <w:spacing w:before="240" w:after="0"/>
              <w:rPr>
                <w:szCs w:val="22"/>
              </w:rPr>
            </w:pPr>
            <w:r w:rsidRPr="005707CE">
              <w:rPr>
                <w:szCs w:val="22"/>
              </w:rPr>
              <w:t>Mr John Leigh</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C4FCD60" w14:textId="7DD155CF" w:rsidR="1E1FFBB8" w:rsidRPr="005707CE" w:rsidRDefault="1E1FFBB8" w:rsidP="1E1FFBB8">
            <w:pPr>
              <w:spacing w:before="240" w:after="0"/>
              <w:rPr>
                <w:szCs w:val="22"/>
              </w:rPr>
            </w:pPr>
            <w:r w:rsidRPr="005707CE">
              <w:rPr>
                <w:color w:val="000000" w:themeColor="text1"/>
                <w:szCs w:val="22"/>
              </w:rPr>
              <w:t>Australia Indonesia Health Security Partnership (AIHSP)</w:t>
            </w:r>
            <w:r w:rsidR="005707CE">
              <w:rPr>
                <w:color w:val="000000" w:themeColor="text1"/>
                <w:szCs w:val="22"/>
              </w:rPr>
              <w:t xml:space="preserve"> - Indonesia</w:t>
            </w:r>
          </w:p>
        </w:tc>
      </w:tr>
      <w:tr w:rsidR="1E1FFBB8" w:rsidRPr="005707CE" w14:paraId="03FFA77F"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79074A6" w14:textId="1D1C0ADA" w:rsidR="1E1FFBB8" w:rsidRPr="005707CE" w:rsidRDefault="1E1FFBB8" w:rsidP="1E1FFBB8">
            <w:pPr>
              <w:spacing w:before="240" w:after="0"/>
              <w:rPr>
                <w:szCs w:val="22"/>
              </w:rPr>
            </w:pPr>
            <w:r w:rsidRPr="005707CE">
              <w:rPr>
                <w:szCs w:val="22"/>
              </w:rPr>
              <w:t>Dr Yulianto Kurniawan</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C166006" w14:textId="04565EC3" w:rsidR="1E1FFBB8" w:rsidRPr="005707CE" w:rsidRDefault="1E1FFBB8" w:rsidP="1E1FFBB8">
            <w:pPr>
              <w:spacing w:before="240" w:after="0"/>
              <w:rPr>
                <w:szCs w:val="22"/>
              </w:rPr>
            </w:pPr>
            <w:r w:rsidRPr="005707CE">
              <w:rPr>
                <w:color w:val="000000" w:themeColor="text1"/>
                <w:szCs w:val="22"/>
              </w:rPr>
              <w:t>AIHSP</w:t>
            </w:r>
            <w:r w:rsidR="005707CE">
              <w:rPr>
                <w:color w:val="000000" w:themeColor="text1"/>
                <w:szCs w:val="22"/>
              </w:rPr>
              <w:t xml:space="preserve"> - Indonesia</w:t>
            </w:r>
          </w:p>
        </w:tc>
      </w:tr>
      <w:tr w:rsidR="1E1FFBB8" w:rsidRPr="005707CE" w14:paraId="57B35D29"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0A0DAFCD" w14:textId="20335415" w:rsidR="1E1FFBB8" w:rsidRPr="005707CE" w:rsidRDefault="00015643" w:rsidP="1E1FFBB8">
            <w:pPr>
              <w:spacing w:before="240" w:after="0"/>
            </w:pPr>
            <w:r w:rsidRPr="005707CE">
              <w:t>Ministry of Health (by questionnaire)</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7D65ADE" w14:textId="48F63EFA" w:rsidR="1E1FFBB8" w:rsidRPr="005707CE" w:rsidRDefault="00015643" w:rsidP="1E1FFBB8">
            <w:pPr>
              <w:spacing w:before="240" w:after="0"/>
            </w:pPr>
            <w:r w:rsidRPr="005707CE">
              <w:t>MOH</w:t>
            </w:r>
            <w:r w:rsidR="005707CE">
              <w:t xml:space="preserve"> - Indonesia</w:t>
            </w:r>
          </w:p>
        </w:tc>
      </w:tr>
      <w:tr w:rsidR="1E1FFBB8" w:rsidRPr="005707CE" w14:paraId="579B6108"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A6BAAED" w14:textId="56A017CF" w:rsidR="1E1FFBB8" w:rsidRPr="005707CE" w:rsidRDefault="43829D2C" w:rsidP="5EB2BCB1">
            <w:pPr>
              <w:spacing w:before="240" w:after="0"/>
              <w:rPr>
                <w:szCs w:val="22"/>
              </w:rPr>
            </w:pPr>
            <w:r w:rsidRPr="005707CE">
              <w:rPr>
                <w:szCs w:val="22"/>
              </w:rPr>
              <w:t xml:space="preserve">Ms </w:t>
            </w:r>
            <w:r w:rsidR="4D1FC0FB" w:rsidRPr="005707CE">
              <w:rPr>
                <w:szCs w:val="22"/>
              </w:rPr>
              <w:t xml:space="preserve">Rizky </w:t>
            </w:r>
            <w:proofErr w:type="spellStart"/>
            <w:r w:rsidR="4D1FC0FB" w:rsidRPr="005707CE">
              <w:rPr>
                <w:szCs w:val="22"/>
              </w:rPr>
              <w:t>Syafitri</w:t>
            </w:r>
            <w:proofErr w:type="spellEnd"/>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5841B874" w14:textId="4654D295" w:rsidR="1E1FFBB8" w:rsidRPr="005707CE" w:rsidRDefault="1E1FFBB8" w:rsidP="1E1FFBB8">
            <w:pPr>
              <w:spacing w:before="240" w:after="0"/>
              <w:rPr>
                <w:szCs w:val="22"/>
              </w:rPr>
            </w:pPr>
            <w:r w:rsidRPr="005707CE">
              <w:rPr>
                <w:szCs w:val="22"/>
              </w:rPr>
              <w:t>UNICEF</w:t>
            </w:r>
            <w:r w:rsidR="005707CE">
              <w:rPr>
                <w:szCs w:val="22"/>
              </w:rPr>
              <w:t xml:space="preserve"> - Indonesia</w:t>
            </w:r>
          </w:p>
        </w:tc>
      </w:tr>
      <w:tr w:rsidR="1E1FFBB8" w:rsidRPr="005707CE" w14:paraId="7057E0E1"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80D15CD" w14:textId="6DF8DDEA" w:rsidR="1E1FFBB8" w:rsidRPr="005707CE" w:rsidRDefault="1E1FFBB8" w:rsidP="1E1FFBB8">
            <w:pPr>
              <w:spacing w:before="240" w:after="0"/>
              <w:rPr>
                <w:szCs w:val="22"/>
              </w:rPr>
            </w:pPr>
            <w:r w:rsidRPr="005707CE">
              <w:rPr>
                <w:szCs w:val="22"/>
              </w:rPr>
              <w:t xml:space="preserve">Ms Inga Williams &amp; Mr Rodri </w:t>
            </w:r>
            <w:proofErr w:type="spellStart"/>
            <w:r w:rsidRPr="005707CE">
              <w:rPr>
                <w:szCs w:val="22"/>
              </w:rPr>
              <w:t>Tanoto</w:t>
            </w:r>
            <w:proofErr w:type="spellEnd"/>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00D7B68" w14:textId="5D1068D8" w:rsidR="1E1FFBB8" w:rsidRPr="005707CE" w:rsidRDefault="1E1FFBB8" w:rsidP="1E1FFBB8">
            <w:pPr>
              <w:spacing w:before="240" w:after="0"/>
              <w:rPr>
                <w:szCs w:val="22"/>
              </w:rPr>
            </w:pPr>
            <w:r w:rsidRPr="005707CE">
              <w:rPr>
                <w:szCs w:val="22"/>
              </w:rPr>
              <w:t>WHO</w:t>
            </w:r>
            <w:r w:rsidR="005707CE">
              <w:rPr>
                <w:szCs w:val="22"/>
              </w:rPr>
              <w:t xml:space="preserve"> - Indonesia</w:t>
            </w:r>
          </w:p>
        </w:tc>
      </w:tr>
      <w:tr w:rsidR="1E1FFBB8" w:rsidRPr="005707CE" w14:paraId="500104EF"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BDBB7AA" w14:textId="53C7116C" w:rsidR="1E1FFBB8" w:rsidRPr="005707CE" w:rsidRDefault="1E1FFBB8" w:rsidP="1E1FFBB8">
            <w:pPr>
              <w:spacing w:before="240" w:after="0"/>
              <w:rPr>
                <w:szCs w:val="22"/>
              </w:rPr>
            </w:pPr>
            <w:r w:rsidRPr="005707CE">
              <w:rPr>
                <w:szCs w:val="22"/>
              </w:rPr>
              <w:t>Mr Daniel Woods</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7D5DF62" w14:textId="4157FD08" w:rsidR="1E1FFBB8" w:rsidRPr="005707CE" w:rsidRDefault="1E1FFBB8" w:rsidP="1E1FFBB8">
            <w:pPr>
              <w:spacing w:before="240" w:after="0"/>
              <w:rPr>
                <w:szCs w:val="22"/>
              </w:rPr>
            </w:pPr>
            <w:r w:rsidRPr="005707CE">
              <w:rPr>
                <w:szCs w:val="22"/>
              </w:rPr>
              <w:t>DFAT</w:t>
            </w:r>
            <w:r w:rsidR="005707CE">
              <w:rPr>
                <w:szCs w:val="22"/>
              </w:rPr>
              <w:t xml:space="preserve"> - Indonesia</w:t>
            </w:r>
          </w:p>
        </w:tc>
      </w:tr>
      <w:tr w:rsidR="1E1FFBB8" w:rsidRPr="005707CE" w14:paraId="6BA2F298"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7173FA5" w14:textId="0AA64242" w:rsidR="1E1FFBB8" w:rsidRPr="005707CE" w:rsidRDefault="1E1FFBB8" w:rsidP="1E1FFBB8">
            <w:pPr>
              <w:spacing w:before="240" w:after="0"/>
              <w:rPr>
                <w:szCs w:val="22"/>
              </w:rPr>
            </w:pPr>
            <w:r w:rsidRPr="005707CE">
              <w:rPr>
                <w:szCs w:val="22"/>
              </w:rPr>
              <w:t>Ms Katie Snowball</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3F912EF" w14:textId="38900474" w:rsidR="1E1FFBB8" w:rsidRPr="005707CE" w:rsidRDefault="1E1FFBB8" w:rsidP="1E1FFBB8">
            <w:pPr>
              <w:spacing w:before="240" w:after="0"/>
              <w:rPr>
                <w:szCs w:val="22"/>
              </w:rPr>
            </w:pPr>
            <w:r w:rsidRPr="005707CE">
              <w:rPr>
                <w:szCs w:val="22"/>
              </w:rPr>
              <w:t>DFAT</w:t>
            </w:r>
            <w:r w:rsidR="005707CE">
              <w:rPr>
                <w:szCs w:val="22"/>
              </w:rPr>
              <w:t xml:space="preserve"> - Indonesia</w:t>
            </w:r>
          </w:p>
        </w:tc>
      </w:tr>
      <w:tr w:rsidR="1E1FFBB8" w:rsidRPr="005707CE" w14:paraId="0C120970"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D00A722" w14:textId="4310BE5D" w:rsidR="1E1FFBB8" w:rsidRPr="005707CE" w:rsidRDefault="1E1FFBB8" w:rsidP="1E1FFBB8">
            <w:pPr>
              <w:spacing w:before="240" w:after="0"/>
              <w:rPr>
                <w:szCs w:val="22"/>
              </w:rPr>
            </w:pPr>
            <w:r w:rsidRPr="005707CE">
              <w:rPr>
                <w:szCs w:val="22"/>
              </w:rPr>
              <w:t>Ming Toh</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7FEB173F" w14:textId="666F836D" w:rsidR="1E1FFBB8" w:rsidRPr="005707CE" w:rsidRDefault="1E1FFBB8" w:rsidP="1E1FFBB8">
            <w:pPr>
              <w:spacing w:before="240" w:after="0"/>
              <w:rPr>
                <w:szCs w:val="22"/>
              </w:rPr>
            </w:pPr>
            <w:r w:rsidRPr="005707CE">
              <w:rPr>
                <w:szCs w:val="22"/>
              </w:rPr>
              <w:t>DFAT</w:t>
            </w:r>
            <w:r w:rsidR="005707CE">
              <w:rPr>
                <w:szCs w:val="22"/>
              </w:rPr>
              <w:t xml:space="preserve"> - Indonesia</w:t>
            </w:r>
          </w:p>
        </w:tc>
      </w:tr>
      <w:tr w:rsidR="1E1FFBB8" w:rsidRPr="005707CE" w14:paraId="2025858F"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AB205BB" w14:textId="4F10644B" w:rsidR="1E1FFBB8" w:rsidRPr="005707CE" w:rsidRDefault="1E1FFBB8" w:rsidP="1E1FFBB8">
            <w:pPr>
              <w:spacing w:before="240" w:after="0"/>
              <w:rPr>
                <w:szCs w:val="22"/>
              </w:rPr>
            </w:pPr>
            <w:r w:rsidRPr="005707CE">
              <w:rPr>
                <w:szCs w:val="22"/>
              </w:rPr>
              <w:t>Ramot Aritonang</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524F67A3" w14:textId="52099972" w:rsidR="1E1FFBB8" w:rsidRPr="005707CE" w:rsidRDefault="1E1FFBB8" w:rsidP="1E1FFBB8">
            <w:pPr>
              <w:spacing w:before="240" w:after="0"/>
              <w:rPr>
                <w:szCs w:val="22"/>
              </w:rPr>
            </w:pPr>
            <w:r w:rsidRPr="005707CE">
              <w:rPr>
                <w:szCs w:val="22"/>
              </w:rPr>
              <w:t>DFAT</w:t>
            </w:r>
            <w:r w:rsidR="005707CE">
              <w:rPr>
                <w:szCs w:val="22"/>
              </w:rPr>
              <w:t xml:space="preserve"> - Indonesia</w:t>
            </w:r>
          </w:p>
        </w:tc>
      </w:tr>
      <w:tr w:rsidR="1E1FFBB8" w:rsidRPr="005707CE" w14:paraId="44CD79D2"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75BFA15" w14:textId="61C01050" w:rsidR="1E1FFBB8" w:rsidRPr="005707CE" w:rsidRDefault="1E1FFBB8" w:rsidP="1E1FFBB8">
            <w:pPr>
              <w:spacing w:before="240" w:after="0"/>
              <w:rPr>
                <w:szCs w:val="22"/>
              </w:rPr>
            </w:pPr>
            <w:r w:rsidRPr="005707CE">
              <w:rPr>
                <w:szCs w:val="22"/>
              </w:rPr>
              <w:t>Ms Kirsten Bishop</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731767A5" w14:textId="0FA903DD" w:rsidR="1E1FFBB8" w:rsidRPr="005707CE" w:rsidRDefault="1E1FFBB8" w:rsidP="1E1FFBB8">
            <w:pPr>
              <w:spacing w:before="240" w:after="0"/>
              <w:rPr>
                <w:szCs w:val="22"/>
              </w:rPr>
            </w:pPr>
            <w:r w:rsidRPr="005707CE">
              <w:rPr>
                <w:szCs w:val="22"/>
              </w:rPr>
              <w:t>DFAT</w:t>
            </w:r>
            <w:r w:rsidR="005707CE">
              <w:rPr>
                <w:szCs w:val="22"/>
              </w:rPr>
              <w:t xml:space="preserve"> - Indonesia</w:t>
            </w:r>
          </w:p>
        </w:tc>
      </w:tr>
      <w:tr w:rsidR="1E1FFBB8" w:rsidRPr="005707CE" w14:paraId="520D616E"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FC01E95" w14:textId="12824C24" w:rsidR="1E1FFBB8" w:rsidRPr="005707CE" w:rsidRDefault="1E1FFBB8" w:rsidP="1E1FFBB8">
            <w:pPr>
              <w:spacing w:before="240" w:after="0"/>
              <w:rPr>
                <w:szCs w:val="22"/>
              </w:rPr>
            </w:pPr>
            <w:r w:rsidRPr="005707CE">
              <w:rPr>
                <w:szCs w:val="22"/>
              </w:rPr>
              <w:t>Mr Somil Nagpal</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44130D0" w14:textId="1715BA25" w:rsidR="1E1FFBB8" w:rsidRPr="005707CE" w:rsidRDefault="1E1FFBB8" w:rsidP="1E1FFBB8">
            <w:pPr>
              <w:spacing w:before="240" w:after="0"/>
              <w:rPr>
                <w:szCs w:val="22"/>
              </w:rPr>
            </w:pPr>
            <w:r w:rsidRPr="005707CE">
              <w:rPr>
                <w:szCs w:val="22"/>
              </w:rPr>
              <w:t>World Bank</w:t>
            </w:r>
            <w:r w:rsidR="005707CE">
              <w:rPr>
                <w:szCs w:val="22"/>
              </w:rPr>
              <w:t xml:space="preserve"> - Indonesia</w:t>
            </w:r>
          </w:p>
        </w:tc>
      </w:tr>
      <w:tr w:rsidR="1E1FFBB8" w:rsidRPr="005707CE" w14:paraId="0F88322B"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FF10589" w14:textId="5543E8CD" w:rsidR="1E1FFBB8" w:rsidRPr="005707CE" w:rsidRDefault="1E1FFBB8" w:rsidP="1E1FFBB8">
            <w:pPr>
              <w:spacing w:before="240" w:after="0"/>
              <w:rPr>
                <w:szCs w:val="22"/>
              </w:rPr>
            </w:pPr>
            <w:r w:rsidRPr="005707CE">
              <w:rPr>
                <w:szCs w:val="22"/>
              </w:rPr>
              <w:t>Gita Nasution</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0F0464DC" w14:textId="3792DD6E" w:rsidR="1E1FFBB8" w:rsidRPr="005707CE" w:rsidRDefault="1E1FFBB8" w:rsidP="1E1FFBB8">
            <w:pPr>
              <w:spacing w:before="240" w:after="0"/>
              <w:rPr>
                <w:szCs w:val="22"/>
              </w:rPr>
            </w:pPr>
            <w:r w:rsidRPr="005707CE">
              <w:rPr>
                <w:szCs w:val="22"/>
              </w:rPr>
              <w:t>AIHSP</w:t>
            </w:r>
            <w:r w:rsidR="005707CE">
              <w:rPr>
                <w:szCs w:val="22"/>
              </w:rPr>
              <w:t>- Indonesia</w:t>
            </w:r>
          </w:p>
        </w:tc>
      </w:tr>
      <w:tr w:rsidR="1E1FFBB8" w:rsidRPr="005707CE" w14:paraId="48F8741F"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DFA27B2" w14:textId="6CF93EA3" w:rsidR="1E1FFBB8" w:rsidRPr="005707CE" w:rsidRDefault="1E1FFBB8" w:rsidP="1E1FFBB8">
            <w:pPr>
              <w:spacing w:before="240" w:after="0"/>
              <w:rPr>
                <w:szCs w:val="22"/>
              </w:rPr>
            </w:pPr>
            <w:r w:rsidRPr="005707CE">
              <w:rPr>
                <w:szCs w:val="22"/>
              </w:rPr>
              <w:t xml:space="preserve">Sowmya </w:t>
            </w:r>
            <w:proofErr w:type="spellStart"/>
            <w:r w:rsidRPr="005707CE">
              <w:rPr>
                <w:szCs w:val="22"/>
              </w:rPr>
              <w:t>Kadandale</w:t>
            </w:r>
            <w:proofErr w:type="spellEnd"/>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52322A3" w14:textId="429C2820" w:rsidR="1E1FFBB8" w:rsidRPr="005707CE" w:rsidRDefault="1E1FFBB8" w:rsidP="1E1FFBB8">
            <w:pPr>
              <w:spacing w:before="240" w:after="0"/>
              <w:rPr>
                <w:szCs w:val="22"/>
              </w:rPr>
            </w:pPr>
            <w:r w:rsidRPr="005707CE">
              <w:rPr>
                <w:szCs w:val="22"/>
              </w:rPr>
              <w:t>UNICEF</w:t>
            </w:r>
            <w:r w:rsidR="005707CE">
              <w:rPr>
                <w:szCs w:val="22"/>
              </w:rPr>
              <w:t xml:space="preserve"> - Indonesia</w:t>
            </w:r>
          </w:p>
        </w:tc>
      </w:tr>
      <w:tr w:rsidR="1E1FFBB8" w:rsidRPr="005707CE" w14:paraId="692030D7"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0A0A11A" w14:textId="2DEAFE85" w:rsidR="1E1FFBB8" w:rsidRPr="005707CE" w:rsidRDefault="1E1FFBB8" w:rsidP="1E1FFBB8">
            <w:pPr>
              <w:spacing w:before="240" w:after="0"/>
              <w:rPr>
                <w:szCs w:val="22"/>
              </w:rPr>
            </w:pPr>
            <w:r w:rsidRPr="005707CE">
              <w:rPr>
                <w:szCs w:val="22"/>
              </w:rPr>
              <w:t>Anna Gilchrist</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7885531" w14:textId="31D262E7" w:rsidR="1E1FFBB8" w:rsidRPr="005707CE" w:rsidRDefault="1E1FFBB8" w:rsidP="1E1FFBB8">
            <w:pPr>
              <w:spacing w:before="240" w:after="0"/>
              <w:rPr>
                <w:szCs w:val="22"/>
              </w:rPr>
            </w:pPr>
            <w:r w:rsidRPr="005707CE">
              <w:rPr>
                <w:szCs w:val="22"/>
              </w:rPr>
              <w:t>DFAT</w:t>
            </w:r>
            <w:r w:rsidR="005707CE">
              <w:rPr>
                <w:szCs w:val="22"/>
              </w:rPr>
              <w:t xml:space="preserve"> - PNG</w:t>
            </w:r>
          </w:p>
        </w:tc>
      </w:tr>
      <w:tr w:rsidR="1E1FFBB8" w:rsidRPr="005707CE" w14:paraId="37CB8C73"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5D0A593" w14:textId="04840A5C" w:rsidR="1E1FFBB8" w:rsidRPr="005707CE" w:rsidRDefault="1E1FFBB8" w:rsidP="1E1FFBB8">
            <w:pPr>
              <w:spacing w:before="240" w:after="0"/>
              <w:rPr>
                <w:szCs w:val="22"/>
              </w:rPr>
            </w:pPr>
            <w:r w:rsidRPr="005707CE">
              <w:rPr>
                <w:szCs w:val="22"/>
              </w:rPr>
              <w:t>Yaman Kutlu</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390B815" w14:textId="67E5771C" w:rsidR="1E1FFBB8" w:rsidRPr="005707CE" w:rsidRDefault="1E1FFBB8" w:rsidP="1E1FFBB8">
            <w:pPr>
              <w:spacing w:before="240" w:after="0"/>
              <w:rPr>
                <w:szCs w:val="22"/>
              </w:rPr>
            </w:pPr>
            <w:r w:rsidRPr="005707CE">
              <w:rPr>
                <w:szCs w:val="22"/>
              </w:rPr>
              <w:t>Australian Doctors International</w:t>
            </w:r>
            <w:r w:rsidR="001A33CA" w:rsidRPr="005707CE">
              <w:rPr>
                <w:szCs w:val="22"/>
              </w:rPr>
              <w:t xml:space="preserve"> (ADI)</w:t>
            </w:r>
            <w:r w:rsidR="005707CE">
              <w:rPr>
                <w:szCs w:val="22"/>
              </w:rPr>
              <w:t xml:space="preserve"> - PNG</w:t>
            </w:r>
          </w:p>
        </w:tc>
      </w:tr>
      <w:tr w:rsidR="1E1FFBB8" w:rsidRPr="005707CE" w14:paraId="0D66B5BB"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5F00C6B" w14:textId="15A143A3" w:rsidR="1E1FFBB8" w:rsidRPr="005707CE" w:rsidRDefault="1E1FFBB8" w:rsidP="1E1FFBB8">
            <w:pPr>
              <w:spacing w:before="240" w:after="0"/>
              <w:rPr>
                <w:szCs w:val="22"/>
              </w:rPr>
            </w:pPr>
            <w:r w:rsidRPr="005707CE">
              <w:rPr>
                <w:szCs w:val="22"/>
              </w:rPr>
              <w:t>Fiona Mulhearn</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A66D8C0" w14:textId="791E53FD" w:rsidR="1E1FFBB8" w:rsidRPr="005707CE" w:rsidRDefault="1E1FFBB8" w:rsidP="1E1FFBB8">
            <w:pPr>
              <w:spacing w:before="240" w:after="0"/>
              <w:rPr>
                <w:szCs w:val="22"/>
              </w:rPr>
            </w:pPr>
            <w:r w:rsidRPr="005707CE">
              <w:rPr>
                <w:szCs w:val="22"/>
              </w:rPr>
              <w:t xml:space="preserve"> </w:t>
            </w:r>
            <w:r w:rsidR="00CF4B8F" w:rsidRPr="005707CE">
              <w:rPr>
                <w:szCs w:val="22"/>
              </w:rPr>
              <w:t>DFAT</w:t>
            </w:r>
            <w:r w:rsidR="005707CE">
              <w:rPr>
                <w:szCs w:val="22"/>
              </w:rPr>
              <w:t xml:space="preserve"> – Solomon Islands</w:t>
            </w:r>
          </w:p>
        </w:tc>
      </w:tr>
      <w:tr w:rsidR="1E1FFBB8" w:rsidRPr="005707CE" w14:paraId="676DB2D4"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380345E" w14:textId="0A1F8DFF" w:rsidR="1E1FFBB8" w:rsidRPr="005707CE" w:rsidRDefault="1E1FFBB8" w:rsidP="1E1FFBB8">
            <w:pPr>
              <w:spacing w:before="240" w:after="0"/>
              <w:rPr>
                <w:szCs w:val="22"/>
              </w:rPr>
            </w:pPr>
            <w:r w:rsidRPr="005707CE">
              <w:rPr>
                <w:szCs w:val="22"/>
              </w:rPr>
              <w:t>Kat Knope</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053E4CB" w14:textId="7D936F5A" w:rsidR="1E1FFBB8" w:rsidRPr="005707CE" w:rsidRDefault="00CF4B8F" w:rsidP="1E1FFBB8">
            <w:pPr>
              <w:spacing w:before="240" w:after="0"/>
              <w:rPr>
                <w:szCs w:val="22"/>
              </w:rPr>
            </w:pPr>
            <w:r w:rsidRPr="005707CE">
              <w:rPr>
                <w:szCs w:val="22"/>
              </w:rPr>
              <w:t>DFAT</w:t>
            </w:r>
            <w:r w:rsidR="005707CE">
              <w:rPr>
                <w:szCs w:val="22"/>
              </w:rPr>
              <w:t xml:space="preserve"> – </w:t>
            </w:r>
            <w:proofErr w:type="gramStart"/>
            <w:r w:rsidR="005707CE">
              <w:rPr>
                <w:szCs w:val="22"/>
              </w:rPr>
              <w:t>Solomon islands</w:t>
            </w:r>
            <w:proofErr w:type="gramEnd"/>
          </w:p>
        </w:tc>
      </w:tr>
      <w:tr w:rsidR="1E1FFBB8" w:rsidRPr="005707CE" w14:paraId="4269B126"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32BB8CF" w14:textId="6A992715" w:rsidR="1E1FFBB8" w:rsidRPr="005707CE" w:rsidRDefault="1E1FFBB8" w:rsidP="1E1FFBB8">
            <w:pPr>
              <w:spacing w:before="240" w:after="0"/>
              <w:rPr>
                <w:szCs w:val="22"/>
              </w:rPr>
            </w:pPr>
            <w:r w:rsidRPr="005707CE">
              <w:rPr>
                <w:szCs w:val="22"/>
              </w:rPr>
              <w:t>Dr Shyam Sharan Pathak</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3CC95D4" w14:textId="20780699" w:rsidR="1E1FFBB8" w:rsidRPr="005707CE" w:rsidRDefault="1E1FFBB8" w:rsidP="1E1FFBB8">
            <w:pPr>
              <w:spacing w:before="240" w:after="0"/>
              <w:rPr>
                <w:szCs w:val="22"/>
              </w:rPr>
            </w:pPr>
            <w:r w:rsidRPr="005707CE">
              <w:rPr>
                <w:szCs w:val="22"/>
              </w:rPr>
              <w:t>UNICEF</w:t>
            </w:r>
            <w:r w:rsidR="005707CE">
              <w:rPr>
                <w:szCs w:val="22"/>
              </w:rPr>
              <w:t xml:space="preserve"> – Timor-Leste</w:t>
            </w:r>
          </w:p>
        </w:tc>
      </w:tr>
      <w:tr w:rsidR="1E1FFBB8" w:rsidRPr="005707CE" w14:paraId="601863D9"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778E83FF" w14:textId="3E50FB8C" w:rsidR="1E1FFBB8" w:rsidRPr="005707CE" w:rsidRDefault="1E1FFBB8" w:rsidP="1E1FFBB8">
            <w:pPr>
              <w:spacing w:before="240" w:after="0"/>
              <w:rPr>
                <w:szCs w:val="22"/>
              </w:rPr>
            </w:pPr>
            <w:r w:rsidRPr="005707CE">
              <w:rPr>
                <w:szCs w:val="22"/>
              </w:rPr>
              <w:t>Deidre Ballinger</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08F8C432" w14:textId="418F4172" w:rsidR="1E1FFBB8" w:rsidRPr="005707CE" w:rsidRDefault="1E1FFBB8" w:rsidP="1E1FFBB8">
            <w:pPr>
              <w:spacing w:before="240" w:after="0"/>
              <w:rPr>
                <w:szCs w:val="22"/>
              </w:rPr>
            </w:pPr>
            <w:r w:rsidRPr="005707CE">
              <w:rPr>
                <w:szCs w:val="22"/>
              </w:rPr>
              <w:t>DFAT</w:t>
            </w:r>
            <w:r w:rsidR="005707CE">
              <w:rPr>
                <w:szCs w:val="22"/>
              </w:rPr>
              <w:t xml:space="preserve"> – Timor-Leste</w:t>
            </w:r>
          </w:p>
        </w:tc>
      </w:tr>
      <w:tr w:rsidR="1E1FFBB8" w:rsidRPr="005707CE" w14:paraId="07FEBD4C"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626B1D2" w14:textId="4C429F0F" w:rsidR="1E1FFBB8" w:rsidRPr="005707CE" w:rsidRDefault="1E1FFBB8" w:rsidP="1E1FFBB8">
            <w:pPr>
              <w:spacing w:before="240" w:after="0"/>
              <w:rPr>
                <w:szCs w:val="22"/>
              </w:rPr>
            </w:pPr>
            <w:r w:rsidRPr="005707CE">
              <w:rPr>
                <w:szCs w:val="22"/>
              </w:rPr>
              <w:t>Carli Shilito</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74A62E53" w14:textId="57513E77" w:rsidR="1E1FFBB8" w:rsidRPr="005707CE" w:rsidRDefault="1E1FFBB8" w:rsidP="1E1FFBB8">
            <w:pPr>
              <w:spacing w:before="240" w:after="0"/>
              <w:rPr>
                <w:szCs w:val="22"/>
              </w:rPr>
            </w:pPr>
            <w:r w:rsidRPr="005707CE">
              <w:rPr>
                <w:szCs w:val="22"/>
              </w:rPr>
              <w:t>DFAT</w:t>
            </w:r>
            <w:r w:rsidR="005707CE">
              <w:rPr>
                <w:szCs w:val="22"/>
              </w:rPr>
              <w:t xml:space="preserve"> – Timor-Leste</w:t>
            </w:r>
          </w:p>
        </w:tc>
      </w:tr>
      <w:tr w:rsidR="1E1FFBB8" w:rsidRPr="005707CE" w14:paraId="18044900"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1DFFC7D" w14:textId="26CAD12B" w:rsidR="1E1FFBB8" w:rsidRPr="005707CE" w:rsidRDefault="1E1FFBB8" w:rsidP="1E1FFBB8">
            <w:pPr>
              <w:spacing w:before="240" w:after="0"/>
              <w:rPr>
                <w:szCs w:val="22"/>
              </w:rPr>
            </w:pPr>
            <w:r w:rsidRPr="005707CE">
              <w:rPr>
                <w:szCs w:val="22"/>
              </w:rPr>
              <w:t>Aidan Goldsmith</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07CAD284" w14:textId="6D60C8F6" w:rsidR="1E1FFBB8" w:rsidRPr="005707CE" w:rsidRDefault="1E1FFBB8" w:rsidP="1E1FFBB8">
            <w:pPr>
              <w:spacing w:before="240" w:after="0"/>
              <w:rPr>
                <w:szCs w:val="22"/>
              </w:rPr>
            </w:pPr>
            <w:r w:rsidRPr="005707CE">
              <w:rPr>
                <w:szCs w:val="22"/>
              </w:rPr>
              <w:t>DFAT</w:t>
            </w:r>
            <w:r w:rsidR="005707CE">
              <w:rPr>
                <w:szCs w:val="22"/>
              </w:rPr>
              <w:t xml:space="preserve"> – Timor-Leste</w:t>
            </w:r>
          </w:p>
        </w:tc>
      </w:tr>
      <w:tr w:rsidR="1E1FFBB8" w:rsidRPr="005707CE" w14:paraId="46EFDBB2"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281B032" w14:textId="3F2C9D3D" w:rsidR="1E1FFBB8" w:rsidRPr="005707CE" w:rsidRDefault="1E1FFBB8" w:rsidP="1E1FFBB8">
            <w:pPr>
              <w:spacing w:before="240" w:after="0"/>
              <w:rPr>
                <w:szCs w:val="22"/>
              </w:rPr>
            </w:pPr>
            <w:r w:rsidRPr="005707CE">
              <w:rPr>
                <w:szCs w:val="22"/>
              </w:rPr>
              <w:t xml:space="preserve">Dr Nahar </w:t>
            </w:r>
            <w:proofErr w:type="spellStart"/>
            <w:r w:rsidRPr="005707CE">
              <w:rPr>
                <w:szCs w:val="22"/>
              </w:rPr>
              <w:t>Nazmun</w:t>
            </w:r>
            <w:proofErr w:type="spellEnd"/>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0F1C5AD" w14:textId="6D93BC4D" w:rsidR="1E1FFBB8" w:rsidRPr="005707CE" w:rsidRDefault="1E1FFBB8" w:rsidP="1E1FFBB8">
            <w:pPr>
              <w:spacing w:before="240" w:after="0"/>
              <w:rPr>
                <w:szCs w:val="22"/>
              </w:rPr>
            </w:pPr>
            <w:r w:rsidRPr="005707CE">
              <w:rPr>
                <w:szCs w:val="22"/>
              </w:rPr>
              <w:t>WHO</w:t>
            </w:r>
            <w:r w:rsidR="005707CE">
              <w:rPr>
                <w:szCs w:val="22"/>
              </w:rPr>
              <w:t xml:space="preserve"> – Timor-Leste</w:t>
            </w:r>
          </w:p>
        </w:tc>
      </w:tr>
      <w:tr w:rsidR="1E1FFBB8" w:rsidRPr="005707CE" w14:paraId="71CFE95E"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0B4B95A7" w14:textId="26EBA2EB" w:rsidR="1E1FFBB8" w:rsidRPr="005707CE" w:rsidRDefault="43829D2C" w:rsidP="1E1FFBB8">
            <w:pPr>
              <w:spacing w:before="240" w:after="0"/>
              <w:rPr>
                <w:szCs w:val="22"/>
              </w:rPr>
            </w:pPr>
            <w:r w:rsidRPr="005707CE">
              <w:rPr>
                <w:color w:val="000000" w:themeColor="text1"/>
                <w:szCs w:val="22"/>
              </w:rPr>
              <w:t>Angelo Ximenes</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12C97CA" w14:textId="7447850F" w:rsidR="1E1FFBB8" w:rsidRPr="005707CE" w:rsidRDefault="75DC43D7" w:rsidP="1E1FFBB8">
            <w:pPr>
              <w:spacing w:before="240" w:after="0"/>
              <w:rPr>
                <w:szCs w:val="22"/>
              </w:rPr>
            </w:pPr>
            <w:r w:rsidRPr="005707CE">
              <w:rPr>
                <w:szCs w:val="22"/>
              </w:rPr>
              <w:t xml:space="preserve">World Vision </w:t>
            </w:r>
            <w:r w:rsidR="005E27D0" w:rsidRPr="005707CE">
              <w:rPr>
                <w:szCs w:val="22"/>
              </w:rPr>
              <w:t>Timor-Leste</w:t>
            </w:r>
            <w:r w:rsidR="005707CE">
              <w:rPr>
                <w:szCs w:val="22"/>
              </w:rPr>
              <w:t xml:space="preserve"> – Timor-Leste</w:t>
            </w:r>
          </w:p>
        </w:tc>
      </w:tr>
      <w:tr w:rsidR="1E1FFBB8" w:rsidRPr="005707CE" w14:paraId="40B521F2"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4C2E216" w14:textId="27A60573" w:rsidR="1E1FFBB8" w:rsidRPr="005707CE" w:rsidRDefault="1E1FFBB8" w:rsidP="1E1FFBB8">
            <w:pPr>
              <w:spacing w:before="240" w:after="0"/>
              <w:rPr>
                <w:szCs w:val="22"/>
              </w:rPr>
            </w:pPr>
            <w:r w:rsidRPr="005707CE">
              <w:rPr>
                <w:szCs w:val="22"/>
              </w:rPr>
              <w:t>Mr Richie Rummery &amp; Mr Chris Hagarty</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DD865C7" w14:textId="0290E308" w:rsidR="1E1FFBB8" w:rsidRPr="005707CE" w:rsidRDefault="42EC4FA6" w:rsidP="3B377F63">
            <w:pPr>
              <w:spacing w:before="240" w:after="0"/>
              <w:rPr>
                <w:szCs w:val="22"/>
              </w:rPr>
            </w:pPr>
            <w:r w:rsidRPr="005707CE">
              <w:rPr>
                <w:color w:val="000000" w:themeColor="text1"/>
                <w:szCs w:val="22"/>
              </w:rPr>
              <w:t xml:space="preserve">Vanuatu </w:t>
            </w:r>
            <w:r w:rsidR="0EB9D470" w:rsidRPr="005707CE">
              <w:rPr>
                <w:color w:val="000000" w:themeColor="text1"/>
                <w:szCs w:val="22"/>
              </w:rPr>
              <w:t>Australia H</w:t>
            </w:r>
            <w:r w:rsidR="0BA8A78A" w:rsidRPr="005707CE">
              <w:rPr>
                <w:color w:val="000000" w:themeColor="text1"/>
                <w:szCs w:val="22"/>
              </w:rPr>
              <w:t xml:space="preserve">ealth </w:t>
            </w:r>
            <w:r w:rsidR="0EB9D470" w:rsidRPr="005707CE">
              <w:rPr>
                <w:color w:val="000000" w:themeColor="text1"/>
                <w:szCs w:val="22"/>
              </w:rPr>
              <w:t>Partnership</w:t>
            </w:r>
            <w:r w:rsidR="0EB9D470" w:rsidRPr="005707CE">
              <w:rPr>
                <w:szCs w:val="22"/>
              </w:rPr>
              <w:t xml:space="preserve"> </w:t>
            </w:r>
            <w:r w:rsidR="005707CE">
              <w:rPr>
                <w:szCs w:val="22"/>
              </w:rPr>
              <w:t>- Vanuatu</w:t>
            </w:r>
          </w:p>
        </w:tc>
      </w:tr>
      <w:tr w:rsidR="1E1FFBB8" w:rsidRPr="005707CE" w14:paraId="2503C817"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FF54AC1" w14:textId="58118ADF" w:rsidR="1E1FFBB8" w:rsidRPr="005707CE" w:rsidRDefault="1E1FFBB8" w:rsidP="1E1FFBB8">
            <w:pPr>
              <w:spacing w:before="240" w:after="0"/>
              <w:rPr>
                <w:szCs w:val="22"/>
              </w:rPr>
            </w:pPr>
            <w:r w:rsidRPr="005707CE">
              <w:rPr>
                <w:szCs w:val="22"/>
              </w:rPr>
              <w:t>Dr Jenny Stephen</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4BD83D5" w14:textId="600DA4C5" w:rsidR="1E1FFBB8" w:rsidRPr="005707CE" w:rsidRDefault="1E1FFBB8" w:rsidP="1E1FFBB8">
            <w:pPr>
              <w:spacing w:before="240" w:after="0"/>
              <w:rPr>
                <w:szCs w:val="22"/>
              </w:rPr>
            </w:pPr>
            <w:r w:rsidRPr="005707CE">
              <w:rPr>
                <w:szCs w:val="22"/>
              </w:rPr>
              <w:t>M</w:t>
            </w:r>
            <w:r w:rsidR="009A7889" w:rsidRPr="005707CE">
              <w:rPr>
                <w:szCs w:val="22"/>
              </w:rPr>
              <w:t>O</w:t>
            </w:r>
            <w:r w:rsidRPr="005707CE">
              <w:rPr>
                <w:szCs w:val="22"/>
              </w:rPr>
              <w:t>H</w:t>
            </w:r>
            <w:r w:rsidR="005707CE">
              <w:rPr>
                <w:szCs w:val="22"/>
              </w:rPr>
              <w:t xml:space="preserve"> - Vanuatu</w:t>
            </w:r>
          </w:p>
        </w:tc>
      </w:tr>
      <w:tr w:rsidR="1E1FFBB8" w:rsidRPr="005707CE" w14:paraId="3958F4BA"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38441FE" w14:textId="22627510" w:rsidR="1E1FFBB8" w:rsidRPr="005707CE" w:rsidRDefault="1E1FFBB8" w:rsidP="1E1FFBB8">
            <w:pPr>
              <w:spacing w:before="240" w:after="0"/>
              <w:rPr>
                <w:szCs w:val="22"/>
              </w:rPr>
            </w:pPr>
            <w:r w:rsidRPr="005707CE">
              <w:rPr>
                <w:szCs w:val="22"/>
              </w:rPr>
              <w:t>Ms Kirsty Dudgeon</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3AA39B0" w14:textId="21A03230" w:rsidR="1E1FFBB8" w:rsidRPr="005707CE" w:rsidRDefault="1E1FFBB8" w:rsidP="1E1FFBB8">
            <w:pPr>
              <w:spacing w:before="240" w:after="0"/>
              <w:rPr>
                <w:szCs w:val="22"/>
              </w:rPr>
            </w:pPr>
            <w:r w:rsidRPr="005707CE">
              <w:rPr>
                <w:szCs w:val="22"/>
              </w:rPr>
              <w:t>DFAT</w:t>
            </w:r>
            <w:r w:rsidR="005707CE">
              <w:rPr>
                <w:szCs w:val="22"/>
              </w:rPr>
              <w:t xml:space="preserve"> - Vanuatu</w:t>
            </w:r>
          </w:p>
        </w:tc>
      </w:tr>
      <w:tr w:rsidR="1E1FFBB8" w:rsidRPr="005707CE" w14:paraId="669B12F5"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156F514" w14:textId="2C3B01AD" w:rsidR="1E1FFBB8" w:rsidRPr="005707CE" w:rsidRDefault="1E1FFBB8" w:rsidP="1E1FFBB8">
            <w:pPr>
              <w:spacing w:before="240" w:after="0"/>
              <w:rPr>
                <w:szCs w:val="22"/>
              </w:rPr>
            </w:pPr>
            <w:r w:rsidRPr="005707CE">
              <w:rPr>
                <w:szCs w:val="22"/>
              </w:rPr>
              <w:t>Patricia Fred</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3CC088F" w14:textId="3527E88F" w:rsidR="1E1FFBB8" w:rsidRPr="005707CE" w:rsidRDefault="1E1FFBB8" w:rsidP="1E1FFBB8">
            <w:pPr>
              <w:spacing w:before="240" w:after="0"/>
              <w:rPr>
                <w:szCs w:val="22"/>
              </w:rPr>
            </w:pPr>
            <w:r w:rsidRPr="005707CE">
              <w:rPr>
                <w:szCs w:val="22"/>
              </w:rPr>
              <w:t xml:space="preserve">DFAT </w:t>
            </w:r>
            <w:r w:rsidR="005707CE">
              <w:rPr>
                <w:szCs w:val="22"/>
              </w:rPr>
              <w:t>- Vanuatu</w:t>
            </w:r>
          </w:p>
        </w:tc>
      </w:tr>
      <w:tr w:rsidR="1E1FFBB8" w:rsidRPr="005707CE" w14:paraId="525F891B"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5783AC9" w14:textId="10A4660B" w:rsidR="1E1FFBB8" w:rsidRPr="005707CE" w:rsidRDefault="1E1FFBB8" w:rsidP="1E1FFBB8">
            <w:pPr>
              <w:spacing w:before="240" w:after="0"/>
              <w:rPr>
                <w:szCs w:val="22"/>
              </w:rPr>
            </w:pPr>
            <w:r w:rsidRPr="005707CE">
              <w:rPr>
                <w:szCs w:val="22"/>
              </w:rPr>
              <w:t xml:space="preserve">Jennifer </w:t>
            </w:r>
            <w:proofErr w:type="spellStart"/>
            <w:r w:rsidRPr="005707CE">
              <w:rPr>
                <w:szCs w:val="22"/>
              </w:rPr>
              <w:t>Kausei</w:t>
            </w:r>
            <w:proofErr w:type="spellEnd"/>
            <w:r w:rsidRPr="005707CE">
              <w:rPr>
                <w:szCs w:val="22"/>
              </w:rPr>
              <w:t>, Vombo Molly &amp; David Cram</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5EDE0E1" w14:textId="54031561" w:rsidR="1E1FFBB8" w:rsidRPr="005707CE" w:rsidRDefault="1E1FFBB8" w:rsidP="1E1FFBB8">
            <w:pPr>
              <w:spacing w:before="240" w:after="0"/>
              <w:rPr>
                <w:szCs w:val="22"/>
              </w:rPr>
            </w:pPr>
            <w:r w:rsidRPr="005707CE">
              <w:rPr>
                <w:szCs w:val="22"/>
              </w:rPr>
              <w:t>AHP Country Coordination</w:t>
            </w:r>
            <w:r w:rsidR="005707CE">
              <w:rPr>
                <w:szCs w:val="22"/>
              </w:rPr>
              <w:t xml:space="preserve"> - Vanuatu</w:t>
            </w:r>
          </w:p>
        </w:tc>
      </w:tr>
      <w:tr w:rsidR="1E1FFBB8" w:rsidRPr="005707CE" w14:paraId="0F8BB677"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4EBF878" w14:textId="0A58FF02" w:rsidR="1E1FFBB8" w:rsidRPr="005707CE" w:rsidRDefault="1E1FFBB8" w:rsidP="1E1FFBB8">
            <w:pPr>
              <w:spacing w:before="240" w:after="0"/>
              <w:rPr>
                <w:szCs w:val="22"/>
              </w:rPr>
            </w:pPr>
            <w:r w:rsidRPr="005707CE">
              <w:rPr>
                <w:szCs w:val="22"/>
              </w:rPr>
              <w:t xml:space="preserve">Carol </w:t>
            </w:r>
            <w:proofErr w:type="spellStart"/>
            <w:r w:rsidRPr="005707CE">
              <w:rPr>
                <w:szCs w:val="22"/>
              </w:rPr>
              <w:t>Angir</w:t>
            </w:r>
            <w:proofErr w:type="spellEnd"/>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C45BF68" w14:textId="6C7BE69E" w:rsidR="1E1FFBB8" w:rsidRPr="005707CE" w:rsidRDefault="1E1FFBB8" w:rsidP="1E1FFBB8">
            <w:pPr>
              <w:spacing w:before="240" w:after="0"/>
              <w:rPr>
                <w:szCs w:val="22"/>
              </w:rPr>
            </w:pPr>
            <w:r w:rsidRPr="005707CE">
              <w:rPr>
                <w:szCs w:val="22"/>
              </w:rPr>
              <w:t>Action Aid Australia</w:t>
            </w:r>
            <w:r w:rsidR="005707CE">
              <w:rPr>
                <w:szCs w:val="22"/>
              </w:rPr>
              <w:t xml:space="preserve"> - Vanuatu</w:t>
            </w:r>
          </w:p>
        </w:tc>
      </w:tr>
      <w:tr w:rsidR="1E1FFBB8" w:rsidRPr="005707CE" w14:paraId="51E83118"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A59544F" w14:textId="743F58AC" w:rsidR="1E1FFBB8" w:rsidRPr="005707CE" w:rsidRDefault="1E1FFBB8" w:rsidP="1E1FFBB8">
            <w:pPr>
              <w:spacing w:before="240" w:after="0"/>
              <w:rPr>
                <w:szCs w:val="22"/>
              </w:rPr>
            </w:pPr>
            <w:r w:rsidRPr="005707CE">
              <w:rPr>
                <w:szCs w:val="22"/>
              </w:rPr>
              <w:t>Flora Vano</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014159DD" w14:textId="25B0DD5B" w:rsidR="1E1FFBB8" w:rsidRPr="005707CE" w:rsidRDefault="1E1FFBB8" w:rsidP="1E1FFBB8">
            <w:pPr>
              <w:spacing w:before="240" w:after="0"/>
              <w:rPr>
                <w:szCs w:val="22"/>
              </w:rPr>
            </w:pPr>
            <w:r w:rsidRPr="005707CE">
              <w:rPr>
                <w:szCs w:val="22"/>
              </w:rPr>
              <w:t>Action Aid Vanuatu</w:t>
            </w:r>
            <w:r w:rsidR="005707CE">
              <w:rPr>
                <w:szCs w:val="22"/>
              </w:rPr>
              <w:t xml:space="preserve"> - Vanuatu</w:t>
            </w:r>
          </w:p>
        </w:tc>
      </w:tr>
      <w:tr w:rsidR="1E1FFBB8" w:rsidRPr="005707CE" w14:paraId="3A224BC9"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0509903" w14:textId="6FB6EE3D" w:rsidR="1E1FFBB8" w:rsidRPr="005707CE" w:rsidRDefault="1E1FFBB8" w:rsidP="1E1FFBB8">
            <w:pPr>
              <w:spacing w:before="240" w:after="0"/>
              <w:rPr>
                <w:szCs w:val="22"/>
              </w:rPr>
            </w:pPr>
            <w:r w:rsidRPr="005707CE">
              <w:rPr>
                <w:szCs w:val="22"/>
              </w:rPr>
              <w:t>Nancy Miyake &amp; Pallen Abraham Philip</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59A2C372" w14:textId="6F3D05BC" w:rsidR="1E1FFBB8" w:rsidRPr="005707CE" w:rsidRDefault="1E1FFBB8" w:rsidP="1E1FFBB8">
            <w:pPr>
              <w:spacing w:before="240" w:after="0"/>
              <w:rPr>
                <w:szCs w:val="22"/>
              </w:rPr>
            </w:pPr>
            <w:r w:rsidRPr="005707CE">
              <w:rPr>
                <w:szCs w:val="22"/>
              </w:rPr>
              <w:t>World Vision Vanuatu</w:t>
            </w:r>
            <w:r w:rsidR="005707CE">
              <w:rPr>
                <w:szCs w:val="22"/>
              </w:rPr>
              <w:t xml:space="preserve"> - Vanuatu</w:t>
            </w:r>
          </w:p>
        </w:tc>
      </w:tr>
      <w:tr w:rsidR="1E1FFBB8" w:rsidRPr="005707CE" w14:paraId="2F86AB89"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9D58B7D" w14:textId="54DC3A6B" w:rsidR="1E1FFBB8" w:rsidRPr="005707CE" w:rsidRDefault="1E1FFBB8" w:rsidP="1E1FFBB8">
            <w:pPr>
              <w:spacing w:before="240" w:after="0"/>
              <w:rPr>
                <w:szCs w:val="22"/>
              </w:rPr>
            </w:pPr>
            <w:r w:rsidRPr="005707CE">
              <w:rPr>
                <w:szCs w:val="22"/>
              </w:rPr>
              <w:t>Michael Taiki</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7356CF3" w14:textId="319EE70C" w:rsidR="1E1FFBB8" w:rsidRPr="005707CE" w:rsidRDefault="1E1FFBB8" w:rsidP="1E1FFBB8">
            <w:pPr>
              <w:spacing w:before="240" w:after="0"/>
              <w:rPr>
                <w:szCs w:val="22"/>
              </w:rPr>
            </w:pPr>
            <w:r w:rsidRPr="005707CE">
              <w:rPr>
                <w:szCs w:val="22"/>
              </w:rPr>
              <w:t>Save the Children Vanuatu</w:t>
            </w:r>
            <w:r w:rsidR="005707CE">
              <w:rPr>
                <w:szCs w:val="22"/>
              </w:rPr>
              <w:t xml:space="preserve"> - Vanuatu</w:t>
            </w:r>
          </w:p>
        </w:tc>
      </w:tr>
      <w:tr w:rsidR="1E1FFBB8" w:rsidRPr="005707CE" w14:paraId="48345EBB"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09338BC" w14:textId="3D443880" w:rsidR="1E1FFBB8" w:rsidRPr="005707CE" w:rsidRDefault="1E1FFBB8" w:rsidP="1E1FFBB8">
            <w:pPr>
              <w:spacing w:before="240" w:after="0"/>
              <w:rPr>
                <w:szCs w:val="22"/>
              </w:rPr>
            </w:pPr>
            <w:r w:rsidRPr="005707CE">
              <w:rPr>
                <w:szCs w:val="22"/>
              </w:rPr>
              <w:t xml:space="preserve">Glenise </w:t>
            </w:r>
            <w:proofErr w:type="spellStart"/>
            <w:proofErr w:type="gramStart"/>
            <w:r w:rsidRPr="005707CE">
              <w:rPr>
                <w:szCs w:val="22"/>
              </w:rPr>
              <w:t>Levendal</w:t>
            </w:r>
            <w:proofErr w:type="spellEnd"/>
            <w:r w:rsidRPr="005707CE">
              <w:rPr>
                <w:szCs w:val="22"/>
              </w:rPr>
              <w:t xml:space="preserve">  (</w:t>
            </w:r>
            <w:proofErr w:type="gramEnd"/>
            <w:r w:rsidRPr="005707CE">
              <w:rPr>
                <w:szCs w:val="22"/>
              </w:rPr>
              <w:t xml:space="preserve">Via email) </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59740C42" w14:textId="3A36D043" w:rsidR="1E1FFBB8" w:rsidRPr="005707CE" w:rsidRDefault="1E1FFBB8" w:rsidP="1E1FFBB8">
            <w:pPr>
              <w:spacing w:before="240" w:after="0"/>
              <w:rPr>
                <w:szCs w:val="22"/>
              </w:rPr>
            </w:pPr>
            <w:r w:rsidRPr="005707CE">
              <w:rPr>
                <w:szCs w:val="22"/>
              </w:rPr>
              <w:t>Care Vanuatu</w:t>
            </w:r>
            <w:r w:rsidR="005707CE">
              <w:rPr>
                <w:szCs w:val="22"/>
              </w:rPr>
              <w:t xml:space="preserve"> - Vanuatu</w:t>
            </w:r>
          </w:p>
        </w:tc>
      </w:tr>
      <w:tr w:rsidR="1E1FFBB8" w:rsidRPr="005707CE" w14:paraId="2203838C"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EEE5946" w14:textId="212A841B" w:rsidR="1E1FFBB8" w:rsidRPr="005707CE" w:rsidRDefault="1E1FFBB8" w:rsidP="1E1FFBB8">
            <w:pPr>
              <w:spacing w:before="240" w:after="0"/>
              <w:rPr>
                <w:szCs w:val="22"/>
              </w:rPr>
            </w:pPr>
            <w:r w:rsidRPr="005707CE">
              <w:rPr>
                <w:szCs w:val="22"/>
              </w:rPr>
              <w:t xml:space="preserve">Dr Ian Norton &amp; Barbara </w:t>
            </w:r>
            <w:proofErr w:type="spellStart"/>
            <w:r w:rsidRPr="005707CE">
              <w:rPr>
                <w:szCs w:val="22"/>
              </w:rPr>
              <w:t>Daufanamae</w:t>
            </w:r>
            <w:proofErr w:type="spellEnd"/>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68CB081" w14:textId="33E7451E" w:rsidR="1E1FFBB8" w:rsidRPr="005707CE" w:rsidRDefault="1E1FFBB8" w:rsidP="1E1FFBB8">
            <w:pPr>
              <w:spacing w:before="240" w:after="0"/>
              <w:rPr>
                <w:szCs w:val="22"/>
              </w:rPr>
            </w:pPr>
            <w:r w:rsidRPr="005707CE">
              <w:rPr>
                <w:szCs w:val="22"/>
              </w:rPr>
              <w:t>Respond Global</w:t>
            </w:r>
            <w:r w:rsidR="005707CE">
              <w:rPr>
                <w:szCs w:val="22"/>
              </w:rPr>
              <w:t xml:space="preserve"> - Vanuatu</w:t>
            </w:r>
          </w:p>
        </w:tc>
      </w:tr>
      <w:tr w:rsidR="1E1FFBB8" w:rsidRPr="005707CE" w14:paraId="443646F2"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0746D71C" w14:textId="6D3E66F1" w:rsidR="1E1FFBB8" w:rsidRPr="005707CE" w:rsidRDefault="1E1FFBB8" w:rsidP="1E1FFBB8">
            <w:pPr>
              <w:spacing w:before="240" w:after="0"/>
              <w:rPr>
                <w:szCs w:val="22"/>
              </w:rPr>
            </w:pPr>
            <w:r w:rsidRPr="005707CE">
              <w:rPr>
                <w:szCs w:val="22"/>
              </w:rPr>
              <w:t>Ms Catherine Gottlieb</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BE2A2E9" w14:textId="106E0AD2" w:rsidR="1E1FFBB8" w:rsidRPr="005707CE" w:rsidRDefault="1E1FFBB8" w:rsidP="1E1FFBB8">
            <w:pPr>
              <w:spacing w:before="240" w:after="0"/>
              <w:rPr>
                <w:szCs w:val="22"/>
              </w:rPr>
            </w:pPr>
            <w:r w:rsidRPr="005707CE">
              <w:rPr>
                <w:szCs w:val="22"/>
              </w:rPr>
              <w:t>DFAT</w:t>
            </w:r>
            <w:r w:rsidR="005707CE">
              <w:rPr>
                <w:szCs w:val="22"/>
              </w:rPr>
              <w:t xml:space="preserve"> - Vietnam</w:t>
            </w:r>
          </w:p>
        </w:tc>
      </w:tr>
      <w:tr w:rsidR="1E1FFBB8" w:rsidRPr="005707CE" w14:paraId="75625802"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7ADC604" w14:textId="11BADD81" w:rsidR="1E1FFBB8" w:rsidRPr="005707CE" w:rsidRDefault="1E1FFBB8" w:rsidP="1E1FFBB8">
            <w:pPr>
              <w:spacing w:before="240" w:after="0"/>
              <w:rPr>
                <w:szCs w:val="22"/>
              </w:rPr>
            </w:pPr>
            <w:r w:rsidRPr="005707CE">
              <w:rPr>
                <w:szCs w:val="22"/>
              </w:rPr>
              <w:t>Linh Dieu Pham</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5E9DB875" w14:textId="5FEA3D92" w:rsidR="1E1FFBB8" w:rsidRPr="005707CE" w:rsidRDefault="1E1FFBB8" w:rsidP="1E1FFBB8">
            <w:pPr>
              <w:spacing w:before="240" w:after="0"/>
              <w:rPr>
                <w:szCs w:val="22"/>
              </w:rPr>
            </w:pPr>
            <w:r w:rsidRPr="005707CE">
              <w:rPr>
                <w:szCs w:val="22"/>
              </w:rPr>
              <w:t>DFAT</w:t>
            </w:r>
            <w:r w:rsidR="005707CE">
              <w:rPr>
                <w:szCs w:val="22"/>
              </w:rPr>
              <w:t xml:space="preserve"> - Vietnam</w:t>
            </w:r>
          </w:p>
        </w:tc>
      </w:tr>
      <w:tr w:rsidR="1E1FFBB8" w:rsidRPr="005707CE" w14:paraId="445AE1EA"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8A0CA27" w14:textId="470990B2" w:rsidR="1E1FFBB8" w:rsidRPr="005707CE" w:rsidRDefault="1E1FFBB8" w:rsidP="1E1FFBB8">
            <w:pPr>
              <w:spacing w:before="240" w:after="0"/>
              <w:rPr>
                <w:szCs w:val="22"/>
              </w:rPr>
            </w:pPr>
            <w:proofErr w:type="spellStart"/>
            <w:r w:rsidRPr="005707CE">
              <w:rPr>
                <w:szCs w:val="22"/>
              </w:rPr>
              <w:t>Majdie</w:t>
            </w:r>
            <w:proofErr w:type="spellEnd"/>
            <w:r w:rsidRPr="005707CE">
              <w:rPr>
                <w:szCs w:val="22"/>
              </w:rPr>
              <w:t xml:space="preserve"> Horden</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A408EA2" w14:textId="60551528" w:rsidR="1E1FFBB8" w:rsidRPr="005707CE" w:rsidRDefault="1E1FFBB8" w:rsidP="1E1FFBB8">
            <w:pPr>
              <w:spacing w:before="240" w:after="0"/>
              <w:rPr>
                <w:szCs w:val="22"/>
              </w:rPr>
            </w:pPr>
            <w:r w:rsidRPr="005707CE">
              <w:rPr>
                <w:szCs w:val="22"/>
              </w:rPr>
              <w:t>DFAT</w:t>
            </w:r>
            <w:r w:rsidR="005707CE">
              <w:rPr>
                <w:szCs w:val="22"/>
              </w:rPr>
              <w:t xml:space="preserve"> - Vietnam</w:t>
            </w:r>
          </w:p>
        </w:tc>
      </w:tr>
      <w:tr w:rsidR="1E1FFBB8" w:rsidRPr="005707CE" w14:paraId="17DDB94E"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8CF725B" w14:textId="3B146B81" w:rsidR="1E1FFBB8" w:rsidRPr="005707CE" w:rsidRDefault="1E1FFBB8" w:rsidP="1E1FFBB8">
            <w:pPr>
              <w:spacing w:before="240" w:after="0"/>
              <w:rPr>
                <w:szCs w:val="22"/>
              </w:rPr>
            </w:pPr>
            <w:r w:rsidRPr="005707CE">
              <w:rPr>
                <w:szCs w:val="22"/>
              </w:rPr>
              <w:t xml:space="preserve">Bridget Collier </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7F29C261" w14:textId="5F03B8A2" w:rsidR="1E1FFBB8" w:rsidRPr="005707CE" w:rsidRDefault="1E1FFBB8" w:rsidP="1E1FFBB8">
            <w:pPr>
              <w:spacing w:before="240" w:after="0"/>
              <w:rPr>
                <w:szCs w:val="22"/>
              </w:rPr>
            </w:pPr>
            <w:r w:rsidRPr="005707CE">
              <w:rPr>
                <w:szCs w:val="22"/>
              </w:rPr>
              <w:t>DFAT</w:t>
            </w:r>
            <w:r w:rsidR="005707CE">
              <w:rPr>
                <w:szCs w:val="22"/>
              </w:rPr>
              <w:t xml:space="preserve"> - Vietnam</w:t>
            </w:r>
          </w:p>
        </w:tc>
      </w:tr>
      <w:tr w:rsidR="1E1FFBB8" w:rsidRPr="005707CE" w14:paraId="064461AC"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8502DBC" w14:textId="5D6F4535" w:rsidR="1E1FFBB8" w:rsidRPr="005707CE" w:rsidRDefault="1E1FFBB8" w:rsidP="1E1FFBB8">
            <w:pPr>
              <w:spacing w:before="240" w:after="0"/>
              <w:rPr>
                <w:szCs w:val="22"/>
              </w:rPr>
            </w:pPr>
            <w:r w:rsidRPr="005707CE">
              <w:rPr>
                <w:szCs w:val="22"/>
              </w:rPr>
              <w:t>Muthu Maharajan</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7DEA1A47" w14:textId="1EDEE52B" w:rsidR="1E1FFBB8" w:rsidRPr="005707CE" w:rsidRDefault="1E1FFBB8" w:rsidP="1E1FFBB8">
            <w:pPr>
              <w:spacing w:before="240" w:after="0"/>
              <w:rPr>
                <w:szCs w:val="22"/>
              </w:rPr>
            </w:pPr>
            <w:r w:rsidRPr="005707CE">
              <w:rPr>
                <w:szCs w:val="22"/>
              </w:rPr>
              <w:t>UNICEF</w:t>
            </w:r>
            <w:r w:rsidR="005707CE">
              <w:rPr>
                <w:szCs w:val="22"/>
              </w:rPr>
              <w:t xml:space="preserve"> - Vietnam</w:t>
            </w:r>
          </w:p>
        </w:tc>
      </w:tr>
      <w:tr w:rsidR="1E1FFBB8" w:rsidRPr="005707CE" w14:paraId="0974BE32"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04B8EB4D" w14:textId="3BED99B7" w:rsidR="1E1FFBB8" w:rsidRPr="005707CE" w:rsidRDefault="1E1FFBB8" w:rsidP="1E1FFBB8">
            <w:pPr>
              <w:spacing w:before="240" w:after="0"/>
              <w:rPr>
                <w:szCs w:val="22"/>
              </w:rPr>
            </w:pPr>
            <w:r w:rsidRPr="005707CE">
              <w:rPr>
                <w:szCs w:val="22"/>
              </w:rPr>
              <w:t>Angela Pratt &amp; team</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559C6BC9" w14:textId="7211122C" w:rsidR="1E1FFBB8" w:rsidRPr="005707CE" w:rsidRDefault="1E1FFBB8" w:rsidP="1E1FFBB8">
            <w:pPr>
              <w:spacing w:before="240" w:after="0"/>
              <w:rPr>
                <w:szCs w:val="22"/>
              </w:rPr>
            </w:pPr>
            <w:r w:rsidRPr="005707CE">
              <w:rPr>
                <w:szCs w:val="22"/>
              </w:rPr>
              <w:t>WHO</w:t>
            </w:r>
            <w:r w:rsidR="005707CE">
              <w:rPr>
                <w:szCs w:val="22"/>
              </w:rPr>
              <w:t xml:space="preserve"> - Vietnam</w:t>
            </w:r>
          </w:p>
        </w:tc>
      </w:tr>
      <w:tr w:rsidR="1E1FFBB8" w:rsidRPr="005707CE" w14:paraId="09D9310E"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0461640" w14:textId="4D962743" w:rsidR="1E1FFBB8" w:rsidRPr="005707CE" w:rsidRDefault="1E1FFBB8" w:rsidP="1E1FFBB8">
            <w:pPr>
              <w:spacing w:before="240" w:after="0"/>
              <w:rPr>
                <w:szCs w:val="22"/>
              </w:rPr>
            </w:pPr>
            <w:r w:rsidRPr="005707CE">
              <w:rPr>
                <w:szCs w:val="22"/>
              </w:rPr>
              <w:t>Ministry of Health (via questionnaire)</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25B9CC6" w14:textId="6D20AF0C" w:rsidR="1E1FFBB8" w:rsidRPr="005707CE" w:rsidRDefault="1E1FFBB8" w:rsidP="1E1FFBB8">
            <w:pPr>
              <w:spacing w:before="240" w:after="0"/>
              <w:rPr>
                <w:szCs w:val="22"/>
              </w:rPr>
            </w:pPr>
            <w:r w:rsidRPr="005707CE">
              <w:rPr>
                <w:szCs w:val="22"/>
              </w:rPr>
              <w:t>M</w:t>
            </w:r>
            <w:r w:rsidR="009A7889" w:rsidRPr="005707CE">
              <w:rPr>
                <w:szCs w:val="22"/>
              </w:rPr>
              <w:t>O</w:t>
            </w:r>
            <w:r w:rsidRPr="005707CE">
              <w:rPr>
                <w:szCs w:val="22"/>
              </w:rPr>
              <w:t>H</w:t>
            </w:r>
            <w:r w:rsidR="005707CE">
              <w:rPr>
                <w:szCs w:val="22"/>
              </w:rPr>
              <w:t xml:space="preserve"> - Vietnam</w:t>
            </w:r>
          </w:p>
        </w:tc>
      </w:tr>
      <w:tr w:rsidR="1E1FFBB8" w:rsidRPr="005707CE" w14:paraId="3C01C0C0"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3919380" w14:textId="0D205872" w:rsidR="1E1FFBB8" w:rsidRPr="005707CE" w:rsidRDefault="1E1FFBB8" w:rsidP="1E1FFBB8">
            <w:pPr>
              <w:spacing w:before="240" w:after="0"/>
              <w:rPr>
                <w:szCs w:val="22"/>
              </w:rPr>
            </w:pPr>
            <w:r w:rsidRPr="005707CE">
              <w:rPr>
                <w:szCs w:val="22"/>
              </w:rPr>
              <w:t>Mr Jason Brown</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511A3B8B" w14:textId="20840E3B" w:rsidR="1E1FFBB8" w:rsidRPr="005707CE" w:rsidRDefault="1E1FFBB8" w:rsidP="1E1FFBB8">
            <w:pPr>
              <w:spacing w:before="240" w:after="0"/>
              <w:rPr>
                <w:szCs w:val="22"/>
              </w:rPr>
            </w:pPr>
            <w:r w:rsidRPr="005707CE">
              <w:rPr>
                <w:szCs w:val="22"/>
              </w:rPr>
              <w:t>AHP Support Unit</w:t>
            </w:r>
            <w:r w:rsidR="005707CE">
              <w:rPr>
                <w:szCs w:val="22"/>
              </w:rPr>
              <w:t xml:space="preserve"> – multiple countries</w:t>
            </w:r>
          </w:p>
        </w:tc>
      </w:tr>
      <w:tr w:rsidR="1E1FFBB8" w:rsidRPr="005707CE" w14:paraId="2CC44397"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5355524A" w14:textId="6DE889ED" w:rsidR="1E1FFBB8" w:rsidRPr="005707CE" w:rsidRDefault="1E1FFBB8" w:rsidP="1E1FFBB8">
            <w:pPr>
              <w:spacing w:before="240" w:after="0"/>
              <w:rPr>
                <w:szCs w:val="22"/>
              </w:rPr>
            </w:pPr>
            <w:r w:rsidRPr="005707CE">
              <w:rPr>
                <w:szCs w:val="22"/>
              </w:rPr>
              <w:t>Dr Felicity Jameson</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C364CF3" w14:textId="6207A5B7" w:rsidR="1E1FFBB8" w:rsidRPr="005707CE" w:rsidRDefault="1E1FFBB8" w:rsidP="1E1FFBB8">
            <w:pPr>
              <w:spacing w:before="240" w:after="0"/>
              <w:rPr>
                <w:szCs w:val="22"/>
              </w:rPr>
            </w:pPr>
            <w:r w:rsidRPr="005707CE">
              <w:rPr>
                <w:szCs w:val="22"/>
              </w:rPr>
              <w:t>Therapeutic Goods Administration (TGA)</w:t>
            </w:r>
            <w:r w:rsidR="005707CE">
              <w:rPr>
                <w:szCs w:val="22"/>
              </w:rPr>
              <w:t xml:space="preserve"> – multiple countries</w:t>
            </w:r>
          </w:p>
        </w:tc>
      </w:tr>
      <w:tr w:rsidR="1E1FFBB8" w:rsidRPr="005707CE" w14:paraId="799866D2"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B5F2E1E" w14:textId="4766DAF1" w:rsidR="1E1FFBB8" w:rsidRPr="005707CE" w:rsidRDefault="00A80CE5" w:rsidP="1E1FFBB8">
            <w:pPr>
              <w:spacing w:before="240" w:after="0"/>
              <w:rPr>
                <w:szCs w:val="22"/>
              </w:rPr>
            </w:pPr>
            <w:r w:rsidRPr="005707CE">
              <w:rPr>
                <w:szCs w:val="22"/>
              </w:rPr>
              <w:t xml:space="preserve">Prof </w:t>
            </w:r>
            <w:r w:rsidR="1E1FFBB8" w:rsidRPr="005707CE">
              <w:rPr>
                <w:szCs w:val="22"/>
              </w:rPr>
              <w:t>Kristine Macartney</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5A564649" w14:textId="2F28E5D6" w:rsidR="1E1FFBB8" w:rsidRPr="005707CE" w:rsidRDefault="1E1FFBB8" w:rsidP="1E1FFBB8">
            <w:pPr>
              <w:spacing w:before="240" w:after="0"/>
              <w:rPr>
                <w:szCs w:val="22"/>
              </w:rPr>
            </w:pPr>
            <w:r w:rsidRPr="005707CE">
              <w:rPr>
                <w:szCs w:val="22"/>
              </w:rPr>
              <w:t>National Centre for Immunisation Research and Surveillance (NCIRS)</w:t>
            </w:r>
            <w:r w:rsidR="005707CE">
              <w:rPr>
                <w:szCs w:val="22"/>
              </w:rPr>
              <w:t xml:space="preserve"> – multiple countries</w:t>
            </w:r>
          </w:p>
        </w:tc>
      </w:tr>
      <w:tr w:rsidR="1E1FFBB8" w:rsidRPr="005707CE" w14:paraId="18ECA69C"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637F2B7" w14:textId="2D8A1DF6" w:rsidR="1E1FFBB8" w:rsidRPr="005707CE" w:rsidRDefault="1E1FFBB8" w:rsidP="1E1FFBB8">
            <w:pPr>
              <w:spacing w:before="240" w:after="0"/>
              <w:rPr>
                <w:szCs w:val="22"/>
              </w:rPr>
            </w:pPr>
            <w:r w:rsidRPr="005707CE">
              <w:rPr>
                <w:szCs w:val="22"/>
              </w:rPr>
              <w:t>Jo Thomson (AETAP-PPI GEDSI Review)</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0CC0C5FD" w14:textId="36332C71" w:rsidR="1E1FFBB8" w:rsidRPr="005707CE" w:rsidRDefault="1E1FFBB8" w:rsidP="1E1FFBB8">
            <w:pPr>
              <w:spacing w:before="240" w:after="0"/>
              <w:rPr>
                <w:szCs w:val="22"/>
              </w:rPr>
            </w:pPr>
            <w:r w:rsidRPr="005707CE">
              <w:rPr>
                <w:szCs w:val="22"/>
              </w:rPr>
              <w:t>Learning for Development (L4D)</w:t>
            </w:r>
            <w:r w:rsidR="005707CE">
              <w:rPr>
                <w:szCs w:val="22"/>
              </w:rPr>
              <w:t xml:space="preserve"> – multiple countries</w:t>
            </w:r>
          </w:p>
        </w:tc>
      </w:tr>
      <w:tr w:rsidR="1E1FFBB8" w:rsidRPr="005707CE" w14:paraId="078C53C5"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C4298C2" w14:textId="736248BA" w:rsidR="1E1FFBB8" w:rsidRPr="005707CE" w:rsidRDefault="1E1FFBB8" w:rsidP="1E1FFBB8">
            <w:pPr>
              <w:spacing w:before="240" w:after="0"/>
              <w:rPr>
                <w:szCs w:val="22"/>
              </w:rPr>
            </w:pPr>
            <w:r w:rsidRPr="005707CE">
              <w:rPr>
                <w:szCs w:val="22"/>
              </w:rPr>
              <w:t>Bridie Rushton, former Assistant Secretary, CHS</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26CD15B" w14:textId="2EBF9B01" w:rsidR="1E1FFBB8" w:rsidRPr="005707CE" w:rsidRDefault="1E1FFBB8" w:rsidP="1E1FFBB8">
            <w:pPr>
              <w:spacing w:before="240" w:after="0"/>
              <w:rPr>
                <w:szCs w:val="22"/>
              </w:rPr>
            </w:pPr>
            <w:r w:rsidRPr="005707CE">
              <w:rPr>
                <w:szCs w:val="22"/>
              </w:rPr>
              <w:t>DFAT</w:t>
            </w:r>
            <w:r w:rsidR="005707CE">
              <w:rPr>
                <w:szCs w:val="22"/>
              </w:rPr>
              <w:t xml:space="preserve"> - Canberra</w:t>
            </w:r>
          </w:p>
        </w:tc>
      </w:tr>
      <w:tr w:rsidR="1E1FFBB8" w:rsidRPr="005707CE" w14:paraId="5FB56205"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1160E6A" w14:textId="04CC0B65" w:rsidR="1E1FFBB8" w:rsidRPr="005707CE" w:rsidRDefault="1E1FFBB8" w:rsidP="1E1FFBB8">
            <w:pPr>
              <w:spacing w:before="240" w:after="0"/>
              <w:rPr>
                <w:szCs w:val="22"/>
              </w:rPr>
            </w:pPr>
            <w:r w:rsidRPr="005707CE">
              <w:rPr>
                <w:szCs w:val="22"/>
              </w:rPr>
              <w:t>Dr Stephanie Williams, former Principal Health Specialist, CHS</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5BFEBFE" w14:textId="143C3D71" w:rsidR="1E1FFBB8" w:rsidRPr="005707CE" w:rsidRDefault="1E1FFBB8" w:rsidP="1E1FFBB8">
            <w:pPr>
              <w:spacing w:before="240" w:after="0"/>
              <w:rPr>
                <w:szCs w:val="22"/>
              </w:rPr>
            </w:pPr>
            <w:r w:rsidRPr="005707CE">
              <w:rPr>
                <w:szCs w:val="22"/>
              </w:rPr>
              <w:t>DFAT</w:t>
            </w:r>
            <w:r w:rsidR="005707CE">
              <w:rPr>
                <w:szCs w:val="22"/>
              </w:rPr>
              <w:t xml:space="preserve"> - Canberra</w:t>
            </w:r>
          </w:p>
        </w:tc>
      </w:tr>
      <w:tr w:rsidR="1E1FFBB8" w:rsidRPr="005707CE" w14:paraId="28F2A0E2"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9967AF4" w14:textId="234A05FC" w:rsidR="1E1FFBB8" w:rsidRPr="005707CE" w:rsidRDefault="1E1FFBB8" w:rsidP="1E1FFBB8">
            <w:pPr>
              <w:spacing w:before="240" w:after="0"/>
              <w:rPr>
                <w:szCs w:val="22"/>
              </w:rPr>
            </w:pPr>
            <w:r w:rsidRPr="005707CE">
              <w:rPr>
                <w:szCs w:val="22"/>
              </w:rPr>
              <w:t>Mr Sean Starmer</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4462B254" w14:textId="3E731B9B" w:rsidR="1E1FFBB8" w:rsidRPr="005707CE" w:rsidRDefault="1E1FFBB8" w:rsidP="1E1FFBB8">
            <w:pPr>
              <w:spacing w:before="240" w:after="0"/>
              <w:rPr>
                <w:szCs w:val="22"/>
              </w:rPr>
            </w:pPr>
            <w:r w:rsidRPr="005707CE">
              <w:rPr>
                <w:szCs w:val="22"/>
              </w:rPr>
              <w:t>DFAT</w:t>
            </w:r>
            <w:r w:rsidR="005707CE">
              <w:rPr>
                <w:szCs w:val="22"/>
              </w:rPr>
              <w:t xml:space="preserve"> - Canberra</w:t>
            </w:r>
          </w:p>
        </w:tc>
      </w:tr>
      <w:tr w:rsidR="1E1FFBB8" w:rsidRPr="005707CE" w14:paraId="302CAA8F"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3BF9A84" w14:textId="06DE995C" w:rsidR="1E1FFBB8" w:rsidRPr="005707CE" w:rsidRDefault="1E1FFBB8" w:rsidP="1E1FFBB8">
            <w:pPr>
              <w:spacing w:before="240" w:after="0"/>
              <w:rPr>
                <w:szCs w:val="22"/>
              </w:rPr>
            </w:pPr>
            <w:r w:rsidRPr="005707CE">
              <w:rPr>
                <w:szCs w:val="22"/>
              </w:rPr>
              <w:t>Robin Davies, former First Assistant Secretary, Centre for Health Security (CHS)</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1B15F46F" w14:textId="7A9D38AA" w:rsidR="1E1FFBB8" w:rsidRPr="005707CE" w:rsidRDefault="1E1FFBB8" w:rsidP="1E1FFBB8">
            <w:pPr>
              <w:spacing w:before="240" w:after="0"/>
              <w:rPr>
                <w:szCs w:val="22"/>
              </w:rPr>
            </w:pPr>
            <w:r w:rsidRPr="005707CE">
              <w:rPr>
                <w:szCs w:val="22"/>
              </w:rPr>
              <w:t>DFAT</w:t>
            </w:r>
            <w:r w:rsidR="005707CE">
              <w:rPr>
                <w:szCs w:val="22"/>
              </w:rPr>
              <w:t xml:space="preserve"> - Canberra</w:t>
            </w:r>
          </w:p>
        </w:tc>
      </w:tr>
      <w:tr w:rsidR="1E1FFBB8" w:rsidRPr="005707CE" w14:paraId="4B611EA7"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650E1120" w14:textId="303B13E9" w:rsidR="1E1FFBB8" w:rsidRPr="005707CE" w:rsidRDefault="1E1FFBB8" w:rsidP="1E1FFBB8">
            <w:pPr>
              <w:spacing w:before="240" w:after="0"/>
              <w:rPr>
                <w:szCs w:val="22"/>
              </w:rPr>
            </w:pPr>
            <w:r w:rsidRPr="005707CE">
              <w:rPr>
                <w:szCs w:val="22"/>
              </w:rPr>
              <w:t>Larissa Burke (GEDSI Adviser)</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53B42CBA" w14:textId="4AF3BE41" w:rsidR="1E1FFBB8" w:rsidRPr="005707CE" w:rsidRDefault="1E1FFBB8" w:rsidP="1E1FFBB8">
            <w:pPr>
              <w:spacing w:before="240" w:after="0"/>
              <w:rPr>
                <w:szCs w:val="22"/>
              </w:rPr>
            </w:pPr>
            <w:r w:rsidRPr="005707CE">
              <w:rPr>
                <w:szCs w:val="22"/>
              </w:rPr>
              <w:t>DFAT</w:t>
            </w:r>
            <w:r w:rsidR="005707CE">
              <w:rPr>
                <w:szCs w:val="22"/>
              </w:rPr>
              <w:t xml:space="preserve"> - Canberra</w:t>
            </w:r>
          </w:p>
        </w:tc>
      </w:tr>
      <w:tr w:rsidR="1E1FFBB8" w:rsidRPr="005707CE" w14:paraId="5DCE064D"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FDB8B20" w14:textId="48A2F612" w:rsidR="1E1FFBB8" w:rsidRPr="005707CE" w:rsidRDefault="1E1FFBB8" w:rsidP="1E1FFBB8">
            <w:pPr>
              <w:spacing w:before="240" w:after="0"/>
              <w:rPr>
                <w:szCs w:val="22"/>
              </w:rPr>
            </w:pPr>
            <w:r w:rsidRPr="005707CE">
              <w:rPr>
                <w:szCs w:val="22"/>
              </w:rPr>
              <w:t>Keryn Clark (M&amp;E)</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71665035" w14:textId="5E7119A2" w:rsidR="1E1FFBB8" w:rsidRPr="005707CE" w:rsidRDefault="1E1FFBB8" w:rsidP="1E1FFBB8">
            <w:pPr>
              <w:spacing w:before="240" w:after="0"/>
              <w:rPr>
                <w:szCs w:val="22"/>
              </w:rPr>
            </w:pPr>
            <w:r w:rsidRPr="005707CE">
              <w:rPr>
                <w:szCs w:val="22"/>
              </w:rPr>
              <w:t>DFAT</w:t>
            </w:r>
            <w:r w:rsidR="005707CE">
              <w:rPr>
                <w:szCs w:val="22"/>
              </w:rPr>
              <w:t xml:space="preserve"> - Canberra</w:t>
            </w:r>
          </w:p>
        </w:tc>
      </w:tr>
      <w:tr w:rsidR="1E1FFBB8" w:rsidRPr="00532C26" w14:paraId="4A93EEB8" w14:textId="77777777" w:rsidTr="005707CE">
        <w:trPr>
          <w:trHeight w:val="300"/>
        </w:trPr>
        <w:tc>
          <w:tcPr>
            <w:tcW w:w="38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37FCA8A6" w14:textId="01715BA3" w:rsidR="1E1FFBB8" w:rsidRPr="005707CE" w:rsidRDefault="1E1FFBB8" w:rsidP="1E1FFBB8">
            <w:pPr>
              <w:spacing w:before="240" w:after="0"/>
              <w:rPr>
                <w:szCs w:val="22"/>
              </w:rPr>
            </w:pPr>
            <w:r w:rsidRPr="005707CE">
              <w:rPr>
                <w:szCs w:val="22"/>
              </w:rPr>
              <w:t>Melissa Kamp (M&amp;E)</w:t>
            </w:r>
          </w:p>
        </w:tc>
        <w:tc>
          <w:tcPr>
            <w:tcW w:w="53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108" w:type="dxa"/>
              <w:right w:w="108" w:type="dxa"/>
            </w:tcMar>
          </w:tcPr>
          <w:p w14:paraId="29834F59" w14:textId="4C122605" w:rsidR="1E1FFBB8" w:rsidRPr="006B0C6C" w:rsidRDefault="1E1FFBB8" w:rsidP="1E1FFBB8">
            <w:pPr>
              <w:spacing w:before="240" w:after="0"/>
              <w:rPr>
                <w:szCs w:val="22"/>
              </w:rPr>
            </w:pPr>
            <w:r w:rsidRPr="005707CE">
              <w:rPr>
                <w:szCs w:val="22"/>
              </w:rPr>
              <w:t>DFAT</w:t>
            </w:r>
            <w:r w:rsidR="005707CE">
              <w:rPr>
                <w:szCs w:val="22"/>
              </w:rPr>
              <w:t xml:space="preserve"> - Canberra</w:t>
            </w:r>
          </w:p>
        </w:tc>
      </w:tr>
    </w:tbl>
    <w:p w14:paraId="61792CC2" w14:textId="6A7268AF" w:rsidR="03DE4356" w:rsidRPr="006B0C6C" w:rsidRDefault="03DE4356" w:rsidP="2F862C6E">
      <w:r w:rsidRPr="006B0C6C">
        <w:br w:type="page"/>
      </w:r>
    </w:p>
    <w:p w14:paraId="7BCC9F68" w14:textId="5A0951C7" w:rsidR="00721F73" w:rsidRDefault="38914913" w:rsidP="00653EA3">
      <w:pPr>
        <w:pStyle w:val="Heading1SHS"/>
        <w:numPr>
          <w:ilvl w:val="0"/>
          <w:numId w:val="0"/>
        </w:numPr>
      </w:pPr>
      <w:bookmarkStart w:id="266" w:name="_Toc200617312"/>
      <w:r w:rsidRPr="006B0C6C">
        <w:t>Annex 3: Evaluation plan</w:t>
      </w:r>
      <w:bookmarkEnd w:id="266"/>
    </w:p>
    <w:p w14:paraId="5DEBE2CB" w14:textId="77777777" w:rsidR="00653EA3" w:rsidRDefault="00653EA3" w:rsidP="00721F73">
      <w:bookmarkStart w:id="267" w:name="_Toc174688111"/>
    </w:p>
    <w:p w14:paraId="3B4FF318" w14:textId="67F93179" w:rsidR="00721F73" w:rsidRPr="00721F73" w:rsidRDefault="00721F73" w:rsidP="00721F73">
      <w:pPr>
        <w:rPr>
          <w:b/>
        </w:rPr>
      </w:pPr>
      <w:r w:rsidRPr="00721F73">
        <w:rPr>
          <w:b/>
        </w:rPr>
        <w:t>Introduction</w:t>
      </w:r>
      <w:bookmarkEnd w:id="267"/>
      <w:r w:rsidRPr="00721F73">
        <w:rPr>
          <w:b/>
        </w:rPr>
        <w:t xml:space="preserve"> </w:t>
      </w:r>
    </w:p>
    <w:p w14:paraId="052DB118" w14:textId="77777777" w:rsidR="00721F73" w:rsidRPr="00721F73" w:rsidRDefault="00721F73" w:rsidP="00721F73">
      <w:bookmarkStart w:id="268" w:name="_Toc484781723"/>
      <w:bookmarkStart w:id="269" w:name="_Toc485631014"/>
      <w:r w:rsidRPr="00721F73">
        <w:t xml:space="preserve">This document sets out the evaluation plan for the Vaccine Access and Health Security Initiative (VAHSI). The evaluation will take place from July – October 2024. </w:t>
      </w:r>
    </w:p>
    <w:p w14:paraId="44EFA33C" w14:textId="77777777" w:rsidR="00721F73" w:rsidRPr="00721F73" w:rsidRDefault="00721F73" w:rsidP="00721F73">
      <w:r w:rsidRPr="00721F73">
        <w:t xml:space="preserve">The Evaluation Plan is informed by several sources including: </w:t>
      </w:r>
    </w:p>
    <w:p w14:paraId="38561382" w14:textId="77777777" w:rsidR="00721F73" w:rsidRPr="00721F73" w:rsidRDefault="00721F73" w:rsidP="00721F73">
      <w:r w:rsidRPr="00721F73">
        <w:t>Evaluation Terms of Reference (TOR)</w:t>
      </w:r>
    </w:p>
    <w:p w14:paraId="59372C7B" w14:textId="77777777" w:rsidR="00721F73" w:rsidRPr="00721F73" w:rsidRDefault="00721F73" w:rsidP="00721F73">
      <w:r w:rsidRPr="00721F73">
        <w:t xml:space="preserve">Consultations with DFAT  </w:t>
      </w:r>
    </w:p>
    <w:p w14:paraId="34B244C0" w14:textId="77777777" w:rsidR="00721F73" w:rsidRPr="00721F73" w:rsidRDefault="00721F73" w:rsidP="00721F73">
      <w:r w:rsidRPr="00721F73">
        <w:t>Desk Review of relevant background documentation</w:t>
      </w:r>
    </w:p>
    <w:p w14:paraId="360439F7" w14:textId="77777777" w:rsidR="00721F73" w:rsidRPr="00721F73" w:rsidRDefault="00721F73" w:rsidP="00721F73">
      <w:r w:rsidRPr="00721F73">
        <w:t>DFAT Monitoring and Evaluation (M&amp;E) Standards.</w:t>
      </w:r>
      <w:r w:rsidRPr="00721F73">
        <w:rPr>
          <w:vertAlign w:val="superscript"/>
        </w:rPr>
        <w:footnoteReference w:id="7"/>
      </w:r>
    </w:p>
    <w:p w14:paraId="5B3085C1" w14:textId="77777777" w:rsidR="00721F73" w:rsidRPr="00721F73" w:rsidRDefault="00721F73" w:rsidP="00721F73">
      <w:r w:rsidRPr="00721F73">
        <w:t xml:space="preserve">The Plan has been prepared in line with DFAT’s M&amp;E Standards (Standard 9) (see Annex 1) and includes five sections: introduction; program background and context; overview of the review; review methodology; Review Team, as well as annexes. </w:t>
      </w:r>
    </w:p>
    <w:p w14:paraId="6F8832D3" w14:textId="77777777" w:rsidR="00721F73" w:rsidRPr="00721F73" w:rsidRDefault="00721F73" w:rsidP="00721F73">
      <w:pPr>
        <w:rPr>
          <w:b/>
        </w:rPr>
      </w:pPr>
      <w:bookmarkStart w:id="270" w:name="_Toc174688112"/>
      <w:r w:rsidRPr="00721F73">
        <w:rPr>
          <w:b/>
        </w:rPr>
        <w:t>Background and context</w:t>
      </w:r>
      <w:bookmarkEnd w:id="270"/>
      <w:r w:rsidRPr="00721F73">
        <w:rPr>
          <w:b/>
        </w:rPr>
        <w:t xml:space="preserve"> </w:t>
      </w:r>
    </w:p>
    <w:p w14:paraId="5712B034" w14:textId="77777777" w:rsidR="00721F73" w:rsidRPr="00721F73" w:rsidRDefault="00721F73" w:rsidP="00721F73">
      <w:r w:rsidRPr="00721F73">
        <w:t>The Vaccine Access and Health Security Initiative (VAHSI) was established to support equitable and inclusive access to COVID-19 vaccines in the Indo-Pacific region, tailored to need and supported by Australian technical expertise (October 2020 – December 2024).</w:t>
      </w:r>
    </w:p>
    <w:p w14:paraId="02FE95EF" w14:textId="77777777" w:rsidR="00721F73" w:rsidRPr="00721F73" w:rsidRDefault="00721F73" w:rsidP="00721F73">
      <w:r w:rsidRPr="00721F73">
        <w:t>The 18 VAHSI countries are:</w:t>
      </w:r>
    </w:p>
    <w:p w14:paraId="7BCA9988" w14:textId="77777777" w:rsidR="00721F73" w:rsidRPr="00721F73" w:rsidRDefault="00721F73" w:rsidP="00721F73">
      <w:r w:rsidRPr="00721F73">
        <w:rPr>
          <w:b/>
          <w:bCs/>
        </w:rPr>
        <w:t>Pacific</w:t>
      </w:r>
      <w:r w:rsidRPr="00721F73">
        <w:t>: Fiji, Kiribati, Nauru, Papua New Guinea, Samoa, Solomon Islands, Tonga, Tuvalu, Vanuatu</w:t>
      </w:r>
    </w:p>
    <w:p w14:paraId="267100F4" w14:textId="77777777" w:rsidR="00721F73" w:rsidRPr="00721F73" w:rsidRDefault="00721F73" w:rsidP="00721F73">
      <w:r w:rsidRPr="00721F73">
        <w:rPr>
          <w:b/>
          <w:bCs/>
        </w:rPr>
        <w:t>Southeast Asia</w:t>
      </w:r>
      <w:r w:rsidRPr="00721F73">
        <w:t>: Cambodia, Indonesia, Laos, Malaysia, Myanmar, Philippines, Thailand, Timor-Leste, Vietnam</w:t>
      </w:r>
    </w:p>
    <w:p w14:paraId="583E5580" w14:textId="1E52A5AB" w:rsidR="00721F73" w:rsidRPr="00721F73" w:rsidRDefault="00721F73" w:rsidP="00721F73">
      <w:r>
        <w:t>In 2020 and 2021, the focus of the initiative was procuring and delivering COVID-19 vaccines</w:t>
      </w:r>
      <w:r w:rsidR="0E8BEA60">
        <w:t xml:space="preserve"> to countries</w:t>
      </w:r>
      <w:r>
        <w:t xml:space="preserve">. In 2022, the initiative continued to deliver </w:t>
      </w:r>
      <w:proofErr w:type="gramStart"/>
      <w:r>
        <w:t>vaccines, and</w:t>
      </w:r>
      <w:proofErr w:type="gramEnd"/>
      <w:r>
        <w:t xml:space="preserve"> also assisted partner governments to deliver vaccines</w:t>
      </w:r>
      <w:r w:rsidR="30DA3564">
        <w:t xml:space="preserve"> within countries</w:t>
      </w:r>
      <w:r>
        <w:t xml:space="preserve">. In 2023 and 2024, VAHSI focused on assisting </w:t>
      </w:r>
      <w:r w:rsidRPr="009E30F5">
        <w:t>vaccine delivery</w:t>
      </w:r>
      <w:r w:rsidR="381666B8" w:rsidRPr="009E30F5">
        <w:t xml:space="preserve"> within countries</w:t>
      </w:r>
      <w:r w:rsidRPr="009E30F5">
        <w:t xml:space="preserve">. This shift from providing supply to supporting delivery </w:t>
      </w:r>
      <w:r w:rsidR="0656EBED" w:rsidRPr="009E30F5">
        <w:t>within</w:t>
      </w:r>
      <w:r w:rsidR="0656EBED">
        <w:t xml:space="preserve"> countries </w:t>
      </w:r>
      <w:r>
        <w:t>reflected a shift in partner government needs and moving from an initial rapid response phase to a longer-term response phase.</w:t>
      </w:r>
    </w:p>
    <w:p w14:paraId="6A62E690" w14:textId="77777777" w:rsidR="00721F73" w:rsidRPr="00721F73" w:rsidRDefault="00721F73" w:rsidP="00721F73">
      <w:r w:rsidRPr="00721F73">
        <w:t xml:space="preserve">In 2022, VAHSI’s scope was expanded to include routine and remedial immunisation for other vaccine preventable diseases (VPDs). This addressed an emerging need to increase routine immunisation activities that had not taken place in 2020 and 2021, when partner governments were focused on COVID-19 vaccination. </w:t>
      </w:r>
    </w:p>
    <w:p w14:paraId="6F34250F" w14:textId="011B600D" w:rsidR="00721F73" w:rsidRPr="00721F73" w:rsidRDefault="00721F73" w:rsidP="00721F73">
      <w:r>
        <w:t xml:space="preserve">VAHSI funding was augmented by $100 million provided through the Quad Vaccine Partnership and $19.2 million bilateral funding for activities in Vietnam and Laos (details in the table below). Quad funding was co-programmed with VAHSI, supporting vaccine procurement and </w:t>
      </w:r>
      <w:r w:rsidR="5F7D21B7">
        <w:t xml:space="preserve">supply </w:t>
      </w:r>
      <w:r>
        <w:t>across Southeast Asia with a particular focus on remote areas and vulnerable populations. For the purposes of this review all funding sources that contributed to VAHSI will be in scope.</w:t>
      </w:r>
    </w:p>
    <w:p w14:paraId="3E7EAF3A" w14:textId="77777777" w:rsidR="00721F73" w:rsidRPr="005707CE" w:rsidRDefault="00721F73" w:rsidP="00721F73">
      <w:pPr>
        <w:rPr>
          <w:b/>
          <w:bCs/>
          <w:i/>
        </w:rPr>
      </w:pPr>
      <w:r w:rsidRPr="005707CE">
        <w:rPr>
          <w:b/>
          <w:bCs/>
          <w:i/>
        </w:rPr>
        <w:t>Table 1: Detail of investment in scope for this evaluation</w:t>
      </w:r>
    </w:p>
    <w:tbl>
      <w:tblPr>
        <w:tblStyle w:val="TableGrid"/>
        <w:tblW w:w="0" w:type="auto"/>
        <w:tblLook w:val="04A0" w:firstRow="1" w:lastRow="0" w:firstColumn="1" w:lastColumn="0" w:noHBand="0" w:noVBand="1"/>
      </w:tblPr>
      <w:tblGrid>
        <w:gridCol w:w="3823"/>
        <w:gridCol w:w="3118"/>
        <w:gridCol w:w="2076"/>
      </w:tblGrid>
      <w:tr w:rsidR="00721F73" w:rsidRPr="00721F73" w14:paraId="3145BC07" w14:textId="77777777" w:rsidTr="00477706">
        <w:trPr>
          <w:tblHeader/>
        </w:trPr>
        <w:tc>
          <w:tcPr>
            <w:tcW w:w="3823" w:type="dxa"/>
          </w:tcPr>
          <w:p w14:paraId="1D152ACD" w14:textId="77777777" w:rsidR="00721F73" w:rsidRPr="00721F73" w:rsidRDefault="00721F73" w:rsidP="00721F73">
            <w:pPr>
              <w:rPr>
                <w:b/>
                <w:bCs/>
              </w:rPr>
            </w:pPr>
            <w:r w:rsidRPr="00721F73">
              <w:rPr>
                <w:b/>
                <w:bCs/>
              </w:rPr>
              <w:t>Investment</w:t>
            </w:r>
          </w:p>
        </w:tc>
        <w:tc>
          <w:tcPr>
            <w:tcW w:w="3118" w:type="dxa"/>
          </w:tcPr>
          <w:p w14:paraId="5017AF12" w14:textId="77777777" w:rsidR="00721F73" w:rsidRPr="00721F73" w:rsidRDefault="00721F73" w:rsidP="00721F73">
            <w:pPr>
              <w:rPr>
                <w:b/>
                <w:bCs/>
              </w:rPr>
            </w:pPr>
            <w:r w:rsidRPr="00721F73">
              <w:rPr>
                <w:b/>
                <w:bCs/>
              </w:rPr>
              <w:t>Period</w:t>
            </w:r>
          </w:p>
        </w:tc>
        <w:tc>
          <w:tcPr>
            <w:tcW w:w="2076" w:type="dxa"/>
          </w:tcPr>
          <w:p w14:paraId="37A43303" w14:textId="77777777" w:rsidR="00721F73" w:rsidRPr="00721F73" w:rsidRDefault="00721F73" w:rsidP="00721F73">
            <w:pPr>
              <w:rPr>
                <w:b/>
                <w:bCs/>
              </w:rPr>
            </w:pPr>
            <w:r w:rsidRPr="00721F73">
              <w:rPr>
                <w:b/>
                <w:bCs/>
              </w:rPr>
              <w:t>Funding (AU$ in millions)</w:t>
            </w:r>
          </w:p>
        </w:tc>
      </w:tr>
      <w:tr w:rsidR="00721F73" w:rsidRPr="00721F73" w14:paraId="74EEB75D" w14:textId="77777777" w:rsidTr="006E0707">
        <w:tc>
          <w:tcPr>
            <w:tcW w:w="3823" w:type="dxa"/>
          </w:tcPr>
          <w:p w14:paraId="5B4B2C63" w14:textId="77777777" w:rsidR="00721F73" w:rsidRPr="00721F73" w:rsidRDefault="00721F73" w:rsidP="00721F73">
            <w:r w:rsidRPr="00721F73">
              <w:t>VAHSI</w:t>
            </w:r>
          </w:p>
        </w:tc>
        <w:tc>
          <w:tcPr>
            <w:tcW w:w="3118" w:type="dxa"/>
          </w:tcPr>
          <w:p w14:paraId="6DF2B59E" w14:textId="77777777" w:rsidR="00721F73" w:rsidRPr="00721F73" w:rsidRDefault="00721F73" w:rsidP="00721F73">
            <w:r w:rsidRPr="00721F73">
              <w:t>FY20-21 to FY24-25</w:t>
            </w:r>
          </w:p>
        </w:tc>
        <w:tc>
          <w:tcPr>
            <w:tcW w:w="2076" w:type="dxa"/>
          </w:tcPr>
          <w:p w14:paraId="132E5E92" w14:textId="77777777" w:rsidR="00721F73" w:rsidRPr="00721F73" w:rsidRDefault="00721F73" w:rsidP="00E8051E">
            <w:pPr>
              <w:jc w:val="right"/>
            </w:pPr>
            <w:r w:rsidRPr="00721F73">
              <w:t>523.2</w:t>
            </w:r>
          </w:p>
        </w:tc>
      </w:tr>
      <w:tr w:rsidR="00721F73" w:rsidRPr="00721F73" w14:paraId="00625AF8" w14:textId="77777777" w:rsidTr="006E0707">
        <w:tc>
          <w:tcPr>
            <w:tcW w:w="3823" w:type="dxa"/>
          </w:tcPr>
          <w:p w14:paraId="04FD7110" w14:textId="77777777" w:rsidR="00721F73" w:rsidRPr="00721F73" w:rsidRDefault="00721F73" w:rsidP="00721F73">
            <w:r w:rsidRPr="00721F73">
              <w:t>Quad Vaccine Partnership (Southeast Asia only)</w:t>
            </w:r>
          </w:p>
        </w:tc>
        <w:tc>
          <w:tcPr>
            <w:tcW w:w="3118" w:type="dxa"/>
          </w:tcPr>
          <w:p w14:paraId="09E7131C" w14:textId="77777777" w:rsidR="00721F73" w:rsidRPr="00721F73" w:rsidRDefault="00721F73" w:rsidP="00721F73">
            <w:r w:rsidRPr="00721F73">
              <w:t>FY21-22</w:t>
            </w:r>
          </w:p>
        </w:tc>
        <w:tc>
          <w:tcPr>
            <w:tcW w:w="2076" w:type="dxa"/>
          </w:tcPr>
          <w:p w14:paraId="00D4D7AB" w14:textId="77777777" w:rsidR="00721F73" w:rsidRPr="00721F73" w:rsidRDefault="00721F73" w:rsidP="00E8051E">
            <w:pPr>
              <w:jc w:val="right"/>
            </w:pPr>
            <w:r w:rsidRPr="00721F73">
              <w:t>100</w:t>
            </w:r>
          </w:p>
        </w:tc>
      </w:tr>
      <w:tr w:rsidR="00721F73" w:rsidRPr="00721F73" w14:paraId="56686EF2" w14:textId="77777777" w:rsidTr="006E0707">
        <w:tc>
          <w:tcPr>
            <w:tcW w:w="3823" w:type="dxa"/>
          </w:tcPr>
          <w:p w14:paraId="58489723" w14:textId="77777777" w:rsidR="00721F73" w:rsidRPr="00721F73" w:rsidRDefault="00721F73" w:rsidP="00721F73">
            <w:r w:rsidRPr="00721F73">
              <w:t>Bilateral funding contributed to VAHSI delivery support agreement and vaccine procurement (Vietnam)</w:t>
            </w:r>
          </w:p>
        </w:tc>
        <w:tc>
          <w:tcPr>
            <w:tcW w:w="3118" w:type="dxa"/>
          </w:tcPr>
          <w:p w14:paraId="73DB0425" w14:textId="77777777" w:rsidR="00721F73" w:rsidRPr="00721F73" w:rsidRDefault="00721F73" w:rsidP="00721F73">
            <w:r w:rsidRPr="00721F73">
              <w:t>FY20-21 to FY22-23</w:t>
            </w:r>
          </w:p>
        </w:tc>
        <w:tc>
          <w:tcPr>
            <w:tcW w:w="2076" w:type="dxa"/>
          </w:tcPr>
          <w:p w14:paraId="343AFF7F" w14:textId="77777777" w:rsidR="00721F73" w:rsidRPr="00721F73" w:rsidRDefault="00721F73" w:rsidP="00E8051E">
            <w:pPr>
              <w:jc w:val="right"/>
            </w:pPr>
            <w:r w:rsidRPr="00721F73">
              <w:t>18.2</w:t>
            </w:r>
          </w:p>
        </w:tc>
      </w:tr>
      <w:tr w:rsidR="00721F73" w:rsidRPr="00721F73" w14:paraId="28B4FE30" w14:textId="77777777" w:rsidTr="006E0707">
        <w:tc>
          <w:tcPr>
            <w:tcW w:w="3823" w:type="dxa"/>
          </w:tcPr>
          <w:p w14:paraId="7F752283" w14:textId="77777777" w:rsidR="00721F73" w:rsidRPr="00721F73" w:rsidRDefault="00721F73" w:rsidP="00721F73">
            <w:r w:rsidRPr="00721F73">
              <w:t>Bilateral funding contributed to VAHSI delivery support agreement (Laos)</w:t>
            </w:r>
          </w:p>
        </w:tc>
        <w:tc>
          <w:tcPr>
            <w:tcW w:w="3118" w:type="dxa"/>
          </w:tcPr>
          <w:p w14:paraId="4BB9EB4F" w14:textId="77777777" w:rsidR="00721F73" w:rsidRPr="00721F73" w:rsidRDefault="00721F73" w:rsidP="00721F73">
            <w:r w:rsidRPr="00721F73">
              <w:t>FY20-21</w:t>
            </w:r>
          </w:p>
        </w:tc>
        <w:tc>
          <w:tcPr>
            <w:tcW w:w="2076" w:type="dxa"/>
          </w:tcPr>
          <w:p w14:paraId="368508F2" w14:textId="77777777" w:rsidR="00721F73" w:rsidRPr="00721F73" w:rsidRDefault="00721F73" w:rsidP="00E8051E">
            <w:pPr>
              <w:jc w:val="right"/>
            </w:pPr>
            <w:r w:rsidRPr="00721F73">
              <w:t>1</w:t>
            </w:r>
          </w:p>
        </w:tc>
      </w:tr>
      <w:tr w:rsidR="00721F73" w:rsidRPr="00721F73" w14:paraId="4499B012" w14:textId="77777777" w:rsidTr="006E0707">
        <w:tc>
          <w:tcPr>
            <w:tcW w:w="3823" w:type="dxa"/>
          </w:tcPr>
          <w:p w14:paraId="42883BD9" w14:textId="77777777" w:rsidR="00721F73" w:rsidRPr="00721F73" w:rsidRDefault="00721F73" w:rsidP="00721F73">
            <w:pPr>
              <w:rPr>
                <w:b/>
                <w:bCs/>
              </w:rPr>
            </w:pPr>
            <w:r w:rsidRPr="00721F73">
              <w:rPr>
                <w:b/>
                <w:bCs/>
              </w:rPr>
              <w:t>Total Funding</w:t>
            </w:r>
          </w:p>
        </w:tc>
        <w:tc>
          <w:tcPr>
            <w:tcW w:w="3118" w:type="dxa"/>
          </w:tcPr>
          <w:p w14:paraId="7F6CC773" w14:textId="77777777" w:rsidR="00721F73" w:rsidRPr="00721F73" w:rsidRDefault="00721F73" w:rsidP="00721F73">
            <w:r w:rsidRPr="00721F73">
              <w:t>FY20-25</w:t>
            </w:r>
          </w:p>
        </w:tc>
        <w:tc>
          <w:tcPr>
            <w:tcW w:w="2076" w:type="dxa"/>
          </w:tcPr>
          <w:p w14:paraId="0B2C7BE5" w14:textId="77777777" w:rsidR="00721F73" w:rsidRPr="00721F73" w:rsidRDefault="00721F73" w:rsidP="00E8051E">
            <w:pPr>
              <w:jc w:val="right"/>
            </w:pPr>
            <w:r w:rsidRPr="00721F73">
              <w:t>642.4</w:t>
            </w:r>
          </w:p>
        </w:tc>
      </w:tr>
    </w:tbl>
    <w:p w14:paraId="57047F00" w14:textId="77777777" w:rsidR="00721F73" w:rsidRPr="00721F73" w:rsidRDefault="00721F73" w:rsidP="00721F73"/>
    <w:p w14:paraId="62890262" w14:textId="77777777" w:rsidR="00721F73" w:rsidRPr="00721F73" w:rsidRDefault="00721F73" w:rsidP="00721F73">
      <w:r w:rsidRPr="00721F73">
        <w:t>The three components of VAHSI are:</w:t>
      </w:r>
    </w:p>
    <w:p w14:paraId="3D2D4C35" w14:textId="6646625A" w:rsidR="00721F73" w:rsidRPr="00721F73" w:rsidRDefault="00721F73" w:rsidP="00C30814">
      <w:pPr>
        <w:numPr>
          <w:ilvl w:val="0"/>
          <w:numId w:val="15"/>
        </w:numPr>
      </w:pPr>
      <w:r w:rsidRPr="33FE3C21">
        <w:rPr>
          <w:b/>
          <w:bCs/>
        </w:rPr>
        <w:t>COVID-19 vaccine access</w:t>
      </w:r>
      <w:r w:rsidRPr="009E30F5">
        <w:t>: delivery of doses</w:t>
      </w:r>
      <w:r w:rsidR="1CA0DEE7">
        <w:t xml:space="preserve"> to countries</w:t>
      </w:r>
      <w:r>
        <w:t xml:space="preserve"> from Australia’s domestic supply and through regional procurement arrangements with UNICEF. In Southeast Asia (SEA) this was supplemented by $17.5 million Quad funding to support dose sharing and $58 million for procurement in 2021-22.</w:t>
      </w:r>
    </w:p>
    <w:p w14:paraId="0DD16898" w14:textId="1240829B" w:rsidR="00721F73" w:rsidRPr="00721F73" w:rsidRDefault="6C1A9909" w:rsidP="00C30814">
      <w:pPr>
        <w:numPr>
          <w:ilvl w:val="0"/>
          <w:numId w:val="15"/>
        </w:numPr>
      </w:pPr>
      <w:r w:rsidRPr="33FE3C21">
        <w:rPr>
          <w:b/>
          <w:bCs/>
        </w:rPr>
        <w:t>In-country d</w:t>
      </w:r>
      <w:r w:rsidR="00721F73" w:rsidRPr="33FE3C21">
        <w:rPr>
          <w:b/>
          <w:bCs/>
        </w:rPr>
        <w:t>elivery support</w:t>
      </w:r>
      <w:r w:rsidR="00721F73">
        <w:t>: Tailored assistance to partner countries’ national COVID-19 vaccination programs, including technical advice to national regulators, support for public communication campaigns, cold chain infrastructure, and other logistics capacity. In SEA this was supplemented by $24 million Quad funding in 2021-22</w:t>
      </w:r>
    </w:p>
    <w:p w14:paraId="35A652CE" w14:textId="77777777" w:rsidR="00721F73" w:rsidRPr="00721F73" w:rsidRDefault="00721F73" w:rsidP="00C30814">
      <w:pPr>
        <w:numPr>
          <w:ilvl w:val="0"/>
          <w:numId w:val="15"/>
        </w:numPr>
      </w:pPr>
      <w:r w:rsidRPr="00721F73">
        <w:rPr>
          <w:b/>
          <w:bCs/>
        </w:rPr>
        <w:t>Regional health security architecture</w:t>
      </w:r>
      <w:r w:rsidRPr="00721F73">
        <w:t>:  VAHSI allocated $21 million to establish an ASEAN Centre for Public Health Emergencies and Emerging Diseases (ACPHEED) to help SEA prepare for and respond to future pandemics. ASEAN is progressing the required legal framework and financial and administrative arrangements to commence operations. The establishment of ACPHEED is being implemented separately and on a longer-term timeline than other VAHSI activities and is therefore not in scope for this review.</w:t>
      </w:r>
    </w:p>
    <w:p w14:paraId="48C37C88" w14:textId="77777777" w:rsidR="00721F73" w:rsidRPr="00721F73" w:rsidRDefault="00721F73" w:rsidP="00721F73">
      <w:r w:rsidRPr="00721F73">
        <w:t xml:space="preserve">Recognising that structural inequality results in some communities being more vulnerable than others, DFAT worked with implementing partners to advocate for and support equitable and meaningful engagement with diverse stakeholders in planning and safely delivering </w:t>
      </w:r>
      <w:proofErr w:type="gramStart"/>
      <w:r w:rsidRPr="00721F73">
        <w:t>vaccines, and</w:t>
      </w:r>
      <w:proofErr w:type="gramEnd"/>
      <w:r w:rsidRPr="00721F73">
        <w:t xml:space="preserve"> engaging diverse communities through inclusive communications. The end of program outcome for VAHSI reflected the prioritisation of the goal of </w:t>
      </w:r>
      <w:r w:rsidRPr="00721F73">
        <w:rPr>
          <w:i/>
          <w:iCs/>
        </w:rPr>
        <w:t>inclusive</w:t>
      </w:r>
      <w:r w:rsidRPr="00721F73">
        <w:t xml:space="preserve"> recovery.</w:t>
      </w:r>
    </w:p>
    <w:p w14:paraId="0641CCCD" w14:textId="77777777" w:rsidR="00477706" w:rsidRDefault="00477706">
      <w:pPr>
        <w:spacing w:after="160" w:line="259" w:lineRule="auto"/>
        <w:rPr>
          <w:b/>
          <w:sz w:val="28"/>
          <w:szCs w:val="32"/>
        </w:rPr>
      </w:pPr>
      <w:bookmarkStart w:id="271" w:name="_Toc157867507"/>
      <w:bookmarkStart w:id="272" w:name="_Toc157867635"/>
      <w:bookmarkStart w:id="273" w:name="_Toc158087786"/>
      <w:bookmarkStart w:id="274" w:name="_Toc174688113"/>
      <w:bookmarkStart w:id="275" w:name="_Toc481663985"/>
      <w:bookmarkEnd w:id="268"/>
      <w:bookmarkEnd w:id="269"/>
      <w:bookmarkEnd w:id="271"/>
      <w:bookmarkEnd w:id="272"/>
      <w:bookmarkEnd w:id="273"/>
      <w:r>
        <w:rPr>
          <w:b/>
          <w:sz w:val="28"/>
          <w:szCs w:val="32"/>
        </w:rPr>
        <w:br w:type="page"/>
      </w:r>
    </w:p>
    <w:p w14:paraId="0E8D4321" w14:textId="28D4C978" w:rsidR="00721F73" w:rsidRPr="00477706" w:rsidRDefault="00721F73" w:rsidP="00721F73">
      <w:pPr>
        <w:rPr>
          <w:b/>
          <w:sz w:val="28"/>
          <w:szCs w:val="32"/>
        </w:rPr>
      </w:pPr>
      <w:r w:rsidRPr="00477706">
        <w:rPr>
          <w:b/>
          <w:sz w:val="28"/>
          <w:szCs w:val="32"/>
        </w:rPr>
        <w:t>Evaluation overview</w:t>
      </w:r>
      <w:bookmarkEnd w:id="274"/>
      <w:r w:rsidRPr="00477706">
        <w:rPr>
          <w:b/>
          <w:sz w:val="28"/>
          <w:szCs w:val="32"/>
        </w:rPr>
        <w:t xml:space="preserve"> </w:t>
      </w:r>
    </w:p>
    <w:p w14:paraId="5C54F4AC" w14:textId="40BFC957" w:rsidR="00721F73" w:rsidRPr="00721F73" w:rsidRDefault="00721F73" w:rsidP="00721F73">
      <w:pPr>
        <w:rPr>
          <w:b/>
        </w:rPr>
      </w:pPr>
      <w:bookmarkStart w:id="276" w:name="_Toc174688114"/>
      <w:r w:rsidRPr="00721F73">
        <w:rPr>
          <w:b/>
        </w:rPr>
        <w:t>Evaluation purpose</w:t>
      </w:r>
      <w:bookmarkEnd w:id="276"/>
      <w:r w:rsidRPr="00721F73">
        <w:rPr>
          <w:b/>
        </w:rPr>
        <w:t xml:space="preserve"> </w:t>
      </w:r>
    </w:p>
    <w:p w14:paraId="423B405A" w14:textId="2AACB923" w:rsidR="00721F73" w:rsidRPr="00721F73" w:rsidRDefault="00721F73" w:rsidP="00721F73">
      <w:r w:rsidRPr="00721F73">
        <w:t xml:space="preserve">As stated in the Terms of Reference (TOR): “The purpose of the review is to independently assess the performance of VAHSI, including co-programmed Quad and bilateral funding, where these contributed to COVID-19 vaccine access and delivery support activities (excluding ACPHEED establishment). The review will assess the extent that these investments achieved their health and strategic outcomes, and their performance in areas of gender equality, disability and social inclusion (GEDSI). The review will include the analysis of evidence to develop lessons learned. The findings will inform the VAHSI Final Investment Monitoring Report (due early 2025) and future DFAT health investments, particularly health emergency responses”. </w:t>
      </w:r>
    </w:p>
    <w:p w14:paraId="7452CE79" w14:textId="77777777" w:rsidR="00721F73" w:rsidRPr="00721F73" w:rsidRDefault="00721F73" w:rsidP="00721F73">
      <w:pPr>
        <w:rPr>
          <w:b/>
        </w:rPr>
      </w:pPr>
      <w:bookmarkStart w:id="277" w:name="_Toc174688115"/>
      <w:r w:rsidRPr="00721F73">
        <w:rPr>
          <w:b/>
        </w:rPr>
        <w:t>Evaluation Questions</w:t>
      </w:r>
      <w:bookmarkEnd w:id="277"/>
      <w:r w:rsidRPr="00721F73">
        <w:rPr>
          <w:b/>
        </w:rPr>
        <w:t xml:space="preserve"> </w:t>
      </w:r>
    </w:p>
    <w:p w14:paraId="27C7E4E8" w14:textId="77777777" w:rsidR="00721F73" w:rsidRPr="00721F73" w:rsidRDefault="00721F73" w:rsidP="00721F73">
      <w:r w:rsidRPr="00721F73">
        <w:t xml:space="preserve">The evaluation questions as stated in the </w:t>
      </w:r>
      <w:proofErr w:type="spellStart"/>
      <w:r w:rsidRPr="00721F73">
        <w:t>ToR</w:t>
      </w:r>
      <w:proofErr w:type="spellEnd"/>
      <w:r w:rsidRPr="00721F73">
        <w:t xml:space="preserve"> are:</w:t>
      </w:r>
    </w:p>
    <w:p w14:paraId="3AA54FF4" w14:textId="77777777" w:rsidR="00721F73" w:rsidRPr="00721F73" w:rsidRDefault="00721F73" w:rsidP="00C30814">
      <w:pPr>
        <w:numPr>
          <w:ilvl w:val="0"/>
          <w:numId w:val="14"/>
        </w:numPr>
      </w:pPr>
      <w:r w:rsidRPr="00721F73">
        <w:t>EQ1 - How did VAHSI contribute to safe, effective and accessible COVID-19 vaccine supply; and promote COVID-19 and routine immunisation coverage in line with partner country plans in the Indo-Pacific Region? (Effectiveness – EOPO1 and EOPO2)</w:t>
      </w:r>
    </w:p>
    <w:p w14:paraId="72F91BE7" w14:textId="77777777" w:rsidR="00721F73" w:rsidRPr="00721F73" w:rsidRDefault="00721F73" w:rsidP="00C30814">
      <w:pPr>
        <w:numPr>
          <w:ilvl w:val="0"/>
          <w:numId w:val="14"/>
        </w:numPr>
        <w:rPr>
          <w:lang w:val="en-US"/>
        </w:rPr>
      </w:pPr>
      <w:r w:rsidRPr="00721F73">
        <w:rPr>
          <w:lang w:val="en-US"/>
        </w:rPr>
        <w:t xml:space="preserve">EQ2 - How did Australia’s support contribute to stronger relationships between Australia and partner governments? Are there aspects of </w:t>
      </w:r>
      <w:proofErr w:type="gramStart"/>
      <w:r w:rsidRPr="00721F73">
        <w:rPr>
          <w:lang w:val="en-US"/>
        </w:rPr>
        <w:t>the support</w:t>
      </w:r>
      <w:proofErr w:type="gramEnd"/>
      <w:r w:rsidRPr="00721F73">
        <w:rPr>
          <w:lang w:val="en-US"/>
        </w:rPr>
        <w:t xml:space="preserve"> that have been more valued than others, and why? (Effectiveness – EOPO3)</w:t>
      </w:r>
    </w:p>
    <w:p w14:paraId="59B06C12" w14:textId="77777777" w:rsidR="00721F73" w:rsidRPr="00721F73" w:rsidRDefault="00721F73" w:rsidP="00C30814">
      <w:pPr>
        <w:numPr>
          <w:ilvl w:val="0"/>
          <w:numId w:val="14"/>
        </w:numPr>
        <w:rPr>
          <w:lang w:val="en-US"/>
        </w:rPr>
      </w:pPr>
      <w:r w:rsidRPr="00721F73">
        <w:rPr>
          <w:lang w:val="en-US"/>
        </w:rPr>
        <w:t>EQ3 - How has VAHSI made efficient use of Australia and partners’ time, money and resources to achieve outputs and expected outcomes? Was the modality an appropriate mechanism to respond to regional and partner government needs? (Efficiency)</w:t>
      </w:r>
    </w:p>
    <w:p w14:paraId="602ED1D1" w14:textId="77777777" w:rsidR="00721F73" w:rsidRPr="00721F73" w:rsidRDefault="00721F73" w:rsidP="00C30814">
      <w:pPr>
        <w:numPr>
          <w:ilvl w:val="0"/>
          <w:numId w:val="14"/>
        </w:numPr>
        <w:rPr>
          <w:lang w:val="en-US"/>
        </w:rPr>
      </w:pPr>
      <w:r w:rsidRPr="00721F73">
        <w:rPr>
          <w:lang w:val="en-US"/>
        </w:rPr>
        <w:t xml:space="preserve">EQ4 - To what extent was VAHSI effective in promoting and progressing gender equality and supporting disability equality and social inclusion processes and outcomes? </w:t>
      </w:r>
    </w:p>
    <w:p w14:paraId="7F34329D" w14:textId="77777777" w:rsidR="00721F73" w:rsidRPr="00721F73" w:rsidRDefault="00721F73" w:rsidP="00C30814">
      <w:pPr>
        <w:numPr>
          <w:ilvl w:val="0"/>
          <w:numId w:val="14"/>
        </w:numPr>
        <w:rPr>
          <w:lang w:val="en-US"/>
        </w:rPr>
      </w:pPr>
      <w:r w:rsidRPr="00721F73">
        <w:rPr>
          <w:lang w:val="en-US"/>
        </w:rPr>
        <w:t>EQ5 - What lessons can be identified that could inform design and implementation of future large-scale regional health emergency response programs, including on GEDSI? (Lessons for future programs)</w:t>
      </w:r>
    </w:p>
    <w:p w14:paraId="10869C43" w14:textId="77777777" w:rsidR="00721F73" w:rsidRPr="00721F73" w:rsidRDefault="00721F73" w:rsidP="00721F73">
      <w:pPr>
        <w:rPr>
          <w:b/>
        </w:rPr>
      </w:pPr>
      <w:bookmarkStart w:id="278" w:name="_Toc174688116"/>
      <w:r w:rsidRPr="00721F73">
        <w:rPr>
          <w:b/>
        </w:rPr>
        <w:t>Intended users of the evaluation</w:t>
      </w:r>
      <w:bookmarkEnd w:id="278"/>
    </w:p>
    <w:p w14:paraId="1725671F" w14:textId="77777777" w:rsidR="00721F73" w:rsidRPr="00721F73" w:rsidRDefault="00721F73" w:rsidP="00721F73">
      <w:r w:rsidRPr="00721F73">
        <w:t>The intended users of the evaluation are primarily within DFAT (Canberra and at Post</w:t>
      </w:r>
      <w:proofErr w:type="gramStart"/>
      <w:r w:rsidRPr="00721F73">
        <w:t>)</w:t>
      </w:r>
      <w:proofErr w:type="gramEnd"/>
      <w:r w:rsidRPr="00721F73">
        <w:t xml:space="preserve"> and other government ministries involved in global health security, vaccine financing, and preparation and planning for future pandemics. </w:t>
      </w:r>
    </w:p>
    <w:p w14:paraId="10F1CD42" w14:textId="77777777" w:rsidR="00721F73" w:rsidRPr="00721F73" w:rsidRDefault="00721F73" w:rsidP="00721F73">
      <w:r w:rsidRPr="00721F73">
        <w:t xml:space="preserve">The evaluation report will be published on the DFAT website. Quality assurance processes will include: </w:t>
      </w:r>
    </w:p>
    <w:p w14:paraId="275C0AE9" w14:textId="77777777" w:rsidR="00721F73" w:rsidRPr="00721F73" w:rsidRDefault="00721F73" w:rsidP="00C30814">
      <w:pPr>
        <w:pStyle w:val="ListParagraph"/>
        <w:numPr>
          <w:ilvl w:val="0"/>
          <w:numId w:val="16"/>
        </w:numPr>
      </w:pPr>
      <w:r w:rsidRPr="00721F73">
        <w:t>Specialist Health Service (SHS) quality assurance of evaluation report.</w:t>
      </w:r>
    </w:p>
    <w:p w14:paraId="111B4D63" w14:textId="77777777" w:rsidR="00721F73" w:rsidRPr="00721F73" w:rsidRDefault="00721F73" w:rsidP="00C30814">
      <w:pPr>
        <w:pStyle w:val="ListParagraph"/>
        <w:numPr>
          <w:ilvl w:val="0"/>
          <w:numId w:val="16"/>
        </w:numPr>
      </w:pPr>
      <w:r w:rsidRPr="00721F73">
        <w:t>DFAT review and feedback on draft evaluation report</w:t>
      </w:r>
    </w:p>
    <w:p w14:paraId="5F74800B" w14:textId="77777777" w:rsidR="00721F73" w:rsidRPr="00721F73" w:rsidRDefault="00721F73" w:rsidP="00C30814">
      <w:pPr>
        <w:pStyle w:val="ListParagraph"/>
        <w:numPr>
          <w:ilvl w:val="0"/>
          <w:numId w:val="16"/>
        </w:numPr>
      </w:pPr>
      <w:r w:rsidRPr="00721F73">
        <w:t xml:space="preserve">Evaluation team </w:t>
      </w:r>
      <w:proofErr w:type="spellStart"/>
      <w:r w:rsidRPr="00721F73">
        <w:t>finalisation</w:t>
      </w:r>
      <w:proofErr w:type="spellEnd"/>
      <w:r w:rsidRPr="00721F73">
        <w:t xml:space="preserve"> of evaluation report including accessibility check</w:t>
      </w:r>
    </w:p>
    <w:p w14:paraId="0B1E2819" w14:textId="1B3CCB48" w:rsidR="00721F73" w:rsidRPr="00721F73" w:rsidRDefault="00721F73" w:rsidP="00477706">
      <w:pPr>
        <w:spacing w:before="240"/>
        <w:rPr>
          <w:b/>
        </w:rPr>
      </w:pPr>
      <w:bookmarkStart w:id="279" w:name="_Toc174688117"/>
      <w:r w:rsidRPr="00721F73">
        <w:rPr>
          <w:b/>
        </w:rPr>
        <w:t>Evaluation methodology</w:t>
      </w:r>
      <w:bookmarkEnd w:id="279"/>
      <w:r w:rsidRPr="00721F73">
        <w:rPr>
          <w:b/>
        </w:rPr>
        <w:t xml:space="preserve"> </w:t>
      </w:r>
    </w:p>
    <w:p w14:paraId="1EF50952" w14:textId="77777777" w:rsidR="00721F73" w:rsidRPr="00721F73" w:rsidRDefault="00721F73" w:rsidP="00721F73">
      <w:r w:rsidRPr="00721F73">
        <w:t xml:space="preserve">Key elements of the methodology include: </w:t>
      </w:r>
    </w:p>
    <w:p w14:paraId="39735825" w14:textId="77777777" w:rsidR="00721F73" w:rsidRPr="00721F73" w:rsidRDefault="00721F73" w:rsidP="00C30814">
      <w:pPr>
        <w:pStyle w:val="ListParagraph"/>
        <w:numPr>
          <w:ilvl w:val="0"/>
          <w:numId w:val="17"/>
        </w:numPr>
      </w:pPr>
      <w:r w:rsidRPr="00721F73">
        <w:t xml:space="preserve">Case study </w:t>
      </w:r>
      <w:proofErr w:type="gramStart"/>
      <w:r w:rsidRPr="00721F73">
        <w:t>focus</w:t>
      </w:r>
      <w:proofErr w:type="gramEnd"/>
      <w:r w:rsidRPr="00721F73">
        <w:t xml:space="preserve"> with multiple stakeholders to provide depth of inquiry, triangulate research findings and collect qualitative data. </w:t>
      </w:r>
    </w:p>
    <w:p w14:paraId="1909569D" w14:textId="77777777" w:rsidR="00721F73" w:rsidRPr="00721F73" w:rsidRDefault="00721F73" w:rsidP="00C30814">
      <w:pPr>
        <w:pStyle w:val="ListParagraph"/>
        <w:numPr>
          <w:ilvl w:val="0"/>
          <w:numId w:val="17"/>
        </w:numPr>
      </w:pPr>
      <w:r w:rsidRPr="00721F73">
        <w:t xml:space="preserve">Qualitative and quantitative approaches to develop a comprehensive understanding of achievements and, where possible, contribution. </w:t>
      </w:r>
    </w:p>
    <w:p w14:paraId="164C9057" w14:textId="77777777" w:rsidR="00721F73" w:rsidRPr="00721F73" w:rsidRDefault="00721F73" w:rsidP="00C30814">
      <w:pPr>
        <w:pStyle w:val="ListParagraph"/>
        <w:numPr>
          <w:ilvl w:val="0"/>
          <w:numId w:val="17"/>
        </w:numPr>
      </w:pPr>
      <w:r w:rsidRPr="00721F73">
        <w:t>Questions that elicit information on what worked, and how the mechanism could be improved for future pandemics.</w:t>
      </w:r>
    </w:p>
    <w:p w14:paraId="124A2224" w14:textId="77777777" w:rsidR="00721F73" w:rsidRPr="00721F73" w:rsidRDefault="00721F73" w:rsidP="00C30814">
      <w:pPr>
        <w:pStyle w:val="ListParagraph"/>
        <w:numPr>
          <w:ilvl w:val="0"/>
          <w:numId w:val="17"/>
        </w:numPr>
      </w:pPr>
      <w:r w:rsidRPr="00721F73">
        <w:t xml:space="preserve">Analytical frameworks to support clarity in inquiry, analysis, findings and recommendations. </w:t>
      </w:r>
    </w:p>
    <w:p w14:paraId="14968EA4" w14:textId="2769A3E7" w:rsidR="00721F73" w:rsidRPr="00721F73" w:rsidRDefault="00721F73" w:rsidP="00C30814">
      <w:pPr>
        <w:pStyle w:val="ListParagraph"/>
        <w:numPr>
          <w:ilvl w:val="0"/>
          <w:numId w:val="17"/>
        </w:numPr>
      </w:pPr>
      <w:r w:rsidRPr="00721F73">
        <w:t xml:space="preserve">Culturally appropriate approaches to ensure that data collection is respectful of evaluation participants. </w:t>
      </w:r>
    </w:p>
    <w:p w14:paraId="6EEAEDFC" w14:textId="77777777" w:rsidR="00721F73" w:rsidRPr="00721F73" w:rsidRDefault="00721F73" w:rsidP="00721F73">
      <w:pPr>
        <w:rPr>
          <w:b/>
        </w:rPr>
      </w:pPr>
      <w:r w:rsidRPr="00721F73">
        <w:rPr>
          <w:b/>
        </w:rPr>
        <w:t xml:space="preserve"> </w:t>
      </w:r>
      <w:bookmarkStart w:id="280" w:name="_Toc174688118"/>
      <w:r w:rsidRPr="00721F73">
        <w:rPr>
          <w:b/>
        </w:rPr>
        <w:t>Sampling</w:t>
      </w:r>
      <w:bookmarkEnd w:id="280"/>
      <w:r w:rsidRPr="00721F73">
        <w:rPr>
          <w:b/>
        </w:rPr>
        <w:t xml:space="preserve">  </w:t>
      </w:r>
    </w:p>
    <w:p w14:paraId="45B8D688" w14:textId="05F1EFC7" w:rsidR="00721F73" w:rsidRPr="00721F73" w:rsidRDefault="00721F73" w:rsidP="00721F73">
      <w:r>
        <w:t xml:space="preserve">This is a summative, end of initiative evaluation of a significant investment in the supply of COVID-19 vaccines </w:t>
      </w:r>
      <w:r w:rsidR="0E8ACEC8">
        <w:t>to</w:t>
      </w:r>
      <w:r>
        <w:t xml:space="preserve"> 18 countries in Southeast Asia and the Pacific</w:t>
      </w:r>
      <w:r w:rsidR="55AA22E4">
        <w:t xml:space="preserve"> and support to their delivery within these countries</w:t>
      </w:r>
      <w:r>
        <w:t>. As VAHSI encompasses multiple countries there is a need to balance breadth and depth of inquiry to manage within the scope and time frame of the evaluation. It is not possible to assess every country through this evaluation. Therefore, in consultation with DFAT the Review Team has selected four countries: Indonesia, Vietnam, Vanuatu and Timor Leste. Consideration was given to:</w:t>
      </w:r>
    </w:p>
    <w:p w14:paraId="5F0AEE28" w14:textId="77777777" w:rsidR="00721F73" w:rsidRPr="00653EA3" w:rsidRDefault="00721F73" w:rsidP="00C30814">
      <w:pPr>
        <w:pStyle w:val="ListParagraph"/>
        <w:numPr>
          <w:ilvl w:val="0"/>
          <w:numId w:val="18"/>
        </w:numPr>
      </w:pPr>
      <w:r w:rsidRPr="00653EA3">
        <w:t>Selecting a mix of countries from the Pacific and SEA.</w:t>
      </w:r>
    </w:p>
    <w:p w14:paraId="415F4AB3" w14:textId="77777777" w:rsidR="00721F73" w:rsidRPr="00653EA3" w:rsidRDefault="00721F73" w:rsidP="00C30814">
      <w:pPr>
        <w:pStyle w:val="ListParagraph"/>
        <w:numPr>
          <w:ilvl w:val="0"/>
          <w:numId w:val="18"/>
        </w:numPr>
      </w:pPr>
      <w:r w:rsidRPr="00653EA3">
        <w:t xml:space="preserve">Availability of relevant documentation and key informants for interviews within the evaluation period. </w:t>
      </w:r>
    </w:p>
    <w:p w14:paraId="7FC18A84" w14:textId="6F96B4E0" w:rsidR="00721F73" w:rsidRPr="00653EA3" w:rsidRDefault="00721F73" w:rsidP="00C30814">
      <w:pPr>
        <w:pStyle w:val="ListParagraph"/>
        <w:numPr>
          <w:ilvl w:val="0"/>
          <w:numId w:val="18"/>
        </w:numPr>
      </w:pPr>
      <w:r w:rsidRPr="00653EA3">
        <w:t>A mix of different delivery</w:t>
      </w:r>
      <w:r w:rsidR="006874E4">
        <w:t xml:space="preserve"> support</w:t>
      </w:r>
      <w:r w:rsidRPr="00653EA3">
        <w:t xml:space="preserve"> partners.</w:t>
      </w:r>
    </w:p>
    <w:p w14:paraId="3EEBF3D2" w14:textId="77777777" w:rsidR="00721F73" w:rsidRPr="00653EA3" w:rsidRDefault="00721F73" w:rsidP="00C30814">
      <w:pPr>
        <w:pStyle w:val="ListParagraph"/>
        <w:numPr>
          <w:ilvl w:val="0"/>
          <w:numId w:val="18"/>
        </w:numPr>
      </w:pPr>
      <w:r w:rsidRPr="00653EA3">
        <w:t xml:space="preserve">Recipients of QUAD funding. </w:t>
      </w:r>
    </w:p>
    <w:p w14:paraId="7CF5A184" w14:textId="77777777" w:rsidR="00721F73" w:rsidRPr="00653EA3" w:rsidRDefault="00721F73" w:rsidP="00C30814">
      <w:pPr>
        <w:pStyle w:val="ListParagraph"/>
        <w:numPr>
          <w:ilvl w:val="0"/>
          <w:numId w:val="18"/>
        </w:numPr>
      </w:pPr>
      <w:r w:rsidRPr="00653EA3">
        <w:t xml:space="preserve">For each selected country, stakeholders will include: </w:t>
      </w:r>
    </w:p>
    <w:p w14:paraId="76424A2C" w14:textId="77777777" w:rsidR="00721F73" w:rsidRPr="00653EA3" w:rsidRDefault="00721F73" w:rsidP="00C30814">
      <w:pPr>
        <w:pStyle w:val="ListParagraph"/>
        <w:numPr>
          <w:ilvl w:val="0"/>
          <w:numId w:val="18"/>
        </w:numPr>
      </w:pPr>
      <w:r w:rsidRPr="00653EA3">
        <w:t>DFAT officials in Canberra and at Post.</w:t>
      </w:r>
    </w:p>
    <w:p w14:paraId="682478B0" w14:textId="77777777" w:rsidR="00721F73" w:rsidRPr="00653EA3" w:rsidRDefault="00721F73" w:rsidP="00C30814">
      <w:pPr>
        <w:pStyle w:val="ListParagraph"/>
        <w:numPr>
          <w:ilvl w:val="0"/>
          <w:numId w:val="18"/>
        </w:numPr>
      </w:pPr>
      <w:r w:rsidRPr="00653EA3">
        <w:t>Relevant partner government officials, particularly Ministry of Health (MoH) officials.</w:t>
      </w:r>
    </w:p>
    <w:p w14:paraId="5A36D7C5" w14:textId="77777777" w:rsidR="00721F73" w:rsidRPr="00653EA3" w:rsidRDefault="00721F73" w:rsidP="00C30814">
      <w:pPr>
        <w:pStyle w:val="ListParagraph"/>
        <w:numPr>
          <w:ilvl w:val="0"/>
          <w:numId w:val="18"/>
        </w:numPr>
      </w:pPr>
      <w:r w:rsidRPr="00653EA3">
        <w:t>Implementing partners including Multilaterals, DFAT bilateral partners, NGOs and other implementing partners at the discretion of the Evaluation Team. This may follow a “snowball” technique as interviews are conducted (that is, based on stakeholder responses a reach-out to other relevant stakeholders as identified) dependent on stakeholder availability and timing.</w:t>
      </w:r>
    </w:p>
    <w:p w14:paraId="00394461" w14:textId="0F4FBC7B" w:rsidR="00721F73" w:rsidRPr="00653EA3" w:rsidRDefault="00721F73" w:rsidP="00C30814">
      <w:pPr>
        <w:pStyle w:val="ListParagraph"/>
        <w:numPr>
          <w:ilvl w:val="0"/>
          <w:numId w:val="18"/>
        </w:numPr>
      </w:pPr>
      <w:r w:rsidRPr="00653EA3">
        <w:t>Other relevant stakeholders, as identified.</w:t>
      </w:r>
    </w:p>
    <w:p w14:paraId="3000DCB6" w14:textId="77777777" w:rsidR="00721F73" w:rsidRPr="00721F73" w:rsidRDefault="00721F73" w:rsidP="00721F73">
      <w:pPr>
        <w:rPr>
          <w:b/>
        </w:rPr>
      </w:pPr>
      <w:bookmarkStart w:id="281" w:name="_Toc174688119"/>
      <w:r w:rsidRPr="00721F73">
        <w:rPr>
          <w:b/>
        </w:rPr>
        <w:t>Approach</w:t>
      </w:r>
      <w:bookmarkEnd w:id="281"/>
      <w:r w:rsidRPr="00721F73">
        <w:rPr>
          <w:b/>
        </w:rPr>
        <w:t xml:space="preserve">  </w:t>
      </w:r>
    </w:p>
    <w:p w14:paraId="60614523" w14:textId="3E9ECC55" w:rsidR="00721F73" w:rsidRPr="00721F73" w:rsidRDefault="00721F73" w:rsidP="00721F73">
      <w:r w:rsidRPr="00721F73">
        <w:t>The evaluation will focus on assessing effectiveness, efficiency and GEDSI, and identifying lessons learned to guide planning and response activities both in preparation for, and during, future pandemics. In alignment with the OECD</w:t>
      </w:r>
      <w:r w:rsidRPr="00721F73">
        <w:rPr>
          <w:vertAlign w:val="superscript"/>
        </w:rPr>
        <w:footnoteReference w:id="8"/>
      </w:r>
      <w:r w:rsidRPr="00721F73">
        <w:t xml:space="preserve"> DAC evaluation criteria, the Evaluation Team have developed quantitative and qualitative questions for document review and for key informant interviews (KII) (see Annex 2). </w:t>
      </w:r>
    </w:p>
    <w:p w14:paraId="707F2DBB" w14:textId="77777777" w:rsidR="008C7F1C" w:rsidRDefault="008C7F1C" w:rsidP="00721F73">
      <w:pPr>
        <w:rPr>
          <w:b/>
          <w:bCs/>
        </w:rPr>
      </w:pPr>
      <w:bookmarkStart w:id="282" w:name="_Toc174688120"/>
    </w:p>
    <w:p w14:paraId="0EA62835" w14:textId="2F3A73F4" w:rsidR="00721F73" w:rsidRPr="00721F73" w:rsidRDefault="00721F73" w:rsidP="00721F73">
      <w:pPr>
        <w:rPr>
          <w:b/>
          <w:bCs/>
        </w:rPr>
      </w:pPr>
      <w:r w:rsidRPr="00721F73">
        <w:rPr>
          <w:b/>
          <w:bCs/>
        </w:rPr>
        <w:t>Effectiveness</w:t>
      </w:r>
      <w:bookmarkEnd w:id="282"/>
    </w:p>
    <w:p w14:paraId="17614097" w14:textId="2D8866DB" w:rsidR="00721F73" w:rsidRPr="00721F73" w:rsidRDefault="00721F73" w:rsidP="00721F73">
      <w:r>
        <w:t xml:space="preserve">To assess effectiveness of COVID-19 vaccine procurement and delivery the evaluation will focus on the aspects of vaccine safety, effectiveness, and access to the COVID-19 vaccines that were within VAHSI influence. The evaluation will also assess the effectiveness of VAHSI’s support of immunisation support and routine immunisations, focusing on the number and type of support activities delivered and how these activities contributed to meeting country needs and expectations. To assess effectiveness the different priorities of VAHSI will be considered. </w:t>
      </w:r>
    </w:p>
    <w:p w14:paraId="08F79156" w14:textId="77777777" w:rsidR="00721F73" w:rsidRPr="00721F73" w:rsidRDefault="00721F73" w:rsidP="00721F73">
      <w:r w:rsidRPr="00721F73">
        <w:t xml:space="preserve">Of particular importance will be analysis of any information that allows the Evaluation Team to determine effectiveness attributable to VAHSI in a context where vaccine doses and immunisation support activities were supplied from multiple sources at concurrent times. This may include country specific progress reports and ongoing reporting from delivery support providers. In the event it is challenging to quantitatively attribute effectiveness to VAHSI, the Evaluation Team will qualitatively assess these aspects (through document review and KIIs). Under this focus area of effectiveness, the Evaluation Team will analyse evidence where it is available, such as disaggregated data of subnational distribution and investment activity reach, considering both at-risk groups targeted for vaccinations and marginalised or vulnerable people, in accordance with the VAHSI program logic which prioritises GEDSI and aligns with the Sustainable Development Goal (SDG) priority of “leave no one behind.” </w:t>
      </w:r>
      <w:r w:rsidRPr="00721F73">
        <w:rPr>
          <w:vertAlign w:val="superscript"/>
        </w:rPr>
        <w:footnoteReference w:id="9"/>
      </w:r>
    </w:p>
    <w:p w14:paraId="1C8F57BA" w14:textId="77777777" w:rsidR="00721F73" w:rsidRPr="00721F73" w:rsidRDefault="00721F73" w:rsidP="00721F73">
      <w:r w:rsidRPr="00721F73">
        <w:t xml:space="preserve">The Evaluation Team will assess the extent to which outcomes were achieved, and whether there were any unintended impacts, embedded in the context that this pandemic was a rapidly evolving health emergency.  </w:t>
      </w:r>
    </w:p>
    <w:p w14:paraId="422538FC" w14:textId="77777777" w:rsidR="00721F73" w:rsidRPr="00721F73" w:rsidRDefault="00721F73" w:rsidP="00721F73">
      <w:r w:rsidRPr="00721F73">
        <w:t xml:space="preserve">Qualitative evidence (document review and KIIs) will also predominantly be used to evaluate the extent to which, and how, Australia’s support contributed to stronger relationships between Australia and partner governments (EQ2), as well as which aspects were more valued than others. </w:t>
      </w:r>
    </w:p>
    <w:p w14:paraId="29080127" w14:textId="77777777" w:rsidR="00721F73" w:rsidRPr="00721F73" w:rsidRDefault="00721F73" w:rsidP="00721F73">
      <w:pPr>
        <w:rPr>
          <w:b/>
          <w:bCs/>
        </w:rPr>
      </w:pPr>
      <w:bookmarkStart w:id="283" w:name="_Toc172223768"/>
      <w:bookmarkStart w:id="284" w:name="_Toc172223816"/>
      <w:bookmarkStart w:id="285" w:name="_Toc172237787"/>
      <w:bookmarkStart w:id="286" w:name="_Toc174688121"/>
      <w:bookmarkEnd w:id="283"/>
      <w:bookmarkEnd w:id="284"/>
      <w:bookmarkEnd w:id="285"/>
      <w:r w:rsidRPr="00721F73">
        <w:rPr>
          <w:b/>
          <w:bCs/>
        </w:rPr>
        <w:t>Efficiency</w:t>
      </w:r>
      <w:bookmarkEnd w:id="286"/>
    </w:p>
    <w:p w14:paraId="3320F455" w14:textId="77777777" w:rsidR="00721F73" w:rsidRPr="00721F73" w:rsidRDefault="00721F73" w:rsidP="00721F73">
      <w:r w:rsidRPr="00721F73">
        <w:t>EQ3 is primarily structured around efficiency – determining whether the initiative or intervention delivered results in an economic, operationally efficient, and timely way. Analyses will be descriptive; formal cost-effectiveness analysis will not be undertaken as a component of this review, given a systematic review concluded that COVID-19 vaccination and booster vaccination were cost-effective or cost-saving regardless of the vaccine type; and that vaccine efficacy, vaccine price, vaccine supply or prioritisation, and vaccination pace were the influential factors of cost-effectiveness among different population groups</w:t>
      </w:r>
      <w:r w:rsidRPr="00721F73">
        <w:rPr>
          <w:vertAlign w:val="superscript"/>
        </w:rPr>
        <w:footnoteReference w:id="10"/>
      </w:r>
      <w:r w:rsidRPr="00721F73">
        <w:rPr>
          <w:vertAlign w:val="superscript"/>
        </w:rPr>
        <w:t>.</w:t>
      </w:r>
      <w:r w:rsidRPr="00721F73">
        <w:t xml:space="preserve"> The judicious, and timely, use of resources is always a key consideration for governments and stakeholder groups and can often influence future investment decisions even in programs that are otherwise found to be highly effective. In accordance with OECD DAC criteria</w:t>
      </w:r>
      <w:r w:rsidRPr="00721F73">
        <w:rPr>
          <w:vertAlign w:val="superscript"/>
        </w:rPr>
        <w:footnoteReference w:id="11"/>
      </w:r>
      <w:r w:rsidRPr="00721F73">
        <w:t>, efficiency investigations will include:</w:t>
      </w:r>
    </w:p>
    <w:p w14:paraId="124A3F71" w14:textId="77777777" w:rsidR="00721F73" w:rsidRPr="00721F73" w:rsidRDefault="00721F73" w:rsidP="00721F73">
      <w:pPr>
        <w:rPr>
          <w:lang w:val="en-US"/>
        </w:rPr>
      </w:pPr>
      <w:bookmarkStart w:id="287" w:name="_Hlk173744969"/>
      <w:r w:rsidRPr="00721F73">
        <w:rPr>
          <w:lang w:val="en-US"/>
        </w:rPr>
        <w:t>Economic efficiency – deviations in the budget, and the assessment of inputs into results as being in the most cost-efficient way</w:t>
      </w:r>
    </w:p>
    <w:bookmarkEnd w:id="287"/>
    <w:p w14:paraId="45708E5E" w14:textId="64DEB6EC" w:rsidR="00721F73" w:rsidRPr="00721F73" w:rsidRDefault="00721F73" w:rsidP="00721F73">
      <w:pPr>
        <w:rPr>
          <w:lang w:val="en-US"/>
        </w:rPr>
      </w:pPr>
      <w:r w:rsidRPr="00721F73">
        <w:rPr>
          <w:lang w:val="en-US"/>
        </w:rPr>
        <w:t xml:space="preserve">Operational efficiency – how well the resources are used during implementation, whether resources were redirected, logistic decisions optimal, risks managed, and decisions made to enhance efficiency in changing contexts and in harmony with other donors and partner </w:t>
      </w:r>
      <w:r w:rsidR="0048264E">
        <w:rPr>
          <w:lang w:val="en-US"/>
        </w:rPr>
        <w:t>g</w:t>
      </w:r>
      <w:r w:rsidRPr="00721F73">
        <w:rPr>
          <w:lang w:val="en-US"/>
        </w:rPr>
        <w:t>overnment systems</w:t>
      </w:r>
    </w:p>
    <w:p w14:paraId="04EFDDF9" w14:textId="4D6CA87F" w:rsidR="00721F73" w:rsidRPr="00721F73" w:rsidRDefault="00721F73" w:rsidP="00721F73">
      <w:pPr>
        <w:rPr>
          <w:lang w:val="en-US"/>
        </w:rPr>
      </w:pPr>
      <w:r w:rsidRPr="00721F73">
        <w:rPr>
          <w:lang w:val="en-US"/>
        </w:rPr>
        <w:t>Time efficiency – whether the results were achieved in the expected timeframe, or whether they were achieved in a timeframe that was beneficial to the recipient, whether there were efforts to overcome obstacles and mitigate delays, and whether there were reasonable adjustments to these given changing context</w:t>
      </w:r>
      <w:r w:rsidR="00653EA3">
        <w:rPr>
          <w:lang w:val="en-US"/>
        </w:rPr>
        <w:t>.</w:t>
      </w:r>
    </w:p>
    <w:p w14:paraId="0123472B" w14:textId="77777777" w:rsidR="00721F73" w:rsidRPr="00721F73" w:rsidRDefault="00721F73" w:rsidP="00721F73">
      <w:r w:rsidRPr="00721F73">
        <w:t>It is important to consider the context for assessing the question of efficiency in this evaluation. In a pandemic where a vaccine was initially not available - affecting millions of human lives and entire economies - there were powerful market forces at play when those vaccines subsequently became available. High vaccine purchasing prices in this context, where there was no alternative that could give the same result, was to be expected. The Evaluation Team will ensure recommendations related to efficiency adequately consider context. Measures of economic efficiency extend beyond vaccine purchasing price to vaccine allocation between target countries, vaccine wastage, leakage, and undistributed stock. The Evaluation Team will seek to obtain evidence in these areas.</w:t>
      </w:r>
    </w:p>
    <w:p w14:paraId="416DE874" w14:textId="77777777" w:rsidR="00721F73" w:rsidRPr="00721F73" w:rsidRDefault="00721F73" w:rsidP="00721F73">
      <w:pPr>
        <w:rPr>
          <w:b/>
          <w:bCs/>
        </w:rPr>
      </w:pPr>
      <w:bookmarkStart w:id="288" w:name="_Toc172223770"/>
      <w:bookmarkStart w:id="289" w:name="_Toc172223818"/>
      <w:bookmarkStart w:id="290" w:name="_Toc172237789"/>
      <w:bookmarkStart w:id="291" w:name="_Toc172223771"/>
      <w:bookmarkStart w:id="292" w:name="_Toc172223819"/>
      <w:bookmarkStart w:id="293" w:name="_Toc172237790"/>
      <w:bookmarkStart w:id="294" w:name="_Toc172223772"/>
      <w:bookmarkStart w:id="295" w:name="_Toc172223820"/>
      <w:bookmarkStart w:id="296" w:name="_Toc172237791"/>
      <w:bookmarkStart w:id="297" w:name="_Toc172223773"/>
      <w:bookmarkStart w:id="298" w:name="_Toc172223821"/>
      <w:bookmarkStart w:id="299" w:name="_Toc172237792"/>
      <w:bookmarkStart w:id="300" w:name="_Toc172223774"/>
      <w:bookmarkStart w:id="301" w:name="_Toc172223822"/>
      <w:bookmarkStart w:id="302" w:name="_Toc172237793"/>
      <w:bookmarkStart w:id="303" w:name="_Toc172223775"/>
      <w:bookmarkStart w:id="304" w:name="_Toc172223823"/>
      <w:bookmarkStart w:id="305" w:name="_Toc172237794"/>
      <w:bookmarkStart w:id="306" w:name="_Toc158087796"/>
      <w:bookmarkStart w:id="307" w:name="_Toc172223776"/>
      <w:bookmarkStart w:id="308" w:name="_Toc172223824"/>
      <w:bookmarkStart w:id="309" w:name="_Toc172237795"/>
      <w:bookmarkStart w:id="310" w:name="_Toc172223777"/>
      <w:bookmarkStart w:id="311" w:name="_Toc172223825"/>
      <w:bookmarkStart w:id="312" w:name="_Toc172237796"/>
      <w:bookmarkStart w:id="313" w:name="_Toc174688122"/>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721F73">
        <w:rPr>
          <w:b/>
          <w:bCs/>
        </w:rPr>
        <w:t>Gender, Disability and Social Inclusion (GEDSI)</w:t>
      </w:r>
      <w:bookmarkEnd w:id="313"/>
    </w:p>
    <w:p w14:paraId="307B8DF3" w14:textId="77777777" w:rsidR="00721F73" w:rsidRPr="00721F73" w:rsidRDefault="00721F73" w:rsidP="00721F73">
      <w:r w:rsidRPr="00721F73">
        <w:t>The KEQ for GEDSI requires the reviewers to assess the extent to which VAHSI was effective in promoting and progressing gender equality and supporting disability inclusion processes and outcomes. This evaluation will therefore strive for a balance between examining internal processes of the broader VAHSI initiative in promoting expectations and supporting good practice project management for GEDSI with an examination of partner practices aimed at greater equity and inclusion. The evaluation will seek to take a strengths-based approach highlighting areas of good practice while also identifying lessons learned for future investments.</w:t>
      </w:r>
    </w:p>
    <w:p w14:paraId="0F01601F" w14:textId="799A33E6" w:rsidR="00721F73" w:rsidRPr="00721F73" w:rsidRDefault="00721F73" w:rsidP="00721F73">
      <w:r w:rsidRPr="00721F73">
        <w:t xml:space="preserve">The evaluation will therefore include significant document review including internal and external DFAT communication pieces regarding GEDSI, design, monitoring and evaluation (DM&amp;E) documentation and selected partner or project-specific reports or work samples (for example communication or community engagement strategies/ GEDSI analyses or strategies – as available). Document review will be supplemented by KIIs where GEDSI will be one of the focus areas. Relevant key informants include key DFAT VAHSI decision makers, key GHD (former CHS) personnel in Canberra and DFAT posts in selected countries plus respondents from VAHSI partners in each of the sample countries ensuring a spread across multilateral agencies, bilateral projects, NGOs and or other actors. While reaching out to disabled people’s organisations or women’s groups might well allow for additional triangulation regarding the reach of GEDSI initiatives on the ground, attribution would be complex and has been considered as beyond scope for this short review.  </w:t>
      </w:r>
    </w:p>
    <w:p w14:paraId="42D14B9F" w14:textId="77777777" w:rsidR="00721F73" w:rsidRPr="00721F73" w:rsidRDefault="00721F73" w:rsidP="00721F73">
      <w:r w:rsidRPr="00721F73">
        <w:t>In keeping with the scope of the KEQ for this evaluation – the evaluation of GEDSI will be principally informed by the VAHSI GEDSI Strategy</w:t>
      </w:r>
      <w:r w:rsidRPr="00721F73">
        <w:rPr>
          <w:vertAlign w:val="superscript"/>
        </w:rPr>
        <w:footnoteReference w:id="12"/>
      </w:r>
      <w:r w:rsidRPr="00721F73">
        <w:t xml:space="preserve">.The VAHSI GEDSI Strategy commits to working with partners to implement contextual GEDSI approaches to enhance vaccine acceptance, confidence and uptake and to improve access to vaccine programs. VAHSI’s approach to GEDSI is underpinned by the four pillars of equity, rights, accessibility and participation. The Strategy further identifies five key areas of focus for attention by VAHSI: </w:t>
      </w:r>
    </w:p>
    <w:p w14:paraId="724EDBBD" w14:textId="77777777" w:rsidR="00721F73" w:rsidRPr="009E30F5" w:rsidRDefault="00721F73" w:rsidP="00C30814">
      <w:pPr>
        <w:pStyle w:val="ListParagraph"/>
        <w:numPr>
          <w:ilvl w:val="0"/>
          <w:numId w:val="19"/>
        </w:numPr>
      </w:pPr>
      <w:r w:rsidRPr="00653EA3">
        <w:t xml:space="preserve">Advocacy, policy dialogue and negotiation </w:t>
      </w:r>
      <w:r w:rsidRPr="009E30F5">
        <w:t>with partners,</w:t>
      </w:r>
    </w:p>
    <w:p w14:paraId="5650DEB7" w14:textId="77777777" w:rsidR="00721F73" w:rsidRPr="00653EA3" w:rsidRDefault="00721F73" w:rsidP="00C30814">
      <w:pPr>
        <w:pStyle w:val="ListParagraph"/>
        <w:numPr>
          <w:ilvl w:val="0"/>
          <w:numId w:val="19"/>
        </w:numPr>
      </w:pPr>
      <w:r w:rsidRPr="009E30F5">
        <w:t>Accessibility embedded in delivery</w:t>
      </w:r>
      <w:r w:rsidRPr="00653EA3">
        <w:t xml:space="preserve"> and communications,</w:t>
      </w:r>
    </w:p>
    <w:p w14:paraId="777CF276" w14:textId="77777777" w:rsidR="00721F73" w:rsidRPr="00653EA3" w:rsidRDefault="00721F73" w:rsidP="00C30814">
      <w:pPr>
        <w:pStyle w:val="ListParagraph"/>
        <w:numPr>
          <w:ilvl w:val="0"/>
          <w:numId w:val="19"/>
        </w:numPr>
      </w:pPr>
      <w:r w:rsidRPr="00653EA3">
        <w:t>Community engagement,</w:t>
      </w:r>
    </w:p>
    <w:p w14:paraId="0F6E8CDC" w14:textId="77777777" w:rsidR="00721F73" w:rsidRPr="00653EA3" w:rsidRDefault="00721F73" w:rsidP="00C30814">
      <w:pPr>
        <w:pStyle w:val="ListParagraph"/>
        <w:numPr>
          <w:ilvl w:val="0"/>
          <w:numId w:val="19"/>
        </w:numPr>
      </w:pPr>
      <w:r w:rsidRPr="00653EA3">
        <w:t>Monitoring and reporting on vaccine access,</w:t>
      </w:r>
    </w:p>
    <w:p w14:paraId="724599D3" w14:textId="563B0B95" w:rsidR="00721F73" w:rsidRPr="00653EA3" w:rsidRDefault="00721F73" w:rsidP="00C30814">
      <w:pPr>
        <w:pStyle w:val="ListParagraph"/>
        <w:numPr>
          <w:ilvl w:val="0"/>
          <w:numId w:val="19"/>
        </w:numPr>
      </w:pPr>
      <w:r w:rsidRPr="00653EA3">
        <w:t xml:space="preserve">Workforce Development. </w:t>
      </w:r>
    </w:p>
    <w:p w14:paraId="732B37E6" w14:textId="77777777" w:rsidR="00721F73" w:rsidRPr="00721F73" w:rsidRDefault="00721F73" w:rsidP="00721F73">
      <w:pPr>
        <w:rPr>
          <w:u w:val="single"/>
          <w:vertAlign w:val="superscript"/>
        </w:rPr>
      </w:pPr>
      <w:r w:rsidRPr="00721F73">
        <w:t>These areas will provide a solid framework for assessing GEDSI, further informed by DFAT’s COVID-19 Gender and Social Protection Guidance Note</w:t>
      </w:r>
      <w:r w:rsidRPr="00721F73">
        <w:rPr>
          <w:vertAlign w:val="superscript"/>
        </w:rPr>
        <w:footnoteReference w:id="13"/>
      </w:r>
      <w:r w:rsidRPr="00721F73">
        <w:t>,</w:t>
      </w:r>
      <w:r w:rsidRPr="00721F73">
        <w:rPr>
          <w:vertAlign w:val="superscript"/>
        </w:rPr>
        <w:t xml:space="preserve"> </w:t>
      </w:r>
      <w:r w:rsidRPr="00721F73">
        <w:t>Health Security Initiative Guidance Note on Supporting gender equality through DFAT health security investments</w:t>
      </w:r>
      <w:r w:rsidRPr="00721F73">
        <w:rPr>
          <w:vertAlign w:val="superscript"/>
        </w:rPr>
        <w:footnoteReference w:id="14"/>
      </w:r>
      <w:r w:rsidRPr="00721F73">
        <w:t>, Health Security Initiative Guidance Note on Supporting disability inclusion through DFAT health security investments</w:t>
      </w:r>
      <w:r w:rsidRPr="00721F73">
        <w:rPr>
          <w:vertAlign w:val="superscript"/>
        </w:rPr>
        <w:footnoteReference w:id="15"/>
      </w:r>
      <w:r w:rsidRPr="00721F73">
        <w:t>, and DFAT’s Environmental and Social Safeguard Policy (2019)</w:t>
      </w:r>
      <w:r w:rsidRPr="00721F73">
        <w:rPr>
          <w:vertAlign w:val="superscript"/>
        </w:rPr>
        <w:footnoteReference w:id="16"/>
      </w:r>
      <w:r w:rsidRPr="00721F73">
        <w:t>. Review of partner practice will necessarily reference standard good practice in GEDSI across the continuum for example as represented in World Vision’s GESI continuum (p. 12)</w:t>
      </w:r>
      <w:r w:rsidRPr="00721F73">
        <w:rPr>
          <w:vertAlign w:val="superscript"/>
        </w:rPr>
        <w:footnoteReference w:id="17"/>
      </w:r>
      <w:r w:rsidRPr="00721F73">
        <w:t>.</w:t>
      </w:r>
    </w:p>
    <w:p w14:paraId="5C0C6352" w14:textId="77777777" w:rsidR="00721F73" w:rsidRPr="00721F73" w:rsidRDefault="00721F73" w:rsidP="00721F73">
      <w:pPr>
        <w:rPr>
          <w:b/>
          <w:bCs/>
        </w:rPr>
      </w:pPr>
      <w:bookmarkStart w:id="314" w:name="_Toc172223780"/>
      <w:bookmarkStart w:id="315" w:name="_Toc172223828"/>
      <w:bookmarkStart w:id="316" w:name="_Toc174688123"/>
      <w:bookmarkEnd w:id="314"/>
      <w:bookmarkEnd w:id="315"/>
      <w:r w:rsidRPr="00721F73">
        <w:rPr>
          <w:b/>
          <w:bCs/>
        </w:rPr>
        <w:t>Lessons Learned</w:t>
      </w:r>
      <w:bookmarkEnd w:id="316"/>
    </w:p>
    <w:p w14:paraId="624B28DD" w14:textId="77777777" w:rsidR="00721F73" w:rsidRPr="00721F73" w:rsidRDefault="00721F73" w:rsidP="00721F73">
      <w:pPr>
        <w:rPr>
          <w:b/>
        </w:rPr>
      </w:pPr>
      <w:r w:rsidRPr="00721F73">
        <w:t xml:space="preserve">Whilst recognising that VAHSI was not structured with the specific intent of health systems strengthening, given the rapidly evolving emergency response context of the pandemic, a key element of this review is to provide lessons for all aspects of future large-scale regional health emergency response programs, including prevention, preparedness, and response. Qualitative data and analysis through document review and KIIs will be used to identify lessons learned. </w:t>
      </w:r>
    </w:p>
    <w:p w14:paraId="786B8B96" w14:textId="77777777" w:rsidR="00721F73" w:rsidRPr="00721F73" w:rsidRDefault="00721F73" w:rsidP="00721F73">
      <w:pPr>
        <w:rPr>
          <w:b/>
        </w:rPr>
      </w:pPr>
      <w:bookmarkStart w:id="317" w:name="_Toc174688124"/>
      <w:r w:rsidRPr="00721F73">
        <w:rPr>
          <w:b/>
        </w:rPr>
        <w:t>Data collection</w:t>
      </w:r>
      <w:bookmarkEnd w:id="317"/>
    </w:p>
    <w:p w14:paraId="50D6E982" w14:textId="77777777" w:rsidR="00721F73" w:rsidRPr="00721F73" w:rsidRDefault="00721F73" w:rsidP="00721F73">
      <w:bookmarkStart w:id="318" w:name="_Hlk173745204"/>
      <w:r w:rsidRPr="00721F73">
        <w:t>A complementary set of data collection methods are proposed, recognising the need to capture a range of different perspectives across the multiple country contexts within the VAHSI initiative and within the available timeframe and scope</w:t>
      </w:r>
      <w:bookmarkEnd w:id="318"/>
      <w:r w:rsidRPr="00721F73">
        <w:t xml:space="preserve">. </w:t>
      </w:r>
    </w:p>
    <w:p w14:paraId="5FC90F58" w14:textId="77777777" w:rsidR="00721F73" w:rsidRPr="00721F73" w:rsidRDefault="00721F73" w:rsidP="00C30814">
      <w:pPr>
        <w:numPr>
          <w:ilvl w:val="0"/>
          <w:numId w:val="13"/>
        </w:numPr>
      </w:pPr>
      <w:r w:rsidRPr="00721F73">
        <w:rPr>
          <w:b/>
          <w:bCs/>
        </w:rPr>
        <w:t>Qualitative and quantitative data</w:t>
      </w:r>
      <w:r w:rsidRPr="00721F73">
        <w:t xml:space="preserve"> will serve multiple purposes and provide a basis for credible evidence for the evaluation. The document review will be completed by all Evaluation Team members to identify key data and information required to assess the key focus areas, respond to the evaluation questions and inform findings, recommendations and lessons learned.</w:t>
      </w:r>
    </w:p>
    <w:p w14:paraId="3F5E8B1F" w14:textId="77777777" w:rsidR="00721F73" w:rsidRPr="00721F73" w:rsidRDefault="00721F73" w:rsidP="00C30814">
      <w:pPr>
        <w:numPr>
          <w:ilvl w:val="0"/>
          <w:numId w:val="13"/>
        </w:numPr>
      </w:pPr>
      <w:r w:rsidRPr="00721F73">
        <w:rPr>
          <w:b/>
          <w:bCs/>
        </w:rPr>
        <w:t xml:space="preserve">Key informant interviews (KIIs) </w:t>
      </w:r>
      <w:r w:rsidRPr="00721F73">
        <w:t>will be carried out with stakeholders who have most visibility and understanding of (</w:t>
      </w:r>
      <w:proofErr w:type="spellStart"/>
      <w:r w:rsidRPr="00721F73">
        <w:t>i</w:t>
      </w:r>
      <w:proofErr w:type="spellEnd"/>
      <w:r w:rsidRPr="00721F73">
        <w:t>) VAHSI and/or (ii) are beneficiaries of, or implementing partners of, the investments in SEA and the Pacific. KIIs will be carried out remotely. Interviewers will take notes, which will then be used to support analysis and the identification of findings, recommendations and lessons learned. All Evaluation Team members will have a role in conducting interviews, maximising the short time available for the evaluation and team member expertise.  A full list of stakeholders will be provided to DFAT. The list is under development at the time of finalisation of this Evaluation Plan (Annex 4). Although the identity of many relevant stakeholders is known, the final list will be informed by both the document review and the interviews. The final list of stakeholders consulted will be appended to the Evaluation Report. Known stakeholders include:</w:t>
      </w:r>
    </w:p>
    <w:p w14:paraId="290BEA2C" w14:textId="77777777" w:rsidR="00721F73" w:rsidRPr="00721F73" w:rsidRDefault="00721F73" w:rsidP="00C30814">
      <w:pPr>
        <w:numPr>
          <w:ilvl w:val="1"/>
          <w:numId w:val="13"/>
        </w:numPr>
      </w:pPr>
      <w:r w:rsidRPr="00721F73">
        <w:t>DFAT officials both in Canberra and at Post, including managerial, technical level and advisory across the duration of the Initiative.</w:t>
      </w:r>
    </w:p>
    <w:p w14:paraId="49235F85" w14:textId="77777777" w:rsidR="00721F73" w:rsidRPr="00721F73" w:rsidRDefault="00721F73" w:rsidP="00C30814">
      <w:pPr>
        <w:numPr>
          <w:ilvl w:val="1"/>
          <w:numId w:val="13"/>
        </w:numPr>
      </w:pPr>
      <w:r w:rsidRPr="00721F73">
        <w:t>Ministry of Health counterparts in the countries selected for case studies.</w:t>
      </w:r>
    </w:p>
    <w:p w14:paraId="6D143A5E" w14:textId="77777777" w:rsidR="00721F73" w:rsidRPr="00721F73" w:rsidRDefault="00721F73" w:rsidP="00C30814">
      <w:pPr>
        <w:numPr>
          <w:ilvl w:val="1"/>
          <w:numId w:val="13"/>
        </w:numPr>
      </w:pPr>
      <w:r w:rsidRPr="00721F73">
        <w:t>Partners involved in VAHSI support activities in the countries selected for case studies.</w:t>
      </w:r>
    </w:p>
    <w:p w14:paraId="3C102C2C" w14:textId="1563B0C5" w:rsidR="00721F73" w:rsidRPr="00721F73" w:rsidRDefault="00721F73" w:rsidP="00721F73">
      <w:pPr>
        <w:rPr>
          <w:b/>
        </w:rPr>
      </w:pPr>
      <w:bookmarkStart w:id="319" w:name="_Toc174688125"/>
      <w:r w:rsidRPr="00721F73">
        <w:rPr>
          <w:b/>
        </w:rPr>
        <w:t>Analysis</w:t>
      </w:r>
      <w:bookmarkEnd w:id="319"/>
      <w:r w:rsidRPr="00721F73">
        <w:rPr>
          <w:b/>
        </w:rPr>
        <w:t xml:space="preserve"> </w:t>
      </w:r>
    </w:p>
    <w:p w14:paraId="537B6FEC" w14:textId="77777777" w:rsidR="00721F73" w:rsidRPr="00721F73" w:rsidRDefault="00721F73" w:rsidP="00721F73">
      <w:r w:rsidRPr="00721F73">
        <w:t xml:space="preserve">Analysis will be guided by the evaluation questions set out in Section 3.2 above and will involve quantitative descriptive statistics and qualitative methods. Qualitative analysis will be carried out through thematic analysis of responses in line with the evaluation questions. </w:t>
      </w:r>
    </w:p>
    <w:p w14:paraId="418185B4" w14:textId="77777777" w:rsidR="00721F73" w:rsidRPr="00721F73" w:rsidRDefault="00721F73" w:rsidP="00721F73">
      <w:r w:rsidRPr="00721F73">
        <w:t xml:space="preserve">Comparative analysis of data collected will identify commonality or contention within and between different stakeholder groups. Where consensus across multiple stakeholder groups is evident, this will be stated in the evaluation </w:t>
      </w:r>
      <w:proofErr w:type="gramStart"/>
      <w:r w:rsidRPr="00721F73">
        <w:t>report;</w:t>
      </w:r>
      <w:proofErr w:type="gramEnd"/>
      <w:r w:rsidRPr="00721F73">
        <w:t xml:space="preserve"> as will instances where there are differences or outliers. To support confidentiality, only stakeholder groups (not individuals) will be identified in the evaluation report. </w:t>
      </w:r>
    </w:p>
    <w:p w14:paraId="20F3237C" w14:textId="77777777" w:rsidR="00721F73" w:rsidRPr="00721F73" w:rsidRDefault="00721F73" w:rsidP="00721F73">
      <w:r w:rsidRPr="00721F73">
        <w:t>The evaluation report will also reference evidence that substantiates findings and link findings to the investment context and the initiative, with members and geographic location. Triangulation of data, especially in the country case studies, will strengthen the confidence in review findings. The multiple dimensions of comparative analysis will include analysis:</w:t>
      </w:r>
    </w:p>
    <w:p w14:paraId="2AA4FE66" w14:textId="77777777" w:rsidR="00721F73" w:rsidRPr="00721F73" w:rsidRDefault="00721F73" w:rsidP="00C30814">
      <w:pPr>
        <w:numPr>
          <w:ilvl w:val="0"/>
          <w:numId w:val="12"/>
        </w:numPr>
      </w:pPr>
      <w:r w:rsidRPr="00721F73">
        <w:t>across different data collection methods</w:t>
      </w:r>
    </w:p>
    <w:p w14:paraId="16C06B4B" w14:textId="77777777" w:rsidR="00721F73" w:rsidRPr="00721F73" w:rsidRDefault="00721F73" w:rsidP="00C30814">
      <w:pPr>
        <w:numPr>
          <w:ilvl w:val="0"/>
          <w:numId w:val="12"/>
        </w:numPr>
      </w:pPr>
      <w:r w:rsidRPr="00721F73">
        <w:t>within like stakeholder groups</w:t>
      </w:r>
    </w:p>
    <w:p w14:paraId="6EE0E6B9" w14:textId="77777777" w:rsidR="00721F73" w:rsidRPr="00721F73" w:rsidRDefault="00721F73" w:rsidP="00C30814">
      <w:pPr>
        <w:numPr>
          <w:ilvl w:val="0"/>
          <w:numId w:val="12"/>
        </w:numPr>
      </w:pPr>
      <w:r w:rsidRPr="00721F73">
        <w:t>across different stakeholder groups</w:t>
      </w:r>
    </w:p>
    <w:p w14:paraId="342B36A3" w14:textId="2A6F102C" w:rsidR="00721F73" w:rsidRPr="00721F73" w:rsidRDefault="00721F73" w:rsidP="00C30814">
      <w:pPr>
        <w:numPr>
          <w:ilvl w:val="0"/>
          <w:numId w:val="12"/>
        </w:numPr>
      </w:pPr>
      <w:r w:rsidRPr="00721F73">
        <w:t xml:space="preserve">across and within different country, regional contexts relevant to the initiative </w:t>
      </w:r>
    </w:p>
    <w:p w14:paraId="78DBE055" w14:textId="61CFB646" w:rsidR="00721F73" w:rsidRPr="00721F73" w:rsidRDefault="00721F73" w:rsidP="00721F73">
      <w:pPr>
        <w:rPr>
          <w:b/>
        </w:rPr>
      </w:pPr>
      <w:bookmarkStart w:id="320" w:name="_Toc172237803"/>
      <w:bookmarkStart w:id="321" w:name="_Toc172237804"/>
      <w:bookmarkStart w:id="322" w:name="_Toc174688126"/>
      <w:bookmarkEnd w:id="320"/>
      <w:r w:rsidRPr="00721F73">
        <w:rPr>
          <w:b/>
        </w:rPr>
        <w:t>Evaluation limitations</w:t>
      </w:r>
      <w:bookmarkEnd w:id="321"/>
      <w:bookmarkEnd w:id="322"/>
      <w:r w:rsidRPr="00721F73">
        <w:rPr>
          <w:b/>
        </w:rPr>
        <w:t xml:space="preserve"> </w:t>
      </w:r>
    </w:p>
    <w:p w14:paraId="263A03E8" w14:textId="77777777" w:rsidR="00721F73" w:rsidRPr="00721F73" w:rsidRDefault="00721F73" w:rsidP="00721F73">
      <w:r w:rsidRPr="00721F73">
        <w:t xml:space="preserve">Potential limitations to the evaluation and mitigation strategies are presented in Table 2, below. </w:t>
      </w:r>
    </w:p>
    <w:p w14:paraId="2A64702B" w14:textId="77777777" w:rsidR="001C0289" w:rsidRDefault="001C0289" w:rsidP="00721F73">
      <w:pPr>
        <w:rPr>
          <w:b/>
          <w:iCs/>
        </w:rPr>
      </w:pPr>
      <w:bookmarkStart w:id="323" w:name="_Ref34122091"/>
    </w:p>
    <w:p w14:paraId="1AB4ABD5" w14:textId="40A58ECF" w:rsidR="00721F73" w:rsidRPr="00721F73" w:rsidRDefault="00721F73" w:rsidP="00721F73">
      <w:pPr>
        <w:rPr>
          <w:b/>
          <w:iCs/>
        </w:rPr>
      </w:pPr>
      <w:r w:rsidRPr="00721F73">
        <w:rPr>
          <w:b/>
          <w:iCs/>
        </w:rPr>
        <w:t xml:space="preserve">Table </w:t>
      </w:r>
      <w:bookmarkEnd w:id="323"/>
      <w:r w:rsidRPr="00721F73">
        <w:rPr>
          <w:b/>
          <w:iCs/>
        </w:rPr>
        <w:t>2: Limitations and mitigation strategies</w:t>
      </w:r>
    </w:p>
    <w:tbl>
      <w:tblPr>
        <w:tblStyle w:val="SHSReportTable"/>
        <w:tblW w:w="5106" w:type="pct"/>
        <w:tblLook w:val="04A0" w:firstRow="1" w:lastRow="0" w:firstColumn="1" w:lastColumn="0" w:noHBand="0" w:noVBand="1"/>
      </w:tblPr>
      <w:tblGrid>
        <w:gridCol w:w="3963"/>
        <w:gridCol w:w="5245"/>
      </w:tblGrid>
      <w:tr w:rsidR="00721F73" w:rsidRPr="00721F73" w14:paraId="2CCB2410" w14:textId="77777777" w:rsidTr="00603B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2" w:type="pct"/>
            <w:tcBorders>
              <w:bottom w:val="single" w:sz="4" w:space="0" w:color="BFBFBF" w:themeColor="background1" w:themeShade="BF"/>
            </w:tcBorders>
          </w:tcPr>
          <w:p w14:paraId="2030C7F9" w14:textId="77777777" w:rsidR="00721F73" w:rsidRPr="00680011" w:rsidRDefault="00721F73" w:rsidP="00721F73">
            <w:r w:rsidRPr="00680011">
              <w:t xml:space="preserve">Limitation </w:t>
            </w:r>
          </w:p>
        </w:tc>
        <w:tc>
          <w:tcPr>
            <w:tcW w:w="2848" w:type="pct"/>
            <w:tcBorders>
              <w:bottom w:val="single" w:sz="4" w:space="0" w:color="BFBFBF" w:themeColor="background1" w:themeShade="BF"/>
            </w:tcBorders>
          </w:tcPr>
          <w:p w14:paraId="0A745AC6" w14:textId="77777777" w:rsidR="00721F73" w:rsidRPr="00680011" w:rsidRDefault="00721F73" w:rsidP="00721F73">
            <w:pPr>
              <w:cnfStyle w:val="100000000000" w:firstRow="1" w:lastRow="0" w:firstColumn="0" w:lastColumn="0" w:oddVBand="0" w:evenVBand="0" w:oddHBand="0" w:evenHBand="0" w:firstRowFirstColumn="0" w:firstRowLastColumn="0" w:lastRowFirstColumn="0" w:lastRowLastColumn="0"/>
            </w:pPr>
            <w:r w:rsidRPr="00680011">
              <w:t>Mitigation strategy</w:t>
            </w:r>
          </w:p>
        </w:tc>
      </w:tr>
      <w:tr w:rsidR="00721F73" w:rsidRPr="00721F73" w14:paraId="49AFD51F" w14:textId="77777777" w:rsidTr="006E07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2" w:type="pct"/>
            <w:tcBorders>
              <w:top w:val="single" w:sz="4" w:space="0" w:color="BFBFBF" w:themeColor="background1" w:themeShade="BF"/>
            </w:tcBorders>
          </w:tcPr>
          <w:p w14:paraId="08335441" w14:textId="77777777" w:rsidR="00721F73" w:rsidRPr="00721F73" w:rsidRDefault="00721F73" w:rsidP="00721F73">
            <w:pPr>
              <w:contextualSpacing w:val="0"/>
              <w:rPr>
                <w:sz w:val="22"/>
              </w:rPr>
            </w:pPr>
            <w:r w:rsidRPr="00721F73">
              <w:rPr>
                <w:b/>
                <w:bCs/>
                <w:sz w:val="22"/>
                <w:lang w:val="en-US"/>
              </w:rPr>
              <w:t xml:space="preserve">Changes to context throughout investment term: </w:t>
            </w:r>
            <w:bookmarkStart w:id="324" w:name="_Hlk173745508"/>
            <w:r w:rsidRPr="00721F73">
              <w:rPr>
                <w:sz w:val="22"/>
              </w:rPr>
              <w:t>VAHSI priorities changed over the course of the pandemic, with the initiative including, at times, vaccine supply to delivery support (which at times included expansion of support of routine immunisations).</w:t>
            </w:r>
            <w:bookmarkEnd w:id="324"/>
          </w:p>
        </w:tc>
        <w:tc>
          <w:tcPr>
            <w:tcW w:w="2848" w:type="pct"/>
            <w:tcBorders>
              <w:top w:val="single" w:sz="4" w:space="0" w:color="BFBFBF" w:themeColor="background1" w:themeShade="BF"/>
            </w:tcBorders>
          </w:tcPr>
          <w:p w14:paraId="3433FE4E" w14:textId="77777777" w:rsidR="00721F73" w:rsidRPr="00721F73" w:rsidRDefault="00721F73" w:rsidP="00721F73">
            <w:pPr>
              <w:contextualSpacing w:val="0"/>
              <w:cnfStyle w:val="000000100000" w:firstRow="0" w:lastRow="0" w:firstColumn="0" w:lastColumn="0" w:oddVBand="0" w:evenVBand="0" w:oddHBand="1" w:evenHBand="0" w:firstRowFirstColumn="0" w:firstRowLastColumn="0" w:lastRowFirstColumn="0" w:lastRowLastColumn="0"/>
              <w:rPr>
                <w:lang w:val="en-US"/>
              </w:rPr>
            </w:pPr>
            <w:r w:rsidRPr="00721F73">
              <w:t xml:space="preserve">Ensure the EQs are designed to evaluate the two elements of vaccine supply and delivery support within the initiative. The different phases of the initiative will be used in analyses as relevance of some priorities changed during implementation. </w:t>
            </w:r>
          </w:p>
        </w:tc>
      </w:tr>
      <w:tr w:rsidR="00721F73" w:rsidRPr="00721F73" w14:paraId="2C0321F0" w14:textId="77777777" w:rsidTr="006E0707">
        <w:trPr>
          <w:trHeight w:val="300"/>
        </w:trPr>
        <w:tc>
          <w:tcPr>
            <w:cnfStyle w:val="001000000000" w:firstRow="0" w:lastRow="0" w:firstColumn="1" w:lastColumn="0" w:oddVBand="0" w:evenVBand="0" w:oddHBand="0" w:evenHBand="0" w:firstRowFirstColumn="0" w:firstRowLastColumn="0" w:lastRowFirstColumn="0" w:lastRowLastColumn="0"/>
            <w:tcW w:w="2152" w:type="pct"/>
            <w:tcBorders>
              <w:top w:val="single" w:sz="4" w:space="0" w:color="BFBFBF" w:themeColor="background1" w:themeShade="BF"/>
            </w:tcBorders>
          </w:tcPr>
          <w:p w14:paraId="798FD77B" w14:textId="77777777" w:rsidR="00721F73" w:rsidRPr="00721F73" w:rsidRDefault="00721F73" w:rsidP="00721F73">
            <w:pPr>
              <w:contextualSpacing w:val="0"/>
              <w:rPr>
                <w:sz w:val="22"/>
                <w:lang w:val="en-US"/>
              </w:rPr>
            </w:pPr>
            <w:r w:rsidRPr="00721F73">
              <w:rPr>
                <w:b/>
                <w:bCs/>
                <w:sz w:val="22"/>
                <w:lang w:val="en-US"/>
              </w:rPr>
              <w:t xml:space="preserve">Selection of countries: </w:t>
            </w:r>
            <w:r w:rsidRPr="00721F73">
              <w:rPr>
                <w:sz w:val="22"/>
                <w:lang w:val="en-US"/>
              </w:rPr>
              <w:t xml:space="preserve">due to </w:t>
            </w:r>
            <w:proofErr w:type="gramStart"/>
            <w:r w:rsidRPr="00721F73">
              <w:rPr>
                <w:sz w:val="22"/>
                <w:lang w:val="en-US"/>
              </w:rPr>
              <w:t>time trade</w:t>
            </w:r>
            <w:proofErr w:type="gramEnd"/>
            <w:r w:rsidRPr="00721F73">
              <w:rPr>
                <w:sz w:val="22"/>
                <w:lang w:val="en-US"/>
              </w:rPr>
              <w:t xml:space="preserve">-offs for completing the evaluation, it is not possible to focus on all 18 countries. Countries differ in their local </w:t>
            </w:r>
            <w:proofErr w:type="gramStart"/>
            <w:r w:rsidRPr="00721F73">
              <w:rPr>
                <w:sz w:val="22"/>
                <w:lang w:val="en-US"/>
              </w:rPr>
              <w:t>contexts</w:t>
            </w:r>
            <w:proofErr w:type="gramEnd"/>
            <w:r w:rsidRPr="00721F73">
              <w:rPr>
                <w:sz w:val="22"/>
                <w:lang w:val="en-US"/>
              </w:rPr>
              <w:t xml:space="preserve"> and a risk of this approach is that some locally relevant content may be missed.</w:t>
            </w:r>
          </w:p>
        </w:tc>
        <w:tc>
          <w:tcPr>
            <w:tcW w:w="2848" w:type="pct"/>
            <w:tcBorders>
              <w:top w:val="single" w:sz="4" w:space="0" w:color="BFBFBF" w:themeColor="background1" w:themeShade="BF"/>
            </w:tcBorders>
          </w:tcPr>
          <w:p w14:paraId="1E4A85FE" w14:textId="77777777" w:rsidR="00721F73" w:rsidRPr="00721F73" w:rsidRDefault="00721F73" w:rsidP="00721F73">
            <w:pPr>
              <w:contextualSpacing w:val="0"/>
              <w:cnfStyle w:val="000000000000" w:firstRow="0" w:lastRow="0" w:firstColumn="0" w:lastColumn="0" w:oddVBand="0" w:evenVBand="0" w:oddHBand="0" w:evenHBand="0" w:firstRowFirstColumn="0" w:firstRowLastColumn="0" w:lastRowFirstColumn="0" w:lastRowLastColumn="0"/>
              <w:rPr>
                <w:lang w:val="en-US"/>
              </w:rPr>
            </w:pPr>
            <w:r w:rsidRPr="00721F73">
              <w:t xml:space="preserve">An approach of part-purposive and part-randomisation for the selection of countries ensures that this is as balanced as possible. Purposive selection of countries where there is a quantity of data evident from initial document review allows for the evaluation to cover breadth of scope. Random selection of countries ensures that every other country has equal odds of being selected. Application of a further “snowball” approach, if time and resources permit, will enable consideration of additional country information, should </w:t>
            </w:r>
            <w:proofErr w:type="gramStart"/>
            <w:r w:rsidRPr="00721F73">
              <w:t>salient</w:t>
            </w:r>
            <w:proofErr w:type="gramEnd"/>
            <w:r w:rsidRPr="00721F73">
              <w:t xml:space="preserve"> features of another country be identified in stakeholder (particularly implementing partner and DFAT) interviews.</w:t>
            </w:r>
          </w:p>
        </w:tc>
      </w:tr>
      <w:tr w:rsidR="00721F73" w:rsidRPr="00721F73" w14:paraId="00412A5E" w14:textId="77777777" w:rsidTr="006E07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2" w:type="pct"/>
            <w:tcBorders>
              <w:top w:val="single" w:sz="4" w:space="0" w:color="BFBFBF" w:themeColor="background1" w:themeShade="BF"/>
            </w:tcBorders>
          </w:tcPr>
          <w:p w14:paraId="0F39C4AA" w14:textId="77777777" w:rsidR="00721F73" w:rsidRPr="00721F73" w:rsidRDefault="00721F73" w:rsidP="00721F73">
            <w:pPr>
              <w:contextualSpacing w:val="0"/>
              <w:rPr>
                <w:sz w:val="22"/>
                <w:lang w:val="en-US"/>
              </w:rPr>
            </w:pPr>
            <w:r w:rsidRPr="00721F73">
              <w:rPr>
                <w:b/>
                <w:bCs/>
                <w:sz w:val="22"/>
                <w:lang w:val="en-US"/>
              </w:rPr>
              <w:t xml:space="preserve">Paucity of data and/or reporting: </w:t>
            </w:r>
            <w:bookmarkStart w:id="325" w:name="_Hlk173745621"/>
            <w:r w:rsidRPr="00721F73">
              <w:rPr>
                <w:sz w:val="22"/>
                <w:lang w:val="en-US"/>
              </w:rPr>
              <w:t>VAHSI is an emergency measure that was extended to have greater scope with funding being diverted bilaterally. Given the length of the program, there is a risk of missing ongoing partner reporting. Lack of ongoing reporting, and therefore data may inhibit the measurement of achievement of outcomes</w:t>
            </w:r>
            <w:bookmarkEnd w:id="325"/>
            <w:r w:rsidRPr="00721F73">
              <w:rPr>
                <w:sz w:val="22"/>
                <w:lang w:val="en-US"/>
              </w:rPr>
              <w:t>, particularly in terms of assessing effectiveness, impact and GEDSI if there is limited disaggregated data available.</w:t>
            </w:r>
            <w:r w:rsidRPr="00721F73">
              <w:rPr>
                <w:sz w:val="22"/>
              </w:rPr>
              <w:t xml:space="preserve"> A key question is whether the evaluation will be able to assess not just the size of the </w:t>
            </w:r>
            <w:proofErr w:type="gramStart"/>
            <w:r w:rsidRPr="00721F73">
              <w:rPr>
                <w:sz w:val="22"/>
              </w:rPr>
              <w:t>impact, but</w:t>
            </w:r>
            <w:proofErr w:type="gramEnd"/>
            <w:r w:rsidRPr="00721F73">
              <w:rPr>
                <w:sz w:val="22"/>
              </w:rPr>
              <w:t xml:space="preserve"> also be able to identify how the initiative made an impact.</w:t>
            </w:r>
          </w:p>
          <w:p w14:paraId="363A6462" w14:textId="77777777" w:rsidR="00721F73" w:rsidRPr="00721F73" w:rsidRDefault="00721F73" w:rsidP="00721F73">
            <w:pPr>
              <w:contextualSpacing w:val="0"/>
              <w:rPr>
                <w:sz w:val="22"/>
                <w:lang w:val="en-US"/>
              </w:rPr>
            </w:pPr>
          </w:p>
        </w:tc>
        <w:tc>
          <w:tcPr>
            <w:tcW w:w="2848" w:type="pct"/>
            <w:tcBorders>
              <w:top w:val="single" w:sz="4" w:space="0" w:color="BFBFBF" w:themeColor="background1" w:themeShade="BF"/>
            </w:tcBorders>
          </w:tcPr>
          <w:p w14:paraId="7929C709" w14:textId="77777777" w:rsidR="00721F73" w:rsidRPr="00721F73" w:rsidRDefault="00721F73" w:rsidP="00721F73">
            <w:pPr>
              <w:contextualSpacing w:val="0"/>
              <w:cnfStyle w:val="000000100000" w:firstRow="0" w:lastRow="0" w:firstColumn="0" w:lastColumn="0" w:oddVBand="0" w:evenVBand="0" w:oddHBand="1" w:evenHBand="0" w:firstRowFirstColumn="0" w:firstRowLastColumn="0" w:lastRowFirstColumn="0" w:lastRowLastColumn="0"/>
            </w:pPr>
            <w:r w:rsidRPr="00721F73">
              <w:t>If data paucity is encountered, the Review Team will try to determine effectiveness through triangulation and validation of the data that are available, and to determine measures of effectiveness through other sources (e.g. KIIs).</w:t>
            </w:r>
          </w:p>
          <w:p w14:paraId="52C59064" w14:textId="77777777" w:rsidR="00721F73" w:rsidRPr="00721F73" w:rsidRDefault="00721F73" w:rsidP="00721F73">
            <w:pPr>
              <w:contextualSpacing w:val="0"/>
              <w:cnfStyle w:val="000000100000" w:firstRow="0" w:lastRow="0" w:firstColumn="0" w:lastColumn="0" w:oddVBand="0" w:evenVBand="0" w:oddHBand="1" w:evenHBand="0" w:firstRowFirstColumn="0" w:firstRowLastColumn="0" w:lastRowFirstColumn="0" w:lastRowLastColumn="0"/>
              <w:rPr>
                <w:lang w:val="en-US"/>
              </w:rPr>
            </w:pPr>
            <w:r w:rsidRPr="00721F73">
              <w:t>Similarly, as vaccine doses were supplied from multiple sources at concurrent times, attribution of causality or the determination specifically of the VAHSI contribution may be challenging and by necessity reduced to assessments of high-level impact (national reduction in SARS-CoV-2 cases or national measures of COVID-19 vaccine coverage) only. It is for this reason (and assessments of access) that the Evaluation Team will analyse subnational and disaggregated data and, where possible, distribution dates of VAHSI doses or doses that remained as ‘stock on hand.’</w:t>
            </w:r>
          </w:p>
        </w:tc>
      </w:tr>
      <w:tr w:rsidR="00721F73" w:rsidRPr="00721F73" w14:paraId="591BECA8" w14:textId="77777777" w:rsidTr="006E0707">
        <w:tc>
          <w:tcPr>
            <w:cnfStyle w:val="001000000000" w:firstRow="0" w:lastRow="0" w:firstColumn="1" w:lastColumn="0" w:oddVBand="0" w:evenVBand="0" w:oddHBand="0" w:evenHBand="0" w:firstRowFirstColumn="0" w:firstRowLastColumn="0" w:lastRowFirstColumn="0" w:lastRowLastColumn="0"/>
            <w:tcW w:w="2152" w:type="pct"/>
            <w:tcBorders>
              <w:top w:val="single" w:sz="4" w:space="0" w:color="BFBFBF" w:themeColor="background1" w:themeShade="BF"/>
            </w:tcBorders>
          </w:tcPr>
          <w:p w14:paraId="5F030A0D" w14:textId="77777777" w:rsidR="00721F73" w:rsidRPr="00721F73" w:rsidRDefault="00721F73" w:rsidP="00721F73">
            <w:pPr>
              <w:contextualSpacing w:val="0"/>
              <w:rPr>
                <w:sz w:val="22"/>
              </w:rPr>
            </w:pPr>
            <w:r w:rsidRPr="00721F73">
              <w:rPr>
                <w:b/>
                <w:bCs/>
                <w:sz w:val="22"/>
              </w:rPr>
              <w:t xml:space="preserve">Availability of stakeholders for case studies and interviews </w:t>
            </w:r>
          </w:p>
        </w:tc>
        <w:tc>
          <w:tcPr>
            <w:tcW w:w="2848" w:type="pct"/>
            <w:tcBorders>
              <w:top w:val="single" w:sz="4" w:space="0" w:color="BFBFBF" w:themeColor="background1" w:themeShade="BF"/>
            </w:tcBorders>
          </w:tcPr>
          <w:p w14:paraId="12A56D84" w14:textId="77777777" w:rsidR="00721F73" w:rsidRPr="00721F73" w:rsidRDefault="00721F73" w:rsidP="00721F73">
            <w:pPr>
              <w:contextualSpacing w:val="0"/>
              <w:cnfStyle w:val="000000000000" w:firstRow="0" w:lastRow="0" w:firstColumn="0" w:lastColumn="0" w:oddVBand="0" w:evenVBand="0" w:oddHBand="0" w:evenHBand="0" w:firstRowFirstColumn="0" w:firstRowLastColumn="0" w:lastRowFirstColumn="0" w:lastRowLastColumn="0"/>
            </w:pPr>
            <w:r w:rsidRPr="00721F73">
              <w:t>Work with DFAT to identify representative sample early and DFAT send initial introductions to signal the importance of the evaluation.</w:t>
            </w:r>
          </w:p>
          <w:p w14:paraId="6F672C2E" w14:textId="77777777" w:rsidR="00721F73" w:rsidRPr="00721F73" w:rsidRDefault="00721F73" w:rsidP="00721F73">
            <w:pPr>
              <w:contextualSpacing w:val="0"/>
              <w:cnfStyle w:val="000000000000" w:firstRow="0" w:lastRow="0" w:firstColumn="0" w:lastColumn="0" w:oddVBand="0" w:evenVBand="0" w:oddHBand="0" w:evenHBand="0" w:firstRowFirstColumn="0" w:firstRowLastColumn="0" w:lastRowFirstColumn="0" w:lastRowLastColumn="0"/>
            </w:pPr>
            <w:r w:rsidRPr="00721F73">
              <w:t xml:space="preserve">Communicate early with stakeholders to schedule meetings within evaluation timeframe. </w:t>
            </w:r>
          </w:p>
          <w:p w14:paraId="6416C8A2" w14:textId="77777777" w:rsidR="00721F73" w:rsidRPr="00721F73" w:rsidRDefault="00721F73" w:rsidP="00721F73">
            <w:pPr>
              <w:contextualSpacing w:val="0"/>
              <w:cnfStyle w:val="000000000000" w:firstRow="0" w:lastRow="0" w:firstColumn="0" w:lastColumn="0" w:oddVBand="0" w:evenVBand="0" w:oddHBand="0" w:evenHBand="0" w:firstRowFirstColumn="0" w:firstRowLastColumn="0" w:lastRowFirstColumn="0" w:lastRowLastColumn="0"/>
            </w:pPr>
            <w:r w:rsidRPr="00721F73">
              <w:t xml:space="preserve">Identify ‘back-up’ stakeholders in case key stakeholders are not available. </w:t>
            </w:r>
          </w:p>
        </w:tc>
      </w:tr>
      <w:tr w:rsidR="00721F73" w:rsidRPr="00721F73" w14:paraId="01F62F53" w14:textId="77777777" w:rsidTr="006E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pct"/>
          </w:tcPr>
          <w:p w14:paraId="1F52C1E6" w14:textId="77777777" w:rsidR="00721F73" w:rsidRPr="00721F73" w:rsidRDefault="00721F73" w:rsidP="00721F73">
            <w:pPr>
              <w:contextualSpacing w:val="0"/>
              <w:rPr>
                <w:b/>
                <w:sz w:val="22"/>
              </w:rPr>
            </w:pPr>
            <w:r w:rsidRPr="00721F73">
              <w:rPr>
                <w:b/>
                <w:sz w:val="22"/>
              </w:rPr>
              <w:t>Obtaining sufficient evidence from stakeholders</w:t>
            </w:r>
          </w:p>
        </w:tc>
        <w:tc>
          <w:tcPr>
            <w:tcW w:w="2848" w:type="pct"/>
          </w:tcPr>
          <w:p w14:paraId="44E5585D" w14:textId="77777777" w:rsidR="00721F73" w:rsidRPr="00721F73" w:rsidRDefault="00721F73" w:rsidP="00721F73">
            <w:pPr>
              <w:contextualSpacing w:val="0"/>
              <w:cnfStyle w:val="000000100000" w:firstRow="0" w:lastRow="0" w:firstColumn="0" w:lastColumn="0" w:oddVBand="0" w:evenVBand="0" w:oddHBand="1" w:evenHBand="0" w:firstRowFirstColumn="0" w:firstRowLastColumn="0" w:lastRowFirstColumn="0" w:lastRowLastColumn="0"/>
            </w:pPr>
            <w:r w:rsidRPr="00721F73">
              <w:t xml:space="preserve">Identify several relevant individuals within relevant stakeholder groups for interview to ensure personal experiences are revealed and captured to inform findings. </w:t>
            </w:r>
          </w:p>
          <w:p w14:paraId="2D7BD063" w14:textId="77777777" w:rsidR="00721F73" w:rsidRPr="00721F73" w:rsidRDefault="00721F73" w:rsidP="00721F73">
            <w:pPr>
              <w:contextualSpacing w:val="0"/>
              <w:cnfStyle w:val="000000100000" w:firstRow="0" w:lastRow="0" w:firstColumn="0" w:lastColumn="0" w:oddVBand="0" w:evenVBand="0" w:oddHBand="1" w:evenHBand="0" w:firstRowFirstColumn="0" w:firstRowLastColumn="0" w:lastRowFirstColumn="0" w:lastRowLastColumn="0"/>
            </w:pPr>
            <w:r w:rsidRPr="00721F73">
              <w:t>Draw on interviews and documents.</w:t>
            </w:r>
          </w:p>
        </w:tc>
      </w:tr>
      <w:tr w:rsidR="00721F73" w:rsidRPr="00721F73" w14:paraId="5003AAFF" w14:textId="77777777" w:rsidTr="006E0707">
        <w:tc>
          <w:tcPr>
            <w:cnfStyle w:val="001000000000" w:firstRow="0" w:lastRow="0" w:firstColumn="1" w:lastColumn="0" w:oddVBand="0" w:evenVBand="0" w:oddHBand="0" w:evenHBand="0" w:firstRowFirstColumn="0" w:firstRowLastColumn="0" w:lastRowFirstColumn="0" w:lastRowLastColumn="0"/>
            <w:tcW w:w="2152" w:type="pct"/>
          </w:tcPr>
          <w:p w14:paraId="5C822FF5" w14:textId="77777777" w:rsidR="00721F73" w:rsidRPr="00721F73" w:rsidRDefault="00721F73" w:rsidP="00721F73">
            <w:pPr>
              <w:contextualSpacing w:val="0"/>
              <w:rPr>
                <w:b/>
                <w:bCs/>
                <w:sz w:val="22"/>
              </w:rPr>
            </w:pPr>
            <w:r w:rsidRPr="00721F73">
              <w:rPr>
                <w:b/>
                <w:bCs/>
                <w:sz w:val="22"/>
              </w:rPr>
              <w:t xml:space="preserve">Quality of documentation, particularly reporting, may jeopardise quality of evidence and findings </w:t>
            </w:r>
          </w:p>
        </w:tc>
        <w:tc>
          <w:tcPr>
            <w:tcW w:w="2848" w:type="pct"/>
          </w:tcPr>
          <w:p w14:paraId="0976BBAD" w14:textId="77777777" w:rsidR="00721F73" w:rsidRPr="00721F73" w:rsidRDefault="00721F73" w:rsidP="00721F73">
            <w:pPr>
              <w:contextualSpacing w:val="0"/>
              <w:cnfStyle w:val="000000000000" w:firstRow="0" w:lastRow="0" w:firstColumn="0" w:lastColumn="0" w:oddVBand="0" w:evenVBand="0" w:oddHBand="0" w:evenHBand="0" w:firstRowFirstColumn="0" w:firstRowLastColumn="0" w:lastRowFirstColumn="0" w:lastRowLastColumn="0"/>
            </w:pPr>
            <w:r w:rsidRPr="00721F73">
              <w:t xml:space="preserve">Limitations of the key documents (inaccurate, biased or incomplete) will be acknowledged as a limitation of the review. </w:t>
            </w:r>
          </w:p>
          <w:p w14:paraId="2B0A9505" w14:textId="77777777" w:rsidR="00721F73" w:rsidRPr="00721F73" w:rsidRDefault="00721F73" w:rsidP="00721F73">
            <w:pPr>
              <w:contextualSpacing w:val="0"/>
              <w:cnfStyle w:val="000000000000" w:firstRow="0" w:lastRow="0" w:firstColumn="0" w:lastColumn="0" w:oddVBand="0" w:evenVBand="0" w:oddHBand="0" w:evenHBand="0" w:firstRowFirstColumn="0" w:firstRowLastColumn="0" w:lastRowFirstColumn="0" w:lastRowLastColumn="0"/>
            </w:pPr>
            <w:r w:rsidRPr="00721F73">
              <w:t xml:space="preserve">Triangulation of document data and stakeholder perspectives to verify information in documents. </w:t>
            </w:r>
          </w:p>
        </w:tc>
      </w:tr>
      <w:tr w:rsidR="00721F73" w:rsidRPr="00721F73" w14:paraId="4F764C69" w14:textId="77777777" w:rsidTr="006E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pct"/>
          </w:tcPr>
          <w:p w14:paraId="37C3CBBC" w14:textId="77777777" w:rsidR="00721F73" w:rsidRPr="00721F73" w:rsidRDefault="00721F73" w:rsidP="00721F73">
            <w:pPr>
              <w:contextualSpacing w:val="0"/>
              <w:rPr>
                <w:sz w:val="22"/>
              </w:rPr>
            </w:pPr>
            <w:r w:rsidRPr="00721F73">
              <w:rPr>
                <w:b/>
                <w:sz w:val="22"/>
              </w:rPr>
              <w:t>Timeline to carry out data collection and analysis is relatively short</w:t>
            </w:r>
          </w:p>
        </w:tc>
        <w:tc>
          <w:tcPr>
            <w:tcW w:w="2848" w:type="pct"/>
          </w:tcPr>
          <w:p w14:paraId="6D6BAFA1" w14:textId="77777777" w:rsidR="00721F73" w:rsidRPr="00721F73" w:rsidRDefault="00721F73" w:rsidP="00721F73">
            <w:pPr>
              <w:contextualSpacing w:val="0"/>
              <w:cnfStyle w:val="000000100000" w:firstRow="0" w:lastRow="0" w:firstColumn="0" w:lastColumn="0" w:oddVBand="0" w:evenVBand="0" w:oddHBand="1" w:evenHBand="0" w:firstRowFirstColumn="0" w:firstRowLastColumn="0" w:lastRowFirstColumn="0" w:lastRowLastColumn="0"/>
            </w:pPr>
            <w:r w:rsidRPr="00721F73">
              <w:t xml:space="preserve">Prepare schedule of activities and send invitations (to participate in review) as soon as possible. </w:t>
            </w:r>
          </w:p>
          <w:p w14:paraId="573DA681" w14:textId="77777777" w:rsidR="00721F73" w:rsidRPr="00721F73" w:rsidRDefault="00721F73" w:rsidP="00721F73">
            <w:pPr>
              <w:contextualSpacing w:val="0"/>
              <w:cnfStyle w:val="000000100000" w:firstRow="0" w:lastRow="0" w:firstColumn="0" w:lastColumn="0" w:oddVBand="0" w:evenVBand="0" w:oddHBand="1" w:evenHBand="0" w:firstRowFirstColumn="0" w:firstRowLastColumn="0" w:lastRowFirstColumn="0" w:lastRowLastColumn="0"/>
              <w:rPr>
                <w:lang w:val="en-US"/>
              </w:rPr>
            </w:pPr>
            <w:r w:rsidRPr="00721F73">
              <w:rPr>
                <w:lang w:val="en-US"/>
              </w:rPr>
              <w:t xml:space="preserve">Prepare analysis framework to provide clear and simple structure for analysis and to generate (transparently) key review findings.  </w:t>
            </w:r>
          </w:p>
          <w:p w14:paraId="732975CE" w14:textId="77777777" w:rsidR="00721F73" w:rsidRPr="00721F73" w:rsidRDefault="00721F73" w:rsidP="00721F73">
            <w:pPr>
              <w:contextualSpacing w:val="0"/>
              <w:cnfStyle w:val="000000100000" w:firstRow="0" w:lastRow="0" w:firstColumn="0" w:lastColumn="0" w:oddVBand="0" w:evenVBand="0" w:oddHBand="1" w:evenHBand="0" w:firstRowFirstColumn="0" w:firstRowLastColumn="0" w:lastRowFirstColumn="0" w:lastRowLastColumn="0"/>
            </w:pPr>
            <w:r w:rsidRPr="00721F73">
              <w:t xml:space="preserve">Data analysis completed in sequential phases.  </w:t>
            </w:r>
          </w:p>
          <w:p w14:paraId="189962F7" w14:textId="77777777" w:rsidR="00721F73" w:rsidRPr="00721F73" w:rsidRDefault="00721F73" w:rsidP="00721F73">
            <w:pPr>
              <w:contextualSpacing w:val="0"/>
              <w:cnfStyle w:val="000000100000" w:firstRow="0" w:lastRow="0" w:firstColumn="0" w:lastColumn="0" w:oddVBand="0" w:evenVBand="0" w:oddHBand="1" w:evenHBand="0" w:firstRowFirstColumn="0" w:firstRowLastColumn="0" w:lastRowFirstColumn="0" w:lastRowLastColumn="0"/>
            </w:pPr>
            <w:r w:rsidRPr="00721F73">
              <w:t xml:space="preserve">Use of evaluation team debrief sessions to support sense-making of findings.  </w:t>
            </w:r>
          </w:p>
        </w:tc>
      </w:tr>
      <w:tr w:rsidR="00721F73" w:rsidRPr="00721F73" w14:paraId="5EFD550F" w14:textId="77777777" w:rsidTr="006E0707">
        <w:tc>
          <w:tcPr>
            <w:cnfStyle w:val="001000000000" w:firstRow="0" w:lastRow="0" w:firstColumn="1" w:lastColumn="0" w:oddVBand="0" w:evenVBand="0" w:oddHBand="0" w:evenHBand="0" w:firstRowFirstColumn="0" w:firstRowLastColumn="0" w:lastRowFirstColumn="0" w:lastRowLastColumn="0"/>
            <w:tcW w:w="2152" w:type="pct"/>
          </w:tcPr>
          <w:p w14:paraId="085E3835" w14:textId="77777777" w:rsidR="00721F73" w:rsidRPr="00721F73" w:rsidRDefault="00721F73" w:rsidP="00721F73">
            <w:pPr>
              <w:contextualSpacing w:val="0"/>
              <w:rPr>
                <w:sz w:val="22"/>
              </w:rPr>
            </w:pPr>
            <w:r w:rsidRPr="00721F73">
              <w:rPr>
                <w:b/>
                <w:bCs/>
                <w:sz w:val="22"/>
              </w:rPr>
              <w:t>Balancing the volume of findings with the need for a concise report</w:t>
            </w:r>
          </w:p>
        </w:tc>
        <w:tc>
          <w:tcPr>
            <w:tcW w:w="2848" w:type="pct"/>
          </w:tcPr>
          <w:p w14:paraId="219EF77D" w14:textId="77777777" w:rsidR="00721F73" w:rsidRPr="00721F73" w:rsidRDefault="00721F73" w:rsidP="00721F73">
            <w:pPr>
              <w:contextualSpacing w:val="0"/>
              <w:cnfStyle w:val="000000000000" w:firstRow="0" w:lastRow="0" w:firstColumn="0" w:lastColumn="0" w:oddVBand="0" w:evenVBand="0" w:oddHBand="0" w:evenHBand="0" w:firstRowFirstColumn="0" w:firstRowLastColumn="0" w:lastRowFirstColumn="0" w:lastRowLastColumn="0"/>
            </w:pPr>
            <w:r w:rsidRPr="00721F73">
              <w:t xml:space="preserve">Strong analytical frameworks developed to align with the evaluation questions, to provide a clear link between evidence, findings and recommendations and enable synthesis and brevity. </w:t>
            </w:r>
          </w:p>
          <w:p w14:paraId="6A892CA8" w14:textId="77777777" w:rsidR="00721F73" w:rsidRPr="00721F73" w:rsidRDefault="00721F73" w:rsidP="00721F73">
            <w:pPr>
              <w:contextualSpacing w:val="0"/>
              <w:cnfStyle w:val="000000000000" w:firstRow="0" w:lastRow="0" w:firstColumn="0" w:lastColumn="0" w:oddVBand="0" w:evenVBand="0" w:oddHBand="0" w:evenHBand="0" w:firstRowFirstColumn="0" w:firstRowLastColumn="0" w:lastRowFirstColumn="0" w:lastRowLastColumn="0"/>
            </w:pPr>
            <w:r w:rsidRPr="00721F73">
              <w:t xml:space="preserve">Use of annexes in the review report to provide additional details. </w:t>
            </w:r>
          </w:p>
          <w:p w14:paraId="2B83165A" w14:textId="77777777" w:rsidR="00721F73" w:rsidRPr="00721F73" w:rsidRDefault="00721F73" w:rsidP="00721F73">
            <w:pPr>
              <w:contextualSpacing w:val="0"/>
              <w:cnfStyle w:val="000000000000" w:firstRow="0" w:lastRow="0" w:firstColumn="0" w:lastColumn="0" w:oddVBand="0" w:evenVBand="0" w:oddHBand="0" w:evenHBand="0" w:firstRowFirstColumn="0" w:firstRowLastColumn="0" w:lastRowFirstColumn="0" w:lastRowLastColumn="0"/>
            </w:pPr>
            <w:r w:rsidRPr="00721F73">
              <w:t xml:space="preserve">Findings to be substantiated with illustrative evidence – including dominant and outlying themes. </w:t>
            </w:r>
          </w:p>
        </w:tc>
      </w:tr>
    </w:tbl>
    <w:p w14:paraId="3D3844DF" w14:textId="3D670EDF" w:rsidR="00653EA3" w:rsidRDefault="00653EA3" w:rsidP="00721F73">
      <w:pPr>
        <w:rPr>
          <w:b/>
        </w:rPr>
      </w:pPr>
      <w:bookmarkStart w:id="326" w:name="_Toc174688127"/>
    </w:p>
    <w:p w14:paraId="3548F6AD" w14:textId="6B0F18D3" w:rsidR="00721F73" w:rsidRPr="00721F73" w:rsidRDefault="00721F73" w:rsidP="00721F73">
      <w:pPr>
        <w:rPr>
          <w:b/>
        </w:rPr>
      </w:pPr>
      <w:r w:rsidRPr="00721F73">
        <w:rPr>
          <w:b/>
        </w:rPr>
        <w:t>Schedule</w:t>
      </w:r>
      <w:bookmarkEnd w:id="326"/>
      <w:r w:rsidRPr="00721F73">
        <w:rPr>
          <w:b/>
        </w:rPr>
        <w:t xml:space="preserve"> </w:t>
      </w:r>
    </w:p>
    <w:p w14:paraId="455E1E91" w14:textId="77777777" w:rsidR="001C0289" w:rsidRDefault="00721F73" w:rsidP="00721F73">
      <w:r w:rsidRPr="00721F73">
        <w:t xml:space="preserve">In line with the TOR, the evaluation will be carried out between July - October 2024. Key milestones and deliverables are outlined in the below table. A more detailed review schedule is provided in </w:t>
      </w:r>
    </w:p>
    <w:p w14:paraId="4B2C1BB2" w14:textId="038F6D40" w:rsidR="00721F73" w:rsidRPr="00046177" w:rsidRDefault="00721F73" w:rsidP="00721F73">
      <w:pPr>
        <w:rPr>
          <w:rFonts w:ascii="Calibri" w:hAnsi="Calibri" w:cs="Arial"/>
          <w:b/>
          <w:color w:val="D5291C"/>
          <w:sz w:val="28"/>
        </w:rPr>
      </w:pPr>
      <w:r w:rsidRPr="00046177">
        <w:rPr>
          <w:rFonts w:ascii="Calibri" w:hAnsi="Calibri" w:cs="Arial"/>
          <w:b/>
          <w:color w:val="D5291C"/>
          <w:sz w:val="28"/>
        </w:rPr>
        <w:t xml:space="preserve">Annex </w:t>
      </w:r>
      <w:r w:rsidR="0006473F">
        <w:rPr>
          <w:rFonts w:ascii="Calibri" w:hAnsi="Calibri" w:cs="Arial"/>
          <w:b/>
          <w:color w:val="D5291C"/>
          <w:sz w:val="28"/>
        </w:rPr>
        <w:t>4</w:t>
      </w:r>
      <w:r w:rsidRPr="00046177">
        <w:rPr>
          <w:rFonts w:ascii="Calibri" w:hAnsi="Calibri" w:cs="Arial"/>
          <w:b/>
          <w:color w:val="D5291C"/>
          <w:sz w:val="28"/>
        </w:rPr>
        <w:t>.</w:t>
      </w:r>
      <w:r w:rsidR="0006473F">
        <w:rPr>
          <w:rFonts w:ascii="Calibri" w:hAnsi="Calibri" w:cs="Arial"/>
          <w:b/>
          <w:color w:val="D5291C"/>
          <w:sz w:val="28"/>
        </w:rPr>
        <w:t xml:space="preserve"> Evaluation schedule</w:t>
      </w:r>
    </w:p>
    <w:tbl>
      <w:tblPr>
        <w:tblStyle w:val="TableGrid"/>
        <w:tblW w:w="0" w:type="auto"/>
        <w:tblLayout w:type="fixed"/>
        <w:tblLook w:val="06A0" w:firstRow="1" w:lastRow="0" w:firstColumn="1" w:lastColumn="0" w:noHBand="1" w:noVBand="1"/>
      </w:tblPr>
      <w:tblGrid>
        <w:gridCol w:w="3005"/>
        <w:gridCol w:w="6118"/>
      </w:tblGrid>
      <w:tr w:rsidR="00721F73" w:rsidRPr="00721F73" w14:paraId="3BFDDAC8" w14:textId="77777777" w:rsidTr="00477706">
        <w:trPr>
          <w:trHeight w:val="300"/>
          <w:tblHeader/>
        </w:trPr>
        <w:tc>
          <w:tcPr>
            <w:tcW w:w="3005" w:type="dxa"/>
          </w:tcPr>
          <w:p w14:paraId="762F5520" w14:textId="77777777" w:rsidR="00721F73" w:rsidRPr="00721F73" w:rsidRDefault="00721F73" w:rsidP="00721F73">
            <w:pPr>
              <w:rPr>
                <w:b/>
                <w:bCs/>
              </w:rPr>
            </w:pPr>
            <w:r w:rsidRPr="00721F73">
              <w:rPr>
                <w:b/>
                <w:bCs/>
              </w:rPr>
              <w:t>Indicative date</w:t>
            </w:r>
          </w:p>
        </w:tc>
        <w:tc>
          <w:tcPr>
            <w:tcW w:w="6118" w:type="dxa"/>
          </w:tcPr>
          <w:p w14:paraId="10E1A82F" w14:textId="77777777" w:rsidR="00721F73" w:rsidRPr="00721F73" w:rsidRDefault="00721F73" w:rsidP="00721F73">
            <w:pPr>
              <w:rPr>
                <w:b/>
                <w:bCs/>
              </w:rPr>
            </w:pPr>
            <w:r w:rsidRPr="00721F73">
              <w:rPr>
                <w:b/>
                <w:bCs/>
              </w:rPr>
              <w:t>Milestone</w:t>
            </w:r>
          </w:p>
        </w:tc>
      </w:tr>
      <w:tr w:rsidR="00721F73" w:rsidRPr="00721F73" w14:paraId="01F3DB1B" w14:textId="77777777" w:rsidTr="006E0707">
        <w:trPr>
          <w:trHeight w:val="300"/>
        </w:trPr>
        <w:tc>
          <w:tcPr>
            <w:tcW w:w="3005" w:type="dxa"/>
          </w:tcPr>
          <w:p w14:paraId="14BEFDFB" w14:textId="77777777" w:rsidR="00721F73" w:rsidRPr="00721F73" w:rsidRDefault="00721F73" w:rsidP="00721F73">
            <w:r w:rsidRPr="00721F73">
              <w:t>24 July 2024</w:t>
            </w:r>
          </w:p>
        </w:tc>
        <w:tc>
          <w:tcPr>
            <w:tcW w:w="6118" w:type="dxa"/>
          </w:tcPr>
          <w:p w14:paraId="7E22390E" w14:textId="77777777" w:rsidR="00721F73" w:rsidRPr="00721F73" w:rsidRDefault="00721F73" w:rsidP="00721F73">
            <w:r w:rsidRPr="00721F73">
              <w:t>Draft Review Plan submitted to DFAT for review</w:t>
            </w:r>
          </w:p>
        </w:tc>
      </w:tr>
      <w:tr w:rsidR="00721F73" w:rsidRPr="00721F73" w14:paraId="689E907F" w14:textId="77777777" w:rsidTr="006E0707">
        <w:trPr>
          <w:trHeight w:val="300"/>
        </w:trPr>
        <w:tc>
          <w:tcPr>
            <w:tcW w:w="3005" w:type="dxa"/>
          </w:tcPr>
          <w:p w14:paraId="03294898" w14:textId="77777777" w:rsidR="00721F73" w:rsidRPr="00721F73" w:rsidRDefault="00721F73" w:rsidP="00721F73">
            <w:r w:rsidRPr="00721F73">
              <w:t>12 August 2024</w:t>
            </w:r>
          </w:p>
        </w:tc>
        <w:tc>
          <w:tcPr>
            <w:tcW w:w="6118" w:type="dxa"/>
          </w:tcPr>
          <w:p w14:paraId="61D2A205" w14:textId="77777777" w:rsidR="00721F73" w:rsidRPr="00721F73" w:rsidRDefault="00721F73" w:rsidP="00721F73">
            <w:r w:rsidRPr="00721F73">
              <w:t>Final Review Plan accepted by DFAT</w:t>
            </w:r>
          </w:p>
        </w:tc>
      </w:tr>
      <w:tr w:rsidR="00721F73" w:rsidRPr="00721F73" w14:paraId="57FB6314" w14:textId="77777777" w:rsidTr="006E0707">
        <w:trPr>
          <w:trHeight w:val="300"/>
        </w:trPr>
        <w:tc>
          <w:tcPr>
            <w:tcW w:w="3005" w:type="dxa"/>
          </w:tcPr>
          <w:p w14:paraId="261A45E9" w14:textId="77777777" w:rsidR="00721F73" w:rsidRPr="00721F73" w:rsidRDefault="00721F73" w:rsidP="00721F73">
            <w:r w:rsidRPr="00721F73">
              <w:t>14 August 2024</w:t>
            </w:r>
          </w:p>
        </w:tc>
        <w:tc>
          <w:tcPr>
            <w:tcW w:w="6118" w:type="dxa"/>
          </w:tcPr>
          <w:p w14:paraId="58F8B317" w14:textId="77777777" w:rsidR="00721F73" w:rsidRPr="00721F73" w:rsidRDefault="00721F73" w:rsidP="00721F73">
            <w:r w:rsidRPr="00721F73">
              <w:t>Interviews commence</w:t>
            </w:r>
          </w:p>
        </w:tc>
      </w:tr>
      <w:tr w:rsidR="00721F73" w:rsidRPr="00721F73" w14:paraId="0C7D5691" w14:textId="77777777" w:rsidTr="006E0707">
        <w:trPr>
          <w:trHeight w:val="300"/>
        </w:trPr>
        <w:tc>
          <w:tcPr>
            <w:tcW w:w="3005" w:type="dxa"/>
          </w:tcPr>
          <w:p w14:paraId="6214DB6B" w14:textId="77777777" w:rsidR="00721F73" w:rsidRPr="00721F73" w:rsidRDefault="00721F73" w:rsidP="00721F73">
            <w:r w:rsidRPr="00721F73">
              <w:t>20 September 2024</w:t>
            </w:r>
          </w:p>
        </w:tc>
        <w:tc>
          <w:tcPr>
            <w:tcW w:w="6118" w:type="dxa"/>
          </w:tcPr>
          <w:p w14:paraId="553279F4" w14:textId="77777777" w:rsidR="00721F73" w:rsidRPr="00721F73" w:rsidRDefault="00721F73" w:rsidP="00721F73">
            <w:r w:rsidRPr="00721F73">
              <w:t>Initial High-level Findings Presented to Stakeholders</w:t>
            </w:r>
          </w:p>
        </w:tc>
      </w:tr>
      <w:tr w:rsidR="00721F73" w:rsidRPr="00721F73" w14:paraId="751FE8DF" w14:textId="77777777" w:rsidTr="006E0707">
        <w:trPr>
          <w:trHeight w:val="300"/>
        </w:trPr>
        <w:tc>
          <w:tcPr>
            <w:tcW w:w="3005" w:type="dxa"/>
          </w:tcPr>
          <w:p w14:paraId="3F6EB2BF" w14:textId="77777777" w:rsidR="00721F73" w:rsidRPr="00721F73" w:rsidRDefault="00721F73" w:rsidP="00721F73">
            <w:r w:rsidRPr="00721F73">
              <w:t>4 October 2024</w:t>
            </w:r>
          </w:p>
        </w:tc>
        <w:tc>
          <w:tcPr>
            <w:tcW w:w="6118" w:type="dxa"/>
          </w:tcPr>
          <w:p w14:paraId="14CC1A76" w14:textId="77777777" w:rsidR="00721F73" w:rsidRPr="00721F73" w:rsidRDefault="00721F73" w:rsidP="00721F73">
            <w:r w:rsidRPr="00721F73">
              <w:t>Draft Review Report submitted to DFAT for review</w:t>
            </w:r>
          </w:p>
        </w:tc>
      </w:tr>
      <w:tr w:rsidR="00721F73" w:rsidRPr="00721F73" w14:paraId="29E6F8E1" w14:textId="77777777" w:rsidTr="006E0707">
        <w:trPr>
          <w:trHeight w:val="300"/>
        </w:trPr>
        <w:tc>
          <w:tcPr>
            <w:tcW w:w="3005" w:type="dxa"/>
          </w:tcPr>
          <w:p w14:paraId="6435A234" w14:textId="77777777" w:rsidR="00721F73" w:rsidRPr="00721F73" w:rsidRDefault="00721F73" w:rsidP="00721F73">
            <w:r w:rsidRPr="00721F73">
              <w:t>8 November 2024</w:t>
            </w:r>
          </w:p>
        </w:tc>
        <w:tc>
          <w:tcPr>
            <w:tcW w:w="6118" w:type="dxa"/>
          </w:tcPr>
          <w:p w14:paraId="789C9402" w14:textId="77777777" w:rsidR="00721F73" w:rsidRPr="00721F73" w:rsidRDefault="00721F73" w:rsidP="00721F73">
            <w:r w:rsidRPr="00721F73">
              <w:t>Final Review Report submitted to DFAT</w:t>
            </w:r>
          </w:p>
        </w:tc>
      </w:tr>
    </w:tbl>
    <w:p w14:paraId="1CE695CC" w14:textId="77777777" w:rsidR="00721F73" w:rsidRPr="00721F73" w:rsidRDefault="00721F73" w:rsidP="00721F73">
      <w:r w:rsidRPr="00721F73">
        <w:t xml:space="preserve">  </w:t>
      </w:r>
    </w:p>
    <w:p w14:paraId="550D8694" w14:textId="77777777" w:rsidR="00721F73" w:rsidRPr="00721F73" w:rsidRDefault="00721F73" w:rsidP="00653EA3">
      <w:pPr>
        <w:rPr>
          <w:b/>
        </w:rPr>
      </w:pPr>
      <w:bookmarkStart w:id="327" w:name="_Toc174688128"/>
      <w:r w:rsidRPr="00721F73">
        <w:rPr>
          <w:b/>
        </w:rPr>
        <w:t>Evaluation team</w:t>
      </w:r>
      <w:bookmarkEnd w:id="327"/>
      <w:r w:rsidRPr="00721F73">
        <w:rPr>
          <w:b/>
        </w:rPr>
        <w:t xml:space="preserve"> </w:t>
      </w:r>
    </w:p>
    <w:p w14:paraId="02F0C2F2" w14:textId="77777777" w:rsidR="00721F73" w:rsidRPr="00721F73" w:rsidRDefault="00721F73" w:rsidP="00721F73">
      <w:r w:rsidRPr="00721F73">
        <w:t xml:space="preserve">The evaluation will be conducted by a team of independent consultants contracted by Specialist Health Service (SHS). The team is comprised of Mr Andrew Freeman, Dr Suzy </w:t>
      </w:r>
      <w:proofErr w:type="spellStart"/>
      <w:r w:rsidRPr="00721F73">
        <w:t>Ossipow</w:t>
      </w:r>
      <w:proofErr w:type="spellEnd"/>
      <w:r w:rsidRPr="00721F73">
        <w:t xml:space="preserve"> and Ms. Deb Hartley. </w:t>
      </w:r>
    </w:p>
    <w:p w14:paraId="697375F5" w14:textId="77777777" w:rsidR="00721F73" w:rsidRPr="00721F73" w:rsidRDefault="00721F73" w:rsidP="00721F73">
      <w:r w:rsidRPr="00721F73">
        <w:t xml:space="preserve">Andrew will provide overall leadership of the review and project management. He will lead on consultations and be responsible for the delivery of all key deliverables to a high standard. He will be responsible for oversight of team inputs and ensuring delivery of outcomes and milestones. He will also be responsible for ensuring all feedback from DFAT and other stakeholders is addressed and that the final report is fully accessible. </w:t>
      </w:r>
    </w:p>
    <w:p w14:paraId="0D81331E" w14:textId="77777777" w:rsidR="00721F73" w:rsidRPr="00721F73" w:rsidRDefault="00721F73" w:rsidP="00721F73">
      <w:r w:rsidRPr="00721F73">
        <w:t xml:space="preserve">Suzy is the health specialist on the team. She will provide health technical input to the evaluation </w:t>
      </w:r>
      <w:proofErr w:type="gramStart"/>
      <w:r w:rsidRPr="00721F73">
        <w:t>design, and</w:t>
      </w:r>
      <w:proofErr w:type="gramEnd"/>
      <w:r w:rsidRPr="00721F73">
        <w:t xml:space="preserve"> will provide health technical input and analysis to inform the evaluation findings and recommendations.</w:t>
      </w:r>
    </w:p>
    <w:p w14:paraId="3092BAB9" w14:textId="77777777" w:rsidR="00721F73" w:rsidRPr="00721F73" w:rsidRDefault="00721F73" w:rsidP="00721F73">
      <w:r w:rsidRPr="00721F73">
        <w:t xml:space="preserve">Deb is the GEDSI and health lead on the team. Deb will provide technical input on GEDSI for the evaluation </w:t>
      </w:r>
      <w:proofErr w:type="gramStart"/>
      <w:r w:rsidRPr="00721F73">
        <w:t>design, and</w:t>
      </w:r>
      <w:proofErr w:type="gramEnd"/>
      <w:r w:rsidRPr="00721F73">
        <w:t xml:space="preserve"> provide GEDSI technical input and analysis to inform the evaluation findings and recommendations.</w:t>
      </w:r>
    </w:p>
    <w:p w14:paraId="622ACAC2" w14:textId="78B8F1A1" w:rsidR="00721F73" w:rsidRPr="00721F73" w:rsidRDefault="00721F73" w:rsidP="00721F73">
      <w:r w:rsidRPr="00721F73">
        <w:t>The evaluation team will hold regular remote team meetings, in addition to ongoing email communication, to ensure that all approaches, processes and deliverables draw on the individual experience, expertise and responsibilities of each team member. All team members will be involved in document review key informant interviews, analysis and identification of findings and recommendations, and development of deliverables.</w:t>
      </w:r>
    </w:p>
    <w:p w14:paraId="1EB1688B" w14:textId="77777777" w:rsidR="00721F73" w:rsidRPr="00721F73" w:rsidRDefault="00721F73" w:rsidP="00721F73">
      <w:pPr>
        <w:sectPr w:rsidR="00721F73" w:rsidRPr="00721F73" w:rsidSect="00721F73">
          <w:headerReference w:type="even" r:id="rId19"/>
          <w:headerReference w:type="default" r:id="rId20"/>
          <w:footerReference w:type="default" r:id="rId21"/>
          <w:headerReference w:type="first" r:id="rId22"/>
          <w:footerReference w:type="first" r:id="rId23"/>
          <w:pgSz w:w="11907" w:h="16839" w:code="9"/>
          <w:pgMar w:top="1440" w:right="1440" w:bottom="1440" w:left="1440" w:header="709" w:footer="709" w:gutter="0"/>
          <w:cols w:space="708"/>
          <w:docGrid w:linePitch="360"/>
        </w:sectPr>
      </w:pPr>
    </w:p>
    <w:p w14:paraId="17045DD6" w14:textId="088F023D" w:rsidR="00721F73" w:rsidRPr="00B423FF" w:rsidRDefault="00721F73" w:rsidP="00721F73">
      <w:pPr>
        <w:rPr>
          <w:rFonts w:ascii="Calibri" w:hAnsi="Calibri" w:cs="Arial"/>
          <w:b/>
          <w:color w:val="D5291C"/>
          <w:sz w:val="28"/>
        </w:rPr>
      </w:pPr>
      <w:bookmarkStart w:id="328" w:name="_Toc174688130"/>
      <w:bookmarkStart w:id="329" w:name="_Toc481663986"/>
      <w:bookmarkEnd w:id="275"/>
      <w:r w:rsidRPr="00B423FF">
        <w:rPr>
          <w:rFonts w:ascii="Calibri" w:hAnsi="Calibri" w:cs="Arial"/>
          <w:b/>
          <w:color w:val="D5291C"/>
          <w:sz w:val="28"/>
        </w:rPr>
        <w:t xml:space="preserve">Annex </w:t>
      </w:r>
      <w:r w:rsidR="0006473F">
        <w:rPr>
          <w:rFonts w:ascii="Calibri" w:hAnsi="Calibri" w:cs="Arial"/>
          <w:b/>
          <w:color w:val="D5291C"/>
          <w:sz w:val="28"/>
        </w:rPr>
        <w:t>5</w:t>
      </w:r>
      <w:r w:rsidRPr="00B423FF">
        <w:rPr>
          <w:rFonts w:ascii="Calibri" w:hAnsi="Calibri" w:cs="Arial"/>
          <w:b/>
          <w:color w:val="D5291C"/>
          <w:sz w:val="28"/>
        </w:rPr>
        <w:t>: Standard 9: Independent Evaluation Plans</w:t>
      </w:r>
      <w:bookmarkEnd w:id="328"/>
    </w:p>
    <w:tbl>
      <w:tblPr>
        <w:tblStyle w:val="TableGrid"/>
        <w:tblW w:w="5000" w:type="pct"/>
        <w:tblLook w:val="04A0" w:firstRow="1" w:lastRow="0" w:firstColumn="1" w:lastColumn="0" w:noHBand="0" w:noVBand="1"/>
      </w:tblPr>
      <w:tblGrid>
        <w:gridCol w:w="608"/>
        <w:gridCol w:w="6193"/>
        <w:gridCol w:w="2216"/>
      </w:tblGrid>
      <w:tr w:rsidR="00721F73" w:rsidRPr="00721F73" w14:paraId="44E26B3F" w14:textId="77777777" w:rsidTr="00B423FF">
        <w:trPr>
          <w:tblHeader/>
        </w:trPr>
        <w:tc>
          <w:tcPr>
            <w:tcW w:w="337" w:type="pct"/>
            <w:shd w:val="clear" w:color="auto" w:fill="auto"/>
            <w:vAlign w:val="center"/>
          </w:tcPr>
          <w:p w14:paraId="1D909D35" w14:textId="076CF5B4" w:rsidR="00721F73" w:rsidRPr="00721F73" w:rsidRDefault="00721F73" w:rsidP="008C7F1C">
            <w:pPr>
              <w:spacing w:after="0"/>
              <w:rPr>
                <w:b/>
                <w:bCs/>
              </w:rPr>
            </w:pPr>
            <w:r w:rsidRPr="00721F73">
              <w:rPr>
                <w:b/>
                <w:bCs/>
              </w:rPr>
              <w:t>N</w:t>
            </w:r>
            <w:r w:rsidR="005707CE">
              <w:rPr>
                <w:b/>
                <w:bCs/>
              </w:rPr>
              <w:t>o.</w:t>
            </w:r>
          </w:p>
        </w:tc>
        <w:tc>
          <w:tcPr>
            <w:tcW w:w="3434" w:type="pct"/>
            <w:shd w:val="clear" w:color="auto" w:fill="auto"/>
            <w:vAlign w:val="center"/>
          </w:tcPr>
          <w:p w14:paraId="4FEBB226" w14:textId="77777777" w:rsidR="00721F73" w:rsidRPr="00721F73" w:rsidRDefault="00721F73" w:rsidP="008C7F1C">
            <w:pPr>
              <w:spacing w:after="0"/>
              <w:rPr>
                <w:b/>
                <w:bCs/>
              </w:rPr>
            </w:pPr>
            <w:r w:rsidRPr="00721F73">
              <w:rPr>
                <w:b/>
                <w:bCs/>
              </w:rPr>
              <w:t xml:space="preserve">Element </w:t>
            </w:r>
          </w:p>
        </w:tc>
        <w:tc>
          <w:tcPr>
            <w:tcW w:w="1230" w:type="pct"/>
            <w:shd w:val="clear" w:color="auto" w:fill="auto"/>
          </w:tcPr>
          <w:p w14:paraId="201E48FA" w14:textId="77777777" w:rsidR="00721F73" w:rsidRPr="00721F73" w:rsidRDefault="00721F73" w:rsidP="008C7F1C">
            <w:pPr>
              <w:spacing w:after="0"/>
              <w:rPr>
                <w:b/>
                <w:bCs/>
              </w:rPr>
            </w:pPr>
            <w:r w:rsidRPr="00721F73">
              <w:rPr>
                <w:b/>
                <w:bCs/>
              </w:rPr>
              <w:t xml:space="preserve">Reference in Review Plan </w:t>
            </w:r>
          </w:p>
        </w:tc>
      </w:tr>
      <w:tr w:rsidR="00721F73" w:rsidRPr="00721F73" w14:paraId="1AEE389F" w14:textId="77777777" w:rsidTr="00B423FF">
        <w:tc>
          <w:tcPr>
            <w:tcW w:w="337" w:type="pct"/>
            <w:vAlign w:val="center"/>
          </w:tcPr>
          <w:p w14:paraId="3D393437" w14:textId="77777777" w:rsidR="00721F73" w:rsidRPr="00721F73" w:rsidRDefault="00721F73" w:rsidP="008C7F1C">
            <w:pPr>
              <w:spacing w:after="0"/>
            </w:pPr>
            <w:bookmarkStart w:id="330" w:name="_Hlk112077693"/>
            <w:r w:rsidRPr="00721F73">
              <w:t>9.1</w:t>
            </w:r>
          </w:p>
        </w:tc>
        <w:tc>
          <w:tcPr>
            <w:tcW w:w="3434" w:type="pct"/>
            <w:vAlign w:val="center"/>
          </w:tcPr>
          <w:p w14:paraId="56950423" w14:textId="77777777" w:rsidR="00721F73" w:rsidRPr="00721F73" w:rsidRDefault="00721F73" w:rsidP="008C7F1C">
            <w:pPr>
              <w:spacing w:after="0"/>
            </w:pPr>
            <w:r w:rsidRPr="00721F73">
              <w:t>The Plan is based on a collaborative approach</w:t>
            </w:r>
          </w:p>
        </w:tc>
        <w:tc>
          <w:tcPr>
            <w:tcW w:w="1230" w:type="pct"/>
          </w:tcPr>
          <w:p w14:paraId="2DCC8A9B" w14:textId="77777777" w:rsidR="00721F73" w:rsidRPr="00721F73" w:rsidRDefault="00721F73" w:rsidP="008C7F1C">
            <w:pPr>
              <w:spacing w:after="0"/>
            </w:pPr>
            <w:r w:rsidRPr="00721F73">
              <w:t xml:space="preserve">Section 1 </w:t>
            </w:r>
          </w:p>
        </w:tc>
      </w:tr>
      <w:tr w:rsidR="00721F73" w:rsidRPr="00721F73" w14:paraId="371390E6" w14:textId="77777777" w:rsidTr="00B423FF">
        <w:tc>
          <w:tcPr>
            <w:tcW w:w="337" w:type="pct"/>
            <w:vAlign w:val="center"/>
          </w:tcPr>
          <w:p w14:paraId="3FFEFD36" w14:textId="77777777" w:rsidR="00721F73" w:rsidRPr="00721F73" w:rsidRDefault="00721F73" w:rsidP="008C7F1C">
            <w:pPr>
              <w:spacing w:after="0"/>
            </w:pPr>
            <w:r w:rsidRPr="00721F73">
              <w:t>9.2</w:t>
            </w:r>
          </w:p>
        </w:tc>
        <w:tc>
          <w:tcPr>
            <w:tcW w:w="3434" w:type="pct"/>
            <w:vAlign w:val="center"/>
          </w:tcPr>
          <w:p w14:paraId="3444C51A" w14:textId="77777777" w:rsidR="00721F73" w:rsidRPr="00721F73" w:rsidRDefault="00721F73" w:rsidP="008C7F1C">
            <w:pPr>
              <w:spacing w:after="0"/>
            </w:pPr>
            <w:r w:rsidRPr="00721F73">
              <w:t>The program to be evaluated is described and the purpose and primary intended users of the evaluation are clearly identified</w:t>
            </w:r>
          </w:p>
        </w:tc>
        <w:tc>
          <w:tcPr>
            <w:tcW w:w="1230" w:type="pct"/>
          </w:tcPr>
          <w:p w14:paraId="4D4A5108" w14:textId="77777777" w:rsidR="00721F73" w:rsidRPr="00721F73" w:rsidRDefault="00721F73" w:rsidP="008C7F1C">
            <w:pPr>
              <w:spacing w:after="0"/>
            </w:pPr>
            <w:r w:rsidRPr="00721F73">
              <w:t>Section 3</w:t>
            </w:r>
          </w:p>
        </w:tc>
      </w:tr>
      <w:tr w:rsidR="00721F73" w:rsidRPr="00721F73" w14:paraId="6CBA81A6" w14:textId="77777777" w:rsidTr="00B423FF">
        <w:tc>
          <w:tcPr>
            <w:tcW w:w="337" w:type="pct"/>
            <w:vAlign w:val="center"/>
          </w:tcPr>
          <w:p w14:paraId="04AA9E1A" w14:textId="77777777" w:rsidR="00721F73" w:rsidRPr="00721F73" w:rsidRDefault="00721F73" w:rsidP="008C7F1C">
            <w:pPr>
              <w:spacing w:after="0"/>
            </w:pPr>
            <w:r w:rsidRPr="00721F73">
              <w:t>9.3</w:t>
            </w:r>
          </w:p>
        </w:tc>
        <w:tc>
          <w:tcPr>
            <w:tcW w:w="3434" w:type="pct"/>
            <w:vAlign w:val="center"/>
          </w:tcPr>
          <w:p w14:paraId="207FF70E" w14:textId="77777777" w:rsidR="00721F73" w:rsidRPr="00721F73" w:rsidRDefault="00721F73" w:rsidP="008C7F1C">
            <w:pPr>
              <w:spacing w:after="0"/>
            </w:pPr>
            <w:r w:rsidRPr="00721F73">
              <w:t>A summary is provided to orient the reader to the overall evaluation design and methodology</w:t>
            </w:r>
          </w:p>
        </w:tc>
        <w:tc>
          <w:tcPr>
            <w:tcW w:w="1230" w:type="pct"/>
          </w:tcPr>
          <w:p w14:paraId="6835A2FC" w14:textId="77777777" w:rsidR="00721F73" w:rsidRPr="00721F73" w:rsidRDefault="00721F73" w:rsidP="008C7F1C">
            <w:pPr>
              <w:spacing w:after="0"/>
            </w:pPr>
            <w:r w:rsidRPr="00721F73">
              <w:t>Section 4</w:t>
            </w:r>
          </w:p>
        </w:tc>
      </w:tr>
      <w:tr w:rsidR="00721F73" w:rsidRPr="00721F73" w14:paraId="4AD246F7" w14:textId="77777777" w:rsidTr="00B423FF">
        <w:tc>
          <w:tcPr>
            <w:tcW w:w="337" w:type="pct"/>
            <w:vAlign w:val="center"/>
          </w:tcPr>
          <w:p w14:paraId="4A0CB0EB" w14:textId="77777777" w:rsidR="00721F73" w:rsidRPr="00721F73" w:rsidRDefault="00721F73" w:rsidP="008C7F1C">
            <w:pPr>
              <w:spacing w:after="0"/>
            </w:pPr>
            <w:r w:rsidRPr="00721F73">
              <w:t>9.4</w:t>
            </w:r>
          </w:p>
        </w:tc>
        <w:tc>
          <w:tcPr>
            <w:tcW w:w="3434" w:type="pct"/>
            <w:vAlign w:val="center"/>
          </w:tcPr>
          <w:p w14:paraId="63EC0BB3" w14:textId="77777777" w:rsidR="00721F73" w:rsidRPr="00721F73" w:rsidRDefault="00721F73" w:rsidP="008C7F1C">
            <w:pPr>
              <w:spacing w:after="0"/>
            </w:pPr>
            <w:r w:rsidRPr="00721F73">
              <w:t>Limitations or constraints on the evaluation are described (for example time frame, resources, available data, political sensitivities)</w:t>
            </w:r>
          </w:p>
        </w:tc>
        <w:tc>
          <w:tcPr>
            <w:tcW w:w="1230" w:type="pct"/>
          </w:tcPr>
          <w:p w14:paraId="7189B42E" w14:textId="77777777" w:rsidR="00721F73" w:rsidRPr="00721F73" w:rsidRDefault="00721F73" w:rsidP="008C7F1C">
            <w:pPr>
              <w:spacing w:after="0"/>
            </w:pPr>
            <w:r w:rsidRPr="00721F73">
              <w:t>Section 4.5</w:t>
            </w:r>
          </w:p>
        </w:tc>
      </w:tr>
      <w:tr w:rsidR="00721F73" w:rsidRPr="00721F73" w14:paraId="2A8E6C59" w14:textId="77777777" w:rsidTr="00B423FF">
        <w:tc>
          <w:tcPr>
            <w:tcW w:w="337" w:type="pct"/>
            <w:vAlign w:val="center"/>
          </w:tcPr>
          <w:p w14:paraId="7FF94E1D" w14:textId="77777777" w:rsidR="00721F73" w:rsidRPr="00721F73" w:rsidRDefault="00721F73" w:rsidP="008C7F1C">
            <w:pPr>
              <w:spacing w:after="0"/>
            </w:pPr>
            <w:r w:rsidRPr="00721F73">
              <w:t>9.5</w:t>
            </w:r>
          </w:p>
        </w:tc>
        <w:tc>
          <w:tcPr>
            <w:tcW w:w="3434" w:type="pct"/>
            <w:vAlign w:val="center"/>
          </w:tcPr>
          <w:p w14:paraId="1A36AD51" w14:textId="77777777" w:rsidR="00721F73" w:rsidRPr="00721F73" w:rsidRDefault="00721F73" w:rsidP="008C7F1C">
            <w:pPr>
              <w:spacing w:after="0"/>
            </w:pPr>
            <w:r w:rsidRPr="00721F73">
              <w:t>The key evaluation questions are supplemented by detailed descriptions and/or sub-questions</w:t>
            </w:r>
          </w:p>
        </w:tc>
        <w:tc>
          <w:tcPr>
            <w:tcW w:w="1230" w:type="pct"/>
          </w:tcPr>
          <w:p w14:paraId="3EA3BCCA" w14:textId="77777777" w:rsidR="00721F73" w:rsidRPr="00721F73" w:rsidRDefault="00721F73" w:rsidP="008C7F1C">
            <w:pPr>
              <w:spacing w:after="0"/>
            </w:pPr>
            <w:r w:rsidRPr="00721F73">
              <w:t xml:space="preserve">Annex 2 </w:t>
            </w:r>
          </w:p>
        </w:tc>
      </w:tr>
      <w:tr w:rsidR="00721F73" w:rsidRPr="00721F73" w14:paraId="6ACA65D7" w14:textId="77777777" w:rsidTr="00B423FF">
        <w:tc>
          <w:tcPr>
            <w:tcW w:w="337" w:type="pct"/>
            <w:vAlign w:val="center"/>
          </w:tcPr>
          <w:p w14:paraId="34DF5971" w14:textId="77777777" w:rsidR="00721F73" w:rsidRPr="00721F73" w:rsidRDefault="00721F73" w:rsidP="008C7F1C">
            <w:pPr>
              <w:spacing w:after="0"/>
            </w:pPr>
            <w:r w:rsidRPr="00721F73">
              <w:t>9.6</w:t>
            </w:r>
          </w:p>
        </w:tc>
        <w:tc>
          <w:tcPr>
            <w:tcW w:w="3434" w:type="pct"/>
            <w:vAlign w:val="center"/>
          </w:tcPr>
          <w:p w14:paraId="777705FC" w14:textId="77777777" w:rsidR="00721F73" w:rsidRPr="00721F73" w:rsidRDefault="00721F73" w:rsidP="008C7F1C">
            <w:pPr>
              <w:spacing w:after="0"/>
            </w:pPr>
            <w:r w:rsidRPr="00721F73">
              <w:t xml:space="preserve">It is clear which questions </w:t>
            </w:r>
            <w:proofErr w:type="gramStart"/>
            <w:r w:rsidRPr="00721F73">
              <w:t>are considered to be</w:t>
            </w:r>
            <w:proofErr w:type="gramEnd"/>
            <w:r w:rsidRPr="00721F73">
              <w:t xml:space="preserve"> of higher priority and are expected to provide the most important information</w:t>
            </w:r>
          </w:p>
        </w:tc>
        <w:tc>
          <w:tcPr>
            <w:tcW w:w="1230" w:type="pct"/>
          </w:tcPr>
          <w:p w14:paraId="2C2D8EC2" w14:textId="77777777" w:rsidR="00721F73" w:rsidRPr="00721F73" w:rsidRDefault="00721F73" w:rsidP="008C7F1C">
            <w:pPr>
              <w:spacing w:after="0"/>
            </w:pPr>
            <w:r w:rsidRPr="00721F73">
              <w:t xml:space="preserve">Section 3.2 and Annex 2 </w:t>
            </w:r>
          </w:p>
        </w:tc>
      </w:tr>
      <w:tr w:rsidR="00721F73" w:rsidRPr="00721F73" w14:paraId="13ABCFFF" w14:textId="77777777" w:rsidTr="00B423FF">
        <w:tc>
          <w:tcPr>
            <w:tcW w:w="337" w:type="pct"/>
            <w:vAlign w:val="center"/>
          </w:tcPr>
          <w:p w14:paraId="71B1E03D" w14:textId="77777777" w:rsidR="00721F73" w:rsidRPr="00721F73" w:rsidRDefault="00721F73" w:rsidP="008C7F1C">
            <w:pPr>
              <w:spacing w:after="0"/>
            </w:pPr>
            <w:r w:rsidRPr="00721F73">
              <w:t>9.7</w:t>
            </w:r>
          </w:p>
          <w:p w14:paraId="4FF47D2B" w14:textId="77777777" w:rsidR="00721F73" w:rsidRPr="00721F73" w:rsidRDefault="00721F73" w:rsidP="008C7F1C">
            <w:pPr>
              <w:spacing w:after="0"/>
            </w:pPr>
          </w:p>
        </w:tc>
        <w:tc>
          <w:tcPr>
            <w:tcW w:w="3434" w:type="pct"/>
            <w:vAlign w:val="center"/>
          </w:tcPr>
          <w:p w14:paraId="7172C1F2" w14:textId="77777777" w:rsidR="00721F73" w:rsidRPr="00721F73" w:rsidRDefault="00721F73" w:rsidP="008C7F1C">
            <w:pPr>
              <w:spacing w:after="0"/>
            </w:pPr>
            <w:r w:rsidRPr="00721F73">
              <w:t>There is sufficient flexibility to be able to address important unexpected issues as they emerge</w:t>
            </w:r>
          </w:p>
        </w:tc>
        <w:tc>
          <w:tcPr>
            <w:tcW w:w="1230" w:type="pct"/>
          </w:tcPr>
          <w:p w14:paraId="5A874D42" w14:textId="77777777" w:rsidR="00721F73" w:rsidRPr="00721F73" w:rsidRDefault="00721F73" w:rsidP="008C7F1C">
            <w:pPr>
              <w:spacing w:after="0"/>
            </w:pPr>
            <w:r w:rsidRPr="00721F73">
              <w:t>Section 4</w:t>
            </w:r>
          </w:p>
        </w:tc>
      </w:tr>
      <w:tr w:rsidR="00721F73" w:rsidRPr="00721F73" w14:paraId="53CD524F" w14:textId="77777777" w:rsidTr="00B423FF">
        <w:tc>
          <w:tcPr>
            <w:tcW w:w="337" w:type="pct"/>
            <w:vAlign w:val="center"/>
          </w:tcPr>
          <w:p w14:paraId="41571625" w14:textId="77777777" w:rsidR="00721F73" w:rsidRPr="00721F73" w:rsidRDefault="00721F73" w:rsidP="008C7F1C">
            <w:pPr>
              <w:spacing w:after="0"/>
            </w:pPr>
            <w:r w:rsidRPr="00721F73">
              <w:t>9.8</w:t>
            </w:r>
          </w:p>
        </w:tc>
        <w:tc>
          <w:tcPr>
            <w:tcW w:w="3434" w:type="pct"/>
            <w:vAlign w:val="center"/>
          </w:tcPr>
          <w:p w14:paraId="44F95F3C" w14:textId="77777777" w:rsidR="00721F73" w:rsidRPr="00721F73" w:rsidRDefault="00721F73" w:rsidP="008C7F1C">
            <w:pPr>
              <w:spacing w:after="0"/>
            </w:pPr>
            <w:r w:rsidRPr="00721F73">
              <w:t xml:space="preserve">The methods to collect quantitative and qualitative data, including stakeholders to be interviewed are described for each question (or related questions)  </w:t>
            </w:r>
          </w:p>
        </w:tc>
        <w:tc>
          <w:tcPr>
            <w:tcW w:w="1230" w:type="pct"/>
          </w:tcPr>
          <w:p w14:paraId="2DC759D0" w14:textId="77777777" w:rsidR="00721F73" w:rsidRPr="00721F73" w:rsidRDefault="00721F73" w:rsidP="008C7F1C">
            <w:pPr>
              <w:spacing w:after="0"/>
            </w:pPr>
            <w:r w:rsidRPr="00721F73">
              <w:t>Section 4 and Annex 2</w:t>
            </w:r>
          </w:p>
        </w:tc>
      </w:tr>
      <w:tr w:rsidR="00721F73" w:rsidRPr="00721F73" w14:paraId="06DFB1F1" w14:textId="77777777" w:rsidTr="00B423FF">
        <w:tc>
          <w:tcPr>
            <w:tcW w:w="337" w:type="pct"/>
            <w:vAlign w:val="center"/>
          </w:tcPr>
          <w:p w14:paraId="06DB8110" w14:textId="77777777" w:rsidR="00721F73" w:rsidRPr="00721F73" w:rsidRDefault="00721F73" w:rsidP="008C7F1C">
            <w:pPr>
              <w:spacing w:after="0"/>
            </w:pPr>
            <w:r w:rsidRPr="00721F73">
              <w:t>9.9</w:t>
            </w:r>
          </w:p>
        </w:tc>
        <w:tc>
          <w:tcPr>
            <w:tcW w:w="3434" w:type="pct"/>
            <w:vAlign w:val="center"/>
          </w:tcPr>
          <w:p w14:paraId="2DF2E68E" w14:textId="77777777" w:rsidR="00721F73" w:rsidRPr="00721F73" w:rsidRDefault="00721F73" w:rsidP="008C7F1C">
            <w:pPr>
              <w:spacing w:after="0"/>
            </w:pPr>
            <w:r w:rsidRPr="00721F73">
              <w:t>The proposed data collection methods are appropriate for the questions posed</w:t>
            </w:r>
          </w:p>
        </w:tc>
        <w:tc>
          <w:tcPr>
            <w:tcW w:w="1230" w:type="pct"/>
          </w:tcPr>
          <w:p w14:paraId="5A83A1B6" w14:textId="77777777" w:rsidR="00721F73" w:rsidRPr="00721F73" w:rsidRDefault="00721F73" w:rsidP="008C7F1C">
            <w:pPr>
              <w:spacing w:after="0"/>
            </w:pPr>
            <w:r w:rsidRPr="00721F73">
              <w:t>Section 4</w:t>
            </w:r>
          </w:p>
        </w:tc>
      </w:tr>
      <w:tr w:rsidR="00721F73" w:rsidRPr="00721F73" w14:paraId="0615950A" w14:textId="77777777" w:rsidTr="00B423FF">
        <w:tc>
          <w:tcPr>
            <w:tcW w:w="337" w:type="pct"/>
            <w:vAlign w:val="center"/>
          </w:tcPr>
          <w:p w14:paraId="4EBA1077" w14:textId="77777777" w:rsidR="00721F73" w:rsidRPr="00721F73" w:rsidRDefault="00721F73" w:rsidP="008C7F1C">
            <w:pPr>
              <w:spacing w:after="0"/>
            </w:pPr>
            <w:r w:rsidRPr="00721F73">
              <w:t>9.10</w:t>
            </w:r>
          </w:p>
        </w:tc>
        <w:tc>
          <w:tcPr>
            <w:tcW w:w="3434" w:type="pct"/>
            <w:vAlign w:val="center"/>
          </w:tcPr>
          <w:p w14:paraId="53167B9F" w14:textId="77777777" w:rsidR="00721F73" w:rsidRPr="00721F73" w:rsidRDefault="00721F73" w:rsidP="008C7F1C">
            <w:pPr>
              <w:spacing w:after="0"/>
            </w:pPr>
            <w:r w:rsidRPr="00721F73">
              <w:t>Triangulation of data collection methods is proposed to strengthen the confidence in the findings</w:t>
            </w:r>
          </w:p>
        </w:tc>
        <w:tc>
          <w:tcPr>
            <w:tcW w:w="1230" w:type="pct"/>
          </w:tcPr>
          <w:p w14:paraId="20916D2A" w14:textId="77777777" w:rsidR="00721F73" w:rsidRPr="00721F73" w:rsidRDefault="00721F73" w:rsidP="008C7F1C">
            <w:pPr>
              <w:spacing w:after="0"/>
            </w:pPr>
            <w:r w:rsidRPr="00721F73">
              <w:t>Section 4</w:t>
            </w:r>
          </w:p>
        </w:tc>
      </w:tr>
      <w:tr w:rsidR="00721F73" w:rsidRPr="00721F73" w14:paraId="4EE389E6" w14:textId="77777777" w:rsidTr="00B423FF">
        <w:tc>
          <w:tcPr>
            <w:tcW w:w="337" w:type="pct"/>
            <w:vAlign w:val="center"/>
          </w:tcPr>
          <w:p w14:paraId="05035DA1" w14:textId="77777777" w:rsidR="00721F73" w:rsidRPr="00721F73" w:rsidRDefault="00721F73" w:rsidP="008C7F1C">
            <w:pPr>
              <w:spacing w:after="0"/>
            </w:pPr>
            <w:r w:rsidRPr="00721F73">
              <w:t>9.11</w:t>
            </w:r>
          </w:p>
        </w:tc>
        <w:tc>
          <w:tcPr>
            <w:tcW w:w="3434" w:type="pct"/>
            <w:vAlign w:val="center"/>
          </w:tcPr>
          <w:p w14:paraId="6D2B976B" w14:textId="77777777" w:rsidR="00721F73" w:rsidRPr="00721F73" w:rsidRDefault="00721F73" w:rsidP="008C7F1C">
            <w:pPr>
              <w:spacing w:after="0"/>
            </w:pPr>
            <w:r w:rsidRPr="00721F73">
              <w:t>The sampling strategy is clear and appropriate for the evaluation questions posed</w:t>
            </w:r>
          </w:p>
        </w:tc>
        <w:tc>
          <w:tcPr>
            <w:tcW w:w="1230" w:type="pct"/>
          </w:tcPr>
          <w:p w14:paraId="3C5CCAF9" w14:textId="77777777" w:rsidR="00721F73" w:rsidRPr="00721F73" w:rsidRDefault="00721F73" w:rsidP="008C7F1C">
            <w:pPr>
              <w:spacing w:after="0"/>
            </w:pPr>
            <w:r w:rsidRPr="00721F73">
              <w:t xml:space="preserve">Section 4.1 </w:t>
            </w:r>
          </w:p>
        </w:tc>
      </w:tr>
      <w:tr w:rsidR="00721F73" w:rsidRPr="00721F73" w14:paraId="10F180F1" w14:textId="77777777" w:rsidTr="00B423FF">
        <w:tc>
          <w:tcPr>
            <w:tcW w:w="337" w:type="pct"/>
            <w:vAlign w:val="center"/>
          </w:tcPr>
          <w:p w14:paraId="0A2E156C" w14:textId="77777777" w:rsidR="00721F73" w:rsidRPr="00721F73" w:rsidRDefault="00721F73" w:rsidP="008C7F1C">
            <w:pPr>
              <w:spacing w:after="0"/>
            </w:pPr>
            <w:r w:rsidRPr="00721F73">
              <w:t>9.12</w:t>
            </w:r>
          </w:p>
        </w:tc>
        <w:tc>
          <w:tcPr>
            <w:tcW w:w="3434" w:type="pct"/>
            <w:vAlign w:val="center"/>
          </w:tcPr>
          <w:p w14:paraId="24F8940C" w14:textId="77777777" w:rsidR="00721F73" w:rsidRPr="00721F73" w:rsidRDefault="00721F73" w:rsidP="008C7F1C">
            <w:pPr>
              <w:spacing w:after="0"/>
            </w:pPr>
            <w:r w:rsidRPr="00721F73">
              <w:t>The Plan describes how data will be processed and analysed</w:t>
            </w:r>
          </w:p>
        </w:tc>
        <w:tc>
          <w:tcPr>
            <w:tcW w:w="1230" w:type="pct"/>
          </w:tcPr>
          <w:p w14:paraId="6F545298" w14:textId="77777777" w:rsidR="00721F73" w:rsidRPr="00721F73" w:rsidRDefault="00721F73" w:rsidP="008C7F1C">
            <w:pPr>
              <w:spacing w:after="0"/>
            </w:pPr>
            <w:r w:rsidRPr="00721F73">
              <w:t>Section 4</w:t>
            </w:r>
          </w:p>
        </w:tc>
      </w:tr>
      <w:tr w:rsidR="00721F73" w:rsidRPr="00721F73" w14:paraId="7BA1B6E4" w14:textId="77777777" w:rsidTr="00B423FF">
        <w:tc>
          <w:tcPr>
            <w:tcW w:w="337" w:type="pct"/>
            <w:vAlign w:val="center"/>
          </w:tcPr>
          <w:p w14:paraId="1BEC4A6F" w14:textId="77777777" w:rsidR="00721F73" w:rsidRPr="00721F73" w:rsidRDefault="00721F73" w:rsidP="008C7F1C">
            <w:pPr>
              <w:spacing w:after="0"/>
            </w:pPr>
            <w:r w:rsidRPr="00721F73">
              <w:t>9.13</w:t>
            </w:r>
          </w:p>
        </w:tc>
        <w:tc>
          <w:tcPr>
            <w:tcW w:w="3434" w:type="pct"/>
            <w:vAlign w:val="center"/>
          </w:tcPr>
          <w:p w14:paraId="52F05698" w14:textId="77777777" w:rsidR="00721F73" w:rsidRPr="00721F73" w:rsidRDefault="00721F73" w:rsidP="008C7F1C">
            <w:pPr>
              <w:spacing w:after="0"/>
            </w:pPr>
            <w:r w:rsidRPr="00721F73">
              <w:t>The Plan identifies ethical issues and how they will be addressed</w:t>
            </w:r>
          </w:p>
        </w:tc>
        <w:tc>
          <w:tcPr>
            <w:tcW w:w="1230" w:type="pct"/>
          </w:tcPr>
          <w:p w14:paraId="6936EFFD" w14:textId="77777777" w:rsidR="00721F73" w:rsidRPr="00721F73" w:rsidRDefault="00721F73" w:rsidP="008C7F1C">
            <w:pPr>
              <w:spacing w:after="0"/>
            </w:pPr>
            <w:r w:rsidRPr="00721F73">
              <w:t>n/a</w:t>
            </w:r>
          </w:p>
        </w:tc>
      </w:tr>
      <w:tr w:rsidR="00721F73" w:rsidRPr="00721F73" w14:paraId="54B6F4A3" w14:textId="77777777" w:rsidTr="00B423FF">
        <w:tc>
          <w:tcPr>
            <w:tcW w:w="337" w:type="pct"/>
            <w:vAlign w:val="center"/>
          </w:tcPr>
          <w:p w14:paraId="05F23DF2" w14:textId="77777777" w:rsidR="00721F73" w:rsidRPr="00721F73" w:rsidRDefault="00721F73" w:rsidP="008C7F1C">
            <w:pPr>
              <w:spacing w:after="0"/>
            </w:pPr>
            <w:r w:rsidRPr="00721F73">
              <w:t>9.14</w:t>
            </w:r>
          </w:p>
        </w:tc>
        <w:tc>
          <w:tcPr>
            <w:tcW w:w="3434" w:type="pct"/>
            <w:vAlign w:val="center"/>
          </w:tcPr>
          <w:p w14:paraId="393F1CCB" w14:textId="77777777" w:rsidR="00721F73" w:rsidRPr="00721F73" w:rsidRDefault="00721F73" w:rsidP="008C7F1C">
            <w:pPr>
              <w:spacing w:after="0"/>
              <w:rPr>
                <w:iCs/>
              </w:rPr>
            </w:pPr>
            <w:r w:rsidRPr="00721F73">
              <w:rPr>
                <w:iCs/>
              </w:rPr>
              <w:t>The process for making judgments is clear, including the strength of evidence for making these judgements</w:t>
            </w:r>
          </w:p>
        </w:tc>
        <w:tc>
          <w:tcPr>
            <w:tcW w:w="1230" w:type="pct"/>
          </w:tcPr>
          <w:p w14:paraId="45407435" w14:textId="77777777" w:rsidR="00721F73" w:rsidRPr="00721F73" w:rsidRDefault="00721F73" w:rsidP="008C7F1C">
            <w:pPr>
              <w:spacing w:after="0"/>
              <w:rPr>
                <w:iCs/>
              </w:rPr>
            </w:pPr>
            <w:r w:rsidRPr="00721F73">
              <w:rPr>
                <w:iCs/>
              </w:rPr>
              <w:t>Section 4</w:t>
            </w:r>
          </w:p>
        </w:tc>
      </w:tr>
      <w:tr w:rsidR="00721F73" w:rsidRPr="00721F73" w14:paraId="7D5E6A98" w14:textId="77777777" w:rsidTr="00B423FF">
        <w:tc>
          <w:tcPr>
            <w:tcW w:w="337" w:type="pct"/>
            <w:vAlign w:val="center"/>
          </w:tcPr>
          <w:p w14:paraId="09D3F3D3" w14:textId="77777777" w:rsidR="00721F73" w:rsidRPr="00721F73" w:rsidRDefault="00721F73" w:rsidP="008C7F1C">
            <w:pPr>
              <w:spacing w:after="0"/>
            </w:pPr>
            <w:r w:rsidRPr="00721F73">
              <w:t>9.15</w:t>
            </w:r>
          </w:p>
        </w:tc>
        <w:tc>
          <w:tcPr>
            <w:tcW w:w="3434" w:type="pct"/>
            <w:vAlign w:val="center"/>
          </w:tcPr>
          <w:p w14:paraId="233D9AA1" w14:textId="77777777" w:rsidR="00721F73" w:rsidRPr="00721F73" w:rsidRDefault="00721F73" w:rsidP="008C7F1C">
            <w:pPr>
              <w:spacing w:after="0"/>
            </w:pPr>
            <w:r w:rsidRPr="00721F73">
              <w:t>Approaches to enhance the use of findings are outlined (if requested in the terms of reference)</w:t>
            </w:r>
          </w:p>
        </w:tc>
        <w:tc>
          <w:tcPr>
            <w:tcW w:w="1230" w:type="pct"/>
          </w:tcPr>
          <w:p w14:paraId="0D61D614" w14:textId="77777777" w:rsidR="00721F73" w:rsidRPr="00721F73" w:rsidRDefault="00721F73" w:rsidP="008C7F1C">
            <w:pPr>
              <w:spacing w:after="0"/>
            </w:pPr>
            <w:r w:rsidRPr="00721F73">
              <w:t>n/a</w:t>
            </w:r>
          </w:p>
        </w:tc>
      </w:tr>
      <w:tr w:rsidR="00721F73" w:rsidRPr="00721F73" w14:paraId="2105CFB6" w14:textId="77777777" w:rsidTr="00B423FF">
        <w:tc>
          <w:tcPr>
            <w:tcW w:w="337" w:type="pct"/>
            <w:vAlign w:val="center"/>
          </w:tcPr>
          <w:p w14:paraId="2A2C454D" w14:textId="77777777" w:rsidR="00721F73" w:rsidRPr="00721F73" w:rsidRDefault="00721F73" w:rsidP="008C7F1C">
            <w:pPr>
              <w:spacing w:after="0"/>
            </w:pPr>
            <w:r w:rsidRPr="00721F73">
              <w:t>9.16</w:t>
            </w:r>
          </w:p>
        </w:tc>
        <w:tc>
          <w:tcPr>
            <w:tcW w:w="3434" w:type="pct"/>
            <w:vAlign w:val="center"/>
          </w:tcPr>
          <w:p w14:paraId="7F6B6D04" w14:textId="77777777" w:rsidR="00721F73" w:rsidRPr="00721F73" w:rsidRDefault="00721F73" w:rsidP="008C7F1C">
            <w:pPr>
              <w:spacing w:after="0"/>
              <w:rPr>
                <w:iCs/>
              </w:rPr>
            </w:pPr>
            <w:r w:rsidRPr="00721F73">
              <w:rPr>
                <w:iCs/>
              </w:rPr>
              <w:t>The Plan provides an indicative schedule which DFAT uses to create the final schedule</w:t>
            </w:r>
          </w:p>
        </w:tc>
        <w:tc>
          <w:tcPr>
            <w:tcW w:w="1230" w:type="pct"/>
          </w:tcPr>
          <w:p w14:paraId="57422EAF" w14:textId="77777777" w:rsidR="00721F73" w:rsidRPr="00721F73" w:rsidRDefault="00721F73" w:rsidP="008C7F1C">
            <w:pPr>
              <w:spacing w:after="0"/>
              <w:rPr>
                <w:iCs/>
              </w:rPr>
            </w:pPr>
            <w:r w:rsidRPr="00721F73">
              <w:rPr>
                <w:iCs/>
              </w:rPr>
              <w:t xml:space="preserve">Section 4.6 and Annex 4 </w:t>
            </w:r>
          </w:p>
        </w:tc>
      </w:tr>
      <w:tr w:rsidR="00721F73" w:rsidRPr="00721F73" w14:paraId="6920EF1A" w14:textId="77777777" w:rsidTr="00B423FF">
        <w:tc>
          <w:tcPr>
            <w:tcW w:w="337" w:type="pct"/>
            <w:vAlign w:val="center"/>
          </w:tcPr>
          <w:p w14:paraId="76FE2E50" w14:textId="77777777" w:rsidR="00721F73" w:rsidRPr="00721F73" w:rsidRDefault="00721F73" w:rsidP="008C7F1C">
            <w:pPr>
              <w:spacing w:after="0"/>
            </w:pPr>
            <w:r w:rsidRPr="00721F73">
              <w:t>9.17</w:t>
            </w:r>
          </w:p>
        </w:tc>
        <w:tc>
          <w:tcPr>
            <w:tcW w:w="3434" w:type="pct"/>
            <w:vAlign w:val="center"/>
          </w:tcPr>
          <w:p w14:paraId="1043B1EB" w14:textId="77777777" w:rsidR="00721F73" w:rsidRPr="00721F73" w:rsidRDefault="00721F73" w:rsidP="008C7F1C">
            <w:pPr>
              <w:spacing w:after="0"/>
              <w:rPr>
                <w:iCs/>
              </w:rPr>
            </w:pPr>
            <w:r w:rsidRPr="00721F73">
              <w:rPr>
                <w:iCs/>
              </w:rPr>
              <w:t>Roles and responsibilities of team members, DFAT and any reference group are clear</w:t>
            </w:r>
          </w:p>
        </w:tc>
        <w:tc>
          <w:tcPr>
            <w:tcW w:w="1230" w:type="pct"/>
          </w:tcPr>
          <w:p w14:paraId="100D4BC8" w14:textId="77777777" w:rsidR="00721F73" w:rsidRPr="00721F73" w:rsidRDefault="00721F73" w:rsidP="008C7F1C">
            <w:pPr>
              <w:spacing w:after="0"/>
              <w:rPr>
                <w:iCs/>
              </w:rPr>
            </w:pPr>
            <w:r w:rsidRPr="00721F73">
              <w:rPr>
                <w:iCs/>
              </w:rPr>
              <w:t xml:space="preserve">Section 5 </w:t>
            </w:r>
          </w:p>
        </w:tc>
      </w:tr>
      <w:tr w:rsidR="00721F73" w:rsidRPr="00721F73" w14:paraId="375B8A03" w14:textId="77777777" w:rsidTr="00B423FF">
        <w:tc>
          <w:tcPr>
            <w:tcW w:w="337" w:type="pct"/>
            <w:vAlign w:val="center"/>
          </w:tcPr>
          <w:p w14:paraId="2F81A22C" w14:textId="77777777" w:rsidR="00721F73" w:rsidRPr="00721F73" w:rsidRDefault="00721F73" w:rsidP="008C7F1C">
            <w:pPr>
              <w:spacing w:after="0"/>
            </w:pPr>
            <w:r w:rsidRPr="00721F73">
              <w:t>9.18</w:t>
            </w:r>
          </w:p>
        </w:tc>
        <w:tc>
          <w:tcPr>
            <w:tcW w:w="3434" w:type="pct"/>
            <w:vAlign w:val="center"/>
          </w:tcPr>
          <w:p w14:paraId="1B3730C7" w14:textId="77777777" w:rsidR="00721F73" w:rsidRPr="00721F73" w:rsidRDefault="00721F73" w:rsidP="008C7F1C">
            <w:pPr>
              <w:spacing w:after="0"/>
            </w:pPr>
            <w:r w:rsidRPr="00721F73">
              <w:t>The Plan describes how the evaluation will be quality assured</w:t>
            </w:r>
          </w:p>
        </w:tc>
        <w:tc>
          <w:tcPr>
            <w:tcW w:w="1230" w:type="pct"/>
          </w:tcPr>
          <w:p w14:paraId="2F56FE03" w14:textId="77777777" w:rsidR="00721F73" w:rsidRPr="00721F73" w:rsidRDefault="00721F73" w:rsidP="008C7F1C">
            <w:pPr>
              <w:spacing w:after="0"/>
            </w:pPr>
            <w:r w:rsidRPr="00721F73">
              <w:t xml:space="preserve">Section 3.3 </w:t>
            </w:r>
          </w:p>
        </w:tc>
      </w:tr>
      <w:tr w:rsidR="00721F73" w:rsidRPr="00721F73" w14:paraId="3A30E82B" w14:textId="77777777" w:rsidTr="00B423FF">
        <w:tc>
          <w:tcPr>
            <w:tcW w:w="337" w:type="pct"/>
            <w:vAlign w:val="center"/>
          </w:tcPr>
          <w:p w14:paraId="4DCA7586" w14:textId="77777777" w:rsidR="00721F73" w:rsidRPr="00721F73" w:rsidRDefault="00721F73" w:rsidP="008C7F1C">
            <w:pPr>
              <w:spacing w:after="0"/>
            </w:pPr>
            <w:r w:rsidRPr="00721F73">
              <w:t>9.19</w:t>
            </w:r>
          </w:p>
        </w:tc>
        <w:tc>
          <w:tcPr>
            <w:tcW w:w="3434" w:type="pct"/>
            <w:vAlign w:val="center"/>
          </w:tcPr>
          <w:p w14:paraId="6B0B66C0" w14:textId="77777777" w:rsidR="00721F73" w:rsidRPr="00721F73" w:rsidRDefault="00721F73" w:rsidP="008C7F1C">
            <w:pPr>
              <w:spacing w:after="0"/>
            </w:pPr>
            <w:r w:rsidRPr="00721F73">
              <w:t>The Plan for publication of the final Report is documented</w:t>
            </w:r>
          </w:p>
        </w:tc>
        <w:tc>
          <w:tcPr>
            <w:tcW w:w="1230" w:type="pct"/>
          </w:tcPr>
          <w:p w14:paraId="2F71C21F" w14:textId="77777777" w:rsidR="00721F73" w:rsidRPr="00721F73" w:rsidRDefault="00721F73" w:rsidP="008C7F1C">
            <w:pPr>
              <w:spacing w:after="0"/>
            </w:pPr>
            <w:r w:rsidRPr="00721F73">
              <w:t>Section 3.3</w:t>
            </w:r>
          </w:p>
        </w:tc>
      </w:tr>
      <w:bookmarkEnd w:id="330"/>
    </w:tbl>
    <w:p w14:paraId="01478959" w14:textId="77777777" w:rsidR="00721F73" w:rsidRPr="00721F73" w:rsidRDefault="00721F73" w:rsidP="00721F73"/>
    <w:p w14:paraId="306CD900" w14:textId="77777777" w:rsidR="00721F73" w:rsidRPr="00721F73" w:rsidRDefault="00721F73" w:rsidP="00721F73">
      <w:pPr>
        <w:sectPr w:rsidR="00721F73" w:rsidRPr="00721F73" w:rsidSect="00721F73">
          <w:pgSz w:w="11907" w:h="16839" w:code="9"/>
          <w:pgMar w:top="1440" w:right="1440" w:bottom="1440" w:left="1440" w:header="709" w:footer="709" w:gutter="0"/>
          <w:cols w:space="708"/>
          <w:docGrid w:linePitch="360"/>
        </w:sectPr>
      </w:pPr>
    </w:p>
    <w:p w14:paraId="5ACD9B48" w14:textId="7831895F" w:rsidR="00721F73" w:rsidRPr="00B423FF" w:rsidRDefault="00721F73" w:rsidP="00721F73">
      <w:pPr>
        <w:rPr>
          <w:rFonts w:ascii="Calibri" w:hAnsi="Calibri" w:cs="Arial"/>
          <w:b/>
          <w:color w:val="D5291C"/>
          <w:sz w:val="28"/>
        </w:rPr>
      </w:pPr>
      <w:bookmarkStart w:id="331" w:name="_Toc174688131"/>
      <w:bookmarkEnd w:id="329"/>
      <w:r w:rsidRPr="00B423FF">
        <w:rPr>
          <w:rFonts w:ascii="Calibri" w:hAnsi="Calibri" w:cs="Arial"/>
          <w:b/>
          <w:color w:val="D5291C"/>
          <w:sz w:val="28"/>
        </w:rPr>
        <w:t xml:space="preserve">Annex </w:t>
      </w:r>
      <w:r w:rsidR="0006473F">
        <w:rPr>
          <w:rFonts w:ascii="Calibri" w:hAnsi="Calibri" w:cs="Arial"/>
          <w:b/>
          <w:color w:val="D5291C"/>
          <w:sz w:val="28"/>
        </w:rPr>
        <w:t>6</w:t>
      </w:r>
      <w:r w:rsidRPr="00B423FF">
        <w:rPr>
          <w:rFonts w:ascii="Calibri" w:hAnsi="Calibri" w:cs="Arial"/>
          <w:b/>
          <w:color w:val="D5291C"/>
          <w:sz w:val="28"/>
        </w:rPr>
        <w:t>: Detailed Sub-Questions against KEQs and Method</w:t>
      </w:r>
      <w:bookmarkEnd w:id="331"/>
    </w:p>
    <w:p w14:paraId="1CCB0D09" w14:textId="77777777" w:rsidR="00721F73" w:rsidRDefault="00721F73" w:rsidP="00721F73">
      <w:r w:rsidRPr="00721F73">
        <w:t xml:space="preserve">This table sets out a subset of data to be sought in document review and questions for key informant interviews.  </w:t>
      </w:r>
    </w:p>
    <w:p w14:paraId="04972CE3" w14:textId="3D84D6CF" w:rsidR="005317A4" w:rsidRDefault="005317A4" w:rsidP="00721F73">
      <w:pPr>
        <w:rPr>
          <w:b/>
          <w:bCs/>
        </w:rPr>
      </w:pPr>
      <w:r w:rsidRPr="00721F73">
        <w:rPr>
          <w:b/>
          <w:bCs/>
        </w:rPr>
        <w:t>Review Question (EQ) 1. How did VAHSI contribute to safe, effective and accessible COVID-19 vaccine supply; and promote COVID-19 and routine immunisation coverage in line with partner country plans in the Indo-Pacific region? (Effectiveness - EOPO1 and EOPO2)</w:t>
      </w:r>
    </w:p>
    <w:p w14:paraId="069617FB" w14:textId="054AB941" w:rsidR="005317A4" w:rsidRDefault="005317A4" w:rsidP="00721F73">
      <w:pPr>
        <w:rPr>
          <w:b/>
          <w:bCs/>
          <w:i/>
          <w:iCs/>
        </w:rPr>
      </w:pPr>
      <w:r w:rsidRPr="005317A4">
        <w:rPr>
          <w:b/>
          <w:bCs/>
          <w:i/>
          <w:iCs/>
        </w:rPr>
        <w:t>Document review (quantitative and qualitative data analysis)</w:t>
      </w:r>
    </w:p>
    <w:p w14:paraId="2CC45C5F" w14:textId="77777777" w:rsidR="005317A4" w:rsidRPr="00721F73" w:rsidRDefault="005317A4" w:rsidP="005317A4">
      <w:r w:rsidRPr="00721F73">
        <w:t>By country (emphasising case study countries):</w:t>
      </w:r>
    </w:p>
    <w:p w14:paraId="37C4111B" w14:textId="052146AC" w:rsidR="005317A4" w:rsidRPr="005317A4" w:rsidRDefault="005317A4" w:rsidP="005317A4">
      <w:pPr>
        <w:rPr>
          <w:i/>
          <w:iCs/>
          <w:u w:val="single"/>
        </w:rPr>
      </w:pPr>
      <w:r w:rsidRPr="005317A4">
        <w:rPr>
          <w:i/>
          <w:iCs/>
          <w:u w:val="single"/>
        </w:rPr>
        <w:t xml:space="preserve">Vaccine supply: </w:t>
      </w:r>
    </w:p>
    <w:p w14:paraId="77D10BFA" w14:textId="77777777" w:rsidR="005317A4" w:rsidRPr="00721F73" w:rsidRDefault="005317A4" w:rsidP="005317A4">
      <w:pPr>
        <w:pStyle w:val="ListParagraph"/>
        <w:numPr>
          <w:ilvl w:val="0"/>
          <w:numId w:val="25"/>
        </w:numPr>
      </w:pPr>
      <w:r w:rsidRPr="00721F73">
        <w:t>Safety &amp; Effectiveness: Number of safe and approved COVID-19 vaccine doses delivered to country through VAHSI (ideally by vaccine type, month and year of delivery), as a proportion of total doses from all sources (and their delivery timeframes if known, and any delays vs planned delivery times). N COVID-19 vaccine doses reallocated to another country due to absorption issues.</w:t>
      </w:r>
    </w:p>
    <w:p w14:paraId="29C5677D" w14:textId="77777777" w:rsidR="005317A4" w:rsidRPr="00721F73" w:rsidRDefault="005317A4" w:rsidP="005317A4">
      <w:pPr>
        <w:pStyle w:val="ListParagraph"/>
        <w:numPr>
          <w:ilvl w:val="0"/>
          <w:numId w:val="25"/>
        </w:numPr>
      </w:pPr>
      <w:r w:rsidRPr="00721F73">
        <w:t xml:space="preserve">Safety: Evidence of improved AEFI reporting systems and monitoring for COVID-19 vaccination and routine </w:t>
      </w:r>
      <w:proofErr w:type="spellStart"/>
      <w:r w:rsidRPr="00721F73">
        <w:t>immunisation</w:t>
      </w:r>
      <w:proofErr w:type="spellEnd"/>
      <w:r w:rsidRPr="00721F73">
        <w:t>.</w:t>
      </w:r>
    </w:p>
    <w:p w14:paraId="151FEF05" w14:textId="77777777" w:rsidR="005317A4" w:rsidRPr="00721F73" w:rsidRDefault="005317A4" w:rsidP="005317A4">
      <w:pPr>
        <w:pStyle w:val="ListParagraph"/>
        <w:numPr>
          <w:ilvl w:val="0"/>
          <w:numId w:val="25"/>
        </w:numPr>
      </w:pPr>
      <w:r w:rsidRPr="00721F73">
        <w:t>Effectiveness &amp; Efficiency: Evidence of appropriate management of vaccine wastage/leakage.</w:t>
      </w:r>
    </w:p>
    <w:p w14:paraId="53D7E01A" w14:textId="77777777" w:rsidR="005317A4" w:rsidRPr="00721F73" w:rsidRDefault="005317A4" w:rsidP="005317A4">
      <w:pPr>
        <w:pStyle w:val="ListParagraph"/>
        <w:numPr>
          <w:ilvl w:val="0"/>
          <w:numId w:val="25"/>
        </w:numPr>
      </w:pPr>
      <w:r w:rsidRPr="00721F73">
        <w:t xml:space="preserve">Effectiveness &amp; Access: </w:t>
      </w:r>
      <w:proofErr w:type="spellStart"/>
      <w:r w:rsidRPr="00721F73">
        <w:t>Immunisation</w:t>
      </w:r>
      <w:proofErr w:type="spellEnd"/>
      <w:r w:rsidRPr="00721F73">
        <w:t xml:space="preserve"> coverage at key time points (subnational if available) (fully/partially/unvaccinated). </w:t>
      </w:r>
      <w:proofErr w:type="spellStart"/>
      <w:r w:rsidRPr="00721F73">
        <w:t>Immunisation</w:t>
      </w:r>
      <w:proofErr w:type="spellEnd"/>
      <w:r w:rsidRPr="00721F73">
        <w:t xml:space="preserve"> coverage disaggregated by age group, sex, high-risk group where available. Evidence of VAHSI contribution to this (timescale analysis).</w:t>
      </w:r>
    </w:p>
    <w:p w14:paraId="1BBD3145" w14:textId="77777777" w:rsidR="005317A4" w:rsidRPr="00721F73" w:rsidRDefault="005317A4" w:rsidP="005317A4">
      <w:pPr>
        <w:pStyle w:val="ListParagraph"/>
        <w:numPr>
          <w:ilvl w:val="0"/>
          <w:numId w:val="25"/>
        </w:numPr>
      </w:pPr>
      <w:r w:rsidRPr="00721F73">
        <w:t>Access: Evidence of vaccine access within country to high-risk groups/vulnerable populations.</w:t>
      </w:r>
    </w:p>
    <w:p w14:paraId="4417E627" w14:textId="77777777" w:rsidR="005317A4" w:rsidRPr="005317A4" w:rsidRDefault="005317A4" w:rsidP="005317A4">
      <w:pPr>
        <w:rPr>
          <w:i/>
          <w:iCs/>
          <w:u w:val="single"/>
        </w:rPr>
      </w:pPr>
      <w:r w:rsidRPr="005317A4">
        <w:rPr>
          <w:i/>
          <w:iCs/>
          <w:u w:val="single"/>
        </w:rPr>
        <w:t>Immunisation delivery support:</w:t>
      </w:r>
    </w:p>
    <w:p w14:paraId="63E547F3" w14:textId="77777777" w:rsidR="005317A4" w:rsidRPr="00721F73" w:rsidRDefault="005317A4" w:rsidP="005317A4">
      <w:pPr>
        <w:pStyle w:val="ListParagraph"/>
        <w:numPr>
          <w:ilvl w:val="0"/>
          <w:numId w:val="26"/>
        </w:numPr>
      </w:pPr>
      <w:r w:rsidRPr="00721F73">
        <w:t>Number and type of promotional event/media supported by VAHSI investments. Evidence of effectiveness (qualitative and quantitative).</w:t>
      </w:r>
    </w:p>
    <w:p w14:paraId="661773DA" w14:textId="6E0610B0" w:rsidR="005317A4" w:rsidRDefault="005317A4" w:rsidP="005317A4">
      <w:pPr>
        <w:pStyle w:val="ListParagraph"/>
        <w:numPr>
          <w:ilvl w:val="0"/>
          <w:numId w:val="26"/>
        </w:numPr>
      </w:pPr>
      <w:r w:rsidRPr="00721F73">
        <w:t>Number and type of other activity funded by VAHSI. Number and/or % of activities delivered (compared to country plan, any deviations from plan and reason for deviation? Evidence that activity was timely, accessible, safe (qualitative and quantitative) and/or led to improvements</w:t>
      </w:r>
    </w:p>
    <w:p w14:paraId="6FE9F61E" w14:textId="77777777" w:rsidR="005317A4" w:rsidRPr="005317A4" w:rsidRDefault="005317A4" w:rsidP="005317A4">
      <w:pPr>
        <w:rPr>
          <w:lang w:val="en-US" w:eastAsia="en-US" w:bidi="ar-SA"/>
        </w:rPr>
      </w:pPr>
    </w:p>
    <w:p w14:paraId="218B0307" w14:textId="71F52D2C" w:rsidR="005317A4" w:rsidRDefault="005317A4" w:rsidP="00721F73">
      <w:pPr>
        <w:rPr>
          <w:b/>
          <w:bCs/>
        </w:rPr>
      </w:pPr>
      <w:r w:rsidRPr="00721F73">
        <w:rPr>
          <w:b/>
          <w:bCs/>
        </w:rPr>
        <w:t>Sub questions to be answered by the Review (to inform Key informant interviews (KII; qualitative data). Note, these may be revised based on documentary findings)</w:t>
      </w:r>
    </w:p>
    <w:p w14:paraId="4D26169C" w14:textId="77777777" w:rsidR="005317A4" w:rsidRPr="00721F73" w:rsidRDefault="005317A4" w:rsidP="005317A4">
      <w:r w:rsidRPr="00721F73">
        <w:t>Q1: Based on your experience, what do you think has been the most significant change that (</w:t>
      </w:r>
      <w:proofErr w:type="spellStart"/>
      <w:r w:rsidRPr="00721F73">
        <w:t>i</w:t>
      </w:r>
      <w:proofErr w:type="spellEnd"/>
      <w:r w:rsidRPr="00721F73">
        <w:t xml:space="preserve">) VAHSI (ii) the investment/project has contributed to? </w:t>
      </w:r>
    </w:p>
    <w:p w14:paraId="493E4F70" w14:textId="77777777" w:rsidR="005317A4" w:rsidRPr="00721F73" w:rsidRDefault="005317A4" w:rsidP="005317A4">
      <w:r w:rsidRPr="00721F73">
        <w:t>Q2: How did (</w:t>
      </w:r>
      <w:proofErr w:type="spellStart"/>
      <w:r w:rsidRPr="00721F73">
        <w:t>i</w:t>
      </w:r>
      <w:proofErr w:type="spellEnd"/>
      <w:r w:rsidRPr="00721F73">
        <w:t>) VAHSI (ii) the investment/project contribute to the changes? Probes if required: What were the key strengths? What was highest value? What were the key challenges? How were these addressed? (Interviewer to consider effectiveness: quantity, timeliness, concordance with stakeholder plans, but also safety, accessibility)</w:t>
      </w:r>
    </w:p>
    <w:p w14:paraId="767A63AF" w14:textId="77777777" w:rsidR="005317A4" w:rsidRPr="00721F73" w:rsidRDefault="005317A4" w:rsidP="005317A4">
      <w:r w:rsidRPr="00721F73">
        <w:t xml:space="preserve">Q3: Considering the pandemic context, did the vaccine doses meet country partner needs? (Y/N, specify) </w:t>
      </w:r>
    </w:p>
    <w:p w14:paraId="504F3546" w14:textId="77777777" w:rsidR="005317A4" w:rsidRPr="00721F73" w:rsidRDefault="005317A4" w:rsidP="005317A4">
      <w:r w:rsidRPr="00721F73">
        <w:t>Q4: Did vaccine delivery timeframes meet country expectation/usefulness (Y/N, specify)</w:t>
      </w:r>
    </w:p>
    <w:p w14:paraId="09BB8C49" w14:textId="77777777" w:rsidR="005317A4" w:rsidRPr="00721F73" w:rsidRDefault="005317A4" w:rsidP="005317A4">
      <w:r w:rsidRPr="00721F73">
        <w:t>Q5: Did adaptions to vaccine supply meet changing country partner needs over time? (Y/N specify)</w:t>
      </w:r>
    </w:p>
    <w:p w14:paraId="7B01756D" w14:textId="77777777" w:rsidR="005317A4" w:rsidRPr="00721F73" w:rsidRDefault="005317A4" w:rsidP="005317A4">
      <w:r w:rsidRPr="00721F73">
        <w:t xml:space="preserve">Q6: Based on your experience, do you feel that coverage targets for high-risk groups were met? (Y/N, specify) </w:t>
      </w:r>
    </w:p>
    <w:p w14:paraId="0202DD8C" w14:textId="77777777" w:rsidR="005317A4" w:rsidRPr="00721F73" w:rsidRDefault="005317A4" w:rsidP="005317A4">
      <w:r w:rsidRPr="00721F73">
        <w:t>Q7: Were doses available when needed/requested of central warehouse, in sufficient quantity? If not, what were the challenges experienced?</w:t>
      </w:r>
    </w:p>
    <w:p w14:paraId="42F9FC95" w14:textId="561D48BF" w:rsidR="005317A4" w:rsidRDefault="005317A4" w:rsidP="005317A4">
      <w:r w:rsidRPr="00721F73">
        <w:t>[Q1 and Q2 above to be tailored to specific projects]</w:t>
      </w:r>
    </w:p>
    <w:p w14:paraId="716EE0BC" w14:textId="45B0865B" w:rsidR="005317A4" w:rsidRDefault="005317A4" w:rsidP="005317A4">
      <w:pPr>
        <w:rPr>
          <w:b/>
          <w:bCs/>
        </w:rPr>
      </w:pPr>
      <w:r w:rsidRPr="00721F73">
        <w:rPr>
          <w:b/>
          <w:bCs/>
        </w:rPr>
        <w:t>EQ2. How did Australia's support contribute to stronger relationships between Australia and partner governments? Are there aspects of the support that have been more valued than others, and why? (Effectiveness - EOPO3)</w:t>
      </w:r>
    </w:p>
    <w:p w14:paraId="41C5D725" w14:textId="5DDB708B" w:rsidR="005317A4" w:rsidRDefault="005317A4" w:rsidP="005317A4">
      <w:r w:rsidRPr="00721F73">
        <w:t>Documentary evidence of stronger relationships potentially including diplomatic correspondence, reporting, advocacy and/or investment and training and/or supply chain investments and/or sustainability planning, media, new agreements, political statements. Preferred partner status for vaccines, delivery support. Reciprocal agreements in other areas.</w:t>
      </w:r>
    </w:p>
    <w:p w14:paraId="62AC1175" w14:textId="77777777" w:rsidR="005317A4" w:rsidRDefault="005317A4" w:rsidP="005317A4">
      <w:r w:rsidRPr="00721F73">
        <w:t>Q1. Based on your experience, has the support from Australia contributed to stronger relationships between ‘X partner government’ and Australia? In which areas in particular? and why?  Can you provide any documentary evidence to support this?</w:t>
      </w:r>
    </w:p>
    <w:p w14:paraId="7E26B028" w14:textId="77777777" w:rsidR="005317A4" w:rsidRPr="00721F73" w:rsidRDefault="005317A4" w:rsidP="005317A4">
      <w:r w:rsidRPr="00721F73">
        <w:t>Q2. How did Australia’s support to ‘X partner government’ compare to support received from other sources (e.g. bilateral deals, multilateral/regional deals/support, COVAX, other)?</w:t>
      </w:r>
    </w:p>
    <w:p w14:paraId="3CDF6ED7" w14:textId="2D40FBFF" w:rsidR="005317A4" w:rsidRDefault="005317A4" w:rsidP="005317A4">
      <w:r w:rsidRPr="00721F73">
        <w:t>Q3. What were the most valuable aspects of Australia’s support (COVID-19 vaccines, delivery support, RI) and how did this change over time?</w:t>
      </w:r>
    </w:p>
    <w:p w14:paraId="1D19C27F" w14:textId="00474B7F" w:rsidR="005317A4" w:rsidRPr="00721F73" w:rsidRDefault="005317A4" w:rsidP="005317A4">
      <w:r w:rsidRPr="00721F73">
        <w:rPr>
          <w:b/>
          <w:bCs/>
        </w:rPr>
        <w:t>EQ3. How has VAHSI made efficient use of Australia and partners' time, money and resources to achieve outputs and expected outcomes? Was the modality an appropriate mechanism to respond to regional and partner government needs? (Efficiency)</w:t>
      </w:r>
    </w:p>
    <w:p w14:paraId="01D19F0B" w14:textId="77777777" w:rsidR="005317A4" w:rsidRPr="00721F73" w:rsidRDefault="005317A4" w:rsidP="005317A4">
      <w:r w:rsidRPr="00721F73">
        <w:t xml:space="preserve">Documentary evidence of use of country/partner time and resources, potentially assessing data on how long it has taken countries to access other COVID-19 vaccines or other routine vaccines as a comparator, risk management decisions and results. </w:t>
      </w:r>
    </w:p>
    <w:p w14:paraId="61CF289C" w14:textId="77777777" w:rsidR="005317A4" w:rsidRPr="00721F73" w:rsidRDefault="005317A4" w:rsidP="005317A4">
      <w:r w:rsidRPr="00721F73">
        <w:t>Use of Australia's resources – summarised cost per dose, Australian Government (Canberra and Post) views of the value of the spend.</w:t>
      </w:r>
    </w:p>
    <w:p w14:paraId="04BFCCF2" w14:textId="6355CAAE" w:rsidR="005317A4" w:rsidRDefault="005317A4" w:rsidP="005317A4">
      <w:r w:rsidRPr="00721F73">
        <w:t>Examples of responsiveness to partner government needs, reallocation of doses.</w:t>
      </w:r>
    </w:p>
    <w:p w14:paraId="56FC4E54" w14:textId="77777777" w:rsidR="005317A4" w:rsidRPr="00721F73" w:rsidRDefault="005317A4" w:rsidP="005317A4">
      <w:r w:rsidRPr="00721F73">
        <w:t>Q1. Given the situation, and the response required, would you assess VAHSI as making efficient use of time, money, and resources to achieve its outcomes? Were there potentially other mechanisms that could have been more efficient? What could be different in terms of a mechanism for future pandemics?</w:t>
      </w:r>
    </w:p>
    <w:p w14:paraId="2855D498" w14:textId="77777777" w:rsidR="005317A4" w:rsidRPr="00721F73" w:rsidRDefault="005317A4" w:rsidP="005317A4">
      <w:r w:rsidRPr="00721F73">
        <w:t>Q2. Based on your understanding of partner government needs, was the VAHSI mechanism an appropriate means of support/response? If so, why? If not, what could be improved, or done differently for future pandemics?</w:t>
      </w:r>
    </w:p>
    <w:p w14:paraId="7FC98A28" w14:textId="77777777" w:rsidR="005317A4" w:rsidRPr="00721F73" w:rsidRDefault="005317A4" w:rsidP="005317A4">
      <w:r w:rsidRPr="00721F73">
        <w:t>Q3. Did the investments deliver any unexpected outcomes in response to changes in the operating context? (Y/N, specify)</w:t>
      </w:r>
    </w:p>
    <w:p w14:paraId="71C6108C" w14:textId="77777777" w:rsidR="005317A4" w:rsidRDefault="005317A4" w:rsidP="005317A4">
      <w:r w:rsidRPr="00721F73">
        <w:t>Q4. To what extent did the investments remain relevant to Australia’s policy priorities and national interest, over the life of the investment?</w:t>
      </w:r>
    </w:p>
    <w:p w14:paraId="6B69DAD0" w14:textId="5675B9FA" w:rsidR="005317A4" w:rsidRDefault="005317A4" w:rsidP="005317A4">
      <w:r w:rsidRPr="00721F73">
        <w:t xml:space="preserve">Q5. To what extent did the investments align with the </w:t>
      </w:r>
      <w:r>
        <w:t>p</w:t>
      </w:r>
      <w:r w:rsidRPr="00721F73">
        <w:t xml:space="preserve">artner </w:t>
      </w:r>
      <w:r>
        <w:t>g</w:t>
      </w:r>
      <w:r w:rsidRPr="00721F73">
        <w:t>overnment’s development priorities and beneficiary needs?</w:t>
      </w:r>
    </w:p>
    <w:p w14:paraId="2144C693" w14:textId="3D4523B8" w:rsidR="005317A4" w:rsidRPr="005317A4" w:rsidRDefault="005317A4" w:rsidP="005317A4">
      <w:pPr>
        <w:rPr>
          <w:b/>
          <w:bCs/>
        </w:rPr>
      </w:pPr>
      <w:r w:rsidRPr="005317A4">
        <w:rPr>
          <w:b/>
          <w:bCs/>
        </w:rPr>
        <w:t>To what extent was VAHSI effective in promoting and progressing gender equality and supporting disability equity and social inclusion processes and outcomes? How has ongoing reporting and analysis informed process changes to protect the most vulnerable and promote meaningful participation of all? (GEDSI)</w:t>
      </w:r>
    </w:p>
    <w:p w14:paraId="04550CCA" w14:textId="77777777" w:rsidR="005317A4" w:rsidRPr="00721F73" w:rsidRDefault="005317A4" w:rsidP="005317A4">
      <w:pPr>
        <w:pStyle w:val="ListParagraph"/>
        <w:numPr>
          <w:ilvl w:val="0"/>
          <w:numId w:val="27"/>
        </w:numPr>
      </w:pPr>
      <w:r w:rsidRPr="00721F73">
        <w:t>Evidence of Gender analysis / strategy to inform programming</w:t>
      </w:r>
    </w:p>
    <w:p w14:paraId="4DD85801" w14:textId="77777777" w:rsidR="005317A4" w:rsidRPr="00721F73" w:rsidRDefault="005317A4" w:rsidP="005317A4">
      <w:pPr>
        <w:pStyle w:val="ListParagraph"/>
        <w:numPr>
          <w:ilvl w:val="0"/>
          <w:numId w:val="27"/>
        </w:numPr>
      </w:pPr>
      <w:r w:rsidRPr="00721F73">
        <w:t>Evidence of disaggregated data (gender, age, disability and or other vulnerability indices)</w:t>
      </w:r>
    </w:p>
    <w:p w14:paraId="7FB50829" w14:textId="77777777" w:rsidR="005317A4" w:rsidRPr="00721F73" w:rsidRDefault="005317A4" w:rsidP="005317A4">
      <w:pPr>
        <w:pStyle w:val="ListParagraph"/>
        <w:numPr>
          <w:ilvl w:val="0"/>
          <w:numId w:val="27"/>
        </w:numPr>
      </w:pPr>
      <w:r w:rsidRPr="00721F73">
        <w:t xml:space="preserve">Documentary evidence of whether the intended target groups, including people with disabilities and the most disadvantaged and vulnerable were targeted/ </w:t>
      </w:r>
      <w:proofErr w:type="gramStart"/>
      <w:r w:rsidRPr="00721F73">
        <w:t>benefitted</w:t>
      </w:r>
      <w:proofErr w:type="gramEnd"/>
      <w:r w:rsidRPr="00721F73">
        <w:t xml:space="preserve"> equally from the intervention.</w:t>
      </w:r>
    </w:p>
    <w:p w14:paraId="1921B5B8" w14:textId="5F06F904" w:rsidR="005317A4" w:rsidRDefault="005317A4" w:rsidP="005317A4">
      <w:pPr>
        <w:pStyle w:val="ListParagraph"/>
        <w:numPr>
          <w:ilvl w:val="0"/>
          <w:numId w:val="27"/>
        </w:numPr>
      </w:pPr>
      <w:r w:rsidRPr="00721F73">
        <w:t>Examples of good practice (analysis/programming where applicable)</w:t>
      </w:r>
    </w:p>
    <w:p w14:paraId="66E33DD3" w14:textId="77777777" w:rsidR="005317A4" w:rsidRDefault="005317A4" w:rsidP="005317A4">
      <w:pPr>
        <w:rPr>
          <w:lang w:val="en-US" w:eastAsia="en-US" w:bidi="ar-SA"/>
        </w:rPr>
      </w:pPr>
    </w:p>
    <w:p w14:paraId="60B2B18E" w14:textId="77777777" w:rsidR="005317A4" w:rsidRPr="00721F73" w:rsidRDefault="005317A4" w:rsidP="005317A4">
      <w:r w:rsidRPr="00721F73">
        <w:rPr>
          <w:b/>
          <w:bCs/>
        </w:rPr>
        <w:t>Indicative Sub questions</w:t>
      </w:r>
      <w:r w:rsidRPr="00721F73">
        <w:t xml:space="preserve"> to provide basis for KII Interviews (to be tailored depending on stakeholders):</w:t>
      </w:r>
    </w:p>
    <w:p w14:paraId="42528E92" w14:textId="77777777" w:rsidR="005317A4" w:rsidRPr="00721F73" w:rsidRDefault="005317A4" w:rsidP="005317A4">
      <w:r w:rsidRPr="00721F73">
        <w:t>Q1. Through its management of this initiative, to what extent was DFAT able to communicate and support its strategic policy position regarding GEDSI as detailed in the Strategic Investment Framework (and respective policies)?</w:t>
      </w:r>
    </w:p>
    <w:p w14:paraId="743445C9" w14:textId="77777777" w:rsidR="005317A4" w:rsidRPr="00721F73" w:rsidRDefault="005317A4" w:rsidP="005317A4">
      <w:r w:rsidRPr="00721F73">
        <w:t xml:space="preserve">Q2. To what extent did the VAHSI M&amp;E system serve to capture progress against GEDSI expectations and thus provide scope for response? </w:t>
      </w:r>
    </w:p>
    <w:p w14:paraId="14662C8E" w14:textId="77777777" w:rsidR="005317A4" w:rsidRDefault="005317A4" w:rsidP="005317A4">
      <w:r w:rsidRPr="00721F73">
        <w:t>Q3. Was vaccine delivery equitable, and how can we know? What were the biggest challenges to equitable delivery? Was disaggregated data available?</w:t>
      </w:r>
    </w:p>
    <w:p w14:paraId="2EC7F2DE" w14:textId="77777777" w:rsidR="005317A4" w:rsidRPr="00721F73" w:rsidRDefault="005317A4" w:rsidP="005317A4">
      <w:r w:rsidRPr="00721F73">
        <w:t xml:space="preserve">Q4. To what extent were barriers to vaccine access identified and how (for example through GEDSI analyses – either pre-existing or VAHSI specific)?  </w:t>
      </w:r>
    </w:p>
    <w:p w14:paraId="47BCF9BA" w14:textId="77777777" w:rsidR="005317A4" w:rsidRPr="00721F73" w:rsidRDefault="005317A4" w:rsidP="005317A4">
      <w:r w:rsidRPr="00721F73">
        <w:t>Q5. Were women, people with disabilities and other marginalised groups (and or their representative organisations) meaningfully engaged in the planning, decision making and implementation of programs?</w:t>
      </w:r>
    </w:p>
    <w:p w14:paraId="37C52E8F" w14:textId="77777777" w:rsidR="005317A4" w:rsidRPr="00721F73" w:rsidRDefault="005317A4" w:rsidP="005317A4">
      <w:r w:rsidRPr="00721F73">
        <w:t xml:space="preserve">Q6. Were GEDSI considerations /barriers incorporated into training and other workforce development activities? </w:t>
      </w:r>
    </w:p>
    <w:p w14:paraId="2298038F" w14:textId="77777777" w:rsidR="005317A4" w:rsidRPr="00721F73" w:rsidRDefault="005317A4" w:rsidP="005317A4">
      <w:r w:rsidRPr="00721F73">
        <w:t xml:space="preserve">Q7. To what extent did partner communication products/public health information address accessibility /GEDSI concerns? </w:t>
      </w:r>
    </w:p>
    <w:p w14:paraId="3CCD5619" w14:textId="77777777" w:rsidR="005317A4" w:rsidRPr="00721F73" w:rsidRDefault="005317A4" w:rsidP="005317A4">
      <w:r w:rsidRPr="00721F73">
        <w:t>Q8. What evidence is there of effective strategies to address GEDSI in programming (including illustrative stories of good practice)?</w:t>
      </w:r>
    </w:p>
    <w:p w14:paraId="25EBC35E" w14:textId="2C6CCC0F" w:rsidR="005317A4" w:rsidRDefault="005317A4" w:rsidP="005317A4">
      <w:r w:rsidRPr="00721F73">
        <w:t>Q9. What might you do differently next time to ensure gender equality and enhance the targeting and or inclusion of people with disabilities / vulnerable groups?</w:t>
      </w:r>
    </w:p>
    <w:p w14:paraId="12278E07" w14:textId="6F9A75A2" w:rsidR="005317A4" w:rsidRPr="005317A4" w:rsidRDefault="005317A4" w:rsidP="005317A4">
      <w:pPr>
        <w:rPr>
          <w:b/>
          <w:bCs/>
        </w:rPr>
      </w:pPr>
      <w:r w:rsidRPr="005317A4">
        <w:rPr>
          <w:b/>
          <w:bCs/>
        </w:rPr>
        <w:t>What lessons can be identified that could inform design and implementation of future large-scale regional health emergency response programs, including on GEDSI? (Lessons for future programs)</w:t>
      </w:r>
    </w:p>
    <w:p w14:paraId="288774D9" w14:textId="0EAB8EB9" w:rsidR="005317A4" w:rsidRDefault="005317A4" w:rsidP="005317A4">
      <w:r w:rsidRPr="00721F73">
        <w:t>Evidence of whether the intervention caused higher-level effects (such as changes in norms or systems), was transformative, or led to other changes (intentional or otherwise), including “scalable” or “replicable” results. Evidence of the most and least valued aspects of the intervention, strengths, weaknesses, and lessons learned.</w:t>
      </w:r>
    </w:p>
    <w:p w14:paraId="440650F8" w14:textId="77777777" w:rsidR="005317A4" w:rsidRPr="00721F73" w:rsidRDefault="005317A4" w:rsidP="005317A4">
      <w:r w:rsidRPr="00721F73">
        <w:t xml:space="preserve">Q1. Based on your experience do you think this investment/project has been relevant to the local context and key stakeholders? If yes, how so? If not, why not? Initiated by researcher and/or policy-political directions? PROBE: adapt/ change </w:t>
      </w:r>
      <w:proofErr w:type="gramStart"/>
      <w:r w:rsidRPr="00721F73">
        <w:t>as a result of</w:t>
      </w:r>
      <w:proofErr w:type="gramEnd"/>
      <w:r w:rsidRPr="00721F73">
        <w:t xml:space="preserve"> the COVID-19 pandemic | changes appropriate?</w:t>
      </w:r>
    </w:p>
    <w:p w14:paraId="415D20F8" w14:textId="77777777" w:rsidR="005317A4" w:rsidRPr="00721F73" w:rsidRDefault="005317A4" w:rsidP="005317A4">
      <w:r w:rsidRPr="00721F73">
        <w:t>Q2. Were there any tensions or trade-offs that could be learnt from, and did these have any implications? Have these remained?</w:t>
      </w:r>
    </w:p>
    <w:p w14:paraId="346CDA8D" w14:textId="77777777" w:rsidR="005317A4" w:rsidRPr="00721F73" w:rsidRDefault="005317A4" w:rsidP="005317A4">
      <w:r w:rsidRPr="00721F73">
        <w:t xml:space="preserve">Q3. Do you think the changes you have mentioned will endure, will continue now the investment/project has finished? </w:t>
      </w:r>
    </w:p>
    <w:p w14:paraId="4F092006" w14:textId="77777777" w:rsidR="005317A4" w:rsidRPr="00721F73" w:rsidRDefault="005317A4" w:rsidP="005317A4">
      <w:r w:rsidRPr="00721F73">
        <w:t>Q4. Based on your experience, what would be your recommendations for improving a program such as VAHSI if it had to be implemented in future? Are there any areas where you would recommend improvements?</w:t>
      </w:r>
    </w:p>
    <w:p w14:paraId="58F4D7C4" w14:textId="77777777" w:rsidR="005317A4" w:rsidRDefault="005317A4" w:rsidP="005317A4"/>
    <w:p w14:paraId="41189BA0" w14:textId="77777777" w:rsidR="00721F73" w:rsidRPr="00721F73" w:rsidRDefault="00721F73" w:rsidP="00721F73">
      <w:pPr>
        <w:sectPr w:rsidR="00721F73" w:rsidRPr="00721F73" w:rsidSect="00B423FF">
          <w:pgSz w:w="11907" w:h="16839" w:code="9"/>
          <w:pgMar w:top="1418" w:right="1418" w:bottom="1418" w:left="1418" w:header="709" w:footer="709" w:gutter="0"/>
          <w:cols w:space="708"/>
          <w:docGrid w:linePitch="360"/>
        </w:sectPr>
      </w:pPr>
    </w:p>
    <w:p w14:paraId="663C8F92" w14:textId="57F8AD4B" w:rsidR="03DE4356" w:rsidRPr="006B0C6C" w:rsidRDefault="6F77A9A5" w:rsidP="2F862C6E">
      <w:pPr>
        <w:pStyle w:val="Heading1SHS"/>
        <w:numPr>
          <w:ilvl w:val="0"/>
          <w:numId w:val="0"/>
        </w:numPr>
      </w:pPr>
      <w:bookmarkStart w:id="332" w:name="_Toc200617313"/>
      <w:r w:rsidRPr="006B0C6C">
        <w:t xml:space="preserve">Annex </w:t>
      </w:r>
      <w:r w:rsidR="0006473F">
        <w:t>7</w:t>
      </w:r>
      <w:r w:rsidRPr="006B0C6C">
        <w:t>: Data collection tools</w:t>
      </w:r>
      <w:bookmarkEnd w:id="332"/>
    </w:p>
    <w:p w14:paraId="71E753A4" w14:textId="00322666" w:rsidR="03DE4356" w:rsidRPr="006B0C6C" w:rsidRDefault="7A2BB5B8" w:rsidP="2F862C6E">
      <w:r w:rsidRPr="006B0C6C">
        <w:t xml:space="preserve">Interview guides used in the evaluation: Note, interviews were semi-structured and therefore questions were </w:t>
      </w:r>
      <w:r w:rsidR="003F0544">
        <w:t>often tailored /</w:t>
      </w:r>
      <w:r w:rsidRPr="006B0C6C">
        <w:t>not rigorously followed in all circumstances.</w:t>
      </w:r>
    </w:p>
    <w:p w14:paraId="6E79798D" w14:textId="38880148" w:rsidR="03DE4356" w:rsidRPr="006B0C6C" w:rsidRDefault="7A2BB5B8" w:rsidP="00C30814">
      <w:pPr>
        <w:pStyle w:val="ListParagraph"/>
        <w:numPr>
          <w:ilvl w:val="0"/>
          <w:numId w:val="8"/>
        </w:numPr>
        <w:rPr>
          <w:lang w:val="en-AU"/>
        </w:rPr>
      </w:pPr>
      <w:r w:rsidRPr="006B0C6C">
        <w:rPr>
          <w:lang w:val="en-AU"/>
        </w:rPr>
        <w:t>Interview guide for DFAT officials</w:t>
      </w:r>
    </w:p>
    <w:p w14:paraId="36BD29E7" w14:textId="64324860" w:rsidR="03DE4356" w:rsidRPr="006B0C6C" w:rsidRDefault="7A2BB5B8" w:rsidP="00C30814">
      <w:pPr>
        <w:pStyle w:val="ListParagraph"/>
        <w:numPr>
          <w:ilvl w:val="0"/>
          <w:numId w:val="8"/>
        </w:numPr>
        <w:rPr>
          <w:lang w:val="en-AU"/>
        </w:rPr>
      </w:pPr>
      <w:r w:rsidRPr="006B0C6C">
        <w:rPr>
          <w:lang w:val="en-AU"/>
        </w:rPr>
        <w:t>Interview guide for vaccine service delivery partner</w:t>
      </w:r>
    </w:p>
    <w:p w14:paraId="32866B4D" w14:textId="4289EA19" w:rsidR="03DE4356" w:rsidRPr="006B0C6C" w:rsidRDefault="7A2BB5B8" w:rsidP="00C30814">
      <w:pPr>
        <w:pStyle w:val="ListParagraph"/>
        <w:numPr>
          <w:ilvl w:val="0"/>
          <w:numId w:val="8"/>
        </w:numPr>
        <w:rPr>
          <w:lang w:val="en-AU"/>
        </w:rPr>
      </w:pPr>
      <w:r w:rsidRPr="006B0C6C">
        <w:rPr>
          <w:lang w:val="en-AU"/>
        </w:rPr>
        <w:t>Interview guide for Ministry of Health</w:t>
      </w:r>
    </w:p>
    <w:p w14:paraId="5A5FCAEB" w14:textId="1DB0879F" w:rsidR="03DE4356" w:rsidRPr="006B0C6C" w:rsidRDefault="20AD4752" w:rsidP="00C30814">
      <w:pPr>
        <w:pStyle w:val="ListParagraph"/>
        <w:numPr>
          <w:ilvl w:val="0"/>
          <w:numId w:val="8"/>
        </w:numPr>
        <w:rPr>
          <w:lang w:val="en-AU"/>
        </w:rPr>
      </w:pPr>
      <w:r w:rsidRPr="006B0C6C">
        <w:rPr>
          <w:lang w:val="en-AU"/>
        </w:rPr>
        <w:t>Interview guide for GEDSI interviews</w:t>
      </w:r>
    </w:p>
    <w:p w14:paraId="2C9B2CD5" w14:textId="2779481E" w:rsidR="03DE4356" w:rsidRPr="006B0C6C" w:rsidRDefault="03DE4356" w:rsidP="2F862C6E"/>
    <w:p w14:paraId="7E25E2E2" w14:textId="05D01D01" w:rsidR="03DE4356" w:rsidRPr="003D669E" w:rsidRDefault="5FA818C9" w:rsidP="003D669E">
      <w:pPr>
        <w:spacing w:after="0"/>
        <w:rPr>
          <w:rFonts w:ascii="Calibri" w:eastAsia="Calibri" w:hAnsi="Calibri" w:cs="Calibri"/>
          <w:b/>
          <w:bCs/>
          <w:sz w:val="28"/>
          <w:szCs w:val="28"/>
        </w:rPr>
      </w:pPr>
      <w:r w:rsidRPr="003D669E">
        <w:rPr>
          <w:rFonts w:ascii="Calibri" w:eastAsia="Calibri" w:hAnsi="Calibri" w:cs="Calibri"/>
          <w:b/>
          <w:bCs/>
          <w:sz w:val="28"/>
          <w:szCs w:val="28"/>
        </w:rPr>
        <w:t>Interview guide for DFAT personnel</w:t>
      </w:r>
      <w:r w:rsidR="03DE4356" w:rsidRPr="003D669E">
        <w:tab/>
      </w:r>
    </w:p>
    <w:p w14:paraId="144B674A" w14:textId="3455C2BD" w:rsidR="03DE4356" w:rsidRPr="006B0C6C" w:rsidRDefault="5FA818C9" w:rsidP="2F862C6E">
      <w:pPr>
        <w:spacing w:after="0"/>
      </w:pPr>
      <w:r w:rsidRPr="006B0C6C">
        <w:rPr>
          <w:rFonts w:ascii="Calibri" w:eastAsia="Calibri" w:hAnsi="Calibri" w:cs="Calibri"/>
          <w:szCs w:val="22"/>
        </w:rPr>
        <w:t xml:space="preserve"> </w:t>
      </w:r>
    </w:p>
    <w:p w14:paraId="6740D0C9" w14:textId="6965A646" w:rsidR="03DE4356" w:rsidRPr="006B0C6C" w:rsidRDefault="5FA818C9" w:rsidP="2F862C6E">
      <w:pPr>
        <w:spacing w:after="0"/>
      </w:pPr>
      <w:r w:rsidRPr="006B0C6C">
        <w:rPr>
          <w:rFonts w:ascii="Calibri" w:eastAsia="Calibri" w:hAnsi="Calibri" w:cs="Calibri"/>
          <w:b/>
          <w:bCs/>
          <w:i/>
          <w:iCs/>
          <w:szCs w:val="22"/>
        </w:rPr>
        <w:t>Before the interview begins, remind the interviewee:</w:t>
      </w:r>
    </w:p>
    <w:p w14:paraId="7447BBD2" w14:textId="6BE42AEA" w:rsidR="03DE4356" w:rsidRPr="006B0C6C" w:rsidRDefault="5FA818C9" w:rsidP="2F862C6E">
      <w:pPr>
        <w:spacing w:after="0"/>
      </w:pPr>
      <w:r w:rsidRPr="006B0C6C">
        <w:rPr>
          <w:rFonts w:ascii="Calibri" w:eastAsia="Calibri" w:hAnsi="Calibri" w:cs="Calibri"/>
          <w:b/>
          <w:bCs/>
          <w:i/>
          <w:iCs/>
          <w:szCs w:val="22"/>
        </w:rPr>
        <w:t>●</w:t>
      </w:r>
      <w:r w:rsidR="03DE4356" w:rsidRPr="006B0C6C">
        <w:tab/>
      </w:r>
      <w:r w:rsidRPr="006B0C6C">
        <w:rPr>
          <w:rFonts w:ascii="Calibri" w:eastAsia="Calibri" w:hAnsi="Calibri" w:cs="Calibri"/>
          <w:b/>
          <w:bCs/>
          <w:i/>
          <w:iCs/>
          <w:szCs w:val="22"/>
        </w:rPr>
        <w:t xml:space="preserve">Objectives of this interview </w:t>
      </w:r>
    </w:p>
    <w:p w14:paraId="362A6D75" w14:textId="6FAD2CBB" w:rsidR="03DE4356" w:rsidRPr="006B0C6C" w:rsidRDefault="5FA818C9" w:rsidP="2F862C6E">
      <w:pPr>
        <w:spacing w:after="0"/>
      </w:pPr>
      <w:r w:rsidRPr="006B0C6C">
        <w:rPr>
          <w:rFonts w:ascii="Calibri" w:eastAsia="Calibri" w:hAnsi="Calibri" w:cs="Calibri"/>
          <w:b/>
          <w:bCs/>
          <w:i/>
          <w:iCs/>
          <w:szCs w:val="22"/>
        </w:rPr>
        <w:t>●</w:t>
      </w:r>
      <w:r w:rsidR="03DE4356" w:rsidRPr="006B0C6C">
        <w:tab/>
      </w:r>
      <w:r w:rsidRPr="006B0C6C">
        <w:rPr>
          <w:rFonts w:ascii="Calibri" w:eastAsia="Calibri" w:hAnsi="Calibri" w:cs="Calibri"/>
          <w:b/>
          <w:bCs/>
          <w:i/>
          <w:iCs/>
          <w:szCs w:val="22"/>
        </w:rPr>
        <w:t>This is not an evaluation of them or their work, but of the VAHSI initiative</w:t>
      </w:r>
    </w:p>
    <w:p w14:paraId="574A560B" w14:textId="72C22A55" w:rsidR="03DE4356" w:rsidRPr="006B0C6C" w:rsidRDefault="5FA818C9" w:rsidP="2F862C6E">
      <w:pPr>
        <w:spacing w:after="0"/>
      </w:pPr>
      <w:r w:rsidRPr="006B0C6C">
        <w:rPr>
          <w:rFonts w:ascii="Calibri" w:eastAsia="Calibri" w:hAnsi="Calibri" w:cs="Calibri"/>
          <w:b/>
          <w:bCs/>
          <w:i/>
          <w:iCs/>
          <w:szCs w:val="22"/>
        </w:rPr>
        <w:t>●</w:t>
      </w:r>
      <w:r w:rsidR="03DE4356" w:rsidRPr="006B0C6C">
        <w:tab/>
      </w:r>
      <w:r w:rsidRPr="006B0C6C">
        <w:rPr>
          <w:rFonts w:ascii="Calibri" w:eastAsia="Calibri" w:hAnsi="Calibri" w:cs="Calibri"/>
          <w:b/>
          <w:bCs/>
          <w:i/>
          <w:iCs/>
          <w:szCs w:val="22"/>
        </w:rPr>
        <w:t>All responses will be kept confidential; no names will be used in the report</w:t>
      </w:r>
    </w:p>
    <w:p w14:paraId="2C29022D" w14:textId="732727DD" w:rsidR="03DE4356" w:rsidRPr="006B0C6C" w:rsidRDefault="5FA818C9" w:rsidP="2F862C6E">
      <w:pPr>
        <w:spacing w:after="0"/>
      </w:pPr>
      <w:r w:rsidRPr="006B0C6C">
        <w:rPr>
          <w:rFonts w:ascii="Calibri" w:eastAsia="Calibri" w:hAnsi="Calibri" w:cs="Calibri"/>
          <w:b/>
          <w:bCs/>
          <w:i/>
          <w:iCs/>
          <w:szCs w:val="22"/>
        </w:rPr>
        <w:t>●</w:t>
      </w:r>
      <w:r w:rsidR="03DE4356" w:rsidRPr="006B0C6C">
        <w:tab/>
      </w:r>
      <w:r w:rsidRPr="006B0C6C">
        <w:rPr>
          <w:rFonts w:ascii="Calibri" w:eastAsia="Calibri" w:hAnsi="Calibri" w:cs="Calibri"/>
          <w:b/>
          <w:bCs/>
          <w:i/>
          <w:iCs/>
          <w:szCs w:val="22"/>
        </w:rPr>
        <w:t>Do they have questions or clarifications?</w:t>
      </w:r>
    </w:p>
    <w:p w14:paraId="5E3FD98E" w14:textId="01A8E3C1" w:rsidR="03DE4356" w:rsidRPr="006B0C6C" w:rsidRDefault="5FA818C9" w:rsidP="2F862C6E">
      <w:pPr>
        <w:spacing w:after="0"/>
      </w:pPr>
      <w:r w:rsidRPr="006B0C6C">
        <w:rPr>
          <w:rFonts w:ascii="Calibri" w:eastAsia="Calibri" w:hAnsi="Calibri" w:cs="Calibri"/>
          <w:szCs w:val="22"/>
        </w:rPr>
        <w:t>__________________________________________________________________________________</w:t>
      </w:r>
    </w:p>
    <w:p w14:paraId="15F05A41" w14:textId="0204239A" w:rsidR="03DE4356" w:rsidRPr="006B0C6C" w:rsidRDefault="5FA818C9" w:rsidP="2F862C6E">
      <w:pPr>
        <w:spacing w:after="0"/>
      </w:pPr>
      <w:r w:rsidRPr="006B0C6C">
        <w:rPr>
          <w:rFonts w:ascii="Calibri" w:eastAsia="Calibri" w:hAnsi="Calibri" w:cs="Calibri"/>
          <w:szCs w:val="22"/>
        </w:rPr>
        <w:t xml:space="preserve"> </w:t>
      </w:r>
    </w:p>
    <w:p w14:paraId="68A2A5ED" w14:textId="33E3F665" w:rsidR="03DE4356" w:rsidRPr="006B0C6C" w:rsidRDefault="5FA818C9" w:rsidP="2F862C6E">
      <w:pPr>
        <w:spacing w:after="0"/>
      </w:pPr>
      <w:r w:rsidRPr="006B0C6C">
        <w:rPr>
          <w:rFonts w:ascii="Calibri" w:eastAsia="Calibri" w:hAnsi="Calibri" w:cs="Calibri"/>
          <w:b/>
          <w:bCs/>
          <w:i/>
          <w:iCs/>
          <w:szCs w:val="22"/>
        </w:rPr>
        <w:t>EQ1: These questions are designed around the first End-of-Program Outcome, which is that “Partner Governments expand COVID-19 and routine immunisation vaccination coverage in a safe and timely manner”</w:t>
      </w:r>
    </w:p>
    <w:p w14:paraId="356C926B" w14:textId="40D7DA71" w:rsidR="03DE4356" w:rsidRPr="006B0C6C" w:rsidRDefault="03DE4356" w:rsidP="2F862C6E">
      <w:pPr>
        <w:spacing w:after="0"/>
      </w:pPr>
    </w:p>
    <w:p w14:paraId="39FBE907" w14:textId="276789CD" w:rsidR="03DE4356" w:rsidRPr="006B0C6C" w:rsidRDefault="5FA818C9" w:rsidP="2F862C6E">
      <w:pPr>
        <w:spacing w:after="0"/>
      </w:pPr>
      <w:r w:rsidRPr="006B0C6C">
        <w:rPr>
          <w:rFonts w:ascii="Calibri" w:eastAsia="Calibri" w:hAnsi="Calibri" w:cs="Calibri"/>
          <w:b/>
          <w:bCs/>
          <w:szCs w:val="22"/>
        </w:rPr>
        <w:t xml:space="preserve">Q1: Based on your experience, what do you think have been the most significant changes that VAHSI contributed to? </w:t>
      </w:r>
      <w:r w:rsidRPr="006B0C6C">
        <w:rPr>
          <w:rFonts w:ascii="Calibri" w:eastAsia="Calibri" w:hAnsi="Calibri" w:cs="Calibri"/>
          <w:szCs w:val="22"/>
        </w:rPr>
        <w:t xml:space="preserve">Prompt for details if required. </w:t>
      </w:r>
    </w:p>
    <w:p w14:paraId="7F427F66" w14:textId="7803B230" w:rsidR="03DE4356" w:rsidRPr="006B0C6C" w:rsidRDefault="03DE4356" w:rsidP="2F862C6E">
      <w:pPr>
        <w:spacing w:after="0"/>
      </w:pPr>
    </w:p>
    <w:p w14:paraId="482A043B" w14:textId="49CA9631" w:rsidR="03DE4356" w:rsidRPr="006B0C6C" w:rsidRDefault="5FA818C9" w:rsidP="2F862C6E">
      <w:pPr>
        <w:spacing w:after="0"/>
      </w:pPr>
      <w:r w:rsidRPr="006B0C6C">
        <w:rPr>
          <w:rFonts w:ascii="Calibri" w:eastAsia="Calibri" w:hAnsi="Calibri" w:cs="Calibri"/>
          <w:b/>
          <w:bCs/>
          <w:szCs w:val="22"/>
        </w:rPr>
        <w:t>Q2: How do you feel that VAHSI contributed to the changes?</w:t>
      </w:r>
      <w:r w:rsidRPr="006B0C6C">
        <w:rPr>
          <w:rFonts w:ascii="Calibri" w:eastAsia="Calibri" w:hAnsi="Calibri" w:cs="Calibri"/>
          <w:szCs w:val="22"/>
        </w:rPr>
        <w:t xml:space="preserve"> Probes if required: What were the key strengths? What was highest value? What were the key challenges? How were these addressed? </w:t>
      </w:r>
    </w:p>
    <w:p w14:paraId="60F4DD0E" w14:textId="2C5946F3" w:rsidR="03DE4356" w:rsidRPr="006B0C6C" w:rsidRDefault="03DE4356" w:rsidP="2F862C6E">
      <w:pPr>
        <w:spacing w:after="0"/>
      </w:pPr>
    </w:p>
    <w:p w14:paraId="27DE12A3" w14:textId="1D280915" w:rsidR="03DE4356" w:rsidRPr="006B0C6C" w:rsidRDefault="5FA818C9" w:rsidP="2F862C6E">
      <w:pPr>
        <w:spacing w:after="0"/>
      </w:pPr>
      <w:r w:rsidRPr="006B0C6C">
        <w:rPr>
          <w:rFonts w:ascii="Calibri" w:eastAsia="Calibri" w:hAnsi="Calibri" w:cs="Calibri"/>
          <w:b/>
          <w:bCs/>
          <w:szCs w:val="22"/>
        </w:rPr>
        <w:t>Q3: Considering the pandemic context, do you feel that COVID-19 vaccine doses and timeframes met country partner needs, and/or changing country partner needs over time?</w:t>
      </w:r>
      <w:r w:rsidRPr="006B0C6C">
        <w:rPr>
          <w:rFonts w:ascii="Calibri" w:eastAsia="Calibri" w:hAnsi="Calibri" w:cs="Calibri"/>
          <w:szCs w:val="22"/>
        </w:rPr>
        <w:t xml:space="preserve"> (Y/N, specify)</w:t>
      </w:r>
    </w:p>
    <w:p w14:paraId="759EF500" w14:textId="4EEBE1F3" w:rsidR="03DE4356" w:rsidRPr="006B0C6C" w:rsidRDefault="5FA818C9" w:rsidP="2F862C6E">
      <w:pPr>
        <w:spacing w:after="0"/>
      </w:pPr>
      <w:r w:rsidRPr="006B0C6C">
        <w:rPr>
          <w:rFonts w:ascii="Calibri" w:eastAsia="Calibri" w:hAnsi="Calibri" w:cs="Calibri"/>
          <w:szCs w:val="22"/>
        </w:rPr>
        <w:t xml:space="preserve"> </w:t>
      </w:r>
    </w:p>
    <w:p w14:paraId="0A845B70" w14:textId="47DDAB08" w:rsidR="03DE4356" w:rsidRPr="006B0C6C" w:rsidRDefault="5FA818C9" w:rsidP="2F862C6E">
      <w:pPr>
        <w:spacing w:after="0"/>
      </w:pPr>
      <w:r w:rsidRPr="006B0C6C">
        <w:rPr>
          <w:rFonts w:ascii="Calibri" w:eastAsia="Calibri" w:hAnsi="Calibri" w:cs="Calibri"/>
          <w:b/>
          <w:bCs/>
          <w:szCs w:val="22"/>
        </w:rPr>
        <w:t>Q4: Do you feel that COVID-19 vaccination coverage targets for high-risk groups were met?</w:t>
      </w:r>
      <w:r w:rsidRPr="006B0C6C">
        <w:rPr>
          <w:rFonts w:ascii="Calibri" w:eastAsia="Calibri" w:hAnsi="Calibri" w:cs="Calibri"/>
          <w:szCs w:val="22"/>
        </w:rPr>
        <w:t xml:space="preserve"> (Y/N, specify)</w:t>
      </w:r>
    </w:p>
    <w:p w14:paraId="6A261478" w14:textId="1DF71E7C" w:rsidR="03DE4356" w:rsidRPr="006B0C6C" w:rsidRDefault="03DE4356" w:rsidP="2F862C6E">
      <w:pPr>
        <w:spacing w:after="0"/>
      </w:pPr>
    </w:p>
    <w:p w14:paraId="0892AD09" w14:textId="5BC2DCD0" w:rsidR="03DE4356" w:rsidRPr="006B0C6C" w:rsidRDefault="5FA818C9" w:rsidP="2F862C6E">
      <w:pPr>
        <w:spacing w:after="0"/>
      </w:pPr>
      <w:r w:rsidRPr="006B0C6C">
        <w:rPr>
          <w:rFonts w:ascii="Calibri" w:eastAsia="Calibri" w:hAnsi="Calibri" w:cs="Calibri"/>
          <w:b/>
          <w:bCs/>
          <w:szCs w:val="22"/>
        </w:rPr>
        <w:t>Q5: Considering the pandemic context, do you feel that the immunisation delivery support projects met country partner needs in terms of quality, access/coverage, and timeliness?</w:t>
      </w:r>
      <w:r w:rsidRPr="006B0C6C">
        <w:rPr>
          <w:rFonts w:ascii="Calibri" w:eastAsia="Calibri" w:hAnsi="Calibri" w:cs="Calibri"/>
          <w:szCs w:val="22"/>
        </w:rPr>
        <w:t xml:space="preserve"> (Y/N, specify)</w:t>
      </w:r>
    </w:p>
    <w:p w14:paraId="0C89EB89" w14:textId="4817D64A" w:rsidR="03DE4356" w:rsidRPr="006B0C6C" w:rsidRDefault="03DE4356" w:rsidP="2F862C6E">
      <w:pPr>
        <w:spacing w:after="0"/>
      </w:pPr>
    </w:p>
    <w:p w14:paraId="2B0F5BBC" w14:textId="3BA3F9B0" w:rsidR="03DE4356" w:rsidRPr="006B0C6C" w:rsidRDefault="5FA818C9" w:rsidP="2F862C6E">
      <w:pPr>
        <w:spacing w:after="0"/>
      </w:pPr>
      <w:r w:rsidRPr="006B0C6C">
        <w:rPr>
          <w:rFonts w:ascii="Calibri" w:eastAsia="Calibri" w:hAnsi="Calibri" w:cs="Calibri"/>
          <w:b/>
          <w:bCs/>
          <w:szCs w:val="22"/>
        </w:rPr>
        <w:t>Q6: How do you feel that the immunisation delivery support projects expanded COVID-19 and routine immunisation vaccination coverage?</w:t>
      </w:r>
      <w:r w:rsidRPr="006B0C6C">
        <w:rPr>
          <w:rFonts w:ascii="Calibri" w:eastAsia="Calibri" w:hAnsi="Calibri" w:cs="Calibri"/>
          <w:szCs w:val="22"/>
        </w:rPr>
        <w:t xml:space="preserve"> Probes if required: What were the key strengths? What was highest value? What were the key challenges? How were these addressed? (Interviewer to consider effectiveness: quantity, timeliness, concordance with stakeholder plans, safety, accessibility) </w:t>
      </w:r>
    </w:p>
    <w:p w14:paraId="5002EDEF" w14:textId="28906285" w:rsidR="03DE4356" w:rsidRPr="006B0C6C" w:rsidRDefault="5FA818C9" w:rsidP="2F862C6E">
      <w:pPr>
        <w:spacing w:after="0"/>
      </w:pPr>
      <w:r w:rsidRPr="006B0C6C">
        <w:rPr>
          <w:rFonts w:ascii="Calibri" w:eastAsia="Calibri" w:hAnsi="Calibri" w:cs="Calibri"/>
          <w:szCs w:val="22"/>
        </w:rPr>
        <w:t xml:space="preserve"> </w:t>
      </w:r>
      <w:r w:rsidRPr="006B0C6C">
        <w:rPr>
          <w:rFonts w:ascii="Calibri" w:eastAsia="Calibri" w:hAnsi="Calibri" w:cs="Calibri"/>
          <w:b/>
          <w:bCs/>
          <w:i/>
          <w:iCs/>
          <w:szCs w:val="22"/>
        </w:rPr>
        <w:t>EQ2. These questions are designed around the third End-of-Program Outcome, which is that “Australian support to COVID-19 vaccination programs is valued by the region”.</w:t>
      </w:r>
      <w:r w:rsidRPr="006B0C6C">
        <w:rPr>
          <w:rFonts w:ascii="Calibri" w:eastAsia="Calibri" w:hAnsi="Calibri" w:cs="Calibri"/>
          <w:b/>
          <w:bCs/>
          <w:color w:val="333333"/>
          <w:sz w:val="20"/>
          <w:szCs w:val="20"/>
        </w:rPr>
        <w:t xml:space="preserve"> </w:t>
      </w:r>
    </w:p>
    <w:p w14:paraId="3B42CB0D" w14:textId="1C87C7BD" w:rsidR="03DE4356" w:rsidRPr="006B0C6C" w:rsidRDefault="5FA818C9" w:rsidP="2F862C6E">
      <w:pPr>
        <w:spacing w:before="120" w:after="0"/>
      </w:pPr>
      <w:r w:rsidRPr="006B0C6C">
        <w:rPr>
          <w:rFonts w:ascii="Calibri" w:eastAsia="Calibri" w:hAnsi="Calibri" w:cs="Calibri"/>
          <w:b/>
          <w:bCs/>
          <w:szCs w:val="22"/>
        </w:rPr>
        <w:t xml:space="preserve">Q7. Based on your experience, has the support from Australia contributed to stronger relationships between ‘X partner government’ and Australia? </w:t>
      </w:r>
      <w:r w:rsidRPr="006B0C6C">
        <w:rPr>
          <w:rFonts w:ascii="Calibri" w:eastAsia="Calibri" w:hAnsi="Calibri" w:cs="Calibri"/>
          <w:szCs w:val="22"/>
        </w:rPr>
        <w:t xml:space="preserve">In which areas </w:t>
      </w:r>
      <w:proofErr w:type="gramStart"/>
      <w:r w:rsidRPr="006B0C6C">
        <w:rPr>
          <w:rFonts w:ascii="Calibri" w:eastAsia="Calibri" w:hAnsi="Calibri" w:cs="Calibri"/>
          <w:szCs w:val="22"/>
        </w:rPr>
        <w:t>in particular and</w:t>
      </w:r>
      <w:proofErr w:type="gramEnd"/>
      <w:r w:rsidRPr="006B0C6C">
        <w:rPr>
          <w:rFonts w:ascii="Calibri" w:eastAsia="Calibri" w:hAnsi="Calibri" w:cs="Calibri"/>
          <w:szCs w:val="22"/>
        </w:rPr>
        <w:t xml:space="preserve"> why? Can you provide any documentary evidence to support this?</w:t>
      </w:r>
    </w:p>
    <w:p w14:paraId="77230C49" w14:textId="7A20A08A" w:rsidR="03DE4356" w:rsidRPr="006B0C6C" w:rsidRDefault="5FA818C9" w:rsidP="2F862C6E">
      <w:pPr>
        <w:spacing w:after="0"/>
      </w:pPr>
      <w:r w:rsidRPr="006B0C6C">
        <w:rPr>
          <w:rFonts w:ascii="Calibri" w:eastAsia="Calibri" w:hAnsi="Calibri" w:cs="Calibri"/>
          <w:szCs w:val="22"/>
        </w:rPr>
        <w:t xml:space="preserve"> </w:t>
      </w:r>
    </w:p>
    <w:p w14:paraId="727F9735" w14:textId="6964AA56" w:rsidR="03DE4356" w:rsidRPr="006B0C6C" w:rsidRDefault="5FA818C9" w:rsidP="2F862C6E">
      <w:pPr>
        <w:spacing w:after="0"/>
      </w:pPr>
      <w:r w:rsidRPr="006B0C6C">
        <w:rPr>
          <w:rFonts w:ascii="Calibri" w:eastAsia="Calibri" w:hAnsi="Calibri" w:cs="Calibri"/>
          <w:b/>
          <w:bCs/>
          <w:szCs w:val="22"/>
        </w:rPr>
        <w:t>Q8. How did Australia’s support to ‘X partner government’ compare to support received from other sources (e.g. bilateral deals, multilateral/regional deals/support, COVAX, other)?</w:t>
      </w:r>
      <w:r w:rsidRPr="006B0C6C">
        <w:rPr>
          <w:rFonts w:ascii="Calibri" w:eastAsia="Calibri" w:hAnsi="Calibri" w:cs="Calibri"/>
          <w:szCs w:val="22"/>
        </w:rPr>
        <w:t xml:space="preserve"> </w:t>
      </w:r>
    </w:p>
    <w:p w14:paraId="10C5CB42" w14:textId="55FF0925" w:rsidR="03DE4356" w:rsidRPr="006B0C6C" w:rsidRDefault="5FA818C9" w:rsidP="2F862C6E">
      <w:pPr>
        <w:spacing w:after="0"/>
      </w:pPr>
      <w:r w:rsidRPr="006B0C6C">
        <w:rPr>
          <w:rFonts w:ascii="Calibri" w:eastAsia="Calibri" w:hAnsi="Calibri" w:cs="Calibri"/>
          <w:b/>
          <w:bCs/>
          <w:szCs w:val="22"/>
        </w:rPr>
        <w:t xml:space="preserve"> </w:t>
      </w:r>
    </w:p>
    <w:p w14:paraId="5318F4F0" w14:textId="1892DBC5" w:rsidR="03DE4356" w:rsidRPr="006B0C6C" w:rsidRDefault="5FA818C9" w:rsidP="2F862C6E">
      <w:pPr>
        <w:spacing w:after="0"/>
      </w:pPr>
      <w:r w:rsidRPr="006B0C6C">
        <w:rPr>
          <w:rFonts w:ascii="Calibri" w:eastAsia="Calibri" w:hAnsi="Calibri" w:cs="Calibri"/>
          <w:b/>
          <w:bCs/>
          <w:szCs w:val="22"/>
        </w:rPr>
        <w:t>Q9. What were the most valuable aspects of Australia’s support (COVID-19 vaccines, delivery support, routine immunisations (RI)) and how did this change over time?</w:t>
      </w:r>
    </w:p>
    <w:p w14:paraId="52431047" w14:textId="51BAA011" w:rsidR="03DE4356" w:rsidRPr="006B0C6C" w:rsidRDefault="5FA818C9" w:rsidP="2F862C6E">
      <w:pPr>
        <w:spacing w:after="0"/>
      </w:pPr>
      <w:r w:rsidRPr="006B0C6C">
        <w:rPr>
          <w:rFonts w:ascii="Calibri" w:eastAsia="Calibri" w:hAnsi="Calibri" w:cs="Calibri"/>
          <w:szCs w:val="22"/>
        </w:rPr>
        <w:t xml:space="preserve"> </w:t>
      </w:r>
    </w:p>
    <w:p w14:paraId="3F29D8B6" w14:textId="1D5E47BA" w:rsidR="03DE4356" w:rsidRPr="006B0C6C" w:rsidRDefault="5FA818C9" w:rsidP="2F862C6E">
      <w:pPr>
        <w:spacing w:after="0"/>
      </w:pPr>
      <w:r w:rsidRPr="006B0C6C">
        <w:rPr>
          <w:rFonts w:ascii="Calibri" w:eastAsia="Calibri" w:hAnsi="Calibri" w:cs="Calibri"/>
          <w:b/>
          <w:bCs/>
          <w:i/>
          <w:iCs/>
          <w:szCs w:val="22"/>
        </w:rPr>
        <w:t>EQ3. These questions are around how VAHSI made efficient use of Australia and partners' time, money and resources to achieve outputs and expected outcomes including whether the modality was an appropriate response mechanism?</w:t>
      </w:r>
    </w:p>
    <w:p w14:paraId="20E2C17B" w14:textId="77493818" w:rsidR="03DE4356" w:rsidRPr="006B0C6C" w:rsidRDefault="5FA818C9" w:rsidP="2F862C6E">
      <w:pPr>
        <w:spacing w:after="0"/>
      </w:pPr>
      <w:r w:rsidRPr="006B0C6C">
        <w:rPr>
          <w:rFonts w:ascii="Calibri" w:eastAsia="Calibri" w:hAnsi="Calibri" w:cs="Calibri"/>
          <w:b/>
          <w:bCs/>
          <w:i/>
          <w:iCs/>
          <w:szCs w:val="22"/>
        </w:rPr>
        <w:t xml:space="preserve"> </w:t>
      </w:r>
    </w:p>
    <w:p w14:paraId="12D228EB" w14:textId="5E400952" w:rsidR="03DE4356" w:rsidRPr="006B0C6C" w:rsidRDefault="5FA818C9" w:rsidP="2F862C6E">
      <w:pPr>
        <w:spacing w:after="0"/>
      </w:pPr>
      <w:r w:rsidRPr="006B0C6C">
        <w:rPr>
          <w:rFonts w:ascii="Calibri" w:eastAsia="Calibri" w:hAnsi="Calibri" w:cs="Calibri"/>
          <w:b/>
          <w:bCs/>
          <w:szCs w:val="22"/>
        </w:rPr>
        <w:t xml:space="preserve">Q10. Given the situation, and the response required, would you assess VAHSI as making efficient use of time, money, and resources to achieve its outcomes? </w:t>
      </w:r>
      <w:r w:rsidRPr="006B0C6C">
        <w:rPr>
          <w:rFonts w:ascii="Calibri" w:eastAsia="Calibri" w:hAnsi="Calibri" w:cs="Calibri"/>
          <w:szCs w:val="22"/>
        </w:rPr>
        <w:t xml:space="preserve">Were there potentially other mechanisms that could have been more efficient? What could be different in terms of a mechanism for future pandemics? </w:t>
      </w:r>
    </w:p>
    <w:p w14:paraId="016B7325" w14:textId="616E40B4" w:rsidR="03DE4356" w:rsidRPr="006B0C6C" w:rsidRDefault="03DE4356" w:rsidP="2F862C6E">
      <w:pPr>
        <w:spacing w:after="0"/>
      </w:pPr>
    </w:p>
    <w:p w14:paraId="79F39617" w14:textId="57D85168" w:rsidR="03DE4356" w:rsidRPr="006B0C6C" w:rsidRDefault="5FA818C9" w:rsidP="2F862C6E">
      <w:pPr>
        <w:spacing w:after="0"/>
      </w:pPr>
      <w:r w:rsidRPr="006B0C6C">
        <w:rPr>
          <w:rFonts w:ascii="Calibri" w:eastAsia="Calibri" w:hAnsi="Calibri" w:cs="Calibri"/>
          <w:b/>
          <w:bCs/>
          <w:szCs w:val="22"/>
        </w:rPr>
        <w:t xml:space="preserve">Q11. Based on your understanding of partner government needs, was the VAHSI mechanism an appropriate means of support/response? </w:t>
      </w:r>
      <w:r w:rsidRPr="006B0C6C">
        <w:rPr>
          <w:rFonts w:ascii="Calibri" w:eastAsia="Calibri" w:hAnsi="Calibri" w:cs="Calibri"/>
          <w:szCs w:val="22"/>
        </w:rPr>
        <w:t>If so, why? If not, what could be improved, or done differently for future pandemics?</w:t>
      </w:r>
    </w:p>
    <w:p w14:paraId="263FB32B" w14:textId="103B0A12" w:rsidR="03DE4356" w:rsidRPr="006B0C6C" w:rsidRDefault="03DE4356" w:rsidP="2F862C6E">
      <w:pPr>
        <w:spacing w:after="0"/>
      </w:pPr>
    </w:p>
    <w:p w14:paraId="6BA71CC5" w14:textId="5BE7A94A" w:rsidR="03DE4356" w:rsidRPr="006B0C6C" w:rsidRDefault="5FA818C9" w:rsidP="2F862C6E">
      <w:pPr>
        <w:spacing w:after="0"/>
      </w:pPr>
      <w:r w:rsidRPr="006B0C6C">
        <w:rPr>
          <w:rFonts w:ascii="Calibri" w:eastAsia="Calibri" w:hAnsi="Calibri" w:cs="Calibri"/>
          <w:b/>
          <w:bCs/>
          <w:szCs w:val="22"/>
        </w:rPr>
        <w:t>Q12. Did the investments deliver any unexpected outcomes in response to changes in the operating context? (Y/N, specify)</w:t>
      </w:r>
    </w:p>
    <w:p w14:paraId="681DBAA9" w14:textId="0A97E31B" w:rsidR="03DE4356" w:rsidRPr="006B0C6C" w:rsidRDefault="03DE4356" w:rsidP="2F862C6E">
      <w:pPr>
        <w:spacing w:after="0"/>
      </w:pPr>
    </w:p>
    <w:p w14:paraId="3BE816FC" w14:textId="4CC0C762" w:rsidR="03DE4356" w:rsidRPr="006B0C6C" w:rsidRDefault="5FA818C9" w:rsidP="2F862C6E">
      <w:pPr>
        <w:spacing w:after="0"/>
      </w:pPr>
      <w:r w:rsidRPr="006B0C6C">
        <w:rPr>
          <w:rFonts w:ascii="Calibri" w:eastAsia="Calibri" w:hAnsi="Calibri" w:cs="Calibri"/>
          <w:b/>
          <w:bCs/>
          <w:szCs w:val="22"/>
        </w:rPr>
        <w:t>Q13. To what extent did the investments remain relevant to Australia’s policy priorities and national interest, over the life of the investment?</w:t>
      </w:r>
    </w:p>
    <w:p w14:paraId="2FCC69B3" w14:textId="0489077D" w:rsidR="03DE4356" w:rsidRPr="006B0C6C" w:rsidRDefault="03DE4356" w:rsidP="2F862C6E">
      <w:pPr>
        <w:spacing w:after="0"/>
      </w:pPr>
    </w:p>
    <w:p w14:paraId="644A00EC" w14:textId="470377A8" w:rsidR="03DE4356" w:rsidRPr="006B0C6C" w:rsidRDefault="5FA818C9" w:rsidP="2F862C6E">
      <w:pPr>
        <w:spacing w:after="0"/>
      </w:pPr>
      <w:r w:rsidRPr="006B0C6C">
        <w:rPr>
          <w:rFonts w:ascii="Calibri" w:eastAsia="Calibri" w:hAnsi="Calibri" w:cs="Calibri"/>
          <w:b/>
          <w:bCs/>
          <w:szCs w:val="22"/>
        </w:rPr>
        <w:t xml:space="preserve">Q14. To what extent did the investments align with the </w:t>
      </w:r>
      <w:r w:rsidR="00A412B9">
        <w:rPr>
          <w:rFonts w:ascii="Calibri" w:eastAsia="Calibri" w:hAnsi="Calibri" w:cs="Calibri"/>
          <w:b/>
          <w:bCs/>
          <w:szCs w:val="22"/>
        </w:rPr>
        <w:t>p</w:t>
      </w:r>
      <w:r w:rsidRPr="006B0C6C">
        <w:rPr>
          <w:rFonts w:ascii="Calibri" w:eastAsia="Calibri" w:hAnsi="Calibri" w:cs="Calibri"/>
          <w:b/>
          <w:bCs/>
          <w:szCs w:val="22"/>
        </w:rPr>
        <w:t xml:space="preserve">artner </w:t>
      </w:r>
      <w:r w:rsidR="00A412B9">
        <w:rPr>
          <w:rFonts w:ascii="Calibri" w:eastAsia="Calibri" w:hAnsi="Calibri" w:cs="Calibri"/>
          <w:b/>
          <w:bCs/>
          <w:szCs w:val="22"/>
        </w:rPr>
        <w:t>g</w:t>
      </w:r>
      <w:r w:rsidRPr="006B0C6C">
        <w:rPr>
          <w:rFonts w:ascii="Calibri" w:eastAsia="Calibri" w:hAnsi="Calibri" w:cs="Calibri"/>
          <w:b/>
          <w:bCs/>
          <w:szCs w:val="22"/>
        </w:rPr>
        <w:t>overnment’s development priorities and beneficiary needs?</w:t>
      </w:r>
    </w:p>
    <w:p w14:paraId="63737E5E" w14:textId="7FF02725" w:rsidR="03DE4356" w:rsidRPr="006B0C6C" w:rsidRDefault="03DE4356" w:rsidP="2F862C6E">
      <w:pPr>
        <w:spacing w:after="0"/>
      </w:pPr>
    </w:p>
    <w:p w14:paraId="401F6785" w14:textId="0B6A8348" w:rsidR="03DE4356" w:rsidRPr="006B0C6C" w:rsidRDefault="5FA818C9" w:rsidP="2F862C6E">
      <w:pPr>
        <w:spacing w:after="0"/>
      </w:pPr>
      <w:r w:rsidRPr="006B0C6C">
        <w:rPr>
          <w:rFonts w:ascii="Calibri" w:eastAsia="Calibri" w:hAnsi="Calibri" w:cs="Calibri"/>
          <w:b/>
          <w:bCs/>
          <w:i/>
          <w:iCs/>
          <w:szCs w:val="22"/>
        </w:rPr>
        <w:t>EQ5: The remaining questions relate to learning lessons for future programs</w:t>
      </w:r>
    </w:p>
    <w:p w14:paraId="312C744D" w14:textId="3B1ABA51" w:rsidR="03DE4356" w:rsidRPr="006B0C6C" w:rsidRDefault="03DE4356" w:rsidP="2F862C6E">
      <w:pPr>
        <w:spacing w:after="0"/>
      </w:pPr>
    </w:p>
    <w:p w14:paraId="2162B6B1" w14:textId="48996972" w:rsidR="03DE4356" w:rsidRPr="006B0C6C" w:rsidRDefault="5FA818C9" w:rsidP="2F862C6E">
      <w:pPr>
        <w:spacing w:after="0"/>
      </w:pPr>
      <w:r w:rsidRPr="006B0C6C">
        <w:rPr>
          <w:rFonts w:ascii="Calibri" w:eastAsia="Calibri" w:hAnsi="Calibri" w:cs="Calibri"/>
          <w:b/>
          <w:bCs/>
          <w:szCs w:val="22"/>
        </w:rPr>
        <w:t xml:space="preserve">Q15. Based on your experience, what would be your recommendations for improving a program such as VAHSI if it had to be implemented in future? </w:t>
      </w:r>
    </w:p>
    <w:p w14:paraId="54F9C3E8" w14:textId="3E3A6ACF" w:rsidR="03DE4356" w:rsidRPr="006B0C6C" w:rsidRDefault="5FA818C9" w:rsidP="2F862C6E">
      <w:pPr>
        <w:spacing w:after="0"/>
      </w:pPr>
      <w:r w:rsidRPr="006B0C6C">
        <w:rPr>
          <w:rFonts w:ascii="Calibri" w:eastAsia="Calibri" w:hAnsi="Calibri" w:cs="Calibri"/>
          <w:szCs w:val="22"/>
        </w:rPr>
        <w:t xml:space="preserve"> </w:t>
      </w:r>
    </w:p>
    <w:p w14:paraId="7041BC14" w14:textId="67168875" w:rsidR="03DE4356" w:rsidRPr="006B0C6C" w:rsidRDefault="5FA818C9" w:rsidP="2F862C6E">
      <w:pPr>
        <w:spacing w:after="0"/>
      </w:pPr>
      <w:r w:rsidRPr="006B0C6C">
        <w:rPr>
          <w:rFonts w:ascii="Calibri" w:eastAsia="Calibri" w:hAnsi="Calibri" w:cs="Calibri"/>
          <w:b/>
          <w:bCs/>
          <w:szCs w:val="22"/>
        </w:rPr>
        <w:t xml:space="preserve">Q16. Were there any tensions or trade-offs that could be learnt from, and did these have any implications? Have these remained? </w:t>
      </w:r>
    </w:p>
    <w:p w14:paraId="76284DB6" w14:textId="0EFE2D2D" w:rsidR="03DE4356" w:rsidRPr="006B0C6C" w:rsidRDefault="5FA818C9" w:rsidP="2F862C6E">
      <w:pPr>
        <w:spacing w:after="0"/>
      </w:pPr>
      <w:r w:rsidRPr="006B0C6C">
        <w:rPr>
          <w:rFonts w:ascii="Calibri" w:eastAsia="Calibri" w:hAnsi="Calibri" w:cs="Calibri"/>
          <w:szCs w:val="22"/>
        </w:rPr>
        <w:t xml:space="preserve"> </w:t>
      </w:r>
      <w:r w:rsidRPr="006B0C6C">
        <w:rPr>
          <w:rFonts w:ascii="Calibri" w:eastAsia="Calibri" w:hAnsi="Calibri" w:cs="Calibri"/>
          <w:b/>
          <w:bCs/>
          <w:szCs w:val="22"/>
        </w:rPr>
        <w:t>Q17. Do you think the changes you have mentioned will continue now the investment has finished?</w:t>
      </w:r>
    </w:p>
    <w:p w14:paraId="12EBDD9A" w14:textId="17F1062D" w:rsidR="03DE4356" w:rsidRPr="006B0C6C" w:rsidRDefault="03DE4356" w:rsidP="2F862C6E">
      <w:pPr>
        <w:spacing w:after="0"/>
      </w:pPr>
    </w:p>
    <w:p w14:paraId="111AA05D" w14:textId="73CDF21D" w:rsidR="03DE4356" w:rsidRPr="006B0C6C" w:rsidRDefault="5FA818C9" w:rsidP="2F862C6E">
      <w:pPr>
        <w:spacing w:after="0"/>
      </w:pPr>
      <w:r w:rsidRPr="006B0C6C">
        <w:rPr>
          <w:rFonts w:ascii="Calibri" w:eastAsia="Calibri" w:hAnsi="Calibri" w:cs="Calibri"/>
          <w:b/>
          <w:bCs/>
          <w:szCs w:val="22"/>
        </w:rPr>
        <w:t>Q18. Is there anything else you think we should know?</w:t>
      </w:r>
    </w:p>
    <w:p w14:paraId="4165B9C5" w14:textId="324D4A3D" w:rsidR="03DE4356" w:rsidRPr="006B0C6C" w:rsidRDefault="5FA818C9" w:rsidP="2F862C6E">
      <w:pPr>
        <w:spacing w:after="0"/>
      </w:pPr>
      <w:r w:rsidRPr="006B0C6C">
        <w:rPr>
          <w:rFonts w:ascii="Calibri" w:eastAsia="Calibri" w:hAnsi="Calibri" w:cs="Calibri"/>
          <w:szCs w:val="22"/>
        </w:rPr>
        <w:t xml:space="preserve"> _________________________________________________________________________________</w:t>
      </w:r>
    </w:p>
    <w:p w14:paraId="5A594912" w14:textId="36A5FC8C" w:rsidR="03DE4356" w:rsidRPr="006B0C6C" w:rsidRDefault="03DE4356" w:rsidP="2F862C6E">
      <w:pPr>
        <w:spacing w:after="0"/>
        <w:rPr>
          <w:rFonts w:ascii="Calibri" w:eastAsia="Calibri" w:hAnsi="Calibri" w:cs="Calibri"/>
          <w:b/>
          <w:bCs/>
          <w:sz w:val="28"/>
          <w:szCs w:val="28"/>
        </w:rPr>
      </w:pPr>
    </w:p>
    <w:p w14:paraId="0020DFE1" w14:textId="50AD5BFC" w:rsidR="03DE4356" w:rsidRPr="006B0C6C" w:rsidRDefault="74345E4E" w:rsidP="006B0C6C">
      <w:pPr>
        <w:spacing w:after="0"/>
        <w:ind w:left="720" w:hanging="360"/>
        <w:rPr>
          <w:rFonts w:ascii="Calibri" w:eastAsia="Calibri" w:hAnsi="Calibri" w:cs="Calibri"/>
          <w:b/>
          <w:bCs/>
          <w:sz w:val="28"/>
          <w:szCs w:val="28"/>
        </w:rPr>
      </w:pPr>
      <w:r w:rsidRPr="006B0C6C">
        <w:rPr>
          <w:rFonts w:ascii="Calibri" w:eastAsia="Calibri" w:hAnsi="Calibri" w:cs="Calibri"/>
          <w:b/>
          <w:bCs/>
          <w:sz w:val="28"/>
          <w:szCs w:val="28"/>
        </w:rPr>
        <w:t>Interview guide for Implementing Partner</w:t>
      </w:r>
      <w:r w:rsidR="03DE4356" w:rsidRPr="00367960">
        <w:tab/>
      </w:r>
    </w:p>
    <w:p w14:paraId="126C4FC8" w14:textId="75C24095" w:rsidR="03DE4356" w:rsidRPr="006B0C6C" w:rsidRDefault="74345E4E" w:rsidP="2F862C6E">
      <w:pPr>
        <w:spacing w:after="0"/>
      </w:pPr>
      <w:r w:rsidRPr="006B0C6C">
        <w:rPr>
          <w:rFonts w:ascii="Calibri" w:eastAsia="Calibri" w:hAnsi="Calibri" w:cs="Calibri"/>
          <w:szCs w:val="22"/>
        </w:rPr>
        <w:t xml:space="preserve"> </w:t>
      </w:r>
      <w:r w:rsidRPr="006B0C6C">
        <w:rPr>
          <w:rFonts w:ascii="Calibri" w:eastAsia="Calibri" w:hAnsi="Calibri" w:cs="Calibri"/>
          <w:b/>
          <w:bCs/>
          <w:i/>
          <w:iCs/>
          <w:szCs w:val="22"/>
        </w:rPr>
        <w:t xml:space="preserve"> </w:t>
      </w:r>
    </w:p>
    <w:p w14:paraId="16A650E5" w14:textId="12D77547" w:rsidR="03DE4356" w:rsidRPr="006B0C6C" w:rsidRDefault="74345E4E" w:rsidP="2F862C6E">
      <w:pPr>
        <w:spacing w:after="0"/>
      </w:pPr>
      <w:r w:rsidRPr="006B0C6C">
        <w:rPr>
          <w:rFonts w:ascii="Calibri" w:eastAsia="Calibri" w:hAnsi="Calibri" w:cs="Calibri"/>
          <w:b/>
          <w:bCs/>
          <w:i/>
          <w:iCs/>
          <w:szCs w:val="22"/>
          <w:u w:val="single"/>
        </w:rPr>
        <w:t>To assist the interviewer</w:t>
      </w:r>
      <w:r w:rsidRPr="006B0C6C">
        <w:rPr>
          <w:rFonts w:ascii="Calibri" w:eastAsia="Calibri" w:hAnsi="Calibri" w:cs="Calibri"/>
          <w:b/>
          <w:bCs/>
          <w:i/>
          <w:iCs/>
          <w:szCs w:val="22"/>
        </w:rPr>
        <w:t xml:space="preserve">, it is recommended to have a list of the investments/projects that this Implementing Partner has </w:t>
      </w:r>
      <w:proofErr w:type="gramStart"/>
      <w:r w:rsidRPr="006B0C6C">
        <w:rPr>
          <w:rFonts w:ascii="Calibri" w:eastAsia="Calibri" w:hAnsi="Calibri" w:cs="Calibri"/>
          <w:b/>
          <w:bCs/>
          <w:i/>
          <w:iCs/>
          <w:szCs w:val="22"/>
        </w:rPr>
        <w:t>undertaken, and</w:t>
      </w:r>
      <w:proofErr w:type="gramEnd"/>
      <w:r w:rsidRPr="006B0C6C">
        <w:rPr>
          <w:rFonts w:ascii="Calibri" w:eastAsia="Calibri" w:hAnsi="Calibri" w:cs="Calibri"/>
          <w:b/>
          <w:bCs/>
          <w:i/>
          <w:iCs/>
          <w:szCs w:val="22"/>
        </w:rPr>
        <w:t xml:space="preserve"> note down the approx. total value of these.</w:t>
      </w:r>
    </w:p>
    <w:p w14:paraId="1465C8EA" w14:textId="4CBFFA46" w:rsidR="03DE4356" w:rsidRPr="006B0C6C" w:rsidRDefault="74345E4E" w:rsidP="2F862C6E">
      <w:pPr>
        <w:spacing w:after="0"/>
      </w:pPr>
      <w:r w:rsidRPr="006B0C6C">
        <w:rPr>
          <w:rFonts w:ascii="Calibri" w:eastAsia="Calibri" w:hAnsi="Calibri" w:cs="Calibri"/>
          <w:b/>
          <w:bCs/>
          <w:i/>
          <w:iCs/>
          <w:szCs w:val="22"/>
        </w:rPr>
        <w:t xml:space="preserve"> </w:t>
      </w:r>
    </w:p>
    <w:p w14:paraId="1FCE228E" w14:textId="27921186" w:rsidR="03DE4356" w:rsidRPr="006B0C6C" w:rsidRDefault="74345E4E" w:rsidP="2F862C6E">
      <w:pPr>
        <w:spacing w:after="0"/>
      </w:pPr>
      <w:r w:rsidRPr="006B0C6C">
        <w:rPr>
          <w:rFonts w:ascii="Calibri" w:eastAsia="Calibri" w:hAnsi="Calibri" w:cs="Calibri"/>
          <w:b/>
          <w:bCs/>
          <w:i/>
          <w:iCs/>
          <w:szCs w:val="22"/>
        </w:rPr>
        <w:t>Before the interview begins, remind the interviewee:</w:t>
      </w:r>
    </w:p>
    <w:p w14:paraId="1C232E27" w14:textId="222A36C9" w:rsidR="03DE4356" w:rsidRPr="006B0C6C" w:rsidRDefault="74345E4E" w:rsidP="2F862C6E">
      <w:pPr>
        <w:spacing w:after="0"/>
      </w:pPr>
      <w:r w:rsidRPr="006B0C6C">
        <w:rPr>
          <w:rFonts w:ascii="Calibri" w:eastAsia="Calibri" w:hAnsi="Calibri" w:cs="Calibri"/>
          <w:b/>
          <w:bCs/>
          <w:i/>
          <w:iCs/>
          <w:szCs w:val="22"/>
        </w:rPr>
        <w:t>●</w:t>
      </w:r>
      <w:r w:rsidR="03DE4356" w:rsidRPr="006B0C6C">
        <w:tab/>
      </w:r>
      <w:r w:rsidRPr="006B0C6C">
        <w:rPr>
          <w:rFonts w:ascii="Calibri" w:eastAsia="Calibri" w:hAnsi="Calibri" w:cs="Calibri"/>
          <w:b/>
          <w:bCs/>
          <w:i/>
          <w:iCs/>
          <w:szCs w:val="22"/>
        </w:rPr>
        <w:t>Objectives of this interview</w:t>
      </w:r>
      <w:r w:rsidRPr="006B0C6C">
        <w:rPr>
          <w:rFonts w:ascii="Calibri" w:eastAsia="Calibri" w:hAnsi="Calibri" w:cs="Calibri"/>
          <w:szCs w:val="22"/>
        </w:rPr>
        <w:t xml:space="preserve"> </w:t>
      </w:r>
    </w:p>
    <w:p w14:paraId="27939153" w14:textId="573C6A28" w:rsidR="03DE4356" w:rsidRPr="006B0C6C" w:rsidRDefault="74345E4E" w:rsidP="2F862C6E">
      <w:pPr>
        <w:spacing w:after="0"/>
      </w:pPr>
      <w:r w:rsidRPr="006B0C6C">
        <w:rPr>
          <w:rFonts w:ascii="Calibri" w:eastAsia="Calibri" w:hAnsi="Calibri" w:cs="Calibri"/>
          <w:b/>
          <w:bCs/>
          <w:i/>
          <w:iCs/>
          <w:szCs w:val="22"/>
        </w:rPr>
        <w:t>●</w:t>
      </w:r>
      <w:r w:rsidR="03DE4356" w:rsidRPr="006B0C6C">
        <w:tab/>
      </w:r>
      <w:r w:rsidRPr="006B0C6C">
        <w:rPr>
          <w:rFonts w:ascii="Calibri" w:eastAsia="Calibri" w:hAnsi="Calibri" w:cs="Calibri"/>
          <w:b/>
          <w:bCs/>
          <w:i/>
          <w:iCs/>
          <w:szCs w:val="22"/>
        </w:rPr>
        <w:t>This is not an evaluation of them or their work, but of the VAHSI initiative</w:t>
      </w:r>
    </w:p>
    <w:p w14:paraId="15BFD12C" w14:textId="65E0540B" w:rsidR="03DE4356" w:rsidRPr="006B0C6C" w:rsidRDefault="74345E4E" w:rsidP="2F862C6E">
      <w:pPr>
        <w:spacing w:after="0"/>
      </w:pPr>
      <w:r w:rsidRPr="006B0C6C">
        <w:rPr>
          <w:rFonts w:ascii="Calibri" w:eastAsia="Calibri" w:hAnsi="Calibri" w:cs="Calibri"/>
          <w:b/>
          <w:bCs/>
          <w:i/>
          <w:iCs/>
          <w:szCs w:val="22"/>
        </w:rPr>
        <w:t>●</w:t>
      </w:r>
      <w:r w:rsidR="03DE4356" w:rsidRPr="006B0C6C">
        <w:tab/>
      </w:r>
      <w:r w:rsidRPr="006B0C6C">
        <w:rPr>
          <w:rFonts w:ascii="Calibri" w:eastAsia="Calibri" w:hAnsi="Calibri" w:cs="Calibri"/>
          <w:b/>
          <w:bCs/>
          <w:i/>
          <w:iCs/>
          <w:szCs w:val="22"/>
        </w:rPr>
        <w:t>All responses will be kept confidential; no names will be used in the report</w:t>
      </w:r>
    </w:p>
    <w:p w14:paraId="7C109758" w14:textId="728A3CD2" w:rsidR="03DE4356" w:rsidRPr="006B0C6C" w:rsidRDefault="74345E4E" w:rsidP="2F862C6E">
      <w:pPr>
        <w:spacing w:after="0"/>
      </w:pPr>
      <w:r w:rsidRPr="006B0C6C">
        <w:rPr>
          <w:rFonts w:ascii="Calibri" w:eastAsia="Calibri" w:hAnsi="Calibri" w:cs="Calibri"/>
          <w:b/>
          <w:bCs/>
          <w:i/>
          <w:iCs/>
          <w:szCs w:val="22"/>
        </w:rPr>
        <w:t>●</w:t>
      </w:r>
      <w:r w:rsidR="03DE4356" w:rsidRPr="006B0C6C">
        <w:tab/>
      </w:r>
      <w:r w:rsidRPr="006B0C6C">
        <w:rPr>
          <w:rFonts w:ascii="Calibri" w:eastAsia="Calibri" w:hAnsi="Calibri" w:cs="Calibri"/>
          <w:b/>
          <w:bCs/>
          <w:i/>
          <w:iCs/>
          <w:szCs w:val="22"/>
        </w:rPr>
        <w:t xml:space="preserve">Do they have questions or clarifications? </w:t>
      </w:r>
    </w:p>
    <w:p w14:paraId="0B894E51" w14:textId="4DCBD3F3" w:rsidR="03DE4356" w:rsidRPr="006B0C6C" w:rsidRDefault="74345E4E" w:rsidP="2F862C6E">
      <w:pPr>
        <w:spacing w:after="0"/>
      </w:pPr>
      <w:r w:rsidRPr="006B0C6C">
        <w:rPr>
          <w:rFonts w:ascii="Calibri" w:eastAsia="Calibri" w:hAnsi="Calibri" w:cs="Calibri"/>
          <w:b/>
          <w:bCs/>
          <w:i/>
          <w:iCs/>
          <w:szCs w:val="22"/>
        </w:rPr>
        <w:t xml:space="preserve"> </w:t>
      </w:r>
    </w:p>
    <w:p w14:paraId="7639586B" w14:textId="6427239C" w:rsidR="03DE4356" w:rsidRPr="006B0C6C" w:rsidRDefault="74345E4E" w:rsidP="2F862C6E">
      <w:pPr>
        <w:spacing w:after="0"/>
      </w:pPr>
      <w:r w:rsidRPr="006B0C6C">
        <w:rPr>
          <w:rFonts w:ascii="Calibri" w:eastAsia="Calibri" w:hAnsi="Calibri" w:cs="Calibri"/>
          <w:szCs w:val="22"/>
        </w:rPr>
        <w:t>__________________________________________________________________________________</w:t>
      </w:r>
    </w:p>
    <w:p w14:paraId="3AB4A0C2" w14:textId="1918D126" w:rsidR="03DE4356" w:rsidRPr="006B0C6C" w:rsidRDefault="74345E4E" w:rsidP="2F862C6E">
      <w:pPr>
        <w:spacing w:after="0"/>
      </w:pPr>
      <w:r w:rsidRPr="006B0C6C">
        <w:rPr>
          <w:rFonts w:ascii="Calibri" w:eastAsia="Calibri" w:hAnsi="Calibri" w:cs="Calibri"/>
          <w:szCs w:val="22"/>
        </w:rPr>
        <w:t xml:space="preserve"> </w:t>
      </w:r>
      <w:r w:rsidRPr="006B0C6C">
        <w:rPr>
          <w:rFonts w:ascii="Calibri" w:eastAsia="Calibri" w:hAnsi="Calibri" w:cs="Calibri"/>
          <w:b/>
          <w:bCs/>
          <w:i/>
          <w:iCs/>
          <w:szCs w:val="22"/>
        </w:rPr>
        <w:t>EQ1: These questions are designed around the first End-of-Program Outcome, which is that “Partner Governments expand COVID-19 and routine immunisation vaccination coverage in a safe and timely manner”.</w:t>
      </w:r>
    </w:p>
    <w:p w14:paraId="5D5B2FA0" w14:textId="6C652498" w:rsidR="03DE4356" w:rsidRPr="006B0C6C" w:rsidRDefault="74345E4E" w:rsidP="2F862C6E">
      <w:pPr>
        <w:spacing w:after="0"/>
      </w:pPr>
      <w:r w:rsidRPr="006B0C6C">
        <w:rPr>
          <w:rFonts w:ascii="Calibri" w:eastAsia="Calibri" w:hAnsi="Calibri" w:cs="Calibri"/>
          <w:szCs w:val="22"/>
        </w:rPr>
        <w:t xml:space="preserve"> </w:t>
      </w:r>
    </w:p>
    <w:p w14:paraId="7590D39E" w14:textId="7CD10368" w:rsidR="03DE4356" w:rsidRPr="006B0C6C" w:rsidRDefault="74345E4E" w:rsidP="2F862C6E">
      <w:pPr>
        <w:spacing w:after="0"/>
      </w:pPr>
      <w:r w:rsidRPr="006B0C6C">
        <w:rPr>
          <w:rFonts w:ascii="Calibri" w:eastAsia="Calibri" w:hAnsi="Calibri" w:cs="Calibri"/>
          <w:b/>
          <w:bCs/>
          <w:szCs w:val="22"/>
        </w:rPr>
        <w:t xml:space="preserve">Q1: Based on your experience, what do you think have been the most significant changes that VAHSI contributed to? </w:t>
      </w:r>
      <w:r w:rsidRPr="006B0C6C">
        <w:rPr>
          <w:rFonts w:ascii="Calibri" w:eastAsia="Calibri" w:hAnsi="Calibri" w:cs="Calibri"/>
          <w:szCs w:val="22"/>
        </w:rPr>
        <w:t xml:space="preserve">Prompt for details if required. </w:t>
      </w:r>
    </w:p>
    <w:p w14:paraId="3B32DE44" w14:textId="402CE93A" w:rsidR="03DE4356" w:rsidRPr="006B0C6C" w:rsidRDefault="74345E4E" w:rsidP="2F862C6E">
      <w:pPr>
        <w:spacing w:after="0"/>
      </w:pPr>
      <w:r w:rsidRPr="006B0C6C">
        <w:rPr>
          <w:rFonts w:ascii="Calibri" w:eastAsia="Calibri" w:hAnsi="Calibri" w:cs="Calibri"/>
          <w:szCs w:val="22"/>
        </w:rPr>
        <w:t xml:space="preserve"> </w:t>
      </w:r>
    </w:p>
    <w:p w14:paraId="68BD56E7" w14:textId="7F0DCEB9" w:rsidR="03DE4356" w:rsidRPr="006B0C6C" w:rsidRDefault="74345E4E" w:rsidP="2F862C6E">
      <w:pPr>
        <w:spacing w:after="0"/>
      </w:pPr>
      <w:r w:rsidRPr="006B0C6C">
        <w:rPr>
          <w:rFonts w:ascii="Calibri" w:eastAsia="Calibri" w:hAnsi="Calibri" w:cs="Calibri"/>
          <w:b/>
          <w:bCs/>
          <w:szCs w:val="22"/>
        </w:rPr>
        <w:t>Q2: How did the investment to [implementing partner] contribute to the changes?</w:t>
      </w:r>
      <w:r w:rsidRPr="006B0C6C">
        <w:rPr>
          <w:rFonts w:ascii="Calibri" w:eastAsia="Calibri" w:hAnsi="Calibri" w:cs="Calibri"/>
          <w:szCs w:val="22"/>
        </w:rPr>
        <w:t xml:space="preserve"> Probes if required: What were the key strengths? What was highest value? What were the key challenges? How were these addressed? </w:t>
      </w:r>
      <w:r w:rsidRPr="006B0C6C">
        <w:rPr>
          <w:rFonts w:ascii="Calibri" w:eastAsia="Calibri" w:hAnsi="Calibri" w:cs="Calibri"/>
          <w:color w:val="000000" w:themeColor="text1"/>
          <w:szCs w:val="22"/>
        </w:rPr>
        <w:t>(Interviewer to consider effectiveness: quantity, timeliness, concordance with stakeholder plans, but also safety, accessibility, and cross-check that all main projects/investments of this Implementing Partner have been discussed)</w:t>
      </w:r>
    </w:p>
    <w:p w14:paraId="5C04E745" w14:textId="16B3BD71" w:rsidR="03DE4356" w:rsidRPr="006B0C6C" w:rsidRDefault="74345E4E" w:rsidP="2F862C6E">
      <w:pPr>
        <w:spacing w:after="0"/>
      </w:pPr>
      <w:r w:rsidRPr="006B0C6C">
        <w:rPr>
          <w:rFonts w:ascii="Calibri" w:eastAsia="Calibri" w:hAnsi="Calibri" w:cs="Calibri"/>
          <w:szCs w:val="22"/>
        </w:rPr>
        <w:t xml:space="preserve"> </w:t>
      </w:r>
    </w:p>
    <w:p w14:paraId="48979BEC" w14:textId="440D2D73" w:rsidR="03DE4356" w:rsidRPr="006B0C6C" w:rsidRDefault="74345E4E" w:rsidP="2F862C6E">
      <w:pPr>
        <w:spacing w:after="0"/>
      </w:pPr>
      <w:r w:rsidRPr="006B0C6C">
        <w:rPr>
          <w:rFonts w:ascii="Calibri" w:eastAsia="Calibri" w:hAnsi="Calibri" w:cs="Calibri"/>
          <w:b/>
          <w:bCs/>
          <w:szCs w:val="22"/>
        </w:rPr>
        <w:t xml:space="preserve">Q3: Considering the pandemic context, do you feel that the immunisation delivery support projects met country partner needs </w:t>
      </w:r>
      <w:r w:rsidRPr="006B0C6C">
        <w:rPr>
          <w:rFonts w:ascii="Calibri" w:eastAsia="Calibri" w:hAnsi="Calibri" w:cs="Calibri"/>
          <w:b/>
          <w:bCs/>
          <w:color w:val="000000" w:themeColor="text1"/>
          <w:szCs w:val="22"/>
        </w:rPr>
        <w:t>in terms of quality, access/coverage, and timeliness</w:t>
      </w:r>
      <w:r w:rsidRPr="006B0C6C">
        <w:rPr>
          <w:rFonts w:ascii="Calibri" w:eastAsia="Calibri" w:hAnsi="Calibri" w:cs="Calibri"/>
          <w:b/>
          <w:bCs/>
          <w:szCs w:val="22"/>
        </w:rPr>
        <w:t>?</w:t>
      </w:r>
      <w:r w:rsidRPr="006B0C6C">
        <w:rPr>
          <w:rFonts w:ascii="Calibri" w:eastAsia="Calibri" w:hAnsi="Calibri" w:cs="Calibri"/>
          <w:szCs w:val="22"/>
        </w:rPr>
        <w:t xml:space="preserve"> (Y/N, specify)  </w:t>
      </w:r>
    </w:p>
    <w:p w14:paraId="503C645E" w14:textId="21765080" w:rsidR="03DE4356" w:rsidRPr="006B0C6C" w:rsidRDefault="74345E4E" w:rsidP="2F862C6E">
      <w:pPr>
        <w:spacing w:after="0"/>
      </w:pPr>
      <w:r w:rsidRPr="006B0C6C">
        <w:rPr>
          <w:rFonts w:ascii="Calibri" w:eastAsia="Calibri" w:hAnsi="Calibri" w:cs="Calibri"/>
          <w:szCs w:val="22"/>
        </w:rPr>
        <w:t xml:space="preserve"> </w:t>
      </w:r>
    </w:p>
    <w:p w14:paraId="14CB2D00" w14:textId="6CA84E9A" w:rsidR="03DE4356" w:rsidRPr="006B0C6C" w:rsidRDefault="74345E4E" w:rsidP="2F862C6E">
      <w:pPr>
        <w:spacing w:after="0"/>
      </w:pPr>
      <w:r w:rsidRPr="006B0C6C">
        <w:rPr>
          <w:rFonts w:ascii="Calibri" w:eastAsia="Calibri" w:hAnsi="Calibri" w:cs="Calibri"/>
          <w:b/>
          <w:bCs/>
          <w:szCs w:val="22"/>
        </w:rPr>
        <w:t>Q4: How do you feel that the investment contributed to expanded COVID-19 and routine immunisation vaccination coverage?</w:t>
      </w:r>
      <w:r w:rsidRPr="006B0C6C">
        <w:rPr>
          <w:rFonts w:ascii="Calibri" w:eastAsia="Calibri" w:hAnsi="Calibri" w:cs="Calibri"/>
          <w:szCs w:val="22"/>
        </w:rPr>
        <w:t xml:space="preserve"> Probes if required: What were the key strengths? What was highest value? What were the key challenges? How were these addressed? (Interviewer to consider effectiveness: quantity, timeliness, concordance with stakeholder plans, safety, accessibility)  </w:t>
      </w:r>
    </w:p>
    <w:p w14:paraId="74AEFD12" w14:textId="03A5F149" w:rsidR="03DE4356" w:rsidRPr="006B0C6C" w:rsidRDefault="74345E4E" w:rsidP="2F862C6E">
      <w:pPr>
        <w:spacing w:after="0"/>
      </w:pPr>
      <w:r w:rsidRPr="006B0C6C">
        <w:rPr>
          <w:rFonts w:ascii="Calibri" w:eastAsia="Calibri" w:hAnsi="Calibri" w:cs="Calibri"/>
          <w:szCs w:val="22"/>
        </w:rPr>
        <w:t xml:space="preserve"> </w:t>
      </w:r>
    </w:p>
    <w:p w14:paraId="5860C9A8" w14:textId="2ACE0CF3" w:rsidR="03DE4356" w:rsidRPr="006B0C6C" w:rsidRDefault="74345E4E" w:rsidP="2F862C6E">
      <w:pPr>
        <w:spacing w:after="0"/>
      </w:pPr>
      <w:r w:rsidRPr="006B0C6C">
        <w:rPr>
          <w:rFonts w:ascii="Calibri" w:eastAsia="Calibri" w:hAnsi="Calibri" w:cs="Calibri"/>
          <w:szCs w:val="22"/>
        </w:rPr>
        <w:t xml:space="preserve"> </w:t>
      </w:r>
    </w:p>
    <w:p w14:paraId="180C395A" w14:textId="47D32F09" w:rsidR="03DE4356" w:rsidRPr="006B0C6C" w:rsidRDefault="74345E4E" w:rsidP="2F862C6E">
      <w:pPr>
        <w:spacing w:after="0"/>
      </w:pPr>
      <w:r w:rsidRPr="006B0C6C">
        <w:rPr>
          <w:rFonts w:ascii="Calibri" w:eastAsia="Calibri" w:hAnsi="Calibri" w:cs="Calibri"/>
          <w:szCs w:val="22"/>
        </w:rPr>
        <w:t xml:space="preserve"> </w:t>
      </w:r>
      <w:r w:rsidRPr="006B0C6C">
        <w:rPr>
          <w:rFonts w:ascii="Calibri" w:eastAsia="Calibri" w:hAnsi="Calibri" w:cs="Calibri"/>
          <w:b/>
          <w:bCs/>
          <w:i/>
          <w:iCs/>
          <w:szCs w:val="22"/>
        </w:rPr>
        <w:t>EQ2. These questions are designed around the third End-of-Program Outcome, which is that “Australian support to COVID-19 vaccination programs is valued by the region”.</w:t>
      </w:r>
      <w:r w:rsidRPr="006B0C6C">
        <w:rPr>
          <w:rFonts w:ascii="Calibri" w:eastAsia="Calibri" w:hAnsi="Calibri" w:cs="Calibri"/>
          <w:b/>
          <w:bCs/>
          <w:color w:val="333333"/>
          <w:szCs w:val="22"/>
        </w:rPr>
        <w:t xml:space="preserve"> </w:t>
      </w:r>
      <w:r w:rsidRPr="006B0C6C">
        <w:rPr>
          <w:rFonts w:ascii="Calibri" w:eastAsia="Calibri" w:hAnsi="Calibri" w:cs="Calibri"/>
          <w:color w:val="333333"/>
          <w:szCs w:val="22"/>
        </w:rPr>
        <w:t xml:space="preserve"> </w:t>
      </w:r>
    </w:p>
    <w:p w14:paraId="4952CEFD" w14:textId="48FF0775" w:rsidR="03DE4356" w:rsidRPr="006B0C6C" w:rsidRDefault="74345E4E" w:rsidP="2F862C6E">
      <w:pPr>
        <w:spacing w:after="0"/>
      </w:pPr>
      <w:r w:rsidRPr="006B0C6C">
        <w:rPr>
          <w:rFonts w:ascii="Calibri" w:eastAsia="Calibri" w:hAnsi="Calibri" w:cs="Calibri"/>
          <w:szCs w:val="22"/>
        </w:rPr>
        <w:t xml:space="preserve"> </w:t>
      </w:r>
    </w:p>
    <w:p w14:paraId="5B607A15" w14:textId="03D92423" w:rsidR="03DE4356" w:rsidRPr="006B0C6C" w:rsidRDefault="74345E4E" w:rsidP="2F862C6E">
      <w:pPr>
        <w:spacing w:after="0"/>
      </w:pPr>
      <w:r w:rsidRPr="006B0C6C">
        <w:rPr>
          <w:rFonts w:ascii="Calibri" w:eastAsia="Calibri" w:hAnsi="Calibri" w:cs="Calibri"/>
          <w:b/>
          <w:bCs/>
          <w:szCs w:val="22"/>
        </w:rPr>
        <w:t xml:space="preserve">Q5. Based on your experience, has the support from Australia contributed to stronger relationships between the partner government and Australia? </w:t>
      </w:r>
      <w:r w:rsidRPr="006B0C6C">
        <w:rPr>
          <w:rFonts w:ascii="Calibri" w:eastAsia="Calibri" w:hAnsi="Calibri" w:cs="Calibri"/>
          <w:szCs w:val="22"/>
        </w:rPr>
        <w:t xml:space="preserve">In which areas </w:t>
      </w:r>
      <w:proofErr w:type="gramStart"/>
      <w:r w:rsidRPr="006B0C6C">
        <w:rPr>
          <w:rFonts w:ascii="Calibri" w:eastAsia="Calibri" w:hAnsi="Calibri" w:cs="Calibri"/>
          <w:szCs w:val="22"/>
        </w:rPr>
        <w:t>in particular and</w:t>
      </w:r>
      <w:proofErr w:type="gramEnd"/>
      <w:r w:rsidRPr="006B0C6C">
        <w:rPr>
          <w:rFonts w:ascii="Calibri" w:eastAsia="Calibri" w:hAnsi="Calibri" w:cs="Calibri"/>
          <w:szCs w:val="22"/>
        </w:rPr>
        <w:t xml:space="preserve"> why? Can you provide any documentary evidence to support this? </w:t>
      </w:r>
    </w:p>
    <w:p w14:paraId="315EF4B2" w14:textId="769D491B" w:rsidR="03DE4356" w:rsidRPr="006B0C6C" w:rsidRDefault="74345E4E" w:rsidP="2F862C6E">
      <w:pPr>
        <w:spacing w:after="0"/>
      </w:pPr>
      <w:r w:rsidRPr="006B0C6C">
        <w:rPr>
          <w:rFonts w:ascii="Calibri" w:eastAsia="Calibri" w:hAnsi="Calibri" w:cs="Calibri"/>
          <w:szCs w:val="22"/>
        </w:rPr>
        <w:t xml:space="preserve">  </w:t>
      </w:r>
    </w:p>
    <w:p w14:paraId="1620DE3A" w14:textId="029B1E9F" w:rsidR="03DE4356" w:rsidRPr="006B0C6C" w:rsidRDefault="74345E4E" w:rsidP="2F862C6E">
      <w:pPr>
        <w:spacing w:after="0"/>
      </w:pPr>
      <w:r w:rsidRPr="006B0C6C">
        <w:rPr>
          <w:rFonts w:ascii="Calibri" w:eastAsia="Calibri" w:hAnsi="Calibri" w:cs="Calibri"/>
          <w:b/>
          <w:bCs/>
          <w:szCs w:val="22"/>
        </w:rPr>
        <w:t>Q6. Based on your experience, how did Australia’s support to the partner government compare to support received from other sources (e.g. bilateral deals, multilateral/regional deals/support, COVAX, other)?</w:t>
      </w:r>
      <w:r w:rsidRPr="006B0C6C">
        <w:rPr>
          <w:rFonts w:ascii="Calibri" w:eastAsia="Calibri" w:hAnsi="Calibri" w:cs="Calibri"/>
          <w:szCs w:val="22"/>
        </w:rPr>
        <w:t xml:space="preserve">  </w:t>
      </w:r>
    </w:p>
    <w:p w14:paraId="1C262D7C" w14:textId="3AAB68C3" w:rsidR="03DE4356" w:rsidRPr="006B0C6C" w:rsidRDefault="74345E4E" w:rsidP="2F862C6E">
      <w:pPr>
        <w:spacing w:after="0"/>
      </w:pPr>
      <w:r w:rsidRPr="006B0C6C">
        <w:rPr>
          <w:rFonts w:ascii="Calibri" w:eastAsia="Calibri" w:hAnsi="Calibri" w:cs="Calibri"/>
          <w:szCs w:val="22"/>
        </w:rPr>
        <w:t xml:space="preserve">  </w:t>
      </w:r>
    </w:p>
    <w:p w14:paraId="13FD415B" w14:textId="0F84C4AD" w:rsidR="03DE4356" w:rsidRPr="006B0C6C" w:rsidRDefault="74345E4E" w:rsidP="2F862C6E">
      <w:pPr>
        <w:spacing w:after="0"/>
      </w:pPr>
      <w:r w:rsidRPr="006B0C6C">
        <w:rPr>
          <w:rFonts w:ascii="Calibri" w:eastAsia="Calibri" w:hAnsi="Calibri" w:cs="Calibri"/>
          <w:b/>
          <w:bCs/>
          <w:szCs w:val="22"/>
        </w:rPr>
        <w:t>Q7. What were the most valuable aspects of Australia’s support (COVID-19 vaccines, delivery support, RI) and how did this change over time?</w:t>
      </w:r>
      <w:r w:rsidRPr="006B0C6C">
        <w:rPr>
          <w:rFonts w:ascii="Calibri" w:eastAsia="Calibri" w:hAnsi="Calibri" w:cs="Calibri"/>
          <w:szCs w:val="22"/>
        </w:rPr>
        <w:t xml:space="preserve"> </w:t>
      </w:r>
    </w:p>
    <w:p w14:paraId="5B88AF3A" w14:textId="6AC4FE9A" w:rsidR="03DE4356" w:rsidRPr="006B0C6C" w:rsidRDefault="74345E4E" w:rsidP="2F862C6E">
      <w:pPr>
        <w:spacing w:after="0"/>
      </w:pPr>
      <w:r w:rsidRPr="006B0C6C">
        <w:rPr>
          <w:rFonts w:ascii="Calibri" w:eastAsia="Calibri" w:hAnsi="Calibri" w:cs="Calibri"/>
          <w:szCs w:val="22"/>
        </w:rPr>
        <w:t xml:space="preserve"> </w:t>
      </w:r>
    </w:p>
    <w:p w14:paraId="3242E6A7" w14:textId="210C272D" w:rsidR="03DE4356" w:rsidRPr="006B0C6C" w:rsidRDefault="74345E4E" w:rsidP="2F862C6E">
      <w:pPr>
        <w:spacing w:after="0"/>
      </w:pPr>
      <w:r w:rsidRPr="006B0C6C">
        <w:rPr>
          <w:rFonts w:ascii="Calibri" w:eastAsia="Calibri" w:hAnsi="Calibri" w:cs="Calibri"/>
          <w:szCs w:val="22"/>
        </w:rPr>
        <w:t xml:space="preserve"> </w:t>
      </w:r>
    </w:p>
    <w:p w14:paraId="01A18AD8" w14:textId="04E371E2" w:rsidR="03DE4356" w:rsidRPr="006B0C6C" w:rsidRDefault="74345E4E" w:rsidP="2F862C6E">
      <w:pPr>
        <w:spacing w:after="0"/>
      </w:pPr>
      <w:r w:rsidRPr="006B0C6C">
        <w:rPr>
          <w:rFonts w:ascii="Calibri" w:eastAsia="Calibri" w:hAnsi="Calibri" w:cs="Calibri"/>
          <w:b/>
          <w:bCs/>
          <w:i/>
          <w:iCs/>
          <w:szCs w:val="22"/>
        </w:rPr>
        <w:t>EQ3. These questions are around how VAHSI made efficient use of Australia and partners' time, money and resources to achieve outputs and expected outcomes including whether the modality was an appropriate response mechanism?</w:t>
      </w:r>
      <w:r w:rsidRPr="006B0C6C">
        <w:rPr>
          <w:rFonts w:ascii="Calibri" w:eastAsia="Calibri" w:hAnsi="Calibri" w:cs="Calibri"/>
          <w:szCs w:val="22"/>
        </w:rPr>
        <w:t xml:space="preserve"> </w:t>
      </w:r>
    </w:p>
    <w:p w14:paraId="0FED32B9" w14:textId="4B64CCB2" w:rsidR="03DE4356" w:rsidRPr="006B0C6C" w:rsidRDefault="74345E4E" w:rsidP="2F862C6E">
      <w:pPr>
        <w:spacing w:after="0"/>
      </w:pPr>
      <w:r w:rsidRPr="006B0C6C">
        <w:rPr>
          <w:rFonts w:ascii="Calibri" w:eastAsia="Calibri" w:hAnsi="Calibri" w:cs="Calibri"/>
          <w:szCs w:val="22"/>
        </w:rPr>
        <w:t xml:space="preserve"> </w:t>
      </w:r>
    </w:p>
    <w:p w14:paraId="15C98793" w14:textId="6B6DC3EA" w:rsidR="03DE4356" w:rsidRPr="006B0C6C" w:rsidRDefault="74345E4E" w:rsidP="2F862C6E">
      <w:pPr>
        <w:spacing w:after="0"/>
      </w:pPr>
      <w:r w:rsidRPr="006B0C6C">
        <w:rPr>
          <w:rFonts w:ascii="Calibri" w:eastAsia="Calibri" w:hAnsi="Calibri" w:cs="Calibri"/>
          <w:b/>
          <w:bCs/>
          <w:szCs w:val="22"/>
        </w:rPr>
        <w:t xml:space="preserve">Q8. Given the situation, and the response required, would you assess VAHSI as making efficient use of time, money, and resources to achieve its outcomes? </w:t>
      </w:r>
      <w:r w:rsidRPr="006B0C6C">
        <w:rPr>
          <w:rFonts w:ascii="Calibri" w:eastAsia="Calibri" w:hAnsi="Calibri" w:cs="Calibri"/>
          <w:szCs w:val="22"/>
        </w:rPr>
        <w:t xml:space="preserve">Were there potentially other mechanisms that could have been more efficient? What could be different in terms of a mechanism for future pandemics? </w:t>
      </w:r>
    </w:p>
    <w:p w14:paraId="7AF0BC54" w14:textId="5C774126" w:rsidR="03DE4356" w:rsidRPr="006B0C6C" w:rsidRDefault="74345E4E" w:rsidP="2F862C6E">
      <w:pPr>
        <w:spacing w:after="0"/>
      </w:pPr>
      <w:r w:rsidRPr="006B0C6C">
        <w:rPr>
          <w:rFonts w:ascii="Calibri" w:eastAsia="Calibri" w:hAnsi="Calibri" w:cs="Calibri"/>
          <w:szCs w:val="22"/>
        </w:rPr>
        <w:t xml:space="preserve"> </w:t>
      </w:r>
    </w:p>
    <w:p w14:paraId="0958866E" w14:textId="7057F8C9" w:rsidR="03DE4356" w:rsidRPr="006B0C6C" w:rsidRDefault="74345E4E" w:rsidP="2F862C6E">
      <w:pPr>
        <w:spacing w:after="0"/>
      </w:pPr>
      <w:r w:rsidRPr="006B0C6C">
        <w:rPr>
          <w:rFonts w:ascii="Calibri" w:eastAsia="Calibri" w:hAnsi="Calibri" w:cs="Calibri"/>
          <w:b/>
          <w:bCs/>
          <w:szCs w:val="22"/>
        </w:rPr>
        <w:t xml:space="preserve">Q9. Based on your understanding of partner government needs, was the VAHSI mechanism an appropriate means of support/response? </w:t>
      </w:r>
      <w:r w:rsidRPr="006B0C6C">
        <w:rPr>
          <w:rFonts w:ascii="Calibri" w:eastAsia="Calibri" w:hAnsi="Calibri" w:cs="Calibri"/>
          <w:szCs w:val="22"/>
        </w:rPr>
        <w:t xml:space="preserve">If so, why? If not, what could be improved, or done differently for future pandemics? </w:t>
      </w:r>
    </w:p>
    <w:p w14:paraId="4A6C34A5" w14:textId="1CB77DD4" w:rsidR="03DE4356" w:rsidRPr="006B0C6C" w:rsidRDefault="74345E4E" w:rsidP="2F862C6E">
      <w:pPr>
        <w:spacing w:after="0"/>
      </w:pPr>
      <w:r w:rsidRPr="006B0C6C">
        <w:rPr>
          <w:rFonts w:ascii="Calibri" w:eastAsia="Calibri" w:hAnsi="Calibri" w:cs="Calibri"/>
          <w:szCs w:val="22"/>
        </w:rPr>
        <w:t xml:space="preserve"> </w:t>
      </w:r>
    </w:p>
    <w:p w14:paraId="7806D226" w14:textId="07939226" w:rsidR="03DE4356" w:rsidRPr="006B0C6C" w:rsidRDefault="74345E4E" w:rsidP="2F862C6E">
      <w:pPr>
        <w:spacing w:after="0"/>
      </w:pPr>
      <w:r w:rsidRPr="006B0C6C">
        <w:rPr>
          <w:rFonts w:ascii="Calibri" w:eastAsia="Calibri" w:hAnsi="Calibri" w:cs="Calibri"/>
          <w:b/>
          <w:bCs/>
          <w:szCs w:val="22"/>
        </w:rPr>
        <w:t>Q10. Did VAHSI deliver any unexpected outcomes in response to changes in the operating context? (Y/N, specify)</w:t>
      </w:r>
      <w:r w:rsidRPr="006B0C6C">
        <w:rPr>
          <w:rFonts w:ascii="Calibri" w:eastAsia="Calibri" w:hAnsi="Calibri" w:cs="Calibri"/>
          <w:szCs w:val="22"/>
        </w:rPr>
        <w:t xml:space="preserve"> </w:t>
      </w:r>
    </w:p>
    <w:p w14:paraId="65089257" w14:textId="2940CF78" w:rsidR="03DE4356" w:rsidRPr="006B0C6C" w:rsidRDefault="74345E4E" w:rsidP="2F862C6E">
      <w:pPr>
        <w:spacing w:after="0"/>
      </w:pPr>
      <w:r w:rsidRPr="006B0C6C">
        <w:rPr>
          <w:rFonts w:ascii="Calibri" w:eastAsia="Calibri" w:hAnsi="Calibri" w:cs="Calibri"/>
          <w:szCs w:val="22"/>
        </w:rPr>
        <w:t xml:space="preserve"> </w:t>
      </w:r>
    </w:p>
    <w:p w14:paraId="6A8C63E4" w14:textId="3320E73E" w:rsidR="03DE4356" w:rsidRPr="006B0C6C" w:rsidRDefault="74345E4E" w:rsidP="2F862C6E">
      <w:pPr>
        <w:spacing w:after="0"/>
      </w:pPr>
      <w:r w:rsidRPr="006B0C6C">
        <w:rPr>
          <w:rFonts w:ascii="Calibri" w:eastAsia="Calibri" w:hAnsi="Calibri" w:cs="Calibri"/>
          <w:b/>
          <w:bCs/>
          <w:szCs w:val="22"/>
        </w:rPr>
        <w:t>Q11. To what extent did VAHSI remain relevant to Australia’s policy priorities and national interest, over the life of the investment?</w:t>
      </w:r>
      <w:r w:rsidRPr="006B0C6C">
        <w:rPr>
          <w:rFonts w:ascii="Calibri" w:eastAsia="Calibri" w:hAnsi="Calibri" w:cs="Calibri"/>
          <w:szCs w:val="22"/>
        </w:rPr>
        <w:t xml:space="preserve"> </w:t>
      </w:r>
    </w:p>
    <w:p w14:paraId="780239BA" w14:textId="01B92DCD" w:rsidR="03DE4356" w:rsidRPr="006B0C6C" w:rsidRDefault="74345E4E" w:rsidP="2F862C6E">
      <w:pPr>
        <w:spacing w:after="0"/>
      </w:pPr>
      <w:r w:rsidRPr="006B0C6C">
        <w:rPr>
          <w:rFonts w:ascii="Calibri" w:eastAsia="Calibri" w:hAnsi="Calibri" w:cs="Calibri"/>
          <w:szCs w:val="22"/>
        </w:rPr>
        <w:t xml:space="preserve"> </w:t>
      </w:r>
    </w:p>
    <w:p w14:paraId="5F46289B" w14:textId="1A5192DB" w:rsidR="03DE4356" w:rsidRPr="006B0C6C" w:rsidRDefault="74345E4E" w:rsidP="2F862C6E">
      <w:pPr>
        <w:spacing w:after="0"/>
      </w:pPr>
      <w:r w:rsidRPr="006B0C6C">
        <w:rPr>
          <w:rFonts w:ascii="Calibri" w:eastAsia="Calibri" w:hAnsi="Calibri" w:cs="Calibri"/>
          <w:b/>
          <w:bCs/>
          <w:szCs w:val="22"/>
        </w:rPr>
        <w:t>Q12. To what extent did VAHSI align with the partner government’s development priorities and beneficiary needs?</w:t>
      </w:r>
      <w:r w:rsidRPr="006B0C6C">
        <w:rPr>
          <w:rFonts w:ascii="Calibri" w:eastAsia="Calibri" w:hAnsi="Calibri" w:cs="Calibri"/>
          <w:szCs w:val="22"/>
        </w:rPr>
        <w:t xml:space="preserve"> </w:t>
      </w:r>
    </w:p>
    <w:p w14:paraId="7F2A805A" w14:textId="4331417A" w:rsidR="03DE4356" w:rsidRPr="006B0C6C" w:rsidRDefault="74345E4E" w:rsidP="2F862C6E">
      <w:pPr>
        <w:spacing w:after="0"/>
      </w:pPr>
      <w:r w:rsidRPr="006B0C6C">
        <w:rPr>
          <w:rFonts w:ascii="Calibri" w:eastAsia="Calibri" w:hAnsi="Calibri" w:cs="Calibri"/>
          <w:szCs w:val="22"/>
        </w:rPr>
        <w:t xml:space="preserve"> </w:t>
      </w:r>
    </w:p>
    <w:p w14:paraId="488102E9" w14:textId="278DBBB7" w:rsidR="03DE4356" w:rsidRPr="006B0C6C" w:rsidRDefault="74345E4E" w:rsidP="2F862C6E">
      <w:pPr>
        <w:spacing w:after="0"/>
      </w:pPr>
      <w:r w:rsidRPr="006B0C6C">
        <w:rPr>
          <w:rFonts w:ascii="Calibri" w:eastAsia="Calibri" w:hAnsi="Calibri" w:cs="Calibri"/>
          <w:szCs w:val="22"/>
        </w:rPr>
        <w:t xml:space="preserve"> </w:t>
      </w:r>
      <w:r w:rsidR="00367960">
        <w:rPr>
          <w:rFonts w:ascii="Calibri" w:eastAsia="Calibri" w:hAnsi="Calibri" w:cs="Calibri"/>
          <w:b/>
          <w:bCs/>
          <w:i/>
          <w:iCs/>
          <w:szCs w:val="22"/>
        </w:rPr>
        <w:t>-</w:t>
      </w:r>
      <w:r w:rsidRPr="006B0C6C">
        <w:rPr>
          <w:rFonts w:ascii="Calibri" w:eastAsia="Calibri" w:hAnsi="Calibri" w:cs="Calibri"/>
          <w:b/>
          <w:bCs/>
          <w:i/>
          <w:iCs/>
          <w:szCs w:val="22"/>
        </w:rPr>
        <w:t>The remaining questions relate to learning lessons for future programs</w:t>
      </w:r>
    </w:p>
    <w:p w14:paraId="16EDF9DD" w14:textId="25AF183C" w:rsidR="03DE4356" w:rsidRPr="006B0C6C" w:rsidRDefault="74345E4E" w:rsidP="2F862C6E">
      <w:pPr>
        <w:spacing w:after="0"/>
      </w:pPr>
      <w:r w:rsidRPr="006B0C6C">
        <w:rPr>
          <w:rFonts w:ascii="Calibri" w:eastAsia="Calibri" w:hAnsi="Calibri" w:cs="Calibri"/>
          <w:szCs w:val="22"/>
        </w:rPr>
        <w:t xml:space="preserve"> </w:t>
      </w:r>
    </w:p>
    <w:p w14:paraId="453000EE" w14:textId="6CFF99D8" w:rsidR="03DE4356" w:rsidRPr="006B0C6C" w:rsidRDefault="74345E4E" w:rsidP="2F862C6E">
      <w:pPr>
        <w:spacing w:after="0"/>
      </w:pPr>
      <w:r w:rsidRPr="006B0C6C">
        <w:rPr>
          <w:rFonts w:ascii="Calibri" w:eastAsia="Calibri" w:hAnsi="Calibri" w:cs="Calibri"/>
          <w:b/>
          <w:bCs/>
          <w:szCs w:val="22"/>
        </w:rPr>
        <w:t xml:space="preserve">Q13. </w:t>
      </w:r>
      <w:r w:rsidRPr="006B0C6C">
        <w:rPr>
          <w:rFonts w:ascii="Calibri" w:eastAsia="Calibri" w:hAnsi="Calibri" w:cs="Calibri"/>
          <w:b/>
          <w:bCs/>
          <w:color w:val="000000" w:themeColor="text1"/>
          <w:szCs w:val="22"/>
        </w:rPr>
        <w:t>Based on your experience, what would be your recommendations for improving a program such as VAHSI if it had to be implemented in future</w:t>
      </w:r>
      <w:r w:rsidRPr="006B0C6C">
        <w:rPr>
          <w:rFonts w:ascii="Calibri" w:eastAsia="Calibri" w:hAnsi="Calibri" w:cs="Calibri"/>
          <w:b/>
          <w:bCs/>
          <w:szCs w:val="22"/>
        </w:rPr>
        <w:t xml:space="preserve">? </w:t>
      </w:r>
    </w:p>
    <w:p w14:paraId="5536FE93" w14:textId="13334EF2" w:rsidR="03DE4356" w:rsidRPr="006B0C6C" w:rsidRDefault="74345E4E" w:rsidP="2F862C6E">
      <w:pPr>
        <w:spacing w:after="0"/>
      </w:pPr>
      <w:r w:rsidRPr="006B0C6C">
        <w:rPr>
          <w:rFonts w:ascii="Calibri" w:eastAsia="Calibri" w:hAnsi="Calibri" w:cs="Calibri"/>
          <w:szCs w:val="22"/>
        </w:rPr>
        <w:t xml:space="preserve"> </w:t>
      </w:r>
    </w:p>
    <w:p w14:paraId="7B4784EF" w14:textId="687172BB" w:rsidR="03DE4356" w:rsidRPr="006B0C6C" w:rsidRDefault="74345E4E" w:rsidP="2F862C6E">
      <w:pPr>
        <w:spacing w:after="0"/>
      </w:pPr>
      <w:r w:rsidRPr="006B0C6C">
        <w:rPr>
          <w:rFonts w:ascii="Calibri" w:eastAsia="Calibri" w:hAnsi="Calibri" w:cs="Calibri"/>
          <w:b/>
          <w:bCs/>
          <w:szCs w:val="22"/>
        </w:rPr>
        <w:t xml:space="preserve">Q14. Were there any tensions or trade-offs that could be learnt from, and did these have any implications? Have these remained? </w:t>
      </w:r>
    </w:p>
    <w:p w14:paraId="2390BADD" w14:textId="61C3C1F9" w:rsidR="03DE4356" w:rsidRPr="006B0C6C" w:rsidRDefault="74345E4E" w:rsidP="2F862C6E">
      <w:pPr>
        <w:spacing w:after="0"/>
      </w:pPr>
      <w:r w:rsidRPr="006B0C6C">
        <w:rPr>
          <w:rFonts w:ascii="Calibri" w:eastAsia="Calibri" w:hAnsi="Calibri" w:cs="Calibri"/>
          <w:szCs w:val="22"/>
        </w:rPr>
        <w:t xml:space="preserve"> </w:t>
      </w:r>
    </w:p>
    <w:p w14:paraId="6EAF3BA2" w14:textId="12D65589" w:rsidR="03DE4356" w:rsidRPr="006B0C6C" w:rsidRDefault="74345E4E" w:rsidP="2F862C6E">
      <w:pPr>
        <w:spacing w:after="0"/>
      </w:pPr>
      <w:r w:rsidRPr="006B0C6C">
        <w:rPr>
          <w:rFonts w:ascii="Calibri" w:eastAsia="Calibri" w:hAnsi="Calibri" w:cs="Calibri"/>
          <w:b/>
          <w:bCs/>
          <w:szCs w:val="22"/>
        </w:rPr>
        <w:t xml:space="preserve">Q15. Do you think the changes you have mentioned will continue now the Program has finished?  </w:t>
      </w:r>
    </w:p>
    <w:p w14:paraId="528AFE8E" w14:textId="14DF72CA" w:rsidR="03DE4356" w:rsidRPr="006B0C6C" w:rsidRDefault="74345E4E" w:rsidP="2F862C6E">
      <w:pPr>
        <w:spacing w:after="0"/>
      </w:pPr>
      <w:r w:rsidRPr="006B0C6C">
        <w:rPr>
          <w:rFonts w:ascii="Calibri" w:eastAsia="Calibri" w:hAnsi="Calibri" w:cs="Calibri"/>
          <w:szCs w:val="22"/>
        </w:rPr>
        <w:t xml:space="preserve"> </w:t>
      </w:r>
    </w:p>
    <w:p w14:paraId="78976E4F" w14:textId="24609DF8" w:rsidR="03DE4356" w:rsidRPr="006B0C6C" w:rsidRDefault="74345E4E" w:rsidP="2F862C6E">
      <w:pPr>
        <w:spacing w:after="0"/>
      </w:pPr>
      <w:r w:rsidRPr="006B0C6C">
        <w:rPr>
          <w:rFonts w:ascii="Calibri" w:eastAsia="Calibri" w:hAnsi="Calibri" w:cs="Calibri"/>
          <w:b/>
          <w:bCs/>
          <w:szCs w:val="22"/>
        </w:rPr>
        <w:t>Q16. Is there anything else you think we should know?</w:t>
      </w:r>
    </w:p>
    <w:p w14:paraId="521079DA" w14:textId="44EEC00D" w:rsidR="03DE4356" w:rsidRPr="006B0C6C" w:rsidRDefault="74345E4E" w:rsidP="2F862C6E">
      <w:pPr>
        <w:spacing w:after="0"/>
      </w:pPr>
      <w:r w:rsidRPr="006B0C6C">
        <w:rPr>
          <w:rFonts w:ascii="Calibri" w:eastAsia="Calibri" w:hAnsi="Calibri" w:cs="Calibri"/>
          <w:szCs w:val="22"/>
        </w:rPr>
        <w:t xml:space="preserve"> </w:t>
      </w:r>
    </w:p>
    <w:p w14:paraId="100804B7" w14:textId="264827BB" w:rsidR="03DE4356" w:rsidRPr="006B0C6C" w:rsidRDefault="119AD208" w:rsidP="2F862C6E">
      <w:pPr>
        <w:spacing w:after="0"/>
      </w:pPr>
      <w:r w:rsidRPr="006B0C6C">
        <w:rPr>
          <w:rFonts w:ascii="Calibri" w:eastAsia="Calibri" w:hAnsi="Calibri" w:cs="Calibri"/>
          <w:szCs w:val="22"/>
        </w:rPr>
        <w:t>_________________________________________________________________________________</w:t>
      </w:r>
    </w:p>
    <w:p w14:paraId="6B6988B8" w14:textId="36A5FC8C" w:rsidR="03DE4356" w:rsidRPr="006B0C6C" w:rsidRDefault="03DE4356" w:rsidP="2F862C6E">
      <w:pPr>
        <w:spacing w:after="0"/>
        <w:rPr>
          <w:rFonts w:ascii="Calibri" w:eastAsia="Calibri" w:hAnsi="Calibri" w:cs="Calibri"/>
          <w:b/>
          <w:bCs/>
          <w:sz w:val="28"/>
          <w:szCs w:val="28"/>
        </w:rPr>
      </w:pPr>
    </w:p>
    <w:p w14:paraId="4E728E3D" w14:textId="3BC09D2F" w:rsidR="03DE4356" w:rsidRPr="006B0C6C" w:rsidRDefault="178FEC1E" w:rsidP="003D669E">
      <w:pPr>
        <w:spacing w:after="0"/>
        <w:rPr>
          <w:rFonts w:ascii="Calibri" w:eastAsia="Calibri" w:hAnsi="Calibri" w:cs="Calibri"/>
          <w:b/>
          <w:bCs/>
          <w:sz w:val="28"/>
          <w:szCs w:val="28"/>
        </w:rPr>
      </w:pPr>
      <w:r w:rsidRPr="006B0C6C">
        <w:rPr>
          <w:rFonts w:ascii="Calibri" w:eastAsia="Calibri" w:hAnsi="Calibri" w:cs="Calibri"/>
          <w:b/>
          <w:bCs/>
          <w:sz w:val="28"/>
          <w:szCs w:val="28"/>
        </w:rPr>
        <w:t>Interview guide for Ministry of Health</w:t>
      </w:r>
      <w:r w:rsidR="03DE4356" w:rsidRPr="00367960">
        <w:tab/>
      </w:r>
      <w:r w:rsidRPr="006B0C6C">
        <w:rPr>
          <w:rFonts w:ascii="Calibri" w:eastAsia="Calibri" w:hAnsi="Calibri" w:cs="Calibri"/>
          <w:b/>
          <w:bCs/>
          <w:sz w:val="28"/>
          <w:szCs w:val="28"/>
        </w:rPr>
        <w:t xml:space="preserve"> </w:t>
      </w:r>
    </w:p>
    <w:p w14:paraId="590FD1D8" w14:textId="13F9F141" w:rsidR="03DE4356" w:rsidRPr="006B0C6C" w:rsidRDefault="178FEC1E" w:rsidP="2F862C6E">
      <w:pPr>
        <w:spacing w:after="0"/>
      </w:pPr>
      <w:r w:rsidRPr="006B0C6C">
        <w:rPr>
          <w:rFonts w:ascii="Calibri" w:eastAsia="Calibri" w:hAnsi="Calibri" w:cs="Calibri"/>
          <w:b/>
          <w:bCs/>
          <w:i/>
          <w:iCs/>
          <w:szCs w:val="22"/>
        </w:rPr>
        <w:t xml:space="preserve"> </w:t>
      </w:r>
    </w:p>
    <w:p w14:paraId="0574C615" w14:textId="0D947B7C" w:rsidR="03DE4356" w:rsidRPr="006B0C6C" w:rsidRDefault="178FEC1E" w:rsidP="2F862C6E">
      <w:pPr>
        <w:spacing w:after="0"/>
      </w:pPr>
      <w:r w:rsidRPr="006B0C6C">
        <w:rPr>
          <w:rFonts w:ascii="Calibri" w:eastAsia="Calibri" w:hAnsi="Calibri" w:cs="Calibri"/>
          <w:b/>
          <w:bCs/>
          <w:i/>
          <w:iCs/>
          <w:szCs w:val="22"/>
          <w:u w:val="single"/>
        </w:rPr>
        <w:t>To assist the interviewer</w:t>
      </w:r>
      <w:r w:rsidRPr="006B0C6C">
        <w:rPr>
          <w:rFonts w:ascii="Calibri" w:eastAsia="Calibri" w:hAnsi="Calibri" w:cs="Calibri"/>
          <w:b/>
          <w:bCs/>
          <w:i/>
          <w:iCs/>
          <w:szCs w:val="22"/>
        </w:rPr>
        <w:t xml:space="preserve">, it is recommended that the interviewer note down IN ADVANCE whether the MOH was a stakeholder or a funded service provider. If a stakeholder, use this guide. If a funded service provider, use the Interview Guide for Implementing Partners. </w:t>
      </w:r>
    </w:p>
    <w:p w14:paraId="17DB4237" w14:textId="5F0E3BFF" w:rsidR="03DE4356" w:rsidRPr="006B0C6C" w:rsidRDefault="178FEC1E" w:rsidP="2F862C6E">
      <w:pPr>
        <w:spacing w:after="0"/>
      </w:pPr>
      <w:r w:rsidRPr="006B0C6C">
        <w:rPr>
          <w:rFonts w:ascii="Calibri" w:eastAsia="Calibri" w:hAnsi="Calibri" w:cs="Calibri"/>
          <w:b/>
          <w:bCs/>
          <w:i/>
          <w:iCs/>
          <w:szCs w:val="22"/>
        </w:rPr>
        <w:t xml:space="preserve"> </w:t>
      </w:r>
    </w:p>
    <w:p w14:paraId="3402345D" w14:textId="40ECDE8D" w:rsidR="03DE4356" w:rsidRPr="006B0C6C" w:rsidRDefault="178FEC1E" w:rsidP="2F862C6E">
      <w:pPr>
        <w:spacing w:after="0"/>
      </w:pPr>
      <w:r w:rsidRPr="006B0C6C">
        <w:rPr>
          <w:rFonts w:ascii="Calibri" w:eastAsia="Calibri" w:hAnsi="Calibri" w:cs="Calibri"/>
          <w:b/>
          <w:bCs/>
          <w:i/>
          <w:iCs/>
          <w:szCs w:val="22"/>
        </w:rPr>
        <w:t>Before the interview begins, remind the interviewee:</w:t>
      </w:r>
    </w:p>
    <w:p w14:paraId="0CAFB505" w14:textId="100051FF" w:rsidR="03DE4356" w:rsidRPr="006B0C6C" w:rsidRDefault="178FEC1E" w:rsidP="2F862C6E">
      <w:pPr>
        <w:spacing w:after="0"/>
      </w:pPr>
      <w:r w:rsidRPr="006B0C6C">
        <w:rPr>
          <w:rFonts w:ascii="Calibri" w:eastAsia="Calibri" w:hAnsi="Calibri" w:cs="Calibri"/>
          <w:b/>
          <w:bCs/>
          <w:i/>
          <w:iCs/>
          <w:szCs w:val="22"/>
        </w:rPr>
        <w:t>●</w:t>
      </w:r>
      <w:r w:rsidR="03DE4356" w:rsidRPr="006B0C6C">
        <w:tab/>
      </w:r>
      <w:r w:rsidRPr="006B0C6C">
        <w:rPr>
          <w:rFonts w:ascii="Calibri" w:eastAsia="Calibri" w:hAnsi="Calibri" w:cs="Calibri"/>
          <w:b/>
          <w:bCs/>
          <w:i/>
          <w:iCs/>
          <w:szCs w:val="22"/>
        </w:rPr>
        <w:t>Objectives of this interview</w:t>
      </w:r>
    </w:p>
    <w:p w14:paraId="60DDDC99" w14:textId="6EDD7E0A" w:rsidR="03DE4356" w:rsidRPr="006B0C6C" w:rsidRDefault="178FEC1E" w:rsidP="2F862C6E">
      <w:pPr>
        <w:spacing w:after="0"/>
      </w:pPr>
      <w:r w:rsidRPr="006B0C6C">
        <w:rPr>
          <w:rFonts w:ascii="Calibri" w:eastAsia="Calibri" w:hAnsi="Calibri" w:cs="Calibri"/>
          <w:b/>
          <w:bCs/>
          <w:i/>
          <w:iCs/>
          <w:szCs w:val="22"/>
        </w:rPr>
        <w:t>●</w:t>
      </w:r>
      <w:r w:rsidR="03DE4356" w:rsidRPr="006B0C6C">
        <w:tab/>
      </w:r>
      <w:r w:rsidRPr="006B0C6C">
        <w:rPr>
          <w:rFonts w:ascii="Calibri" w:eastAsia="Calibri" w:hAnsi="Calibri" w:cs="Calibri"/>
          <w:b/>
          <w:bCs/>
          <w:i/>
          <w:iCs/>
          <w:szCs w:val="22"/>
        </w:rPr>
        <w:t>This is not an evaluation of them or their work, but of the VAHSI initiative</w:t>
      </w:r>
    </w:p>
    <w:p w14:paraId="198310F0" w14:textId="737E41FF" w:rsidR="03DE4356" w:rsidRPr="006B0C6C" w:rsidRDefault="178FEC1E" w:rsidP="2F862C6E">
      <w:pPr>
        <w:spacing w:after="0"/>
      </w:pPr>
      <w:r w:rsidRPr="006B0C6C">
        <w:rPr>
          <w:rFonts w:ascii="Calibri" w:eastAsia="Calibri" w:hAnsi="Calibri" w:cs="Calibri"/>
          <w:b/>
          <w:bCs/>
          <w:i/>
          <w:iCs/>
          <w:szCs w:val="22"/>
        </w:rPr>
        <w:t>●</w:t>
      </w:r>
      <w:r w:rsidR="03DE4356" w:rsidRPr="006B0C6C">
        <w:tab/>
      </w:r>
      <w:r w:rsidRPr="006B0C6C">
        <w:rPr>
          <w:rFonts w:ascii="Calibri" w:eastAsia="Calibri" w:hAnsi="Calibri" w:cs="Calibri"/>
          <w:b/>
          <w:bCs/>
          <w:i/>
          <w:iCs/>
          <w:szCs w:val="22"/>
        </w:rPr>
        <w:t>All responses will be kept confidential; no names will be used in the report</w:t>
      </w:r>
    </w:p>
    <w:p w14:paraId="7FB2C13D" w14:textId="480E7231" w:rsidR="03DE4356" w:rsidRPr="006B0C6C" w:rsidRDefault="178FEC1E" w:rsidP="2F862C6E">
      <w:pPr>
        <w:spacing w:after="0"/>
      </w:pPr>
      <w:r w:rsidRPr="006B0C6C">
        <w:rPr>
          <w:rFonts w:ascii="Calibri" w:eastAsia="Calibri" w:hAnsi="Calibri" w:cs="Calibri"/>
          <w:b/>
          <w:bCs/>
          <w:i/>
          <w:iCs/>
          <w:szCs w:val="22"/>
        </w:rPr>
        <w:t>●</w:t>
      </w:r>
      <w:r w:rsidR="03DE4356" w:rsidRPr="006B0C6C">
        <w:tab/>
      </w:r>
      <w:r w:rsidRPr="006B0C6C">
        <w:rPr>
          <w:rFonts w:ascii="Calibri" w:eastAsia="Calibri" w:hAnsi="Calibri" w:cs="Calibri"/>
          <w:b/>
          <w:bCs/>
          <w:i/>
          <w:iCs/>
          <w:szCs w:val="22"/>
        </w:rPr>
        <w:t>Do they have questions or clarifications?</w:t>
      </w:r>
    </w:p>
    <w:p w14:paraId="250D928B" w14:textId="1FE44C3E" w:rsidR="03DE4356" w:rsidRPr="006B0C6C" w:rsidRDefault="178FEC1E" w:rsidP="2F862C6E">
      <w:pPr>
        <w:spacing w:after="0"/>
      </w:pPr>
      <w:r w:rsidRPr="006B0C6C">
        <w:rPr>
          <w:rFonts w:ascii="Calibri" w:eastAsia="Calibri" w:hAnsi="Calibri" w:cs="Calibri"/>
          <w:szCs w:val="22"/>
        </w:rPr>
        <w:t xml:space="preserve"> </w:t>
      </w:r>
    </w:p>
    <w:p w14:paraId="21F58148" w14:textId="1DBE2F64" w:rsidR="03DE4356" w:rsidRPr="006B0C6C" w:rsidRDefault="178FEC1E" w:rsidP="2F862C6E">
      <w:pPr>
        <w:spacing w:after="0"/>
      </w:pPr>
      <w:r w:rsidRPr="006B0C6C">
        <w:rPr>
          <w:rFonts w:ascii="Calibri" w:eastAsia="Calibri" w:hAnsi="Calibri" w:cs="Calibri"/>
          <w:szCs w:val="22"/>
        </w:rPr>
        <w:t>__________________________________________________________________________________</w:t>
      </w:r>
    </w:p>
    <w:p w14:paraId="7E0976DB" w14:textId="77957403" w:rsidR="03DE4356" w:rsidRPr="006B0C6C" w:rsidRDefault="178FEC1E" w:rsidP="2F862C6E">
      <w:pPr>
        <w:spacing w:after="0"/>
      </w:pPr>
      <w:r w:rsidRPr="006B0C6C">
        <w:rPr>
          <w:rFonts w:ascii="Calibri" w:eastAsia="Calibri" w:hAnsi="Calibri" w:cs="Calibri"/>
          <w:b/>
          <w:bCs/>
          <w:i/>
          <w:iCs/>
          <w:szCs w:val="22"/>
        </w:rPr>
        <w:t>EQ1: These questions are designed around the first End-of-Program Outcome, which is that “Partner Governments expand COVID-19 and routine immunisation vaccination coverage in a safe and timely manner”.</w:t>
      </w:r>
    </w:p>
    <w:p w14:paraId="00BC7A3E" w14:textId="5E9F4D23" w:rsidR="03DE4356" w:rsidRPr="006B0C6C" w:rsidRDefault="178FEC1E" w:rsidP="2F862C6E">
      <w:pPr>
        <w:spacing w:after="0"/>
      </w:pPr>
      <w:r w:rsidRPr="006B0C6C">
        <w:rPr>
          <w:rFonts w:ascii="Calibri" w:eastAsia="Calibri" w:hAnsi="Calibri" w:cs="Calibri"/>
          <w:szCs w:val="22"/>
        </w:rPr>
        <w:t xml:space="preserve"> </w:t>
      </w:r>
    </w:p>
    <w:p w14:paraId="4B1F07F1" w14:textId="70F8CBFD" w:rsidR="03DE4356" w:rsidRPr="006B0C6C" w:rsidRDefault="178FEC1E" w:rsidP="2F862C6E">
      <w:pPr>
        <w:spacing w:after="0"/>
      </w:pPr>
      <w:r w:rsidRPr="006B0C6C">
        <w:rPr>
          <w:rFonts w:ascii="Calibri" w:eastAsia="Calibri" w:hAnsi="Calibri" w:cs="Calibri"/>
          <w:b/>
          <w:bCs/>
          <w:szCs w:val="22"/>
        </w:rPr>
        <w:t xml:space="preserve">Q1: Based on your experience, what do you think have been the most significant changes that VAHSI contributed to? </w:t>
      </w:r>
      <w:r w:rsidRPr="006B0C6C">
        <w:rPr>
          <w:rFonts w:ascii="Calibri" w:eastAsia="Calibri" w:hAnsi="Calibri" w:cs="Calibri"/>
          <w:szCs w:val="22"/>
        </w:rPr>
        <w:t xml:space="preserve">Prompt for details if required. </w:t>
      </w:r>
    </w:p>
    <w:p w14:paraId="34C64284" w14:textId="5DC7B669" w:rsidR="03DE4356" w:rsidRPr="006B0C6C" w:rsidRDefault="178FEC1E" w:rsidP="2F862C6E">
      <w:pPr>
        <w:spacing w:after="0"/>
      </w:pPr>
      <w:r w:rsidRPr="006B0C6C">
        <w:rPr>
          <w:rFonts w:ascii="Calibri" w:eastAsia="Calibri" w:hAnsi="Calibri" w:cs="Calibri"/>
          <w:szCs w:val="22"/>
        </w:rPr>
        <w:t xml:space="preserve"> </w:t>
      </w:r>
    </w:p>
    <w:p w14:paraId="03ECC065" w14:textId="3E2A330D" w:rsidR="03DE4356" w:rsidRPr="006B0C6C" w:rsidRDefault="178FEC1E" w:rsidP="2F862C6E">
      <w:pPr>
        <w:spacing w:after="0"/>
      </w:pPr>
      <w:r w:rsidRPr="006B0C6C">
        <w:rPr>
          <w:rFonts w:ascii="Calibri" w:eastAsia="Calibri" w:hAnsi="Calibri" w:cs="Calibri"/>
          <w:b/>
          <w:bCs/>
          <w:szCs w:val="22"/>
        </w:rPr>
        <w:t>Q2: How do you feel that VAHSI contributed to the changes?</w:t>
      </w:r>
      <w:r w:rsidRPr="006B0C6C">
        <w:rPr>
          <w:rFonts w:ascii="Calibri" w:eastAsia="Calibri" w:hAnsi="Calibri" w:cs="Calibri"/>
          <w:szCs w:val="22"/>
        </w:rPr>
        <w:t xml:space="preserve"> Probes if required: What were the key strengths? What was highest value? What were the key challenges? How were these addressed? (Interviewer to consider effectiveness: quantity, timeliness, concordance with stakeholder plans, but also safety, accessibility) </w:t>
      </w:r>
    </w:p>
    <w:p w14:paraId="30D0ED12" w14:textId="3D0E7865" w:rsidR="03DE4356" w:rsidRPr="006B0C6C" w:rsidRDefault="178FEC1E" w:rsidP="2F862C6E">
      <w:pPr>
        <w:spacing w:after="0"/>
      </w:pPr>
      <w:r w:rsidRPr="006B0C6C">
        <w:rPr>
          <w:rFonts w:ascii="Calibri" w:eastAsia="Calibri" w:hAnsi="Calibri" w:cs="Calibri"/>
          <w:szCs w:val="22"/>
        </w:rPr>
        <w:t xml:space="preserve"> </w:t>
      </w:r>
    </w:p>
    <w:p w14:paraId="1FA5C2B7" w14:textId="0128F5E2" w:rsidR="03DE4356" w:rsidRPr="006B0C6C" w:rsidRDefault="178FEC1E" w:rsidP="2F862C6E">
      <w:pPr>
        <w:spacing w:after="0"/>
      </w:pPr>
      <w:r w:rsidRPr="006B0C6C">
        <w:rPr>
          <w:rFonts w:ascii="Calibri" w:eastAsia="Calibri" w:hAnsi="Calibri" w:cs="Calibri"/>
          <w:b/>
          <w:bCs/>
          <w:szCs w:val="22"/>
        </w:rPr>
        <w:t>Q3: Considering the pandemic context, do you feel that the vaccine doses met your country’s needs, and changing needs over time?</w:t>
      </w:r>
      <w:r w:rsidRPr="006B0C6C">
        <w:rPr>
          <w:rFonts w:ascii="Calibri" w:eastAsia="Calibri" w:hAnsi="Calibri" w:cs="Calibri"/>
          <w:szCs w:val="22"/>
        </w:rPr>
        <w:t xml:space="preserve"> (Y/N, specify)</w:t>
      </w:r>
    </w:p>
    <w:p w14:paraId="4AFEE519" w14:textId="2EA566F2" w:rsidR="03DE4356" w:rsidRPr="006B0C6C" w:rsidRDefault="178FEC1E" w:rsidP="2F862C6E">
      <w:pPr>
        <w:spacing w:after="0"/>
      </w:pPr>
      <w:r w:rsidRPr="006B0C6C">
        <w:rPr>
          <w:rFonts w:ascii="Calibri" w:eastAsia="Calibri" w:hAnsi="Calibri" w:cs="Calibri"/>
          <w:szCs w:val="22"/>
        </w:rPr>
        <w:t xml:space="preserve"> </w:t>
      </w:r>
    </w:p>
    <w:p w14:paraId="6847CFA9" w14:textId="4E7F6C4C" w:rsidR="03DE4356" w:rsidRPr="006B0C6C" w:rsidRDefault="178FEC1E" w:rsidP="2F862C6E">
      <w:pPr>
        <w:spacing w:after="0"/>
      </w:pPr>
      <w:r w:rsidRPr="006B0C6C">
        <w:rPr>
          <w:rFonts w:ascii="Calibri" w:eastAsia="Calibri" w:hAnsi="Calibri" w:cs="Calibri"/>
          <w:b/>
          <w:bCs/>
          <w:szCs w:val="22"/>
        </w:rPr>
        <w:t xml:space="preserve">Q4: Do you feel that </w:t>
      </w:r>
      <w:r w:rsidRPr="006B0C6C">
        <w:rPr>
          <w:rFonts w:ascii="Calibri" w:eastAsia="Calibri" w:hAnsi="Calibri" w:cs="Calibri"/>
          <w:b/>
          <w:bCs/>
          <w:color w:val="000000" w:themeColor="text1"/>
          <w:szCs w:val="22"/>
        </w:rPr>
        <w:t xml:space="preserve">COVID-19 vaccination </w:t>
      </w:r>
      <w:r w:rsidRPr="006B0C6C">
        <w:rPr>
          <w:rFonts w:ascii="Calibri" w:eastAsia="Calibri" w:hAnsi="Calibri" w:cs="Calibri"/>
          <w:b/>
          <w:bCs/>
          <w:szCs w:val="22"/>
        </w:rPr>
        <w:t>coverage targets for high-risk groups were met?</w:t>
      </w:r>
      <w:r w:rsidRPr="006B0C6C">
        <w:rPr>
          <w:rFonts w:ascii="Calibri" w:eastAsia="Calibri" w:hAnsi="Calibri" w:cs="Calibri"/>
          <w:szCs w:val="22"/>
        </w:rPr>
        <w:t xml:space="preserve"> (Y/N, specify)  </w:t>
      </w:r>
    </w:p>
    <w:p w14:paraId="4C7B434D" w14:textId="4DD2D9F9" w:rsidR="03DE4356" w:rsidRPr="006B0C6C" w:rsidRDefault="178FEC1E" w:rsidP="2F862C6E">
      <w:pPr>
        <w:spacing w:after="0"/>
      </w:pPr>
      <w:r w:rsidRPr="006B0C6C">
        <w:rPr>
          <w:rFonts w:ascii="Calibri" w:eastAsia="Calibri" w:hAnsi="Calibri" w:cs="Calibri"/>
          <w:szCs w:val="22"/>
        </w:rPr>
        <w:t xml:space="preserve"> </w:t>
      </w:r>
    </w:p>
    <w:p w14:paraId="3E2966E8" w14:textId="2D46FF11" w:rsidR="03DE4356" w:rsidRPr="006B0C6C" w:rsidRDefault="178FEC1E" w:rsidP="2F862C6E">
      <w:pPr>
        <w:spacing w:after="0"/>
        <w:rPr>
          <w:rFonts w:eastAsiaTheme="minorEastAsia" w:cstheme="minorBidi"/>
          <w:szCs w:val="22"/>
        </w:rPr>
      </w:pPr>
      <w:r w:rsidRPr="006B0C6C">
        <w:rPr>
          <w:rFonts w:ascii="Calibri" w:eastAsia="Calibri" w:hAnsi="Calibri" w:cs="Calibri"/>
          <w:b/>
          <w:bCs/>
          <w:szCs w:val="22"/>
        </w:rPr>
        <w:t>Q5: Considering the pandemic context, do you feel that COVID-19 vaccine wastage and leakage was within acceptable limits, or did you feel that there were areas of wastage or leakage?</w:t>
      </w:r>
      <w:r w:rsidRPr="006B0C6C">
        <w:rPr>
          <w:rFonts w:ascii="Calibri" w:eastAsia="Calibri" w:hAnsi="Calibri" w:cs="Calibri"/>
          <w:szCs w:val="22"/>
        </w:rPr>
        <w:t xml:space="preserve"> (Y/N, spe</w:t>
      </w:r>
      <w:r w:rsidRPr="006B0C6C">
        <w:rPr>
          <w:rFonts w:eastAsiaTheme="minorEastAsia" w:cstheme="minorBidi"/>
          <w:szCs w:val="22"/>
        </w:rPr>
        <w:t xml:space="preserve">cify)   </w:t>
      </w:r>
    </w:p>
    <w:p w14:paraId="46A71052" w14:textId="09A9194C" w:rsidR="03DE4356" w:rsidRPr="006B0C6C" w:rsidRDefault="178FEC1E" w:rsidP="2F862C6E">
      <w:pPr>
        <w:spacing w:after="0"/>
        <w:rPr>
          <w:rFonts w:eastAsiaTheme="minorEastAsia" w:cstheme="minorBidi"/>
          <w:szCs w:val="22"/>
        </w:rPr>
      </w:pPr>
      <w:r w:rsidRPr="006B0C6C">
        <w:rPr>
          <w:rFonts w:eastAsiaTheme="minorEastAsia" w:cstheme="minorBidi"/>
          <w:szCs w:val="22"/>
        </w:rPr>
        <w:t xml:space="preserve"> </w:t>
      </w:r>
    </w:p>
    <w:p w14:paraId="358A2C83" w14:textId="11B69391" w:rsidR="03DE4356" w:rsidRPr="006B0C6C" w:rsidRDefault="178FEC1E" w:rsidP="2F862C6E">
      <w:pPr>
        <w:spacing w:after="0"/>
        <w:rPr>
          <w:rFonts w:eastAsiaTheme="minorEastAsia" w:cstheme="minorBidi"/>
          <w:szCs w:val="22"/>
        </w:rPr>
      </w:pPr>
      <w:r w:rsidRPr="006B0C6C">
        <w:rPr>
          <w:rFonts w:eastAsiaTheme="minorEastAsia" w:cstheme="minorBidi"/>
          <w:b/>
          <w:bCs/>
          <w:szCs w:val="22"/>
        </w:rPr>
        <w:t xml:space="preserve">Q6: Considering the pandemic context, do you feel that the immunisation delivery support projects met country partner needs </w:t>
      </w:r>
      <w:r w:rsidRPr="006B0C6C">
        <w:rPr>
          <w:rFonts w:eastAsiaTheme="minorEastAsia" w:cstheme="minorBidi"/>
          <w:b/>
          <w:bCs/>
          <w:color w:val="000000" w:themeColor="text1"/>
          <w:szCs w:val="22"/>
        </w:rPr>
        <w:t>in terms of quality, access/coverage, and timeliness</w:t>
      </w:r>
      <w:r w:rsidRPr="006B0C6C">
        <w:rPr>
          <w:rFonts w:eastAsiaTheme="minorEastAsia" w:cstheme="minorBidi"/>
          <w:b/>
          <w:bCs/>
          <w:szCs w:val="22"/>
        </w:rPr>
        <w:t>?</w:t>
      </w:r>
      <w:r w:rsidRPr="006B0C6C">
        <w:rPr>
          <w:rFonts w:eastAsiaTheme="minorEastAsia" w:cstheme="minorBidi"/>
          <w:szCs w:val="22"/>
        </w:rPr>
        <w:t xml:space="preserve"> (Y/N, specify)  </w:t>
      </w:r>
    </w:p>
    <w:p w14:paraId="5D6A1005" w14:textId="66B6EDE9" w:rsidR="03DE4356" w:rsidRPr="006B0C6C" w:rsidRDefault="178FEC1E" w:rsidP="2F862C6E">
      <w:pPr>
        <w:spacing w:after="0"/>
        <w:rPr>
          <w:rFonts w:eastAsiaTheme="minorEastAsia" w:cstheme="minorBidi"/>
          <w:szCs w:val="22"/>
        </w:rPr>
      </w:pPr>
      <w:r w:rsidRPr="006B0C6C">
        <w:rPr>
          <w:rFonts w:eastAsiaTheme="minorEastAsia" w:cstheme="minorBidi"/>
          <w:szCs w:val="22"/>
        </w:rPr>
        <w:t xml:space="preserve">  </w:t>
      </w:r>
    </w:p>
    <w:p w14:paraId="4108DC28" w14:textId="322020F3" w:rsidR="03DE4356" w:rsidRPr="006B0C6C" w:rsidRDefault="178FEC1E" w:rsidP="2F862C6E">
      <w:pPr>
        <w:spacing w:after="0"/>
      </w:pPr>
      <w:r w:rsidRPr="006B0C6C">
        <w:rPr>
          <w:rFonts w:eastAsiaTheme="minorEastAsia" w:cstheme="minorBidi"/>
          <w:b/>
          <w:bCs/>
          <w:szCs w:val="22"/>
        </w:rPr>
        <w:t>Q7: How do you feel that the immunisation delivery support projects expanded COVID-19 and routine immunisation vaccination coverage?</w:t>
      </w:r>
      <w:r w:rsidRPr="006B0C6C">
        <w:rPr>
          <w:rFonts w:eastAsiaTheme="minorEastAsia" w:cstheme="minorBidi"/>
          <w:szCs w:val="22"/>
        </w:rPr>
        <w:t xml:space="preserve"> Probes if required: What were the key strengths? What </w:t>
      </w:r>
      <w:r w:rsidRPr="006B0C6C">
        <w:rPr>
          <w:rFonts w:ascii="Calibri" w:eastAsia="Calibri" w:hAnsi="Calibri" w:cs="Calibri"/>
          <w:szCs w:val="22"/>
        </w:rPr>
        <w:t xml:space="preserve">was highest value? What were the key challenges? How were these addressed? (Interviewer to consider effectiveness: quantity, timeliness, concordance with stakeholder plans, safety, accessibility)  </w:t>
      </w:r>
    </w:p>
    <w:p w14:paraId="7252A1AF" w14:textId="1A7C99D7" w:rsidR="03DE4356" w:rsidRPr="006B0C6C" w:rsidRDefault="178FEC1E" w:rsidP="2F862C6E">
      <w:pPr>
        <w:spacing w:after="0"/>
      </w:pPr>
      <w:r w:rsidRPr="006B0C6C">
        <w:rPr>
          <w:rFonts w:ascii="Calibri" w:eastAsia="Calibri" w:hAnsi="Calibri" w:cs="Calibri"/>
          <w:szCs w:val="22"/>
        </w:rPr>
        <w:t xml:space="preserve"> </w:t>
      </w:r>
    </w:p>
    <w:p w14:paraId="18A50AEF" w14:textId="10F5B9B1" w:rsidR="03DE4356" w:rsidRPr="006B0C6C" w:rsidRDefault="178FEC1E" w:rsidP="2F862C6E">
      <w:pPr>
        <w:spacing w:after="0"/>
      </w:pPr>
      <w:r w:rsidRPr="006B0C6C">
        <w:rPr>
          <w:rFonts w:ascii="Calibri" w:eastAsia="Calibri" w:hAnsi="Calibri" w:cs="Calibri"/>
          <w:szCs w:val="22"/>
        </w:rPr>
        <w:t xml:space="preserve"> </w:t>
      </w:r>
      <w:r w:rsidR="00367960">
        <w:rPr>
          <w:rFonts w:ascii="Calibri" w:eastAsia="Calibri" w:hAnsi="Calibri" w:cs="Calibri"/>
          <w:b/>
          <w:bCs/>
          <w:i/>
          <w:iCs/>
          <w:szCs w:val="22"/>
        </w:rPr>
        <w:t xml:space="preserve">- </w:t>
      </w:r>
      <w:r w:rsidRPr="006B0C6C">
        <w:rPr>
          <w:rFonts w:ascii="Calibri" w:eastAsia="Calibri" w:hAnsi="Calibri" w:cs="Calibri"/>
          <w:b/>
          <w:bCs/>
          <w:i/>
          <w:iCs/>
          <w:szCs w:val="22"/>
        </w:rPr>
        <w:t>These questions are designed around the third End-of-Program Outcome, which is that “Australian support to COVID-19 vaccination programs is valued”.</w:t>
      </w:r>
      <w:r w:rsidRPr="006B0C6C">
        <w:rPr>
          <w:rFonts w:ascii="Calibri" w:eastAsia="Calibri" w:hAnsi="Calibri" w:cs="Calibri"/>
          <w:b/>
          <w:bCs/>
          <w:color w:val="333333"/>
          <w:sz w:val="20"/>
          <w:szCs w:val="20"/>
        </w:rPr>
        <w:t xml:space="preserve"> </w:t>
      </w:r>
      <w:r w:rsidRPr="006B0C6C">
        <w:rPr>
          <w:rFonts w:ascii="Calibri" w:eastAsia="Calibri" w:hAnsi="Calibri" w:cs="Calibri"/>
          <w:color w:val="333333"/>
          <w:sz w:val="20"/>
          <w:szCs w:val="20"/>
        </w:rPr>
        <w:t xml:space="preserve"> </w:t>
      </w:r>
    </w:p>
    <w:p w14:paraId="36D388D9" w14:textId="449974C5" w:rsidR="03DE4356" w:rsidRPr="006B0C6C" w:rsidRDefault="178FEC1E" w:rsidP="2F862C6E">
      <w:pPr>
        <w:spacing w:after="0"/>
      </w:pPr>
      <w:r w:rsidRPr="006B0C6C">
        <w:rPr>
          <w:rFonts w:ascii="Calibri" w:eastAsia="Calibri" w:hAnsi="Calibri" w:cs="Calibri"/>
          <w:szCs w:val="22"/>
        </w:rPr>
        <w:t xml:space="preserve"> </w:t>
      </w:r>
    </w:p>
    <w:p w14:paraId="37226C23" w14:textId="06DDFAB2" w:rsidR="03DE4356" w:rsidRPr="006B0C6C" w:rsidRDefault="178FEC1E" w:rsidP="2F862C6E">
      <w:pPr>
        <w:spacing w:after="0"/>
      </w:pPr>
      <w:r w:rsidRPr="006B0C6C">
        <w:rPr>
          <w:rFonts w:ascii="Calibri" w:eastAsia="Calibri" w:hAnsi="Calibri" w:cs="Calibri"/>
          <w:b/>
          <w:bCs/>
          <w:szCs w:val="22"/>
        </w:rPr>
        <w:t xml:space="preserve">Q8. Based on your experience, has the support from Australia contributed to stronger relationships between ‘X partner government’ and Australia? </w:t>
      </w:r>
      <w:r w:rsidRPr="006B0C6C">
        <w:rPr>
          <w:rFonts w:ascii="Calibri" w:eastAsia="Calibri" w:hAnsi="Calibri" w:cs="Calibri"/>
          <w:szCs w:val="22"/>
        </w:rPr>
        <w:t xml:space="preserve">In which areas </w:t>
      </w:r>
      <w:proofErr w:type="gramStart"/>
      <w:r w:rsidRPr="006B0C6C">
        <w:rPr>
          <w:rFonts w:ascii="Calibri" w:eastAsia="Calibri" w:hAnsi="Calibri" w:cs="Calibri"/>
          <w:szCs w:val="22"/>
        </w:rPr>
        <w:t>in particular and</w:t>
      </w:r>
      <w:proofErr w:type="gramEnd"/>
      <w:r w:rsidRPr="006B0C6C">
        <w:rPr>
          <w:rFonts w:ascii="Calibri" w:eastAsia="Calibri" w:hAnsi="Calibri" w:cs="Calibri"/>
          <w:szCs w:val="22"/>
        </w:rPr>
        <w:t xml:space="preserve"> why? Can you provide any documentary evidence to support this? </w:t>
      </w:r>
    </w:p>
    <w:p w14:paraId="35F3CD9B" w14:textId="27D1F59B" w:rsidR="03DE4356" w:rsidRPr="006B0C6C" w:rsidRDefault="178FEC1E" w:rsidP="2F862C6E">
      <w:pPr>
        <w:spacing w:after="0"/>
      </w:pPr>
      <w:r w:rsidRPr="006B0C6C">
        <w:rPr>
          <w:rFonts w:ascii="Calibri" w:eastAsia="Calibri" w:hAnsi="Calibri" w:cs="Calibri"/>
          <w:szCs w:val="22"/>
        </w:rPr>
        <w:t xml:space="preserve">  </w:t>
      </w:r>
    </w:p>
    <w:p w14:paraId="1FF03533" w14:textId="14F9E6F2" w:rsidR="03DE4356" w:rsidRPr="006B0C6C" w:rsidRDefault="178FEC1E" w:rsidP="2F862C6E">
      <w:pPr>
        <w:spacing w:after="0"/>
      </w:pPr>
      <w:r w:rsidRPr="006B0C6C">
        <w:rPr>
          <w:rFonts w:ascii="Calibri" w:eastAsia="Calibri" w:hAnsi="Calibri" w:cs="Calibri"/>
          <w:b/>
          <w:bCs/>
          <w:szCs w:val="22"/>
        </w:rPr>
        <w:t>Q9. How did Australia’s support to ‘X partner government’ compare to support received from other sources (e.g. bilateral deals, multilateral/regional deals/support, COVAX, other)?</w:t>
      </w:r>
      <w:r w:rsidRPr="006B0C6C">
        <w:rPr>
          <w:rFonts w:ascii="Calibri" w:eastAsia="Calibri" w:hAnsi="Calibri" w:cs="Calibri"/>
          <w:szCs w:val="22"/>
        </w:rPr>
        <w:t xml:space="preserve"> </w:t>
      </w:r>
    </w:p>
    <w:p w14:paraId="7C58A34A" w14:textId="1E3BD554" w:rsidR="03DE4356" w:rsidRPr="006B0C6C" w:rsidRDefault="178FEC1E" w:rsidP="2F862C6E">
      <w:pPr>
        <w:spacing w:after="0"/>
      </w:pPr>
      <w:r w:rsidRPr="006B0C6C">
        <w:rPr>
          <w:rFonts w:ascii="Calibri" w:eastAsia="Calibri" w:hAnsi="Calibri" w:cs="Calibri"/>
          <w:szCs w:val="22"/>
        </w:rPr>
        <w:t xml:space="preserve">  </w:t>
      </w:r>
    </w:p>
    <w:p w14:paraId="6082D4B5" w14:textId="3D60150E" w:rsidR="03DE4356" w:rsidRPr="006B0C6C" w:rsidRDefault="178FEC1E" w:rsidP="2F862C6E">
      <w:pPr>
        <w:spacing w:after="0"/>
      </w:pPr>
      <w:r w:rsidRPr="006B0C6C">
        <w:rPr>
          <w:rFonts w:ascii="Calibri" w:eastAsia="Calibri" w:hAnsi="Calibri" w:cs="Calibri"/>
          <w:b/>
          <w:bCs/>
          <w:szCs w:val="22"/>
        </w:rPr>
        <w:t>Q10. What were the most valuable aspects of Australia’s support (COVID-19 vaccines, delivery support, RI) and how did this change over time?</w:t>
      </w:r>
      <w:r w:rsidRPr="006B0C6C">
        <w:rPr>
          <w:rFonts w:ascii="Calibri" w:eastAsia="Calibri" w:hAnsi="Calibri" w:cs="Calibri"/>
          <w:szCs w:val="22"/>
        </w:rPr>
        <w:t xml:space="preserve"> </w:t>
      </w:r>
    </w:p>
    <w:p w14:paraId="4741484B" w14:textId="3D058703" w:rsidR="03DE4356" w:rsidRPr="006B0C6C" w:rsidRDefault="178FEC1E" w:rsidP="2F862C6E">
      <w:pPr>
        <w:spacing w:after="0"/>
      </w:pPr>
      <w:r w:rsidRPr="006B0C6C">
        <w:rPr>
          <w:rFonts w:ascii="Calibri" w:eastAsia="Calibri" w:hAnsi="Calibri" w:cs="Calibri"/>
          <w:szCs w:val="22"/>
        </w:rPr>
        <w:t xml:space="preserve"> </w:t>
      </w:r>
    </w:p>
    <w:p w14:paraId="054EEDED" w14:textId="35FBCF3B" w:rsidR="03DE4356" w:rsidRPr="006B0C6C" w:rsidRDefault="178FEC1E" w:rsidP="2F862C6E">
      <w:pPr>
        <w:spacing w:after="0"/>
      </w:pPr>
      <w:r w:rsidRPr="006B0C6C">
        <w:rPr>
          <w:rFonts w:ascii="Calibri" w:eastAsia="Calibri" w:hAnsi="Calibri" w:cs="Calibri"/>
          <w:szCs w:val="22"/>
        </w:rPr>
        <w:t xml:space="preserve"> </w:t>
      </w:r>
    </w:p>
    <w:p w14:paraId="3AE097B8" w14:textId="2D04F992" w:rsidR="03DE4356" w:rsidRPr="006B0C6C" w:rsidRDefault="178FEC1E" w:rsidP="2F862C6E">
      <w:pPr>
        <w:spacing w:after="0"/>
      </w:pPr>
      <w:r w:rsidRPr="006B0C6C">
        <w:rPr>
          <w:rFonts w:ascii="Calibri" w:eastAsia="Calibri" w:hAnsi="Calibri" w:cs="Calibri"/>
          <w:b/>
          <w:bCs/>
          <w:i/>
          <w:iCs/>
          <w:szCs w:val="22"/>
        </w:rPr>
        <w:t>EQ3. These questions are around how VAHSI made efficient use of Australia and partners' time, money and resources to achieve outputs and expected outcomes including whether the modality was an appropriate response mechanism?</w:t>
      </w:r>
      <w:r w:rsidRPr="006B0C6C">
        <w:rPr>
          <w:rFonts w:ascii="Calibri" w:eastAsia="Calibri" w:hAnsi="Calibri" w:cs="Calibri"/>
          <w:szCs w:val="22"/>
        </w:rPr>
        <w:t xml:space="preserve"> </w:t>
      </w:r>
    </w:p>
    <w:p w14:paraId="07B8F29C" w14:textId="572306FF" w:rsidR="03DE4356" w:rsidRPr="006B0C6C" w:rsidRDefault="178FEC1E" w:rsidP="2F862C6E">
      <w:pPr>
        <w:spacing w:after="0"/>
      </w:pPr>
      <w:r w:rsidRPr="006B0C6C">
        <w:rPr>
          <w:rFonts w:ascii="Calibri" w:eastAsia="Calibri" w:hAnsi="Calibri" w:cs="Calibri"/>
          <w:szCs w:val="22"/>
        </w:rPr>
        <w:t xml:space="preserve"> </w:t>
      </w:r>
    </w:p>
    <w:p w14:paraId="6377F9BC" w14:textId="5DB6B18A" w:rsidR="03DE4356" w:rsidRPr="006B0C6C" w:rsidRDefault="178FEC1E" w:rsidP="2F862C6E">
      <w:pPr>
        <w:spacing w:after="0"/>
      </w:pPr>
      <w:r w:rsidRPr="006B0C6C">
        <w:rPr>
          <w:rFonts w:ascii="Calibri" w:eastAsia="Calibri" w:hAnsi="Calibri" w:cs="Calibri"/>
          <w:b/>
          <w:bCs/>
          <w:szCs w:val="22"/>
        </w:rPr>
        <w:t xml:space="preserve">Q11. Given the situation, and the response required, would you assess VAHSI as making efficient use of time, money, and resources to achieve its outcomes? </w:t>
      </w:r>
      <w:r w:rsidRPr="006B0C6C">
        <w:rPr>
          <w:rFonts w:ascii="Calibri" w:eastAsia="Calibri" w:hAnsi="Calibri" w:cs="Calibri"/>
          <w:szCs w:val="22"/>
        </w:rPr>
        <w:t xml:space="preserve">Were there potentially other mechanisms that could have been more efficient? What could be different in terms of a mechanism for future pandemics? </w:t>
      </w:r>
    </w:p>
    <w:p w14:paraId="2275075D" w14:textId="0831A945" w:rsidR="03DE4356" w:rsidRPr="006B0C6C" w:rsidRDefault="178FEC1E" w:rsidP="2F862C6E">
      <w:pPr>
        <w:spacing w:after="0"/>
      </w:pPr>
      <w:r w:rsidRPr="006B0C6C">
        <w:rPr>
          <w:rFonts w:ascii="Calibri" w:eastAsia="Calibri" w:hAnsi="Calibri" w:cs="Calibri"/>
          <w:szCs w:val="22"/>
        </w:rPr>
        <w:t xml:space="preserve"> </w:t>
      </w:r>
    </w:p>
    <w:p w14:paraId="742E923D" w14:textId="3B30EC94" w:rsidR="03DE4356" w:rsidRPr="006B0C6C" w:rsidRDefault="178FEC1E" w:rsidP="2F862C6E">
      <w:pPr>
        <w:spacing w:after="0"/>
      </w:pPr>
      <w:r w:rsidRPr="006B0C6C">
        <w:rPr>
          <w:rFonts w:ascii="Calibri" w:eastAsia="Calibri" w:hAnsi="Calibri" w:cs="Calibri"/>
          <w:b/>
          <w:bCs/>
          <w:szCs w:val="22"/>
        </w:rPr>
        <w:t>Q12. Did VAHSI deliver any unexpected outcomes in response to changes in the operating context? (Y/N, specify)</w:t>
      </w:r>
      <w:r w:rsidRPr="006B0C6C">
        <w:rPr>
          <w:rFonts w:ascii="Calibri" w:eastAsia="Calibri" w:hAnsi="Calibri" w:cs="Calibri"/>
          <w:szCs w:val="22"/>
        </w:rPr>
        <w:t xml:space="preserve"> </w:t>
      </w:r>
    </w:p>
    <w:p w14:paraId="22DAD9F6" w14:textId="04643614" w:rsidR="03DE4356" w:rsidRPr="006B0C6C" w:rsidRDefault="178FEC1E" w:rsidP="2F862C6E">
      <w:pPr>
        <w:spacing w:after="0"/>
      </w:pPr>
      <w:r w:rsidRPr="006B0C6C">
        <w:rPr>
          <w:rFonts w:ascii="Calibri" w:eastAsia="Calibri" w:hAnsi="Calibri" w:cs="Calibri"/>
          <w:szCs w:val="22"/>
        </w:rPr>
        <w:t xml:space="preserve">  </w:t>
      </w:r>
    </w:p>
    <w:p w14:paraId="47D644A9" w14:textId="77C25621" w:rsidR="03DE4356" w:rsidRPr="006B0C6C" w:rsidRDefault="178FEC1E" w:rsidP="2F862C6E">
      <w:pPr>
        <w:spacing w:after="0"/>
      </w:pPr>
      <w:r w:rsidRPr="006B0C6C">
        <w:rPr>
          <w:rFonts w:ascii="Calibri" w:eastAsia="Calibri" w:hAnsi="Calibri" w:cs="Calibri"/>
          <w:b/>
          <w:bCs/>
          <w:szCs w:val="22"/>
        </w:rPr>
        <w:t>Q13. To what extent did VAHSI align with the Partner Government’s development priorities and beneficiary needs?</w:t>
      </w:r>
      <w:r w:rsidRPr="006B0C6C">
        <w:rPr>
          <w:rFonts w:ascii="Calibri" w:eastAsia="Calibri" w:hAnsi="Calibri" w:cs="Calibri"/>
          <w:szCs w:val="22"/>
        </w:rPr>
        <w:t xml:space="preserve"> </w:t>
      </w:r>
    </w:p>
    <w:p w14:paraId="7560D19E" w14:textId="6A3F9D83" w:rsidR="03DE4356" w:rsidRPr="006B0C6C" w:rsidRDefault="03DE4356" w:rsidP="2F862C6E">
      <w:pPr>
        <w:spacing w:after="0"/>
        <w:rPr>
          <w:rFonts w:ascii="Calibri" w:eastAsia="Calibri" w:hAnsi="Calibri" w:cs="Calibri"/>
          <w:szCs w:val="22"/>
        </w:rPr>
      </w:pPr>
    </w:p>
    <w:p w14:paraId="64B805B5" w14:textId="13E85161" w:rsidR="03DE4356" w:rsidRPr="006B0C6C" w:rsidRDefault="178FEC1E" w:rsidP="00367960">
      <w:pPr>
        <w:spacing w:after="0"/>
      </w:pPr>
      <w:r w:rsidRPr="006B0C6C">
        <w:rPr>
          <w:rFonts w:ascii="Calibri" w:eastAsia="Calibri" w:hAnsi="Calibri" w:cs="Calibri"/>
          <w:szCs w:val="22"/>
        </w:rPr>
        <w:t xml:space="preserve"> </w:t>
      </w:r>
      <w:r w:rsidRPr="006B0C6C">
        <w:rPr>
          <w:rFonts w:ascii="Calibri" w:eastAsia="Calibri" w:hAnsi="Calibri" w:cs="Calibri"/>
          <w:b/>
          <w:bCs/>
          <w:i/>
          <w:iCs/>
          <w:szCs w:val="22"/>
        </w:rPr>
        <w:t>The remaining questions relate to learning lessons for future programs</w:t>
      </w:r>
    </w:p>
    <w:p w14:paraId="13612B76" w14:textId="5668C3F3" w:rsidR="03DE4356" w:rsidRPr="006B0C6C" w:rsidRDefault="178FEC1E" w:rsidP="2F862C6E">
      <w:pPr>
        <w:spacing w:after="0"/>
      </w:pPr>
      <w:r w:rsidRPr="006B0C6C">
        <w:rPr>
          <w:rFonts w:ascii="Calibri" w:eastAsia="Calibri" w:hAnsi="Calibri" w:cs="Calibri"/>
          <w:szCs w:val="22"/>
        </w:rPr>
        <w:t xml:space="preserve"> </w:t>
      </w:r>
    </w:p>
    <w:p w14:paraId="5A414906" w14:textId="7877F7FA" w:rsidR="03DE4356" w:rsidRPr="006B0C6C" w:rsidRDefault="178FEC1E" w:rsidP="2F862C6E">
      <w:pPr>
        <w:spacing w:after="0"/>
      </w:pPr>
      <w:r w:rsidRPr="006B0C6C">
        <w:rPr>
          <w:rFonts w:ascii="Calibri" w:eastAsia="Calibri" w:hAnsi="Calibri" w:cs="Calibri"/>
          <w:b/>
          <w:bCs/>
          <w:szCs w:val="22"/>
        </w:rPr>
        <w:t xml:space="preserve">Q14. Based on your experience, what would be your recommendations for improving a program such as VAHSI if it had to be implemented in future??  </w:t>
      </w:r>
    </w:p>
    <w:p w14:paraId="05A76244" w14:textId="34034569" w:rsidR="03DE4356" w:rsidRPr="006B0C6C" w:rsidRDefault="178FEC1E" w:rsidP="2F862C6E">
      <w:pPr>
        <w:spacing w:after="0"/>
      </w:pPr>
      <w:r w:rsidRPr="006B0C6C">
        <w:rPr>
          <w:rFonts w:ascii="Calibri" w:eastAsia="Calibri" w:hAnsi="Calibri" w:cs="Calibri"/>
          <w:szCs w:val="22"/>
        </w:rPr>
        <w:t xml:space="preserve"> </w:t>
      </w:r>
    </w:p>
    <w:p w14:paraId="3951D0F1" w14:textId="06F6B878" w:rsidR="03DE4356" w:rsidRPr="006B0C6C" w:rsidRDefault="178FEC1E" w:rsidP="2F862C6E">
      <w:pPr>
        <w:spacing w:after="0"/>
      </w:pPr>
      <w:r w:rsidRPr="006B0C6C">
        <w:rPr>
          <w:rFonts w:ascii="Calibri" w:eastAsia="Calibri" w:hAnsi="Calibri" w:cs="Calibri"/>
          <w:b/>
          <w:bCs/>
          <w:szCs w:val="22"/>
        </w:rPr>
        <w:t xml:space="preserve">Q15. Were there any tensions or trade-offs that could be learnt from, and did these have any implications? Have these remained? </w:t>
      </w:r>
    </w:p>
    <w:p w14:paraId="7A359AB1" w14:textId="13F57E3F" w:rsidR="03DE4356" w:rsidRPr="006B0C6C" w:rsidRDefault="178FEC1E" w:rsidP="2F862C6E">
      <w:pPr>
        <w:spacing w:after="0"/>
      </w:pPr>
      <w:r w:rsidRPr="006B0C6C">
        <w:rPr>
          <w:rFonts w:ascii="Calibri" w:eastAsia="Calibri" w:hAnsi="Calibri" w:cs="Calibri"/>
          <w:szCs w:val="22"/>
        </w:rPr>
        <w:t xml:space="preserve"> </w:t>
      </w:r>
    </w:p>
    <w:p w14:paraId="012C27DA" w14:textId="36637274" w:rsidR="03DE4356" w:rsidRPr="006B0C6C" w:rsidRDefault="178FEC1E" w:rsidP="2F862C6E">
      <w:pPr>
        <w:spacing w:after="0"/>
      </w:pPr>
      <w:r w:rsidRPr="006B0C6C">
        <w:rPr>
          <w:rFonts w:ascii="Calibri" w:eastAsia="Calibri" w:hAnsi="Calibri" w:cs="Calibri"/>
          <w:b/>
          <w:bCs/>
          <w:szCs w:val="22"/>
        </w:rPr>
        <w:t xml:space="preserve">Q16. Do you think the changes you have mentioned will continue now the investment has finished?  </w:t>
      </w:r>
    </w:p>
    <w:p w14:paraId="0B3551A2" w14:textId="5B0F4D14" w:rsidR="03DE4356" w:rsidRPr="006B0C6C" w:rsidRDefault="178FEC1E" w:rsidP="2F862C6E">
      <w:pPr>
        <w:spacing w:after="0"/>
      </w:pPr>
      <w:r w:rsidRPr="006B0C6C">
        <w:rPr>
          <w:rFonts w:ascii="Calibri" w:eastAsia="Calibri" w:hAnsi="Calibri" w:cs="Calibri"/>
          <w:szCs w:val="22"/>
        </w:rPr>
        <w:t xml:space="preserve"> </w:t>
      </w:r>
    </w:p>
    <w:p w14:paraId="4A6B7955" w14:textId="189457CA" w:rsidR="03DE4356" w:rsidRPr="006B0C6C" w:rsidRDefault="178FEC1E" w:rsidP="2F862C6E">
      <w:pPr>
        <w:spacing w:after="0"/>
      </w:pPr>
      <w:r w:rsidRPr="006B0C6C">
        <w:rPr>
          <w:rFonts w:ascii="Calibri" w:eastAsia="Calibri" w:hAnsi="Calibri" w:cs="Calibri"/>
          <w:b/>
          <w:bCs/>
          <w:szCs w:val="22"/>
        </w:rPr>
        <w:t>Q17. Is there anything else you think we should know?</w:t>
      </w:r>
    </w:p>
    <w:p w14:paraId="35CA2CA7" w14:textId="0D31EE05" w:rsidR="03DE4356" w:rsidRPr="006B0C6C" w:rsidRDefault="178FEC1E" w:rsidP="2F862C6E">
      <w:pPr>
        <w:spacing w:after="0"/>
      </w:pPr>
      <w:r w:rsidRPr="006B0C6C">
        <w:rPr>
          <w:rFonts w:ascii="Calibri" w:eastAsia="Calibri" w:hAnsi="Calibri" w:cs="Calibri"/>
          <w:szCs w:val="22"/>
        </w:rPr>
        <w:t xml:space="preserve"> </w:t>
      </w:r>
    </w:p>
    <w:p w14:paraId="46F4A71B" w14:textId="77777777" w:rsidR="00367960" w:rsidRPr="00097248" w:rsidRDefault="5FA818C9" w:rsidP="00367960">
      <w:pPr>
        <w:spacing w:after="0"/>
      </w:pPr>
      <w:r w:rsidRPr="006B0C6C">
        <w:rPr>
          <w:rFonts w:ascii="Calibri" w:eastAsia="Calibri" w:hAnsi="Calibri" w:cs="Calibri"/>
          <w:szCs w:val="22"/>
        </w:rPr>
        <w:t xml:space="preserve"> </w:t>
      </w:r>
      <w:r w:rsidR="00367960" w:rsidRPr="00097248">
        <w:rPr>
          <w:rFonts w:ascii="Calibri" w:eastAsia="Calibri" w:hAnsi="Calibri" w:cs="Calibri"/>
          <w:szCs w:val="22"/>
        </w:rPr>
        <w:t>_________________________________________________________________________________</w:t>
      </w:r>
    </w:p>
    <w:p w14:paraId="761B494C" w14:textId="0A0DE870" w:rsidR="03DE4356" w:rsidRPr="006B0C6C" w:rsidRDefault="03DE4356" w:rsidP="2F862C6E">
      <w:pPr>
        <w:spacing w:after="0"/>
      </w:pPr>
    </w:p>
    <w:p w14:paraId="61B10A45" w14:textId="619BEA34" w:rsidR="03DE4356" w:rsidRPr="006B0C6C" w:rsidRDefault="28E94BA6" w:rsidP="006B0C6C">
      <w:pPr>
        <w:spacing w:after="40"/>
        <w:rPr>
          <w:rFonts w:ascii="Calibri" w:eastAsia="Calibri" w:hAnsi="Calibri" w:cs="Calibri"/>
          <w:b/>
          <w:bCs/>
          <w:sz w:val="28"/>
          <w:szCs w:val="28"/>
        </w:rPr>
      </w:pPr>
      <w:r w:rsidRPr="006B0C6C">
        <w:rPr>
          <w:rFonts w:ascii="Calibri" w:eastAsia="Calibri" w:hAnsi="Calibri" w:cs="Calibri"/>
          <w:b/>
          <w:bCs/>
          <w:sz w:val="28"/>
          <w:szCs w:val="28"/>
        </w:rPr>
        <w:t>Interview guide for GEDSI</w:t>
      </w:r>
    </w:p>
    <w:p w14:paraId="50FF347E" w14:textId="2CEDFA9C" w:rsidR="03DE4356" w:rsidRPr="006B0C6C" w:rsidRDefault="03DE4356" w:rsidP="78860EF6"/>
    <w:p w14:paraId="4DB3BA25" w14:textId="227FA597" w:rsidR="03DE4356" w:rsidRPr="006B0C6C" w:rsidRDefault="65977C82" w:rsidP="78860EF6">
      <w:pPr>
        <w:spacing w:after="0"/>
      </w:pPr>
      <w:r w:rsidRPr="006B0C6C">
        <w:rPr>
          <w:rFonts w:ascii="Calibri" w:eastAsia="Calibri" w:hAnsi="Calibri" w:cs="Calibri"/>
          <w:szCs w:val="22"/>
        </w:rPr>
        <w:t xml:space="preserve">  </w:t>
      </w:r>
      <w:r w:rsidRPr="006B0C6C">
        <w:rPr>
          <w:rFonts w:ascii="Calibri" w:eastAsia="Calibri" w:hAnsi="Calibri" w:cs="Calibri"/>
          <w:b/>
          <w:bCs/>
          <w:i/>
          <w:iCs/>
          <w:szCs w:val="22"/>
        </w:rPr>
        <w:t>Before the interview begins, remind the interviewee:</w:t>
      </w:r>
      <w:r w:rsidRPr="006B0C6C">
        <w:rPr>
          <w:rFonts w:ascii="Calibri" w:eastAsia="Calibri" w:hAnsi="Calibri" w:cs="Calibri"/>
          <w:szCs w:val="22"/>
        </w:rPr>
        <w:t xml:space="preserve"> </w:t>
      </w:r>
    </w:p>
    <w:p w14:paraId="2AF4EFFF" w14:textId="2E012654" w:rsidR="03DE4356" w:rsidRPr="006B0C6C" w:rsidRDefault="65977C82" w:rsidP="78860EF6">
      <w:pPr>
        <w:spacing w:after="0"/>
      </w:pPr>
      <w:r w:rsidRPr="006B0C6C">
        <w:rPr>
          <w:rFonts w:ascii="Calibri" w:eastAsia="Calibri" w:hAnsi="Calibri" w:cs="Calibri"/>
          <w:b/>
          <w:bCs/>
          <w:i/>
          <w:iCs/>
          <w:szCs w:val="22"/>
        </w:rPr>
        <w:t>●</w:t>
      </w:r>
      <w:r w:rsidRPr="006B0C6C">
        <w:rPr>
          <w:rFonts w:ascii="Calibri" w:eastAsia="Calibri" w:hAnsi="Calibri" w:cs="Calibri"/>
          <w:szCs w:val="22"/>
        </w:rPr>
        <w:t xml:space="preserve"> </w:t>
      </w:r>
      <w:r w:rsidRPr="006B0C6C">
        <w:rPr>
          <w:rFonts w:ascii="Calibri" w:eastAsia="Calibri" w:hAnsi="Calibri" w:cs="Calibri"/>
          <w:b/>
          <w:bCs/>
          <w:i/>
          <w:iCs/>
          <w:szCs w:val="22"/>
        </w:rPr>
        <w:t xml:space="preserve">Objectives of this interview </w:t>
      </w:r>
      <w:r w:rsidRPr="006B0C6C">
        <w:rPr>
          <w:rFonts w:ascii="Calibri" w:eastAsia="Calibri" w:hAnsi="Calibri" w:cs="Calibri"/>
          <w:szCs w:val="22"/>
        </w:rPr>
        <w:t xml:space="preserve"> </w:t>
      </w:r>
    </w:p>
    <w:p w14:paraId="7B3E65E9" w14:textId="129EDD4E" w:rsidR="03DE4356" w:rsidRPr="006B0C6C" w:rsidRDefault="65977C82" w:rsidP="78860EF6">
      <w:pPr>
        <w:spacing w:after="0"/>
      </w:pPr>
      <w:r w:rsidRPr="006B0C6C">
        <w:rPr>
          <w:rFonts w:ascii="Calibri" w:eastAsia="Calibri" w:hAnsi="Calibri" w:cs="Calibri"/>
          <w:b/>
          <w:bCs/>
          <w:i/>
          <w:iCs/>
          <w:szCs w:val="22"/>
        </w:rPr>
        <w:t>●</w:t>
      </w:r>
      <w:r w:rsidRPr="006B0C6C">
        <w:rPr>
          <w:rFonts w:ascii="Calibri" w:eastAsia="Calibri" w:hAnsi="Calibri" w:cs="Calibri"/>
          <w:szCs w:val="22"/>
        </w:rPr>
        <w:t xml:space="preserve"> </w:t>
      </w:r>
      <w:r w:rsidRPr="006B0C6C">
        <w:rPr>
          <w:rFonts w:ascii="Calibri" w:eastAsia="Calibri" w:hAnsi="Calibri" w:cs="Calibri"/>
          <w:b/>
          <w:bCs/>
          <w:i/>
          <w:iCs/>
          <w:szCs w:val="22"/>
        </w:rPr>
        <w:t>This is not an evaluation of them or their work, but of the VAHSI initiative</w:t>
      </w:r>
      <w:r w:rsidRPr="006B0C6C">
        <w:rPr>
          <w:rFonts w:ascii="Calibri" w:eastAsia="Calibri" w:hAnsi="Calibri" w:cs="Calibri"/>
          <w:szCs w:val="22"/>
        </w:rPr>
        <w:t xml:space="preserve"> </w:t>
      </w:r>
    </w:p>
    <w:p w14:paraId="7B02708B" w14:textId="1C7AD0B1" w:rsidR="03DE4356" w:rsidRPr="006B0C6C" w:rsidRDefault="65977C82" w:rsidP="78860EF6">
      <w:pPr>
        <w:spacing w:after="0"/>
      </w:pPr>
      <w:r w:rsidRPr="006B0C6C">
        <w:rPr>
          <w:rFonts w:ascii="Calibri" w:eastAsia="Calibri" w:hAnsi="Calibri" w:cs="Calibri"/>
          <w:b/>
          <w:bCs/>
          <w:i/>
          <w:iCs/>
          <w:szCs w:val="22"/>
        </w:rPr>
        <w:t>●</w:t>
      </w:r>
      <w:r w:rsidRPr="006B0C6C">
        <w:rPr>
          <w:rFonts w:ascii="Calibri" w:eastAsia="Calibri" w:hAnsi="Calibri" w:cs="Calibri"/>
          <w:szCs w:val="22"/>
        </w:rPr>
        <w:t xml:space="preserve"> </w:t>
      </w:r>
      <w:r w:rsidRPr="006B0C6C">
        <w:rPr>
          <w:rFonts w:ascii="Calibri" w:eastAsia="Calibri" w:hAnsi="Calibri" w:cs="Calibri"/>
          <w:b/>
          <w:bCs/>
          <w:i/>
          <w:iCs/>
          <w:szCs w:val="22"/>
        </w:rPr>
        <w:t>All responses will be kept confidential; no names will be used in the report</w:t>
      </w:r>
      <w:r w:rsidRPr="006B0C6C">
        <w:rPr>
          <w:rFonts w:ascii="Calibri" w:eastAsia="Calibri" w:hAnsi="Calibri" w:cs="Calibri"/>
          <w:szCs w:val="22"/>
        </w:rPr>
        <w:t xml:space="preserve"> </w:t>
      </w:r>
    </w:p>
    <w:p w14:paraId="3A4030A8" w14:textId="108043E2" w:rsidR="03DE4356" w:rsidRPr="006B0C6C" w:rsidRDefault="65977C82" w:rsidP="78860EF6">
      <w:pPr>
        <w:spacing w:after="0"/>
      </w:pPr>
      <w:r w:rsidRPr="006B0C6C">
        <w:rPr>
          <w:rFonts w:ascii="Calibri" w:eastAsia="Calibri" w:hAnsi="Calibri" w:cs="Calibri"/>
          <w:b/>
          <w:bCs/>
          <w:i/>
          <w:iCs/>
          <w:szCs w:val="22"/>
        </w:rPr>
        <w:t>●</w:t>
      </w:r>
      <w:r w:rsidRPr="006B0C6C">
        <w:rPr>
          <w:rFonts w:ascii="Calibri" w:eastAsia="Calibri" w:hAnsi="Calibri" w:cs="Calibri"/>
          <w:szCs w:val="22"/>
        </w:rPr>
        <w:t xml:space="preserve"> </w:t>
      </w:r>
      <w:r w:rsidRPr="006B0C6C">
        <w:rPr>
          <w:rFonts w:ascii="Calibri" w:eastAsia="Calibri" w:hAnsi="Calibri" w:cs="Calibri"/>
          <w:b/>
          <w:bCs/>
          <w:i/>
          <w:iCs/>
          <w:szCs w:val="22"/>
        </w:rPr>
        <w:t>Do they have questions or clarifications?</w:t>
      </w:r>
      <w:r w:rsidRPr="006B0C6C">
        <w:rPr>
          <w:rFonts w:ascii="Calibri" w:eastAsia="Calibri" w:hAnsi="Calibri" w:cs="Calibri"/>
          <w:szCs w:val="22"/>
        </w:rPr>
        <w:t xml:space="preserve"> </w:t>
      </w:r>
    </w:p>
    <w:p w14:paraId="0ACDB4DA" w14:textId="4EA76CC9" w:rsidR="03DE4356" w:rsidRPr="006B0C6C" w:rsidRDefault="65977C82" w:rsidP="78860EF6">
      <w:pPr>
        <w:spacing w:after="0"/>
      </w:pPr>
      <w:r w:rsidRPr="006B0C6C">
        <w:rPr>
          <w:rFonts w:ascii="Calibri" w:eastAsia="Calibri" w:hAnsi="Calibri" w:cs="Calibri"/>
          <w:szCs w:val="22"/>
        </w:rPr>
        <w:t xml:space="preserve"> </w:t>
      </w:r>
    </w:p>
    <w:p w14:paraId="46DC6DFC" w14:textId="58A30891" w:rsidR="03DE4356" w:rsidRPr="006B0C6C" w:rsidRDefault="65977C82" w:rsidP="78860EF6">
      <w:pPr>
        <w:spacing w:before="60" w:after="60"/>
      </w:pPr>
      <w:r w:rsidRPr="006B0C6C">
        <w:rPr>
          <w:rFonts w:ascii="Calibri" w:eastAsia="Calibri" w:hAnsi="Calibri" w:cs="Calibri"/>
          <w:b/>
          <w:bCs/>
          <w:szCs w:val="22"/>
        </w:rPr>
        <w:t xml:space="preserve">Partner Specific:  Could you describe your </w:t>
      </w:r>
      <w:proofErr w:type="gramStart"/>
      <w:r w:rsidRPr="006B0C6C">
        <w:rPr>
          <w:rFonts w:ascii="Calibri" w:eastAsia="Calibri" w:hAnsi="Calibri" w:cs="Calibri"/>
          <w:b/>
          <w:bCs/>
          <w:szCs w:val="22"/>
        </w:rPr>
        <w:t>particular project (s)/program</w:t>
      </w:r>
      <w:proofErr w:type="gramEnd"/>
      <w:r w:rsidRPr="006B0C6C">
        <w:rPr>
          <w:rFonts w:ascii="Calibri" w:eastAsia="Calibri" w:hAnsi="Calibri" w:cs="Calibri"/>
          <w:b/>
          <w:bCs/>
          <w:szCs w:val="22"/>
        </w:rPr>
        <w:t xml:space="preserve"> and how / what stage engaged with DFAT VAHSI – was that integrated into pre-existing programming / additional?  </w:t>
      </w:r>
    </w:p>
    <w:p w14:paraId="57B9FA84" w14:textId="3033B69C" w:rsidR="03DE4356" w:rsidRPr="006B0C6C" w:rsidRDefault="65977C82" w:rsidP="78860EF6">
      <w:pPr>
        <w:spacing w:before="60" w:after="60"/>
      </w:pPr>
      <w:r w:rsidRPr="006B0C6C">
        <w:rPr>
          <w:rFonts w:ascii="Calibri" w:eastAsia="Calibri" w:hAnsi="Calibri" w:cs="Calibri"/>
          <w:b/>
          <w:bCs/>
          <w:szCs w:val="22"/>
        </w:rPr>
        <w:t xml:space="preserve">  </w:t>
      </w:r>
    </w:p>
    <w:p w14:paraId="6FB381E0" w14:textId="19F62B40" w:rsidR="03DE4356" w:rsidRPr="006B0C6C" w:rsidRDefault="65977C82" w:rsidP="78860EF6">
      <w:pPr>
        <w:spacing w:before="60" w:after="60"/>
      </w:pPr>
      <w:r w:rsidRPr="006B0C6C">
        <w:rPr>
          <w:rFonts w:ascii="Calibri" w:eastAsia="Calibri" w:hAnsi="Calibri" w:cs="Calibri"/>
          <w:b/>
          <w:bCs/>
          <w:szCs w:val="22"/>
        </w:rPr>
        <w:t>Q1. DFAT Expectations: Through its management of this initiative, to what extent was DFAT able to communicate and support its strategic policy position regarding GEDSI as detailed in the Strategic Investment Framework (and respective policies)? Were you aware that VAHSI had its own GEDSI Strategy?</w:t>
      </w:r>
    </w:p>
    <w:p w14:paraId="25604FA7" w14:textId="2A0EFE91" w:rsidR="03DE4356" w:rsidRPr="006B0C6C" w:rsidRDefault="65977C82" w:rsidP="78860EF6">
      <w:pPr>
        <w:spacing w:before="60" w:after="60"/>
      </w:pPr>
      <w:r w:rsidRPr="006B0C6C">
        <w:rPr>
          <w:rFonts w:ascii="Calibri" w:eastAsia="Calibri" w:hAnsi="Calibri" w:cs="Calibri"/>
          <w:szCs w:val="22"/>
        </w:rPr>
        <w:t xml:space="preserve">  </w:t>
      </w:r>
    </w:p>
    <w:p w14:paraId="50AA32F9" w14:textId="68AE651B" w:rsidR="03DE4356" w:rsidRDefault="65977C82" w:rsidP="78860EF6">
      <w:pPr>
        <w:spacing w:before="60" w:after="60"/>
        <w:rPr>
          <w:rFonts w:ascii="Calibri" w:eastAsia="Calibri" w:hAnsi="Calibri" w:cs="Calibri"/>
          <w:b/>
          <w:bCs/>
          <w:szCs w:val="22"/>
        </w:rPr>
      </w:pPr>
      <w:r w:rsidRPr="006B0C6C">
        <w:rPr>
          <w:rFonts w:ascii="Calibri" w:eastAsia="Calibri" w:hAnsi="Calibri" w:cs="Calibri"/>
          <w:b/>
          <w:bCs/>
          <w:szCs w:val="22"/>
        </w:rPr>
        <w:t>Q2. Reporting: To what extent did the VAHSI M&amp;E system serve to capture progress against GEDSI expectations and thus provide scope for response? Did you use VAHSI reporting templates? Did you have scope to provide the expected disaggregated data (gender, disability etc) – report against the Performance Assessment Framework (</w:t>
      </w:r>
      <w:proofErr w:type="gramStart"/>
      <w:r w:rsidRPr="006B0C6C">
        <w:rPr>
          <w:rFonts w:ascii="Calibri" w:eastAsia="Calibri" w:hAnsi="Calibri" w:cs="Calibri"/>
          <w:b/>
          <w:bCs/>
          <w:szCs w:val="22"/>
        </w:rPr>
        <w:t>PAF )</w:t>
      </w:r>
      <w:proofErr w:type="gramEnd"/>
      <w:r w:rsidRPr="006B0C6C">
        <w:rPr>
          <w:rFonts w:ascii="Calibri" w:eastAsia="Calibri" w:hAnsi="Calibri" w:cs="Calibri"/>
          <w:b/>
          <w:bCs/>
          <w:szCs w:val="22"/>
        </w:rPr>
        <w:t xml:space="preserve"> – or have visibility of same? Feedback on reporting from CBR/Post – regarding GEDSI/ </w:t>
      </w:r>
      <w:proofErr w:type="spellStart"/>
      <w:r w:rsidRPr="006B0C6C">
        <w:rPr>
          <w:rFonts w:ascii="Calibri" w:eastAsia="Calibri" w:hAnsi="Calibri" w:cs="Calibri"/>
          <w:b/>
          <w:bCs/>
          <w:szCs w:val="22"/>
        </w:rPr>
        <w:t>disagg</w:t>
      </w:r>
      <w:proofErr w:type="spellEnd"/>
      <w:r w:rsidRPr="006B0C6C">
        <w:rPr>
          <w:rFonts w:ascii="Calibri" w:eastAsia="Calibri" w:hAnsi="Calibri" w:cs="Calibri"/>
          <w:b/>
          <w:bCs/>
          <w:szCs w:val="22"/>
        </w:rPr>
        <w:t xml:space="preserve"> data </w:t>
      </w:r>
      <w:proofErr w:type="gramStart"/>
      <w:r w:rsidRPr="006B0C6C">
        <w:rPr>
          <w:rFonts w:ascii="Calibri" w:eastAsia="Calibri" w:hAnsi="Calibri" w:cs="Calibri"/>
          <w:b/>
          <w:bCs/>
          <w:szCs w:val="22"/>
        </w:rPr>
        <w:t>etc ?</w:t>
      </w:r>
      <w:proofErr w:type="gramEnd"/>
    </w:p>
    <w:p w14:paraId="0569B9F1" w14:textId="77777777" w:rsidR="00367960" w:rsidRPr="006B0C6C" w:rsidRDefault="00367960" w:rsidP="78860EF6">
      <w:pPr>
        <w:spacing w:before="60" w:after="60"/>
      </w:pPr>
    </w:p>
    <w:p w14:paraId="7AA0DEE4" w14:textId="0FC74BA1" w:rsidR="03DE4356" w:rsidRPr="006B0C6C" w:rsidRDefault="65977C82" w:rsidP="78860EF6">
      <w:pPr>
        <w:spacing w:before="60" w:after="60"/>
      </w:pPr>
      <w:r w:rsidRPr="006B0C6C">
        <w:rPr>
          <w:rFonts w:ascii="Calibri" w:eastAsia="Calibri" w:hAnsi="Calibri" w:cs="Calibri"/>
          <w:szCs w:val="22"/>
        </w:rPr>
        <w:t xml:space="preserve"> </w:t>
      </w:r>
      <w:r w:rsidRPr="006B0C6C">
        <w:rPr>
          <w:rFonts w:ascii="Calibri" w:eastAsia="Calibri" w:hAnsi="Calibri" w:cs="Calibri"/>
          <w:b/>
          <w:bCs/>
          <w:szCs w:val="22"/>
        </w:rPr>
        <w:t xml:space="preserve">Q3. VAHSI was intended to provide “inclusive and equitable access to vaccines - Was vaccine delivery inclusive and equitable, and how can we know? What were the biggest challenges to equitable delivery (include here the availability of disaggregated data?) </w:t>
      </w:r>
    </w:p>
    <w:p w14:paraId="5A6B07ED" w14:textId="041E7791" w:rsidR="03DE4356" w:rsidRPr="006B0C6C" w:rsidRDefault="65977C82" w:rsidP="78860EF6">
      <w:pPr>
        <w:spacing w:before="60" w:after="60"/>
      </w:pPr>
      <w:r w:rsidRPr="006B0C6C">
        <w:rPr>
          <w:rFonts w:ascii="Calibri" w:eastAsia="Calibri" w:hAnsi="Calibri" w:cs="Calibri"/>
          <w:szCs w:val="22"/>
        </w:rPr>
        <w:t xml:space="preserve">  </w:t>
      </w:r>
    </w:p>
    <w:p w14:paraId="3557C1F8" w14:textId="44979CF7" w:rsidR="03DE4356" w:rsidRPr="006B0C6C" w:rsidRDefault="65977C82" w:rsidP="78860EF6">
      <w:pPr>
        <w:spacing w:before="60" w:after="60"/>
      </w:pPr>
      <w:r w:rsidRPr="006B0C6C">
        <w:rPr>
          <w:rFonts w:ascii="Calibri" w:eastAsia="Calibri" w:hAnsi="Calibri" w:cs="Calibri"/>
          <w:b/>
          <w:bCs/>
          <w:szCs w:val="22"/>
        </w:rPr>
        <w:t xml:space="preserve">Q4. To what extent were barriers to vaccine access identified and how (for example through </w:t>
      </w:r>
      <w:r w:rsidRPr="006B0C6C">
        <w:rPr>
          <w:rFonts w:ascii="Calibri" w:eastAsia="Calibri" w:hAnsi="Calibri" w:cs="Calibri"/>
          <w:b/>
          <w:bCs/>
          <w:szCs w:val="22"/>
          <w:u w:val="single"/>
        </w:rPr>
        <w:t xml:space="preserve">GEDSI analyses </w:t>
      </w:r>
      <w:r w:rsidRPr="006B0C6C">
        <w:rPr>
          <w:rFonts w:ascii="Calibri" w:eastAsia="Calibri" w:hAnsi="Calibri" w:cs="Calibri"/>
          <w:b/>
          <w:bCs/>
          <w:szCs w:val="22"/>
        </w:rPr>
        <w:t xml:space="preserve">– either pre-existing or VAHSI specific)?  </w:t>
      </w:r>
      <w:r w:rsidR="000E39CA" w:rsidRPr="006B0C6C">
        <w:rPr>
          <w:rFonts w:ascii="Calibri" w:eastAsia="Calibri" w:hAnsi="Calibri" w:cs="Calibri"/>
          <w:b/>
          <w:bCs/>
          <w:szCs w:val="22"/>
        </w:rPr>
        <w:t>I.e.</w:t>
      </w:r>
      <w:r w:rsidRPr="006B0C6C">
        <w:rPr>
          <w:rFonts w:ascii="Calibri" w:eastAsia="Calibri" w:hAnsi="Calibri" w:cs="Calibri"/>
          <w:b/>
          <w:bCs/>
          <w:szCs w:val="22"/>
        </w:rPr>
        <w:t xml:space="preserve"> Were partners broadly undertaking GEDSI analyses for either COVID vaccine / routine vaccination programs- was this guided by the GEDSI Strategy or internal strategy and guidelines? </w:t>
      </w:r>
    </w:p>
    <w:p w14:paraId="555FAEDB" w14:textId="633BC317" w:rsidR="03DE4356" w:rsidRPr="006B0C6C" w:rsidRDefault="65977C82" w:rsidP="78860EF6">
      <w:pPr>
        <w:spacing w:before="60" w:after="60"/>
      </w:pPr>
      <w:r w:rsidRPr="006B0C6C">
        <w:rPr>
          <w:rFonts w:ascii="Calibri" w:eastAsia="Calibri" w:hAnsi="Calibri" w:cs="Calibri"/>
          <w:szCs w:val="22"/>
        </w:rPr>
        <w:t xml:space="preserve">  </w:t>
      </w:r>
    </w:p>
    <w:p w14:paraId="07D3EE1F" w14:textId="076D920A" w:rsidR="03DE4356" w:rsidRPr="006B0C6C" w:rsidRDefault="65977C82" w:rsidP="78860EF6">
      <w:pPr>
        <w:spacing w:before="60" w:after="60"/>
      </w:pPr>
      <w:r w:rsidRPr="006B0C6C">
        <w:rPr>
          <w:rFonts w:ascii="Calibri" w:eastAsia="Calibri" w:hAnsi="Calibri" w:cs="Calibri"/>
          <w:b/>
          <w:bCs/>
          <w:color w:val="000000" w:themeColor="text1"/>
          <w:szCs w:val="22"/>
        </w:rPr>
        <w:t xml:space="preserve">Q5. Were women, people with disabilities and other marginalised groups (and or their representative organisations) meaningfully </w:t>
      </w:r>
      <w:r w:rsidRPr="006B0C6C">
        <w:rPr>
          <w:rFonts w:ascii="Calibri" w:eastAsia="Calibri" w:hAnsi="Calibri" w:cs="Calibri"/>
          <w:b/>
          <w:bCs/>
          <w:color w:val="000000" w:themeColor="text1"/>
          <w:szCs w:val="22"/>
          <w:u w:val="single"/>
        </w:rPr>
        <w:t xml:space="preserve">engaged </w:t>
      </w:r>
      <w:r w:rsidRPr="006B0C6C">
        <w:rPr>
          <w:rFonts w:ascii="Calibri" w:eastAsia="Calibri" w:hAnsi="Calibri" w:cs="Calibri"/>
          <w:b/>
          <w:bCs/>
          <w:color w:val="000000" w:themeColor="text1"/>
          <w:szCs w:val="22"/>
        </w:rPr>
        <w:t xml:space="preserve">in the planning, decision making and implementation of programs? </w:t>
      </w:r>
      <w:r w:rsidRPr="00680011">
        <w:rPr>
          <w:rFonts w:ascii="Calibri" w:eastAsia="Calibri" w:hAnsi="Calibri" w:cs="Calibri"/>
          <w:b/>
          <w:bCs/>
          <w:szCs w:val="22"/>
        </w:rPr>
        <w:t xml:space="preserve">Do you have examples of where women, people with disabilities and other marginalised groups etc involved? </w:t>
      </w:r>
      <w:r w:rsidR="000E39CA" w:rsidRPr="00680011">
        <w:rPr>
          <w:rFonts w:ascii="Calibri" w:eastAsia="Calibri" w:hAnsi="Calibri" w:cs="Calibri"/>
          <w:b/>
          <w:bCs/>
          <w:szCs w:val="22"/>
        </w:rPr>
        <w:t>i.e.</w:t>
      </w:r>
      <w:r w:rsidRPr="00680011">
        <w:rPr>
          <w:rFonts w:ascii="Calibri" w:eastAsia="Calibri" w:hAnsi="Calibri" w:cs="Calibri"/>
          <w:b/>
          <w:bCs/>
          <w:szCs w:val="22"/>
        </w:rPr>
        <w:t xml:space="preserve"> not just as a community collective – but as focused groups? </w:t>
      </w:r>
    </w:p>
    <w:p w14:paraId="0E95A04E" w14:textId="0A8BD55F" w:rsidR="03DE4356" w:rsidRPr="006B0C6C" w:rsidRDefault="65977C82" w:rsidP="78860EF6">
      <w:pPr>
        <w:spacing w:before="60" w:after="60"/>
      </w:pPr>
      <w:r w:rsidRPr="006B0C6C">
        <w:rPr>
          <w:rFonts w:ascii="Calibri" w:eastAsia="Calibri" w:hAnsi="Calibri" w:cs="Calibri"/>
          <w:szCs w:val="22"/>
        </w:rPr>
        <w:t xml:space="preserve"> </w:t>
      </w:r>
    </w:p>
    <w:p w14:paraId="446CB662" w14:textId="440F1310" w:rsidR="03DE4356" w:rsidRPr="00680011" w:rsidRDefault="65977C82" w:rsidP="78860EF6">
      <w:pPr>
        <w:spacing w:before="60" w:after="60"/>
        <w:rPr>
          <w:rFonts w:ascii="Calibri" w:eastAsia="Calibri" w:hAnsi="Calibri" w:cs="Calibri"/>
          <w:b/>
          <w:bCs/>
          <w:szCs w:val="22"/>
        </w:rPr>
      </w:pPr>
      <w:r w:rsidRPr="006B0C6C">
        <w:rPr>
          <w:rFonts w:ascii="Calibri" w:eastAsia="Calibri" w:hAnsi="Calibri" w:cs="Calibri"/>
          <w:b/>
          <w:bCs/>
          <w:szCs w:val="22"/>
        </w:rPr>
        <w:t xml:space="preserve">Q6. Were GEDSI considerations /barriers incorporated into training and other </w:t>
      </w:r>
      <w:r w:rsidRPr="006B0C6C">
        <w:rPr>
          <w:rFonts w:ascii="Calibri" w:eastAsia="Calibri" w:hAnsi="Calibri" w:cs="Calibri"/>
          <w:b/>
          <w:bCs/>
          <w:szCs w:val="22"/>
          <w:u w:val="single"/>
        </w:rPr>
        <w:t>workforce</w:t>
      </w:r>
      <w:r w:rsidRPr="006B0C6C">
        <w:rPr>
          <w:rFonts w:ascii="Calibri" w:eastAsia="Calibri" w:hAnsi="Calibri" w:cs="Calibri"/>
          <w:b/>
          <w:bCs/>
          <w:szCs w:val="22"/>
        </w:rPr>
        <w:t xml:space="preserve"> development activities? </w:t>
      </w:r>
      <w:r w:rsidRPr="00680011">
        <w:rPr>
          <w:rFonts w:ascii="Calibri" w:eastAsia="Calibri" w:hAnsi="Calibri" w:cs="Calibri"/>
          <w:b/>
          <w:bCs/>
          <w:szCs w:val="22"/>
        </w:rPr>
        <w:t>Do you have any awareness of where GEDSI was mainstreamed into workforce training?</w:t>
      </w:r>
    </w:p>
    <w:p w14:paraId="115B35B7" w14:textId="77777777" w:rsidR="00367960" w:rsidRPr="006B0C6C" w:rsidRDefault="00367960" w:rsidP="78860EF6">
      <w:pPr>
        <w:spacing w:before="60" w:after="60"/>
      </w:pPr>
    </w:p>
    <w:p w14:paraId="08FD1A13" w14:textId="0C1C0934" w:rsidR="03DE4356" w:rsidRPr="006B0C6C" w:rsidRDefault="65977C82" w:rsidP="78860EF6">
      <w:pPr>
        <w:spacing w:before="60" w:after="60"/>
      </w:pPr>
      <w:r w:rsidRPr="006B0C6C">
        <w:rPr>
          <w:rFonts w:ascii="Calibri" w:eastAsia="Calibri" w:hAnsi="Calibri" w:cs="Calibri"/>
          <w:szCs w:val="22"/>
        </w:rPr>
        <w:t xml:space="preserve"> </w:t>
      </w:r>
      <w:r w:rsidRPr="006B0C6C">
        <w:rPr>
          <w:rFonts w:ascii="Calibri" w:eastAsia="Calibri" w:hAnsi="Calibri" w:cs="Calibri"/>
          <w:b/>
          <w:bCs/>
          <w:szCs w:val="22"/>
        </w:rPr>
        <w:t xml:space="preserve">Q7. To what extent did partner communication products/public health information address accessibility /GEDSI concerns? Do you have any examples of particularly effective </w:t>
      </w:r>
      <w:proofErr w:type="gramStart"/>
      <w:r w:rsidRPr="006B0C6C">
        <w:rPr>
          <w:rFonts w:ascii="Calibri" w:eastAsia="Calibri" w:hAnsi="Calibri" w:cs="Calibri"/>
          <w:b/>
          <w:bCs/>
          <w:szCs w:val="22"/>
        </w:rPr>
        <w:t>examples ?</w:t>
      </w:r>
      <w:proofErr w:type="gramEnd"/>
      <w:r w:rsidRPr="006B0C6C">
        <w:rPr>
          <w:rFonts w:ascii="Calibri" w:eastAsia="Calibri" w:hAnsi="Calibri" w:cs="Calibri"/>
          <w:b/>
          <w:bCs/>
          <w:szCs w:val="22"/>
        </w:rPr>
        <w:t xml:space="preserve"> </w:t>
      </w:r>
    </w:p>
    <w:p w14:paraId="7674F747" w14:textId="645B1814" w:rsidR="03DE4356" w:rsidRPr="006B0C6C" w:rsidRDefault="65977C82" w:rsidP="78860EF6">
      <w:pPr>
        <w:spacing w:before="60" w:after="60"/>
      </w:pPr>
      <w:r w:rsidRPr="006B0C6C">
        <w:rPr>
          <w:rFonts w:ascii="Calibri" w:eastAsia="Calibri" w:hAnsi="Calibri" w:cs="Calibri"/>
          <w:szCs w:val="22"/>
        </w:rPr>
        <w:t xml:space="preserve">  </w:t>
      </w:r>
    </w:p>
    <w:p w14:paraId="0EE6E004" w14:textId="02CFC741" w:rsidR="03DE4356" w:rsidRPr="006B0C6C" w:rsidRDefault="65977C82" w:rsidP="78860EF6">
      <w:pPr>
        <w:spacing w:before="60" w:after="60"/>
      </w:pPr>
      <w:r w:rsidRPr="006B0C6C">
        <w:rPr>
          <w:rFonts w:ascii="Calibri" w:eastAsia="Calibri" w:hAnsi="Calibri" w:cs="Calibri"/>
          <w:b/>
          <w:bCs/>
          <w:szCs w:val="22"/>
        </w:rPr>
        <w:t>Q8. What evidence is there of effective strategies to address GEDSI in programming (including illustrative stories of good practice)?</w:t>
      </w:r>
    </w:p>
    <w:p w14:paraId="795C7B50" w14:textId="7806513B" w:rsidR="03DE4356" w:rsidRPr="006B0C6C" w:rsidRDefault="65977C82" w:rsidP="78860EF6">
      <w:pPr>
        <w:spacing w:before="60" w:after="60"/>
      </w:pPr>
      <w:r w:rsidRPr="006B0C6C">
        <w:rPr>
          <w:rFonts w:ascii="Calibri" w:eastAsia="Calibri" w:hAnsi="Calibri" w:cs="Calibri"/>
          <w:szCs w:val="22"/>
        </w:rPr>
        <w:t xml:space="preserve">  </w:t>
      </w:r>
    </w:p>
    <w:p w14:paraId="22B89428" w14:textId="0BBFD0FF" w:rsidR="03DE4356" w:rsidRPr="006B0C6C" w:rsidRDefault="65977C82" w:rsidP="78860EF6">
      <w:pPr>
        <w:spacing w:before="60" w:after="60"/>
      </w:pPr>
      <w:r w:rsidRPr="006B0C6C">
        <w:rPr>
          <w:rFonts w:ascii="Calibri" w:eastAsia="Calibri" w:hAnsi="Calibri" w:cs="Calibri"/>
          <w:b/>
          <w:bCs/>
          <w:szCs w:val="22"/>
        </w:rPr>
        <w:t xml:space="preserve">Q9. What might you /DFAT do differently next time to </w:t>
      </w:r>
    </w:p>
    <w:p w14:paraId="675D0080" w14:textId="6CEDBBB2" w:rsidR="03DE4356" w:rsidRPr="00123E2D" w:rsidRDefault="65977C82" w:rsidP="78860EF6">
      <w:pPr>
        <w:pStyle w:val="ListParagraph"/>
        <w:spacing w:after="0"/>
        <w:ind w:left="360" w:hanging="357"/>
        <w:rPr>
          <w:rFonts w:ascii="Calibri" w:eastAsia="Calibri" w:hAnsi="Calibri" w:cs="Calibri"/>
          <w:b/>
          <w:bCs/>
          <w:szCs w:val="22"/>
          <w:lang w:val="en-AU"/>
        </w:rPr>
      </w:pPr>
      <w:r w:rsidRPr="00123E2D">
        <w:rPr>
          <w:rFonts w:ascii="Calibri" w:eastAsia="Calibri" w:hAnsi="Calibri" w:cs="Calibri"/>
          <w:b/>
          <w:bCs/>
          <w:szCs w:val="22"/>
          <w:lang w:val="en-AU"/>
        </w:rPr>
        <w:t xml:space="preserve">ensure gender equality and </w:t>
      </w:r>
    </w:p>
    <w:p w14:paraId="33B48CB7" w14:textId="67AAF289" w:rsidR="03DE4356" w:rsidRPr="00123E2D" w:rsidRDefault="65977C82" w:rsidP="78860EF6">
      <w:pPr>
        <w:pStyle w:val="ListParagraph"/>
        <w:spacing w:after="0"/>
        <w:ind w:left="360" w:hanging="357"/>
        <w:rPr>
          <w:rFonts w:ascii="Calibri" w:eastAsia="Calibri" w:hAnsi="Calibri" w:cs="Calibri"/>
          <w:b/>
          <w:bCs/>
          <w:szCs w:val="22"/>
          <w:lang w:val="en-AU"/>
        </w:rPr>
      </w:pPr>
      <w:r w:rsidRPr="00123E2D">
        <w:rPr>
          <w:rFonts w:ascii="Calibri" w:eastAsia="Calibri" w:hAnsi="Calibri" w:cs="Calibri"/>
          <w:b/>
          <w:bCs/>
          <w:szCs w:val="22"/>
          <w:lang w:val="en-AU"/>
        </w:rPr>
        <w:t>enhance the targeting and or inclusion of people with disabilities / vulnerable groups</w:t>
      </w:r>
    </w:p>
    <w:p w14:paraId="1AF95247" w14:textId="243BE0CE" w:rsidR="03DE4356" w:rsidRPr="006B0C6C" w:rsidRDefault="65977C82" w:rsidP="78860EF6">
      <w:pPr>
        <w:spacing w:before="60" w:after="60"/>
      </w:pPr>
      <w:r w:rsidRPr="006B0C6C">
        <w:rPr>
          <w:rFonts w:ascii="Calibri" w:eastAsia="Calibri" w:hAnsi="Calibri" w:cs="Calibri"/>
          <w:b/>
          <w:bCs/>
          <w:szCs w:val="22"/>
        </w:rPr>
        <w:t xml:space="preserve"> </w:t>
      </w:r>
    </w:p>
    <w:p w14:paraId="75EC287D" w14:textId="561E175B" w:rsidR="03DE4356" w:rsidRPr="006B0C6C" w:rsidRDefault="65977C82" w:rsidP="78860EF6">
      <w:pPr>
        <w:spacing w:before="60" w:after="60"/>
        <w:rPr>
          <w:rFonts w:ascii="Calibri" w:eastAsia="Calibri" w:hAnsi="Calibri" w:cs="Calibri"/>
          <w:b/>
          <w:bCs/>
          <w:szCs w:val="22"/>
        </w:rPr>
      </w:pPr>
      <w:r w:rsidRPr="006B0C6C">
        <w:rPr>
          <w:rFonts w:ascii="Calibri" w:eastAsia="Calibri" w:hAnsi="Calibri" w:cs="Calibri"/>
          <w:b/>
          <w:bCs/>
          <w:szCs w:val="22"/>
        </w:rPr>
        <w:t xml:space="preserve"> Q10. Anything else you think that we should know – but I haven’t </w:t>
      </w:r>
      <w:proofErr w:type="gramStart"/>
      <w:r w:rsidRPr="006B0C6C">
        <w:rPr>
          <w:rFonts w:ascii="Calibri" w:eastAsia="Calibri" w:hAnsi="Calibri" w:cs="Calibri"/>
          <w:b/>
          <w:bCs/>
          <w:szCs w:val="22"/>
        </w:rPr>
        <w:t>asked ?</w:t>
      </w:r>
      <w:proofErr w:type="gramEnd"/>
    </w:p>
    <w:p w14:paraId="13D625E4" w14:textId="2E983BA4" w:rsidR="78860EF6" w:rsidRPr="006B0C6C" w:rsidRDefault="78860EF6">
      <w:r w:rsidRPr="006B0C6C">
        <w:br w:type="page"/>
      </w:r>
    </w:p>
    <w:p w14:paraId="71C1D6D4" w14:textId="43448CE3" w:rsidR="03DE4356" w:rsidRPr="006B0C6C" w:rsidRDefault="03DE4356" w:rsidP="7388A156">
      <w:pPr>
        <w:pStyle w:val="Heading1SHS"/>
        <w:numPr>
          <w:ilvl w:val="0"/>
          <w:numId w:val="0"/>
        </w:numPr>
        <w:rPr>
          <w:rFonts w:eastAsia="Calibri" w:cs="Calibri"/>
        </w:rPr>
      </w:pPr>
      <w:bookmarkStart w:id="333" w:name="_Toc200617314"/>
      <w:r w:rsidRPr="006B0C6C">
        <w:t xml:space="preserve">Annex </w:t>
      </w:r>
      <w:r w:rsidR="0006473F">
        <w:t>8</w:t>
      </w:r>
      <w:r w:rsidRPr="006B0C6C">
        <w:t xml:space="preserve">: </w:t>
      </w:r>
      <w:r w:rsidR="64167E54" w:rsidRPr="006B0C6C">
        <w:t>Number of COVID-19 doses shared from Australia's supply, procured by Australia, or distributed through the COVAX Facility</w:t>
      </w:r>
      <w:r w:rsidR="731FB3DE" w:rsidRPr="006B0C6C">
        <w:t>,</w:t>
      </w:r>
      <w:r w:rsidR="64167E54" w:rsidRPr="006B0C6C">
        <w:t xml:space="preserve"> May 2023</w:t>
      </w:r>
      <w:bookmarkEnd w:id="333"/>
    </w:p>
    <w:p w14:paraId="234CBB0A" w14:textId="76B7887A" w:rsidR="7388A156" w:rsidRPr="006B0C6C" w:rsidRDefault="7388A156" w:rsidP="7388A156"/>
    <w:p w14:paraId="19E09C49" w14:textId="23F87A50" w:rsidR="64167E54" w:rsidRPr="006B0C6C" w:rsidRDefault="64167E54" w:rsidP="7388A156">
      <w:pPr>
        <w:spacing w:after="160" w:line="257" w:lineRule="auto"/>
      </w:pPr>
      <w:r w:rsidRPr="006B0C6C">
        <w:t>A: Pacific Island countries</w:t>
      </w:r>
      <w:r w:rsidRPr="006B0C6C">
        <w:rPr>
          <w:rFonts w:ascii="Calibri" w:eastAsia="Calibri" w:hAnsi="Calibri" w:cs="Calibri"/>
          <w:b/>
          <w:bCs/>
          <w:szCs w:val="22"/>
        </w:rPr>
        <w:t xml:space="preserve"> </w:t>
      </w:r>
    </w:p>
    <w:tbl>
      <w:tblPr>
        <w:tblStyle w:val="SHSReportTable"/>
        <w:tblW w:w="9216" w:type="dxa"/>
        <w:tblLayout w:type="fixed"/>
        <w:tblLook w:val="04A0" w:firstRow="1" w:lastRow="0" w:firstColumn="1" w:lastColumn="0" w:noHBand="0" w:noVBand="1"/>
      </w:tblPr>
      <w:tblGrid>
        <w:gridCol w:w="1185"/>
        <w:gridCol w:w="1065"/>
        <w:gridCol w:w="1221"/>
        <w:gridCol w:w="914"/>
        <w:gridCol w:w="914"/>
        <w:gridCol w:w="914"/>
        <w:gridCol w:w="1020"/>
        <w:gridCol w:w="944"/>
        <w:gridCol w:w="1039"/>
      </w:tblGrid>
      <w:tr w:rsidR="7388A156" w:rsidRPr="00123E2D" w14:paraId="73F54DC8" w14:textId="77777777" w:rsidTr="00477706">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185" w:type="dxa"/>
            <w:shd w:val="clear" w:color="auto" w:fill="BFBFBF" w:themeFill="background1" w:themeFillShade="BF"/>
            <w:tcMar>
              <w:left w:w="108" w:type="dxa"/>
              <w:right w:w="108" w:type="dxa"/>
            </w:tcMar>
          </w:tcPr>
          <w:p w14:paraId="0C3703EE" w14:textId="47D41280" w:rsidR="7388A156" w:rsidRPr="008F18F3" w:rsidRDefault="7388A156" w:rsidP="7388A156">
            <w:pPr>
              <w:spacing w:after="0"/>
              <w:rPr>
                <w:rFonts w:ascii="Calibri" w:eastAsia="Calibri" w:hAnsi="Calibri" w:cs="Calibri"/>
                <w:b w:val="0"/>
                <w:bCs/>
                <w:color w:val="auto"/>
                <w:sz w:val="18"/>
                <w:szCs w:val="18"/>
              </w:rPr>
            </w:pPr>
            <w:r w:rsidRPr="008F18F3">
              <w:rPr>
                <w:rFonts w:ascii="Calibri" w:eastAsia="Calibri" w:hAnsi="Calibri" w:cs="Calibri"/>
                <w:bCs/>
                <w:color w:val="auto"/>
                <w:sz w:val="18"/>
                <w:szCs w:val="18"/>
              </w:rPr>
              <w:t>Date delivere</w:t>
            </w:r>
            <w:r w:rsidR="5EB03C32" w:rsidRPr="008F18F3">
              <w:rPr>
                <w:rFonts w:ascii="Calibri" w:eastAsia="Calibri" w:hAnsi="Calibri" w:cs="Calibri"/>
                <w:bCs/>
                <w:color w:val="auto"/>
                <w:sz w:val="18"/>
                <w:szCs w:val="18"/>
              </w:rPr>
              <w:t>d</w:t>
            </w:r>
          </w:p>
        </w:tc>
        <w:tc>
          <w:tcPr>
            <w:tcW w:w="1065" w:type="dxa"/>
            <w:shd w:val="clear" w:color="auto" w:fill="BFBFBF" w:themeFill="background1" w:themeFillShade="BF"/>
            <w:tcMar>
              <w:left w:w="108" w:type="dxa"/>
              <w:right w:w="108" w:type="dxa"/>
            </w:tcMar>
          </w:tcPr>
          <w:p w14:paraId="2F869992" w14:textId="224FA31A" w:rsidR="7388A156" w:rsidRPr="008F18F3"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szCs w:val="18"/>
              </w:rPr>
            </w:pPr>
            <w:r w:rsidRPr="008F18F3">
              <w:rPr>
                <w:rFonts w:ascii="Calibri" w:eastAsia="Calibri" w:hAnsi="Calibri" w:cs="Calibri"/>
                <w:color w:val="auto"/>
                <w:sz w:val="18"/>
                <w:szCs w:val="18"/>
              </w:rPr>
              <w:t>Fiji</w:t>
            </w:r>
          </w:p>
        </w:tc>
        <w:tc>
          <w:tcPr>
            <w:tcW w:w="1221" w:type="dxa"/>
            <w:shd w:val="clear" w:color="auto" w:fill="BFBFBF" w:themeFill="background1" w:themeFillShade="BF"/>
            <w:tcMar>
              <w:left w:w="108" w:type="dxa"/>
              <w:right w:w="108" w:type="dxa"/>
            </w:tcMar>
          </w:tcPr>
          <w:p w14:paraId="16A26494" w14:textId="4E48FB0D" w:rsidR="7388A156" w:rsidRPr="008F18F3"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szCs w:val="18"/>
              </w:rPr>
            </w:pPr>
            <w:r w:rsidRPr="008F18F3">
              <w:rPr>
                <w:rFonts w:ascii="Calibri" w:eastAsia="Calibri" w:hAnsi="Calibri" w:cs="Calibri"/>
                <w:color w:val="auto"/>
                <w:sz w:val="18"/>
                <w:szCs w:val="18"/>
              </w:rPr>
              <w:t>Solomon Islands</w:t>
            </w:r>
          </w:p>
        </w:tc>
        <w:tc>
          <w:tcPr>
            <w:tcW w:w="914" w:type="dxa"/>
            <w:shd w:val="clear" w:color="auto" w:fill="BFBFBF" w:themeFill="background1" w:themeFillShade="BF"/>
            <w:tcMar>
              <w:left w:w="108" w:type="dxa"/>
              <w:right w:w="108" w:type="dxa"/>
            </w:tcMar>
          </w:tcPr>
          <w:p w14:paraId="56E8E7FA" w14:textId="2C2D9C4B" w:rsidR="7388A156" w:rsidRPr="008F18F3"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szCs w:val="18"/>
              </w:rPr>
            </w:pPr>
            <w:r w:rsidRPr="008F18F3">
              <w:rPr>
                <w:rFonts w:ascii="Calibri" w:eastAsia="Calibri" w:hAnsi="Calibri" w:cs="Calibri"/>
                <w:color w:val="auto"/>
                <w:sz w:val="18"/>
                <w:szCs w:val="18"/>
              </w:rPr>
              <w:t>Tuvalu</w:t>
            </w:r>
          </w:p>
        </w:tc>
        <w:tc>
          <w:tcPr>
            <w:tcW w:w="914" w:type="dxa"/>
            <w:shd w:val="clear" w:color="auto" w:fill="BFBFBF" w:themeFill="background1" w:themeFillShade="BF"/>
            <w:tcMar>
              <w:left w:w="108" w:type="dxa"/>
              <w:right w:w="108" w:type="dxa"/>
            </w:tcMar>
          </w:tcPr>
          <w:p w14:paraId="3EFD1B2C" w14:textId="6AC77920" w:rsidR="7388A156" w:rsidRPr="008F18F3"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szCs w:val="18"/>
              </w:rPr>
            </w:pPr>
            <w:r w:rsidRPr="008F18F3">
              <w:rPr>
                <w:rFonts w:ascii="Calibri" w:eastAsia="Calibri" w:hAnsi="Calibri" w:cs="Calibri"/>
                <w:color w:val="auto"/>
                <w:sz w:val="18"/>
                <w:szCs w:val="18"/>
              </w:rPr>
              <w:t>Samoa</w:t>
            </w:r>
          </w:p>
        </w:tc>
        <w:tc>
          <w:tcPr>
            <w:tcW w:w="914" w:type="dxa"/>
            <w:shd w:val="clear" w:color="auto" w:fill="BFBFBF" w:themeFill="background1" w:themeFillShade="BF"/>
            <w:tcMar>
              <w:left w:w="108" w:type="dxa"/>
              <w:right w:w="108" w:type="dxa"/>
            </w:tcMar>
          </w:tcPr>
          <w:p w14:paraId="5A4C1463" w14:textId="6058F0FE" w:rsidR="7388A156" w:rsidRPr="008F18F3"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szCs w:val="18"/>
              </w:rPr>
            </w:pPr>
            <w:r w:rsidRPr="008F18F3">
              <w:rPr>
                <w:rFonts w:ascii="Calibri" w:eastAsia="Calibri" w:hAnsi="Calibri" w:cs="Calibri"/>
                <w:color w:val="auto"/>
                <w:sz w:val="18"/>
                <w:szCs w:val="18"/>
              </w:rPr>
              <w:t>Tonga</w:t>
            </w:r>
          </w:p>
        </w:tc>
        <w:tc>
          <w:tcPr>
            <w:tcW w:w="1020" w:type="dxa"/>
            <w:shd w:val="clear" w:color="auto" w:fill="BFBFBF" w:themeFill="background1" w:themeFillShade="BF"/>
            <w:tcMar>
              <w:left w:w="108" w:type="dxa"/>
              <w:right w:w="108" w:type="dxa"/>
            </w:tcMar>
          </w:tcPr>
          <w:p w14:paraId="430C55A1" w14:textId="3BEC63A9" w:rsidR="7388A156" w:rsidRPr="008F18F3"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szCs w:val="18"/>
              </w:rPr>
            </w:pPr>
            <w:r w:rsidRPr="008F18F3">
              <w:rPr>
                <w:rFonts w:ascii="Calibri" w:eastAsia="Calibri" w:hAnsi="Calibri" w:cs="Calibri"/>
                <w:color w:val="auto"/>
                <w:sz w:val="18"/>
                <w:szCs w:val="18"/>
              </w:rPr>
              <w:t>Vanuatu</w:t>
            </w:r>
          </w:p>
        </w:tc>
        <w:tc>
          <w:tcPr>
            <w:tcW w:w="944" w:type="dxa"/>
            <w:shd w:val="clear" w:color="auto" w:fill="BFBFBF" w:themeFill="background1" w:themeFillShade="BF"/>
            <w:tcMar>
              <w:left w:w="108" w:type="dxa"/>
              <w:right w:w="108" w:type="dxa"/>
            </w:tcMar>
          </w:tcPr>
          <w:p w14:paraId="4D852D35" w14:textId="18A5B15A" w:rsidR="7388A156" w:rsidRPr="008F18F3"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szCs w:val="18"/>
              </w:rPr>
            </w:pPr>
            <w:r w:rsidRPr="008F18F3">
              <w:rPr>
                <w:rFonts w:ascii="Calibri" w:eastAsia="Calibri" w:hAnsi="Calibri" w:cs="Calibri"/>
                <w:color w:val="auto"/>
                <w:sz w:val="18"/>
                <w:szCs w:val="18"/>
              </w:rPr>
              <w:t>Kiribati</w:t>
            </w:r>
          </w:p>
        </w:tc>
        <w:tc>
          <w:tcPr>
            <w:tcW w:w="1039" w:type="dxa"/>
            <w:shd w:val="clear" w:color="auto" w:fill="BFBFBF" w:themeFill="background1" w:themeFillShade="BF"/>
            <w:tcMar>
              <w:left w:w="108" w:type="dxa"/>
              <w:right w:w="108" w:type="dxa"/>
            </w:tcMar>
          </w:tcPr>
          <w:p w14:paraId="226E2550" w14:textId="53BFB3B1" w:rsidR="7388A156" w:rsidRPr="008F18F3"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szCs w:val="18"/>
              </w:rPr>
            </w:pPr>
            <w:r w:rsidRPr="008F18F3">
              <w:rPr>
                <w:rFonts w:ascii="Calibri" w:eastAsia="Calibri" w:hAnsi="Calibri" w:cs="Calibri"/>
                <w:color w:val="auto"/>
                <w:sz w:val="18"/>
                <w:szCs w:val="18"/>
              </w:rPr>
              <w:t>Nauru</w:t>
            </w:r>
          </w:p>
        </w:tc>
      </w:tr>
      <w:tr w:rsidR="004410A8" w:rsidRPr="00123E2D" w14:paraId="32D64724"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20E16796" w14:textId="55EF56F6"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May-21</w:t>
            </w:r>
          </w:p>
        </w:tc>
        <w:tc>
          <w:tcPr>
            <w:tcW w:w="1065" w:type="dxa"/>
            <w:tcMar>
              <w:left w:w="108" w:type="dxa"/>
              <w:right w:w="108" w:type="dxa"/>
            </w:tcMar>
          </w:tcPr>
          <w:p w14:paraId="7AD2FD77" w14:textId="4A4419BB"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120,000</w:t>
            </w:r>
          </w:p>
        </w:tc>
        <w:tc>
          <w:tcPr>
            <w:tcW w:w="1221" w:type="dxa"/>
            <w:tcMar>
              <w:left w:w="108" w:type="dxa"/>
              <w:right w:w="108" w:type="dxa"/>
            </w:tcMar>
          </w:tcPr>
          <w:p w14:paraId="2F336C84" w14:textId="3A10C3F1"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914" w:type="dxa"/>
            <w:tcMar>
              <w:left w:w="108" w:type="dxa"/>
              <w:right w:w="108" w:type="dxa"/>
            </w:tcMar>
          </w:tcPr>
          <w:p w14:paraId="4CC09A1A" w14:textId="73DCFA16"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6660BE">
              <w:rPr>
                <w:sz w:val="18"/>
                <w:szCs w:val="18"/>
              </w:rPr>
              <w:t>0</w:t>
            </w:r>
          </w:p>
        </w:tc>
        <w:tc>
          <w:tcPr>
            <w:tcW w:w="914" w:type="dxa"/>
            <w:tcMar>
              <w:left w:w="108" w:type="dxa"/>
              <w:right w:w="108" w:type="dxa"/>
            </w:tcMar>
          </w:tcPr>
          <w:p w14:paraId="5F2AD4EA" w14:textId="7F731ABF"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6660BE">
              <w:rPr>
                <w:sz w:val="18"/>
                <w:szCs w:val="18"/>
              </w:rPr>
              <w:t>0</w:t>
            </w:r>
          </w:p>
        </w:tc>
        <w:tc>
          <w:tcPr>
            <w:tcW w:w="914" w:type="dxa"/>
            <w:tcMar>
              <w:left w:w="108" w:type="dxa"/>
              <w:right w:w="108" w:type="dxa"/>
            </w:tcMar>
          </w:tcPr>
          <w:p w14:paraId="42E12D56" w14:textId="7DD5FBDB"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6660BE">
              <w:rPr>
                <w:sz w:val="18"/>
                <w:szCs w:val="18"/>
              </w:rPr>
              <w:t>0</w:t>
            </w:r>
          </w:p>
        </w:tc>
        <w:tc>
          <w:tcPr>
            <w:tcW w:w="1020" w:type="dxa"/>
            <w:tcMar>
              <w:left w:w="108" w:type="dxa"/>
              <w:right w:w="108" w:type="dxa"/>
            </w:tcMar>
          </w:tcPr>
          <w:p w14:paraId="2F8D950A" w14:textId="152C051C"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6660BE">
              <w:rPr>
                <w:sz w:val="18"/>
                <w:szCs w:val="18"/>
              </w:rPr>
              <w:t>0</w:t>
            </w:r>
          </w:p>
        </w:tc>
        <w:tc>
          <w:tcPr>
            <w:tcW w:w="944" w:type="dxa"/>
            <w:tcMar>
              <w:left w:w="108" w:type="dxa"/>
              <w:right w:w="108" w:type="dxa"/>
            </w:tcMar>
          </w:tcPr>
          <w:p w14:paraId="51D1C82F" w14:textId="54CCC316"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6660BE">
              <w:rPr>
                <w:sz w:val="18"/>
                <w:szCs w:val="18"/>
              </w:rPr>
              <w:t>0</w:t>
            </w:r>
          </w:p>
        </w:tc>
        <w:tc>
          <w:tcPr>
            <w:tcW w:w="1039" w:type="dxa"/>
            <w:tcMar>
              <w:left w:w="108" w:type="dxa"/>
              <w:right w:w="108" w:type="dxa"/>
            </w:tcMar>
          </w:tcPr>
          <w:p w14:paraId="26A729BB" w14:textId="4E64FA82"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6660BE">
              <w:rPr>
                <w:sz w:val="18"/>
                <w:szCs w:val="18"/>
              </w:rPr>
              <w:t>0</w:t>
            </w:r>
          </w:p>
        </w:tc>
      </w:tr>
      <w:tr w:rsidR="004410A8" w:rsidRPr="00123E2D" w14:paraId="3A6D66F7"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6BDE58EC" w14:textId="5495E3AE"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Jun-21</w:t>
            </w:r>
          </w:p>
        </w:tc>
        <w:tc>
          <w:tcPr>
            <w:tcW w:w="1065" w:type="dxa"/>
            <w:tcMar>
              <w:left w:w="108" w:type="dxa"/>
              <w:right w:w="108" w:type="dxa"/>
            </w:tcMar>
          </w:tcPr>
          <w:p w14:paraId="122EF95C" w14:textId="707441E9"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200,000</w:t>
            </w:r>
          </w:p>
        </w:tc>
        <w:tc>
          <w:tcPr>
            <w:tcW w:w="1221" w:type="dxa"/>
            <w:tcMar>
              <w:left w:w="108" w:type="dxa"/>
              <w:right w:w="108" w:type="dxa"/>
            </w:tcMar>
          </w:tcPr>
          <w:p w14:paraId="64FB69F4" w14:textId="2DD2A84B"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13,000</w:t>
            </w:r>
          </w:p>
        </w:tc>
        <w:tc>
          <w:tcPr>
            <w:tcW w:w="914" w:type="dxa"/>
            <w:tcMar>
              <w:left w:w="108" w:type="dxa"/>
              <w:right w:w="108" w:type="dxa"/>
            </w:tcMar>
          </w:tcPr>
          <w:p w14:paraId="61F2F49C" w14:textId="2BEEBA53"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7,000</w:t>
            </w:r>
          </w:p>
        </w:tc>
        <w:tc>
          <w:tcPr>
            <w:tcW w:w="914" w:type="dxa"/>
            <w:tcMar>
              <w:left w:w="108" w:type="dxa"/>
              <w:right w:w="108" w:type="dxa"/>
            </w:tcMar>
          </w:tcPr>
          <w:p w14:paraId="6F5DD660" w14:textId="3D81E016"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2543E9">
              <w:rPr>
                <w:sz w:val="18"/>
                <w:szCs w:val="18"/>
              </w:rPr>
              <w:t>0</w:t>
            </w:r>
          </w:p>
        </w:tc>
        <w:tc>
          <w:tcPr>
            <w:tcW w:w="914" w:type="dxa"/>
            <w:tcMar>
              <w:left w:w="108" w:type="dxa"/>
              <w:right w:w="108" w:type="dxa"/>
            </w:tcMar>
          </w:tcPr>
          <w:p w14:paraId="69909506" w14:textId="3A7E90EC"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2543E9">
              <w:rPr>
                <w:sz w:val="18"/>
                <w:szCs w:val="18"/>
              </w:rPr>
              <w:t>0</w:t>
            </w:r>
          </w:p>
        </w:tc>
        <w:tc>
          <w:tcPr>
            <w:tcW w:w="1020" w:type="dxa"/>
            <w:tcMar>
              <w:left w:w="108" w:type="dxa"/>
              <w:right w:w="108" w:type="dxa"/>
            </w:tcMar>
          </w:tcPr>
          <w:p w14:paraId="0533B25D" w14:textId="248A7AEA"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2543E9">
              <w:rPr>
                <w:sz w:val="18"/>
                <w:szCs w:val="18"/>
              </w:rPr>
              <w:t>0</w:t>
            </w:r>
          </w:p>
        </w:tc>
        <w:tc>
          <w:tcPr>
            <w:tcW w:w="944" w:type="dxa"/>
            <w:tcMar>
              <w:left w:w="108" w:type="dxa"/>
              <w:right w:w="108" w:type="dxa"/>
            </w:tcMar>
          </w:tcPr>
          <w:p w14:paraId="6CC1F241" w14:textId="6F9A19ED"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2543E9">
              <w:rPr>
                <w:sz w:val="18"/>
                <w:szCs w:val="18"/>
              </w:rPr>
              <w:t>0</w:t>
            </w:r>
          </w:p>
        </w:tc>
        <w:tc>
          <w:tcPr>
            <w:tcW w:w="1039" w:type="dxa"/>
            <w:tcMar>
              <w:left w:w="108" w:type="dxa"/>
              <w:right w:w="108" w:type="dxa"/>
            </w:tcMar>
          </w:tcPr>
          <w:p w14:paraId="7717447B" w14:textId="05E19EC6"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2543E9">
              <w:rPr>
                <w:sz w:val="18"/>
                <w:szCs w:val="18"/>
              </w:rPr>
              <w:t>0</w:t>
            </w:r>
          </w:p>
        </w:tc>
      </w:tr>
      <w:tr w:rsidR="004410A8" w:rsidRPr="00123E2D" w14:paraId="0859C002"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2F740575" w14:textId="3EFE2411"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Jul-21</w:t>
            </w:r>
          </w:p>
        </w:tc>
        <w:tc>
          <w:tcPr>
            <w:tcW w:w="1065" w:type="dxa"/>
            <w:tcMar>
              <w:left w:w="108" w:type="dxa"/>
              <w:right w:w="108" w:type="dxa"/>
            </w:tcMar>
          </w:tcPr>
          <w:p w14:paraId="3FB63FD4" w14:textId="25D7943F"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241,000</w:t>
            </w:r>
          </w:p>
        </w:tc>
        <w:tc>
          <w:tcPr>
            <w:tcW w:w="1221" w:type="dxa"/>
            <w:tcMar>
              <w:left w:w="108" w:type="dxa"/>
              <w:right w:w="108" w:type="dxa"/>
            </w:tcMar>
          </w:tcPr>
          <w:p w14:paraId="63EFE441" w14:textId="1B8AC065"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50,000</w:t>
            </w:r>
          </w:p>
        </w:tc>
        <w:tc>
          <w:tcPr>
            <w:tcW w:w="914" w:type="dxa"/>
            <w:tcMar>
              <w:left w:w="108" w:type="dxa"/>
              <w:right w:w="108" w:type="dxa"/>
            </w:tcMar>
          </w:tcPr>
          <w:p w14:paraId="6924E762" w14:textId="3B94C734"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914" w:type="dxa"/>
            <w:tcMar>
              <w:left w:w="108" w:type="dxa"/>
              <w:right w:w="108" w:type="dxa"/>
            </w:tcMar>
          </w:tcPr>
          <w:p w14:paraId="2CFC4382" w14:textId="3DD26C8F"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50,000</w:t>
            </w:r>
          </w:p>
        </w:tc>
        <w:tc>
          <w:tcPr>
            <w:tcW w:w="914" w:type="dxa"/>
            <w:tcMar>
              <w:left w:w="108" w:type="dxa"/>
              <w:right w:w="108" w:type="dxa"/>
            </w:tcMar>
          </w:tcPr>
          <w:p w14:paraId="61B7F10A" w14:textId="5FBD62A8"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9,000</w:t>
            </w:r>
          </w:p>
        </w:tc>
        <w:tc>
          <w:tcPr>
            <w:tcW w:w="1020" w:type="dxa"/>
            <w:tcMar>
              <w:left w:w="108" w:type="dxa"/>
              <w:right w:w="108" w:type="dxa"/>
            </w:tcMar>
          </w:tcPr>
          <w:p w14:paraId="0C0040CB" w14:textId="4D1918BF"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20000</w:t>
            </w:r>
          </w:p>
        </w:tc>
        <w:tc>
          <w:tcPr>
            <w:tcW w:w="944" w:type="dxa"/>
            <w:tcMar>
              <w:left w:w="108" w:type="dxa"/>
              <w:right w:w="108" w:type="dxa"/>
            </w:tcMar>
          </w:tcPr>
          <w:p w14:paraId="2B072810" w14:textId="04125AFE"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492555">
              <w:rPr>
                <w:sz w:val="18"/>
                <w:szCs w:val="18"/>
              </w:rPr>
              <w:t>0</w:t>
            </w:r>
          </w:p>
        </w:tc>
        <w:tc>
          <w:tcPr>
            <w:tcW w:w="1039" w:type="dxa"/>
            <w:tcMar>
              <w:left w:w="108" w:type="dxa"/>
              <w:right w:w="108" w:type="dxa"/>
            </w:tcMar>
          </w:tcPr>
          <w:p w14:paraId="07B55A81" w14:textId="4F39876F"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492555">
              <w:rPr>
                <w:sz w:val="18"/>
                <w:szCs w:val="18"/>
              </w:rPr>
              <w:t>0</w:t>
            </w:r>
          </w:p>
        </w:tc>
      </w:tr>
      <w:tr w:rsidR="004410A8" w:rsidRPr="00123E2D" w14:paraId="246A752D"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0AD250CB" w14:textId="1D874348"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Aug-21</w:t>
            </w:r>
          </w:p>
        </w:tc>
        <w:tc>
          <w:tcPr>
            <w:tcW w:w="1065" w:type="dxa"/>
            <w:tcMar>
              <w:left w:w="108" w:type="dxa"/>
              <w:right w:w="108" w:type="dxa"/>
            </w:tcMar>
          </w:tcPr>
          <w:p w14:paraId="49BFEBE4" w14:textId="2207C7AD"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300,000</w:t>
            </w:r>
          </w:p>
        </w:tc>
        <w:tc>
          <w:tcPr>
            <w:tcW w:w="1221" w:type="dxa"/>
            <w:tcMar>
              <w:left w:w="108" w:type="dxa"/>
              <w:right w:w="108" w:type="dxa"/>
            </w:tcMar>
          </w:tcPr>
          <w:p w14:paraId="10785331" w14:textId="7BA98278"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50,000</w:t>
            </w:r>
          </w:p>
        </w:tc>
        <w:tc>
          <w:tcPr>
            <w:tcW w:w="914" w:type="dxa"/>
            <w:tcMar>
              <w:left w:w="108" w:type="dxa"/>
              <w:right w:w="108" w:type="dxa"/>
            </w:tcMar>
          </w:tcPr>
          <w:p w14:paraId="12F09AC1" w14:textId="46C5CF3F"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E65D12">
              <w:rPr>
                <w:sz w:val="18"/>
                <w:szCs w:val="18"/>
              </w:rPr>
              <w:t>0</w:t>
            </w:r>
          </w:p>
        </w:tc>
        <w:tc>
          <w:tcPr>
            <w:tcW w:w="914" w:type="dxa"/>
            <w:tcMar>
              <w:left w:w="108" w:type="dxa"/>
              <w:right w:w="108" w:type="dxa"/>
            </w:tcMar>
          </w:tcPr>
          <w:p w14:paraId="4A1E96EF" w14:textId="2DAC836C"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E65D12">
              <w:rPr>
                <w:sz w:val="18"/>
                <w:szCs w:val="18"/>
              </w:rPr>
              <w:t>0</w:t>
            </w:r>
          </w:p>
        </w:tc>
        <w:tc>
          <w:tcPr>
            <w:tcW w:w="914" w:type="dxa"/>
            <w:tcMar>
              <w:left w:w="108" w:type="dxa"/>
              <w:right w:w="108" w:type="dxa"/>
            </w:tcMar>
          </w:tcPr>
          <w:p w14:paraId="3798A45E" w14:textId="65708F67"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10,000</w:t>
            </w:r>
          </w:p>
        </w:tc>
        <w:tc>
          <w:tcPr>
            <w:tcW w:w="1020" w:type="dxa"/>
            <w:tcMar>
              <w:left w:w="108" w:type="dxa"/>
              <w:right w:w="108" w:type="dxa"/>
            </w:tcMar>
          </w:tcPr>
          <w:p w14:paraId="6AAB44A5" w14:textId="250ED1B2"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30000</w:t>
            </w:r>
          </w:p>
        </w:tc>
        <w:tc>
          <w:tcPr>
            <w:tcW w:w="944" w:type="dxa"/>
            <w:tcMar>
              <w:left w:w="108" w:type="dxa"/>
              <w:right w:w="108" w:type="dxa"/>
            </w:tcMar>
          </w:tcPr>
          <w:p w14:paraId="4EBB768B" w14:textId="5B0A2A39"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13,000</w:t>
            </w:r>
          </w:p>
        </w:tc>
        <w:tc>
          <w:tcPr>
            <w:tcW w:w="1039" w:type="dxa"/>
            <w:tcMar>
              <w:left w:w="108" w:type="dxa"/>
              <w:right w:w="108" w:type="dxa"/>
            </w:tcMar>
          </w:tcPr>
          <w:p w14:paraId="0C752066" w14:textId="4E3A906A"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r w:rsidR="004410A8" w:rsidRPr="00123E2D" w14:paraId="74020DB0"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07530571" w14:textId="58F49FE8"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Sep-21</w:t>
            </w:r>
          </w:p>
        </w:tc>
        <w:tc>
          <w:tcPr>
            <w:tcW w:w="1065" w:type="dxa"/>
            <w:tcMar>
              <w:left w:w="108" w:type="dxa"/>
              <w:right w:w="108" w:type="dxa"/>
            </w:tcMar>
          </w:tcPr>
          <w:p w14:paraId="4BD266A7" w14:textId="2744C0D0"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275B9C">
              <w:rPr>
                <w:sz w:val="18"/>
                <w:szCs w:val="18"/>
              </w:rPr>
              <w:t>0</w:t>
            </w:r>
          </w:p>
        </w:tc>
        <w:tc>
          <w:tcPr>
            <w:tcW w:w="1221" w:type="dxa"/>
            <w:tcMar>
              <w:left w:w="108" w:type="dxa"/>
              <w:right w:w="108" w:type="dxa"/>
            </w:tcMar>
          </w:tcPr>
          <w:p w14:paraId="5C2B90BD" w14:textId="13A5B73E"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275B9C">
              <w:rPr>
                <w:sz w:val="18"/>
                <w:szCs w:val="18"/>
              </w:rPr>
              <w:t>0</w:t>
            </w:r>
          </w:p>
        </w:tc>
        <w:tc>
          <w:tcPr>
            <w:tcW w:w="914" w:type="dxa"/>
            <w:tcMar>
              <w:left w:w="108" w:type="dxa"/>
              <w:right w:w="108" w:type="dxa"/>
            </w:tcMar>
          </w:tcPr>
          <w:p w14:paraId="6F182597" w14:textId="57738A88"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275B9C">
              <w:rPr>
                <w:sz w:val="18"/>
                <w:szCs w:val="18"/>
              </w:rPr>
              <w:t>0</w:t>
            </w:r>
          </w:p>
        </w:tc>
        <w:tc>
          <w:tcPr>
            <w:tcW w:w="914" w:type="dxa"/>
            <w:tcMar>
              <w:left w:w="108" w:type="dxa"/>
              <w:right w:w="108" w:type="dxa"/>
            </w:tcMar>
          </w:tcPr>
          <w:p w14:paraId="63E5F8E6" w14:textId="0696686A"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275B9C">
              <w:rPr>
                <w:sz w:val="18"/>
                <w:szCs w:val="18"/>
              </w:rPr>
              <w:t>0</w:t>
            </w:r>
          </w:p>
        </w:tc>
        <w:tc>
          <w:tcPr>
            <w:tcW w:w="914" w:type="dxa"/>
            <w:tcMar>
              <w:left w:w="108" w:type="dxa"/>
              <w:right w:w="108" w:type="dxa"/>
            </w:tcMar>
          </w:tcPr>
          <w:p w14:paraId="50E5711F" w14:textId="5330584A"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275B9C">
              <w:rPr>
                <w:sz w:val="18"/>
                <w:szCs w:val="18"/>
              </w:rPr>
              <w:t>0</w:t>
            </w:r>
          </w:p>
        </w:tc>
        <w:tc>
          <w:tcPr>
            <w:tcW w:w="1020" w:type="dxa"/>
            <w:tcMar>
              <w:left w:w="108" w:type="dxa"/>
              <w:right w:w="108" w:type="dxa"/>
            </w:tcMar>
          </w:tcPr>
          <w:p w14:paraId="2ECFC084" w14:textId="00B7E80D"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275B9C">
              <w:rPr>
                <w:sz w:val="18"/>
                <w:szCs w:val="18"/>
              </w:rPr>
              <w:t>0</w:t>
            </w:r>
          </w:p>
        </w:tc>
        <w:tc>
          <w:tcPr>
            <w:tcW w:w="944" w:type="dxa"/>
            <w:tcMar>
              <w:left w:w="108" w:type="dxa"/>
              <w:right w:w="108" w:type="dxa"/>
            </w:tcMar>
          </w:tcPr>
          <w:p w14:paraId="13A2D02B" w14:textId="59ACF137"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8,000</w:t>
            </w:r>
          </w:p>
        </w:tc>
        <w:tc>
          <w:tcPr>
            <w:tcW w:w="1039" w:type="dxa"/>
            <w:tcMar>
              <w:left w:w="108" w:type="dxa"/>
              <w:right w:w="108" w:type="dxa"/>
            </w:tcMar>
          </w:tcPr>
          <w:p w14:paraId="44BBA980" w14:textId="2A4DF40B"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r>
      <w:tr w:rsidR="004410A8" w:rsidRPr="00123E2D" w14:paraId="4869F830"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293290B0" w14:textId="47A09E68"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Oct-21</w:t>
            </w:r>
          </w:p>
        </w:tc>
        <w:tc>
          <w:tcPr>
            <w:tcW w:w="1065" w:type="dxa"/>
            <w:tcMar>
              <w:left w:w="108" w:type="dxa"/>
              <w:right w:w="108" w:type="dxa"/>
            </w:tcMar>
          </w:tcPr>
          <w:p w14:paraId="260446E6" w14:textId="31D917E0"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215,000</w:t>
            </w:r>
          </w:p>
        </w:tc>
        <w:tc>
          <w:tcPr>
            <w:tcW w:w="1221" w:type="dxa"/>
            <w:tcMar>
              <w:left w:w="108" w:type="dxa"/>
              <w:right w:w="108" w:type="dxa"/>
            </w:tcMar>
          </w:tcPr>
          <w:p w14:paraId="0AE3D341" w14:textId="6AD8C30B"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100,000</w:t>
            </w:r>
          </w:p>
        </w:tc>
        <w:tc>
          <w:tcPr>
            <w:tcW w:w="914" w:type="dxa"/>
            <w:tcMar>
              <w:left w:w="108" w:type="dxa"/>
              <w:right w:w="108" w:type="dxa"/>
            </w:tcMar>
          </w:tcPr>
          <w:p w14:paraId="6E93E946" w14:textId="05A30FA0"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E36581">
              <w:rPr>
                <w:sz w:val="18"/>
                <w:szCs w:val="18"/>
              </w:rPr>
              <w:t>0</w:t>
            </w:r>
          </w:p>
        </w:tc>
        <w:tc>
          <w:tcPr>
            <w:tcW w:w="914" w:type="dxa"/>
            <w:tcMar>
              <w:left w:w="108" w:type="dxa"/>
              <w:right w:w="108" w:type="dxa"/>
            </w:tcMar>
          </w:tcPr>
          <w:p w14:paraId="776735B9" w14:textId="5B9B271E"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E36581">
              <w:rPr>
                <w:sz w:val="18"/>
                <w:szCs w:val="18"/>
              </w:rPr>
              <w:t>0</w:t>
            </w:r>
          </w:p>
        </w:tc>
        <w:tc>
          <w:tcPr>
            <w:tcW w:w="914" w:type="dxa"/>
            <w:tcMar>
              <w:left w:w="108" w:type="dxa"/>
              <w:right w:w="108" w:type="dxa"/>
            </w:tcMar>
          </w:tcPr>
          <w:p w14:paraId="561DBBAC" w14:textId="6A389A5D"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E36581">
              <w:rPr>
                <w:sz w:val="18"/>
                <w:szCs w:val="18"/>
              </w:rPr>
              <w:t>0</w:t>
            </w:r>
          </w:p>
        </w:tc>
        <w:tc>
          <w:tcPr>
            <w:tcW w:w="1020" w:type="dxa"/>
            <w:tcMar>
              <w:left w:w="108" w:type="dxa"/>
              <w:right w:w="108" w:type="dxa"/>
            </w:tcMar>
          </w:tcPr>
          <w:p w14:paraId="353FDF16" w14:textId="4993A62F"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20,000</w:t>
            </w:r>
          </w:p>
        </w:tc>
        <w:tc>
          <w:tcPr>
            <w:tcW w:w="944" w:type="dxa"/>
            <w:tcMar>
              <w:left w:w="108" w:type="dxa"/>
              <w:right w:w="108" w:type="dxa"/>
            </w:tcMar>
          </w:tcPr>
          <w:p w14:paraId="5A536420" w14:textId="77CEC4A9"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562485">
              <w:rPr>
                <w:sz w:val="18"/>
                <w:szCs w:val="18"/>
              </w:rPr>
              <w:t>0</w:t>
            </w:r>
          </w:p>
        </w:tc>
        <w:tc>
          <w:tcPr>
            <w:tcW w:w="1039" w:type="dxa"/>
            <w:tcMar>
              <w:left w:w="108" w:type="dxa"/>
              <w:right w:w="108" w:type="dxa"/>
            </w:tcMar>
          </w:tcPr>
          <w:p w14:paraId="3D5FDCA6" w14:textId="525B880C"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562485">
              <w:rPr>
                <w:sz w:val="18"/>
                <w:szCs w:val="18"/>
              </w:rPr>
              <w:t>0</w:t>
            </w:r>
          </w:p>
        </w:tc>
      </w:tr>
      <w:tr w:rsidR="004410A8" w:rsidRPr="00123E2D" w14:paraId="194A9B4B"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76284020" w14:textId="5CEE9282"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Nov-21</w:t>
            </w:r>
          </w:p>
        </w:tc>
        <w:tc>
          <w:tcPr>
            <w:tcW w:w="1065" w:type="dxa"/>
            <w:tcMar>
              <w:left w:w="108" w:type="dxa"/>
              <w:right w:w="108" w:type="dxa"/>
            </w:tcMar>
          </w:tcPr>
          <w:p w14:paraId="2FD262A6" w14:textId="35C48A6F"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4D0FB1">
              <w:rPr>
                <w:sz w:val="18"/>
                <w:szCs w:val="18"/>
              </w:rPr>
              <w:t>0</w:t>
            </w:r>
          </w:p>
        </w:tc>
        <w:tc>
          <w:tcPr>
            <w:tcW w:w="1221" w:type="dxa"/>
            <w:tcMar>
              <w:left w:w="108" w:type="dxa"/>
              <w:right w:w="108" w:type="dxa"/>
            </w:tcMar>
          </w:tcPr>
          <w:p w14:paraId="2AC6D5FD" w14:textId="4FFF85BC"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4D0FB1">
              <w:rPr>
                <w:sz w:val="18"/>
                <w:szCs w:val="18"/>
              </w:rPr>
              <w:t>0</w:t>
            </w:r>
          </w:p>
        </w:tc>
        <w:tc>
          <w:tcPr>
            <w:tcW w:w="914" w:type="dxa"/>
            <w:tcMar>
              <w:left w:w="108" w:type="dxa"/>
              <w:right w:w="108" w:type="dxa"/>
            </w:tcMar>
          </w:tcPr>
          <w:p w14:paraId="55FE1C39" w14:textId="1DAD9103"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1,600</w:t>
            </w:r>
          </w:p>
        </w:tc>
        <w:tc>
          <w:tcPr>
            <w:tcW w:w="914" w:type="dxa"/>
            <w:tcMar>
              <w:left w:w="108" w:type="dxa"/>
              <w:right w:w="108" w:type="dxa"/>
            </w:tcMar>
          </w:tcPr>
          <w:p w14:paraId="19F1D526" w14:textId="021394A7"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141D7A">
              <w:rPr>
                <w:sz w:val="18"/>
                <w:szCs w:val="18"/>
              </w:rPr>
              <w:t>0</w:t>
            </w:r>
          </w:p>
        </w:tc>
        <w:tc>
          <w:tcPr>
            <w:tcW w:w="914" w:type="dxa"/>
            <w:tcMar>
              <w:left w:w="108" w:type="dxa"/>
              <w:right w:w="108" w:type="dxa"/>
            </w:tcMar>
          </w:tcPr>
          <w:p w14:paraId="1D78743E" w14:textId="443A6F3C"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141D7A">
              <w:rPr>
                <w:sz w:val="18"/>
                <w:szCs w:val="18"/>
              </w:rPr>
              <w:t>0</w:t>
            </w:r>
          </w:p>
        </w:tc>
        <w:tc>
          <w:tcPr>
            <w:tcW w:w="1020" w:type="dxa"/>
            <w:tcMar>
              <w:left w:w="108" w:type="dxa"/>
              <w:right w:w="108" w:type="dxa"/>
            </w:tcMar>
          </w:tcPr>
          <w:p w14:paraId="10498D12" w14:textId="194C3C57"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30000</w:t>
            </w:r>
          </w:p>
        </w:tc>
        <w:tc>
          <w:tcPr>
            <w:tcW w:w="944" w:type="dxa"/>
            <w:tcMar>
              <w:left w:w="108" w:type="dxa"/>
              <w:right w:w="108" w:type="dxa"/>
            </w:tcMar>
          </w:tcPr>
          <w:p w14:paraId="4A970A78" w14:textId="10CA1CDB"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1039" w:type="dxa"/>
            <w:tcMar>
              <w:left w:w="108" w:type="dxa"/>
              <w:right w:w="108" w:type="dxa"/>
            </w:tcMar>
          </w:tcPr>
          <w:p w14:paraId="76E2FD78" w14:textId="2DF72B36"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500</w:t>
            </w:r>
          </w:p>
        </w:tc>
      </w:tr>
      <w:tr w:rsidR="7388A156" w:rsidRPr="00123E2D" w14:paraId="119C1B82"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66D8B8DA" w14:textId="1C1D2D78" w:rsidR="7388A156" w:rsidRPr="006B0C6C" w:rsidRDefault="7388A156" w:rsidP="7388A156">
            <w:pPr>
              <w:spacing w:after="0"/>
              <w:rPr>
                <w:rFonts w:ascii="Calibri" w:eastAsia="Calibri" w:hAnsi="Calibri" w:cs="Calibri"/>
                <w:sz w:val="18"/>
                <w:szCs w:val="18"/>
              </w:rPr>
            </w:pPr>
            <w:r w:rsidRPr="006B0C6C">
              <w:rPr>
                <w:rFonts w:ascii="Calibri" w:eastAsia="Calibri" w:hAnsi="Calibri" w:cs="Calibri"/>
                <w:sz w:val="18"/>
                <w:szCs w:val="18"/>
              </w:rPr>
              <w:t>Dec-21</w:t>
            </w:r>
          </w:p>
        </w:tc>
        <w:tc>
          <w:tcPr>
            <w:tcW w:w="1065" w:type="dxa"/>
            <w:tcMar>
              <w:left w:w="108" w:type="dxa"/>
              <w:right w:w="108" w:type="dxa"/>
            </w:tcMar>
          </w:tcPr>
          <w:p w14:paraId="54270704" w14:textId="34C1AFB0" w:rsidR="7388A156"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221" w:type="dxa"/>
            <w:tcMar>
              <w:left w:w="108" w:type="dxa"/>
              <w:right w:w="108" w:type="dxa"/>
            </w:tcMar>
          </w:tcPr>
          <w:p w14:paraId="47C1D53D" w14:textId="6FCB2CC7" w:rsidR="7388A156" w:rsidRPr="006B0C6C" w:rsidRDefault="7388A156"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50,000</w:t>
            </w:r>
          </w:p>
        </w:tc>
        <w:tc>
          <w:tcPr>
            <w:tcW w:w="914" w:type="dxa"/>
            <w:tcMar>
              <w:left w:w="108" w:type="dxa"/>
              <w:right w:w="108" w:type="dxa"/>
            </w:tcMar>
          </w:tcPr>
          <w:p w14:paraId="24F362B6" w14:textId="057DBA46" w:rsidR="7388A156"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914" w:type="dxa"/>
            <w:tcMar>
              <w:left w:w="108" w:type="dxa"/>
              <w:right w:w="108" w:type="dxa"/>
            </w:tcMar>
          </w:tcPr>
          <w:p w14:paraId="5436CDBB" w14:textId="0A5FCC94" w:rsidR="7388A156" w:rsidRPr="006B0C6C" w:rsidRDefault="7388A156"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2,000</w:t>
            </w:r>
          </w:p>
        </w:tc>
        <w:tc>
          <w:tcPr>
            <w:tcW w:w="914" w:type="dxa"/>
            <w:tcMar>
              <w:left w:w="108" w:type="dxa"/>
              <w:right w:w="108" w:type="dxa"/>
            </w:tcMar>
          </w:tcPr>
          <w:p w14:paraId="6E57A0A5" w14:textId="435FBFE9" w:rsidR="7388A156"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020" w:type="dxa"/>
            <w:tcMar>
              <w:left w:w="108" w:type="dxa"/>
              <w:right w:w="108" w:type="dxa"/>
            </w:tcMar>
          </w:tcPr>
          <w:p w14:paraId="6DD006C7" w14:textId="1506DF18" w:rsidR="7388A156" w:rsidRPr="006B0C6C" w:rsidRDefault="7388A156"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30000</w:t>
            </w:r>
          </w:p>
        </w:tc>
        <w:tc>
          <w:tcPr>
            <w:tcW w:w="944" w:type="dxa"/>
            <w:tcMar>
              <w:left w:w="108" w:type="dxa"/>
              <w:right w:w="108" w:type="dxa"/>
            </w:tcMar>
          </w:tcPr>
          <w:p w14:paraId="3CBE2DF0" w14:textId="4B521520" w:rsidR="7388A156"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039" w:type="dxa"/>
            <w:tcMar>
              <w:left w:w="108" w:type="dxa"/>
              <w:right w:w="108" w:type="dxa"/>
            </w:tcMar>
          </w:tcPr>
          <w:p w14:paraId="4C2D53F0" w14:textId="27015168" w:rsidR="7388A156"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r w:rsidR="004410A8" w:rsidRPr="00123E2D" w14:paraId="216DCE54"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2B791108" w14:textId="2816E308"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Jan-22</w:t>
            </w:r>
          </w:p>
        </w:tc>
        <w:tc>
          <w:tcPr>
            <w:tcW w:w="1065" w:type="dxa"/>
            <w:tcMar>
              <w:left w:w="108" w:type="dxa"/>
              <w:right w:w="108" w:type="dxa"/>
            </w:tcMar>
          </w:tcPr>
          <w:p w14:paraId="25515B42" w14:textId="789CC205"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1221" w:type="dxa"/>
            <w:tcMar>
              <w:left w:w="108" w:type="dxa"/>
              <w:right w:w="108" w:type="dxa"/>
            </w:tcMar>
          </w:tcPr>
          <w:p w14:paraId="79B81F74" w14:textId="785F36FE"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37,800</w:t>
            </w:r>
          </w:p>
        </w:tc>
        <w:tc>
          <w:tcPr>
            <w:tcW w:w="914" w:type="dxa"/>
            <w:tcMar>
              <w:left w:w="108" w:type="dxa"/>
              <w:right w:w="108" w:type="dxa"/>
            </w:tcMar>
          </w:tcPr>
          <w:p w14:paraId="71740BA4" w14:textId="30CC1F58"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914" w:type="dxa"/>
            <w:tcMar>
              <w:left w:w="108" w:type="dxa"/>
              <w:right w:w="108" w:type="dxa"/>
            </w:tcMar>
          </w:tcPr>
          <w:p w14:paraId="1B4A7532" w14:textId="5739818C"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12,000</w:t>
            </w:r>
          </w:p>
        </w:tc>
        <w:tc>
          <w:tcPr>
            <w:tcW w:w="914" w:type="dxa"/>
            <w:tcMar>
              <w:left w:w="108" w:type="dxa"/>
              <w:right w:w="108" w:type="dxa"/>
            </w:tcMar>
          </w:tcPr>
          <w:p w14:paraId="2F46DFDD" w14:textId="403D355C"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2811DD">
              <w:rPr>
                <w:sz w:val="18"/>
                <w:szCs w:val="18"/>
              </w:rPr>
              <w:t>0</w:t>
            </w:r>
          </w:p>
        </w:tc>
        <w:tc>
          <w:tcPr>
            <w:tcW w:w="1020" w:type="dxa"/>
            <w:tcMar>
              <w:left w:w="108" w:type="dxa"/>
              <w:right w:w="108" w:type="dxa"/>
            </w:tcMar>
          </w:tcPr>
          <w:p w14:paraId="02CF0A2D" w14:textId="0734F07A"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2811DD">
              <w:rPr>
                <w:sz w:val="18"/>
                <w:szCs w:val="18"/>
              </w:rPr>
              <w:t>0</w:t>
            </w:r>
          </w:p>
        </w:tc>
        <w:tc>
          <w:tcPr>
            <w:tcW w:w="944" w:type="dxa"/>
            <w:tcMar>
              <w:left w:w="108" w:type="dxa"/>
              <w:right w:w="108" w:type="dxa"/>
            </w:tcMar>
          </w:tcPr>
          <w:p w14:paraId="5D89D9EF" w14:textId="5F5C0074"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2,200</w:t>
            </w:r>
          </w:p>
        </w:tc>
        <w:tc>
          <w:tcPr>
            <w:tcW w:w="1039" w:type="dxa"/>
            <w:tcMar>
              <w:left w:w="108" w:type="dxa"/>
              <w:right w:w="108" w:type="dxa"/>
            </w:tcMar>
          </w:tcPr>
          <w:p w14:paraId="29A7F454" w14:textId="325EF914"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500</w:t>
            </w:r>
          </w:p>
        </w:tc>
      </w:tr>
      <w:tr w:rsidR="7388A156" w:rsidRPr="00123E2D" w14:paraId="1FFD665E"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2B7C70DF" w14:textId="08F94D49" w:rsidR="7388A156" w:rsidRPr="006B0C6C" w:rsidRDefault="7388A156" w:rsidP="7388A156">
            <w:pPr>
              <w:spacing w:after="0"/>
              <w:rPr>
                <w:rFonts w:ascii="Calibri" w:eastAsia="Calibri" w:hAnsi="Calibri" w:cs="Calibri"/>
                <w:sz w:val="18"/>
                <w:szCs w:val="18"/>
              </w:rPr>
            </w:pPr>
            <w:r w:rsidRPr="006B0C6C">
              <w:rPr>
                <w:rFonts w:ascii="Calibri" w:eastAsia="Calibri" w:hAnsi="Calibri" w:cs="Calibri"/>
                <w:sz w:val="18"/>
                <w:szCs w:val="18"/>
              </w:rPr>
              <w:t>Feb-22</w:t>
            </w:r>
          </w:p>
        </w:tc>
        <w:tc>
          <w:tcPr>
            <w:tcW w:w="1065" w:type="dxa"/>
            <w:tcMar>
              <w:left w:w="108" w:type="dxa"/>
              <w:right w:w="108" w:type="dxa"/>
            </w:tcMar>
          </w:tcPr>
          <w:p w14:paraId="230588BF" w14:textId="04A346BA" w:rsidR="7388A156" w:rsidRPr="006B0C6C" w:rsidRDefault="7388A156"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351,000</w:t>
            </w:r>
          </w:p>
        </w:tc>
        <w:tc>
          <w:tcPr>
            <w:tcW w:w="1221" w:type="dxa"/>
            <w:tcMar>
              <w:left w:w="108" w:type="dxa"/>
              <w:right w:w="108" w:type="dxa"/>
            </w:tcMar>
          </w:tcPr>
          <w:p w14:paraId="60E9234F" w14:textId="6E6E1711" w:rsidR="7388A156" w:rsidRPr="006B0C6C" w:rsidRDefault="7388A156"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50,000</w:t>
            </w:r>
          </w:p>
        </w:tc>
        <w:tc>
          <w:tcPr>
            <w:tcW w:w="914" w:type="dxa"/>
            <w:tcMar>
              <w:left w:w="108" w:type="dxa"/>
              <w:right w:w="108" w:type="dxa"/>
            </w:tcMar>
          </w:tcPr>
          <w:p w14:paraId="7420BCCC" w14:textId="5A4B0973" w:rsidR="7388A156" w:rsidRPr="006B0C6C" w:rsidRDefault="7388A156"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100</w:t>
            </w:r>
          </w:p>
        </w:tc>
        <w:tc>
          <w:tcPr>
            <w:tcW w:w="914" w:type="dxa"/>
            <w:tcMar>
              <w:left w:w="108" w:type="dxa"/>
              <w:right w:w="108" w:type="dxa"/>
            </w:tcMar>
          </w:tcPr>
          <w:p w14:paraId="2822CEC5" w14:textId="4B705642" w:rsidR="7388A156" w:rsidRPr="006B0C6C" w:rsidRDefault="009D0D5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914" w:type="dxa"/>
            <w:tcMar>
              <w:left w:w="108" w:type="dxa"/>
              <w:right w:w="108" w:type="dxa"/>
            </w:tcMar>
          </w:tcPr>
          <w:p w14:paraId="31C5B163" w14:textId="2FAA0C73" w:rsidR="7388A156" w:rsidRPr="006B0C6C" w:rsidRDefault="009D0D5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020" w:type="dxa"/>
            <w:tcMar>
              <w:left w:w="108" w:type="dxa"/>
              <w:right w:w="108" w:type="dxa"/>
            </w:tcMar>
          </w:tcPr>
          <w:p w14:paraId="20D5BB1F" w14:textId="29AC75E4" w:rsidR="7388A156" w:rsidRPr="006B0C6C" w:rsidRDefault="009D0D5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944" w:type="dxa"/>
            <w:tcMar>
              <w:left w:w="108" w:type="dxa"/>
              <w:right w:w="108" w:type="dxa"/>
            </w:tcMar>
          </w:tcPr>
          <w:p w14:paraId="250335F7" w14:textId="1544B932" w:rsidR="7388A156" w:rsidRPr="006B0C6C" w:rsidRDefault="7388A156"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27,300</w:t>
            </w:r>
          </w:p>
        </w:tc>
        <w:tc>
          <w:tcPr>
            <w:tcW w:w="1039" w:type="dxa"/>
            <w:tcMar>
              <w:left w:w="108" w:type="dxa"/>
              <w:right w:w="108" w:type="dxa"/>
            </w:tcMar>
          </w:tcPr>
          <w:p w14:paraId="2F5332EA" w14:textId="06AF36A1" w:rsidR="7388A156" w:rsidRPr="006B0C6C" w:rsidRDefault="7388A156"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5,850</w:t>
            </w:r>
          </w:p>
        </w:tc>
      </w:tr>
      <w:tr w:rsidR="004410A8" w:rsidRPr="00123E2D" w14:paraId="26924A30"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3ADC0C38" w14:textId="39C9CAA7"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Mar-22</w:t>
            </w:r>
          </w:p>
        </w:tc>
        <w:tc>
          <w:tcPr>
            <w:tcW w:w="1065" w:type="dxa"/>
            <w:tcMar>
              <w:left w:w="108" w:type="dxa"/>
              <w:right w:w="108" w:type="dxa"/>
            </w:tcMar>
          </w:tcPr>
          <w:p w14:paraId="023EF5DF" w14:textId="644DE196"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A1229A">
              <w:rPr>
                <w:sz w:val="18"/>
                <w:szCs w:val="18"/>
              </w:rPr>
              <w:t>0</w:t>
            </w:r>
          </w:p>
        </w:tc>
        <w:tc>
          <w:tcPr>
            <w:tcW w:w="1221" w:type="dxa"/>
            <w:tcMar>
              <w:left w:w="108" w:type="dxa"/>
              <w:right w:w="108" w:type="dxa"/>
            </w:tcMar>
          </w:tcPr>
          <w:p w14:paraId="61F15907" w14:textId="1AD421E5"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A1229A">
              <w:rPr>
                <w:sz w:val="18"/>
                <w:szCs w:val="18"/>
              </w:rPr>
              <w:t>0</w:t>
            </w:r>
          </w:p>
        </w:tc>
        <w:tc>
          <w:tcPr>
            <w:tcW w:w="914" w:type="dxa"/>
            <w:tcMar>
              <w:left w:w="108" w:type="dxa"/>
              <w:right w:w="108" w:type="dxa"/>
            </w:tcMar>
          </w:tcPr>
          <w:p w14:paraId="4C5F71ED" w14:textId="62D213FF"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11,800</w:t>
            </w:r>
          </w:p>
        </w:tc>
        <w:tc>
          <w:tcPr>
            <w:tcW w:w="914" w:type="dxa"/>
            <w:tcMar>
              <w:left w:w="108" w:type="dxa"/>
              <w:right w:w="108" w:type="dxa"/>
            </w:tcMar>
          </w:tcPr>
          <w:p w14:paraId="6ACA2BF8" w14:textId="2569C40D"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70,200</w:t>
            </w:r>
          </w:p>
        </w:tc>
        <w:tc>
          <w:tcPr>
            <w:tcW w:w="914" w:type="dxa"/>
            <w:tcMar>
              <w:left w:w="108" w:type="dxa"/>
              <w:right w:w="108" w:type="dxa"/>
            </w:tcMar>
          </w:tcPr>
          <w:p w14:paraId="6E8395CE" w14:textId="487B92F3"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54,990</w:t>
            </w:r>
          </w:p>
        </w:tc>
        <w:tc>
          <w:tcPr>
            <w:tcW w:w="1020" w:type="dxa"/>
            <w:tcMar>
              <w:left w:w="108" w:type="dxa"/>
              <w:right w:w="108" w:type="dxa"/>
            </w:tcMar>
          </w:tcPr>
          <w:p w14:paraId="4F6D3DFE" w14:textId="4E08AC53"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30,000</w:t>
            </w:r>
          </w:p>
        </w:tc>
        <w:tc>
          <w:tcPr>
            <w:tcW w:w="944" w:type="dxa"/>
            <w:tcMar>
              <w:left w:w="108" w:type="dxa"/>
              <w:right w:w="108" w:type="dxa"/>
            </w:tcMar>
          </w:tcPr>
          <w:p w14:paraId="567CF209" w14:textId="5724FEF8"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1039" w:type="dxa"/>
            <w:tcMar>
              <w:left w:w="108" w:type="dxa"/>
              <w:right w:w="108" w:type="dxa"/>
            </w:tcMar>
          </w:tcPr>
          <w:p w14:paraId="36EA9448" w14:textId="5EDAD175"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5,850</w:t>
            </w:r>
          </w:p>
        </w:tc>
      </w:tr>
      <w:tr w:rsidR="004410A8" w:rsidRPr="00123E2D" w14:paraId="3144BB10"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7AC216FB" w14:textId="5F63940F"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Apr-22</w:t>
            </w:r>
          </w:p>
        </w:tc>
        <w:tc>
          <w:tcPr>
            <w:tcW w:w="1065" w:type="dxa"/>
            <w:tcMar>
              <w:left w:w="108" w:type="dxa"/>
              <w:right w:w="108" w:type="dxa"/>
            </w:tcMar>
          </w:tcPr>
          <w:p w14:paraId="6BE5668F" w14:textId="41565373"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221" w:type="dxa"/>
            <w:tcMar>
              <w:left w:w="108" w:type="dxa"/>
              <w:right w:w="108" w:type="dxa"/>
            </w:tcMar>
          </w:tcPr>
          <w:p w14:paraId="7EDC0332" w14:textId="55AC81E7"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150,930</w:t>
            </w:r>
          </w:p>
        </w:tc>
        <w:tc>
          <w:tcPr>
            <w:tcW w:w="914" w:type="dxa"/>
            <w:tcMar>
              <w:left w:w="108" w:type="dxa"/>
              <w:right w:w="108" w:type="dxa"/>
            </w:tcMar>
          </w:tcPr>
          <w:p w14:paraId="728B3AA8" w14:textId="27CC3713"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914" w:type="dxa"/>
            <w:tcMar>
              <w:left w:w="108" w:type="dxa"/>
              <w:right w:w="108" w:type="dxa"/>
            </w:tcMar>
          </w:tcPr>
          <w:p w14:paraId="23CF8A19" w14:textId="4DA73E54"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40,950</w:t>
            </w:r>
          </w:p>
        </w:tc>
        <w:tc>
          <w:tcPr>
            <w:tcW w:w="914" w:type="dxa"/>
            <w:tcMar>
              <w:left w:w="108" w:type="dxa"/>
              <w:right w:w="108" w:type="dxa"/>
            </w:tcMar>
          </w:tcPr>
          <w:p w14:paraId="665E0BCE" w14:textId="125BE3B2"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B615C8">
              <w:rPr>
                <w:sz w:val="18"/>
                <w:szCs w:val="18"/>
              </w:rPr>
              <w:t>0</w:t>
            </w:r>
          </w:p>
        </w:tc>
        <w:tc>
          <w:tcPr>
            <w:tcW w:w="1020" w:type="dxa"/>
            <w:tcMar>
              <w:left w:w="108" w:type="dxa"/>
              <w:right w:w="108" w:type="dxa"/>
            </w:tcMar>
          </w:tcPr>
          <w:p w14:paraId="04368462" w14:textId="6A3ADE2E"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B615C8">
              <w:rPr>
                <w:sz w:val="18"/>
                <w:szCs w:val="18"/>
              </w:rPr>
              <w:t>0</w:t>
            </w:r>
          </w:p>
        </w:tc>
        <w:tc>
          <w:tcPr>
            <w:tcW w:w="944" w:type="dxa"/>
            <w:tcMar>
              <w:left w:w="108" w:type="dxa"/>
              <w:right w:w="108" w:type="dxa"/>
            </w:tcMar>
          </w:tcPr>
          <w:p w14:paraId="21829B2A" w14:textId="6F6A8597"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B615C8">
              <w:rPr>
                <w:sz w:val="18"/>
                <w:szCs w:val="18"/>
              </w:rPr>
              <w:t>0</w:t>
            </w:r>
          </w:p>
        </w:tc>
        <w:tc>
          <w:tcPr>
            <w:tcW w:w="1039" w:type="dxa"/>
            <w:tcMar>
              <w:left w:w="108" w:type="dxa"/>
              <w:right w:w="108" w:type="dxa"/>
            </w:tcMar>
          </w:tcPr>
          <w:p w14:paraId="56F24B35" w14:textId="1AE1F7E5"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4410A8" w:rsidRPr="00123E2D" w14:paraId="73E40AC8"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14458797" w14:textId="47351D5F"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Jun-22</w:t>
            </w:r>
          </w:p>
        </w:tc>
        <w:tc>
          <w:tcPr>
            <w:tcW w:w="1065" w:type="dxa"/>
            <w:tcMar>
              <w:left w:w="108" w:type="dxa"/>
              <w:right w:w="108" w:type="dxa"/>
            </w:tcMar>
          </w:tcPr>
          <w:p w14:paraId="02775C20" w14:textId="6493EDDC"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1221" w:type="dxa"/>
            <w:tcMar>
              <w:left w:w="108" w:type="dxa"/>
              <w:right w:w="108" w:type="dxa"/>
            </w:tcMar>
          </w:tcPr>
          <w:p w14:paraId="0123EB4C" w14:textId="5603B720"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116,470</w:t>
            </w:r>
          </w:p>
        </w:tc>
        <w:tc>
          <w:tcPr>
            <w:tcW w:w="914" w:type="dxa"/>
            <w:tcMar>
              <w:left w:w="108" w:type="dxa"/>
              <w:right w:w="108" w:type="dxa"/>
            </w:tcMar>
          </w:tcPr>
          <w:p w14:paraId="2B276F54" w14:textId="771CF9DA"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FE2589">
              <w:rPr>
                <w:sz w:val="18"/>
                <w:szCs w:val="18"/>
              </w:rPr>
              <w:t>0</w:t>
            </w:r>
          </w:p>
        </w:tc>
        <w:tc>
          <w:tcPr>
            <w:tcW w:w="914" w:type="dxa"/>
            <w:tcMar>
              <w:left w:w="108" w:type="dxa"/>
              <w:right w:w="108" w:type="dxa"/>
            </w:tcMar>
          </w:tcPr>
          <w:p w14:paraId="1F156188" w14:textId="2DAA0CD8"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FE2589">
              <w:rPr>
                <w:sz w:val="18"/>
                <w:szCs w:val="18"/>
              </w:rPr>
              <w:t>0</w:t>
            </w:r>
          </w:p>
        </w:tc>
        <w:tc>
          <w:tcPr>
            <w:tcW w:w="914" w:type="dxa"/>
            <w:tcMar>
              <w:left w:w="108" w:type="dxa"/>
              <w:right w:w="108" w:type="dxa"/>
            </w:tcMar>
          </w:tcPr>
          <w:p w14:paraId="1DCB93F0" w14:textId="6FBB7CA1"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FE2589">
              <w:rPr>
                <w:sz w:val="18"/>
                <w:szCs w:val="18"/>
              </w:rPr>
              <w:t>0</w:t>
            </w:r>
          </w:p>
        </w:tc>
        <w:tc>
          <w:tcPr>
            <w:tcW w:w="1020" w:type="dxa"/>
            <w:tcMar>
              <w:left w:w="108" w:type="dxa"/>
              <w:right w:w="108" w:type="dxa"/>
            </w:tcMar>
          </w:tcPr>
          <w:p w14:paraId="4FB9835F" w14:textId="06A9153E"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FE2589">
              <w:rPr>
                <w:sz w:val="18"/>
                <w:szCs w:val="18"/>
              </w:rPr>
              <w:t>0</w:t>
            </w:r>
          </w:p>
        </w:tc>
        <w:tc>
          <w:tcPr>
            <w:tcW w:w="944" w:type="dxa"/>
            <w:tcMar>
              <w:left w:w="108" w:type="dxa"/>
              <w:right w:w="108" w:type="dxa"/>
            </w:tcMar>
          </w:tcPr>
          <w:p w14:paraId="77D5F311" w14:textId="1FA09C9B"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FE2589">
              <w:rPr>
                <w:sz w:val="18"/>
                <w:szCs w:val="18"/>
              </w:rPr>
              <w:t>0</w:t>
            </w:r>
          </w:p>
        </w:tc>
        <w:tc>
          <w:tcPr>
            <w:tcW w:w="1039" w:type="dxa"/>
            <w:tcMar>
              <w:left w:w="108" w:type="dxa"/>
              <w:right w:w="108" w:type="dxa"/>
            </w:tcMar>
          </w:tcPr>
          <w:p w14:paraId="6320DA38" w14:textId="5622A9C1"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6,600</w:t>
            </w:r>
          </w:p>
        </w:tc>
      </w:tr>
      <w:tr w:rsidR="004410A8" w:rsidRPr="00123E2D" w14:paraId="53A6EF22"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30F600A4" w14:textId="578B1725"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Sep-22</w:t>
            </w:r>
          </w:p>
        </w:tc>
        <w:tc>
          <w:tcPr>
            <w:tcW w:w="1065" w:type="dxa"/>
            <w:tcMar>
              <w:left w:w="108" w:type="dxa"/>
              <w:right w:w="108" w:type="dxa"/>
            </w:tcMar>
          </w:tcPr>
          <w:p w14:paraId="55F52C70" w14:textId="0A3A8C3E"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88,920</w:t>
            </w:r>
          </w:p>
        </w:tc>
        <w:tc>
          <w:tcPr>
            <w:tcW w:w="1221" w:type="dxa"/>
            <w:tcMar>
              <w:left w:w="108" w:type="dxa"/>
              <w:right w:w="108" w:type="dxa"/>
            </w:tcMar>
          </w:tcPr>
          <w:p w14:paraId="7765392E" w14:textId="7D5F849B"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560D51">
              <w:rPr>
                <w:sz w:val="18"/>
                <w:szCs w:val="18"/>
              </w:rPr>
              <w:t>0</w:t>
            </w:r>
          </w:p>
        </w:tc>
        <w:tc>
          <w:tcPr>
            <w:tcW w:w="914" w:type="dxa"/>
            <w:tcMar>
              <w:left w:w="108" w:type="dxa"/>
              <w:right w:w="108" w:type="dxa"/>
            </w:tcMar>
          </w:tcPr>
          <w:p w14:paraId="3486BEFF" w14:textId="546F1C61"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560D51">
              <w:rPr>
                <w:sz w:val="18"/>
                <w:szCs w:val="18"/>
              </w:rPr>
              <w:t>0</w:t>
            </w:r>
          </w:p>
        </w:tc>
        <w:tc>
          <w:tcPr>
            <w:tcW w:w="914" w:type="dxa"/>
            <w:tcMar>
              <w:left w:w="108" w:type="dxa"/>
              <w:right w:w="108" w:type="dxa"/>
            </w:tcMar>
          </w:tcPr>
          <w:p w14:paraId="1CECD804" w14:textId="45A088A2"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560D51">
              <w:rPr>
                <w:sz w:val="18"/>
                <w:szCs w:val="18"/>
              </w:rPr>
              <w:t>0</w:t>
            </w:r>
          </w:p>
        </w:tc>
        <w:tc>
          <w:tcPr>
            <w:tcW w:w="914" w:type="dxa"/>
            <w:tcMar>
              <w:left w:w="108" w:type="dxa"/>
              <w:right w:w="108" w:type="dxa"/>
            </w:tcMar>
          </w:tcPr>
          <w:p w14:paraId="0B6294AF" w14:textId="3AA68F0F"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560D51">
              <w:rPr>
                <w:sz w:val="18"/>
                <w:szCs w:val="18"/>
              </w:rPr>
              <w:t>0</w:t>
            </w:r>
          </w:p>
        </w:tc>
        <w:tc>
          <w:tcPr>
            <w:tcW w:w="1020" w:type="dxa"/>
            <w:tcMar>
              <w:left w:w="108" w:type="dxa"/>
              <w:right w:w="108" w:type="dxa"/>
            </w:tcMar>
          </w:tcPr>
          <w:p w14:paraId="1D34BBE3" w14:textId="22CB14FB"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560D51">
              <w:rPr>
                <w:sz w:val="18"/>
                <w:szCs w:val="18"/>
              </w:rPr>
              <w:t>0</w:t>
            </w:r>
          </w:p>
        </w:tc>
        <w:tc>
          <w:tcPr>
            <w:tcW w:w="944" w:type="dxa"/>
            <w:tcMar>
              <w:left w:w="108" w:type="dxa"/>
              <w:right w:w="108" w:type="dxa"/>
            </w:tcMar>
          </w:tcPr>
          <w:p w14:paraId="220F2304" w14:textId="63F0B58D"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560D51">
              <w:rPr>
                <w:sz w:val="18"/>
                <w:szCs w:val="18"/>
              </w:rPr>
              <w:t>0</w:t>
            </w:r>
          </w:p>
        </w:tc>
        <w:tc>
          <w:tcPr>
            <w:tcW w:w="1039" w:type="dxa"/>
            <w:tcMar>
              <w:left w:w="108" w:type="dxa"/>
              <w:right w:w="108" w:type="dxa"/>
            </w:tcMar>
          </w:tcPr>
          <w:p w14:paraId="271CAD2E" w14:textId="2471D04B"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560D51">
              <w:rPr>
                <w:sz w:val="18"/>
                <w:szCs w:val="18"/>
              </w:rPr>
              <w:t>0</w:t>
            </w:r>
          </w:p>
        </w:tc>
      </w:tr>
      <w:tr w:rsidR="004410A8" w:rsidRPr="00123E2D" w14:paraId="1E1C707D"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1B0C6102" w14:textId="544B45F5"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Nov-22</w:t>
            </w:r>
          </w:p>
        </w:tc>
        <w:tc>
          <w:tcPr>
            <w:tcW w:w="1065" w:type="dxa"/>
            <w:tcMar>
              <w:left w:w="108" w:type="dxa"/>
              <w:right w:w="108" w:type="dxa"/>
            </w:tcMar>
          </w:tcPr>
          <w:p w14:paraId="6853FD78" w14:textId="45759C36"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91,980</w:t>
            </w:r>
          </w:p>
        </w:tc>
        <w:tc>
          <w:tcPr>
            <w:tcW w:w="1221" w:type="dxa"/>
            <w:tcMar>
              <w:left w:w="108" w:type="dxa"/>
              <w:right w:w="108" w:type="dxa"/>
            </w:tcMar>
          </w:tcPr>
          <w:p w14:paraId="06962CC9" w14:textId="3D50A091"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914" w:type="dxa"/>
            <w:tcMar>
              <w:left w:w="108" w:type="dxa"/>
              <w:right w:w="108" w:type="dxa"/>
            </w:tcMar>
          </w:tcPr>
          <w:p w14:paraId="6A85C9DB" w14:textId="0CE17939"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F63662">
              <w:rPr>
                <w:sz w:val="18"/>
                <w:szCs w:val="18"/>
              </w:rPr>
              <w:t>0</w:t>
            </w:r>
          </w:p>
        </w:tc>
        <w:tc>
          <w:tcPr>
            <w:tcW w:w="914" w:type="dxa"/>
            <w:tcMar>
              <w:left w:w="108" w:type="dxa"/>
              <w:right w:w="108" w:type="dxa"/>
            </w:tcMar>
          </w:tcPr>
          <w:p w14:paraId="55B29CFD" w14:textId="40F441B8"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F63662">
              <w:rPr>
                <w:sz w:val="18"/>
                <w:szCs w:val="18"/>
              </w:rPr>
              <w:t>0</w:t>
            </w:r>
          </w:p>
        </w:tc>
        <w:tc>
          <w:tcPr>
            <w:tcW w:w="914" w:type="dxa"/>
            <w:tcMar>
              <w:left w:w="108" w:type="dxa"/>
              <w:right w:w="108" w:type="dxa"/>
            </w:tcMar>
          </w:tcPr>
          <w:p w14:paraId="4321C4CF" w14:textId="758A0AA7"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F63662">
              <w:rPr>
                <w:sz w:val="18"/>
                <w:szCs w:val="18"/>
              </w:rPr>
              <w:t>0</w:t>
            </w:r>
          </w:p>
        </w:tc>
        <w:tc>
          <w:tcPr>
            <w:tcW w:w="1020" w:type="dxa"/>
            <w:tcMar>
              <w:left w:w="108" w:type="dxa"/>
              <w:right w:w="108" w:type="dxa"/>
            </w:tcMar>
          </w:tcPr>
          <w:p w14:paraId="153AA9BE" w14:textId="4BC7AE90"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F63662">
              <w:rPr>
                <w:sz w:val="18"/>
                <w:szCs w:val="18"/>
              </w:rPr>
              <w:t>0</w:t>
            </w:r>
          </w:p>
        </w:tc>
        <w:tc>
          <w:tcPr>
            <w:tcW w:w="944" w:type="dxa"/>
            <w:tcMar>
              <w:left w:w="108" w:type="dxa"/>
              <w:right w:w="108" w:type="dxa"/>
            </w:tcMar>
          </w:tcPr>
          <w:p w14:paraId="219FE03D" w14:textId="4680BAEE"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F63662">
              <w:rPr>
                <w:sz w:val="18"/>
                <w:szCs w:val="18"/>
              </w:rPr>
              <w:t>0</w:t>
            </w:r>
          </w:p>
        </w:tc>
        <w:tc>
          <w:tcPr>
            <w:tcW w:w="1039" w:type="dxa"/>
            <w:tcMar>
              <w:left w:w="108" w:type="dxa"/>
              <w:right w:w="108" w:type="dxa"/>
            </w:tcMar>
          </w:tcPr>
          <w:p w14:paraId="64CE7A0F" w14:textId="53901686"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F63662">
              <w:rPr>
                <w:sz w:val="18"/>
                <w:szCs w:val="18"/>
              </w:rPr>
              <w:t>0</w:t>
            </w:r>
          </w:p>
        </w:tc>
      </w:tr>
      <w:tr w:rsidR="004410A8" w:rsidRPr="00123E2D" w14:paraId="0FE52C85"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2FD79CA0" w14:textId="4986B5FF"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Mar-23</w:t>
            </w:r>
          </w:p>
        </w:tc>
        <w:tc>
          <w:tcPr>
            <w:tcW w:w="1065" w:type="dxa"/>
            <w:tcMar>
              <w:left w:w="108" w:type="dxa"/>
              <w:right w:w="108" w:type="dxa"/>
            </w:tcMar>
          </w:tcPr>
          <w:p w14:paraId="7C9E334A" w14:textId="1DC027CD"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24,000</w:t>
            </w:r>
          </w:p>
        </w:tc>
        <w:tc>
          <w:tcPr>
            <w:tcW w:w="1221" w:type="dxa"/>
            <w:tcMar>
              <w:left w:w="108" w:type="dxa"/>
              <w:right w:w="108" w:type="dxa"/>
            </w:tcMar>
          </w:tcPr>
          <w:p w14:paraId="4C6364AC" w14:textId="6D92CE40"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F118A9">
              <w:rPr>
                <w:sz w:val="18"/>
                <w:szCs w:val="18"/>
              </w:rPr>
              <w:t>0</w:t>
            </w:r>
          </w:p>
        </w:tc>
        <w:tc>
          <w:tcPr>
            <w:tcW w:w="914" w:type="dxa"/>
            <w:tcMar>
              <w:left w:w="108" w:type="dxa"/>
              <w:right w:w="108" w:type="dxa"/>
            </w:tcMar>
          </w:tcPr>
          <w:p w14:paraId="632A5D46" w14:textId="33FF50FB"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F118A9">
              <w:rPr>
                <w:sz w:val="18"/>
                <w:szCs w:val="18"/>
              </w:rPr>
              <w:t>0</w:t>
            </w:r>
          </w:p>
        </w:tc>
        <w:tc>
          <w:tcPr>
            <w:tcW w:w="914" w:type="dxa"/>
            <w:tcMar>
              <w:left w:w="108" w:type="dxa"/>
              <w:right w:w="108" w:type="dxa"/>
            </w:tcMar>
          </w:tcPr>
          <w:p w14:paraId="4D072095" w14:textId="64D27E08"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F118A9">
              <w:rPr>
                <w:sz w:val="18"/>
                <w:szCs w:val="18"/>
              </w:rPr>
              <w:t>0</w:t>
            </w:r>
          </w:p>
        </w:tc>
        <w:tc>
          <w:tcPr>
            <w:tcW w:w="914" w:type="dxa"/>
            <w:tcMar>
              <w:left w:w="108" w:type="dxa"/>
              <w:right w:w="108" w:type="dxa"/>
            </w:tcMar>
          </w:tcPr>
          <w:p w14:paraId="2A149984" w14:textId="7A39D25E"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F118A9">
              <w:rPr>
                <w:sz w:val="18"/>
                <w:szCs w:val="18"/>
              </w:rPr>
              <w:t>0</w:t>
            </w:r>
          </w:p>
        </w:tc>
        <w:tc>
          <w:tcPr>
            <w:tcW w:w="1020" w:type="dxa"/>
            <w:tcMar>
              <w:left w:w="108" w:type="dxa"/>
              <w:right w:w="108" w:type="dxa"/>
            </w:tcMar>
          </w:tcPr>
          <w:p w14:paraId="13170BFC" w14:textId="17485BB5"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F118A9">
              <w:rPr>
                <w:sz w:val="18"/>
                <w:szCs w:val="18"/>
              </w:rPr>
              <w:t>0</w:t>
            </w:r>
          </w:p>
        </w:tc>
        <w:tc>
          <w:tcPr>
            <w:tcW w:w="944" w:type="dxa"/>
            <w:tcMar>
              <w:left w:w="108" w:type="dxa"/>
              <w:right w:w="108" w:type="dxa"/>
            </w:tcMar>
          </w:tcPr>
          <w:p w14:paraId="5782DB2A" w14:textId="4DF2F676"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F118A9">
              <w:rPr>
                <w:sz w:val="18"/>
                <w:szCs w:val="18"/>
              </w:rPr>
              <w:t>0</w:t>
            </w:r>
          </w:p>
        </w:tc>
        <w:tc>
          <w:tcPr>
            <w:tcW w:w="1039" w:type="dxa"/>
            <w:tcMar>
              <w:left w:w="108" w:type="dxa"/>
              <w:right w:w="108" w:type="dxa"/>
            </w:tcMar>
          </w:tcPr>
          <w:p w14:paraId="16D3DBB6" w14:textId="7CE5E02F"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F118A9">
              <w:rPr>
                <w:sz w:val="18"/>
                <w:szCs w:val="18"/>
              </w:rPr>
              <w:t>0</w:t>
            </w:r>
          </w:p>
        </w:tc>
      </w:tr>
      <w:tr w:rsidR="004410A8" w:rsidRPr="00123E2D" w14:paraId="61FE00E0"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201FB03B" w14:textId="19EDF789"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Apr-23</w:t>
            </w:r>
          </w:p>
        </w:tc>
        <w:tc>
          <w:tcPr>
            <w:tcW w:w="1065" w:type="dxa"/>
            <w:tcMar>
              <w:left w:w="108" w:type="dxa"/>
              <w:right w:w="108" w:type="dxa"/>
            </w:tcMar>
          </w:tcPr>
          <w:p w14:paraId="7B559DE5" w14:textId="2EA8B2D6"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19,200</w:t>
            </w:r>
          </w:p>
        </w:tc>
        <w:tc>
          <w:tcPr>
            <w:tcW w:w="1221" w:type="dxa"/>
            <w:tcMar>
              <w:left w:w="108" w:type="dxa"/>
              <w:right w:w="108" w:type="dxa"/>
            </w:tcMar>
          </w:tcPr>
          <w:p w14:paraId="298EDA4E" w14:textId="19D66AAE"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914" w:type="dxa"/>
            <w:tcMar>
              <w:left w:w="108" w:type="dxa"/>
              <w:right w:w="108" w:type="dxa"/>
            </w:tcMar>
          </w:tcPr>
          <w:p w14:paraId="7B40CE0D" w14:textId="1F0FD687"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DC5D21">
              <w:rPr>
                <w:sz w:val="18"/>
                <w:szCs w:val="18"/>
              </w:rPr>
              <w:t>0</w:t>
            </w:r>
          </w:p>
        </w:tc>
        <w:tc>
          <w:tcPr>
            <w:tcW w:w="914" w:type="dxa"/>
            <w:tcMar>
              <w:left w:w="108" w:type="dxa"/>
              <w:right w:w="108" w:type="dxa"/>
            </w:tcMar>
          </w:tcPr>
          <w:p w14:paraId="3506A4FC" w14:textId="3DA5A999"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DC5D21">
              <w:rPr>
                <w:sz w:val="18"/>
                <w:szCs w:val="18"/>
              </w:rPr>
              <w:t>0</w:t>
            </w:r>
          </w:p>
        </w:tc>
        <w:tc>
          <w:tcPr>
            <w:tcW w:w="914" w:type="dxa"/>
            <w:tcMar>
              <w:left w:w="108" w:type="dxa"/>
              <w:right w:w="108" w:type="dxa"/>
            </w:tcMar>
          </w:tcPr>
          <w:p w14:paraId="3D476B48" w14:textId="17682109"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DC5D21">
              <w:rPr>
                <w:sz w:val="18"/>
                <w:szCs w:val="18"/>
              </w:rPr>
              <w:t>0</w:t>
            </w:r>
          </w:p>
        </w:tc>
        <w:tc>
          <w:tcPr>
            <w:tcW w:w="1020" w:type="dxa"/>
            <w:tcMar>
              <w:left w:w="108" w:type="dxa"/>
              <w:right w:w="108" w:type="dxa"/>
            </w:tcMar>
          </w:tcPr>
          <w:p w14:paraId="63FB1F6D" w14:textId="10C81091"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DC5D21">
              <w:rPr>
                <w:sz w:val="18"/>
                <w:szCs w:val="18"/>
              </w:rPr>
              <w:t>0</w:t>
            </w:r>
          </w:p>
        </w:tc>
        <w:tc>
          <w:tcPr>
            <w:tcW w:w="944" w:type="dxa"/>
            <w:tcMar>
              <w:left w:w="108" w:type="dxa"/>
              <w:right w:w="108" w:type="dxa"/>
            </w:tcMar>
          </w:tcPr>
          <w:p w14:paraId="21D03B82" w14:textId="66304A4A"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DC5D21">
              <w:rPr>
                <w:sz w:val="18"/>
                <w:szCs w:val="18"/>
              </w:rPr>
              <w:t>0</w:t>
            </w:r>
          </w:p>
        </w:tc>
        <w:tc>
          <w:tcPr>
            <w:tcW w:w="1039" w:type="dxa"/>
            <w:tcMar>
              <w:left w:w="108" w:type="dxa"/>
              <w:right w:w="108" w:type="dxa"/>
            </w:tcMar>
          </w:tcPr>
          <w:p w14:paraId="78ECE8EE" w14:textId="659EDAE3"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DC5D21">
              <w:rPr>
                <w:sz w:val="18"/>
                <w:szCs w:val="18"/>
              </w:rPr>
              <w:t>0</w:t>
            </w:r>
          </w:p>
        </w:tc>
      </w:tr>
      <w:tr w:rsidR="004410A8" w:rsidRPr="00123E2D" w14:paraId="030826DB"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2322D124" w14:textId="1BAA125F"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May-23</w:t>
            </w:r>
          </w:p>
        </w:tc>
        <w:tc>
          <w:tcPr>
            <w:tcW w:w="1065" w:type="dxa"/>
            <w:tcMar>
              <w:left w:w="108" w:type="dxa"/>
              <w:right w:w="108" w:type="dxa"/>
            </w:tcMar>
          </w:tcPr>
          <w:p w14:paraId="0EC2B00D" w14:textId="4DE835A1"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E11A6D">
              <w:rPr>
                <w:sz w:val="18"/>
                <w:szCs w:val="18"/>
              </w:rPr>
              <w:t>0</w:t>
            </w:r>
          </w:p>
        </w:tc>
        <w:tc>
          <w:tcPr>
            <w:tcW w:w="1221" w:type="dxa"/>
            <w:tcMar>
              <w:left w:w="108" w:type="dxa"/>
              <w:right w:w="108" w:type="dxa"/>
            </w:tcMar>
          </w:tcPr>
          <w:p w14:paraId="27FCF1EA" w14:textId="605E4BE3"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E11A6D">
              <w:rPr>
                <w:sz w:val="18"/>
                <w:szCs w:val="18"/>
              </w:rPr>
              <w:t>0</w:t>
            </w:r>
          </w:p>
        </w:tc>
        <w:tc>
          <w:tcPr>
            <w:tcW w:w="914" w:type="dxa"/>
            <w:tcMar>
              <w:left w:w="108" w:type="dxa"/>
              <w:right w:w="108" w:type="dxa"/>
            </w:tcMar>
          </w:tcPr>
          <w:p w14:paraId="17D1A26F" w14:textId="74E52B23"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7A6F89">
              <w:rPr>
                <w:sz w:val="18"/>
                <w:szCs w:val="18"/>
              </w:rPr>
              <w:t>0</w:t>
            </w:r>
          </w:p>
        </w:tc>
        <w:tc>
          <w:tcPr>
            <w:tcW w:w="914" w:type="dxa"/>
            <w:tcMar>
              <w:left w:w="108" w:type="dxa"/>
              <w:right w:w="108" w:type="dxa"/>
            </w:tcMar>
          </w:tcPr>
          <w:p w14:paraId="63FB625D" w14:textId="16B4C86A"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7A6F89">
              <w:rPr>
                <w:sz w:val="18"/>
                <w:szCs w:val="18"/>
              </w:rPr>
              <w:t>0</w:t>
            </w:r>
          </w:p>
        </w:tc>
        <w:tc>
          <w:tcPr>
            <w:tcW w:w="914" w:type="dxa"/>
            <w:tcMar>
              <w:left w:w="108" w:type="dxa"/>
              <w:right w:w="108" w:type="dxa"/>
            </w:tcMar>
          </w:tcPr>
          <w:p w14:paraId="7F5F8E45" w14:textId="13159F26" w:rsidR="004410A8" w:rsidRPr="006B0C6C" w:rsidRDefault="004410A8" w:rsidP="00E8051E">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2,200</w:t>
            </w:r>
          </w:p>
        </w:tc>
        <w:tc>
          <w:tcPr>
            <w:tcW w:w="1020" w:type="dxa"/>
            <w:tcMar>
              <w:left w:w="108" w:type="dxa"/>
              <w:right w:w="108" w:type="dxa"/>
            </w:tcMar>
          </w:tcPr>
          <w:p w14:paraId="6145516A" w14:textId="3F58A507"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D50BDA">
              <w:rPr>
                <w:sz w:val="18"/>
                <w:szCs w:val="18"/>
              </w:rPr>
              <w:t>0</w:t>
            </w:r>
          </w:p>
        </w:tc>
        <w:tc>
          <w:tcPr>
            <w:tcW w:w="944" w:type="dxa"/>
            <w:tcMar>
              <w:left w:w="108" w:type="dxa"/>
              <w:right w:w="108" w:type="dxa"/>
            </w:tcMar>
          </w:tcPr>
          <w:p w14:paraId="6FB88E5A" w14:textId="46BFCA92"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D50BDA">
              <w:rPr>
                <w:sz w:val="18"/>
                <w:szCs w:val="18"/>
              </w:rPr>
              <w:t>0</w:t>
            </w:r>
          </w:p>
        </w:tc>
        <w:tc>
          <w:tcPr>
            <w:tcW w:w="1039" w:type="dxa"/>
            <w:tcMar>
              <w:left w:w="108" w:type="dxa"/>
              <w:right w:w="108" w:type="dxa"/>
            </w:tcMar>
          </w:tcPr>
          <w:p w14:paraId="5BEB5C0D" w14:textId="46CB1263" w:rsidR="004410A8" w:rsidRPr="006B0C6C" w:rsidRDefault="004410A8" w:rsidP="00E8051E">
            <w:pPr>
              <w:jc w:val="right"/>
              <w:cnfStyle w:val="000000000000" w:firstRow="0" w:lastRow="0" w:firstColumn="0" w:lastColumn="0" w:oddVBand="0" w:evenVBand="0" w:oddHBand="0" w:evenHBand="0" w:firstRowFirstColumn="0" w:firstRowLastColumn="0" w:lastRowFirstColumn="0" w:lastRowLastColumn="0"/>
              <w:rPr>
                <w:sz w:val="18"/>
                <w:szCs w:val="18"/>
              </w:rPr>
            </w:pPr>
            <w:r w:rsidRPr="00D50BDA">
              <w:rPr>
                <w:sz w:val="18"/>
                <w:szCs w:val="18"/>
              </w:rPr>
              <w:t>0</w:t>
            </w:r>
          </w:p>
        </w:tc>
      </w:tr>
      <w:tr w:rsidR="004410A8" w:rsidRPr="00123E2D" w14:paraId="3596AAAF"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85" w:type="dxa"/>
            <w:tcMar>
              <w:left w:w="108" w:type="dxa"/>
              <w:right w:w="108" w:type="dxa"/>
            </w:tcMar>
          </w:tcPr>
          <w:p w14:paraId="09C34EE0" w14:textId="3BD0D34D"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Aug-23</w:t>
            </w:r>
          </w:p>
        </w:tc>
        <w:tc>
          <w:tcPr>
            <w:tcW w:w="1065" w:type="dxa"/>
            <w:tcMar>
              <w:left w:w="108" w:type="dxa"/>
              <w:right w:w="108" w:type="dxa"/>
            </w:tcMar>
          </w:tcPr>
          <w:p w14:paraId="1B196238" w14:textId="0EE351CB"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7228E2">
              <w:rPr>
                <w:sz w:val="18"/>
                <w:szCs w:val="18"/>
              </w:rPr>
              <w:t>0</w:t>
            </w:r>
          </w:p>
        </w:tc>
        <w:tc>
          <w:tcPr>
            <w:tcW w:w="1221" w:type="dxa"/>
            <w:tcMar>
              <w:left w:w="108" w:type="dxa"/>
              <w:right w:w="108" w:type="dxa"/>
            </w:tcMar>
          </w:tcPr>
          <w:p w14:paraId="33A83B8C" w14:textId="41C59F07"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7228E2">
              <w:rPr>
                <w:sz w:val="18"/>
                <w:szCs w:val="18"/>
              </w:rPr>
              <w:t>0</w:t>
            </w:r>
          </w:p>
        </w:tc>
        <w:tc>
          <w:tcPr>
            <w:tcW w:w="914" w:type="dxa"/>
            <w:tcMar>
              <w:left w:w="108" w:type="dxa"/>
              <w:right w:w="108" w:type="dxa"/>
            </w:tcMar>
          </w:tcPr>
          <w:p w14:paraId="057256D4" w14:textId="5572B7EB"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7228E2">
              <w:rPr>
                <w:sz w:val="18"/>
                <w:szCs w:val="18"/>
              </w:rPr>
              <w:t>0</w:t>
            </w:r>
          </w:p>
        </w:tc>
        <w:tc>
          <w:tcPr>
            <w:tcW w:w="914" w:type="dxa"/>
            <w:tcMar>
              <w:left w:w="108" w:type="dxa"/>
              <w:right w:w="108" w:type="dxa"/>
            </w:tcMar>
          </w:tcPr>
          <w:p w14:paraId="7E1D0240" w14:textId="2D068D30"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7228E2">
              <w:rPr>
                <w:sz w:val="18"/>
                <w:szCs w:val="18"/>
              </w:rPr>
              <w:t>0</w:t>
            </w:r>
          </w:p>
        </w:tc>
        <w:tc>
          <w:tcPr>
            <w:tcW w:w="914" w:type="dxa"/>
            <w:tcMar>
              <w:left w:w="108" w:type="dxa"/>
              <w:right w:w="108" w:type="dxa"/>
            </w:tcMar>
          </w:tcPr>
          <w:p w14:paraId="51D4E7C6" w14:textId="6F63239B"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7228E2">
              <w:rPr>
                <w:sz w:val="18"/>
                <w:szCs w:val="18"/>
              </w:rPr>
              <w:t>0</w:t>
            </w:r>
          </w:p>
        </w:tc>
        <w:tc>
          <w:tcPr>
            <w:tcW w:w="1020" w:type="dxa"/>
            <w:tcMar>
              <w:left w:w="108" w:type="dxa"/>
              <w:right w:w="108" w:type="dxa"/>
            </w:tcMar>
          </w:tcPr>
          <w:p w14:paraId="09A4B0CE" w14:textId="4959E1DA"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7228E2">
              <w:rPr>
                <w:sz w:val="18"/>
                <w:szCs w:val="18"/>
              </w:rPr>
              <w:t>0</w:t>
            </w:r>
          </w:p>
        </w:tc>
        <w:tc>
          <w:tcPr>
            <w:tcW w:w="944" w:type="dxa"/>
            <w:tcMar>
              <w:left w:w="108" w:type="dxa"/>
              <w:right w:w="108" w:type="dxa"/>
            </w:tcMar>
          </w:tcPr>
          <w:p w14:paraId="474D3CAA" w14:textId="183A3B72" w:rsidR="004410A8" w:rsidRPr="006B0C6C" w:rsidRDefault="004410A8" w:rsidP="00E8051E">
            <w:pPr>
              <w:jc w:val="right"/>
              <w:cnfStyle w:val="000000100000" w:firstRow="0" w:lastRow="0" w:firstColumn="0" w:lastColumn="0" w:oddVBand="0" w:evenVBand="0" w:oddHBand="1" w:evenHBand="0" w:firstRowFirstColumn="0" w:firstRowLastColumn="0" w:lastRowFirstColumn="0" w:lastRowLastColumn="0"/>
              <w:rPr>
                <w:sz w:val="18"/>
                <w:szCs w:val="18"/>
              </w:rPr>
            </w:pPr>
            <w:r w:rsidRPr="007228E2">
              <w:rPr>
                <w:sz w:val="18"/>
                <w:szCs w:val="18"/>
              </w:rPr>
              <w:t>0</w:t>
            </w:r>
          </w:p>
        </w:tc>
        <w:tc>
          <w:tcPr>
            <w:tcW w:w="1039" w:type="dxa"/>
            <w:tcMar>
              <w:left w:w="108" w:type="dxa"/>
              <w:right w:w="108" w:type="dxa"/>
            </w:tcMar>
          </w:tcPr>
          <w:p w14:paraId="4A74D46F" w14:textId="034945C5" w:rsidR="004410A8" w:rsidRPr="006B0C6C" w:rsidRDefault="004410A8" w:rsidP="00E8051E">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4,980</w:t>
            </w:r>
          </w:p>
        </w:tc>
      </w:tr>
    </w:tbl>
    <w:p w14:paraId="7DF3D0AA" w14:textId="734187CA" w:rsidR="7388A156" w:rsidRPr="006B0C6C" w:rsidRDefault="7388A156">
      <w:r w:rsidRPr="006B0C6C">
        <w:br w:type="page"/>
      </w:r>
    </w:p>
    <w:p w14:paraId="3D2F9881" w14:textId="49082724" w:rsidR="42431BD1" w:rsidRPr="006B0C6C" w:rsidRDefault="42431BD1" w:rsidP="7388A156">
      <w:pPr>
        <w:spacing w:after="160" w:line="257" w:lineRule="auto"/>
        <w:rPr>
          <w:rFonts w:ascii="Calibri" w:eastAsia="Calibri" w:hAnsi="Calibri" w:cs="Calibri"/>
          <w:szCs w:val="22"/>
        </w:rPr>
      </w:pPr>
      <w:r w:rsidRPr="006B0C6C">
        <w:t xml:space="preserve">B: </w:t>
      </w:r>
      <w:r w:rsidR="38787A4A" w:rsidRPr="4608E2EE">
        <w:rPr>
          <w:rFonts w:ascii="Calibri" w:eastAsia="Calibri" w:hAnsi="Calibri" w:cs="Calibri"/>
        </w:rPr>
        <w:t>Southeast</w:t>
      </w:r>
      <w:r w:rsidR="0FE149E2" w:rsidRPr="4608E2EE">
        <w:rPr>
          <w:rFonts w:ascii="Calibri" w:eastAsia="Calibri" w:hAnsi="Calibri" w:cs="Calibri"/>
        </w:rPr>
        <w:t xml:space="preserve"> Asian countries</w:t>
      </w:r>
      <w:r w:rsidR="00913943" w:rsidRPr="4608E2EE">
        <w:rPr>
          <w:rStyle w:val="EndnoteReference"/>
          <w:rFonts w:ascii="Calibri" w:eastAsia="Calibri" w:hAnsi="Calibri" w:cs="Calibri"/>
        </w:rPr>
        <w:endnoteReference w:id="20"/>
      </w:r>
      <w:r w:rsidR="0FE149E2" w:rsidRPr="4608E2EE">
        <w:rPr>
          <w:rFonts w:ascii="Calibri" w:eastAsia="Calibri" w:hAnsi="Calibri" w:cs="Calibri"/>
        </w:rPr>
        <w:t xml:space="preserve"> </w:t>
      </w:r>
    </w:p>
    <w:tbl>
      <w:tblPr>
        <w:tblStyle w:val="SHSReportTable"/>
        <w:tblW w:w="9105" w:type="dxa"/>
        <w:tblLayout w:type="fixed"/>
        <w:tblLook w:val="04A0" w:firstRow="1" w:lastRow="0" w:firstColumn="1" w:lastColumn="0" w:noHBand="0" w:noVBand="1"/>
      </w:tblPr>
      <w:tblGrid>
        <w:gridCol w:w="1035"/>
        <w:gridCol w:w="885"/>
        <w:gridCol w:w="945"/>
        <w:gridCol w:w="1095"/>
        <w:gridCol w:w="1065"/>
        <w:gridCol w:w="1110"/>
        <w:gridCol w:w="930"/>
        <w:gridCol w:w="1065"/>
        <w:gridCol w:w="975"/>
      </w:tblGrid>
      <w:tr w:rsidR="7388A156" w:rsidRPr="00123E2D" w14:paraId="1BA76EE0" w14:textId="77777777" w:rsidTr="00477706">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6968E8B1" w14:textId="1D1BDDAD" w:rsidR="7388A156" w:rsidRPr="006B0C6C" w:rsidRDefault="7388A156" w:rsidP="7388A156">
            <w:pPr>
              <w:spacing w:after="0"/>
              <w:rPr>
                <w:rFonts w:ascii="Calibri" w:eastAsia="Calibri" w:hAnsi="Calibri" w:cs="Calibri"/>
                <w:b w:val="0"/>
                <w:bCs/>
                <w:sz w:val="18"/>
                <w:szCs w:val="18"/>
              </w:rPr>
            </w:pPr>
            <w:r w:rsidRPr="006B0C6C">
              <w:rPr>
                <w:rFonts w:ascii="Calibri" w:eastAsia="Calibri" w:hAnsi="Calibri" w:cs="Calibri"/>
                <w:bCs/>
                <w:sz w:val="18"/>
                <w:szCs w:val="18"/>
              </w:rPr>
              <w:t>Date delivered</w:t>
            </w:r>
          </w:p>
        </w:tc>
        <w:tc>
          <w:tcPr>
            <w:tcW w:w="885" w:type="dxa"/>
            <w:tcMar>
              <w:left w:w="108" w:type="dxa"/>
              <w:right w:w="108" w:type="dxa"/>
            </w:tcMar>
          </w:tcPr>
          <w:p w14:paraId="48C45EC7" w14:textId="60DC6445" w:rsidR="7388A156" w:rsidRPr="006B0C6C"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PNG</w:t>
            </w:r>
          </w:p>
        </w:tc>
        <w:tc>
          <w:tcPr>
            <w:tcW w:w="945" w:type="dxa"/>
            <w:tcMar>
              <w:left w:w="108" w:type="dxa"/>
              <w:right w:w="108" w:type="dxa"/>
            </w:tcMar>
          </w:tcPr>
          <w:p w14:paraId="3113CB3E" w14:textId="5B7B77F5" w:rsidR="7388A156" w:rsidRPr="006B0C6C"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Timor-Leste</w:t>
            </w:r>
          </w:p>
        </w:tc>
        <w:tc>
          <w:tcPr>
            <w:tcW w:w="1095" w:type="dxa"/>
            <w:tcMar>
              <w:left w:w="108" w:type="dxa"/>
              <w:right w:w="108" w:type="dxa"/>
            </w:tcMar>
          </w:tcPr>
          <w:p w14:paraId="71C76152" w14:textId="12946D0B" w:rsidR="7388A156" w:rsidRPr="006B0C6C"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Vietnam</w:t>
            </w:r>
          </w:p>
        </w:tc>
        <w:tc>
          <w:tcPr>
            <w:tcW w:w="1065" w:type="dxa"/>
            <w:tcMar>
              <w:left w:w="108" w:type="dxa"/>
              <w:right w:w="108" w:type="dxa"/>
            </w:tcMar>
          </w:tcPr>
          <w:p w14:paraId="0BA1CBE7" w14:textId="5AFD645C" w:rsidR="7388A156" w:rsidRPr="006B0C6C"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Indonesia</w:t>
            </w:r>
          </w:p>
        </w:tc>
        <w:tc>
          <w:tcPr>
            <w:tcW w:w="1110" w:type="dxa"/>
            <w:tcMar>
              <w:left w:w="108" w:type="dxa"/>
              <w:right w:w="108" w:type="dxa"/>
            </w:tcMar>
          </w:tcPr>
          <w:p w14:paraId="300189C5" w14:textId="0B2F1220" w:rsidR="7388A156" w:rsidRPr="006B0C6C"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Philippines</w:t>
            </w:r>
          </w:p>
        </w:tc>
        <w:tc>
          <w:tcPr>
            <w:tcW w:w="930" w:type="dxa"/>
            <w:tcMar>
              <w:left w:w="108" w:type="dxa"/>
              <w:right w:w="108" w:type="dxa"/>
            </w:tcMar>
          </w:tcPr>
          <w:p w14:paraId="0CE00F00" w14:textId="7EF5A4FD" w:rsidR="7388A156" w:rsidRPr="006B0C6C"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Laos</w:t>
            </w:r>
          </w:p>
        </w:tc>
        <w:tc>
          <w:tcPr>
            <w:tcW w:w="1065" w:type="dxa"/>
            <w:tcMar>
              <w:left w:w="108" w:type="dxa"/>
              <w:right w:w="108" w:type="dxa"/>
            </w:tcMar>
          </w:tcPr>
          <w:p w14:paraId="62B7F4E9" w14:textId="15144B6A" w:rsidR="7388A156" w:rsidRPr="006B0C6C"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Cambodia</w:t>
            </w:r>
          </w:p>
        </w:tc>
        <w:tc>
          <w:tcPr>
            <w:tcW w:w="975" w:type="dxa"/>
            <w:tcMar>
              <w:left w:w="108" w:type="dxa"/>
              <w:right w:w="108" w:type="dxa"/>
            </w:tcMar>
          </w:tcPr>
          <w:p w14:paraId="609B1853" w14:textId="2629D01B" w:rsidR="7388A156" w:rsidRPr="006B0C6C"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Thailand</w:t>
            </w:r>
          </w:p>
        </w:tc>
      </w:tr>
      <w:tr w:rsidR="004410A8" w:rsidRPr="00123E2D" w14:paraId="50963120"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202875FE" w14:textId="456A84C3"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Mar-21</w:t>
            </w:r>
          </w:p>
        </w:tc>
        <w:tc>
          <w:tcPr>
            <w:tcW w:w="885" w:type="dxa"/>
            <w:tcMar>
              <w:left w:w="108" w:type="dxa"/>
              <w:right w:w="108" w:type="dxa"/>
            </w:tcMar>
          </w:tcPr>
          <w:p w14:paraId="60B006CD" w14:textId="6D6703A6"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8,480</w:t>
            </w:r>
          </w:p>
        </w:tc>
        <w:tc>
          <w:tcPr>
            <w:tcW w:w="945" w:type="dxa"/>
            <w:tcMar>
              <w:left w:w="108" w:type="dxa"/>
              <w:right w:w="108" w:type="dxa"/>
            </w:tcMar>
          </w:tcPr>
          <w:p w14:paraId="51C91BC6" w14:textId="2CBB4244"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BE5C8C">
              <w:rPr>
                <w:sz w:val="18"/>
                <w:szCs w:val="18"/>
              </w:rPr>
              <w:t>0</w:t>
            </w:r>
          </w:p>
        </w:tc>
        <w:tc>
          <w:tcPr>
            <w:tcW w:w="1095" w:type="dxa"/>
            <w:tcMar>
              <w:left w:w="108" w:type="dxa"/>
              <w:right w:w="108" w:type="dxa"/>
            </w:tcMar>
          </w:tcPr>
          <w:p w14:paraId="57425552" w14:textId="26E9EB25"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BE5C8C">
              <w:rPr>
                <w:sz w:val="18"/>
                <w:szCs w:val="18"/>
              </w:rPr>
              <w:t>0</w:t>
            </w:r>
          </w:p>
        </w:tc>
        <w:tc>
          <w:tcPr>
            <w:tcW w:w="1065" w:type="dxa"/>
            <w:tcMar>
              <w:left w:w="108" w:type="dxa"/>
              <w:right w:w="108" w:type="dxa"/>
            </w:tcMar>
          </w:tcPr>
          <w:p w14:paraId="35C85272" w14:textId="76EEBD02"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BE5C8C">
              <w:rPr>
                <w:sz w:val="18"/>
                <w:szCs w:val="18"/>
              </w:rPr>
              <w:t>0</w:t>
            </w:r>
          </w:p>
        </w:tc>
        <w:tc>
          <w:tcPr>
            <w:tcW w:w="1110" w:type="dxa"/>
            <w:tcMar>
              <w:left w:w="108" w:type="dxa"/>
              <w:right w:w="108" w:type="dxa"/>
            </w:tcMar>
          </w:tcPr>
          <w:p w14:paraId="702CB485" w14:textId="3FD5FC5F"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BE5C8C">
              <w:rPr>
                <w:sz w:val="18"/>
                <w:szCs w:val="18"/>
              </w:rPr>
              <w:t>0</w:t>
            </w:r>
          </w:p>
        </w:tc>
        <w:tc>
          <w:tcPr>
            <w:tcW w:w="930" w:type="dxa"/>
            <w:tcMar>
              <w:left w:w="108" w:type="dxa"/>
              <w:right w:w="108" w:type="dxa"/>
            </w:tcMar>
          </w:tcPr>
          <w:p w14:paraId="1198BA27" w14:textId="0F3FB217"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BE5C8C">
              <w:rPr>
                <w:sz w:val="18"/>
                <w:szCs w:val="18"/>
              </w:rPr>
              <w:t>0</w:t>
            </w:r>
          </w:p>
        </w:tc>
        <w:tc>
          <w:tcPr>
            <w:tcW w:w="1065" w:type="dxa"/>
            <w:tcMar>
              <w:left w:w="108" w:type="dxa"/>
              <w:right w:w="108" w:type="dxa"/>
            </w:tcMar>
          </w:tcPr>
          <w:p w14:paraId="6376F8A0" w14:textId="199FCD36"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BE5C8C">
              <w:rPr>
                <w:sz w:val="18"/>
                <w:szCs w:val="18"/>
              </w:rPr>
              <w:t>0</w:t>
            </w:r>
          </w:p>
        </w:tc>
        <w:tc>
          <w:tcPr>
            <w:tcW w:w="975" w:type="dxa"/>
            <w:tcMar>
              <w:left w:w="108" w:type="dxa"/>
              <w:right w:w="108" w:type="dxa"/>
            </w:tcMar>
          </w:tcPr>
          <w:p w14:paraId="5488EC7A" w14:textId="22905494"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BE5C8C">
              <w:rPr>
                <w:sz w:val="18"/>
                <w:szCs w:val="18"/>
              </w:rPr>
              <w:t>0</w:t>
            </w:r>
          </w:p>
        </w:tc>
      </w:tr>
      <w:tr w:rsidR="004410A8" w:rsidRPr="00123E2D" w14:paraId="61390754"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798B5A87" w14:textId="3CFF27BF"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May-21</w:t>
            </w:r>
          </w:p>
        </w:tc>
        <w:tc>
          <w:tcPr>
            <w:tcW w:w="885" w:type="dxa"/>
            <w:tcMar>
              <w:left w:w="108" w:type="dxa"/>
              <w:right w:w="108" w:type="dxa"/>
            </w:tcMar>
          </w:tcPr>
          <w:p w14:paraId="47718F74" w14:textId="0173643F"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10000</w:t>
            </w:r>
          </w:p>
        </w:tc>
        <w:tc>
          <w:tcPr>
            <w:tcW w:w="945" w:type="dxa"/>
            <w:tcMar>
              <w:left w:w="108" w:type="dxa"/>
              <w:right w:w="108" w:type="dxa"/>
            </w:tcMar>
          </w:tcPr>
          <w:p w14:paraId="6ABA728A" w14:textId="331124A8"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70,000</w:t>
            </w:r>
          </w:p>
        </w:tc>
        <w:tc>
          <w:tcPr>
            <w:tcW w:w="1095" w:type="dxa"/>
            <w:tcMar>
              <w:left w:w="108" w:type="dxa"/>
              <w:right w:w="108" w:type="dxa"/>
            </w:tcMar>
          </w:tcPr>
          <w:p w14:paraId="22A4ADA6" w14:textId="196C221B"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B9671D">
              <w:rPr>
                <w:sz w:val="18"/>
                <w:szCs w:val="18"/>
              </w:rPr>
              <w:t>0</w:t>
            </w:r>
          </w:p>
        </w:tc>
        <w:tc>
          <w:tcPr>
            <w:tcW w:w="1065" w:type="dxa"/>
            <w:tcMar>
              <w:left w:w="108" w:type="dxa"/>
              <w:right w:w="108" w:type="dxa"/>
            </w:tcMar>
          </w:tcPr>
          <w:p w14:paraId="217E8F37" w14:textId="6465262C"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B9671D">
              <w:rPr>
                <w:sz w:val="18"/>
                <w:szCs w:val="18"/>
              </w:rPr>
              <w:t>0</w:t>
            </w:r>
          </w:p>
        </w:tc>
        <w:tc>
          <w:tcPr>
            <w:tcW w:w="1110" w:type="dxa"/>
            <w:tcMar>
              <w:left w:w="108" w:type="dxa"/>
              <w:right w:w="108" w:type="dxa"/>
            </w:tcMar>
          </w:tcPr>
          <w:p w14:paraId="08DA08BF" w14:textId="177640F3"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B9671D">
              <w:rPr>
                <w:sz w:val="18"/>
                <w:szCs w:val="18"/>
              </w:rPr>
              <w:t>0</w:t>
            </w:r>
          </w:p>
        </w:tc>
        <w:tc>
          <w:tcPr>
            <w:tcW w:w="930" w:type="dxa"/>
            <w:tcMar>
              <w:left w:w="108" w:type="dxa"/>
              <w:right w:w="108" w:type="dxa"/>
            </w:tcMar>
          </w:tcPr>
          <w:p w14:paraId="744460F9" w14:textId="2EA67163"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B9671D">
              <w:rPr>
                <w:sz w:val="18"/>
                <w:szCs w:val="18"/>
              </w:rPr>
              <w:t>0</w:t>
            </w:r>
          </w:p>
        </w:tc>
        <w:tc>
          <w:tcPr>
            <w:tcW w:w="1065" w:type="dxa"/>
            <w:tcMar>
              <w:left w:w="108" w:type="dxa"/>
              <w:right w:w="108" w:type="dxa"/>
            </w:tcMar>
          </w:tcPr>
          <w:p w14:paraId="335D3EA6" w14:textId="4258A4E7"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B9671D">
              <w:rPr>
                <w:sz w:val="18"/>
                <w:szCs w:val="18"/>
              </w:rPr>
              <w:t>0</w:t>
            </w:r>
          </w:p>
        </w:tc>
        <w:tc>
          <w:tcPr>
            <w:tcW w:w="975" w:type="dxa"/>
            <w:tcMar>
              <w:left w:w="108" w:type="dxa"/>
              <w:right w:w="108" w:type="dxa"/>
            </w:tcMar>
          </w:tcPr>
          <w:p w14:paraId="4E81DA17" w14:textId="5DBB05C3"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B9671D">
              <w:rPr>
                <w:sz w:val="18"/>
                <w:szCs w:val="18"/>
              </w:rPr>
              <w:t>0</w:t>
            </w:r>
          </w:p>
        </w:tc>
      </w:tr>
      <w:tr w:rsidR="004410A8" w:rsidRPr="00123E2D" w14:paraId="0A394B78"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14336440" w14:textId="42CBD770"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Jun-21</w:t>
            </w:r>
          </w:p>
        </w:tc>
        <w:tc>
          <w:tcPr>
            <w:tcW w:w="885" w:type="dxa"/>
            <w:tcMar>
              <w:left w:w="108" w:type="dxa"/>
              <w:right w:w="108" w:type="dxa"/>
            </w:tcMar>
          </w:tcPr>
          <w:p w14:paraId="183D7D59" w14:textId="1ADD0C80"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2000</w:t>
            </w:r>
          </w:p>
        </w:tc>
        <w:tc>
          <w:tcPr>
            <w:tcW w:w="945" w:type="dxa"/>
            <w:tcMar>
              <w:left w:w="108" w:type="dxa"/>
              <w:right w:w="108" w:type="dxa"/>
            </w:tcMar>
          </w:tcPr>
          <w:p w14:paraId="0B1893F7" w14:textId="7C0422BD"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105,000</w:t>
            </w:r>
          </w:p>
        </w:tc>
        <w:tc>
          <w:tcPr>
            <w:tcW w:w="1095" w:type="dxa"/>
            <w:tcMar>
              <w:left w:w="108" w:type="dxa"/>
              <w:right w:w="108" w:type="dxa"/>
            </w:tcMar>
          </w:tcPr>
          <w:p w14:paraId="088266A0" w14:textId="0D9B1F42"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C20E55">
              <w:rPr>
                <w:sz w:val="18"/>
                <w:szCs w:val="18"/>
              </w:rPr>
              <w:t>0</w:t>
            </w:r>
          </w:p>
        </w:tc>
        <w:tc>
          <w:tcPr>
            <w:tcW w:w="1065" w:type="dxa"/>
            <w:tcMar>
              <w:left w:w="108" w:type="dxa"/>
              <w:right w:w="108" w:type="dxa"/>
            </w:tcMar>
          </w:tcPr>
          <w:p w14:paraId="4A156737" w14:textId="130AE58B"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C20E55">
              <w:rPr>
                <w:sz w:val="18"/>
                <w:szCs w:val="18"/>
              </w:rPr>
              <w:t>0</w:t>
            </w:r>
          </w:p>
        </w:tc>
        <w:tc>
          <w:tcPr>
            <w:tcW w:w="1110" w:type="dxa"/>
            <w:tcMar>
              <w:left w:w="108" w:type="dxa"/>
              <w:right w:w="108" w:type="dxa"/>
            </w:tcMar>
          </w:tcPr>
          <w:p w14:paraId="4A6FB7D6" w14:textId="2414D2AD"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C20E55">
              <w:rPr>
                <w:sz w:val="18"/>
                <w:szCs w:val="18"/>
              </w:rPr>
              <w:t>0</w:t>
            </w:r>
          </w:p>
        </w:tc>
        <w:tc>
          <w:tcPr>
            <w:tcW w:w="930" w:type="dxa"/>
            <w:tcMar>
              <w:left w:w="108" w:type="dxa"/>
              <w:right w:w="108" w:type="dxa"/>
            </w:tcMar>
          </w:tcPr>
          <w:p w14:paraId="3E00C5E9" w14:textId="4DE2EDC5"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C20E55">
              <w:rPr>
                <w:sz w:val="18"/>
                <w:szCs w:val="18"/>
              </w:rPr>
              <w:t>0</w:t>
            </w:r>
          </w:p>
        </w:tc>
        <w:tc>
          <w:tcPr>
            <w:tcW w:w="1065" w:type="dxa"/>
            <w:tcMar>
              <w:left w:w="108" w:type="dxa"/>
              <w:right w:w="108" w:type="dxa"/>
            </w:tcMar>
          </w:tcPr>
          <w:p w14:paraId="1C0B56C2" w14:textId="15C87DE1"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C20E55">
              <w:rPr>
                <w:sz w:val="18"/>
                <w:szCs w:val="18"/>
              </w:rPr>
              <w:t>0</w:t>
            </w:r>
          </w:p>
        </w:tc>
        <w:tc>
          <w:tcPr>
            <w:tcW w:w="975" w:type="dxa"/>
            <w:tcMar>
              <w:left w:w="108" w:type="dxa"/>
              <w:right w:w="108" w:type="dxa"/>
            </w:tcMar>
          </w:tcPr>
          <w:p w14:paraId="2D801172" w14:textId="4791D603"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C20E55">
              <w:rPr>
                <w:sz w:val="18"/>
                <w:szCs w:val="18"/>
              </w:rPr>
              <w:t>0</w:t>
            </w:r>
          </w:p>
        </w:tc>
      </w:tr>
      <w:tr w:rsidR="004410A8" w:rsidRPr="00123E2D" w14:paraId="48EFA048"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3D1DA4D2" w14:textId="5BD7BEBD"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Jul-21</w:t>
            </w:r>
          </w:p>
        </w:tc>
        <w:tc>
          <w:tcPr>
            <w:tcW w:w="885" w:type="dxa"/>
            <w:tcMar>
              <w:left w:w="108" w:type="dxa"/>
              <w:right w:w="108" w:type="dxa"/>
            </w:tcMar>
          </w:tcPr>
          <w:p w14:paraId="7ABCB54F" w14:textId="0DA71987"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7990</w:t>
            </w:r>
          </w:p>
        </w:tc>
        <w:tc>
          <w:tcPr>
            <w:tcW w:w="945" w:type="dxa"/>
            <w:tcMar>
              <w:left w:w="108" w:type="dxa"/>
              <w:right w:w="108" w:type="dxa"/>
            </w:tcMar>
          </w:tcPr>
          <w:p w14:paraId="576F0B3C" w14:textId="4B42FDBC"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103,200</w:t>
            </w:r>
          </w:p>
        </w:tc>
        <w:tc>
          <w:tcPr>
            <w:tcW w:w="1095" w:type="dxa"/>
            <w:tcMar>
              <w:left w:w="108" w:type="dxa"/>
              <w:right w:w="108" w:type="dxa"/>
            </w:tcMar>
          </w:tcPr>
          <w:p w14:paraId="3125B317" w14:textId="13EC8EED"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38352D">
              <w:rPr>
                <w:sz w:val="18"/>
                <w:szCs w:val="18"/>
              </w:rPr>
              <w:t>0</w:t>
            </w:r>
          </w:p>
        </w:tc>
        <w:tc>
          <w:tcPr>
            <w:tcW w:w="1065" w:type="dxa"/>
            <w:tcMar>
              <w:left w:w="108" w:type="dxa"/>
              <w:right w:w="108" w:type="dxa"/>
            </w:tcMar>
          </w:tcPr>
          <w:p w14:paraId="1BFBA4F5" w14:textId="7533E194"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38352D">
              <w:rPr>
                <w:sz w:val="18"/>
                <w:szCs w:val="18"/>
              </w:rPr>
              <w:t>0</w:t>
            </w:r>
          </w:p>
        </w:tc>
        <w:tc>
          <w:tcPr>
            <w:tcW w:w="1110" w:type="dxa"/>
            <w:tcMar>
              <w:left w:w="108" w:type="dxa"/>
              <w:right w:w="108" w:type="dxa"/>
            </w:tcMar>
          </w:tcPr>
          <w:p w14:paraId="125B762F" w14:textId="6261CF8B"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38352D">
              <w:rPr>
                <w:sz w:val="18"/>
                <w:szCs w:val="18"/>
              </w:rPr>
              <w:t>0</w:t>
            </w:r>
          </w:p>
        </w:tc>
        <w:tc>
          <w:tcPr>
            <w:tcW w:w="930" w:type="dxa"/>
            <w:tcMar>
              <w:left w:w="108" w:type="dxa"/>
              <w:right w:w="108" w:type="dxa"/>
            </w:tcMar>
          </w:tcPr>
          <w:p w14:paraId="2F329874" w14:textId="5D63ED2C"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38352D">
              <w:rPr>
                <w:sz w:val="18"/>
                <w:szCs w:val="18"/>
              </w:rPr>
              <w:t>0</w:t>
            </w:r>
          </w:p>
        </w:tc>
        <w:tc>
          <w:tcPr>
            <w:tcW w:w="1065" w:type="dxa"/>
            <w:tcMar>
              <w:left w:w="108" w:type="dxa"/>
              <w:right w:w="108" w:type="dxa"/>
            </w:tcMar>
          </w:tcPr>
          <w:p w14:paraId="5216B8A6" w14:textId="5D8E9D7B"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38352D">
              <w:rPr>
                <w:sz w:val="18"/>
                <w:szCs w:val="18"/>
              </w:rPr>
              <w:t>0</w:t>
            </w:r>
          </w:p>
        </w:tc>
        <w:tc>
          <w:tcPr>
            <w:tcW w:w="975" w:type="dxa"/>
            <w:tcMar>
              <w:left w:w="108" w:type="dxa"/>
              <w:right w:w="108" w:type="dxa"/>
            </w:tcMar>
          </w:tcPr>
          <w:p w14:paraId="68340007" w14:textId="433C521F"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38352D">
              <w:rPr>
                <w:sz w:val="18"/>
                <w:szCs w:val="18"/>
              </w:rPr>
              <w:t>0</w:t>
            </w:r>
          </w:p>
        </w:tc>
      </w:tr>
      <w:tr w:rsidR="004410A8" w:rsidRPr="00123E2D" w14:paraId="5D73F03F"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5275156C" w14:textId="18C355EF"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Aug-21</w:t>
            </w:r>
          </w:p>
        </w:tc>
        <w:tc>
          <w:tcPr>
            <w:tcW w:w="885" w:type="dxa"/>
            <w:tcMar>
              <w:left w:w="108" w:type="dxa"/>
              <w:right w:w="108" w:type="dxa"/>
            </w:tcMar>
          </w:tcPr>
          <w:p w14:paraId="3536188C" w14:textId="7C275250"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945" w:type="dxa"/>
            <w:tcMar>
              <w:left w:w="108" w:type="dxa"/>
              <w:right w:w="108" w:type="dxa"/>
            </w:tcMar>
          </w:tcPr>
          <w:p w14:paraId="7A37BF2E" w14:textId="670D743C"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300,000</w:t>
            </w:r>
          </w:p>
        </w:tc>
        <w:tc>
          <w:tcPr>
            <w:tcW w:w="1095" w:type="dxa"/>
            <w:tcMar>
              <w:left w:w="108" w:type="dxa"/>
              <w:right w:w="108" w:type="dxa"/>
            </w:tcMar>
          </w:tcPr>
          <w:p w14:paraId="3445CAA2" w14:textId="4785EDE5"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402,800</w:t>
            </w:r>
          </w:p>
        </w:tc>
        <w:tc>
          <w:tcPr>
            <w:tcW w:w="1065" w:type="dxa"/>
            <w:tcMar>
              <w:left w:w="108" w:type="dxa"/>
              <w:right w:w="108" w:type="dxa"/>
            </w:tcMar>
          </w:tcPr>
          <w:p w14:paraId="2C16DCF0" w14:textId="367A3BB6"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5A06BA">
              <w:rPr>
                <w:sz w:val="18"/>
                <w:szCs w:val="18"/>
              </w:rPr>
              <w:t>0</w:t>
            </w:r>
          </w:p>
        </w:tc>
        <w:tc>
          <w:tcPr>
            <w:tcW w:w="1110" w:type="dxa"/>
            <w:tcMar>
              <w:left w:w="108" w:type="dxa"/>
              <w:right w:w="108" w:type="dxa"/>
            </w:tcMar>
          </w:tcPr>
          <w:p w14:paraId="24DFC522" w14:textId="0A5172F0"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5A06BA">
              <w:rPr>
                <w:sz w:val="18"/>
                <w:szCs w:val="18"/>
              </w:rPr>
              <w:t>0</w:t>
            </w:r>
          </w:p>
        </w:tc>
        <w:tc>
          <w:tcPr>
            <w:tcW w:w="930" w:type="dxa"/>
            <w:tcMar>
              <w:left w:w="108" w:type="dxa"/>
              <w:right w:w="108" w:type="dxa"/>
            </w:tcMar>
          </w:tcPr>
          <w:p w14:paraId="1A135ACF" w14:textId="71B30F0A"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5A06BA">
              <w:rPr>
                <w:sz w:val="18"/>
                <w:szCs w:val="18"/>
              </w:rPr>
              <w:t>0</w:t>
            </w:r>
          </w:p>
        </w:tc>
        <w:tc>
          <w:tcPr>
            <w:tcW w:w="1065" w:type="dxa"/>
            <w:tcMar>
              <w:left w:w="108" w:type="dxa"/>
              <w:right w:w="108" w:type="dxa"/>
            </w:tcMar>
          </w:tcPr>
          <w:p w14:paraId="58849AF2" w14:textId="7D54F920"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5A06BA">
              <w:rPr>
                <w:sz w:val="18"/>
                <w:szCs w:val="18"/>
              </w:rPr>
              <w:t>0</w:t>
            </w:r>
          </w:p>
        </w:tc>
        <w:tc>
          <w:tcPr>
            <w:tcW w:w="975" w:type="dxa"/>
            <w:tcMar>
              <w:left w:w="108" w:type="dxa"/>
              <w:right w:w="108" w:type="dxa"/>
            </w:tcMar>
          </w:tcPr>
          <w:p w14:paraId="1251503A" w14:textId="3FE642A0"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5A06BA">
              <w:rPr>
                <w:sz w:val="18"/>
                <w:szCs w:val="18"/>
              </w:rPr>
              <w:t>0</w:t>
            </w:r>
          </w:p>
        </w:tc>
      </w:tr>
      <w:tr w:rsidR="004410A8" w:rsidRPr="00123E2D" w14:paraId="324CCF50"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6B6D918F" w14:textId="179F9389"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Sep-21</w:t>
            </w:r>
          </w:p>
        </w:tc>
        <w:tc>
          <w:tcPr>
            <w:tcW w:w="885" w:type="dxa"/>
            <w:tcMar>
              <w:left w:w="108" w:type="dxa"/>
              <w:right w:w="108" w:type="dxa"/>
            </w:tcMar>
          </w:tcPr>
          <w:p w14:paraId="5DEA800F" w14:textId="3B1EA23C"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20,000</w:t>
            </w:r>
          </w:p>
        </w:tc>
        <w:tc>
          <w:tcPr>
            <w:tcW w:w="945" w:type="dxa"/>
            <w:tcMar>
              <w:left w:w="108" w:type="dxa"/>
              <w:right w:w="108" w:type="dxa"/>
            </w:tcMar>
          </w:tcPr>
          <w:p w14:paraId="79A07A60" w14:textId="7F96D3A8"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095" w:type="dxa"/>
            <w:tcMar>
              <w:left w:w="108" w:type="dxa"/>
              <w:right w:w="108" w:type="dxa"/>
            </w:tcMar>
          </w:tcPr>
          <w:p w14:paraId="58D0188A" w14:textId="4B8979D8"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300,000</w:t>
            </w:r>
          </w:p>
        </w:tc>
        <w:tc>
          <w:tcPr>
            <w:tcW w:w="1065" w:type="dxa"/>
            <w:tcMar>
              <w:left w:w="108" w:type="dxa"/>
              <w:right w:w="108" w:type="dxa"/>
            </w:tcMar>
          </w:tcPr>
          <w:p w14:paraId="43AE856C" w14:textId="3BAB67CF"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1,000,000</w:t>
            </w:r>
          </w:p>
        </w:tc>
        <w:tc>
          <w:tcPr>
            <w:tcW w:w="1110" w:type="dxa"/>
            <w:tcMar>
              <w:left w:w="108" w:type="dxa"/>
              <w:right w:w="108" w:type="dxa"/>
            </w:tcMar>
          </w:tcPr>
          <w:p w14:paraId="1522CA11" w14:textId="767FAD4C"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E35C12">
              <w:rPr>
                <w:sz w:val="18"/>
                <w:szCs w:val="18"/>
              </w:rPr>
              <w:t>0</w:t>
            </w:r>
          </w:p>
        </w:tc>
        <w:tc>
          <w:tcPr>
            <w:tcW w:w="930" w:type="dxa"/>
            <w:tcMar>
              <w:left w:w="108" w:type="dxa"/>
              <w:right w:w="108" w:type="dxa"/>
            </w:tcMar>
          </w:tcPr>
          <w:p w14:paraId="26729390" w14:textId="1B2830D3"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E35C12">
              <w:rPr>
                <w:sz w:val="18"/>
                <w:szCs w:val="18"/>
              </w:rPr>
              <w:t>0</w:t>
            </w:r>
          </w:p>
        </w:tc>
        <w:tc>
          <w:tcPr>
            <w:tcW w:w="1065" w:type="dxa"/>
            <w:tcMar>
              <w:left w:w="108" w:type="dxa"/>
              <w:right w:w="108" w:type="dxa"/>
            </w:tcMar>
          </w:tcPr>
          <w:p w14:paraId="0E4CB08F" w14:textId="6FE5DE00"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E35C12">
              <w:rPr>
                <w:sz w:val="18"/>
                <w:szCs w:val="18"/>
              </w:rPr>
              <w:t>0</w:t>
            </w:r>
          </w:p>
        </w:tc>
        <w:tc>
          <w:tcPr>
            <w:tcW w:w="975" w:type="dxa"/>
            <w:tcMar>
              <w:left w:w="108" w:type="dxa"/>
              <w:right w:w="108" w:type="dxa"/>
            </w:tcMar>
          </w:tcPr>
          <w:p w14:paraId="34DDDEC0" w14:textId="60828D8D"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E35C12">
              <w:rPr>
                <w:sz w:val="18"/>
                <w:szCs w:val="18"/>
              </w:rPr>
              <w:t>0</w:t>
            </w:r>
          </w:p>
        </w:tc>
      </w:tr>
      <w:tr w:rsidR="004410A8" w:rsidRPr="00123E2D" w14:paraId="59E9E66D"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0D20638B" w14:textId="1F8E167D"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Oct-21</w:t>
            </w:r>
          </w:p>
        </w:tc>
        <w:tc>
          <w:tcPr>
            <w:tcW w:w="885" w:type="dxa"/>
            <w:tcMar>
              <w:left w:w="108" w:type="dxa"/>
              <w:right w:w="108" w:type="dxa"/>
            </w:tcMar>
          </w:tcPr>
          <w:p w14:paraId="4BE045D8" w14:textId="6A7F72BF"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96,500</w:t>
            </w:r>
          </w:p>
        </w:tc>
        <w:tc>
          <w:tcPr>
            <w:tcW w:w="945" w:type="dxa"/>
            <w:tcMar>
              <w:left w:w="108" w:type="dxa"/>
              <w:right w:w="108" w:type="dxa"/>
            </w:tcMar>
          </w:tcPr>
          <w:p w14:paraId="2F2FE306" w14:textId="0B7D3544"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1095" w:type="dxa"/>
            <w:tcMar>
              <w:left w:w="108" w:type="dxa"/>
              <w:right w:w="108" w:type="dxa"/>
            </w:tcMar>
          </w:tcPr>
          <w:p w14:paraId="49F5D978" w14:textId="3DBBAB2B"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800,000</w:t>
            </w:r>
          </w:p>
        </w:tc>
        <w:tc>
          <w:tcPr>
            <w:tcW w:w="1065" w:type="dxa"/>
            <w:tcMar>
              <w:left w:w="108" w:type="dxa"/>
              <w:right w:w="108" w:type="dxa"/>
            </w:tcMar>
          </w:tcPr>
          <w:p w14:paraId="7B460F31" w14:textId="3284A35A"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1,200,000</w:t>
            </w:r>
          </w:p>
        </w:tc>
        <w:tc>
          <w:tcPr>
            <w:tcW w:w="1110" w:type="dxa"/>
            <w:tcMar>
              <w:left w:w="108" w:type="dxa"/>
              <w:right w:w="108" w:type="dxa"/>
            </w:tcMar>
          </w:tcPr>
          <w:p w14:paraId="48E48768" w14:textId="72084DC8"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012BEE">
              <w:rPr>
                <w:sz w:val="18"/>
                <w:szCs w:val="18"/>
              </w:rPr>
              <w:t>0</w:t>
            </w:r>
          </w:p>
        </w:tc>
        <w:tc>
          <w:tcPr>
            <w:tcW w:w="930" w:type="dxa"/>
            <w:tcMar>
              <w:left w:w="108" w:type="dxa"/>
              <w:right w:w="108" w:type="dxa"/>
            </w:tcMar>
          </w:tcPr>
          <w:p w14:paraId="23244CC5" w14:textId="439CE592"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012BEE">
              <w:rPr>
                <w:sz w:val="18"/>
                <w:szCs w:val="18"/>
              </w:rPr>
              <w:t>0</w:t>
            </w:r>
          </w:p>
        </w:tc>
        <w:tc>
          <w:tcPr>
            <w:tcW w:w="1065" w:type="dxa"/>
            <w:tcMar>
              <w:left w:w="108" w:type="dxa"/>
              <w:right w:w="108" w:type="dxa"/>
            </w:tcMar>
          </w:tcPr>
          <w:p w14:paraId="5908C425" w14:textId="751FEBE0"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012BEE">
              <w:rPr>
                <w:sz w:val="18"/>
                <w:szCs w:val="18"/>
              </w:rPr>
              <w:t>0</w:t>
            </w:r>
          </w:p>
        </w:tc>
        <w:tc>
          <w:tcPr>
            <w:tcW w:w="975" w:type="dxa"/>
            <w:tcMar>
              <w:left w:w="108" w:type="dxa"/>
              <w:right w:w="108" w:type="dxa"/>
            </w:tcMar>
          </w:tcPr>
          <w:p w14:paraId="6268242D" w14:textId="64A8E869"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012BEE">
              <w:rPr>
                <w:sz w:val="18"/>
                <w:szCs w:val="18"/>
              </w:rPr>
              <w:t>0</w:t>
            </w:r>
          </w:p>
        </w:tc>
      </w:tr>
      <w:tr w:rsidR="004410A8" w:rsidRPr="00123E2D" w14:paraId="111662F6"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6C090768" w14:textId="550CBC01"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Nov-21</w:t>
            </w:r>
          </w:p>
        </w:tc>
        <w:tc>
          <w:tcPr>
            <w:tcW w:w="885" w:type="dxa"/>
            <w:tcMar>
              <w:left w:w="108" w:type="dxa"/>
              <w:right w:w="108" w:type="dxa"/>
            </w:tcMar>
          </w:tcPr>
          <w:p w14:paraId="2B4B2747" w14:textId="705127E2"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60,000</w:t>
            </w:r>
          </w:p>
        </w:tc>
        <w:tc>
          <w:tcPr>
            <w:tcW w:w="945" w:type="dxa"/>
            <w:tcMar>
              <w:left w:w="108" w:type="dxa"/>
              <w:right w:w="108" w:type="dxa"/>
            </w:tcMar>
          </w:tcPr>
          <w:p w14:paraId="6CE637CA" w14:textId="5B8F784D"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100,000</w:t>
            </w:r>
          </w:p>
        </w:tc>
        <w:tc>
          <w:tcPr>
            <w:tcW w:w="1095" w:type="dxa"/>
            <w:tcMar>
              <w:left w:w="108" w:type="dxa"/>
              <w:right w:w="108" w:type="dxa"/>
            </w:tcMar>
          </w:tcPr>
          <w:p w14:paraId="74EEF8B6" w14:textId="3EE8DDAF"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065" w:type="dxa"/>
            <w:tcMar>
              <w:left w:w="108" w:type="dxa"/>
              <w:right w:w="108" w:type="dxa"/>
            </w:tcMar>
          </w:tcPr>
          <w:p w14:paraId="5C7FDA61" w14:textId="3C760D72"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2,400,000</w:t>
            </w:r>
          </w:p>
        </w:tc>
        <w:tc>
          <w:tcPr>
            <w:tcW w:w="1110" w:type="dxa"/>
            <w:tcMar>
              <w:left w:w="108" w:type="dxa"/>
              <w:right w:w="108" w:type="dxa"/>
            </w:tcMar>
          </w:tcPr>
          <w:p w14:paraId="43C15524" w14:textId="22A7CFCF"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700000</w:t>
            </w:r>
          </w:p>
        </w:tc>
        <w:tc>
          <w:tcPr>
            <w:tcW w:w="930" w:type="dxa"/>
            <w:tcMar>
              <w:left w:w="108" w:type="dxa"/>
              <w:right w:w="108" w:type="dxa"/>
            </w:tcMar>
          </w:tcPr>
          <w:p w14:paraId="3D0FF68A" w14:textId="36306F51"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7D7DC2">
              <w:rPr>
                <w:sz w:val="18"/>
                <w:szCs w:val="18"/>
              </w:rPr>
              <w:t>0</w:t>
            </w:r>
          </w:p>
        </w:tc>
        <w:tc>
          <w:tcPr>
            <w:tcW w:w="1065" w:type="dxa"/>
            <w:tcMar>
              <w:left w:w="108" w:type="dxa"/>
              <w:right w:w="108" w:type="dxa"/>
            </w:tcMar>
          </w:tcPr>
          <w:p w14:paraId="025892B5" w14:textId="7B2B3A62"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7D7DC2">
              <w:rPr>
                <w:sz w:val="18"/>
                <w:szCs w:val="18"/>
              </w:rPr>
              <w:t>0</w:t>
            </w:r>
          </w:p>
        </w:tc>
        <w:tc>
          <w:tcPr>
            <w:tcW w:w="975" w:type="dxa"/>
            <w:tcMar>
              <w:left w:w="108" w:type="dxa"/>
              <w:right w:w="108" w:type="dxa"/>
            </w:tcMar>
          </w:tcPr>
          <w:p w14:paraId="459AB187" w14:textId="446BB823"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7D7DC2">
              <w:rPr>
                <w:sz w:val="18"/>
                <w:szCs w:val="18"/>
              </w:rPr>
              <w:t>0</w:t>
            </w:r>
          </w:p>
        </w:tc>
      </w:tr>
      <w:tr w:rsidR="7388A156" w:rsidRPr="00123E2D" w14:paraId="333844F8"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699C2A38" w14:textId="38A15EA7" w:rsidR="7388A156" w:rsidRPr="006B0C6C" w:rsidRDefault="7388A156" w:rsidP="7388A156">
            <w:pPr>
              <w:spacing w:after="0"/>
              <w:rPr>
                <w:rFonts w:ascii="Calibri" w:eastAsia="Calibri" w:hAnsi="Calibri" w:cs="Calibri"/>
                <w:sz w:val="18"/>
                <w:szCs w:val="18"/>
              </w:rPr>
            </w:pPr>
            <w:r w:rsidRPr="006B0C6C">
              <w:rPr>
                <w:rFonts w:ascii="Calibri" w:eastAsia="Calibri" w:hAnsi="Calibri" w:cs="Calibri"/>
                <w:sz w:val="18"/>
                <w:szCs w:val="18"/>
              </w:rPr>
              <w:t>Dec-21</w:t>
            </w:r>
          </w:p>
        </w:tc>
        <w:tc>
          <w:tcPr>
            <w:tcW w:w="885" w:type="dxa"/>
            <w:tcMar>
              <w:left w:w="108" w:type="dxa"/>
              <w:right w:w="108" w:type="dxa"/>
            </w:tcMar>
          </w:tcPr>
          <w:p w14:paraId="7B51E7A1" w14:textId="7383FE56" w:rsidR="7388A156" w:rsidRPr="006B0C6C" w:rsidRDefault="004410A8" w:rsidP="2E1252C7">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945" w:type="dxa"/>
            <w:tcMar>
              <w:left w:w="108" w:type="dxa"/>
              <w:right w:w="108" w:type="dxa"/>
            </w:tcMar>
          </w:tcPr>
          <w:p w14:paraId="53E97023" w14:textId="72D04E9D" w:rsidR="7388A156" w:rsidRPr="006B0C6C" w:rsidRDefault="7388A156" w:rsidP="2E1252C7">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100000</w:t>
            </w:r>
          </w:p>
        </w:tc>
        <w:tc>
          <w:tcPr>
            <w:tcW w:w="1095" w:type="dxa"/>
            <w:tcMar>
              <w:left w:w="108" w:type="dxa"/>
              <w:right w:w="108" w:type="dxa"/>
            </w:tcMar>
          </w:tcPr>
          <w:p w14:paraId="5E860BD9" w14:textId="09FCA2E2" w:rsidR="7388A156" w:rsidRPr="006B0C6C" w:rsidRDefault="7388A156" w:rsidP="2E1252C7">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2,281,100</w:t>
            </w:r>
          </w:p>
        </w:tc>
        <w:tc>
          <w:tcPr>
            <w:tcW w:w="1065" w:type="dxa"/>
            <w:tcMar>
              <w:left w:w="108" w:type="dxa"/>
              <w:right w:w="108" w:type="dxa"/>
            </w:tcMar>
          </w:tcPr>
          <w:p w14:paraId="612E888B" w14:textId="70EFF48C" w:rsidR="7388A156" w:rsidRPr="006B0C6C" w:rsidRDefault="7388A156" w:rsidP="2E1252C7">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1,095,000</w:t>
            </w:r>
          </w:p>
        </w:tc>
        <w:tc>
          <w:tcPr>
            <w:tcW w:w="1110" w:type="dxa"/>
            <w:tcMar>
              <w:left w:w="108" w:type="dxa"/>
              <w:right w:w="108" w:type="dxa"/>
            </w:tcMar>
          </w:tcPr>
          <w:p w14:paraId="4EDD8DDA" w14:textId="3FA2464C" w:rsidR="7388A156" w:rsidRPr="006B0C6C" w:rsidRDefault="004410A8" w:rsidP="2E1252C7">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930" w:type="dxa"/>
            <w:tcMar>
              <w:left w:w="108" w:type="dxa"/>
              <w:right w:w="108" w:type="dxa"/>
            </w:tcMar>
          </w:tcPr>
          <w:p w14:paraId="0A59C30A" w14:textId="123924D2" w:rsidR="7388A156" w:rsidRPr="006B0C6C" w:rsidRDefault="7388A156" w:rsidP="2E1252C7">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100,000</w:t>
            </w:r>
          </w:p>
        </w:tc>
        <w:tc>
          <w:tcPr>
            <w:tcW w:w="1065" w:type="dxa"/>
            <w:tcMar>
              <w:left w:w="108" w:type="dxa"/>
              <w:right w:w="108" w:type="dxa"/>
            </w:tcMar>
          </w:tcPr>
          <w:p w14:paraId="50A7244E" w14:textId="5901A58F" w:rsidR="7388A156" w:rsidRPr="006B0C6C" w:rsidRDefault="7388A156" w:rsidP="2E1252C7">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2,350,530</w:t>
            </w:r>
          </w:p>
        </w:tc>
        <w:tc>
          <w:tcPr>
            <w:tcW w:w="975" w:type="dxa"/>
            <w:tcMar>
              <w:left w:w="108" w:type="dxa"/>
              <w:right w:w="108" w:type="dxa"/>
            </w:tcMar>
          </w:tcPr>
          <w:p w14:paraId="249978E2" w14:textId="0DA63CE3" w:rsidR="7388A156" w:rsidRPr="006B0C6C" w:rsidRDefault="004410A8" w:rsidP="2E1252C7">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r>
      <w:tr w:rsidR="004410A8" w:rsidRPr="00123E2D" w14:paraId="45FA23D0"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484CE0CD" w14:textId="351802EB"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Jan-22</w:t>
            </w:r>
          </w:p>
        </w:tc>
        <w:tc>
          <w:tcPr>
            <w:tcW w:w="885" w:type="dxa"/>
            <w:tcMar>
              <w:left w:w="108" w:type="dxa"/>
              <w:right w:w="108" w:type="dxa"/>
            </w:tcMar>
          </w:tcPr>
          <w:p w14:paraId="4FF586B7" w14:textId="21D3FB39"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945" w:type="dxa"/>
            <w:tcMar>
              <w:left w:w="108" w:type="dxa"/>
              <w:right w:w="108" w:type="dxa"/>
            </w:tcMar>
          </w:tcPr>
          <w:p w14:paraId="1F9CB804" w14:textId="4D031F42"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259,740</w:t>
            </w:r>
          </w:p>
        </w:tc>
        <w:tc>
          <w:tcPr>
            <w:tcW w:w="1095" w:type="dxa"/>
            <w:tcMar>
              <w:left w:w="108" w:type="dxa"/>
              <w:right w:w="108" w:type="dxa"/>
            </w:tcMar>
          </w:tcPr>
          <w:p w14:paraId="57D215CA" w14:textId="0DB02784"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1,793,190</w:t>
            </w:r>
          </w:p>
        </w:tc>
        <w:tc>
          <w:tcPr>
            <w:tcW w:w="1065" w:type="dxa"/>
            <w:tcMar>
              <w:left w:w="108" w:type="dxa"/>
              <w:right w:w="108" w:type="dxa"/>
            </w:tcMar>
          </w:tcPr>
          <w:p w14:paraId="33762C80" w14:textId="1B5DA67E"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9204E3">
              <w:rPr>
                <w:sz w:val="18"/>
                <w:szCs w:val="18"/>
              </w:rPr>
              <w:t>0</w:t>
            </w:r>
          </w:p>
        </w:tc>
        <w:tc>
          <w:tcPr>
            <w:tcW w:w="1110" w:type="dxa"/>
            <w:tcMar>
              <w:left w:w="108" w:type="dxa"/>
              <w:right w:w="108" w:type="dxa"/>
            </w:tcMar>
          </w:tcPr>
          <w:p w14:paraId="4BBCF60E" w14:textId="72C8E173"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9204E3">
              <w:rPr>
                <w:sz w:val="18"/>
                <w:szCs w:val="18"/>
              </w:rPr>
              <w:t>0</w:t>
            </w:r>
          </w:p>
        </w:tc>
        <w:tc>
          <w:tcPr>
            <w:tcW w:w="930" w:type="dxa"/>
            <w:tcMar>
              <w:left w:w="108" w:type="dxa"/>
              <w:right w:w="108" w:type="dxa"/>
            </w:tcMar>
          </w:tcPr>
          <w:p w14:paraId="09D67770" w14:textId="69781470"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905,580</w:t>
            </w:r>
          </w:p>
        </w:tc>
        <w:tc>
          <w:tcPr>
            <w:tcW w:w="1065" w:type="dxa"/>
            <w:tcMar>
              <w:left w:w="108" w:type="dxa"/>
              <w:right w:w="108" w:type="dxa"/>
            </w:tcMar>
          </w:tcPr>
          <w:p w14:paraId="6A604A7E" w14:textId="3864E8C0"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3C1ABB">
              <w:rPr>
                <w:sz w:val="18"/>
                <w:szCs w:val="18"/>
              </w:rPr>
              <w:t>0</w:t>
            </w:r>
          </w:p>
        </w:tc>
        <w:tc>
          <w:tcPr>
            <w:tcW w:w="975" w:type="dxa"/>
            <w:tcMar>
              <w:left w:w="108" w:type="dxa"/>
              <w:right w:w="108" w:type="dxa"/>
            </w:tcMar>
          </w:tcPr>
          <w:p w14:paraId="73AC3635" w14:textId="1241EA84"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3C1ABB">
              <w:rPr>
                <w:sz w:val="18"/>
                <w:szCs w:val="18"/>
              </w:rPr>
              <w:t>0</w:t>
            </w:r>
          </w:p>
        </w:tc>
      </w:tr>
      <w:tr w:rsidR="004410A8" w:rsidRPr="00123E2D" w14:paraId="01C81AEF"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2B5F45D0" w14:textId="58A31AA4"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Feb-22</w:t>
            </w:r>
          </w:p>
        </w:tc>
        <w:tc>
          <w:tcPr>
            <w:tcW w:w="885" w:type="dxa"/>
            <w:tcMar>
              <w:left w:w="108" w:type="dxa"/>
              <w:right w:w="108" w:type="dxa"/>
            </w:tcMar>
          </w:tcPr>
          <w:p w14:paraId="38FDF66F" w14:textId="6ED5C07E"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945" w:type="dxa"/>
            <w:tcMar>
              <w:left w:w="108" w:type="dxa"/>
              <w:right w:w="108" w:type="dxa"/>
            </w:tcMar>
          </w:tcPr>
          <w:p w14:paraId="0504A420" w14:textId="05CE787D"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1095" w:type="dxa"/>
            <w:tcMar>
              <w:left w:w="108" w:type="dxa"/>
              <w:right w:w="108" w:type="dxa"/>
            </w:tcMar>
          </w:tcPr>
          <w:p w14:paraId="444FD2DD" w14:textId="59E94FF4"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2,214,810</w:t>
            </w:r>
          </w:p>
        </w:tc>
        <w:tc>
          <w:tcPr>
            <w:tcW w:w="1065" w:type="dxa"/>
            <w:tcMar>
              <w:left w:w="108" w:type="dxa"/>
              <w:right w:w="108" w:type="dxa"/>
            </w:tcMar>
          </w:tcPr>
          <w:p w14:paraId="677FE44E" w14:textId="4E3A0924"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2,700,000</w:t>
            </w:r>
          </w:p>
        </w:tc>
        <w:tc>
          <w:tcPr>
            <w:tcW w:w="1110" w:type="dxa"/>
            <w:tcMar>
              <w:left w:w="108" w:type="dxa"/>
              <w:right w:w="108" w:type="dxa"/>
            </w:tcMar>
          </w:tcPr>
          <w:p w14:paraId="0C09D4DA" w14:textId="661A1F84"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1,432,080</w:t>
            </w:r>
          </w:p>
        </w:tc>
        <w:tc>
          <w:tcPr>
            <w:tcW w:w="930" w:type="dxa"/>
            <w:tcMar>
              <w:left w:w="108" w:type="dxa"/>
              <w:right w:w="108" w:type="dxa"/>
            </w:tcMar>
          </w:tcPr>
          <w:p w14:paraId="13DE95C8" w14:textId="675EA96B"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D07A38">
              <w:rPr>
                <w:sz w:val="18"/>
                <w:szCs w:val="18"/>
              </w:rPr>
              <w:t>0</w:t>
            </w:r>
          </w:p>
        </w:tc>
        <w:tc>
          <w:tcPr>
            <w:tcW w:w="1065" w:type="dxa"/>
            <w:tcMar>
              <w:left w:w="108" w:type="dxa"/>
              <w:right w:w="108" w:type="dxa"/>
            </w:tcMar>
          </w:tcPr>
          <w:p w14:paraId="50D08954" w14:textId="359658A5"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D07A38">
              <w:rPr>
                <w:sz w:val="18"/>
                <w:szCs w:val="18"/>
              </w:rPr>
              <w:t>0</w:t>
            </w:r>
          </w:p>
        </w:tc>
        <w:tc>
          <w:tcPr>
            <w:tcW w:w="975" w:type="dxa"/>
            <w:tcMar>
              <w:left w:w="108" w:type="dxa"/>
              <w:right w:w="108" w:type="dxa"/>
            </w:tcMar>
          </w:tcPr>
          <w:p w14:paraId="57214DF7" w14:textId="63D3858F"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D07A38">
              <w:rPr>
                <w:sz w:val="18"/>
                <w:szCs w:val="18"/>
              </w:rPr>
              <w:t>0</w:t>
            </w:r>
          </w:p>
        </w:tc>
      </w:tr>
      <w:tr w:rsidR="004410A8" w:rsidRPr="00123E2D" w14:paraId="56AEA425"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524F7C0E" w14:textId="1F0E6BFB"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Mar-22</w:t>
            </w:r>
          </w:p>
        </w:tc>
        <w:tc>
          <w:tcPr>
            <w:tcW w:w="885" w:type="dxa"/>
            <w:tcMar>
              <w:left w:w="108" w:type="dxa"/>
              <w:right w:w="108" w:type="dxa"/>
            </w:tcMar>
          </w:tcPr>
          <w:p w14:paraId="22FF295A" w14:textId="5F2C7AA1"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20,000</w:t>
            </w:r>
          </w:p>
        </w:tc>
        <w:tc>
          <w:tcPr>
            <w:tcW w:w="945" w:type="dxa"/>
            <w:tcMar>
              <w:left w:w="108" w:type="dxa"/>
              <w:right w:w="108" w:type="dxa"/>
            </w:tcMar>
          </w:tcPr>
          <w:p w14:paraId="034DA67F" w14:textId="2CA82CC8"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2073A2">
              <w:rPr>
                <w:sz w:val="18"/>
                <w:szCs w:val="18"/>
              </w:rPr>
              <w:t>0</w:t>
            </w:r>
          </w:p>
        </w:tc>
        <w:tc>
          <w:tcPr>
            <w:tcW w:w="1095" w:type="dxa"/>
            <w:tcMar>
              <w:left w:w="108" w:type="dxa"/>
              <w:right w:w="108" w:type="dxa"/>
            </w:tcMar>
          </w:tcPr>
          <w:p w14:paraId="58188B88" w14:textId="4ACAB312"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2073A2">
              <w:rPr>
                <w:sz w:val="18"/>
                <w:szCs w:val="18"/>
              </w:rPr>
              <w:t>0</w:t>
            </w:r>
          </w:p>
        </w:tc>
        <w:tc>
          <w:tcPr>
            <w:tcW w:w="1065" w:type="dxa"/>
            <w:tcMar>
              <w:left w:w="108" w:type="dxa"/>
              <w:right w:w="108" w:type="dxa"/>
            </w:tcMar>
          </w:tcPr>
          <w:p w14:paraId="71399439" w14:textId="5D449F24"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2073A2">
              <w:rPr>
                <w:sz w:val="18"/>
                <w:szCs w:val="18"/>
              </w:rPr>
              <w:t>0</w:t>
            </w:r>
          </w:p>
        </w:tc>
        <w:tc>
          <w:tcPr>
            <w:tcW w:w="1110" w:type="dxa"/>
            <w:tcMar>
              <w:left w:w="108" w:type="dxa"/>
              <w:right w:w="108" w:type="dxa"/>
            </w:tcMar>
          </w:tcPr>
          <w:p w14:paraId="5181CE9E" w14:textId="2C9A0D9C"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2073A2">
              <w:rPr>
                <w:sz w:val="18"/>
                <w:szCs w:val="18"/>
              </w:rPr>
              <w:t>0</w:t>
            </w:r>
          </w:p>
        </w:tc>
        <w:tc>
          <w:tcPr>
            <w:tcW w:w="930" w:type="dxa"/>
            <w:tcMar>
              <w:left w:w="108" w:type="dxa"/>
              <w:right w:w="108" w:type="dxa"/>
            </w:tcMar>
          </w:tcPr>
          <w:p w14:paraId="6A36DF80" w14:textId="2D08D1DF"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2073A2">
              <w:rPr>
                <w:sz w:val="18"/>
                <w:szCs w:val="18"/>
              </w:rPr>
              <w:t>0</w:t>
            </w:r>
          </w:p>
        </w:tc>
        <w:tc>
          <w:tcPr>
            <w:tcW w:w="1065" w:type="dxa"/>
            <w:tcMar>
              <w:left w:w="108" w:type="dxa"/>
              <w:right w:w="108" w:type="dxa"/>
            </w:tcMar>
          </w:tcPr>
          <w:p w14:paraId="4B47800D" w14:textId="46681454"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2073A2">
              <w:rPr>
                <w:sz w:val="18"/>
                <w:szCs w:val="18"/>
              </w:rPr>
              <w:t>0</w:t>
            </w:r>
          </w:p>
        </w:tc>
        <w:tc>
          <w:tcPr>
            <w:tcW w:w="975" w:type="dxa"/>
            <w:tcMar>
              <w:left w:w="108" w:type="dxa"/>
              <w:right w:w="108" w:type="dxa"/>
            </w:tcMar>
          </w:tcPr>
          <w:p w14:paraId="4D4BBD38" w14:textId="21E0BCD3"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2073A2">
              <w:rPr>
                <w:sz w:val="18"/>
                <w:szCs w:val="18"/>
              </w:rPr>
              <w:t>0</w:t>
            </w:r>
          </w:p>
        </w:tc>
      </w:tr>
      <w:tr w:rsidR="004410A8" w:rsidRPr="00123E2D" w14:paraId="47822322"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65A691E5" w14:textId="173E55A2"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Apr-22</w:t>
            </w:r>
          </w:p>
        </w:tc>
        <w:tc>
          <w:tcPr>
            <w:tcW w:w="885" w:type="dxa"/>
            <w:tcMar>
              <w:left w:w="108" w:type="dxa"/>
              <w:right w:w="108" w:type="dxa"/>
            </w:tcMar>
          </w:tcPr>
          <w:p w14:paraId="3DB6BCDF" w14:textId="0AB41EDF"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25,000</w:t>
            </w:r>
          </w:p>
        </w:tc>
        <w:tc>
          <w:tcPr>
            <w:tcW w:w="945" w:type="dxa"/>
            <w:tcMar>
              <w:left w:w="108" w:type="dxa"/>
              <w:right w:w="108" w:type="dxa"/>
            </w:tcMar>
          </w:tcPr>
          <w:p w14:paraId="72F98B5F" w14:textId="45B8AA1E"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1095" w:type="dxa"/>
            <w:tcMar>
              <w:left w:w="108" w:type="dxa"/>
              <w:right w:w="108" w:type="dxa"/>
            </w:tcMar>
          </w:tcPr>
          <w:p w14:paraId="0FAA4B02" w14:textId="0D7CCDB9"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6,451,200</w:t>
            </w:r>
          </w:p>
        </w:tc>
        <w:tc>
          <w:tcPr>
            <w:tcW w:w="1065" w:type="dxa"/>
            <w:tcMar>
              <w:left w:w="108" w:type="dxa"/>
              <w:right w:w="108" w:type="dxa"/>
            </w:tcMar>
          </w:tcPr>
          <w:p w14:paraId="2EFF3CBB" w14:textId="4199493D"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7C4A19">
              <w:rPr>
                <w:sz w:val="18"/>
                <w:szCs w:val="18"/>
              </w:rPr>
              <w:t>0</w:t>
            </w:r>
          </w:p>
        </w:tc>
        <w:tc>
          <w:tcPr>
            <w:tcW w:w="1110" w:type="dxa"/>
            <w:tcMar>
              <w:left w:w="108" w:type="dxa"/>
              <w:right w:w="108" w:type="dxa"/>
            </w:tcMar>
          </w:tcPr>
          <w:p w14:paraId="28BDE2CB" w14:textId="309B9210"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7C4A19">
              <w:rPr>
                <w:sz w:val="18"/>
                <w:szCs w:val="18"/>
              </w:rPr>
              <w:t>0</w:t>
            </w:r>
          </w:p>
        </w:tc>
        <w:tc>
          <w:tcPr>
            <w:tcW w:w="930" w:type="dxa"/>
            <w:tcMar>
              <w:left w:w="108" w:type="dxa"/>
              <w:right w:w="108" w:type="dxa"/>
            </w:tcMar>
          </w:tcPr>
          <w:p w14:paraId="24033D00" w14:textId="5B3F2EAD"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7C4A19">
              <w:rPr>
                <w:sz w:val="18"/>
                <w:szCs w:val="18"/>
              </w:rPr>
              <w:t>0</w:t>
            </w:r>
          </w:p>
        </w:tc>
        <w:tc>
          <w:tcPr>
            <w:tcW w:w="1065" w:type="dxa"/>
            <w:tcMar>
              <w:left w:w="108" w:type="dxa"/>
              <w:right w:w="108" w:type="dxa"/>
            </w:tcMar>
          </w:tcPr>
          <w:p w14:paraId="716B7719" w14:textId="21EE8BE6"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7C4A19">
              <w:rPr>
                <w:sz w:val="18"/>
                <w:szCs w:val="18"/>
              </w:rPr>
              <w:t>0</w:t>
            </w:r>
          </w:p>
        </w:tc>
        <w:tc>
          <w:tcPr>
            <w:tcW w:w="975" w:type="dxa"/>
            <w:tcMar>
              <w:left w:w="108" w:type="dxa"/>
              <w:right w:w="108" w:type="dxa"/>
            </w:tcMar>
          </w:tcPr>
          <w:p w14:paraId="098FBC05" w14:textId="5779C35B"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7C4A19">
              <w:rPr>
                <w:sz w:val="18"/>
                <w:szCs w:val="18"/>
              </w:rPr>
              <w:t>0</w:t>
            </w:r>
          </w:p>
        </w:tc>
      </w:tr>
      <w:tr w:rsidR="004410A8" w:rsidRPr="00123E2D" w14:paraId="208F2264"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2866FEF9" w14:textId="434C63CD"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May-22</w:t>
            </w:r>
          </w:p>
        </w:tc>
        <w:tc>
          <w:tcPr>
            <w:tcW w:w="885" w:type="dxa"/>
            <w:tcMar>
              <w:left w:w="108" w:type="dxa"/>
              <w:right w:w="108" w:type="dxa"/>
            </w:tcMar>
          </w:tcPr>
          <w:p w14:paraId="1EF7271B" w14:textId="76514DFF"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100</w:t>
            </w:r>
          </w:p>
        </w:tc>
        <w:tc>
          <w:tcPr>
            <w:tcW w:w="945" w:type="dxa"/>
            <w:tcMar>
              <w:left w:w="108" w:type="dxa"/>
              <w:right w:w="108" w:type="dxa"/>
            </w:tcMar>
          </w:tcPr>
          <w:p w14:paraId="6FDC6D94" w14:textId="5C2F2807"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152,100</w:t>
            </w:r>
          </w:p>
        </w:tc>
        <w:tc>
          <w:tcPr>
            <w:tcW w:w="1095" w:type="dxa"/>
            <w:tcMar>
              <w:left w:w="108" w:type="dxa"/>
              <w:right w:w="108" w:type="dxa"/>
            </w:tcMar>
          </w:tcPr>
          <w:p w14:paraId="68AF56ED" w14:textId="08F5B4F2"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8,017,800</w:t>
            </w:r>
          </w:p>
        </w:tc>
        <w:tc>
          <w:tcPr>
            <w:tcW w:w="1065" w:type="dxa"/>
            <w:tcMar>
              <w:left w:w="108" w:type="dxa"/>
              <w:right w:w="108" w:type="dxa"/>
            </w:tcMar>
          </w:tcPr>
          <w:p w14:paraId="0868F933" w14:textId="2DE6F975"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705099">
              <w:rPr>
                <w:sz w:val="18"/>
                <w:szCs w:val="18"/>
              </w:rPr>
              <w:t>0</w:t>
            </w:r>
          </w:p>
        </w:tc>
        <w:tc>
          <w:tcPr>
            <w:tcW w:w="1110" w:type="dxa"/>
            <w:tcMar>
              <w:left w:w="108" w:type="dxa"/>
              <w:right w:w="108" w:type="dxa"/>
            </w:tcMar>
          </w:tcPr>
          <w:p w14:paraId="387EFFF0" w14:textId="10FCBCAC"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705099">
              <w:rPr>
                <w:sz w:val="18"/>
                <w:szCs w:val="18"/>
              </w:rPr>
              <w:t>0</w:t>
            </w:r>
          </w:p>
        </w:tc>
        <w:tc>
          <w:tcPr>
            <w:tcW w:w="930" w:type="dxa"/>
            <w:tcMar>
              <w:left w:w="108" w:type="dxa"/>
              <w:right w:w="108" w:type="dxa"/>
            </w:tcMar>
          </w:tcPr>
          <w:p w14:paraId="6DB5EDE5" w14:textId="4ADECAAE"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705099">
              <w:rPr>
                <w:sz w:val="18"/>
                <w:szCs w:val="18"/>
              </w:rPr>
              <w:t>0</w:t>
            </w:r>
          </w:p>
        </w:tc>
        <w:tc>
          <w:tcPr>
            <w:tcW w:w="1065" w:type="dxa"/>
            <w:tcMar>
              <w:left w:w="108" w:type="dxa"/>
              <w:right w:w="108" w:type="dxa"/>
            </w:tcMar>
          </w:tcPr>
          <w:p w14:paraId="275D174A" w14:textId="601257E4"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705099">
              <w:rPr>
                <w:sz w:val="18"/>
                <w:szCs w:val="18"/>
              </w:rPr>
              <w:t>0</w:t>
            </w:r>
          </w:p>
        </w:tc>
        <w:tc>
          <w:tcPr>
            <w:tcW w:w="975" w:type="dxa"/>
            <w:tcMar>
              <w:left w:w="108" w:type="dxa"/>
              <w:right w:w="108" w:type="dxa"/>
            </w:tcMar>
          </w:tcPr>
          <w:p w14:paraId="3B9D7CFC" w14:textId="3AC2A822"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705099">
              <w:rPr>
                <w:sz w:val="18"/>
                <w:szCs w:val="18"/>
              </w:rPr>
              <w:t>0</w:t>
            </w:r>
          </w:p>
        </w:tc>
      </w:tr>
      <w:tr w:rsidR="004410A8" w:rsidRPr="00123E2D" w14:paraId="77BAFE21"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1FB7FFEF" w14:textId="34123D75"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Jun-22</w:t>
            </w:r>
          </w:p>
        </w:tc>
        <w:tc>
          <w:tcPr>
            <w:tcW w:w="885" w:type="dxa"/>
            <w:tcMar>
              <w:left w:w="108" w:type="dxa"/>
              <w:right w:w="108" w:type="dxa"/>
            </w:tcMar>
          </w:tcPr>
          <w:p w14:paraId="3EBA21CE" w14:textId="46A7B846"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25,200</w:t>
            </w:r>
          </w:p>
        </w:tc>
        <w:tc>
          <w:tcPr>
            <w:tcW w:w="945" w:type="dxa"/>
            <w:tcMar>
              <w:left w:w="108" w:type="dxa"/>
              <w:right w:w="108" w:type="dxa"/>
            </w:tcMar>
          </w:tcPr>
          <w:p w14:paraId="06F752B5" w14:textId="74D20352"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551728">
              <w:rPr>
                <w:sz w:val="18"/>
                <w:szCs w:val="18"/>
              </w:rPr>
              <w:t>0</w:t>
            </w:r>
          </w:p>
        </w:tc>
        <w:tc>
          <w:tcPr>
            <w:tcW w:w="1095" w:type="dxa"/>
            <w:tcMar>
              <w:left w:w="108" w:type="dxa"/>
              <w:right w:w="108" w:type="dxa"/>
            </w:tcMar>
          </w:tcPr>
          <w:p w14:paraId="1712331F" w14:textId="37D64FD5"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551728">
              <w:rPr>
                <w:sz w:val="18"/>
                <w:szCs w:val="18"/>
              </w:rPr>
              <w:t>0</w:t>
            </w:r>
          </w:p>
        </w:tc>
        <w:tc>
          <w:tcPr>
            <w:tcW w:w="1065" w:type="dxa"/>
            <w:tcMar>
              <w:left w:w="108" w:type="dxa"/>
              <w:right w:w="108" w:type="dxa"/>
            </w:tcMar>
          </w:tcPr>
          <w:p w14:paraId="1DD9789C" w14:textId="33C17FB6"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551728">
              <w:rPr>
                <w:sz w:val="18"/>
                <w:szCs w:val="18"/>
              </w:rPr>
              <w:t>0</w:t>
            </w:r>
          </w:p>
        </w:tc>
        <w:tc>
          <w:tcPr>
            <w:tcW w:w="1110" w:type="dxa"/>
            <w:tcMar>
              <w:left w:w="108" w:type="dxa"/>
              <w:right w:w="108" w:type="dxa"/>
            </w:tcMar>
          </w:tcPr>
          <w:p w14:paraId="4B0630C9" w14:textId="214D4116"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551728">
              <w:rPr>
                <w:sz w:val="18"/>
                <w:szCs w:val="18"/>
              </w:rPr>
              <w:t>0</w:t>
            </w:r>
          </w:p>
        </w:tc>
        <w:tc>
          <w:tcPr>
            <w:tcW w:w="930" w:type="dxa"/>
            <w:tcMar>
              <w:left w:w="108" w:type="dxa"/>
              <w:right w:w="108" w:type="dxa"/>
            </w:tcMar>
          </w:tcPr>
          <w:p w14:paraId="118CABF0" w14:textId="2BC6A5E9"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551728">
              <w:rPr>
                <w:sz w:val="18"/>
                <w:szCs w:val="18"/>
              </w:rPr>
              <w:t>0</w:t>
            </w:r>
          </w:p>
        </w:tc>
        <w:tc>
          <w:tcPr>
            <w:tcW w:w="1065" w:type="dxa"/>
            <w:tcMar>
              <w:left w:w="108" w:type="dxa"/>
              <w:right w:w="108" w:type="dxa"/>
            </w:tcMar>
          </w:tcPr>
          <w:p w14:paraId="3403D084" w14:textId="7ED7A8F8"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551728">
              <w:rPr>
                <w:sz w:val="18"/>
                <w:szCs w:val="18"/>
              </w:rPr>
              <w:t>0</w:t>
            </w:r>
          </w:p>
        </w:tc>
        <w:tc>
          <w:tcPr>
            <w:tcW w:w="975" w:type="dxa"/>
            <w:tcMar>
              <w:left w:w="108" w:type="dxa"/>
              <w:right w:w="108" w:type="dxa"/>
            </w:tcMar>
          </w:tcPr>
          <w:p w14:paraId="3D6EFBBB" w14:textId="327A1D51"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551728">
              <w:rPr>
                <w:sz w:val="18"/>
                <w:szCs w:val="18"/>
              </w:rPr>
              <w:t>0</w:t>
            </w:r>
          </w:p>
        </w:tc>
      </w:tr>
      <w:tr w:rsidR="004410A8" w:rsidRPr="00123E2D" w14:paraId="76ABB843"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5C29ACBE" w14:textId="76AE29EE"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Jul-22</w:t>
            </w:r>
          </w:p>
        </w:tc>
        <w:tc>
          <w:tcPr>
            <w:tcW w:w="885" w:type="dxa"/>
            <w:tcMar>
              <w:left w:w="108" w:type="dxa"/>
              <w:right w:w="108" w:type="dxa"/>
            </w:tcMar>
          </w:tcPr>
          <w:p w14:paraId="39FE6958" w14:textId="102A1F4A"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3427DB">
              <w:rPr>
                <w:sz w:val="18"/>
                <w:szCs w:val="18"/>
              </w:rPr>
              <w:t>0</w:t>
            </w:r>
          </w:p>
        </w:tc>
        <w:tc>
          <w:tcPr>
            <w:tcW w:w="945" w:type="dxa"/>
            <w:tcMar>
              <w:left w:w="108" w:type="dxa"/>
              <w:right w:w="108" w:type="dxa"/>
            </w:tcMar>
          </w:tcPr>
          <w:p w14:paraId="19DF0DAA" w14:textId="3AFF00B2"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3427DB">
              <w:rPr>
                <w:sz w:val="18"/>
                <w:szCs w:val="18"/>
              </w:rPr>
              <w:t>0</w:t>
            </w:r>
          </w:p>
        </w:tc>
        <w:tc>
          <w:tcPr>
            <w:tcW w:w="1095" w:type="dxa"/>
            <w:tcMar>
              <w:left w:w="108" w:type="dxa"/>
              <w:right w:w="108" w:type="dxa"/>
            </w:tcMar>
          </w:tcPr>
          <w:p w14:paraId="71C53A14" w14:textId="63CA89F3"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3427DB">
              <w:rPr>
                <w:sz w:val="18"/>
                <w:szCs w:val="18"/>
              </w:rPr>
              <w:t>0</w:t>
            </w:r>
          </w:p>
        </w:tc>
        <w:tc>
          <w:tcPr>
            <w:tcW w:w="1065" w:type="dxa"/>
            <w:tcMar>
              <w:left w:w="108" w:type="dxa"/>
              <w:right w:w="108" w:type="dxa"/>
            </w:tcMar>
          </w:tcPr>
          <w:p w14:paraId="073DAA57" w14:textId="6C1B0E95"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3427DB">
              <w:rPr>
                <w:sz w:val="18"/>
                <w:szCs w:val="18"/>
              </w:rPr>
              <w:t>0</w:t>
            </w:r>
          </w:p>
        </w:tc>
        <w:tc>
          <w:tcPr>
            <w:tcW w:w="1110" w:type="dxa"/>
            <w:tcMar>
              <w:left w:w="108" w:type="dxa"/>
              <w:right w:w="108" w:type="dxa"/>
            </w:tcMar>
          </w:tcPr>
          <w:p w14:paraId="241797E0" w14:textId="650B6C21"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3427DB">
              <w:rPr>
                <w:sz w:val="18"/>
                <w:szCs w:val="18"/>
              </w:rPr>
              <w:t>0</w:t>
            </w:r>
          </w:p>
        </w:tc>
        <w:tc>
          <w:tcPr>
            <w:tcW w:w="930" w:type="dxa"/>
            <w:tcMar>
              <w:left w:w="108" w:type="dxa"/>
              <w:right w:w="108" w:type="dxa"/>
            </w:tcMar>
          </w:tcPr>
          <w:p w14:paraId="11F90BEC" w14:textId="02400D87"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3427DB">
              <w:rPr>
                <w:sz w:val="18"/>
                <w:szCs w:val="18"/>
              </w:rPr>
              <w:t>0</w:t>
            </w:r>
          </w:p>
        </w:tc>
        <w:tc>
          <w:tcPr>
            <w:tcW w:w="1065" w:type="dxa"/>
            <w:tcMar>
              <w:left w:w="108" w:type="dxa"/>
              <w:right w:w="108" w:type="dxa"/>
            </w:tcMar>
          </w:tcPr>
          <w:p w14:paraId="41C9AACB" w14:textId="48C67DB2"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196,800</w:t>
            </w:r>
          </w:p>
        </w:tc>
        <w:tc>
          <w:tcPr>
            <w:tcW w:w="975" w:type="dxa"/>
            <w:tcMar>
              <w:left w:w="108" w:type="dxa"/>
              <w:right w:w="108" w:type="dxa"/>
            </w:tcMar>
          </w:tcPr>
          <w:p w14:paraId="4BC327DE" w14:textId="6E5397DB"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r w:rsidR="004410A8" w:rsidRPr="00123E2D" w14:paraId="2070AF43"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18B26C3F" w14:textId="0F1A81F5"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Aug-22</w:t>
            </w:r>
          </w:p>
        </w:tc>
        <w:tc>
          <w:tcPr>
            <w:tcW w:w="885" w:type="dxa"/>
            <w:tcMar>
              <w:left w:w="108" w:type="dxa"/>
              <w:right w:w="108" w:type="dxa"/>
            </w:tcMar>
          </w:tcPr>
          <w:p w14:paraId="7551B553" w14:textId="1F917942"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60,000</w:t>
            </w:r>
          </w:p>
        </w:tc>
        <w:tc>
          <w:tcPr>
            <w:tcW w:w="945" w:type="dxa"/>
            <w:tcMar>
              <w:left w:w="108" w:type="dxa"/>
              <w:right w:w="108" w:type="dxa"/>
            </w:tcMar>
          </w:tcPr>
          <w:p w14:paraId="4AE8B443" w14:textId="40CA67A9"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FA68BD">
              <w:rPr>
                <w:sz w:val="18"/>
                <w:szCs w:val="18"/>
              </w:rPr>
              <w:t>0</w:t>
            </w:r>
          </w:p>
        </w:tc>
        <w:tc>
          <w:tcPr>
            <w:tcW w:w="1095" w:type="dxa"/>
            <w:tcMar>
              <w:left w:w="108" w:type="dxa"/>
              <w:right w:w="108" w:type="dxa"/>
            </w:tcMar>
          </w:tcPr>
          <w:p w14:paraId="63119127" w14:textId="2FF798D6"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FA68BD">
              <w:rPr>
                <w:sz w:val="18"/>
                <w:szCs w:val="18"/>
              </w:rPr>
              <w:t>0</w:t>
            </w:r>
          </w:p>
        </w:tc>
        <w:tc>
          <w:tcPr>
            <w:tcW w:w="1065" w:type="dxa"/>
            <w:tcMar>
              <w:left w:w="108" w:type="dxa"/>
              <w:right w:w="108" w:type="dxa"/>
            </w:tcMar>
          </w:tcPr>
          <w:p w14:paraId="7AF6E0A7" w14:textId="48AF066F"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FA68BD">
              <w:rPr>
                <w:sz w:val="18"/>
                <w:szCs w:val="18"/>
              </w:rPr>
              <w:t>0</w:t>
            </w:r>
          </w:p>
        </w:tc>
        <w:tc>
          <w:tcPr>
            <w:tcW w:w="1110" w:type="dxa"/>
            <w:tcMar>
              <w:left w:w="108" w:type="dxa"/>
              <w:right w:w="108" w:type="dxa"/>
            </w:tcMar>
          </w:tcPr>
          <w:p w14:paraId="6C914B21" w14:textId="7D96AF1B"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FA68BD">
              <w:rPr>
                <w:sz w:val="18"/>
                <w:szCs w:val="18"/>
              </w:rPr>
              <w:t>0</w:t>
            </w:r>
          </w:p>
        </w:tc>
        <w:tc>
          <w:tcPr>
            <w:tcW w:w="930" w:type="dxa"/>
            <w:tcMar>
              <w:left w:w="108" w:type="dxa"/>
              <w:right w:w="108" w:type="dxa"/>
            </w:tcMar>
          </w:tcPr>
          <w:p w14:paraId="511CC43A" w14:textId="18C89666"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FA68BD">
              <w:rPr>
                <w:sz w:val="18"/>
                <w:szCs w:val="18"/>
              </w:rPr>
              <w:t>0</w:t>
            </w:r>
          </w:p>
        </w:tc>
        <w:tc>
          <w:tcPr>
            <w:tcW w:w="1065" w:type="dxa"/>
            <w:tcMar>
              <w:left w:w="108" w:type="dxa"/>
              <w:right w:w="108" w:type="dxa"/>
            </w:tcMar>
          </w:tcPr>
          <w:p w14:paraId="5763A796" w14:textId="70287580"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283,200</w:t>
            </w:r>
          </w:p>
        </w:tc>
        <w:tc>
          <w:tcPr>
            <w:tcW w:w="975" w:type="dxa"/>
            <w:tcMar>
              <w:left w:w="108" w:type="dxa"/>
              <w:right w:w="108" w:type="dxa"/>
            </w:tcMar>
          </w:tcPr>
          <w:p w14:paraId="3F268B24" w14:textId="623E76A2"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r>
      <w:tr w:rsidR="004410A8" w:rsidRPr="00123E2D" w14:paraId="2861C46C"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0E1513C7" w14:textId="414CF9E2"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Sep-22</w:t>
            </w:r>
          </w:p>
        </w:tc>
        <w:tc>
          <w:tcPr>
            <w:tcW w:w="885" w:type="dxa"/>
            <w:tcMar>
              <w:left w:w="108" w:type="dxa"/>
              <w:right w:w="108" w:type="dxa"/>
            </w:tcMar>
          </w:tcPr>
          <w:p w14:paraId="1D3053C2" w14:textId="60FE0D80"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497EC9">
              <w:rPr>
                <w:sz w:val="18"/>
                <w:szCs w:val="18"/>
              </w:rPr>
              <w:t>0</w:t>
            </w:r>
          </w:p>
        </w:tc>
        <w:tc>
          <w:tcPr>
            <w:tcW w:w="945" w:type="dxa"/>
            <w:tcMar>
              <w:left w:w="108" w:type="dxa"/>
              <w:right w:w="108" w:type="dxa"/>
            </w:tcMar>
          </w:tcPr>
          <w:p w14:paraId="17DE8670" w14:textId="0D58CBD5"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497EC9">
              <w:rPr>
                <w:sz w:val="18"/>
                <w:szCs w:val="18"/>
              </w:rPr>
              <w:t>0</w:t>
            </w:r>
          </w:p>
        </w:tc>
        <w:tc>
          <w:tcPr>
            <w:tcW w:w="1095" w:type="dxa"/>
            <w:tcMar>
              <w:left w:w="108" w:type="dxa"/>
              <w:right w:w="108" w:type="dxa"/>
            </w:tcMar>
          </w:tcPr>
          <w:p w14:paraId="277BD260" w14:textId="0D96B30D"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3,000,960</w:t>
            </w:r>
          </w:p>
        </w:tc>
        <w:tc>
          <w:tcPr>
            <w:tcW w:w="1065" w:type="dxa"/>
            <w:tcMar>
              <w:left w:w="108" w:type="dxa"/>
              <w:right w:w="108" w:type="dxa"/>
            </w:tcMar>
          </w:tcPr>
          <w:p w14:paraId="5FAFC0F4" w14:textId="2290662C"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110" w:type="dxa"/>
            <w:tcMar>
              <w:left w:w="108" w:type="dxa"/>
              <w:right w:w="108" w:type="dxa"/>
            </w:tcMar>
          </w:tcPr>
          <w:p w14:paraId="6FACFB26" w14:textId="6685A51F"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3,000,000</w:t>
            </w:r>
          </w:p>
        </w:tc>
        <w:tc>
          <w:tcPr>
            <w:tcW w:w="930" w:type="dxa"/>
            <w:tcMar>
              <w:left w:w="108" w:type="dxa"/>
              <w:right w:w="108" w:type="dxa"/>
            </w:tcMar>
          </w:tcPr>
          <w:p w14:paraId="35855F11" w14:textId="68852BC1"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499,200</w:t>
            </w:r>
          </w:p>
        </w:tc>
        <w:tc>
          <w:tcPr>
            <w:tcW w:w="1065" w:type="dxa"/>
            <w:tcMar>
              <w:left w:w="108" w:type="dxa"/>
              <w:right w:w="108" w:type="dxa"/>
            </w:tcMar>
          </w:tcPr>
          <w:p w14:paraId="2885698E" w14:textId="4C6017EC"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975" w:type="dxa"/>
            <w:tcMar>
              <w:left w:w="108" w:type="dxa"/>
              <w:right w:w="108" w:type="dxa"/>
            </w:tcMar>
          </w:tcPr>
          <w:p w14:paraId="190AB1BA" w14:textId="613891E0"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452,790</w:t>
            </w:r>
          </w:p>
        </w:tc>
      </w:tr>
      <w:tr w:rsidR="004410A8" w:rsidRPr="00123E2D" w14:paraId="63437989" w14:textId="77777777" w:rsidTr="004410A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7D4EF680" w14:textId="50559259"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Oct-22</w:t>
            </w:r>
          </w:p>
        </w:tc>
        <w:tc>
          <w:tcPr>
            <w:tcW w:w="885" w:type="dxa"/>
            <w:tcMar>
              <w:left w:w="108" w:type="dxa"/>
              <w:right w:w="108" w:type="dxa"/>
            </w:tcMar>
          </w:tcPr>
          <w:p w14:paraId="559505CC" w14:textId="58556176"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44429A">
              <w:rPr>
                <w:sz w:val="18"/>
                <w:szCs w:val="18"/>
              </w:rPr>
              <w:t>0</w:t>
            </w:r>
          </w:p>
        </w:tc>
        <w:tc>
          <w:tcPr>
            <w:tcW w:w="945" w:type="dxa"/>
            <w:tcMar>
              <w:left w:w="108" w:type="dxa"/>
              <w:right w:w="108" w:type="dxa"/>
            </w:tcMar>
          </w:tcPr>
          <w:p w14:paraId="51E56AF6" w14:textId="5E88C34F"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44429A">
              <w:rPr>
                <w:sz w:val="18"/>
                <w:szCs w:val="18"/>
              </w:rPr>
              <w:t>0</w:t>
            </w:r>
          </w:p>
        </w:tc>
        <w:tc>
          <w:tcPr>
            <w:tcW w:w="1095" w:type="dxa"/>
            <w:tcMar>
              <w:left w:w="108" w:type="dxa"/>
              <w:right w:w="108" w:type="dxa"/>
            </w:tcMar>
          </w:tcPr>
          <w:p w14:paraId="606622E1" w14:textId="78B4DFC9"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1,200,000</w:t>
            </w:r>
          </w:p>
        </w:tc>
        <w:tc>
          <w:tcPr>
            <w:tcW w:w="1065" w:type="dxa"/>
            <w:tcMar>
              <w:left w:w="108" w:type="dxa"/>
              <w:right w:w="108" w:type="dxa"/>
            </w:tcMar>
          </w:tcPr>
          <w:p w14:paraId="184FE2D8" w14:textId="3FB98691"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1110" w:type="dxa"/>
            <w:tcMar>
              <w:left w:w="108" w:type="dxa"/>
              <w:right w:w="108" w:type="dxa"/>
            </w:tcMar>
          </w:tcPr>
          <w:p w14:paraId="612A6708" w14:textId="3D9FAE33" w:rsidR="004410A8" w:rsidRPr="006B0C6C" w:rsidRDefault="004410A8" w:rsidP="004410A8">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2,001,600</w:t>
            </w:r>
          </w:p>
        </w:tc>
        <w:tc>
          <w:tcPr>
            <w:tcW w:w="930" w:type="dxa"/>
            <w:tcMar>
              <w:left w:w="108" w:type="dxa"/>
              <w:right w:w="108" w:type="dxa"/>
            </w:tcMar>
          </w:tcPr>
          <w:p w14:paraId="7D0E6FEA" w14:textId="65F0A63E"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C541A2">
              <w:rPr>
                <w:sz w:val="18"/>
                <w:szCs w:val="18"/>
              </w:rPr>
              <w:t>0</w:t>
            </w:r>
          </w:p>
        </w:tc>
        <w:tc>
          <w:tcPr>
            <w:tcW w:w="1065" w:type="dxa"/>
            <w:tcMar>
              <w:left w:w="108" w:type="dxa"/>
              <w:right w:w="108" w:type="dxa"/>
            </w:tcMar>
          </w:tcPr>
          <w:p w14:paraId="1545B90C" w14:textId="5C2674FC"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C541A2">
              <w:rPr>
                <w:sz w:val="18"/>
                <w:szCs w:val="18"/>
              </w:rPr>
              <w:t>0</w:t>
            </w:r>
          </w:p>
        </w:tc>
        <w:tc>
          <w:tcPr>
            <w:tcW w:w="975" w:type="dxa"/>
            <w:tcMar>
              <w:left w:w="108" w:type="dxa"/>
              <w:right w:w="108" w:type="dxa"/>
            </w:tcMar>
          </w:tcPr>
          <w:p w14:paraId="29AD78B9" w14:textId="4A62C6EE" w:rsidR="004410A8" w:rsidRPr="006B0C6C" w:rsidRDefault="004410A8" w:rsidP="004410A8">
            <w:pPr>
              <w:jc w:val="right"/>
              <w:cnfStyle w:val="000000100000" w:firstRow="0" w:lastRow="0" w:firstColumn="0" w:lastColumn="0" w:oddVBand="0" w:evenVBand="0" w:oddHBand="1" w:evenHBand="0" w:firstRowFirstColumn="0" w:firstRowLastColumn="0" w:lastRowFirstColumn="0" w:lastRowLastColumn="0"/>
              <w:rPr>
                <w:sz w:val="18"/>
                <w:szCs w:val="18"/>
              </w:rPr>
            </w:pPr>
            <w:r w:rsidRPr="00C541A2">
              <w:rPr>
                <w:sz w:val="18"/>
                <w:szCs w:val="18"/>
              </w:rPr>
              <w:t>0</w:t>
            </w:r>
          </w:p>
        </w:tc>
      </w:tr>
      <w:tr w:rsidR="004410A8" w:rsidRPr="00123E2D" w14:paraId="4A535F03" w14:textId="77777777" w:rsidTr="004410A8">
        <w:trPr>
          <w:trHeight w:val="285"/>
        </w:trPr>
        <w:tc>
          <w:tcPr>
            <w:cnfStyle w:val="001000000000" w:firstRow="0" w:lastRow="0" w:firstColumn="1" w:lastColumn="0" w:oddVBand="0" w:evenVBand="0" w:oddHBand="0" w:evenHBand="0" w:firstRowFirstColumn="0" w:firstRowLastColumn="0" w:lastRowFirstColumn="0" w:lastRowLastColumn="0"/>
            <w:tcW w:w="1035" w:type="dxa"/>
            <w:tcMar>
              <w:left w:w="108" w:type="dxa"/>
              <w:right w:w="108" w:type="dxa"/>
            </w:tcMar>
          </w:tcPr>
          <w:p w14:paraId="3227491B" w14:textId="64D3869A" w:rsidR="004410A8" w:rsidRPr="006B0C6C" w:rsidRDefault="004410A8" w:rsidP="004410A8">
            <w:pPr>
              <w:spacing w:after="0"/>
              <w:rPr>
                <w:rFonts w:ascii="Calibri" w:eastAsia="Calibri" w:hAnsi="Calibri" w:cs="Calibri"/>
                <w:sz w:val="18"/>
                <w:szCs w:val="18"/>
              </w:rPr>
            </w:pPr>
            <w:r w:rsidRPr="006B0C6C">
              <w:rPr>
                <w:rFonts w:ascii="Calibri" w:eastAsia="Calibri" w:hAnsi="Calibri" w:cs="Calibri"/>
                <w:sz w:val="18"/>
                <w:szCs w:val="18"/>
              </w:rPr>
              <w:t>Nov-22</w:t>
            </w:r>
          </w:p>
        </w:tc>
        <w:tc>
          <w:tcPr>
            <w:tcW w:w="885" w:type="dxa"/>
            <w:tcMar>
              <w:left w:w="108" w:type="dxa"/>
              <w:right w:w="108" w:type="dxa"/>
            </w:tcMar>
          </w:tcPr>
          <w:p w14:paraId="3BCA177D" w14:textId="2FCB5303"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2042A6">
              <w:rPr>
                <w:sz w:val="18"/>
                <w:szCs w:val="18"/>
              </w:rPr>
              <w:t>0</w:t>
            </w:r>
          </w:p>
        </w:tc>
        <w:tc>
          <w:tcPr>
            <w:tcW w:w="945" w:type="dxa"/>
            <w:tcMar>
              <w:left w:w="108" w:type="dxa"/>
              <w:right w:w="108" w:type="dxa"/>
            </w:tcMar>
          </w:tcPr>
          <w:p w14:paraId="39B9E737" w14:textId="263C6DB6"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2042A6">
              <w:rPr>
                <w:sz w:val="18"/>
                <w:szCs w:val="18"/>
              </w:rPr>
              <w:t>0</w:t>
            </w:r>
          </w:p>
        </w:tc>
        <w:tc>
          <w:tcPr>
            <w:tcW w:w="1095" w:type="dxa"/>
            <w:tcMar>
              <w:left w:w="108" w:type="dxa"/>
              <w:right w:w="108" w:type="dxa"/>
            </w:tcMar>
          </w:tcPr>
          <w:p w14:paraId="76DA8A4E" w14:textId="7749ADDD"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2042A6">
              <w:rPr>
                <w:sz w:val="18"/>
                <w:szCs w:val="18"/>
              </w:rPr>
              <w:t>0</w:t>
            </w:r>
          </w:p>
        </w:tc>
        <w:tc>
          <w:tcPr>
            <w:tcW w:w="1065" w:type="dxa"/>
            <w:tcMar>
              <w:left w:w="108" w:type="dxa"/>
              <w:right w:w="108" w:type="dxa"/>
            </w:tcMar>
          </w:tcPr>
          <w:p w14:paraId="1863F97E" w14:textId="609FF3D0"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2042A6">
              <w:rPr>
                <w:sz w:val="18"/>
                <w:szCs w:val="18"/>
              </w:rPr>
              <w:t>0</w:t>
            </w:r>
          </w:p>
        </w:tc>
        <w:tc>
          <w:tcPr>
            <w:tcW w:w="1110" w:type="dxa"/>
            <w:tcMar>
              <w:left w:w="108" w:type="dxa"/>
              <w:right w:w="108" w:type="dxa"/>
            </w:tcMar>
          </w:tcPr>
          <w:p w14:paraId="3AF8D21A" w14:textId="3E0FAF23" w:rsidR="004410A8" w:rsidRPr="006B0C6C" w:rsidRDefault="004410A8" w:rsidP="004410A8">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6B0C6C">
              <w:rPr>
                <w:rFonts w:ascii="Calibri" w:eastAsia="Calibri" w:hAnsi="Calibri" w:cs="Calibri"/>
                <w:sz w:val="18"/>
                <w:szCs w:val="18"/>
              </w:rPr>
              <w:t>998,400</w:t>
            </w:r>
          </w:p>
        </w:tc>
        <w:tc>
          <w:tcPr>
            <w:tcW w:w="930" w:type="dxa"/>
            <w:tcMar>
              <w:left w:w="108" w:type="dxa"/>
              <w:right w:w="108" w:type="dxa"/>
            </w:tcMar>
          </w:tcPr>
          <w:p w14:paraId="53FC0191" w14:textId="7DFBA2FA"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754D64">
              <w:rPr>
                <w:sz w:val="18"/>
                <w:szCs w:val="18"/>
              </w:rPr>
              <w:t>0</w:t>
            </w:r>
          </w:p>
        </w:tc>
        <w:tc>
          <w:tcPr>
            <w:tcW w:w="1065" w:type="dxa"/>
            <w:tcMar>
              <w:left w:w="108" w:type="dxa"/>
              <w:right w:w="108" w:type="dxa"/>
            </w:tcMar>
          </w:tcPr>
          <w:p w14:paraId="70E1056A" w14:textId="39A8584B"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754D64">
              <w:rPr>
                <w:sz w:val="18"/>
                <w:szCs w:val="18"/>
              </w:rPr>
              <w:t>0</w:t>
            </w:r>
          </w:p>
        </w:tc>
        <w:tc>
          <w:tcPr>
            <w:tcW w:w="975" w:type="dxa"/>
            <w:tcMar>
              <w:left w:w="108" w:type="dxa"/>
              <w:right w:w="108" w:type="dxa"/>
            </w:tcMar>
          </w:tcPr>
          <w:p w14:paraId="700D499A" w14:textId="0A4FF84F" w:rsidR="004410A8" w:rsidRPr="006B0C6C" w:rsidRDefault="004410A8" w:rsidP="004410A8">
            <w:pPr>
              <w:jc w:val="right"/>
              <w:cnfStyle w:val="000000000000" w:firstRow="0" w:lastRow="0" w:firstColumn="0" w:lastColumn="0" w:oddVBand="0" w:evenVBand="0" w:oddHBand="0" w:evenHBand="0" w:firstRowFirstColumn="0" w:firstRowLastColumn="0" w:lastRowFirstColumn="0" w:lastRowLastColumn="0"/>
              <w:rPr>
                <w:sz w:val="18"/>
                <w:szCs w:val="18"/>
              </w:rPr>
            </w:pPr>
            <w:r w:rsidRPr="00754D64">
              <w:rPr>
                <w:sz w:val="18"/>
                <w:szCs w:val="18"/>
              </w:rPr>
              <w:t>0</w:t>
            </w:r>
          </w:p>
        </w:tc>
      </w:tr>
    </w:tbl>
    <w:p w14:paraId="1657CEDB" w14:textId="13AFE764" w:rsidR="7388A156" w:rsidRPr="006B0C6C" w:rsidRDefault="7388A156">
      <w:r w:rsidRPr="006B0C6C">
        <w:br w:type="page"/>
      </w:r>
    </w:p>
    <w:p w14:paraId="1BA5EB92" w14:textId="523AFD3F" w:rsidR="116B01B6" w:rsidRPr="006B0C6C" w:rsidRDefault="116B01B6" w:rsidP="7388A156">
      <w:pPr>
        <w:pStyle w:val="Heading1SHS"/>
        <w:numPr>
          <w:ilvl w:val="0"/>
          <w:numId w:val="0"/>
        </w:numPr>
        <w:rPr>
          <w:rFonts w:eastAsia="Calibri" w:cs="Calibri"/>
          <w:bCs/>
          <w:highlight w:val="yellow"/>
        </w:rPr>
      </w:pPr>
      <w:bookmarkStart w:id="334" w:name="_Toc200617315"/>
      <w:r w:rsidRPr="006B0C6C">
        <w:t xml:space="preserve">Annex </w:t>
      </w:r>
      <w:r w:rsidR="0006473F">
        <w:t>9</w:t>
      </w:r>
      <w:r w:rsidRPr="006B0C6C">
        <w:t>: Estimate of VAHSI attributable proportion of total COVID-19 vaccine doses by country and year, 2021 and 2022</w:t>
      </w:r>
      <w:r w:rsidR="00367960" w:rsidRPr="006B0C6C">
        <w:rPr>
          <w:rStyle w:val="EndnoteReference"/>
          <w:b w:val="0"/>
          <w:color w:val="auto"/>
        </w:rPr>
        <w:endnoteReference w:id="21"/>
      </w:r>
      <w:bookmarkEnd w:id="334"/>
    </w:p>
    <w:p w14:paraId="27C47BA5" w14:textId="0B2354BE" w:rsidR="7388A156" w:rsidRPr="006B0C6C" w:rsidRDefault="7388A156" w:rsidP="7388A156"/>
    <w:tbl>
      <w:tblPr>
        <w:tblStyle w:val="SHSReportTable"/>
        <w:tblW w:w="0" w:type="auto"/>
        <w:tblLook w:val="04A0" w:firstRow="1" w:lastRow="0" w:firstColumn="1" w:lastColumn="0" w:noHBand="0" w:noVBand="1"/>
      </w:tblPr>
      <w:tblGrid>
        <w:gridCol w:w="1809"/>
        <w:gridCol w:w="1804"/>
        <w:gridCol w:w="1800"/>
        <w:gridCol w:w="1804"/>
        <w:gridCol w:w="1800"/>
      </w:tblGrid>
      <w:tr w:rsidR="7388A156" w:rsidRPr="00123E2D" w14:paraId="5CA0E62C" w14:textId="77777777" w:rsidTr="0047770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153ED589" w14:textId="0954ECD9" w:rsidR="7388A156" w:rsidRPr="006B0C6C" w:rsidRDefault="7388A156" w:rsidP="7388A156">
            <w:pPr>
              <w:spacing w:after="0"/>
            </w:pPr>
            <w:r w:rsidRPr="006B0C6C">
              <w:rPr>
                <w:rFonts w:ascii="Calibri" w:eastAsia="Calibri" w:hAnsi="Calibri" w:cs="Calibri"/>
              </w:rPr>
              <w:t>Country/Region</w:t>
            </w:r>
          </w:p>
        </w:tc>
        <w:tc>
          <w:tcPr>
            <w:tcW w:w="1812" w:type="dxa"/>
            <w:tcMar>
              <w:left w:w="108" w:type="dxa"/>
              <w:right w:w="108" w:type="dxa"/>
            </w:tcMar>
          </w:tcPr>
          <w:p w14:paraId="5368A766" w14:textId="5EE5EA07" w:rsidR="7388A156" w:rsidRPr="006B0C6C"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vertAlign w:val="superscript"/>
              </w:rPr>
            </w:pPr>
            <w:r w:rsidRPr="006B0C6C">
              <w:rPr>
                <w:rFonts w:ascii="Calibri" w:eastAsia="Calibri" w:hAnsi="Calibri" w:cs="Calibri"/>
              </w:rPr>
              <w:t>Total COVID-19 doses administered 2021</w:t>
            </w:r>
            <w:r w:rsidRPr="006B0C6C">
              <w:rPr>
                <w:rFonts w:ascii="Calibri" w:eastAsia="Calibri" w:hAnsi="Calibri" w:cs="Calibri"/>
                <w:vertAlign w:val="superscript"/>
              </w:rPr>
              <w:t>1</w:t>
            </w:r>
          </w:p>
        </w:tc>
        <w:tc>
          <w:tcPr>
            <w:tcW w:w="1812" w:type="dxa"/>
            <w:tcMar>
              <w:left w:w="108" w:type="dxa"/>
              <w:right w:w="108" w:type="dxa"/>
            </w:tcMar>
          </w:tcPr>
          <w:p w14:paraId="3D9D3719" w14:textId="33230A6C" w:rsidR="7388A156" w:rsidRPr="006B0C6C"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6B0C6C">
              <w:rPr>
                <w:rFonts w:ascii="Calibri" w:eastAsia="Calibri" w:hAnsi="Calibri" w:cs="Calibri"/>
              </w:rPr>
              <w:t>Estimated VAHSI proportion of 2021 total (%)</w:t>
            </w:r>
          </w:p>
        </w:tc>
        <w:tc>
          <w:tcPr>
            <w:tcW w:w="1812" w:type="dxa"/>
            <w:tcMar>
              <w:left w:w="108" w:type="dxa"/>
              <w:right w:w="108" w:type="dxa"/>
            </w:tcMar>
          </w:tcPr>
          <w:p w14:paraId="2D1A2DBF" w14:textId="7086D31B" w:rsidR="7388A156" w:rsidRPr="006B0C6C" w:rsidRDefault="7388A156" w:rsidP="7388A156">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vertAlign w:val="superscript"/>
              </w:rPr>
            </w:pPr>
            <w:r w:rsidRPr="006B0C6C">
              <w:rPr>
                <w:rFonts w:ascii="Calibri" w:eastAsia="Calibri" w:hAnsi="Calibri" w:cs="Calibri"/>
              </w:rPr>
              <w:t>Total COVID-19 doses administered 2022</w:t>
            </w:r>
            <w:r w:rsidRPr="006B0C6C">
              <w:rPr>
                <w:rFonts w:ascii="Calibri" w:eastAsia="Calibri" w:hAnsi="Calibri" w:cs="Calibri"/>
                <w:vertAlign w:val="superscript"/>
              </w:rPr>
              <w:t>1</w:t>
            </w:r>
          </w:p>
        </w:tc>
        <w:tc>
          <w:tcPr>
            <w:tcW w:w="1812" w:type="dxa"/>
            <w:tcMar>
              <w:left w:w="108" w:type="dxa"/>
              <w:right w:w="108" w:type="dxa"/>
            </w:tcMar>
          </w:tcPr>
          <w:p w14:paraId="2801CF34" w14:textId="6D942E95" w:rsidR="7388A156" w:rsidRPr="006B0C6C" w:rsidRDefault="7388A156" w:rsidP="7388A156">
            <w:pPr>
              <w:spacing w:after="0"/>
              <w:cnfStyle w:val="100000000000" w:firstRow="1" w:lastRow="0" w:firstColumn="0" w:lastColumn="0" w:oddVBand="0" w:evenVBand="0" w:oddHBand="0" w:evenHBand="0" w:firstRowFirstColumn="0" w:firstRowLastColumn="0" w:lastRowFirstColumn="0" w:lastRowLastColumn="0"/>
            </w:pPr>
            <w:r w:rsidRPr="006B0C6C">
              <w:rPr>
                <w:rFonts w:ascii="Calibri" w:eastAsia="Calibri" w:hAnsi="Calibri" w:cs="Calibri"/>
              </w:rPr>
              <w:t>Estimated VAHSI proportion of 2022 total (%)</w:t>
            </w:r>
          </w:p>
        </w:tc>
      </w:tr>
      <w:tr w:rsidR="7388A156" w:rsidRPr="00123E2D" w14:paraId="786011E7" w14:textId="77777777" w:rsidTr="78860E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610C688D" w14:textId="381E6E05" w:rsidR="7388A156" w:rsidRPr="006B0C6C" w:rsidRDefault="7388A156" w:rsidP="7388A156">
            <w:pPr>
              <w:spacing w:after="0"/>
            </w:pPr>
            <w:r w:rsidRPr="006B0C6C">
              <w:rPr>
                <w:rFonts w:ascii="Calibri" w:eastAsia="Calibri" w:hAnsi="Calibri" w:cs="Calibri"/>
              </w:rPr>
              <w:t>Fiji</w:t>
            </w:r>
          </w:p>
        </w:tc>
        <w:tc>
          <w:tcPr>
            <w:tcW w:w="1812" w:type="dxa"/>
            <w:tcMar>
              <w:left w:w="108" w:type="dxa"/>
              <w:right w:w="108" w:type="dxa"/>
            </w:tcMar>
          </w:tcPr>
          <w:p w14:paraId="2CB37FF4" w14:textId="552DAEFA"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1,270,000</w:t>
            </w:r>
          </w:p>
        </w:tc>
        <w:tc>
          <w:tcPr>
            <w:tcW w:w="1812" w:type="dxa"/>
            <w:tcMar>
              <w:left w:w="108" w:type="dxa"/>
              <w:right w:w="108" w:type="dxa"/>
            </w:tcMar>
          </w:tcPr>
          <w:p w14:paraId="6992D5AC" w14:textId="31952C2B"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85</w:t>
            </w:r>
          </w:p>
        </w:tc>
        <w:tc>
          <w:tcPr>
            <w:tcW w:w="1812" w:type="dxa"/>
            <w:tcMar>
              <w:left w:w="108" w:type="dxa"/>
              <w:right w:w="108" w:type="dxa"/>
            </w:tcMar>
          </w:tcPr>
          <w:p w14:paraId="14373447" w14:textId="2CB6B16C"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280,282</w:t>
            </w:r>
          </w:p>
        </w:tc>
        <w:tc>
          <w:tcPr>
            <w:tcW w:w="1812" w:type="dxa"/>
            <w:tcMar>
              <w:left w:w="108" w:type="dxa"/>
              <w:right w:w="108" w:type="dxa"/>
            </w:tcMar>
          </w:tcPr>
          <w:p w14:paraId="78545576" w14:textId="3F2E30B9"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190</w:t>
            </w:r>
          </w:p>
        </w:tc>
      </w:tr>
      <w:tr w:rsidR="7388A156" w:rsidRPr="00123E2D" w14:paraId="4F5E37AA" w14:textId="77777777" w:rsidTr="78860EF6">
        <w:trPr>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1C572037" w14:textId="29204397" w:rsidR="7388A156" w:rsidRPr="006B0C6C" w:rsidRDefault="7388A156" w:rsidP="7388A156">
            <w:pPr>
              <w:spacing w:after="0"/>
            </w:pPr>
            <w:r w:rsidRPr="006B0C6C">
              <w:rPr>
                <w:rFonts w:ascii="Calibri" w:eastAsia="Calibri" w:hAnsi="Calibri" w:cs="Calibri"/>
              </w:rPr>
              <w:t>Kiribati</w:t>
            </w:r>
          </w:p>
        </w:tc>
        <w:tc>
          <w:tcPr>
            <w:tcW w:w="1812" w:type="dxa"/>
            <w:tcMar>
              <w:left w:w="108" w:type="dxa"/>
              <w:right w:w="108" w:type="dxa"/>
            </w:tcMar>
          </w:tcPr>
          <w:p w14:paraId="008E641C" w14:textId="375528F1"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102,001</w:t>
            </w:r>
          </w:p>
        </w:tc>
        <w:tc>
          <w:tcPr>
            <w:tcW w:w="1812" w:type="dxa"/>
            <w:tcMar>
              <w:left w:w="108" w:type="dxa"/>
              <w:right w:w="108" w:type="dxa"/>
            </w:tcMar>
          </w:tcPr>
          <w:p w14:paraId="2F5FBC3C" w14:textId="25CEA42C"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21</w:t>
            </w:r>
          </w:p>
        </w:tc>
        <w:tc>
          <w:tcPr>
            <w:tcW w:w="1812" w:type="dxa"/>
            <w:tcMar>
              <w:left w:w="108" w:type="dxa"/>
              <w:right w:w="108" w:type="dxa"/>
            </w:tcMar>
          </w:tcPr>
          <w:p w14:paraId="7A06BBB2" w14:textId="23D6618F"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102,778</w:t>
            </w:r>
          </w:p>
        </w:tc>
        <w:tc>
          <w:tcPr>
            <w:tcW w:w="1812" w:type="dxa"/>
            <w:tcMar>
              <w:left w:w="108" w:type="dxa"/>
              <w:right w:w="108" w:type="dxa"/>
            </w:tcMar>
          </w:tcPr>
          <w:p w14:paraId="5A7ADFE0" w14:textId="371B65EE"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29</w:t>
            </w:r>
          </w:p>
        </w:tc>
      </w:tr>
      <w:tr w:rsidR="7388A156" w:rsidRPr="00123E2D" w14:paraId="7521AABB" w14:textId="77777777" w:rsidTr="78860E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22AA799F" w14:textId="4F5B3553" w:rsidR="7388A156" w:rsidRPr="006B0C6C" w:rsidRDefault="7388A156" w:rsidP="7388A156">
            <w:pPr>
              <w:spacing w:after="0"/>
            </w:pPr>
            <w:r w:rsidRPr="006B0C6C">
              <w:rPr>
                <w:rFonts w:ascii="Calibri" w:eastAsia="Calibri" w:hAnsi="Calibri" w:cs="Calibri"/>
              </w:rPr>
              <w:t>Nauru</w:t>
            </w:r>
          </w:p>
        </w:tc>
        <w:tc>
          <w:tcPr>
            <w:tcW w:w="1812" w:type="dxa"/>
            <w:tcMar>
              <w:left w:w="108" w:type="dxa"/>
              <w:right w:w="108" w:type="dxa"/>
            </w:tcMar>
          </w:tcPr>
          <w:p w14:paraId="46D022CF" w14:textId="609EE419"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15,094</w:t>
            </w:r>
          </w:p>
        </w:tc>
        <w:tc>
          <w:tcPr>
            <w:tcW w:w="1812" w:type="dxa"/>
            <w:tcMar>
              <w:left w:w="108" w:type="dxa"/>
              <w:right w:w="108" w:type="dxa"/>
            </w:tcMar>
          </w:tcPr>
          <w:p w14:paraId="6643CCFE" w14:textId="04CCC247"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3</w:t>
            </w:r>
          </w:p>
        </w:tc>
        <w:tc>
          <w:tcPr>
            <w:tcW w:w="1812" w:type="dxa"/>
            <w:tcMar>
              <w:left w:w="108" w:type="dxa"/>
              <w:right w:w="108" w:type="dxa"/>
            </w:tcMar>
          </w:tcPr>
          <w:p w14:paraId="17ECC958" w14:textId="7F7BA4F2"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14,236</w:t>
            </w:r>
          </w:p>
        </w:tc>
        <w:tc>
          <w:tcPr>
            <w:tcW w:w="1812" w:type="dxa"/>
            <w:tcMar>
              <w:left w:w="108" w:type="dxa"/>
              <w:right w:w="108" w:type="dxa"/>
            </w:tcMar>
          </w:tcPr>
          <w:p w14:paraId="5F0A3748" w14:textId="7A266180"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132</w:t>
            </w:r>
          </w:p>
        </w:tc>
      </w:tr>
      <w:tr w:rsidR="7388A156" w:rsidRPr="00123E2D" w14:paraId="52FDA674" w14:textId="77777777" w:rsidTr="78860EF6">
        <w:trPr>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7DBBE530" w14:textId="3180411E" w:rsidR="7388A156" w:rsidRPr="006B0C6C" w:rsidRDefault="7388A156" w:rsidP="7388A156">
            <w:pPr>
              <w:spacing w:after="0"/>
            </w:pPr>
            <w:r w:rsidRPr="006B0C6C">
              <w:rPr>
                <w:rFonts w:ascii="Calibri" w:eastAsia="Calibri" w:hAnsi="Calibri" w:cs="Calibri"/>
              </w:rPr>
              <w:t>Samoa</w:t>
            </w:r>
          </w:p>
        </w:tc>
        <w:tc>
          <w:tcPr>
            <w:tcW w:w="1812" w:type="dxa"/>
            <w:tcMar>
              <w:left w:w="108" w:type="dxa"/>
              <w:right w:w="108" w:type="dxa"/>
            </w:tcMar>
          </w:tcPr>
          <w:p w14:paraId="0DB7919E" w14:textId="66AAC7C4"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256,403</w:t>
            </w:r>
          </w:p>
        </w:tc>
        <w:tc>
          <w:tcPr>
            <w:tcW w:w="1812" w:type="dxa"/>
            <w:tcMar>
              <w:left w:w="108" w:type="dxa"/>
              <w:right w:w="108" w:type="dxa"/>
            </w:tcMar>
          </w:tcPr>
          <w:p w14:paraId="1C0E0302" w14:textId="14747973"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20</w:t>
            </w:r>
          </w:p>
        </w:tc>
        <w:tc>
          <w:tcPr>
            <w:tcW w:w="1812" w:type="dxa"/>
            <w:tcMar>
              <w:left w:w="108" w:type="dxa"/>
              <w:right w:w="108" w:type="dxa"/>
            </w:tcMar>
          </w:tcPr>
          <w:p w14:paraId="28537EDB" w14:textId="4D314511"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185,532</w:t>
            </w:r>
          </w:p>
        </w:tc>
        <w:tc>
          <w:tcPr>
            <w:tcW w:w="1812" w:type="dxa"/>
            <w:tcMar>
              <w:left w:w="108" w:type="dxa"/>
              <w:right w:w="108" w:type="dxa"/>
            </w:tcMar>
          </w:tcPr>
          <w:p w14:paraId="086FBB80" w14:textId="4F422D33"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66</w:t>
            </w:r>
          </w:p>
        </w:tc>
      </w:tr>
      <w:tr w:rsidR="7388A156" w:rsidRPr="00123E2D" w14:paraId="588D072F" w14:textId="77777777" w:rsidTr="78860E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035714CB" w14:textId="63F98E22" w:rsidR="7388A156" w:rsidRPr="006B0C6C" w:rsidRDefault="7388A156" w:rsidP="7388A156">
            <w:pPr>
              <w:spacing w:after="0"/>
            </w:pPr>
            <w:r w:rsidRPr="006B0C6C">
              <w:rPr>
                <w:rFonts w:ascii="Calibri" w:eastAsia="Calibri" w:hAnsi="Calibri" w:cs="Calibri"/>
              </w:rPr>
              <w:t>Solomon Islands</w:t>
            </w:r>
          </w:p>
        </w:tc>
        <w:tc>
          <w:tcPr>
            <w:tcW w:w="1812" w:type="dxa"/>
            <w:tcMar>
              <w:left w:w="108" w:type="dxa"/>
              <w:right w:w="108" w:type="dxa"/>
            </w:tcMar>
          </w:tcPr>
          <w:p w14:paraId="1A7FC55D" w14:textId="4356A23F"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243,402</w:t>
            </w:r>
          </w:p>
        </w:tc>
        <w:tc>
          <w:tcPr>
            <w:tcW w:w="1812" w:type="dxa"/>
            <w:tcMar>
              <w:left w:w="108" w:type="dxa"/>
              <w:right w:w="108" w:type="dxa"/>
            </w:tcMar>
          </w:tcPr>
          <w:p w14:paraId="02811E5E" w14:textId="75447E65"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108</w:t>
            </w:r>
          </w:p>
        </w:tc>
        <w:tc>
          <w:tcPr>
            <w:tcW w:w="1812" w:type="dxa"/>
            <w:tcMar>
              <w:left w:w="108" w:type="dxa"/>
              <w:right w:w="108" w:type="dxa"/>
            </w:tcMar>
          </w:tcPr>
          <w:p w14:paraId="308E26FD" w14:textId="3F9C17E3"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382,554</w:t>
            </w:r>
          </w:p>
        </w:tc>
        <w:tc>
          <w:tcPr>
            <w:tcW w:w="1812" w:type="dxa"/>
            <w:tcMar>
              <w:left w:w="108" w:type="dxa"/>
              <w:right w:w="108" w:type="dxa"/>
            </w:tcMar>
          </w:tcPr>
          <w:p w14:paraId="3CEE6933" w14:textId="5EBA18EA"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93</w:t>
            </w:r>
          </w:p>
        </w:tc>
      </w:tr>
      <w:tr w:rsidR="7388A156" w:rsidRPr="00123E2D" w14:paraId="5BDF73FF" w14:textId="77777777" w:rsidTr="78860EF6">
        <w:trPr>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601B917F" w14:textId="33DBE9C9" w:rsidR="7388A156" w:rsidRPr="006B0C6C" w:rsidRDefault="7388A156" w:rsidP="7388A156">
            <w:pPr>
              <w:spacing w:after="0"/>
            </w:pPr>
            <w:r w:rsidRPr="006B0C6C">
              <w:rPr>
                <w:rFonts w:ascii="Calibri" w:eastAsia="Calibri" w:hAnsi="Calibri" w:cs="Calibri"/>
              </w:rPr>
              <w:t>Tonga</w:t>
            </w:r>
          </w:p>
        </w:tc>
        <w:tc>
          <w:tcPr>
            <w:tcW w:w="1812" w:type="dxa"/>
            <w:tcMar>
              <w:left w:w="108" w:type="dxa"/>
              <w:right w:w="108" w:type="dxa"/>
            </w:tcMar>
          </w:tcPr>
          <w:p w14:paraId="4A95F27B" w14:textId="00F21B0B"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132,743</w:t>
            </w:r>
          </w:p>
        </w:tc>
        <w:tc>
          <w:tcPr>
            <w:tcW w:w="1812" w:type="dxa"/>
            <w:tcMar>
              <w:left w:w="108" w:type="dxa"/>
              <w:right w:w="108" w:type="dxa"/>
            </w:tcMar>
          </w:tcPr>
          <w:p w14:paraId="0D9C443D" w14:textId="23A779A9"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14</w:t>
            </w:r>
          </w:p>
        </w:tc>
        <w:tc>
          <w:tcPr>
            <w:tcW w:w="1812" w:type="dxa"/>
            <w:tcMar>
              <w:left w:w="108" w:type="dxa"/>
              <w:right w:w="108" w:type="dxa"/>
            </w:tcMar>
          </w:tcPr>
          <w:p w14:paraId="3397E889" w14:textId="5DDB1FFE"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67,620</w:t>
            </w:r>
          </w:p>
        </w:tc>
        <w:tc>
          <w:tcPr>
            <w:tcW w:w="1812" w:type="dxa"/>
            <w:tcMar>
              <w:left w:w="108" w:type="dxa"/>
              <w:right w:w="108" w:type="dxa"/>
            </w:tcMar>
          </w:tcPr>
          <w:p w14:paraId="6C0D5913" w14:textId="6478C189"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81</w:t>
            </w:r>
          </w:p>
        </w:tc>
      </w:tr>
      <w:tr w:rsidR="7388A156" w:rsidRPr="00123E2D" w14:paraId="3F799AC0" w14:textId="77777777" w:rsidTr="78860E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489DF5F8" w14:textId="4D194246" w:rsidR="7388A156" w:rsidRPr="006B0C6C" w:rsidRDefault="7388A156" w:rsidP="7388A156">
            <w:pPr>
              <w:spacing w:after="0"/>
            </w:pPr>
            <w:r w:rsidRPr="006B0C6C">
              <w:rPr>
                <w:rFonts w:ascii="Calibri" w:eastAsia="Calibri" w:hAnsi="Calibri" w:cs="Calibri"/>
              </w:rPr>
              <w:t>Tuvalu</w:t>
            </w:r>
          </w:p>
        </w:tc>
        <w:tc>
          <w:tcPr>
            <w:tcW w:w="1812" w:type="dxa"/>
            <w:tcMar>
              <w:left w:w="108" w:type="dxa"/>
              <w:right w:w="108" w:type="dxa"/>
            </w:tcMar>
          </w:tcPr>
          <w:p w14:paraId="54E3C89F" w14:textId="68C36BCD"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9,890</w:t>
            </w:r>
          </w:p>
        </w:tc>
        <w:tc>
          <w:tcPr>
            <w:tcW w:w="1812" w:type="dxa"/>
            <w:tcMar>
              <w:left w:w="108" w:type="dxa"/>
              <w:right w:w="108" w:type="dxa"/>
            </w:tcMar>
          </w:tcPr>
          <w:p w14:paraId="4AA58B64" w14:textId="5D4B4940"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87</w:t>
            </w:r>
          </w:p>
        </w:tc>
        <w:tc>
          <w:tcPr>
            <w:tcW w:w="1812" w:type="dxa"/>
            <w:tcMar>
              <w:left w:w="108" w:type="dxa"/>
              <w:right w:w="108" w:type="dxa"/>
            </w:tcMar>
          </w:tcPr>
          <w:p w14:paraId="7ABA79D9" w14:textId="665EEB44"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14,246</w:t>
            </w:r>
          </w:p>
        </w:tc>
        <w:tc>
          <w:tcPr>
            <w:tcW w:w="1812" w:type="dxa"/>
            <w:tcMar>
              <w:left w:w="108" w:type="dxa"/>
              <w:right w:w="108" w:type="dxa"/>
            </w:tcMar>
          </w:tcPr>
          <w:p w14:paraId="28A3831A" w14:textId="02003614"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84</w:t>
            </w:r>
          </w:p>
        </w:tc>
      </w:tr>
      <w:tr w:rsidR="7388A156" w:rsidRPr="00123E2D" w14:paraId="759F653D" w14:textId="77777777" w:rsidTr="78860EF6">
        <w:trPr>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410D8DC3" w14:textId="56BC1756" w:rsidR="7388A156" w:rsidRPr="006B0C6C" w:rsidRDefault="7388A156" w:rsidP="7388A156">
            <w:pPr>
              <w:spacing w:after="0"/>
            </w:pPr>
            <w:r w:rsidRPr="006B0C6C">
              <w:rPr>
                <w:rFonts w:ascii="Calibri" w:eastAsia="Calibri" w:hAnsi="Calibri" w:cs="Calibri"/>
              </w:rPr>
              <w:t>Vanuatu</w:t>
            </w:r>
          </w:p>
        </w:tc>
        <w:tc>
          <w:tcPr>
            <w:tcW w:w="1812" w:type="dxa"/>
            <w:tcMar>
              <w:left w:w="108" w:type="dxa"/>
              <w:right w:w="108" w:type="dxa"/>
            </w:tcMar>
          </w:tcPr>
          <w:p w14:paraId="714F1124" w14:textId="09FBC53A"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160,805</w:t>
            </w:r>
          </w:p>
        </w:tc>
        <w:tc>
          <w:tcPr>
            <w:tcW w:w="1812" w:type="dxa"/>
            <w:tcMar>
              <w:left w:w="108" w:type="dxa"/>
              <w:right w:w="108" w:type="dxa"/>
            </w:tcMar>
          </w:tcPr>
          <w:p w14:paraId="4E90226D" w14:textId="7856970F"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81</w:t>
            </w:r>
          </w:p>
        </w:tc>
        <w:tc>
          <w:tcPr>
            <w:tcW w:w="1812" w:type="dxa"/>
            <w:tcMar>
              <w:left w:w="108" w:type="dxa"/>
              <w:right w:w="108" w:type="dxa"/>
            </w:tcMar>
          </w:tcPr>
          <w:p w14:paraId="594522EC" w14:textId="64EE1B3E"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170,350</w:t>
            </w:r>
          </w:p>
        </w:tc>
        <w:tc>
          <w:tcPr>
            <w:tcW w:w="1812" w:type="dxa"/>
            <w:tcMar>
              <w:left w:w="108" w:type="dxa"/>
              <w:right w:w="108" w:type="dxa"/>
            </w:tcMar>
          </w:tcPr>
          <w:p w14:paraId="6525A2BA" w14:textId="0DE00B17"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18</w:t>
            </w:r>
          </w:p>
        </w:tc>
      </w:tr>
      <w:tr w:rsidR="7388A156" w:rsidRPr="00123E2D" w14:paraId="3310E5C8" w14:textId="77777777" w:rsidTr="78860E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485ED086" w14:textId="1AB70C87" w:rsidR="7388A156" w:rsidRPr="006B0C6C" w:rsidRDefault="7388A156" w:rsidP="7388A156">
            <w:pPr>
              <w:spacing w:after="0"/>
            </w:pPr>
            <w:r w:rsidRPr="006B0C6C">
              <w:rPr>
                <w:rFonts w:ascii="Calibri" w:eastAsia="Calibri" w:hAnsi="Calibri" w:cs="Calibri"/>
              </w:rPr>
              <w:t>Cambodia</w:t>
            </w:r>
          </w:p>
        </w:tc>
        <w:tc>
          <w:tcPr>
            <w:tcW w:w="1812" w:type="dxa"/>
            <w:tcMar>
              <w:left w:w="108" w:type="dxa"/>
              <w:right w:w="108" w:type="dxa"/>
            </w:tcMar>
          </w:tcPr>
          <w:p w14:paraId="2D842A00" w14:textId="1A010397"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30,460,000</w:t>
            </w:r>
          </w:p>
        </w:tc>
        <w:tc>
          <w:tcPr>
            <w:tcW w:w="1812" w:type="dxa"/>
            <w:tcMar>
              <w:left w:w="108" w:type="dxa"/>
              <w:right w:w="108" w:type="dxa"/>
            </w:tcMar>
          </w:tcPr>
          <w:p w14:paraId="37D9EF04" w14:textId="630293ED"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8</w:t>
            </w:r>
          </w:p>
        </w:tc>
        <w:tc>
          <w:tcPr>
            <w:tcW w:w="1812" w:type="dxa"/>
            <w:tcMar>
              <w:left w:w="108" w:type="dxa"/>
              <w:right w:w="108" w:type="dxa"/>
            </w:tcMar>
          </w:tcPr>
          <w:p w14:paraId="0D13FCF9" w14:textId="5F3977BE"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14,770,000</w:t>
            </w:r>
          </w:p>
        </w:tc>
        <w:tc>
          <w:tcPr>
            <w:tcW w:w="1812" w:type="dxa"/>
            <w:tcMar>
              <w:left w:w="108" w:type="dxa"/>
              <w:right w:w="108" w:type="dxa"/>
            </w:tcMar>
          </w:tcPr>
          <w:p w14:paraId="4082661B" w14:textId="2E456BFB"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3</w:t>
            </w:r>
          </w:p>
        </w:tc>
      </w:tr>
      <w:tr w:rsidR="7388A156" w:rsidRPr="00123E2D" w14:paraId="60D5863F" w14:textId="77777777" w:rsidTr="78860EF6">
        <w:trPr>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5F7EC9AB" w14:textId="467F0AEB" w:rsidR="7388A156" w:rsidRPr="006B0C6C" w:rsidRDefault="7388A156" w:rsidP="7388A156">
            <w:pPr>
              <w:spacing w:after="0"/>
            </w:pPr>
            <w:r w:rsidRPr="006B0C6C">
              <w:rPr>
                <w:rFonts w:ascii="Calibri" w:eastAsia="Calibri" w:hAnsi="Calibri" w:cs="Calibri"/>
              </w:rPr>
              <w:t>Indonesia</w:t>
            </w:r>
          </w:p>
        </w:tc>
        <w:tc>
          <w:tcPr>
            <w:tcW w:w="1812" w:type="dxa"/>
            <w:tcMar>
              <w:left w:w="108" w:type="dxa"/>
              <w:right w:w="108" w:type="dxa"/>
            </w:tcMar>
          </w:tcPr>
          <w:p w14:paraId="37650549" w14:textId="24715ECD"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273,020,000</w:t>
            </w:r>
          </w:p>
        </w:tc>
        <w:tc>
          <w:tcPr>
            <w:tcW w:w="1812" w:type="dxa"/>
            <w:tcMar>
              <w:left w:w="108" w:type="dxa"/>
              <w:right w:w="108" w:type="dxa"/>
            </w:tcMar>
          </w:tcPr>
          <w:p w14:paraId="1271A488" w14:textId="56BC6D63"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2</w:t>
            </w:r>
          </w:p>
        </w:tc>
        <w:tc>
          <w:tcPr>
            <w:tcW w:w="1812" w:type="dxa"/>
            <w:tcMar>
              <w:left w:w="108" w:type="dxa"/>
              <w:right w:w="108" w:type="dxa"/>
            </w:tcMar>
          </w:tcPr>
          <w:p w14:paraId="69106ADA" w14:textId="006EB33C"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170,560,000</w:t>
            </w:r>
          </w:p>
        </w:tc>
        <w:tc>
          <w:tcPr>
            <w:tcW w:w="1812" w:type="dxa"/>
            <w:tcMar>
              <w:left w:w="108" w:type="dxa"/>
              <w:right w:w="108" w:type="dxa"/>
            </w:tcMar>
          </w:tcPr>
          <w:p w14:paraId="601B3DB8" w14:textId="7E952267"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2</w:t>
            </w:r>
          </w:p>
        </w:tc>
      </w:tr>
      <w:tr w:rsidR="7388A156" w:rsidRPr="00123E2D" w14:paraId="42307BAA" w14:textId="77777777" w:rsidTr="78860E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178262F2" w14:textId="7EE9C11C" w:rsidR="7388A156" w:rsidRPr="006B0C6C" w:rsidRDefault="7388A156" w:rsidP="7388A156">
            <w:pPr>
              <w:spacing w:after="0"/>
            </w:pPr>
            <w:r w:rsidRPr="006B0C6C">
              <w:rPr>
                <w:rFonts w:ascii="Calibri" w:eastAsia="Calibri" w:hAnsi="Calibri" w:cs="Calibri"/>
              </w:rPr>
              <w:t>Laos</w:t>
            </w:r>
          </w:p>
        </w:tc>
        <w:tc>
          <w:tcPr>
            <w:tcW w:w="1812" w:type="dxa"/>
            <w:tcMar>
              <w:left w:w="108" w:type="dxa"/>
              <w:right w:w="108" w:type="dxa"/>
            </w:tcMar>
          </w:tcPr>
          <w:p w14:paraId="7EA62C66" w14:textId="1A86AD91"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7,130,000</w:t>
            </w:r>
          </w:p>
        </w:tc>
        <w:tc>
          <w:tcPr>
            <w:tcW w:w="1812" w:type="dxa"/>
            <w:tcMar>
              <w:left w:w="108" w:type="dxa"/>
              <w:right w:w="108" w:type="dxa"/>
            </w:tcMar>
          </w:tcPr>
          <w:p w14:paraId="7069DA89" w14:textId="4FE6F23F"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w:t>
            </w:r>
          </w:p>
        </w:tc>
        <w:tc>
          <w:tcPr>
            <w:tcW w:w="1812" w:type="dxa"/>
            <w:tcMar>
              <w:left w:w="108" w:type="dxa"/>
              <w:right w:w="108" w:type="dxa"/>
            </w:tcMar>
          </w:tcPr>
          <w:p w14:paraId="0DC2DF88" w14:textId="3AD92A69"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3,980,000</w:t>
            </w:r>
          </w:p>
        </w:tc>
        <w:tc>
          <w:tcPr>
            <w:tcW w:w="1812" w:type="dxa"/>
            <w:tcMar>
              <w:left w:w="108" w:type="dxa"/>
              <w:right w:w="108" w:type="dxa"/>
            </w:tcMar>
          </w:tcPr>
          <w:p w14:paraId="156E9A67" w14:textId="012E6F8D"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35</w:t>
            </w:r>
          </w:p>
        </w:tc>
      </w:tr>
      <w:tr w:rsidR="7388A156" w:rsidRPr="00123E2D" w14:paraId="4E5EBA6F" w14:textId="77777777" w:rsidTr="78860EF6">
        <w:trPr>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463BD0EA" w14:textId="51EECD61" w:rsidR="7388A156" w:rsidRPr="006B0C6C" w:rsidRDefault="7388A156" w:rsidP="7388A156">
            <w:pPr>
              <w:spacing w:after="0"/>
            </w:pPr>
            <w:r w:rsidRPr="006B0C6C">
              <w:rPr>
                <w:rFonts w:ascii="Calibri" w:eastAsia="Calibri" w:hAnsi="Calibri" w:cs="Calibri"/>
              </w:rPr>
              <w:t>PNG</w:t>
            </w:r>
          </w:p>
        </w:tc>
        <w:tc>
          <w:tcPr>
            <w:tcW w:w="1812" w:type="dxa"/>
            <w:tcMar>
              <w:left w:w="108" w:type="dxa"/>
              <w:right w:w="108" w:type="dxa"/>
            </w:tcMar>
          </w:tcPr>
          <w:p w14:paraId="2AEF4D79" w14:textId="0FFAF097"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509,072</w:t>
            </w:r>
          </w:p>
        </w:tc>
        <w:tc>
          <w:tcPr>
            <w:tcW w:w="1812" w:type="dxa"/>
            <w:tcMar>
              <w:left w:w="108" w:type="dxa"/>
              <w:right w:w="108" w:type="dxa"/>
            </w:tcMar>
          </w:tcPr>
          <w:p w14:paraId="34F7BB5C" w14:textId="5E9D8096"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40</w:t>
            </w:r>
          </w:p>
        </w:tc>
        <w:tc>
          <w:tcPr>
            <w:tcW w:w="1812" w:type="dxa"/>
            <w:tcMar>
              <w:left w:w="108" w:type="dxa"/>
              <w:right w:w="108" w:type="dxa"/>
            </w:tcMar>
          </w:tcPr>
          <w:p w14:paraId="2ADCF975" w14:textId="10846459"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201,414</w:t>
            </w:r>
          </w:p>
        </w:tc>
        <w:tc>
          <w:tcPr>
            <w:tcW w:w="1812" w:type="dxa"/>
            <w:tcMar>
              <w:left w:w="108" w:type="dxa"/>
              <w:right w:w="108" w:type="dxa"/>
            </w:tcMar>
          </w:tcPr>
          <w:p w14:paraId="4C1E4B18" w14:textId="2F79484C"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65</w:t>
            </w:r>
          </w:p>
        </w:tc>
      </w:tr>
      <w:tr w:rsidR="7388A156" w:rsidRPr="00123E2D" w14:paraId="3B295E61" w14:textId="77777777" w:rsidTr="78860E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288AC59F" w14:textId="7BC53E56" w:rsidR="7388A156" w:rsidRPr="006B0C6C" w:rsidRDefault="7388A156" w:rsidP="7388A156">
            <w:pPr>
              <w:spacing w:after="0"/>
            </w:pPr>
            <w:r w:rsidRPr="006B0C6C">
              <w:rPr>
                <w:rFonts w:ascii="Calibri" w:eastAsia="Calibri" w:hAnsi="Calibri" w:cs="Calibri"/>
              </w:rPr>
              <w:t>Philippines</w:t>
            </w:r>
          </w:p>
        </w:tc>
        <w:tc>
          <w:tcPr>
            <w:tcW w:w="1812" w:type="dxa"/>
            <w:tcMar>
              <w:left w:w="108" w:type="dxa"/>
              <w:right w:w="108" w:type="dxa"/>
            </w:tcMar>
          </w:tcPr>
          <w:p w14:paraId="04234AD3" w14:textId="3E894CCD"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108,850,000</w:t>
            </w:r>
          </w:p>
        </w:tc>
        <w:tc>
          <w:tcPr>
            <w:tcW w:w="1812" w:type="dxa"/>
            <w:tcMar>
              <w:left w:w="108" w:type="dxa"/>
              <w:right w:w="108" w:type="dxa"/>
            </w:tcMar>
          </w:tcPr>
          <w:p w14:paraId="640677AC" w14:textId="1A6EF5CE"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w:t>
            </w:r>
          </w:p>
        </w:tc>
        <w:tc>
          <w:tcPr>
            <w:tcW w:w="1812" w:type="dxa"/>
            <w:tcMar>
              <w:left w:w="108" w:type="dxa"/>
              <w:right w:w="108" w:type="dxa"/>
            </w:tcMar>
          </w:tcPr>
          <w:p w14:paraId="637F7BEF" w14:textId="3F42C958"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60,950,000</w:t>
            </w:r>
          </w:p>
        </w:tc>
        <w:tc>
          <w:tcPr>
            <w:tcW w:w="1812" w:type="dxa"/>
            <w:tcMar>
              <w:left w:w="108" w:type="dxa"/>
              <w:right w:w="108" w:type="dxa"/>
            </w:tcMar>
          </w:tcPr>
          <w:p w14:paraId="5238C113" w14:textId="1EFB122C"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12</w:t>
            </w:r>
          </w:p>
        </w:tc>
      </w:tr>
      <w:tr w:rsidR="7388A156" w:rsidRPr="00123E2D" w14:paraId="2459A8D8" w14:textId="77777777" w:rsidTr="78860EF6">
        <w:trPr>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7ECAEF85" w14:textId="0ACB90F2" w:rsidR="7388A156" w:rsidRPr="006B0C6C" w:rsidRDefault="7388A156" w:rsidP="7388A156">
            <w:pPr>
              <w:spacing w:after="0"/>
            </w:pPr>
            <w:r w:rsidRPr="006B0C6C">
              <w:rPr>
                <w:rFonts w:ascii="Calibri" w:eastAsia="Calibri" w:hAnsi="Calibri" w:cs="Calibri"/>
              </w:rPr>
              <w:t>Thailand</w:t>
            </w:r>
          </w:p>
        </w:tc>
        <w:tc>
          <w:tcPr>
            <w:tcW w:w="1812" w:type="dxa"/>
            <w:tcMar>
              <w:left w:w="108" w:type="dxa"/>
              <w:right w:w="108" w:type="dxa"/>
            </w:tcMar>
          </w:tcPr>
          <w:p w14:paraId="46E55AE4" w14:textId="3530148B" w:rsidR="7388A156" w:rsidRPr="006B0C6C" w:rsidRDefault="00E8051E" w:rsidP="7388A156">
            <w:pPr>
              <w:spacing w:after="0"/>
              <w:jc w:val="right"/>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0</w:t>
            </w:r>
            <w:r w:rsidR="7388A156" w:rsidRPr="006B0C6C">
              <w:rPr>
                <w:rFonts w:ascii="Calibri" w:eastAsia="Calibri" w:hAnsi="Calibri" w:cs="Calibri"/>
              </w:rPr>
              <w:t xml:space="preserve"> </w:t>
            </w:r>
          </w:p>
        </w:tc>
        <w:tc>
          <w:tcPr>
            <w:tcW w:w="1812" w:type="dxa"/>
            <w:tcMar>
              <w:left w:w="108" w:type="dxa"/>
              <w:right w:w="108" w:type="dxa"/>
            </w:tcMar>
          </w:tcPr>
          <w:p w14:paraId="2D217F90" w14:textId="216BD8E9" w:rsidR="7388A156" w:rsidRPr="006B0C6C" w:rsidRDefault="00E8051E" w:rsidP="7388A156">
            <w:pPr>
              <w:spacing w:after="0"/>
              <w:jc w:val="right"/>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0</w:t>
            </w:r>
          </w:p>
        </w:tc>
        <w:tc>
          <w:tcPr>
            <w:tcW w:w="1812" w:type="dxa"/>
            <w:tcMar>
              <w:left w:w="108" w:type="dxa"/>
              <w:right w:w="108" w:type="dxa"/>
            </w:tcMar>
          </w:tcPr>
          <w:p w14:paraId="460538FC" w14:textId="134C477F"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37,440,000</w:t>
            </w:r>
          </w:p>
        </w:tc>
        <w:tc>
          <w:tcPr>
            <w:tcW w:w="1812" w:type="dxa"/>
            <w:tcMar>
              <w:left w:w="108" w:type="dxa"/>
              <w:right w:w="108" w:type="dxa"/>
            </w:tcMar>
          </w:tcPr>
          <w:p w14:paraId="32633A52" w14:textId="112FD68B"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w:t>
            </w:r>
          </w:p>
        </w:tc>
      </w:tr>
      <w:tr w:rsidR="7388A156" w:rsidRPr="00123E2D" w14:paraId="1DCCE71E" w14:textId="77777777" w:rsidTr="78860E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6FBE81AF" w14:textId="5932F655" w:rsidR="7388A156" w:rsidRPr="006B0C6C" w:rsidRDefault="7388A156" w:rsidP="7388A156">
            <w:pPr>
              <w:spacing w:after="0"/>
            </w:pPr>
            <w:r w:rsidRPr="006B0C6C">
              <w:rPr>
                <w:rFonts w:ascii="Calibri" w:eastAsia="Calibri" w:hAnsi="Calibri" w:cs="Calibri"/>
              </w:rPr>
              <w:t>Timor-Leste</w:t>
            </w:r>
          </w:p>
        </w:tc>
        <w:tc>
          <w:tcPr>
            <w:tcW w:w="1812" w:type="dxa"/>
            <w:tcMar>
              <w:left w:w="108" w:type="dxa"/>
              <w:right w:w="108" w:type="dxa"/>
            </w:tcMar>
          </w:tcPr>
          <w:p w14:paraId="774DBCFE" w14:textId="70B4D969"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1,200,000</w:t>
            </w:r>
          </w:p>
        </w:tc>
        <w:tc>
          <w:tcPr>
            <w:tcW w:w="1812" w:type="dxa"/>
            <w:tcMar>
              <w:left w:w="108" w:type="dxa"/>
              <w:right w:w="108" w:type="dxa"/>
            </w:tcMar>
          </w:tcPr>
          <w:p w14:paraId="244735F0" w14:textId="4ACB5649"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65</w:t>
            </w:r>
          </w:p>
        </w:tc>
        <w:tc>
          <w:tcPr>
            <w:tcW w:w="1812" w:type="dxa"/>
            <w:tcMar>
              <w:left w:w="108" w:type="dxa"/>
              <w:right w:w="108" w:type="dxa"/>
            </w:tcMar>
          </w:tcPr>
          <w:p w14:paraId="205E0721" w14:textId="5F30C28D"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778,513</w:t>
            </w:r>
          </w:p>
        </w:tc>
        <w:tc>
          <w:tcPr>
            <w:tcW w:w="1812" w:type="dxa"/>
            <w:tcMar>
              <w:left w:w="108" w:type="dxa"/>
              <w:right w:w="108" w:type="dxa"/>
            </w:tcMar>
          </w:tcPr>
          <w:p w14:paraId="761A9AD9" w14:textId="07B1A407"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53</w:t>
            </w:r>
          </w:p>
        </w:tc>
      </w:tr>
      <w:tr w:rsidR="7388A156" w:rsidRPr="00123E2D" w14:paraId="095CCB70" w14:textId="77777777" w:rsidTr="78860EF6">
        <w:trPr>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553288B9" w14:textId="6CBDB389" w:rsidR="7388A156" w:rsidRPr="006B0C6C" w:rsidRDefault="7388A156" w:rsidP="7388A156">
            <w:pPr>
              <w:spacing w:after="0"/>
            </w:pPr>
            <w:r w:rsidRPr="006B0C6C">
              <w:rPr>
                <w:rFonts w:ascii="Calibri" w:eastAsia="Calibri" w:hAnsi="Calibri" w:cs="Calibri"/>
              </w:rPr>
              <w:t>Vietnam</w:t>
            </w:r>
          </w:p>
        </w:tc>
        <w:tc>
          <w:tcPr>
            <w:tcW w:w="1812" w:type="dxa"/>
            <w:tcMar>
              <w:left w:w="108" w:type="dxa"/>
              <w:right w:w="108" w:type="dxa"/>
            </w:tcMar>
          </w:tcPr>
          <w:p w14:paraId="29FFC99D" w14:textId="6C721F1A"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151,820,000</w:t>
            </w:r>
          </w:p>
        </w:tc>
        <w:tc>
          <w:tcPr>
            <w:tcW w:w="1812" w:type="dxa"/>
            <w:tcMar>
              <w:left w:w="108" w:type="dxa"/>
              <w:right w:w="108" w:type="dxa"/>
            </w:tcMar>
          </w:tcPr>
          <w:p w14:paraId="0DAFE513" w14:textId="41E2F3A0"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3</w:t>
            </w:r>
          </w:p>
        </w:tc>
        <w:tc>
          <w:tcPr>
            <w:tcW w:w="1812" w:type="dxa"/>
            <w:tcMar>
              <w:left w:w="108" w:type="dxa"/>
              <w:right w:w="108" w:type="dxa"/>
            </w:tcMar>
          </w:tcPr>
          <w:p w14:paraId="6F470A07" w14:textId="4537F904"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113,640,000</w:t>
            </w:r>
          </w:p>
        </w:tc>
        <w:tc>
          <w:tcPr>
            <w:tcW w:w="1812" w:type="dxa"/>
            <w:tcMar>
              <w:left w:w="108" w:type="dxa"/>
              <w:right w:w="108" w:type="dxa"/>
            </w:tcMar>
          </w:tcPr>
          <w:p w14:paraId="3CE550B6" w14:textId="0FCC5934"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20</w:t>
            </w:r>
          </w:p>
        </w:tc>
      </w:tr>
      <w:tr w:rsidR="7388A156" w:rsidRPr="00123E2D" w14:paraId="6AE7A127" w14:textId="77777777" w:rsidTr="78860E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3BE22445" w14:textId="76630CF2" w:rsidR="7388A156" w:rsidRPr="006B0C6C" w:rsidRDefault="7388A156" w:rsidP="7388A156">
            <w:pPr>
              <w:spacing w:after="0"/>
            </w:pPr>
            <w:r w:rsidRPr="006B0C6C">
              <w:rPr>
                <w:rFonts w:ascii="Calibri" w:eastAsia="Calibri" w:hAnsi="Calibri" w:cs="Calibri"/>
              </w:rPr>
              <w:t>Pacific</w:t>
            </w:r>
          </w:p>
        </w:tc>
        <w:tc>
          <w:tcPr>
            <w:tcW w:w="1812" w:type="dxa"/>
            <w:tcMar>
              <w:left w:w="108" w:type="dxa"/>
              <w:right w:w="108" w:type="dxa"/>
            </w:tcMar>
          </w:tcPr>
          <w:p w14:paraId="2125E200" w14:textId="4B8D8AF7"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vertAlign w:val="superscript"/>
              </w:rPr>
            </w:pPr>
            <w:r w:rsidRPr="006B0C6C">
              <w:rPr>
                <w:rFonts w:ascii="Calibri" w:eastAsia="Calibri" w:hAnsi="Calibri" w:cs="Calibri"/>
              </w:rPr>
              <w:t>2,190,338</w:t>
            </w:r>
            <w:r w:rsidRPr="006B0C6C">
              <w:rPr>
                <w:rFonts w:ascii="Calibri" w:eastAsia="Calibri" w:hAnsi="Calibri" w:cs="Calibri"/>
                <w:vertAlign w:val="superscript"/>
              </w:rPr>
              <w:t>2</w:t>
            </w:r>
          </w:p>
        </w:tc>
        <w:tc>
          <w:tcPr>
            <w:tcW w:w="1812" w:type="dxa"/>
            <w:tcMar>
              <w:left w:w="108" w:type="dxa"/>
              <w:right w:w="108" w:type="dxa"/>
            </w:tcMar>
          </w:tcPr>
          <w:p w14:paraId="4E7B365F" w14:textId="3438AE4A"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81</w:t>
            </w:r>
          </w:p>
        </w:tc>
        <w:tc>
          <w:tcPr>
            <w:tcW w:w="1812" w:type="dxa"/>
            <w:tcMar>
              <w:left w:w="108" w:type="dxa"/>
              <w:right w:w="108" w:type="dxa"/>
            </w:tcMar>
          </w:tcPr>
          <w:p w14:paraId="113D1D43" w14:textId="74BF8BAC"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vertAlign w:val="superscript"/>
              </w:rPr>
            </w:pPr>
            <w:r w:rsidRPr="006B0C6C">
              <w:rPr>
                <w:rFonts w:ascii="Calibri" w:eastAsia="Calibri" w:hAnsi="Calibri" w:cs="Calibri"/>
              </w:rPr>
              <w:t>1,217,598</w:t>
            </w:r>
            <w:r w:rsidRPr="006B0C6C">
              <w:rPr>
                <w:rFonts w:ascii="Calibri" w:eastAsia="Calibri" w:hAnsi="Calibri" w:cs="Calibri"/>
                <w:vertAlign w:val="superscript"/>
              </w:rPr>
              <w:t>2</w:t>
            </w:r>
          </w:p>
        </w:tc>
        <w:tc>
          <w:tcPr>
            <w:tcW w:w="1812" w:type="dxa"/>
            <w:tcMar>
              <w:left w:w="108" w:type="dxa"/>
              <w:right w:w="108" w:type="dxa"/>
            </w:tcMar>
          </w:tcPr>
          <w:p w14:paraId="5098A9E3" w14:textId="46FD6435" w:rsidR="7388A156" w:rsidRPr="006B0C6C" w:rsidRDefault="7388A156" w:rsidP="7388A156">
            <w:pPr>
              <w:spacing w:after="0"/>
              <w:jc w:val="right"/>
              <w:cnfStyle w:val="000000100000" w:firstRow="0" w:lastRow="0" w:firstColumn="0" w:lastColumn="0" w:oddVBand="0" w:evenVBand="0" w:oddHBand="1" w:evenHBand="0" w:firstRowFirstColumn="0" w:firstRowLastColumn="0" w:lastRowFirstColumn="0" w:lastRowLastColumn="0"/>
            </w:pPr>
            <w:r w:rsidRPr="006B0C6C">
              <w:rPr>
                <w:rFonts w:ascii="Calibri" w:eastAsia="Calibri" w:hAnsi="Calibri" w:cs="Calibri"/>
              </w:rPr>
              <w:t>106</w:t>
            </w:r>
          </w:p>
        </w:tc>
      </w:tr>
      <w:tr w:rsidR="7388A156" w:rsidRPr="00123E2D" w14:paraId="1304B928" w14:textId="77777777" w:rsidTr="78860EF6">
        <w:trPr>
          <w:trHeight w:val="300"/>
        </w:trPr>
        <w:tc>
          <w:tcPr>
            <w:cnfStyle w:val="001000000000" w:firstRow="0" w:lastRow="0" w:firstColumn="1" w:lastColumn="0" w:oddVBand="0" w:evenVBand="0" w:oddHBand="0" w:evenHBand="0" w:firstRowFirstColumn="0" w:firstRowLastColumn="0" w:lastRowFirstColumn="0" w:lastRowLastColumn="0"/>
            <w:tcW w:w="1812" w:type="dxa"/>
            <w:tcMar>
              <w:left w:w="108" w:type="dxa"/>
              <w:right w:w="108" w:type="dxa"/>
            </w:tcMar>
          </w:tcPr>
          <w:p w14:paraId="63CE3F5B" w14:textId="06990212" w:rsidR="7388A156" w:rsidRPr="006B0C6C" w:rsidRDefault="7388A156" w:rsidP="7388A156">
            <w:pPr>
              <w:spacing w:after="0"/>
            </w:pPr>
            <w:r w:rsidRPr="006B0C6C">
              <w:rPr>
                <w:rFonts w:ascii="Calibri" w:eastAsia="Calibri" w:hAnsi="Calibri" w:cs="Calibri"/>
              </w:rPr>
              <w:t>SEA</w:t>
            </w:r>
          </w:p>
        </w:tc>
        <w:tc>
          <w:tcPr>
            <w:tcW w:w="1812" w:type="dxa"/>
            <w:tcMar>
              <w:left w:w="108" w:type="dxa"/>
              <w:right w:w="108" w:type="dxa"/>
            </w:tcMar>
          </w:tcPr>
          <w:p w14:paraId="521484FA" w14:textId="184C1D12"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vertAlign w:val="superscript"/>
              </w:rPr>
            </w:pPr>
            <w:r w:rsidRPr="006B0C6C">
              <w:rPr>
                <w:rFonts w:ascii="Calibri" w:eastAsia="Calibri" w:hAnsi="Calibri" w:cs="Calibri"/>
              </w:rPr>
              <w:t>572,989,072</w:t>
            </w:r>
            <w:r w:rsidRPr="006B0C6C">
              <w:rPr>
                <w:rFonts w:ascii="Calibri" w:eastAsia="Calibri" w:hAnsi="Calibri" w:cs="Calibri"/>
                <w:vertAlign w:val="superscript"/>
              </w:rPr>
              <w:t>2</w:t>
            </w:r>
          </w:p>
        </w:tc>
        <w:tc>
          <w:tcPr>
            <w:tcW w:w="1812" w:type="dxa"/>
            <w:tcMar>
              <w:left w:w="108" w:type="dxa"/>
              <w:right w:w="108" w:type="dxa"/>
            </w:tcMar>
          </w:tcPr>
          <w:p w14:paraId="26E70F41" w14:textId="1AAADF35"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6B0C6C">
              <w:rPr>
                <w:rFonts w:ascii="Calibri" w:eastAsia="Calibri" w:hAnsi="Calibri" w:cs="Calibri"/>
              </w:rPr>
              <w:t>2</w:t>
            </w:r>
          </w:p>
        </w:tc>
        <w:tc>
          <w:tcPr>
            <w:tcW w:w="1812" w:type="dxa"/>
            <w:tcMar>
              <w:left w:w="108" w:type="dxa"/>
              <w:right w:w="108" w:type="dxa"/>
            </w:tcMar>
          </w:tcPr>
          <w:p w14:paraId="26752265" w14:textId="312AF7F1"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vertAlign w:val="superscript"/>
              </w:rPr>
            </w:pPr>
            <w:r w:rsidRPr="006B0C6C">
              <w:rPr>
                <w:rFonts w:ascii="Calibri" w:eastAsia="Calibri" w:hAnsi="Calibri" w:cs="Calibri"/>
              </w:rPr>
              <w:t>402,319,927</w:t>
            </w:r>
            <w:r w:rsidRPr="006B0C6C">
              <w:rPr>
                <w:rFonts w:ascii="Calibri" w:eastAsia="Calibri" w:hAnsi="Calibri" w:cs="Calibri"/>
                <w:vertAlign w:val="superscript"/>
              </w:rPr>
              <w:t>2</w:t>
            </w:r>
          </w:p>
        </w:tc>
        <w:tc>
          <w:tcPr>
            <w:tcW w:w="1812" w:type="dxa"/>
            <w:tcMar>
              <w:left w:w="108" w:type="dxa"/>
              <w:right w:w="108" w:type="dxa"/>
            </w:tcMar>
          </w:tcPr>
          <w:p w14:paraId="2462E874" w14:textId="22C9E080" w:rsidR="7388A156" w:rsidRPr="006B0C6C" w:rsidRDefault="7388A156" w:rsidP="7388A156">
            <w:pPr>
              <w:spacing w:after="0"/>
              <w:jc w:val="right"/>
              <w:cnfStyle w:val="000000000000" w:firstRow="0" w:lastRow="0" w:firstColumn="0" w:lastColumn="0" w:oddVBand="0" w:evenVBand="0" w:oddHBand="0" w:evenHBand="0" w:firstRowFirstColumn="0" w:firstRowLastColumn="0" w:lastRowFirstColumn="0" w:lastRowLastColumn="0"/>
            </w:pPr>
            <w:r w:rsidRPr="006B0C6C">
              <w:rPr>
                <w:rFonts w:ascii="Calibri" w:eastAsia="Calibri" w:hAnsi="Calibri" w:cs="Calibri"/>
              </w:rPr>
              <w:t>9</w:t>
            </w:r>
          </w:p>
        </w:tc>
      </w:tr>
    </w:tbl>
    <w:p w14:paraId="0F8B44DE" w14:textId="4E520C19" w:rsidR="5EB2BCB1" w:rsidRPr="006B0C6C" w:rsidRDefault="5EB2BCB1">
      <w:r w:rsidRPr="006B0C6C">
        <w:br w:type="page"/>
      </w:r>
    </w:p>
    <w:p w14:paraId="1FEB9DED" w14:textId="41A2DB52" w:rsidR="02867798" w:rsidRPr="006B0C6C" w:rsidRDefault="02867798" w:rsidP="5EB2BCB1">
      <w:pPr>
        <w:pStyle w:val="Heading1SHS"/>
        <w:numPr>
          <w:ilvl w:val="0"/>
          <w:numId w:val="0"/>
        </w:numPr>
        <w:rPr>
          <w:rFonts w:eastAsia="Calibri" w:cs="Calibri"/>
          <w:highlight w:val="yellow"/>
        </w:rPr>
      </w:pPr>
      <w:bookmarkStart w:id="335" w:name="_Toc200617316"/>
      <w:r w:rsidRPr="006B0C6C">
        <w:t xml:space="preserve">Annex </w:t>
      </w:r>
      <w:r w:rsidR="0006473F">
        <w:t>10</w:t>
      </w:r>
      <w:r w:rsidRPr="006B0C6C">
        <w:t>: Challenges reported throughout the pandemic</w:t>
      </w:r>
      <w:bookmarkEnd w:id="335"/>
      <w:r w:rsidRPr="006B0C6C">
        <w:rPr>
          <w:rFonts w:eastAsia="Calibri" w:cs="Calibri"/>
        </w:rPr>
        <w:t xml:space="preserve"> </w:t>
      </w:r>
    </w:p>
    <w:p w14:paraId="67152876" w14:textId="4551F251" w:rsidR="5EB2BCB1" w:rsidRPr="006B0C6C" w:rsidRDefault="5EB2BCB1" w:rsidP="5EB2BCB1">
      <w:pPr>
        <w:spacing w:after="160" w:line="257" w:lineRule="auto"/>
        <w:jc w:val="both"/>
        <w:rPr>
          <w:rFonts w:ascii="Calibri" w:eastAsia="Calibri" w:hAnsi="Calibri" w:cs="Calibri"/>
        </w:rPr>
      </w:pPr>
    </w:p>
    <w:p w14:paraId="2B268284" w14:textId="41408593" w:rsidR="699F1CC1" w:rsidRPr="006B0C6C" w:rsidRDefault="699F1CC1" w:rsidP="5EB2BCB1">
      <w:pPr>
        <w:spacing w:after="160" w:line="257" w:lineRule="auto"/>
        <w:jc w:val="both"/>
        <w:rPr>
          <w:rFonts w:ascii="Calibri" w:eastAsia="Calibri" w:hAnsi="Calibri" w:cs="Calibri"/>
        </w:rPr>
      </w:pPr>
      <w:r w:rsidRPr="006B0C6C">
        <w:rPr>
          <w:rFonts w:ascii="Calibri" w:eastAsia="Calibri" w:hAnsi="Calibri" w:cs="Calibri"/>
        </w:rPr>
        <w:t>There were v</w:t>
      </w:r>
      <w:r w:rsidR="390ED11A" w:rsidRPr="006B0C6C">
        <w:rPr>
          <w:rFonts w:ascii="Calibri" w:eastAsia="Calibri" w:hAnsi="Calibri" w:cs="Calibri"/>
        </w:rPr>
        <w:t xml:space="preserve">arious </w:t>
      </w:r>
      <w:r w:rsidR="02867798" w:rsidRPr="006B0C6C">
        <w:rPr>
          <w:rFonts w:ascii="Calibri" w:eastAsia="Calibri" w:hAnsi="Calibri" w:cs="Calibri"/>
        </w:rPr>
        <w:t>challenges that</w:t>
      </w:r>
      <w:r w:rsidR="4D3D1B8B" w:rsidRPr="006B0C6C">
        <w:rPr>
          <w:rFonts w:ascii="Calibri" w:eastAsia="Calibri" w:hAnsi="Calibri" w:cs="Calibri"/>
        </w:rPr>
        <w:t xml:space="preserve"> delivery </w:t>
      </w:r>
      <w:r w:rsidR="006874E4">
        <w:rPr>
          <w:rFonts w:ascii="Calibri" w:eastAsia="Calibri" w:hAnsi="Calibri" w:cs="Calibri"/>
        </w:rPr>
        <w:t xml:space="preserve">support </w:t>
      </w:r>
      <w:r w:rsidR="4D3D1B8B" w:rsidRPr="006B0C6C">
        <w:rPr>
          <w:rFonts w:ascii="Calibri" w:eastAsia="Calibri" w:hAnsi="Calibri" w:cs="Calibri"/>
        </w:rPr>
        <w:t>partners reported as causing</w:t>
      </w:r>
      <w:r w:rsidR="02867798" w:rsidRPr="006B0C6C">
        <w:rPr>
          <w:rFonts w:ascii="Calibri" w:eastAsia="Calibri" w:hAnsi="Calibri" w:cs="Calibri"/>
        </w:rPr>
        <w:t xml:space="preserve"> delays</w:t>
      </w:r>
      <w:r w:rsidR="58263929" w:rsidRPr="006B0C6C">
        <w:rPr>
          <w:rFonts w:ascii="Calibri" w:eastAsia="Calibri" w:hAnsi="Calibri" w:cs="Calibri"/>
        </w:rPr>
        <w:t>. These</w:t>
      </w:r>
      <w:r w:rsidR="02867798" w:rsidRPr="006B0C6C">
        <w:rPr>
          <w:rFonts w:ascii="Calibri" w:eastAsia="Calibri" w:hAnsi="Calibri" w:cs="Calibri"/>
        </w:rPr>
        <w:t xml:space="preserve"> include</w:t>
      </w:r>
      <w:r w:rsidR="43F3BB25" w:rsidRPr="006B0C6C">
        <w:rPr>
          <w:rFonts w:ascii="Calibri" w:eastAsia="Calibri" w:hAnsi="Calibri" w:cs="Calibri"/>
        </w:rPr>
        <w:t>d</w:t>
      </w:r>
      <w:r w:rsidR="02867798" w:rsidRPr="006B0C6C">
        <w:rPr>
          <w:rFonts w:ascii="Calibri" w:eastAsia="Calibri" w:hAnsi="Calibri" w:cs="Calibri"/>
        </w:rPr>
        <w:t xml:space="preserve">: </w:t>
      </w:r>
    </w:p>
    <w:p w14:paraId="70760719" w14:textId="54C26DB8" w:rsidR="02867798" w:rsidRPr="00123E2D" w:rsidRDefault="02867798" w:rsidP="00C30814">
      <w:pPr>
        <w:pStyle w:val="ListParagraph"/>
        <w:numPr>
          <w:ilvl w:val="0"/>
          <w:numId w:val="7"/>
        </w:numPr>
        <w:spacing w:after="0" w:line="257" w:lineRule="auto"/>
        <w:jc w:val="both"/>
        <w:rPr>
          <w:rFonts w:ascii="Calibri" w:eastAsia="Calibri" w:hAnsi="Calibri" w:cs="Calibri"/>
          <w:lang w:val="en-AU"/>
        </w:rPr>
      </w:pPr>
      <w:r w:rsidRPr="00123E2D">
        <w:rPr>
          <w:rFonts w:ascii="Calibri" w:eastAsia="Calibri" w:hAnsi="Calibri" w:cs="Calibri"/>
          <w:lang w:val="en-AU"/>
        </w:rPr>
        <w:t>Inaccurate vaccine and population (and vulnerable group) data, out of date census information, inadequate health information system capabilities</w:t>
      </w:r>
    </w:p>
    <w:p w14:paraId="19232973" w14:textId="300680D8" w:rsidR="02867798" w:rsidRPr="00123E2D" w:rsidRDefault="02867798" w:rsidP="00C30814">
      <w:pPr>
        <w:pStyle w:val="ListParagraph"/>
        <w:numPr>
          <w:ilvl w:val="0"/>
          <w:numId w:val="7"/>
        </w:numPr>
        <w:jc w:val="both"/>
        <w:rPr>
          <w:lang w:val="en-AU"/>
        </w:rPr>
      </w:pPr>
      <w:r w:rsidRPr="00123E2D">
        <w:rPr>
          <w:rFonts w:ascii="Calibri" w:eastAsia="Calibri" w:hAnsi="Calibri" w:cs="Calibri"/>
          <w:lang w:val="en-AU"/>
        </w:rPr>
        <w:t>Inability to provide direct assistance due to not being able to travel (operating remotely)</w:t>
      </w:r>
    </w:p>
    <w:p w14:paraId="7AED13B0" w14:textId="2B7BC2AF" w:rsidR="02867798" w:rsidRPr="00123E2D" w:rsidRDefault="02867798" w:rsidP="00C30814">
      <w:pPr>
        <w:pStyle w:val="ListParagraph"/>
        <w:numPr>
          <w:ilvl w:val="0"/>
          <w:numId w:val="7"/>
        </w:numPr>
        <w:spacing w:after="0" w:line="257" w:lineRule="auto"/>
        <w:jc w:val="both"/>
        <w:rPr>
          <w:rFonts w:ascii="Calibri" w:eastAsia="Calibri" w:hAnsi="Calibri" w:cs="Calibri"/>
          <w:lang w:val="en-AU"/>
        </w:rPr>
      </w:pPr>
      <w:r w:rsidRPr="00123E2D">
        <w:rPr>
          <w:rFonts w:ascii="Calibri" w:eastAsia="Calibri" w:hAnsi="Calibri" w:cs="Calibri"/>
          <w:lang w:val="en-AU"/>
        </w:rPr>
        <w:t>Insufficient vaccine supply at national and/or local level, logistic access challenges, preferences for certain brands of vaccines over others, vaccines nearing or past their expiry dates</w:t>
      </w:r>
    </w:p>
    <w:p w14:paraId="7709EFFD" w14:textId="234EC673" w:rsidR="02867798" w:rsidRPr="00123E2D" w:rsidRDefault="02867798" w:rsidP="00C30814">
      <w:pPr>
        <w:pStyle w:val="ListParagraph"/>
        <w:numPr>
          <w:ilvl w:val="0"/>
          <w:numId w:val="7"/>
        </w:numPr>
        <w:spacing w:after="0" w:line="257" w:lineRule="auto"/>
        <w:jc w:val="both"/>
        <w:rPr>
          <w:rFonts w:ascii="Calibri" w:eastAsia="Calibri" w:hAnsi="Calibri" w:cs="Calibri"/>
          <w:lang w:val="en-AU"/>
        </w:rPr>
      </w:pPr>
      <w:r w:rsidRPr="00123E2D">
        <w:rPr>
          <w:rFonts w:ascii="Calibri" w:eastAsia="Calibri" w:hAnsi="Calibri" w:cs="Calibri"/>
          <w:lang w:val="en-AU"/>
        </w:rPr>
        <w:t xml:space="preserve">Misinformation, uncooperative religious or community leaders, conflicting local and traditional beliefs, and at times ineffective delivery of health information. This contributed to severe vaccine hesitancy in some countries  </w:t>
      </w:r>
    </w:p>
    <w:p w14:paraId="0DB220A7" w14:textId="3DD1C974" w:rsidR="02867798" w:rsidRPr="00123E2D" w:rsidRDefault="02867798" w:rsidP="00C30814">
      <w:pPr>
        <w:pStyle w:val="ListParagraph"/>
        <w:numPr>
          <w:ilvl w:val="0"/>
          <w:numId w:val="7"/>
        </w:numPr>
        <w:spacing w:after="0" w:line="257" w:lineRule="auto"/>
        <w:jc w:val="both"/>
        <w:rPr>
          <w:rFonts w:ascii="Calibri" w:eastAsia="Calibri" w:hAnsi="Calibri" w:cs="Calibri"/>
          <w:lang w:val="en-AU"/>
        </w:rPr>
      </w:pPr>
      <w:r w:rsidRPr="00123E2D">
        <w:rPr>
          <w:rFonts w:ascii="Calibri" w:eastAsia="Calibri" w:hAnsi="Calibri" w:cs="Calibri"/>
          <w:lang w:val="en-AU"/>
        </w:rPr>
        <w:t xml:space="preserve">Government elections, political instability, ministerial portfolio changes and departmental restructures, government vaccine guidance or policy, delays in government approval processes or budgets, high rates of </w:t>
      </w:r>
      <w:r w:rsidRPr="006B0C6C">
        <w:rPr>
          <w:rFonts w:ascii="Calibri" w:eastAsia="Calibri" w:hAnsi="Calibri" w:cs="Calibri"/>
          <w:lang w:val="en-AU"/>
        </w:rPr>
        <w:t>country’s Ministry of Health</w:t>
      </w:r>
      <w:r w:rsidRPr="00123E2D">
        <w:rPr>
          <w:rFonts w:ascii="Calibri" w:eastAsia="Calibri" w:hAnsi="Calibri" w:cs="Calibri"/>
          <w:lang w:val="en-AU"/>
        </w:rPr>
        <w:t xml:space="preserve"> staff turnover, health workforce capabilities, and a hacked government internet</w:t>
      </w:r>
    </w:p>
    <w:p w14:paraId="6DDB43F3" w14:textId="2A17AC7B" w:rsidR="02867798" w:rsidRPr="00123E2D" w:rsidRDefault="02867798" w:rsidP="00C30814">
      <w:pPr>
        <w:pStyle w:val="ListParagraph"/>
        <w:numPr>
          <w:ilvl w:val="0"/>
          <w:numId w:val="7"/>
        </w:numPr>
        <w:spacing w:after="0" w:line="257" w:lineRule="auto"/>
        <w:jc w:val="both"/>
        <w:rPr>
          <w:rFonts w:ascii="Calibri" w:eastAsia="Calibri" w:hAnsi="Calibri" w:cs="Calibri"/>
          <w:lang w:val="en-AU"/>
        </w:rPr>
      </w:pPr>
      <w:r w:rsidRPr="00123E2D">
        <w:rPr>
          <w:rFonts w:ascii="Calibri" w:eastAsia="Calibri" w:hAnsi="Calibri" w:cs="Calibri"/>
          <w:lang w:val="en-AU"/>
        </w:rPr>
        <w:t>Delays caused by the circulating SARS-2-CoV strain (e.g. when Omicron circulated in Indonesia)</w:t>
      </w:r>
    </w:p>
    <w:p w14:paraId="76D9D7CE" w14:textId="1A5ED838" w:rsidR="02867798" w:rsidRPr="00123E2D" w:rsidRDefault="02867798" w:rsidP="00C30814">
      <w:pPr>
        <w:pStyle w:val="ListParagraph"/>
        <w:numPr>
          <w:ilvl w:val="0"/>
          <w:numId w:val="7"/>
        </w:numPr>
        <w:spacing w:after="0" w:line="257" w:lineRule="auto"/>
        <w:jc w:val="both"/>
        <w:rPr>
          <w:rFonts w:ascii="Calibri" w:eastAsia="Calibri" w:hAnsi="Calibri" w:cs="Calibri"/>
          <w:lang w:val="en-AU"/>
        </w:rPr>
      </w:pPr>
      <w:r w:rsidRPr="00123E2D">
        <w:rPr>
          <w:rFonts w:ascii="Calibri" w:eastAsia="Calibri" w:hAnsi="Calibri" w:cs="Calibri"/>
          <w:lang w:val="en-AU"/>
        </w:rPr>
        <w:t>Over time, reductions in the number of COVID-19 infections which led to government de-prioritisation of COVID-19 vaccines, closure of various vaccination centres, shifting to other health priorities and integrating COVID-19 response activities, delaying or discontinuing some existing planned activities. A shift to routine immunisation support also often increased the need to reach more participants</w:t>
      </w:r>
    </w:p>
    <w:p w14:paraId="3625A0C4" w14:textId="4AAC79F7" w:rsidR="02867798" w:rsidRPr="00123E2D" w:rsidRDefault="02867798" w:rsidP="00C30814">
      <w:pPr>
        <w:pStyle w:val="ListParagraph"/>
        <w:numPr>
          <w:ilvl w:val="0"/>
          <w:numId w:val="7"/>
        </w:numPr>
        <w:spacing w:after="0" w:line="257" w:lineRule="auto"/>
        <w:jc w:val="both"/>
        <w:rPr>
          <w:rFonts w:ascii="Calibri" w:eastAsia="Calibri" w:hAnsi="Calibri" w:cs="Calibri"/>
          <w:lang w:val="en-AU"/>
        </w:rPr>
      </w:pPr>
      <w:r w:rsidRPr="00123E2D">
        <w:rPr>
          <w:rFonts w:ascii="Calibri" w:eastAsia="Calibri" w:hAnsi="Calibri" w:cs="Calibri"/>
          <w:lang w:val="en-AU"/>
        </w:rPr>
        <w:t>Slow uptake of vaccine and booster doses later in the pandemic, accompanied by public complacency</w:t>
      </w:r>
    </w:p>
    <w:p w14:paraId="56C58CAA" w14:textId="23AD0CD5" w:rsidR="02867798" w:rsidRPr="00123E2D" w:rsidRDefault="02867798" w:rsidP="00C30814">
      <w:pPr>
        <w:pStyle w:val="ListParagraph"/>
        <w:numPr>
          <w:ilvl w:val="0"/>
          <w:numId w:val="7"/>
        </w:numPr>
        <w:spacing w:after="0" w:line="257" w:lineRule="auto"/>
        <w:jc w:val="both"/>
        <w:rPr>
          <w:rFonts w:ascii="Calibri" w:eastAsia="Calibri" w:hAnsi="Calibri" w:cs="Calibri"/>
          <w:lang w:val="en-AU"/>
        </w:rPr>
      </w:pPr>
      <w:r w:rsidRPr="00123E2D">
        <w:rPr>
          <w:rFonts w:ascii="Calibri" w:eastAsia="Calibri" w:hAnsi="Calibri" w:cs="Calibri"/>
          <w:lang w:val="en-AU"/>
        </w:rPr>
        <w:t xml:space="preserve">Natural disasters, other infectious disease outbreaks </w:t>
      </w:r>
    </w:p>
    <w:p w14:paraId="61B8A6F5" w14:textId="265A99A9" w:rsidR="33F2F9ED" w:rsidRPr="006B0C6C" w:rsidRDefault="02867798" w:rsidP="0010156B">
      <w:pPr>
        <w:pStyle w:val="ListParagraph"/>
        <w:numPr>
          <w:ilvl w:val="0"/>
          <w:numId w:val="7"/>
        </w:numPr>
        <w:spacing w:after="160" w:line="257" w:lineRule="auto"/>
        <w:jc w:val="both"/>
      </w:pPr>
      <w:r w:rsidRPr="009D0D58">
        <w:rPr>
          <w:rFonts w:ascii="Calibri" w:eastAsia="Calibri" w:hAnsi="Calibri" w:cs="Calibri"/>
          <w:lang w:val="en-AU"/>
        </w:rPr>
        <w:t>Challenging and often worsening economic conditions, volatile prices, threatened livelihoods, and the voluntary administration of a national airline</w:t>
      </w:r>
      <w:r w:rsidR="33F2F9ED" w:rsidRPr="006B0C6C">
        <w:br w:type="page"/>
      </w:r>
    </w:p>
    <w:p w14:paraId="450016A7" w14:textId="1B656A46" w:rsidR="469E15FA" w:rsidRDefault="6F8DABEC" w:rsidP="006B0C6C">
      <w:pPr>
        <w:pStyle w:val="Heading1SHS"/>
        <w:numPr>
          <w:ilvl w:val="0"/>
          <w:numId w:val="0"/>
        </w:numPr>
        <w:ind w:left="360"/>
        <w:rPr>
          <w:rFonts w:eastAsia="Calibri"/>
        </w:rPr>
      </w:pPr>
      <w:bookmarkStart w:id="336" w:name="_Toc200617317"/>
      <w:r w:rsidRPr="006B0C6C">
        <w:rPr>
          <w:rFonts w:eastAsia="Calibri"/>
        </w:rPr>
        <w:t xml:space="preserve">Annex </w:t>
      </w:r>
      <w:r w:rsidR="0006473F">
        <w:rPr>
          <w:rFonts w:eastAsia="Calibri"/>
        </w:rPr>
        <w:t>11</w:t>
      </w:r>
      <w:r w:rsidRPr="006B0C6C">
        <w:rPr>
          <w:rFonts w:eastAsia="Calibri"/>
        </w:rPr>
        <w:t xml:space="preserve">: VAHSI GEDSI Strategy – Key Areas of </w:t>
      </w:r>
      <w:r w:rsidR="00913943">
        <w:rPr>
          <w:rFonts w:eastAsia="Calibri"/>
        </w:rPr>
        <w:t>F</w:t>
      </w:r>
      <w:r w:rsidRPr="006B0C6C">
        <w:rPr>
          <w:rFonts w:eastAsia="Calibri"/>
        </w:rPr>
        <w:t>ocus</w:t>
      </w:r>
      <w:bookmarkEnd w:id="336"/>
      <w:r w:rsidRPr="006B0C6C">
        <w:rPr>
          <w:rFonts w:eastAsia="Calibri"/>
        </w:rPr>
        <w:t xml:space="preserve"> </w:t>
      </w:r>
    </w:p>
    <w:p w14:paraId="72261349" w14:textId="77777777" w:rsidR="004C2635" w:rsidRPr="00982383" w:rsidRDefault="004C2635" w:rsidP="004C2635">
      <w:pPr>
        <w:pStyle w:val="ListParagraph"/>
        <w:numPr>
          <w:ilvl w:val="0"/>
          <w:numId w:val="10"/>
        </w:numPr>
        <w:spacing w:after="0"/>
        <w:rPr>
          <w:rFonts w:ascii="Calibri" w:eastAsia="Calibri" w:hAnsi="Calibri" w:cs="Calibri"/>
          <w:b/>
          <w:bCs/>
          <w:color w:val="39302A" w:themeColor="text2"/>
          <w:szCs w:val="22"/>
          <w:lang w:val="en-AU"/>
        </w:rPr>
      </w:pPr>
      <w:r w:rsidRPr="00982383">
        <w:rPr>
          <w:rFonts w:ascii="Calibri" w:eastAsia="Calibri" w:hAnsi="Calibri" w:cs="Calibri"/>
          <w:b/>
          <w:bCs/>
          <w:color w:val="39302A" w:themeColor="text2"/>
          <w:szCs w:val="22"/>
          <w:lang w:val="en-AU"/>
        </w:rPr>
        <w:t>Advocacy, policy dialogue and negotiation with partners</w:t>
      </w:r>
    </w:p>
    <w:p w14:paraId="39BED40D" w14:textId="77777777" w:rsidR="004C2635" w:rsidRPr="006B0C6C" w:rsidRDefault="004C2635" w:rsidP="004C2635">
      <w:pPr>
        <w:spacing w:before="80" w:after="60"/>
        <w:ind w:left="567"/>
      </w:pPr>
      <w:r w:rsidRPr="006B0C6C">
        <w:rPr>
          <w:rFonts w:ascii="Calibri" w:eastAsia="Calibri" w:hAnsi="Calibri" w:cs="Calibri"/>
          <w:color w:val="39302A" w:themeColor="text2"/>
          <w:szCs w:val="22"/>
        </w:rPr>
        <w:t xml:space="preserve">Through dialogue and negotiations with partners, we will advocate for agreements, designs, implementation and monitoring of COVID-19 vaccination programming to integrate GEDSI and to reflect the policy requirements of DFAT and partners. Where it is feasible for us to do so, we will additionally seek to influence country-level planning and data collection activities to consider and include groups at increased disadvantage – and gather evidence </w:t>
      </w:r>
      <w:proofErr w:type="gramStart"/>
      <w:r w:rsidRPr="006B0C6C">
        <w:rPr>
          <w:rFonts w:ascii="Calibri" w:eastAsia="Calibri" w:hAnsi="Calibri" w:cs="Calibri"/>
          <w:color w:val="39302A" w:themeColor="text2"/>
          <w:szCs w:val="22"/>
        </w:rPr>
        <w:t>on  how</w:t>
      </w:r>
      <w:proofErr w:type="gramEnd"/>
      <w:r w:rsidRPr="006B0C6C">
        <w:rPr>
          <w:rFonts w:ascii="Calibri" w:eastAsia="Calibri" w:hAnsi="Calibri" w:cs="Calibri"/>
          <w:color w:val="39302A" w:themeColor="text2"/>
          <w:szCs w:val="22"/>
        </w:rPr>
        <w:t xml:space="preserve"> Australia has supported the incorporation of GEDSI considerations into partner Government COVID-19 vaccination programs.  </w:t>
      </w:r>
    </w:p>
    <w:p w14:paraId="68D9CC5D" w14:textId="77777777" w:rsidR="004C2635" w:rsidRPr="006B0C6C" w:rsidRDefault="004C2635" w:rsidP="004C2635">
      <w:pPr>
        <w:pStyle w:val="ListParagraph"/>
        <w:spacing w:after="0"/>
        <w:ind w:left="567" w:hanging="284"/>
        <w:rPr>
          <w:rFonts w:ascii="Calibri" w:eastAsia="Calibri" w:hAnsi="Calibri" w:cs="Calibri"/>
          <w:b/>
          <w:bCs/>
          <w:color w:val="39302A" w:themeColor="text2"/>
          <w:szCs w:val="22"/>
          <w:lang w:val="en-AU"/>
        </w:rPr>
      </w:pPr>
      <w:r w:rsidRPr="006B0C6C">
        <w:rPr>
          <w:rFonts w:ascii="Calibri" w:eastAsia="Calibri" w:hAnsi="Calibri" w:cs="Calibri"/>
          <w:b/>
          <w:bCs/>
          <w:color w:val="39302A" w:themeColor="text2"/>
          <w:szCs w:val="22"/>
          <w:lang w:val="en-AU"/>
        </w:rPr>
        <w:t>Accessibility embedded in delivery and communications</w:t>
      </w:r>
    </w:p>
    <w:p w14:paraId="0681FD3B" w14:textId="77777777" w:rsidR="004C2635" w:rsidRPr="006B0C6C" w:rsidRDefault="004C2635" w:rsidP="004C2635">
      <w:pPr>
        <w:spacing w:before="80" w:after="60"/>
        <w:ind w:left="567"/>
      </w:pPr>
      <w:r w:rsidRPr="006B0C6C">
        <w:rPr>
          <w:rFonts w:ascii="Calibri" w:eastAsia="Calibri" w:hAnsi="Calibri" w:cs="Calibri"/>
          <w:color w:val="39302A" w:themeColor="text2"/>
          <w:szCs w:val="22"/>
        </w:rPr>
        <w:t xml:space="preserve">The investment will advocate for communication products and vaccination programs – including consent processes and feedback mechanisms – to consider and address the </w:t>
      </w:r>
      <w:proofErr w:type="gramStart"/>
      <w:r w:rsidRPr="006B0C6C">
        <w:rPr>
          <w:rFonts w:ascii="Calibri" w:eastAsia="Calibri" w:hAnsi="Calibri" w:cs="Calibri"/>
          <w:color w:val="39302A" w:themeColor="text2"/>
          <w:szCs w:val="22"/>
        </w:rPr>
        <w:t>particular needs</w:t>
      </w:r>
      <w:proofErr w:type="gramEnd"/>
      <w:r w:rsidRPr="006B0C6C">
        <w:rPr>
          <w:rFonts w:ascii="Calibri" w:eastAsia="Calibri" w:hAnsi="Calibri" w:cs="Calibri"/>
          <w:color w:val="39302A" w:themeColor="text2"/>
          <w:szCs w:val="22"/>
        </w:rPr>
        <w:t xml:space="preserve"> and concerns of diverse groups in accessible and appropriate ways. </w:t>
      </w:r>
    </w:p>
    <w:p w14:paraId="43DC740F" w14:textId="77777777" w:rsidR="004C2635" w:rsidRPr="006B0C6C" w:rsidRDefault="004C2635" w:rsidP="004C2635">
      <w:pPr>
        <w:pStyle w:val="ListParagraph"/>
        <w:spacing w:after="0"/>
        <w:ind w:left="567" w:hanging="284"/>
        <w:rPr>
          <w:rFonts w:ascii="Calibri" w:eastAsia="Calibri" w:hAnsi="Calibri" w:cs="Calibri"/>
          <w:b/>
          <w:bCs/>
          <w:color w:val="39302A" w:themeColor="text2"/>
          <w:szCs w:val="22"/>
          <w:lang w:val="en-AU"/>
        </w:rPr>
      </w:pPr>
      <w:r w:rsidRPr="006B0C6C">
        <w:rPr>
          <w:rFonts w:ascii="Calibri" w:eastAsia="Calibri" w:hAnsi="Calibri" w:cs="Calibri"/>
          <w:b/>
          <w:bCs/>
          <w:color w:val="39302A" w:themeColor="text2"/>
          <w:szCs w:val="22"/>
          <w:lang w:val="en-AU"/>
        </w:rPr>
        <w:t>Community engagement</w:t>
      </w:r>
    </w:p>
    <w:p w14:paraId="7B5D430E" w14:textId="77777777" w:rsidR="004C2635" w:rsidRPr="006B0C6C" w:rsidRDefault="004C2635" w:rsidP="004C2635">
      <w:pPr>
        <w:spacing w:before="80" w:after="60"/>
        <w:ind w:left="567"/>
      </w:pPr>
      <w:r w:rsidRPr="006B0C6C">
        <w:rPr>
          <w:rFonts w:ascii="Calibri" w:eastAsia="Calibri" w:hAnsi="Calibri" w:cs="Calibri"/>
          <w:color w:val="39302A" w:themeColor="text2"/>
          <w:szCs w:val="22"/>
        </w:rPr>
        <w:t xml:space="preserve">Where community engagement activities are planned, we will encourage this to actively engage with diverse community members and representative organisations (including, for example, women’s groups and organisations of people with disabilities) to help inform and provide feedback on COVID-19 vaccination programs and influence vaccine hesitancy, acceptance, confidence and access to vaccine information and services. It is expected that social safeguards and do-no-harm principles will underpin engagement at the community level.  </w:t>
      </w:r>
    </w:p>
    <w:p w14:paraId="43E26799" w14:textId="77777777" w:rsidR="004C2635" w:rsidRPr="006B0C6C" w:rsidRDefault="004C2635" w:rsidP="004C2635">
      <w:pPr>
        <w:pStyle w:val="ListParagraph"/>
        <w:spacing w:after="0"/>
        <w:ind w:left="567" w:hanging="284"/>
        <w:rPr>
          <w:rFonts w:ascii="Calibri" w:eastAsia="Calibri" w:hAnsi="Calibri" w:cs="Calibri"/>
          <w:b/>
          <w:bCs/>
          <w:color w:val="39302A" w:themeColor="text2"/>
          <w:szCs w:val="22"/>
          <w:lang w:val="en-AU"/>
        </w:rPr>
      </w:pPr>
      <w:r w:rsidRPr="006B0C6C">
        <w:rPr>
          <w:rFonts w:ascii="Calibri" w:eastAsia="Calibri" w:hAnsi="Calibri" w:cs="Calibri"/>
          <w:b/>
          <w:bCs/>
          <w:color w:val="39302A" w:themeColor="text2"/>
          <w:szCs w:val="22"/>
          <w:lang w:val="en-AU"/>
        </w:rPr>
        <w:t xml:space="preserve">Monitoring &amp; reporting on vaccine access  </w:t>
      </w:r>
    </w:p>
    <w:p w14:paraId="5FAD27A1" w14:textId="77777777" w:rsidR="004C2635" w:rsidRPr="006B0C6C" w:rsidRDefault="004C2635" w:rsidP="004C2635">
      <w:pPr>
        <w:spacing w:before="80" w:after="60"/>
        <w:ind w:left="567"/>
      </w:pPr>
      <w:r w:rsidRPr="006B0C6C">
        <w:rPr>
          <w:rFonts w:ascii="Calibri" w:eastAsia="Calibri" w:hAnsi="Calibri" w:cs="Calibri"/>
          <w:color w:val="39302A" w:themeColor="text2"/>
          <w:szCs w:val="22"/>
        </w:rPr>
        <w:t xml:space="preserve">VAHSI activities will be supported to integrate GEDSI across process and outcome indicators in monitoring, evaluation and learning frameworks (MELFs), ensuring a line of sight back to GEDSI related indicators in the VAHSI Performance Assessment Framework (PAF). </w:t>
      </w:r>
    </w:p>
    <w:p w14:paraId="10D63D88" w14:textId="77777777" w:rsidR="004C2635" w:rsidRPr="006B0C6C" w:rsidRDefault="004C2635" w:rsidP="004C2635">
      <w:pPr>
        <w:spacing w:before="80" w:after="60"/>
        <w:ind w:left="567"/>
      </w:pPr>
      <w:r w:rsidRPr="006B0C6C">
        <w:rPr>
          <w:rFonts w:ascii="Calibri" w:eastAsia="Calibri" w:hAnsi="Calibri" w:cs="Calibri"/>
          <w:color w:val="39302A" w:themeColor="text2"/>
          <w:szCs w:val="22"/>
        </w:rPr>
        <w:t xml:space="preserve">Where activities relate to vaccine coverage, partners will be encouraged to disaggregate their results by target populations, sex (minimum), age, co-morbidity, disability and other socio-demographic factors (where data allow); where activities relate to community engagement disaggregation by sex, age, disability and other socio-demographic factors (where data allow) will be encouraged. </w:t>
      </w:r>
    </w:p>
    <w:p w14:paraId="06034F6B" w14:textId="77777777" w:rsidR="004C2635" w:rsidRPr="006B0C6C" w:rsidRDefault="004C2635" w:rsidP="004C2635">
      <w:pPr>
        <w:spacing w:before="80" w:after="60"/>
        <w:ind w:left="567"/>
      </w:pPr>
      <w:r w:rsidRPr="006B0C6C">
        <w:rPr>
          <w:rFonts w:ascii="Calibri" w:eastAsia="Calibri" w:hAnsi="Calibri" w:cs="Calibri"/>
          <w:color w:val="39302A" w:themeColor="text2"/>
          <w:szCs w:val="22"/>
        </w:rPr>
        <w:t>To better understand acceptability of and access to vaccine programs amongst various groups, qualitative data and reporting on GEDSI related processes and outcomes will be sought from partners and through other mechanisms where necessary (e.g. through proactive monitoring pieces and/or seeking relevant anecdotal evidence). Where feasible, county-level monitoring and evaluation mechanisms will be used to assist with monitoring national implementation outcomes and to provide information on GEDSI related issues to inform partner policy dialogue. Reporting and learning will reflect analysis of GEDSI outcomes. Partners will additionally need to report changes on the status of social safeguarding risks.</w:t>
      </w:r>
    </w:p>
    <w:p w14:paraId="480A7A83" w14:textId="77777777" w:rsidR="004C2635" w:rsidRPr="006B0C6C" w:rsidRDefault="004C2635" w:rsidP="004C2635">
      <w:pPr>
        <w:pStyle w:val="ListParagraph"/>
        <w:spacing w:after="0"/>
        <w:ind w:left="567" w:hanging="284"/>
        <w:rPr>
          <w:rFonts w:ascii="Calibri" w:eastAsia="Calibri" w:hAnsi="Calibri" w:cs="Calibri"/>
          <w:b/>
          <w:bCs/>
          <w:color w:val="39302A" w:themeColor="text2"/>
          <w:szCs w:val="22"/>
          <w:lang w:val="en-AU"/>
        </w:rPr>
      </w:pPr>
      <w:r w:rsidRPr="006B0C6C">
        <w:rPr>
          <w:rFonts w:ascii="Calibri" w:eastAsia="Calibri" w:hAnsi="Calibri" w:cs="Calibri"/>
          <w:b/>
          <w:bCs/>
          <w:color w:val="39302A" w:themeColor="text2"/>
          <w:szCs w:val="22"/>
          <w:lang w:val="en-AU"/>
        </w:rPr>
        <w:t xml:space="preserve">Workforce development </w:t>
      </w:r>
    </w:p>
    <w:p w14:paraId="116F1A21" w14:textId="7B86BFAF" w:rsidR="7388A156" w:rsidRPr="006B0C6C" w:rsidRDefault="004C2635" w:rsidP="009D0D58">
      <w:pPr>
        <w:ind w:left="567"/>
      </w:pPr>
      <w:r w:rsidRPr="006B0C6C">
        <w:rPr>
          <w:rFonts w:ascii="Calibri" w:eastAsia="Calibri" w:hAnsi="Calibri" w:cs="Calibri"/>
          <w:color w:val="39302A" w:themeColor="text2"/>
          <w:szCs w:val="22"/>
        </w:rPr>
        <w:t>Where opportunities present, we will encourage partners to ensure relevant trainings include content on the barriers that groups at increased risk of exclusion and disadvantage face in accessing vaccination information and services. We will also encourage trainings and capacity building activities to be gender-equitable and disability-inclusive.</w:t>
      </w:r>
    </w:p>
    <w:p w14:paraId="312E0824" w14:textId="77777777" w:rsidR="00E01BB8" w:rsidRDefault="00E01BB8">
      <w:pPr>
        <w:spacing w:after="160" w:line="259" w:lineRule="auto"/>
      </w:pPr>
      <w:r>
        <w:br w:type="page"/>
      </w:r>
    </w:p>
    <w:p w14:paraId="5ABB0A6B" w14:textId="5CF7306F" w:rsidR="001C0289" w:rsidRDefault="00913943" w:rsidP="006B0C6C">
      <w:pPr>
        <w:pStyle w:val="Heading1SHS"/>
        <w:numPr>
          <w:ilvl w:val="0"/>
          <w:numId w:val="0"/>
        </w:numPr>
      </w:pPr>
      <w:bookmarkStart w:id="337" w:name="_Toc200617318"/>
      <w:r>
        <w:t xml:space="preserve">Annex </w:t>
      </w:r>
      <w:r w:rsidR="001C0289">
        <w:t>1</w:t>
      </w:r>
      <w:r w:rsidR="0006473F">
        <w:t>2</w:t>
      </w:r>
      <w:r w:rsidR="001C0289">
        <w:t>: Accessibility description of figures</w:t>
      </w:r>
      <w:bookmarkEnd w:id="337"/>
    </w:p>
    <w:p w14:paraId="38A2413E" w14:textId="0DC1533B" w:rsidR="00FC0FDF" w:rsidRPr="00B423FF" w:rsidRDefault="00B423FF" w:rsidP="00B423FF">
      <w:pPr>
        <w:rPr>
          <w:b/>
          <w:bCs/>
        </w:rPr>
      </w:pPr>
      <w:r w:rsidRPr="00B423FF">
        <w:rPr>
          <w:b/>
          <w:bCs/>
        </w:rPr>
        <w:t>FIGURE 1</w:t>
      </w:r>
    </w:p>
    <w:p w14:paraId="28C64879" w14:textId="7AAEC12D" w:rsidR="001C0289" w:rsidRDefault="001C0289" w:rsidP="001C0289">
      <w:r>
        <w:t>Figure 1 contains a depiction of the VAHSI Program Logic. The VAHSI Program Logic contains the following elements:</w:t>
      </w:r>
    </w:p>
    <w:p w14:paraId="59D72332" w14:textId="77777777" w:rsidR="001C0289" w:rsidRDefault="001C0289" w:rsidP="001C0289">
      <w:r>
        <w:t xml:space="preserve">The </w:t>
      </w:r>
      <w:r>
        <w:rPr>
          <w:b/>
          <w:bCs/>
        </w:rPr>
        <w:t>o</w:t>
      </w:r>
      <w:r w:rsidRPr="001132EF">
        <w:rPr>
          <w:b/>
          <w:bCs/>
        </w:rPr>
        <w:t>verarching objective</w:t>
      </w:r>
      <w:r>
        <w:t>: To confirm Australia as a valued partner to countries in the Pacific and Southeast Asia by supporting their safe and effective roll outs so that their economies can reopen, contributing to economic recovery, national wellbeing and regional stability.</w:t>
      </w:r>
    </w:p>
    <w:p w14:paraId="2D6E1BD1" w14:textId="77777777" w:rsidR="001C0289" w:rsidRDefault="001C0289" w:rsidP="001C0289">
      <w:r>
        <w:t xml:space="preserve">The overarching objective sits above the </w:t>
      </w:r>
      <w:r>
        <w:rPr>
          <w:b/>
          <w:bCs/>
        </w:rPr>
        <w:t xml:space="preserve">overarching end-of-investment outcome: </w:t>
      </w:r>
      <w:r>
        <w:t>Australia has helped targeted partner countries maximise immunisation coverage to prevent disease and allow a safe return to a development trajectory needed for economic and social recovery.</w:t>
      </w:r>
    </w:p>
    <w:p w14:paraId="742DF4EB" w14:textId="77777777" w:rsidR="001C0289" w:rsidRDefault="001C0289" w:rsidP="001C0289">
      <w:r>
        <w:t>Beneath the overarching end-of-investment outcome sit the inputs, activities/outputs, intermediate outcomes by June 2022, end of program outcomes by December 2024, and goals.</w:t>
      </w:r>
    </w:p>
    <w:p w14:paraId="2219CCF7" w14:textId="77777777" w:rsidR="001C0289" w:rsidRDefault="001C0289" w:rsidP="001C0289">
      <w:r>
        <w:t>The inputs include:</w:t>
      </w:r>
    </w:p>
    <w:p w14:paraId="52D8E14B" w14:textId="77777777" w:rsidR="001C0289" w:rsidRDefault="001C0289" w:rsidP="001C0289">
      <w:pPr>
        <w:pStyle w:val="ListParagraph"/>
        <w:numPr>
          <w:ilvl w:val="0"/>
          <w:numId w:val="29"/>
        </w:numPr>
        <w:spacing w:after="160" w:line="259" w:lineRule="auto"/>
        <w:contextualSpacing/>
      </w:pPr>
      <w:r w:rsidRPr="001132EF">
        <w:t>Funding including co</w:t>
      </w:r>
      <w:r>
        <w:t>-</w:t>
      </w:r>
      <w:r w:rsidRPr="001132EF">
        <w:t xml:space="preserve">funding of </w:t>
      </w:r>
      <w:r>
        <w:t>concessional lending</w:t>
      </w:r>
    </w:p>
    <w:p w14:paraId="6547D19C" w14:textId="77777777" w:rsidR="001C0289" w:rsidRDefault="001C0289" w:rsidP="001C0289">
      <w:pPr>
        <w:pStyle w:val="ListParagraph"/>
        <w:numPr>
          <w:ilvl w:val="0"/>
          <w:numId w:val="29"/>
        </w:numPr>
        <w:spacing w:after="160" w:line="259" w:lineRule="auto"/>
        <w:contextualSpacing/>
      </w:pPr>
      <w:r>
        <w:t>Technical assistance</w:t>
      </w:r>
    </w:p>
    <w:p w14:paraId="0F4145EF" w14:textId="77777777" w:rsidR="001C0289" w:rsidRDefault="001C0289" w:rsidP="001C0289">
      <w:pPr>
        <w:pStyle w:val="ListParagraph"/>
        <w:numPr>
          <w:ilvl w:val="0"/>
          <w:numId w:val="29"/>
        </w:numPr>
        <w:spacing w:after="160" w:line="259" w:lineRule="auto"/>
        <w:contextualSpacing/>
      </w:pPr>
      <w:r>
        <w:t>Partnership with Australian and global expert agencies</w:t>
      </w:r>
    </w:p>
    <w:p w14:paraId="5624A9C1" w14:textId="77777777" w:rsidR="001C0289" w:rsidRDefault="001C0289" w:rsidP="001C0289">
      <w:pPr>
        <w:pStyle w:val="ListParagraph"/>
        <w:numPr>
          <w:ilvl w:val="0"/>
          <w:numId w:val="29"/>
        </w:numPr>
        <w:spacing w:after="160" w:line="259" w:lineRule="auto"/>
        <w:contextualSpacing/>
      </w:pPr>
      <w:r>
        <w:t>Partnerships with multilateral development agencies</w:t>
      </w:r>
    </w:p>
    <w:p w14:paraId="57913956" w14:textId="77777777" w:rsidR="001C0289" w:rsidRDefault="001C0289" w:rsidP="001C0289">
      <w:pPr>
        <w:pStyle w:val="ListParagraph"/>
        <w:numPr>
          <w:ilvl w:val="0"/>
          <w:numId w:val="29"/>
        </w:numPr>
        <w:spacing w:after="160" w:line="259" w:lineRule="auto"/>
        <w:contextualSpacing/>
      </w:pPr>
      <w:r>
        <w:t>Diplomacy</w:t>
      </w:r>
    </w:p>
    <w:p w14:paraId="79518B7B" w14:textId="77777777" w:rsidR="001C0289" w:rsidRDefault="001C0289" w:rsidP="001C0289">
      <w:r>
        <w:t>The activities/outputs stemming from the inputs include:</w:t>
      </w:r>
    </w:p>
    <w:p w14:paraId="4860D576" w14:textId="77777777" w:rsidR="001C0289" w:rsidRDefault="001C0289" w:rsidP="001C0289">
      <w:pPr>
        <w:pStyle w:val="ListParagraph"/>
        <w:numPr>
          <w:ilvl w:val="0"/>
          <w:numId w:val="30"/>
        </w:numPr>
        <w:spacing w:after="160" w:line="259" w:lineRule="auto"/>
        <w:contextualSpacing/>
      </w:pPr>
      <w:r>
        <w:t>Dose procurement and supply of equipment</w:t>
      </w:r>
    </w:p>
    <w:p w14:paraId="45E9D95F" w14:textId="77777777" w:rsidR="001C0289" w:rsidRDefault="001C0289" w:rsidP="001C0289">
      <w:pPr>
        <w:pStyle w:val="ListParagraph"/>
        <w:numPr>
          <w:ilvl w:val="0"/>
          <w:numId w:val="30"/>
        </w:numPr>
        <w:spacing w:after="160" w:line="259" w:lineRule="auto"/>
        <w:contextualSpacing/>
      </w:pPr>
      <w:r>
        <w:t>Policy and regulatory support</w:t>
      </w:r>
    </w:p>
    <w:p w14:paraId="3744F29F" w14:textId="77777777" w:rsidR="001C0289" w:rsidRDefault="001C0289" w:rsidP="001C0289">
      <w:pPr>
        <w:pStyle w:val="ListParagraph"/>
        <w:numPr>
          <w:ilvl w:val="0"/>
          <w:numId w:val="30"/>
        </w:numPr>
        <w:spacing w:after="160" w:line="259" w:lineRule="auto"/>
        <w:contextualSpacing/>
      </w:pPr>
      <w:r>
        <w:t>Delivery support, logistics, cold chain, surveillance systems, technical support, human resources etc.</w:t>
      </w:r>
    </w:p>
    <w:p w14:paraId="6B1C80D2" w14:textId="77777777" w:rsidR="001C0289" w:rsidRDefault="001C0289" w:rsidP="001C0289">
      <w:pPr>
        <w:pStyle w:val="ListParagraph"/>
        <w:numPr>
          <w:ilvl w:val="0"/>
          <w:numId w:val="30"/>
        </w:numPr>
        <w:spacing w:after="160" w:line="259" w:lineRule="auto"/>
        <w:contextualSpacing/>
      </w:pPr>
      <w:r>
        <w:t>Community engagement</w:t>
      </w:r>
    </w:p>
    <w:p w14:paraId="3F86E7EF" w14:textId="77777777" w:rsidR="001C0289" w:rsidRDefault="001C0289" w:rsidP="001C0289">
      <w:pPr>
        <w:pStyle w:val="ListParagraph"/>
        <w:numPr>
          <w:ilvl w:val="0"/>
          <w:numId w:val="30"/>
        </w:numPr>
        <w:spacing w:after="160" w:line="259" w:lineRule="auto"/>
        <w:contextualSpacing/>
      </w:pPr>
      <w:r>
        <w:t>Workforce</w:t>
      </w:r>
    </w:p>
    <w:p w14:paraId="357C882D" w14:textId="77777777" w:rsidR="001C0289" w:rsidRDefault="001C0289" w:rsidP="001C0289">
      <w:r>
        <w:t>The inputs and activities/outputs for the intervention component of the diagram, demarked by a light grey arrow underneath these two pillars, pointing to the right. The intermediate outcomes by June 2022, End of Program outcomes by December 2024, and Goals. This is demarcated by a darker grey arrow, also pointing to the right.</w:t>
      </w:r>
    </w:p>
    <w:p w14:paraId="058103B6" w14:textId="77777777" w:rsidR="001C0289" w:rsidRDefault="001C0289" w:rsidP="001C0289">
      <w:r>
        <w:t>Within the program logic, the activities/outputs are posited to result in the following intermediate outcomes by June 2022:</w:t>
      </w:r>
    </w:p>
    <w:p w14:paraId="41781D08" w14:textId="77777777" w:rsidR="001C0289" w:rsidRDefault="001C0289" w:rsidP="001C0289">
      <w:pPr>
        <w:ind w:left="720"/>
      </w:pPr>
      <w:r>
        <w:t>IO 1: Australia contributes to partner governments’ procurement of approved vaccine doses</w:t>
      </w:r>
    </w:p>
    <w:p w14:paraId="37FE936C" w14:textId="77777777" w:rsidR="001C0289" w:rsidRDefault="001C0289" w:rsidP="001C0289">
      <w:pPr>
        <w:ind w:left="720"/>
      </w:pPr>
      <w:r>
        <w:t>IO 2: Partner governments introduce or strengthen policy and regulatory oversight of their COVID-19 and routine immunisation vaccination program</w:t>
      </w:r>
    </w:p>
    <w:p w14:paraId="3C6A7611" w14:textId="77777777" w:rsidR="001C0289" w:rsidRDefault="001C0289" w:rsidP="001C0289">
      <w:pPr>
        <w:ind w:left="720"/>
      </w:pPr>
      <w:r>
        <w:t>IO 3: Partner health authorities administer effective systems that enable accessible and safe national delivery of vaccines</w:t>
      </w:r>
    </w:p>
    <w:p w14:paraId="5B40503A" w14:textId="77777777" w:rsidR="001C0289" w:rsidRDefault="001C0289" w:rsidP="001C0289">
      <w:pPr>
        <w:ind w:left="720"/>
      </w:pPr>
      <w:r>
        <w:t>IO 4: Partner countries implement an effective and inclusive COVID-19 vaccination/routine immunisation social mobilisation and engagement strategy</w:t>
      </w:r>
    </w:p>
    <w:p w14:paraId="4D52AA0B" w14:textId="77777777" w:rsidR="001C0289" w:rsidRDefault="001C0289" w:rsidP="001C0289">
      <w:pPr>
        <w:ind w:left="720"/>
      </w:pPr>
      <w:r>
        <w:t>IO 5: Australia engages influentially for, and leverages investments in COVID-19 vaccination and routine immunisation programs</w:t>
      </w:r>
    </w:p>
    <w:p w14:paraId="77525431" w14:textId="77777777" w:rsidR="001C0289" w:rsidRDefault="001C0289" w:rsidP="001C0289">
      <w:r>
        <w:t>These intermediate outcomes are, in turn, posited to contribute to achievement of the following End of program outcomes by December 2024:</w:t>
      </w:r>
    </w:p>
    <w:p w14:paraId="2C74C0BB" w14:textId="77777777" w:rsidR="001C0289" w:rsidRDefault="001C0289" w:rsidP="001C0289">
      <w:pPr>
        <w:ind w:left="720"/>
      </w:pPr>
      <w:r>
        <w:t>EOPO 1: Partner governments expand COVID-19 and routine immunisation vaccine coverage in a safe and timely manner</w:t>
      </w:r>
    </w:p>
    <w:p w14:paraId="16129330" w14:textId="77777777" w:rsidR="001C0289" w:rsidRDefault="001C0289" w:rsidP="001C0289">
      <w:pPr>
        <w:ind w:left="720"/>
      </w:pPr>
      <w:r>
        <w:t>EOPO 2: Target populations access vaccination in accordance with national COVID-19 planning priorities</w:t>
      </w:r>
    </w:p>
    <w:p w14:paraId="61A55654" w14:textId="77777777" w:rsidR="001C0289" w:rsidRDefault="001C0289" w:rsidP="001C0289">
      <w:pPr>
        <w:ind w:left="720"/>
      </w:pPr>
      <w:r>
        <w:t>EOPO 3: Australian support to COIVD-19 and routine immunisation vaccination programs is valued by the region.</w:t>
      </w:r>
    </w:p>
    <w:p w14:paraId="1EEDAFB5" w14:textId="77777777" w:rsidR="001C0289" w:rsidRDefault="001C0289" w:rsidP="001C0289">
      <w:r>
        <w:t>The EOPOS are posited to contribute to achievement of the goals:</w:t>
      </w:r>
    </w:p>
    <w:p w14:paraId="1F7A6868" w14:textId="77777777" w:rsidR="001C0289" w:rsidRDefault="001C0289" w:rsidP="001C0289">
      <w:pPr>
        <w:ind w:left="720"/>
      </w:pPr>
      <w:r>
        <w:t>I 1: Improved prevention of COVID-19</w:t>
      </w:r>
    </w:p>
    <w:p w14:paraId="3604135B" w14:textId="77777777" w:rsidR="001C0289" w:rsidRDefault="001C0289" w:rsidP="001C0289">
      <w:pPr>
        <w:ind w:left="720"/>
      </w:pPr>
      <w:r>
        <w:t>I 2: accelerated economic and social recovery</w:t>
      </w:r>
    </w:p>
    <w:p w14:paraId="55675F07" w14:textId="77777777" w:rsidR="001C0289" w:rsidRDefault="001C0289" w:rsidP="001C0289">
      <w:pPr>
        <w:ind w:left="720"/>
      </w:pPr>
      <w:r>
        <w:t>I 3: Australia’s reputation, relationships and influence enhanced across the region</w:t>
      </w:r>
    </w:p>
    <w:p w14:paraId="79B568A1" w14:textId="77777777" w:rsidR="001C0289" w:rsidRDefault="001C0289" w:rsidP="001C0289">
      <w:pPr>
        <w:ind w:left="720"/>
      </w:pPr>
      <w:r>
        <w:t>I 4: Inclusive recovery that protects the most vulnerable, facilitates the meaningful participation of all and leaves no one behind</w:t>
      </w:r>
    </w:p>
    <w:p w14:paraId="3F7BE791" w14:textId="77777777" w:rsidR="001C0289" w:rsidRDefault="001C0289" w:rsidP="001C0289">
      <w:r>
        <w:t>The EOPOS are further posited to contribute to achievement of the overarching end-of-investment outcome, indicated by an arrow connecting the EOPOs to the Overarching end of outcome, above.</w:t>
      </w:r>
    </w:p>
    <w:p w14:paraId="0F6F81EA" w14:textId="77777777" w:rsidR="001C0289" w:rsidRDefault="001C0289" w:rsidP="001C0289">
      <w:r>
        <w:t xml:space="preserve">The goals are posited to contribute to achievement of the overarching objective, indicated by an arrow connecting the goals to the overarching objective, above. </w:t>
      </w:r>
    </w:p>
    <w:p w14:paraId="43D7B87D" w14:textId="77777777" w:rsidR="001C0289" w:rsidRDefault="001C0289" w:rsidP="001C0289">
      <w:r>
        <w:t>The diagram includes two feedback loops, indicated by arrows from the column containing the intermediate outcomes by June 2022 to the activities/</w:t>
      </w:r>
      <w:proofErr w:type="gramStart"/>
      <w:r>
        <w:t>outputs</w:t>
      </w:r>
      <w:proofErr w:type="gramEnd"/>
      <w:r>
        <w:t xml:space="preserve"> column, and from the activities/outputs to the </w:t>
      </w:r>
      <w:proofErr w:type="gramStart"/>
      <w:r>
        <w:t>inputs</w:t>
      </w:r>
      <w:proofErr w:type="gramEnd"/>
      <w:r>
        <w:t xml:space="preserve"> column.</w:t>
      </w:r>
    </w:p>
    <w:p w14:paraId="27673307" w14:textId="77777777" w:rsidR="00FC0FDF" w:rsidRDefault="00FC0FDF" w:rsidP="001C0289">
      <w:pPr>
        <w:sectPr w:rsidR="00FC0FDF" w:rsidSect="00A25BBF">
          <w:pgSz w:w="11907" w:h="16839" w:code="9"/>
          <w:pgMar w:top="1440" w:right="1440" w:bottom="1440" w:left="1440" w:header="709" w:footer="709" w:gutter="0"/>
          <w:cols w:space="708"/>
          <w:docGrid w:linePitch="360"/>
        </w:sectPr>
      </w:pPr>
    </w:p>
    <w:p w14:paraId="124CCD28" w14:textId="0D1E3BBA" w:rsidR="00FC0FDF" w:rsidRDefault="00E8051E" w:rsidP="001C0289">
      <w:pPr>
        <w:rPr>
          <w:b/>
          <w:bCs/>
          <w:sz w:val="20"/>
          <w:szCs w:val="20"/>
        </w:rPr>
      </w:pPr>
      <w:r>
        <w:rPr>
          <w:b/>
          <w:bCs/>
        </w:rPr>
        <w:t>FIGURE</w:t>
      </w:r>
      <w:r w:rsidR="00B423FF">
        <w:rPr>
          <w:b/>
          <w:bCs/>
        </w:rPr>
        <w:t xml:space="preserve"> 2: </w:t>
      </w:r>
      <w:r w:rsidR="00B423FF" w:rsidRPr="00680011">
        <w:rPr>
          <w:b/>
          <w:bCs/>
          <w:sz w:val="20"/>
          <w:szCs w:val="20"/>
        </w:rPr>
        <w:t xml:space="preserve">Number of VAHSI COVID-19 vaccine doses </w:t>
      </w:r>
      <w:r w:rsidR="00B423FF">
        <w:rPr>
          <w:b/>
          <w:bCs/>
          <w:sz w:val="20"/>
          <w:szCs w:val="20"/>
        </w:rPr>
        <w:t>supplied</w:t>
      </w:r>
      <w:r w:rsidR="00B423FF" w:rsidRPr="00680011">
        <w:rPr>
          <w:b/>
          <w:bCs/>
          <w:sz w:val="20"/>
          <w:szCs w:val="20"/>
        </w:rPr>
        <w:t xml:space="preserve"> by month, Pacific Island Countries</w:t>
      </w:r>
    </w:p>
    <w:p w14:paraId="79259B9C" w14:textId="26A951D2" w:rsidR="00477706" w:rsidRDefault="00477706" w:rsidP="001C0289">
      <w:pPr>
        <w:rPr>
          <w:b/>
          <w:bCs/>
          <w:sz w:val="20"/>
          <w:szCs w:val="20"/>
        </w:rPr>
      </w:pPr>
      <w:r>
        <w:rPr>
          <w:b/>
          <w:bCs/>
          <w:sz w:val="20"/>
          <w:szCs w:val="20"/>
        </w:rPr>
        <w:t>2021</w:t>
      </w:r>
    </w:p>
    <w:tbl>
      <w:tblPr>
        <w:tblW w:w="11200" w:type="dxa"/>
        <w:tblLook w:val="04A0" w:firstRow="1" w:lastRow="0" w:firstColumn="1" w:lastColumn="0" w:noHBand="0" w:noVBand="1"/>
      </w:tblPr>
      <w:tblGrid>
        <w:gridCol w:w="880"/>
        <w:gridCol w:w="980"/>
        <w:gridCol w:w="980"/>
        <w:gridCol w:w="980"/>
        <w:gridCol w:w="1100"/>
        <w:gridCol w:w="1100"/>
        <w:gridCol w:w="1100"/>
        <w:gridCol w:w="1100"/>
        <w:gridCol w:w="1100"/>
        <w:gridCol w:w="1100"/>
        <w:gridCol w:w="811"/>
      </w:tblGrid>
      <w:tr w:rsidR="00477706" w:rsidRPr="00477706" w14:paraId="6302037A" w14:textId="77777777" w:rsidTr="009D0D58">
        <w:trPr>
          <w:trHeight w:val="240"/>
          <w:tblHead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21992" w14:textId="70CFBDFA" w:rsidR="00477706" w:rsidRPr="009D0D58" w:rsidRDefault="009D0D58" w:rsidP="00477706">
            <w:pPr>
              <w:spacing w:after="0" w:line="240" w:lineRule="auto"/>
              <w:rPr>
                <w:rFonts w:ascii="Aptos Narrow" w:hAnsi="Aptos Narrow" w:cs="Times New Roman"/>
                <w:b/>
                <w:bCs/>
                <w:color w:val="000000"/>
                <w:sz w:val="18"/>
                <w:szCs w:val="18"/>
                <w:lang w:eastAsia="en-AU" w:bidi="ar-SA"/>
              </w:rPr>
            </w:pPr>
            <w:r w:rsidRPr="009D0D58">
              <w:rPr>
                <w:rFonts w:ascii="Aptos Narrow" w:hAnsi="Aptos Narrow" w:cs="Times New Roman"/>
                <w:b/>
                <w:bCs/>
                <w:color w:val="000000"/>
                <w:sz w:val="18"/>
                <w:szCs w:val="18"/>
                <w:lang w:eastAsia="en-AU" w:bidi="ar-SA"/>
              </w:rPr>
              <w:t>Country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0DBF15F"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Mar-21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0C7A2C0"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Apr-21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5BB8667"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May-21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61FF18F"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Jun-21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282FA7A"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Jul-21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5CFFA28"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Aug-21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6BC9039"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Sep-21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AF59D52"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Oct-21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BA118A0"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Nov-21</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3E3A70B1"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Dec-21</w:t>
            </w:r>
          </w:p>
        </w:tc>
      </w:tr>
      <w:tr w:rsidR="00477706" w:rsidRPr="00477706" w14:paraId="6E7CADDE"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F4C3C9B" w14:textId="5D482325"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Fiji </w:t>
            </w:r>
          </w:p>
        </w:tc>
        <w:tc>
          <w:tcPr>
            <w:tcW w:w="980" w:type="dxa"/>
            <w:tcBorders>
              <w:top w:val="nil"/>
              <w:left w:val="nil"/>
              <w:bottom w:val="single" w:sz="4" w:space="0" w:color="auto"/>
              <w:right w:val="single" w:sz="4" w:space="0" w:color="auto"/>
            </w:tcBorders>
            <w:shd w:val="clear" w:color="auto" w:fill="auto"/>
            <w:noWrap/>
            <w:vAlign w:val="bottom"/>
            <w:hideMark/>
          </w:tcPr>
          <w:p w14:paraId="0ABDE59F" w14:textId="16D789A2"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120,000 </w:t>
            </w:r>
          </w:p>
        </w:tc>
        <w:tc>
          <w:tcPr>
            <w:tcW w:w="980" w:type="dxa"/>
            <w:tcBorders>
              <w:top w:val="nil"/>
              <w:left w:val="nil"/>
              <w:bottom w:val="single" w:sz="4" w:space="0" w:color="auto"/>
              <w:right w:val="single" w:sz="4" w:space="0" w:color="auto"/>
            </w:tcBorders>
            <w:shd w:val="clear" w:color="auto" w:fill="auto"/>
            <w:noWrap/>
            <w:vAlign w:val="bottom"/>
            <w:hideMark/>
          </w:tcPr>
          <w:p w14:paraId="321EBA09" w14:textId="65C7BEF3"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200,000 </w:t>
            </w:r>
          </w:p>
        </w:tc>
        <w:tc>
          <w:tcPr>
            <w:tcW w:w="980" w:type="dxa"/>
            <w:tcBorders>
              <w:top w:val="nil"/>
              <w:left w:val="nil"/>
              <w:bottom w:val="single" w:sz="4" w:space="0" w:color="auto"/>
              <w:right w:val="single" w:sz="4" w:space="0" w:color="auto"/>
            </w:tcBorders>
            <w:shd w:val="clear" w:color="auto" w:fill="auto"/>
            <w:noWrap/>
            <w:vAlign w:val="bottom"/>
            <w:hideMark/>
          </w:tcPr>
          <w:p w14:paraId="5FD3CABA" w14:textId="3AF56BD6"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241,000 </w:t>
            </w:r>
          </w:p>
        </w:tc>
        <w:tc>
          <w:tcPr>
            <w:tcW w:w="1100" w:type="dxa"/>
            <w:tcBorders>
              <w:top w:val="nil"/>
              <w:left w:val="nil"/>
              <w:bottom w:val="single" w:sz="4" w:space="0" w:color="auto"/>
              <w:right w:val="single" w:sz="4" w:space="0" w:color="auto"/>
            </w:tcBorders>
            <w:shd w:val="clear" w:color="auto" w:fill="auto"/>
            <w:noWrap/>
            <w:vAlign w:val="bottom"/>
            <w:hideMark/>
          </w:tcPr>
          <w:p w14:paraId="5B152B25" w14:textId="7436B85F"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300,000 </w:t>
            </w:r>
          </w:p>
        </w:tc>
        <w:tc>
          <w:tcPr>
            <w:tcW w:w="1100" w:type="dxa"/>
            <w:tcBorders>
              <w:top w:val="nil"/>
              <w:left w:val="nil"/>
              <w:bottom w:val="single" w:sz="4" w:space="0" w:color="auto"/>
              <w:right w:val="single" w:sz="4" w:space="0" w:color="auto"/>
            </w:tcBorders>
            <w:shd w:val="clear" w:color="auto" w:fill="auto"/>
            <w:noWrap/>
            <w:vAlign w:val="bottom"/>
            <w:hideMark/>
          </w:tcPr>
          <w:p w14:paraId="562501A8"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64BD745A" w14:textId="724C0739"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215,000 </w:t>
            </w:r>
          </w:p>
        </w:tc>
        <w:tc>
          <w:tcPr>
            <w:tcW w:w="1100" w:type="dxa"/>
            <w:tcBorders>
              <w:top w:val="nil"/>
              <w:left w:val="nil"/>
              <w:bottom w:val="single" w:sz="4" w:space="0" w:color="auto"/>
              <w:right w:val="single" w:sz="4" w:space="0" w:color="auto"/>
            </w:tcBorders>
            <w:shd w:val="clear" w:color="auto" w:fill="auto"/>
            <w:noWrap/>
            <w:vAlign w:val="bottom"/>
            <w:hideMark/>
          </w:tcPr>
          <w:p w14:paraId="5325973B"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642799E8"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5E485390"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80" w:type="dxa"/>
            <w:tcBorders>
              <w:top w:val="nil"/>
              <w:left w:val="nil"/>
              <w:bottom w:val="single" w:sz="4" w:space="0" w:color="auto"/>
              <w:right w:val="single" w:sz="4" w:space="0" w:color="auto"/>
            </w:tcBorders>
            <w:shd w:val="clear" w:color="auto" w:fill="auto"/>
            <w:noWrap/>
            <w:vAlign w:val="bottom"/>
            <w:hideMark/>
          </w:tcPr>
          <w:p w14:paraId="17BAA5F0" w14:textId="69BE1981"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351,000 </w:t>
            </w:r>
          </w:p>
        </w:tc>
      </w:tr>
      <w:tr w:rsidR="00477706" w:rsidRPr="00477706" w14:paraId="39ABC903"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0271B01" w14:textId="146AB901"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Kiribati </w:t>
            </w:r>
          </w:p>
        </w:tc>
        <w:tc>
          <w:tcPr>
            <w:tcW w:w="980" w:type="dxa"/>
            <w:tcBorders>
              <w:top w:val="nil"/>
              <w:left w:val="nil"/>
              <w:bottom w:val="single" w:sz="4" w:space="0" w:color="auto"/>
              <w:right w:val="single" w:sz="4" w:space="0" w:color="auto"/>
            </w:tcBorders>
            <w:shd w:val="clear" w:color="auto" w:fill="auto"/>
            <w:noWrap/>
            <w:vAlign w:val="bottom"/>
            <w:hideMark/>
          </w:tcPr>
          <w:p w14:paraId="3743CADB"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3ECA1710"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69E3A30B"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5CF2BBDB"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671D98BF"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7579CF92"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5D1CFB5D"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3BE40B35" w14:textId="3CE5572F"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500 </w:t>
            </w:r>
          </w:p>
        </w:tc>
        <w:tc>
          <w:tcPr>
            <w:tcW w:w="1100" w:type="dxa"/>
            <w:tcBorders>
              <w:top w:val="nil"/>
              <w:left w:val="nil"/>
              <w:bottom w:val="single" w:sz="4" w:space="0" w:color="auto"/>
              <w:right w:val="single" w:sz="4" w:space="0" w:color="auto"/>
            </w:tcBorders>
            <w:shd w:val="clear" w:color="auto" w:fill="auto"/>
            <w:noWrap/>
            <w:vAlign w:val="bottom"/>
            <w:hideMark/>
          </w:tcPr>
          <w:p w14:paraId="368EC3BA"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80" w:type="dxa"/>
            <w:tcBorders>
              <w:top w:val="nil"/>
              <w:left w:val="nil"/>
              <w:bottom w:val="single" w:sz="4" w:space="0" w:color="auto"/>
              <w:right w:val="single" w:sz="4" w:space="0" w:color="auto"/>
            </w:tcBorders>
            <w:shd w:val="clear" w:color="auto" w:fill="auto"/>
            <w:noWrap/>
            <w:vAlign w:val="bottom"/>
            <w:hideMark/>
          </w:tcPr>
          <w:p w14:paraId="1DF77763" w14:textId="454E8070"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500 </w:t>
            </w:r>
          </w:p>
        </w:tc>
      </w:tr>
      <w:tr w:rsidR="00477706" w:rsidRPr="00477706" w14:paraId="2B51C0F9"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E4B4CD6" w14:textId="50C799F9"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Nauru </w:t>
            </w:r>
          </w:p>
        </w:tc>
        <w:tc>
          <w:tcPr>
            <w:tcW w:w="980" w:type="dxa"/>
            <w:tcBorders>
              <w:top w:val="nil"/>
              <w:left w:val="nil"/>
              <w:bottom w:val="single" w:sz="4" w:space="0" w:color="auto"/>
              <w:right w:val="single" w:sz="4" w:space="0" w:color="auto"/>
            </w:tcBorders>
            <w:shd w:val="clear" w:color="auto" w:fill="auto"/>
            <w:noWrap/>
            <w:vAlign w:val="bottom"/>
            <w:hideMark/>
          </w:tcPr>
          <w:p w14:paraId="79CF71EC"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2652762E"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448C7789"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5BD29EC8" w14:textId="6FA224C6"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13,000 </w:t>
            </w:r>
          </w:p>
        </w:tc>
        <w:tc>
          <w:tcPr>
            <w:tcW w:w="1100" w:type="dxa"/>
            <w:tcBorders>
              <w:top w:val="nil"/>
              <w:left w:val="nil"/>
              <w:bottom w:val="single" w:sz="4" w:space="0" w:color="auto"/>
              <w:right w:val="single" w:sz="4" w:space="0" w:color="auto"/>
            </w:tcBorders>
            <w:shd w:val="clear" w:color="auto" w:fill="auto"/>
            <w:noWrap/>
            <w:vAlign w:val="bottom"/>
            <w:hideMark/>
          </w:tcPr>
          <w:p w14:paraId="3A223A98" w14:textId="3A69A2D6"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8,000 </w:t>
            </w:r>
          </w:p>
        </w:tc>
        <w:tc>
          <w:tcPr>
            <w:tcW w:w="1100" w:type="dxa"/>
            <w:tcBorders>
              <w:top w:val="nil"/>
              <w:left w:val="nil"/>
              <w:bottom w:val="single" w:sz="4" w:space="0" w:color="auto"/>
              <w:right w:val="single" w:sz="4" w:space="0" w:color="auto"/>
            </w:tcBorders>
            <w:shd w:val="clear" w:color="auto" w:fill="auto"/>
            <w:noWrap/>
            <w:vAlign w:val="bottom"/>
            <w:hideMark/>
          </w:tcPr>
          <w:p w14:paraId="4E2EAE30"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6FDD4086"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160153C3"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BF715B6"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80" w:type="dxa"/>
            <w:tcBorders>
              <w:top w:val="nil"/>
              <w:left w:val="nil"/>
              <w:bottom w:val="single" w:sz="4" w:space="0" w:color="auto"/>
              <w:right w:val="single" w:sz="4" w:space="0" w:color="auto"/>
            </w:tcBorders>
            <w:shd w:val="clear" w:color="auto" w:fill="auto"/>
            <w:noWrap/>
            <w:vAlign w:val="bottom"/>
            <w:hideMark/>
          </w:tcPr>
          <w:p w14:paraId="6108D7F5" w14:textId="0198BC98"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2,200 </w:t>
            </w:r>
          </w:p>
        </w:tc>
      </w:tr>
      <w:tr w:rsidR="00477706" w:rsidRPr="00477706" w14:paraId="03D73767"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A64EAAB" w14:textId="7691C1E0"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PNG </w:t>
            </w:r>
          </w:p>
        </w:tc>
        <w:tc>
          <w:tcPr>
            <w:tcW w:w="980" w:type="dxa"/>
            <w:tcBorders>
              <w:top w:val="nil"/>
              <w:left w:val="nil"/>
              <w:bottom w:val="single" w:sz="4" w:space="0" w:color="auto"/>
              <w:right w:val="single" w:sz="4" w:space="0" w:color="auto"/>
            </w:tcBorders>
            <w:shd w:val="clear" w:color="auto" w:fill="auto"/>
            <w:noWrap/>
            <w:vAlign w:val="bottom"/>
            <w:hideMark/>
          </w:tcPr>
          <w:p w14:paraId="0C8B96A3" w14:textId="5B87C652"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8,480 </w:t>
            </w:r>
          </w:p>
        </w:tc>
        <w:tc>
          <w:tcPr>
            <w:tcW w:w="980" w:type="dxa"/>
            <w:tcBorders>
              <w:top w:val="nil"/>
              <w:left w:val="nil"/>
              <w:bottom w:val="single" w:sz="4" w:space="0" w:color="auto"/>
              <w:right w:val="single" w:sz="4" w:space="0" w:color="auto"/>
            </w:tcBorders>
            <w:shd w:val="clear" w:color="auto" w:fill="auto"/>
            <w:noWrap/>
            <w:vAlign w:val="bottom"/>
            <w:hideMark/>
          </w:tcPr>
          <w:p w14:paraId="621EB012" w14:textId="02D00CFD"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10,000 </w:t>
            </w:r>
          </w:p>
        </w:tc>
        <w:tc>
          <w:tcPr>
            <w:tcW w:w="980" w:type="dxa"/>
            <w:tcBorders>
              <w:top w:val="nil"/>
              <w:left w:val="nil"/>
              <w:bottom w:val="single" w:sz="4" w:space="0" w:color="auto"/>
              <w:right w:val="single" w:sz="4" w:space="0" w:color="auto"/>
            </w:tcBorders>
            <w:shd w:val="clear" w:color="auto" w:fill="auto"/>
            <w:noWrap/>
            <w:vAlign w:val="bottom"/>
            <w:hideMark/>
          </w:tcPr>
          <w:p w14:paraId="4E559FF8" w14:textId="028EF2A5"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2,000 </w:t>
            </w:r>
          </w:p>
        </w:tc>
        <w:tc>
          <w:tcPr>
            <w:tcW w:w="1100" w:type="dxa"/>
            <w:tcBorders>
              <w:top w:val="nil"/>
              <w:left w:val="nil"/>
              <w:bottom w:val="single" w:sz="4" w:space="0" w:color="auto"/>
              <w:right w:val="single" w:sz="4" w:space="0" w:color="auto"/>
            </w:tcBorders>
            <w:shd w:val="clear" w:color="auto" w:fill="auto"/>
            <w:noWrap/>
            <w:vAlign w:val="bottom"/>
            <w:hideMark/>
          </w:tcPr>
          <w:p w14:paraId="45E6C97B" w14:textId="40FF684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7,990 </w:t>
            </w:r>
          </w:p>
        </w:tc>
        <w:tc>
          <w:tcPr>
            <w:tcW w:w="1100" w:type="dxa"/>
            <w:tcBorders>
              <w:top w:val="nil"/>
              <w:left w:val="nil"/>
              <w:bottom w:val="single" w:sz="4" w:space="0" w:color="auto"/>
              <w:right w:val="single" w:sz="4" w:space="0" w:color="auto"/>
            </w:tcBorders>
            <w:shd w:val="clear" w:color="auto" w:fill="auto"/>
            <w:noWrap/>
            <w:vAlign w:val="bottom"/>
            <w:hideMark/>
          </w:tcPr>
          <w:p w14:paraId="41CC4C19"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559041CF" w14:textId="21504F72"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20,000 </w:t>
            </w:r>
          </w:p>
        </w:tc>
        <w:tc>
          <w:tcPr>
            <w:tcW w:w="1100" w:type="dxa"/>
            <w:tcBorders>
              <w:top w:val="nil"/>
              <w:left w:val="nil"/>
              <w:bottom w:val="single" w:sz="4" w:space="0" w:color="auto"/>
              <w:right w:val="single" w:sz="4" w:space="0" w:color="auto"/>
            </w:tcBorders>
            <w:shd w:val="clear" w:color="auto" w:fill="auto"/>
            <w:noWrap/>
            <w:vAlign w:val="bottom"/>
            <w:hideMark/>
          </w:tcPr>
          <w:p w14:paraId="1A397D2A" w14:textId="21048A94"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96,500 </w:t>
            </w:r>
          </w:p>
        </w:tc>
        <w:tc>
          <w:tcPr>
            <w:tcW w:w="1100" w:type="dxa"/>
            <w:tcBorders>
              <w:top w:val="nil"/>
              <w:left w:val="nil"/>
              <w:bottom w:val="single" w:sz="4" w:space="0" w:color="auto"/>
              <w:right w:val="single" w:sz="4" w:space="0" w:color="auto"/>
            </w:tcBorders>
            <w:shd w:val="clear" w:color="auto" w:fill="auto"/>
            <w:noWrap/>
            <w:vAlign w:val="bottom"/>
            <w:hideMark/>
          </w:tcPr>
          <w:p w14:paraId="2A837B5E" w14:textId="4645122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60,000 </w:t>
            </w:r>
          </w:p>
        </w:tc>
        <w:tc>
          <w:tcPr>
            <w:tcW w:w="1100" w:type="dxa"/>
            <w:tcBorders>
              <w:top w:val="nil"/>
              <w:left w:val="nil"/>
              <w:bottom w:val="single" w:sz="4" w:space="0" w:color="auto"/>
              <w:right w:val="single" w:sz="4" w:space="0" w:color="auto"/>
            </w:tcBorders>
            <w:shd w:val="clear" w:color="auto" w:fill="auto"/>
            <w:noWrap/>
            <w:vAlign w:val="bottom"/>
            <w:hideMark/>
          </w:tcPr>
          <w:p w14:paraId="11208717"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80" w:type="dxa"/>
            <w:tcBorders>
              <w:top w:val="nil"/>
              <w:left w:val="nil"/>
              <w:bottom w:val="single" w:sz="4" w:space="0" w:color="auto"/>
              <w:right w:val="single" w:sz="4" w:space="0" w:color="auto"/>
            </w:tcBorders>
            <w:shd w:val="clear" w:color="auto" w:fill="auto"/>
            <w:noWrap/>
            <w:vAlign w:val="bottom"/>
            <w:hideMark/>
          </w:tcPr>
          <w:p w14:paraId="27EB2AD7"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r>
      <w:tr w:rsidR="00477706" w:rsidRPr="00477706" w14:paraId="4FC45A8D"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2750DDB" w14:textId="341A789C"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Samoa  </w:t>
            </w:r>
          </w:p>
        </w:tc>
        <w:tc>
          <w:tcPr>
            <w:tcW w:w="980" w:type="dxa"/>
            <w:tcBorders>
              <w:top w:val="nil"/>
              <w:left w:val="nil"/>
              <w:bottom w:val="single" w:sz="4" w:space="0" w:color="auto"/>
              <w:right w:val="single" w:sz="4" w:space="0" w:color="auto"/>
            </w:tcBorders>
            <w:shd w:val="clear" w:color="auto" w:fill="auto"/>
            <w:noWrap/>
            <w:vAlign w:val="bottom"/>
            <w:hideMark/>
          </w:tcPr>
          <w:p w14:paraId="0FA1878B"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42D99213"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2FC5ADAF"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DA4D0B0" w14:textId="447B1429"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50,000 </w:t>
            </w:r>
          </w:p>
        </w:tc>
        <w:tc>
          <w:tcPr>
            <w:tcW w:w="1100" w:type="dxa"/>
            <w:tcBorders>
              <w:top w:val="nil"/>
              <w:left w:val="nil"/>
              <w:bottom w:val="single" w:sz="4" w:space="0" w:color="auto"/>
              <w:right w:val="single" w:sz="4" w:space="0" w:color="auto"/>
            </w:tcBorders>
            <w:shd w:val="clear" w:color="auto" w:fill="auto"/>
            <w:noWrap/>
            <w:vAlign w:val="bottom"/>
            <w:hideMark/>
          </w:tcPr>
          <w:p w14:paraId="46E6E008"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222D628F"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22ABEA6"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7CE0B0B5"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52E7F7C1" w14:textId="62D63975"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2,000 </w:t>
            </w:r>
          </w:p>
        </w:tc>
        <w:tc>
          <w:tcPr>
            <w:tcW w:w="780" w:type="dxa"/>
            <w:tcBorders>
              <w:top w:val="nil"/>
              <w:left w:val="nil"/>
              <w:bottom w:val="single" w:sz="4" w:space="0" w:color="auto"/>
              <w:right w:val="single" w:sz="4" w:space="0" w:color="auto"/>
            </w:tcBorders>
            <w:shd w:val="clear" w:color="auto" w:fill="auto"/>
            <w:noWrap/>
            <w:vAlign w:val="bottom"/>
            <w:hideMark/>
          </w:tcPr>
          <w:p w14:paraId="28188573" w14:textId="4F672ECB"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12,000 </w:t>
            </w:r>
          </w:p>
        </w:tc>
      </w:tr>
      <w:tr w:rsidR="00477706" w:rsidRPr="00477706" w14:paraId="05B0D4DE"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AD2C1E4" w14:textId="20BAAA0D"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Sol. Is. </w:t>
            </w:r>
          </w:p>
        </w:tc>
        <w:tc>
          <w:tcPr>
            <w:tcW w:w="980" w:type="dxa"/>
            <w:tcBorders>
              <w:top w:val="nil"/>
              <w:left w:val="nil"/>
              <w:bottom w:val="single" w:sz="4" w:space="0" w:color="auto"/>
              <w:right w:val="single" w:sz="4" w:space="0" w:color="auto"/>
            </w:tcBorders>
            <w:shd w:val="clear" w:color="auto" w:fill="auto"/>
            <w:noWrap/>
            <w:vAlign w:val="bottom"/>
            <w:hideMark/>
          </w:tcPr>
          <w:p w14:paraId="42652C88"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3E6A3C0B"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0C8E3549" w14:textId="40C150BF"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13,000 </w:t>
            </w:r>
          </w:p>
        </w:tc>
        <w:tc>
          <w:tcPr>
            <w:tcW w:w="1100" w:type="dxa"/>
            <w:tcBorders>
              <w:top w:val="nil"/>
              <w:left w:val="nil"/>
              <w:bottom w:val="single" w:sz="4" w:space="0" w:color="auto"/>
              <w:right w:val="single" w:sz="4" w:space="0" w:color="auto"/>
            </w:tcBorders>
            <w:shd w:val="clear" w:color="auto" w:fill="auto"/>
            <w:noWrap/>
            <w:vAlign w:val="bottom"/>
            <w:hideMark/>
          </w:tcPr>
          <w:p w14:paraId="469EE957" w14:textId="53437FC9"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50,000 </w:t>
            </w:r>
          </w:p>
        </w:tc>
        <w:tc>
          <w:tcPr>
            <w:tcW w:w="1100" w:type="dxa"/>
            <w:tcBorders>
              <w:top w:val="nil"/>
              <w:left w:val="nil"/>
              <w:bottom w:val="single" w:sz="4" w:space="0" w:color="auto"/>
              <w:right w:val="single" w:sz="4" w:space="0" w:color="auto"/>
            </w:tcBorders>
            <w:shd w:val="clear" w:color="auto" w:fill="auto"/>
            <w:noWrap/>
            <w:vAlign w:val="bottom"/>
            <w:hideMark/>
          </w:tcPr>
          <w:p w14:paraId="596A94CE"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68DB99BF" w14:textId="5F8A1809"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100,000 </w:t>
            </w:r>
          </w:p>
        </w:tc>
        <w:tc>
          <w:tcPr>
            <w:tcW w:w="1100" w:type="dxa"/>
            <w:tcBorders>
              <w:top w:val="nil"/>
              <w:left w:val="nil"/>
              <w:bottom w:val="single" w:sz="4" w:space="0" w:color="auto"/>
              <w:right w:val="single" w:sz="4" w:space="0" w:color="auto"/>
            </w:tcBorders>
            <w:shd w:val="clear" w:color="auto" w:fill="auto"/>
            <w:noWrap/>
            <w:vAlign w:val="bottom"/>
            <w:hideMark/>
          </w:tcPr>
          <w:p w14:paraId="4BA61857"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3E00A749" w14:textId="4FC8FF30"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50,000 </w:t>
            </w:r>
          </w:p>
        </w:tc>
        <w:tc>
          <w:tcPr>
            <w:tcW w:w="1100" w:type="dxa"/>
            <w:tcBorders>
              <w:top w:val="nil"/>
              <w:left w:val="nil"/>
              <w:bottom w:val="single" w:sz="4" w:space="0" w:color="auto"/>
              <w:right w:val="single" w:sz="4" w:space="0" w:color="auto"/>
            </w:tcBorders>
            <w:shd w:val="clear" w:color="auto" w:fill="auto"/>
            <w:noWrap/>
            <w:vAlign w:val="bottom"/>
            <w:hideMark/>
          </w:tcPr>
          <w:p w14:paraId="3A1E61A7"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80" w:type="dxa"/>
            <w:tcBorders>
              <w:top w:val="nil"/>
              <w:left w:val="nil"/>
              <w:bottom w:val="single" w:sz="4" w:space="0" w:color="auto"/>
              <w:right w:val="single" w:sz="4" w:space="0" w:color="auto"/>
            </w:tcBorders>
            <w:shd w:val="clear" w:color="auto" w:fill="auto"/>
            <w:noWrap/>
            <w:vAlign w:val="bottom"/>
            <w:hideMark/>
          </w:tcPr>
          <w:p w14:paraId="3A951E1B" w14:textId="6CF2C02F"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150,930 </w:t>
            </w:r>
          </w:p>
        </w:tc>
      </w:tr>
      <w:tr w:rsidR="00477706" w:rsidRPr="00477706" w14:paraId="4E23812C"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BE30111" w14:textId="3767B5EA"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Tonga  </w:t>
            </w:r>
          </w:p>
        </w:tc>
        <w:tc>
          <w:tcPr>
            <w:tcW w:w="980" w:type="dxa"/>
            <w:tcBorders>
              <w:top w:val="nil"/>
              <w:left w:val="nil"/>
              <w:bottom w:val="single" w:sz="4" w:space="0" w:color="auto"/>
              <w:right w:val="single" w:sz="4" w:space="0" w:color="auto"/>
            </w:tcBorders>
            <w:shd w:val="clear" w:color="auto" w:fill="auto"/>
            <w:noWrap/>
            <w:vAlign w:val="bottom"/>
            <w:hideMark/>
          </w:tcPr>
          <w:p w14:paraId="7EACE0C2"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49376EC8"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6EA1D5AE"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518F6B0C"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060A8880" w14:textId="37C3AC8F"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9,000 </w:t>
            </w:r>
          </w:p>
        </w:tc>
        <w:tc>
          <w:tcPr>
            <w:tcW w:w="1100" w:type="dxa"/>
            <w:tcBorders>
              <w:top w:val="nil"/>
              <w:left w:val="nil"/>
              <w:bottom w:val="single" w:sz="4" w:space="0" w:color="auto"/>
              <w:right w:val="single" w:sz="4" w:space="0" w:color="auto"/>
            </w:tcBorders>
            <w:shd w:val="clear" w:color="auto" w:fill="auto"/>
            <w:noWrap/>
            <w:vAlign w:val="bottom"/>
            <w:hideMark/>
          </w:tcPr>
          <w:p w14:paraId="5D234182" w14:textId="68BFA990"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10,000 </w:t>
            </w:r>
          </w:p>
        </w:tc>
        <w:tc>
          <w:tcPr>
            <w:tcW w:w="1100" w:type="dxa"/>
            <w:tcBorders>
              <w:top w:val="nil"/>
              <w:left w:val="nil"/>
              <w:bottom w:val="single" w:sz="4" w:space="0" w:color="auto"/>
              <w:right w:val="single" w:sz="4" w:space="0" w:color="auto"/>
            </w:tcBorders>
            <w:shd w:val="clear" w:color="auto" w:fill="auto"/>
            <w:noWrap/>
            <w:vAlign w:val="bottom"/>
            <w:hideMark/>
          </w:tcPr>
          <w:p w14:paraId="2C94FC1C"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6A987684"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76079691"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80" w:type="dxa"/>
            <w:tcBorders>
              <w:top w:val="nil"/>
              <w:left w:val="nil"/>
              <w:bottom w:val="single" w:sz="4" w:space="0" w:color="auto"/>
              <w:right w:val="single" w:sz="4" w:space="0" w:color="auto"/>
            </w:tcBorders>
            <w:shd w:val="clear" w:color="auto" w:fill="auto"/>
            <w:noWrap/>
            <w:vAlign w:val="bottom"/>
            <w:hideMark/>
          </w:tcPr>
          <w:p w14:paraId="1C28391B"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r>
      <w:tr w:rsidR="00477706" w:rsidRPr="00477706" w14:paraId="2B057784"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31F4FF3" w14:textId="55910488"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Tuvalu </w:t>
            </w:r>
          </w:p>
        </w:tc>
        <w:tc>
          <w:tcPr>
            <w:tcW w:w="980" w:type="dxa"/>
            <w:tcBorders>
              <w:top w:val="nil"/>
              <w:left w:val="nil"/>
              <w:bottom w:val="single" w:sz="4" w:space="0" w:color="auto"/>
              <w:right w:val="single" w:sz="4" w:space="0" w:color="auto"/>
            </w:tcBorders>
            <w:shd w:val="clear" w:color="auto" w:fill="auto"/>
            <w:noWrap/>
            <w:vAlign w:val="bottom"/>
            <w:hideMark/>
          </w:tcPr>
          <w:p w14:paraId="234AE463" w14:textId="1BD8DB52"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7,000 </w:t>
            </w:r>
          </w:p>
        </w:tc>
        <w:tc>
          <w:tcPr>
            <w:tcW w:w="980" w:type="dxa"/>
            <w:tcBorders>
              <w:top w:val="nil"/>
              <w:left w:val="nil"/>
              <w:bottom w:val="single" w:sz="4" w:space="0" w:color="auto"/>
              <w:right w:val="single" w:sz="4" w:space="0" w:color="auto"/>
            </w:tcBorders>
            <w:shd w:val="clear" w:color="auto" w:fill="auto"/>
            <w:noWrap/>
            <w:vAlign w:val="bottom"/>
            <w:hideMark/>
          </w:tcPr>
          <w:p w14:paraId="0B286BE8"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28C050C4"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74E72C7E"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63A2CDF0"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77C36D3D"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1F42C36F"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5F503FFB"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24B3650A"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80" w:type="dxa"/>
            <w:tcBorders>
              <w:top w:val="nil"/>
              <w:left w:val="nil"/>
              <w:bottom w:val="single" w:sz="4" w:space="0" w:color="auto"/>
              <w:right w:val="single" w:sz="4" w:space="0" w:color="auto"/>
            </w:tcBorders>
            <w:shd w:val="clear" w:color="auto" w:fill="auto"/>
            <w:noWrap/>
            <w:vAlign w:val="bottom"/>
            <w:hideMark/>
          </w:tcPr>
          <w:p w14:paraId="1137F6D8"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r>
      <w:tr w:rsidR="00477706" w:rsidRPr="00477706" w14:paraId="5EAD14D2"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BC6BB87" w14:textId="3459013B"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Vanuatu </w:t>
            </w:r>
          </w:p>
        </w:tc>
        <w:tc>
          <w:tcPr>
            <w:tcW w:w="980" w:type="dxa"/>
            <w:tcBorders>
              <w:top w:val="nil"/>
              <w:left w:val="nil"/>
              <w:bottom w:val="single" w:sz="4" w:space="0" w:color="auto"/>
              <w:right w:val="single" w:sz="4" w:space="0" w:color="auto"/>
            </w:tcBorders>
            <w:shd w:val="clear" w:color="auto" w:fill="auto"/>
            <w:noWrap/>
            <w:vAlign w:val="bottom"/>
            <w:hideMark/>
          </w:tcPr>
          <w:p w14:paraId="6214E2D6"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564F1FCE"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3484098A"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86EB598" w14:textId="6962A2BE"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20,000 </w:t>
            </w:r>
          </w:p>
        </w:tc>
        <w:tc>
          <w:tcPr>
            <w:tcW w:w="1100" w:type="dxa"/>
            <w:tcBorders>
              <w:top w:val="nil"/>
              <w:left w:val="nil"/>
              <w:bottom w:val="single" w:sz="4" w:space="0" w:color="auto"/>
              <w:right w:val="single" w:sz="4" w:space="0" w:color="auto"/>
            </w:tcBorders>
            <w:shd w:val="clear" w:color="auto" w:fill="auto"/>
            <w:noWrap/>
            <w:vAlign w:val="bottom"/>
            <w:hideMark/>
          </w:tcPr>
          <w:p w14:paraId="5A39667A" w14:textId="080A3795"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30,000 </w:t>
            </w:r>
          </w:p>
        </w:tc>
        <w:tc>
          <w:tcPr>
            <w:tcW w:w="1100" w:type="dxa"/>
            <w:tcBorders>
              <w:top w:val="nil"/>
              <w:left w:val="nil"/>
              <w:bottom w:val="single" w:sz="4" w:space="0" w:color="auto"/>
              <w:right w:val="single" w:sz="4" w:space="0" w:color="auto"/>
            </w:tcBorders>
            <w:shd w:val="clear" w:color="auto" w:fill="auto"/>
            <w:noWrap/>
            <w:vAlign w:val="bottom"/>
            <w:hideMark/>
          </w:tcPr>
          <w:p w14:paraId="671D437D"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68B30533" w14:textId="0B02F978"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20,000 </w:t>
            </w:r>
          </w:p>
        </w:tc>
        <w:tc>
          <w:tcPr>
            <w:tcW w:w="1100" w:type="dxa"/>
            <w:tcBorders>
              <w:top w:val="nil"/>
              <w:left w:val="nil"/>
              <w:bottom w:val="single" w:sz="4" w:space="0" w:color="auto"/>
              <w:right w:val="single" w:sz="4" w:space="0" w:color="auto"/>
            </w:tcBorders>
            <w:shd w:val="clear" w:color="auto" w:fill="auto"/>
            <w:noWrap/>
            <w:vAlign w:val="bottom"/>
            <w:hideMark/>
          </w:tcPr>
          <w:p w14:paraId="36DB59DB" w14:textId="0C2915C3"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30,000 </w:t>
            </w:r>
          </w:p>
        </w:tc>
        <w:tc>
          <w:tcPr>
            <w:tcW w:w="1100" w:type="dxa"/>
            <w:tcBorders>
              <w:top w:val="nil"/>
              <w:left w:val="nil"/>
              <w:bottom w:val="single" w:sz="4" w:space="0" w:color="auto"/>
              <w:right w:val="single" w:sz="4" w:space="0" w:color="auto"/>
            </w:tcBorders>
            <w:shd w:val="clear" w:color="auto" w:fill="auto"/>
            <w:noWrap/>
            <w:vAlign w:val="bottom"/>
            <w:hideMark/>
          </w:tcPr>
          <w:p w14:paraId="181308B8" w14:textId="1F3490EA"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30,000 </w:t>
            </w:r>
          </w:p>
        </w:tc>
        <w:tc>
          <w:tcPr>
            <w:tcW w:w="780" w:type="dxa"/>
            <w:tcBorders>
              <w:top w:val="nil"/>
              <w:left w:val="nil"/>
              <w:bottom w:val="single" w:sz="4" w:space="0" w:color="auto"/>
              <w:right w:val="single" w:sz="4" w:space="0" w:color="auto"/>
            </w:tcBorders>
            <w:shd w:val="clear" w:color="auto" w:fill="auto"/>
            <w:noWrap/>
            <w:vAlign w:val="bottom"/>
            <w:hideMark/>
          </w:tcPr>
          <w:p w14:paraId="2D422C5F"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r>
    </w:tbl>
    <w:p w14:paraId="4CBF0A91" w14:textId="32CFB977" w:rsidR="00B423FF" w:rsidRDefault="00B423FF" w:rsidP="001C0289">
      <w:pPr>
        <w:rPr>
          <w:b/>
          <w:bCs/>
        </w:rPr>
      </w:pPr>
    </w:p>
    <w:p w14:paraId="5529F3CB" w14:textId="7F11EC34" w:rsidR="00477706" w:rsidRDefault="00477706" w:rsidP="001C0289">
      <w:pPr>
        <w:rPr>
          <w:b/>
          <w:bCs/>
        </w:rPr>
      </w:pPr>
      <w:r>
        <w:rPr>
          <w:b/>
          <w:bCs/>
        </w:rPr>
        <w:t>2022</w:t>
      </w:r>
    </w:p>
    <w:tbl>
      <w:tblPr>
        <w:tblW w:w="12340" w:type="dxa"/>
        <w:tblLook w:val="04A0" w:firstRow="1" w:lastRow="0" w:firstColumn="1" w:lastColumn="0" w:noHBand="0" w:noVBand="1"/>
      </w:tblPr>
      <w:tblGrid>
        <w:gridCol w:w="880"/>
        <w:gridCol w:w="1100"/>
        <w:gridCol w:w="1100"/>
        <w:gridCol w:w="719"/>
        <w:gridCol w:w="1180"/>
        <w:gridCol w:w="719"/>
        <w:gridCol w:w="1100"/>
        <w:gridCol w:w="1100"/>
        <w:gridCol w:w="980"/>
        <w:gridCol w:w="980"/>
        <w:gridCol w:w="760"/>
        <w:gridCol w:w="1000"/>
        <w:gridCol w:w="760"/>
      </w:tblGrid>
      <w:tr w:rsidR="00477706" w:rsidRPr="00477706" w14:paraId="09FEACC0" w14:textId="77777777" w:rsidTr="00477706">
        <w:trPr>
          <w:trHeight w:val="240"/>
          <w:tblHead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A2A3" w14:textId="7F5167EB" w:rsidR="00477706" w:rsidRPr="009D0D58" w:rsidRDefault="009D0D58" w:rsidP="00477706">
            <w:pPr>
              <w:spacing w:after="0" w:line="240" w:lineRule="auto"/>
              <w:rPr>
                <w:rFonts w:ascii="Aptos Narrow" w:hAnsi="Aptos Narrow" w:cs="Times New Roman"/>
                <w:b/>
                <w:bCs/>
                <w:color w:val="000000"/>
                <w:sz w:val="18"/>
                <w:szCs w:val="18"/>
                <w:lang w:eastAsia="en-AU" w:bidi="ar-SA"/>
              </w:rPr>
            </w:pPr>
            <w:r w:rsidRPr="009D0D58">
              <w:rPr>
                <w:rFonts w:ascii="Aptos Narrow" w:hAnsi="Aptos Narrow" w:cs="Times New Roman"/>
                <w:b/>
                <w:bCs/>
                <w:color w:val="000000"/>
                <w:sz w:val="18"/>
                <w:szCs w:val="18"/>
                <w:lang w:eastAsia="en-AU" w:bidi="ar-SA"/>
              </w:rPr>
              <w:t>Country</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D7035A8"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Jan-22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4C76459"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Feb-22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7061569D"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Mar-22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144AC49"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Apr-22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292520D"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May-22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26274EB"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Jun-22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62C3E0C"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Jul-22</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A555B08"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Aug-22</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792015F"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Sep-22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74B6D96"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Oct-22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3B7BF53"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Nov-22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B33B6F4" w14:textId="77777777" w:rsidR="00477706" w:rsidRPr="00477706" w:rsidRDefault="00477706" w:rsidP="00477706">
            <w:pPr>
              <w:spacing w:after="0" w:line="240" w:lineRule="auto"/>
              <w:jc w:val="right"/>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Dec-22</w:t>
            </w:r>
          </w:p>
        </w:tc>
      </w:tr>
      <w:tr w:rsidR="00477706" w:rsidRPr="00477706" w14:paraId="202C83B2"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A35E9D7" w14:textId="710CAE69"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Fiji </w:t>
            </w:r>
          </w:p>
        </w:tc>
        <w:tc>
          <w:tcPr>
            <w:tcW w:w="1100" w:type="dxa"/>
            <w:tcBorders>
              <w:top w:val="nil"/>
              <w:left w:val="nil"/>
              <w:bottom w:val="single" w:sz="4" w:space="0" w:color="auto"/>
              <w:right w:val="single" w:sz="4" w:space="0" w:color="auto"/>
            </w:tcBorders>
            <w:shd w:val="clear" w:color="auto" w:fill="auto"/>
            <w:noWrap/>
            <w:vAlign w:val="bottom"/>
            <w:hideMark/>
          </w:tcPr>
          <w:p w14:paraId="51589766"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EB50A08"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124EB6EA"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80" w:type="dxa"/>
            <w:tcBorders>
              <w:top w:val="nil"/>
              <w:left w:val="nil"/>
              <w:bottom w:val="single" w:sz="4" w:space="0" w:color="auto"/>
              <w:right w:val="single" w:sz="4" w:space="0" w:color="auto"/>
            </w:tcBorders>
            <w:shd w:val="clear" w:color="auto" w:fill="auto"/>
            <w:noWrap/>
            <w:vAlign w:val="bottom"/>
            <w:hideMark/>
          </w:tcPr>
          <w:p w14:paraId="70CBF8F6"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5C1AD9EB"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0D270396"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2CC14498" w14:textId="540F2939"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88,920 </w:t>
            </w:r>
          </w:p>
        </w:tc>
        <w:tc>
          <w:tcPr>
            <w:tcW w:w="980" w:type="dxa"/>
            <w:tcBorders>
              <w:top w:val="nil"/>
              <w:left w:val="nil"/>
              <w:bottom w:val="single" w:sz="4" w:space="0" w:color="auto"/>
              <w:right w:val="single" w:sz="4" w:space="0" w:color="auto"/>
            </w:tcBorders>
            <w:shd w:val="clear" w:color="auto" w:fill="auto"/>
            <w:noWrap/>
            <w:vAlign w:val="bottom"/>
            <w:hideMark/>
          </w:tcPr>
          <w:p w14:paraId="0D71506A"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4F26BA23" w14:textId="64AD4FEA"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91,980 </w:t>
            </w:r>
          </w:p>
        </w:tc>
        <w:tc>
          <w:tcPr>
            <w:tcW w:w="760" w:type="dxa"/>
            <w:tcBorders>
              <w:top w:val="nil"/>
              <w:left w:val="nil"/>
              <w:bottom w:val="single" w:sz="4" w:space="0" w:color="auto"/>
              <w:right w:val="single" w:sz="4" w:space="0" w:color="auto"/>
            </w:tcBorders>
            <w:shd w:val="clear" w:color="auto" w:fill="auto"/>
            <w:noWrap/>
            <w:vAlign w:val="bottom"/>
            <w:hideMark/>
          </w:tcPr>
          <w:p w14:paraId="1BBFC36F"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000" w:type="dxa"/>
            <w:tcBorders>
              <w:top w:val="nil"/>
              <w:left w:val="nil"/>
              <w:bottom w:val="single" w:sz="4" w:space="0" w:color="auto"/>
              <w:right w:val="single" w:sz="4" w:space="0" w:color="auto"/>
            </w:tcBorders>
            <w:shd w:val="clear" w:color="auto" w:fill="auto"/>
            <w:noWrap/>
            <w:vAlign w:val="bottom"/>
            <w:hideMark/>
          </w:tcPr>
          <w:p w14:paraId="26B93053" w14:textId="67DFA689"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332,000 </w:t>
            </w:r>
          </w:p>
        </w:tc>
        <w:tc>
          <w:tcPr>
            <w:tcW w:w="760" w:type="dxa"/>
            <w:tcBorders>
              <w:top w:val="nil"/>
              <w:left w:val="nil"/>
              <w:bottom w:val="single" w:sz="4" w:space="0" w:color="auto"/>
              <w:right w:val="single" w:sz="4" w:space="0" w:color="auto"/>
            </w:tcBorders>
            <w:shd w:val="clear" w:color="auto" w:fill="auto"/>
            <w:noWrap/>
            <w:vAlign w:val="bottom"/>
            <w:hideMark/>
          </w:tcPr>
          <w:p w14:paraId="297FA011"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r>
      <w:tr w:rsidR="00477706" w:rsidRPr="00477706" w14:paraId="25320D2A"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6C4FD22" w14:textId="0E8BEA42"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Kiribati </w:t>
            </w:r>
          </w:p>
        </w:tc>
        <w:tc>
          <w:tcPr>
            <w:tcW w:w="1100" w:type="dxa"/>
            <w:tcBorders>
              <w:top w:val="nil"/>
              <w:left w:val="nil"/>
              <w:bottom w:val="single" w:sz="4" w:space="0" w:color="auto"/>
              <w:right w:val="single" w:sz="4" w:space="0" w:color="auto"/>
            </w:tcBorders>
            <w:shd w:val="clear" w:color="auto" w:fill="auto"/>
            <w:noWrap/>
            <w:vAlign w:val="bottom"/>
            <w:hideMark/>
          </w:tcPr>
          <w:p w14:paraId="2E2FE768" w14:textId="2EC14135"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5,850 </w:t>
            </w:r>
          </w:p>
        </w:tc>
        <w:tc>
          <w:tcPr>
            <w:tcW w:w="1100" w:type="dxa"/>
            <w:tcBorders>
              <w:top w:val="nil"/>
              <w:left w:val="nil"/>
              <w:bottom w:val="single" w:sz="4" w:space="0" w:color="auto"/>
              <w:right w:val="single" w:sz="4" w:space="0" w:color="auto"/>
            </w:tcBorders>
            <w:shd w:val="clear" w:color="auto" w:fill="auto"/>
            <w:noWrap/>
            <w:vAlign w:val="bottom"/>
            <w:hideMark/>
          </w:tcPr>
          <w:p w14:paraId="7ECD4364" w14:textId="3EA827E4"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5,850 </w:t>
            </w:r>
          </w:p>
        </w:tc>
        <w:tc>
          <w:tcPr>
            <w:tcW w:w="700" w:type="dxa"/>
            <w:tcBorders>
              <w:top w:val="nil"/>
              <w:left w:val="nil"/>
              <w:bottom w:val="single" w:sz="4" w:space="0" w:color="auto"/>
              <w:right w:val="single" w:sz="4" w:space="0" w:color="auto"/>
            </w:tcBorders>
            <w:shd w:val="clear" w:color="auto" w:fill="auto"/>
            <w:noWrap/>
            <w:vAlign w:val="bottom"/>
            <w:hideMark/>
          </w:tcPr>
          <w:p w14:paraId="239F3F87"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80" w:type="dxa"/>
            <w:tcBorders>
              <w:top w:val="nil"/>
              <w:left w:val="nil"/>
              <w:bottom w:val="single" w:sz="4" w:space="0" w:color="auto"/>
              <w:right w:val="single" w:sz="4" w:space="0" w:color="auto"/>
            </w:tcBorders>
            <w:shd w:val="clear" w:color="auto" w:fill="auto"/>
            <w:noWrap/>
            <w:vAlign w:val="bottom"/>
            <w:hideMark/>
          </w:tcPr>
          <w:p w14:paraId="2F54DC9C"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65A019D9" w14:textId="0A04D081"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6,600 </w:t>
            </w:r>
          </w:p>
        </w:tc>
        <w:tc>
          <w:tcPr>
            <w:tcW w:w="1100" w:type="dxa"/>
            <w:tcBorders>
              <w:top w:val="nil"/>
              <w:left w:val="nil"/>
              <w:bottom w:val="single" w:sz="4" w:space="0" w:color="auto"/>
              <w:right w:val="single" w:sz="4" w:space="0" w:color="auto"/>
            </w:tcBorders>
            <w:shd w:val="clear" w:color="auto" w:fill="auto"/>
            <w:noWrap/>
            <w:vAlign w:val="bottom"/>
            <w:hideMark/>
          </w:tcPr>
          <w:p w14:paraId="4A0C771E"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5B429935"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24FC61E5"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0144474A"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336FA518"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000" w:type="dxa"/>
            <w:tcBorders>
              <w:top w:val="nil"/>
              <w:left w:val="nil"/>
              <w:bottom w:val="single" w:sz="4" w:space="0" w:color="auto"/>
              <w:right w:val="single" w:sz="4" w:space="0" w:color="auto"/>
            </w:tcBorders>
            <w:shd w:val="clear" w:color="auto" w:fill="auto"/>
            <w:noWrap/>
            <w:vAlign w:val="bottom"/>
            <w:hideMark/>
          </w:tcPr>
          <w:p w14:paraId="5D1D60EF"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4B1CA6A6"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r>
      <w:tr w:rsidR="00477706" w:rsidRPr="00477706" w14:paraId="365DF2DE"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C2FDC74" w14:textId="28A6A00C"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Nauru </w:t>
            </w:r>
          </w:p>
        </w:tc>
        <w:tc>
          <w:tcPr>
            <w:tcW w:w="1100" w:type="dxa"/>
            <w:tcBorders>
              <w:top w:val="nil"/>
              <w:left w:val="nil"/>
              <w:bottom w:val="single" w:sz="4" w:space="0" w:color="auto"/>
              <w:right w:val="single" w:sz="4" w:space="0" w:color="auto"/>
            </w:tcBorders>
            <w:shd w:val="clear" w:color="auto" w:fill="auto"/>
            <w:noWrap/>
            <w:vAlign w:val="bottom"/>
            <w:hideMark/>
          </w:tcPr>
          <w:p w14:paraId="2328F99A" w14:textId="46EF48EC"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27,300 </w:t>
            </w:r>
          </w:p>
        </w:tc>
        <w:tc>
          <w:tcPr>
            <w:tcW w:w="1100" w:type="dxa"/>
            <w:tcBorders>
              <w:top w:val="nil"/>
              <w:left w:val="nil"/>
              <w:bottom w:val="single" w:sz="4" w:space="0" w:color="auto"/>
              <w:right w:val="single" w:sz="4" w:space="0" w:color="auto"/>
            </w:tcBorders>
            <w:shd w:val="clear" w:color="auto" w:fill="auto"/>
            <w:noWrap/>
            <w:vAlign w:val="bottom"/>
            <w:hideMark/>
          </w:tcPr>
          <w:p w14:paraId="75FC49E8"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6AAC35A0"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80" w:type="dxa"/>
            <w:tcBorders>
              <w:top w:val="nil"/>
              <w:left w:val="nil"/>
              <w:bottom w:val="single" w:sz="4" w:space="0" w:color="auto"/>
              <w:right w:val="single" w:sz="4" w:space="0" w:color="auto"/>
            </w:tcBorders>
            <w:shd w:val="clear" w:color="auto" w:fill="auto"/>
            <w:noWrap/>
            <w:vAlign w:val="bottom"/>
            <w:hideMark/>
          </w:tcPr>
          <w:p w14:paraId="6B922E23"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6200EDF2"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58B55938"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02CA04C"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0B0E4D1E"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3EB132A5"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2EF0A701"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000" w:type="dxa"/>
            <w:tcBorders>
              <w:top w:val="nil"/>
              <w:left w:val="nil"/>
              <w:bottom w:val="single" w:sz="4" w:space="0" w:color="auto"/>
              <w:right w:val="single" w:sz="4" w:space="0" w:color="auto"/>
            </w:tcBorders>
            <w:shd w:val="clear" w:color="auto" w:fill="auto"/>
            <w:noWrap/>
            <w:vAlign w:val="bottom"/>
            <w:hideMark/>
          </w:tcPr>
          <w:p w14:paraId="61439AA4"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79907824"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r>
      <w:tr w:rsidR="00477706" w:rsidRPr="00477706" w14:paraId="5E2AC509"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D3AF6CE" w14:textId="1B56BD6F"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PNG </w:t>
            </w:r>
          </w:p>
        </w:tc>
        <w:tc>
          <w:tcPr>
            <w:tcW w:w="1100" w:type="dxa"/>
            <w:tcBorders>
              <w:top w:val="nil"/>
              <w:left w:val="nil"/>
              <w:bottom w:val="single" w:sz="4" w:space="0" w:color="auto"/>
              <w:right w:val="single" w:sz="4" w:space="0" w:color="auto"/>
            </w:tcBorders>
            <w:shd w:val="clear" w:color="auto" w:fill="auto"/>
            <w:noWrap/>
            <w:vAlign w:val="bottom"/>
            <w:hideMark/>
          </w:tcPr>
          <w:p w14:paraId="6A1B139A"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2BCBE1D3" w14:textId="75BFAC91"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20,000 </w:t>
            </w:r>
          </w:p>
        </w:tc>
        <w:tc>
          <w:tcPr>
            <w:tcW w:w="700" w:type="dxa"/>
            <w:tcBorders>
              <w:top w:val="nil"/>
              <w:left w:val="nil"/>
              <w:bottom w:val="single" w:sz="4" w:space="0" w:color="auto"/>
              <w:right w:val="single" w:sz="4" w:space="0" w:color="auto"/>
            </w:tcBorders>
            <w:shd w:val="clear" w:color="auto" w:fill="auto"/>
            <w:noWrap/>
            <w:vAlign w:val="bottom"/>
            <w:hideMark/>
          </w:tcPr>
          <w:p w14:paraId="47A31E30" w14:textId="66E812A9"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25,000 </w:t>
            </w:r>
          </w:p>
        </w:tc>
        <w:tc>
          <w:tcPr>
            <w:tcW w:w="1180" w:type="dxa"/>
            <w:tcBorders>
              <w:top w:val="nil"/>
              <w:left w:val="nil"/>
              <w:bottom w:val="single" w:sz="4" w:space="0" w:color="auto"/>
              <w:right w:val="single" w:sz="4" w:space="0" w:color="auto"/>
            </w:tcBorders>
            <w:shd w:val="clear" w:color="auto" w:fill="auto"/>
            <w:noWrap/>
            <w:vAlign w:val="bottom"/>
            <w:hideMark/>
          </w:tcPr>
          <w:p w14:paraId="57C9FCAA" w14:textId="554C305C"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100 </w:t>
            </w:r>
          </w:p>
        </w:tc>
        <w:tc>
          <w:tcPr>
            <w:tcW w:w="700" w:type="dxa"/>
            <w:tcBorders>
              <w:top w:val="nil"/>
              <w:left w:val="nil"/>
              <w:bottom w:val="single" w:sz="4" w:space="0" w:color="auto"/>
              <w:right w:val="single" w:sz="4" w:space="0" w:color="auto"/>
            </w:tcBorders>
            <w:shd w:val="clear" w:color="auto" w:fill="auto"/>
            <w:noWrap/>
            <w:vAlign w:val="bottom"/>
            <w:hideMark/>
          </w:tcPr>
          <w:p w14:paraId="7AEEEECE" w14:textId="7020C40B"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25,200 </w:t>
            </w:r>
          </w:p>
        </w:tc>
        <w:tc>
          <w:tcPr>
            <w:tcW w:w="1100" w:type="dxa"/>
            <w:tcBorders>
              <w:top w:val="nil"/>
              <w:left w:val="nil"/>
              <w:bottom w:val="single" w:sz="4" w:space="0" w:color="auto"/>
              <w:right w:val="single" w:sz="4" w:space="0" w:color="auto"/>
            </w:tcBorders>
            <w:shd w:val="clear" w:color="auto" w:fill="auto"/>
            <w:noWrap/>
            <w:vAlign w:val="bottom"/>
            <w:hideMark/>
          </w:tcPr>
          <w:p w14:paraId="3B4C4800"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60000</w:t>
            </w:r>
          </w:p>
        </w:tc>
        <w:tc>
          <w:tcPr>
            <w:tcW w:w="1100" w:type="dxa"/>
            <w:tcBorders>
              <w:top w:val="nil"/>
              <w:left w:val="nil"/>
              <w:bottom w:val="single" w:sz="4" w:space="0" w:color="auto"/>
              <w:right w:val="single" w:sz="4" w:space="0" w:color="auto"/>
            </w:tcBorders>
            <w:shd w:val="clear" w:color="auto" w:fill="auto"/>
            <w:noWrap/>
            <w:vAlign w:val="bottom"/>
            <w:hideMark/>
          </w:tcPr>
          <w:p w14:paraId="787308E1"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70289A9E"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60C09B67"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5816AFEF"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000" w:type="dxa"/>
            <w:tcBorders>
              <w:top w:val="nil"/>
              <w:left w:val="nil"/>
              <w:bottom w:val="single" w:sz="4" w:space="0" w:color="auto"/>
              <w:right w:val="single" w:sz="4" w:space="0" w:color="auto"/>
            </w:tcBorders>
            <w:shd w:val="clear" w:color="auto" w:fill="auto"/>
            <w:noWrap/>
            <w:vAlign w:val="bottom"/>
            <w:hideMark/>
          </w:tcPr>
          <w:p w14:paraId="796844C7"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30238825"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r>
      <w:tr w:rsidR="00477706" w:rsidRPr="00477706" w14:paraId="6F0B4763"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9D5E30E" w14:textId="69AE1354"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Samoa  </w:t>
            </w:r>
          </w:p>
        </w:tc>
        <w:tc>
          <w:tcPr>
            <w:tcW w:w="1100" w:type="dxa"/>
            <w:tcBorders>
              <w:top w:val="nil"/>
              <w:left w:val="nil"/>
              <w:bottom w:val="single" w:sz="4" w:space="0" w:color="auto"/>
              <w:right w:val="single" w:sz="4" w:space="0" w:color="auto"/>
            </w:tcBorders>
            <w:shd w:val="clear" w:color="auto" w:fill="auto"/>
            <w:noWrap/>
            <w:vAlign w:val="bottom"/>
            <w:hideMark/>
          </w:tcPr>
          <w:p w14:paraId="0D74626F"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4F107B4" w14:textId="340DD45B"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70,200 </w:t>
            </w:r>
          </w:p>
        </w:tc>
        <w:tc>
          <w:tcPr>
            <w:tcW w:w="700" w:type="dxa"/>
            <w:tcBorders>
              <w:top w:val="nil"/>
              <w:left w:val="nil"/>
              <w:bottom w:val="single" w:sz="4" w:space="0" w:color="auto"/>
              <w:right w:val="single" w:sz="4" w:space="0" w:color="auto"/>
            </w:tcBorders>
            <w:shd w:val="clear" w:color="auto" w:fill="auto"/>
            <w:noWrap/>
            <w:vAlign w:val="bottom"/>
            <w:hideMark/>
          </w:tcPr>
          <w:p w14:paraId="6DC153E3" w14:textId="1198725D"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40,950 </w:t>
            </w:r>
          </w:p>
        </w:tc>
        <w:tc>
          <w:tcPr>
            <w:tcW w:w="1180" w:type="dxa"/>
            <w:tcBorders>
              <w:top w:val="nil"/>
              <w:left w:val="nil"/>
              <w:bottom w:val="single" w:sz="4" w:space="0" w:color="auto"/>
              <w:right w:val="single" w:sz="4" w:space="0" w:color="auto"/>
            </w:tcBorders>
            <w:shd w:val="clear" w:color="auto" w:fill="auto"/>
            <w:noWrap/>
            <w:vAlign w:val="bottom"/>
            <w:hideMark/>
          </w:tcPr>
          <w:p w14:paraId="2CBC20F4"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48490349"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340FEEC6"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6247E0F1"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7A8D7489"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1FBC96B2"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20EDE5EF"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000" w:type="dxa"/>
            <w:tcBorders>
              <w:top w:val="nil"/>
              <w:left w:val="nil"/>
              <w:bottom w:val="single" w:sz="4" w:space="0" w:color="auto"/>
              <w:right w:val="single" w:sz="4" w:space="0" w:color="auto"/>
            </w:tcBorders>
            <w:shd w:val="clear" w:color="auto" w:fill="auto"/>
            <w:noWrap/>
            <w:vAlign w:val="bottom"/>
            <w:hideMark/>
          </w:tcPr>
          <w:p w14:paraId="619ACF4C"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0B0F8FC6"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r>
      <w:tr w:rsidR="00477706" w:rsidRPr="00477706" w14:paraId="571FCB03"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EBEA477" w14:textId="56286CB5"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Sol. Is. </w:t>
            </w:r>
          </w:p>
        </w:tc>
        <w:tc>
          <w:tcPr>
            <w:tcW w:w="1100" w:type="dxa"/>
            <w:tcBorders>
              <w:top w:val="nil"/>
              <w:left w:val="nil"/>
              <w:bottom w:val="single" w:sz="4" w:space="0" w:color="auto"/>
              <w:right w:val="single" w:sz="4" w:space="0" w:color="auto"/>
            </w:tcBorders>
            <w:shd w:val="clear" w:color="auto" w:fill="auto"/>
            <w:noWrap/>
            <w:vAlign w:val="bottom"/>
            <w:hideMark/>
          </w:tcPr>
          <w:p w14:paraId="12B83AAE"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0AFE9B2" w14:textId="20682251"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116,470 </w:t>
            </w:r>
          </w:p>
        </w:tc>
        <w:tc>
          <w:tcPr>
            <w:tcW w:w="700" w:type="dxa"/>
            <w:tcBorders>
              <w:top w:val="nil"/>
              <w:left w:val="nil"/>
              <w:bottom w:val="single" w:sz="4" w:space="0" w:color="auto"/>
              <w:right w:val="single" w:sz="4" w:space="0" w:color="auto"/>
            </w:tcBorders>
            <w:shd w:val="clear" w:color="auto" w:fill="auto"/>
            <w:noWrap/>
            <w:vAlign w:val="bottom"/>
            <w:hideMark/>
          </w:tcPr>
          <w:p w14:paraId="37A52C41"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80" w:type="dxa"/>
            <w:tcBorders>
              <w:top w:val="nil"/>
              <w:left w:val="nil"/>
              <w:bottom w:val="single" w:sz="4" w:space="0" w:color="auto"/>
              <w:right w:val="single" w:sz="4" w:space="0" w:color="auto"/>
            </w:tcBorders>
            <w:shd w:val="clear" w:color="auto" w:fill="auto"/>
            <w:noWrap/>
            <w:vAlign w:val="bottom"/>
            <w:hideMark/>
          </w:tcPr>
          <w:p w14:paraId="569F843E"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40A11511"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7EB1FF25"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0D9623B5"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53E49492"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03247943"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294CB91C"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000" w:type="dxa"/>
            <w:tcBorders>
              <w:top w:val="nil"/>
              <w:left w:val="nil"/>
              <w:bottom w:val="single" w:sz="4" w:space="0" w:color="auto"/>
              <w:right w:val="single" w:sz="4" w:space="0" w:color="auto"/>
            </w:tcBorders>
            <w:shd w:val="clear" w:color="auto" w:fill="auto"/>
            <w:noWrap/>
            <w:vAlign w:val="bottom"/>
            <w:hideMark/>
          </w:tcPr>
          <w:p w14:paraId="7F6642BC"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111B15CB"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r>
      <w:tr w:rsidR="00477706" w:rsidRPr="00477706" w14:paraId="23BC5DBF"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9BC09C1" w14:textId="67DF4ADF"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Tonga  </w:t>
            </w:r>
          </w:p>
        </w:tc>
        <w:tc>
          <w:tcPr>
            <w:tcW w:w="1100" w:type="dxa"/>
            <w:tcBorders>
              <w:top w:val="nil"/>
              <w:left w:val="nil"/>
              <w:bottom w:val="single" w:sz="4" w:space="0" w:color="auto"/>
              <w:right w:val="single" w:sz="4" w:space="0" w:color="auto"/>
            </w:tcBorders>
            <w:shd w:val="clear" w:color="auto" w:fill="auto"/>
            <w:noWrap/>
            <w:vAlign w:val="bottom"/>
            <w:hideMark/>
          </w:tcPr>
          <w:p w14:paraId="3DCF1EE2"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DE0A1FC" w14:textId="55F950AC"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 xml:space="preserve">54,990 </w:t>
            </w:r>
          </w:p>
        </w:tc>
        <w:tc>
          <w:tcPr>
            <w:tcW w:w="700" w:type="dxa"/>
            <w:tcBorders>
              <w:top w:val="nil"/>
              <w:left w:val="nil"/>
              <w:bottom w:val="single" w:sz="4" w:space="0" w:color="auto"/>
              <w:right w:val="single" w:sz="4" w:space="0" w:color="auto"/>
            </w:tcBorders>
            <w:shd w:val="clear" w:color="auto" w:fill="auto"/>
            <w:noWrap/>
            <w:vAlign w:val="bottom"/>
            <w:hideMark/>
          </w:tcPr>
          <w:p w14:paraId="3DB3313D"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80" w:type="dxa"/>
            <w:tcBorders>
              <w:top w:val="nil"/>
              <w:left w:val="nil"/>
              <w:bottom w:val="single" w:sz="4" w:space="0" w:color="auto"/>
              <w:right w:val="single" w:sz="4" w:space="0" w:color="auto"/>
            </w:tcBorders>
            <w:shd w:val="clear" w:color="auto" w:fill="auto"/>
            <w:noWrap/>
            <w:vAlign w:val="bottom"/>
            <w:hideMark/>
          </w:tcPr>
          <w:p w14:paraId="1E74D232"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02B08443"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8CEA561"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3AAB4612"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57ABE420"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785B7351"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6763E681"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000" w:type="dxa"/>
            <w:tcBorders>
              <w:top w:val="nil"/>
              <w:left w:val="nil"/>
              <w:bottom w:val="single" w:sz="4" w:space="0" w:color="auto"/>
              <w:right w:val="single" w:sz="4" w:space="0" w:color="auto"/>
            </w:tcBorders>
            <w:shd w:val="clear" w:color="auto" w:fill="auto"/>
            <w:noWrap/>
            <w:vAlign w:val="bottom"/>
            <w:hideMark/>
          </w:tcPr>
          <w:p w14:paraId="7E8EDB45"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497EE24C"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r>
      <w:tr w:rsidR="00477706" w:rsidRPr="00477706" w14:paraId="1718112B"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C651D97" w14:textId="7C483529"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Tuvalu </w:t>
            </w:r>
          </w:p>
        </w:tc>
        <w:tc>
          <w:tcPr>
            <w:tcW w:w="1100" w:type="dxa"/>
            <w:tcBorders>
              <w:top w:val="nil"/>
              <w:left w:val="nil"/>
              <w:bottom w:val="single" w:sz="4" w:space="0" w:color="auto"/>
              <w:right w:val="single" w:sz="4" w:space="0" w:color="auto"/>
            </w:tcBorders>
            <w:shd w:val="clear" w:color="auto" w:fill="auto"/>
            <w:noWrap/>
            <w:vAlign w:val="bottom"/>
            <w:hideMark/>
          </w:tcPr>
          <w:p w14:paraId="1E2CDBFC"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3A0019E1"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30EDA395"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80" w:type="dxa"/>
            <w:tcBorders>
              <w:top w:val="nil"/>
              <w:left w:val="nil"/>
              <w:bottom w:val="single" w:sz="4" w:space="0" w:color="auto"/>
              <w:right w:val="single" w:sz="4" w:space="0" w:color="auto"/>
            </w:tcBorders>
            <w:shd w:val="clear" w:color="auto" w:fill="auto"/>
            <w:noWrap/>
            <w:vAlign w:val="bottom"/>
            <w:hideMark/>
          </w:tcPr>
          <w:p w14:paraId="27A9529D"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25D30F74"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2D049462"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23BD32C5"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2C5167C4"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4A068685"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77637E9F"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000" w:type="dxa"/>
            <w:tcBorders>
              <w:top w:val="nil"/>
              <w:left w:val="nil"/>
              <w:bottom w:val="single" w:sz="4" w:space="0" w:color="auto"/>
              <w:right w:val="single" w:sz="4" w:space="0" w:color="auto"/>
            </w:tcBorders>
            <w:shd w:val="clear" w:color="auto" w:fill="auto"/>
            <w:noWrap/>
            <w:vAlign w:val="bottom"/>
            <w:hideMark/>
          </w:tcPr>
          <w:p w14:paraId="3EFD7F97"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1E149801"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r>
      <w:tr w:rsidR="00477706" w:rsidRPr="00477706" w14:paraId="64094C9A" w14:textId="77777777" w:rsidTr="00477706">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15757F2" w14:textId="792C522A" w:rsidR="00477706" w:rsidRPr="00477706" w:rsidRDefault="00477706" w:rsidP="00477706">
            <w:pPr>
              <w:spacing w:after="0" w:line="240" w:lineRule="auto"/>
              <w:rPr>
                <w:rFonts w:ascii="Aptos Narrow" w:hAnsi="Aptos Narrow" w:cs="Times New Roman"/>
                <w:b/>
                <w:bCs/>
                <w:color w:val="000000"/>
                <w:sz w:val="18"/>
                <w:szCs w:val="18"/>
                <w:lang w:eastAsia="en-AU" w:bidi="ar-SA"/>
              </w:rPr>
            </w:pPr>
            <w:r w:rsidRPr="00477706">
              <w:rPr>
                <w:rFonts w:ascii="Aptos Narrow" w:hAnsi="Aptos Narrow" w:cs="Times New Roman"/>
                <w:b/>
                <w:bCs/>
                <w:color w:val="000000"/>
                <w:sz w:val="18"/>
                <w:szCs w:val="18"/>
                <w:lang w:eastAsia="en-AU" w:bidi="ar-SA"/>
              </w:rPr>
              <w:t xml:space="preserve">Vanuatu </w:t>
            </w:r>
          </w:p>
        </w:tc>
        <w:tc>
          <w:tcPr>
            <w:tcW w:w="1100" w:type="dxa"/>
            <w:tcBorders>
              <w:top w:val="nil"/>
              <w:left w:val="nil"/>
              <w:bottom w:val="single" w:sz="4" w:space="0" w:color="auto"/>
              <w:right w:val="single" w:sz="4" w:space="0" w:color="auto"/>
            </w:tcBorders>
            <w:shd w:val="clear" w:color="auto" w:fill="auto"/>
            <w:noWrap/>
            <w:vAlign w:val="bottom"/>
            <w:hideMark/>
          </w:tcPr>
          <w:p w14:paraId="5ED590AA"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21BBAFA"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3CE0CDE8"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80" w:type="dxa"/>
            <w:tcBorders>
              <w:top w:val="nil"/>
              <w:left w:val="nil"/>
              <w:bottom w:val="single" w:sz="4" w:space="0" w:color="auto"/>
              <w:right w:val="single" w:sz="4" w:space="0" w:color="auto"/>
            </w:tcBorders>
            <w:shd w:val="clear" w:color="auto" w:fill="auto"/>
            <w:noWrap/>
            <w:vAlign w:val="bottom"/>
            <w:hideMark/>
          </w:tcPr>
          <w:p w14:paraId="174802E4"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40A3B4DA"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635DE8BC"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24B65076"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01398262"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164B8FF8"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6BDED091"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1000" w:type="dxa"/>
            <w:tcBorders>
              <w:top w:val="nil"/>
              <w:left w:val="nil"/>
              <w:bottom w:val="single" w:sz="4" w:space="0" w:color="auto"/>
              <w:right w:val="single" w:sz="4" w:space="0" w:color="auto"/>
            </w:tcBorders>
            <w:shd w:val="clear" w:color="auto" w:fill="auto"/>
            <w:noWrap/>
            <w:vAlign w:val="bottom"/>
            <w:hideMark/>
          </w:tcPr>
          <w:p w14:paraId="5DF44E36"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006955B2" w14:textId="77777777" w:rsidR="00477706" w:rsidRPr="00477706" w:rsidRDefault="00477706" w:rsidP="00E8051E">
            <w:pPr>
              <w:spacing w:after="0" w:line="240" w:lineRule="auto"/>
              <w:jc w:val="right"/>
              <w:rPr>
                <w:rFonts w:ascii="Aptos Narrow" w:hAnsi="Aptos Narrow" w:cs="Times New Roman"/>
                <w:color w:val="000000"/>
                <w:sz w:val="18"/>
                <w:szCs w:val="18"/>
                <w:lang w:eastAsia="en-AU" w:bidi="ar-SA"/>
              </w:rPr>
            </w:pPr>
            <w:r w:rsidRPr="00477706">
              <w:rPr>
                <w:rFonts w:ascii="Aptos Narrow" w:hAnsi="Aptos Narrow" w:cs="Times New Roman"/>
                <w:color w:val="000000"/>
                <w:sz w:val="18"/>
                <w:szCs w:val="18"/>
                <w:lang w:eastAsia="en-AU" w:bidi="ar-SA"/>
              </w:rPr>
              <w:t>0</w:t>
            </w:r>
          </w:p>
        </w:tc>
      </w:tr>
    </w:tbl>
    <w:p w14:paraId="6E56BC23" w14:textId="77777777" w:rsidR="00E8051E" w:rsidRDefault="00E8051E">
      <w:pPr>
        <w:spacing w:after="160" w:line="259" w:lineRule="auto"/>
        <w:rPr>
          <w:b/>
          <w:bCs/>
        </w:rPr>
      </w:pPr>
      <w:r>
        <w:rPr>
          <w:b/>
          <w:bCs/>
        </w:rPr>
        <w:br w:type="page"/>
      </w:r>
    </w:p>
    <w:p w14:paraId="2E9C09EA" w14:textId="2256931E" w:rsidR="00B423FF" w:rsidRDefault="00E8051E" w:rsidP="001C0289">
      <w:pPr>
        <w:rPr>
          <w:b/>
          <w:bCs/>
        </w:rPr>
      </w:pPr>
      <w:r>
        <w:rPr>
          <w:b/>
          <w:bCs/>
        </w:rPr>
        <w:t>2023</w:t>
      </w:r>
    </w:p>
    <w:tbl>
      <w:tblPr>
        <w:tblW w:w="5000" w:type="dxa"/>
        <w:tblLook w:val="04A0" w:firstRow="1" w:lastRow="0" w:firstColumn="1" w:lastColumn="0" w:noHBand="0" w:noVBand="1"/>
      </w:tblPr>
      <w:tblGrid>
        <w:gridCol w:w="880"/>
        <w:gridCol w:w="760"/>
        <w:gridCol w:w="760"/>
        <w:gridCol w:w="600"/>
        <w:gridCol w:w="820"/>
        <w:gridCol w:w="620"/>
        <w:gridCol w:w="560"/>
      </w:tblGrid>
      <w:tr w:rsidR="00E8051E" w:rsidRPr="00E8051E" w14:paraId="16F786EF" w14:textId="77777777" w:rsidTr="00E8051E">
        <w:trPr>
          <w:trHeight w:val="240"/>
          <w:tblHead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6863C" w14:textId="4850070D" w:rsidR="00E8051E" w:rsidRPr="009D0D58" w:rsidRDefault="009D0D58" w:rsidP="00E8051E">
            <w:pPr>
              <w:spacing w:after="0" w:line="240" w:lineRule="auto"/>
              <w:rPr>
                <w:rFonts w:ascii="Aptos Narrow" w:hAnsi="Aptos Narrow" w:cs="Times New Roman"/>
                <w:b/>
                <w:bCs/>
                <w:color w:val="000000"/>
                <w:sz w:val="18"/>
                <w:szCs w:val="18"/>
                <w:lang w:eastAsia="en-AU" w:bidi="ar-SA"/>
              </w:rPr>
            </w:pPr>
            <w:r w:rsidRPr="009D0D58">
              <w:rPr>
                <w:rFonts w:ascii="Aptos Narrow" w:hAnsi="Aptos Narrow" w:cs="Times New Roman"/>
                <w:b/>
                <w:bCs/>
                <w:color w:val="000000"/>
                <w:sz w:val="18"/>
                <w:szCs w:val="18"/>
                <w:lang w:eastAsia="en-AU" w:bidi="ar-SA"/>
              </w:rPr>
              <w:t>Country</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1E87010"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Jan-23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D1FB522"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Feb-23</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474B058"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Mar-23</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B9E0C64"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Apr-23</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94E2BCD"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May-23</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6F31849"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Jun-23</w:t>
            </w:r>
          </w:p>
        </w:tc>
      </w:tr>
      <w:tr w:rsidR="00E8051E" w:rsidRPr="00E8051E" w14:paraId="0070F953" w14:textId="77777777" w:rsidTr="00E8051E">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1002D35" w14:textId="1F74533B"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Fiji </w:t>
            </w:r>
          </w:p>
        </w:tc>
        <w:tc>
          <w:tcPr>
            <w:tcW w:w="760" w:type="dxa"/>
            <w:tcBorders>
              <w:top w:val="nil"/>
              <w:left w:val="nil"/>
              <w:bottom w:val="single" w:sz="4" w:space="0" w:color="auto"/>
              <w:right w:val="single" w:sz="4" w:space="0" w:color="auto"/>
            </w:tcBorders>
            <w:shd w:val="clear" w:color="auto" w:fill="auto"/>
            <w:noWrap/>
            <w:vAlign w:val="bottom"/>
            <w:hideMark/>
          </w:tcPr>
          <w:p w14:paraId="6ED30E70"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31DDC3C4"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00" w:type="dxa"/>
            <w:tcBorders>
              <w:top w:val="nil"/>
              <w:left w:val="nil"/>
              <w:bottom w:val="single" w:sz="4" w:space="0" w:color="auto"/>
              <w:right w:val="single" w:sz="4" w:space="0" w:color="auto"/>
            </w:tcBorders>
            <w:shd w:val="clear" w:color="auto" w:fill="auto"/>
            <w:noWrap/>
            <w:vAlign w:val="bottom"/>
            <w:hideMark/>
          </w:tcPr>
          <w:p w14:paraId="23AC1165"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820" w:type="dxa"/>
            <w:tcBorders>
              <w:top w:val="nil"/>
              <w:left w:val="nil"/>
              <w:bottom w:val="single" w:sz="4" w:space="0" w:color="auto"/>
              <w:right w:val="single" w:sz="4" w:space="0" w:color="auto"/>
            </w:tcBorders>
            <w:shd w:val="clear" w:color="auto" w:fill="auto"/>
            <w:noWrap/>
            <w:vAlign w:val="bottom"/>
            <w:hideMark/>
          </w:tcPr>
          <w:p w14:paraId="1B240558"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20" w:type="dxa"/>
            <w:tcBorders>
              <w:top w:val="nil"/>
              <w:left w:val="nil"/>
              <w:bottom w:val="single" w:sz="4" w:space="0" w:color="auto"/>
              <w:right w:val="single" w:sz="4" w:space="0" w:color="auto"/>
            </w:tcBorders>
            <w:shd w:val="clear" w:color="auto" w:fill="auto"/>
            <w:noWrap/>
            <w:vAlign w:val="bottom"/>
            <w:hideMark/>
          </w:tcPr>
          <w:p w14:paraId="4FEDB68B"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560" w:type="dxa"/>
            <w:tcBorders>
              <w:top w:val="nil"/>
              <w:left w:val="nil"/>
              <w:bottom w:val="single" w:sz="4" w:space="0" w:color="auto"/>
              <w:right w:val="single" w:sz="4" w:space="0" w:color="auto"/>
            </w:tcBorders>
            <w:shd w:val="clear" w:color="auto" w:fill="auto"/>
            <w:noWrap/>
            <w:vAlign w:val="bottom"/>
            <w:hideMark/>
          </w:tcPr>
          <w:p w14:paraId="6D80C776"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6A697683" w14:textId="77777777" w:rsidTr="00E8051E">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9199795" w14:textId="579F906C"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Kiribati </w:t>
            </w:r>
          </w:p>
        </w:tc>
        <w:tc>
          <w:tcPr>
            <w:tcW w:w="760" w:type="dxa"/>
            <w:tcBorders>
              <w:top w:val="nil"/>
              <w:left w:val="nil"/>
              <w:bottom w:val="single" w:sz="4" w:space="0" w:color="auto"/>
              <w:right w:val="single" w:sz="4" w:space="0" w:color="auto"/>
            </w:tcBorders>
            <w:shd w:val="clear" w:color="auto" w:fill="auto"/>
            <w:noWrap/>
            <w:vAlign w:val="bottom"/>
            <w:hideMark/>
          </w:tcPr>
          <w:p w14:paraId="35D8EBF9"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5DE1815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00" w:type="dxa"/>
            <w:tcBorders>
              <w:top w:val="nil"/>
              <w:left w:val="nil"/>
              <w:bottom w:val="single" w:sz="4" w:space="0" w:color="auto"/>
              <w:right w:val="single" w:sz="4" w:space="0" w:color="auto"/>
            </w:tcBorders>
            <w:shd w:val="clear" w:color="auto" w:fill="auto"/>
            <w:noWrap/>
            <w:vAlign w:val="bottom"/>
            <w:hideMark/>
          </w:tcPr>
          <w:p w14:paraId="2F2AD818"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820" w:type="dxa"/>
            <w:tcBorders>
              <w:top w:val="nil"/>
              <w:left w:val="nil"/>
              <w:bottom w:val="single" w:sz="4" w:space="0" w:color="auto"/>
              <w:right w:val="single" w:sz="4" w:space="0" w:color="auto"/>
            </w:tcBorders>
            <w:shd w:val="clear" w:color="auto" w:fill="auto"/>
            <w:noWrap/>
            <w:vAlign w:val="bottom"/>
            <w:hideMark/>
          </w:tcPr>
          <w:p w14:paraId="19B0D82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20" w:type="dxa"/>
            <w:tcBorders>
              <w:top w:val="nil"/>
              <w:left w:val="nil"/>
              <w:bottom w:val="single" w:sz="4" w:space="0" w:color="auto"/>
              <w:right w:val="single" w:sz="4" w:space="0" w:color="auto"/>
            </w:tcBorders>
            <w:shd w:val="clear" w:color="auto" w:fill="auto"/>
            <w:noWrap/>
            <w:vAlign w:val="bottom"/>
            <w:hideMark/>
          </w:tcPr>
          <w:p w14:paraId="30602170"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560" w:type="dxa"/>
            <w:tcBorders>
              <w:top w:val="nil"/>
              <w:left w:val="nil"/>
              <w:bottom w:val="single" w:sz="4" w:space="0" w:color="auto"/>
              <w:right w:val="single" w:sz="4" w:space="0" w:color="auto"/>
            </w:tcBorders>
            <w:shd w:val="clear" w:color="auto" w:fill="auto"/>
            <w:noWrap/>
            <w:vAlign w:val="bottom"/>
            <w:hideMark/>
          </w:tcPr>
          <w:p w14:paraId="72EF890C"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443CA2A1" w14:textId="77777777" w:rsidTr="00E8051E">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AF461D2" w14:textId="2A108A8A"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Nauru </w:t>
            </w:r>
          </w:p>
        </w:tc>
        <w:tc>
          <w:tcPr>
            <w:tcW w:w="760" w:type="dxa"/>
            <w:tcBorders>
              <w:top w:val="nil"/>
              <w:left w:val="nil"/>
              <w:bottom w:val="single" w:sz="4" w:space="0" w:color="auto"/>
              <w:right w:val="single" w:sz="4" w:space="0" w:color="auto"/>
            </w:tcBorders>
            <w:shd w:val="clear" w:color="auto" w:fill="auto"/>
            <w:noWrap/>
            <w:vAlign w:val="bottom"/>
            <w:hideMark/>
          </w:tcPr>
          <w:p w14:paraId="3C599426"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53954E25"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00" w:type="dxa"/>
            <w:tcBorders>
              <w:top w:val="nil"/>
              <w:left w:val="nil"/>
              <w:bottom w:val="single" w:sz="4" w:space="0" w:color="auto"/>
              <w:right w:val="single" w:sz="4" w:space="0" w:color="auto"/>
            </w:tcBorders>
            <w:shd w:val="clear" w:color="auto" w:fill="auto"/>
            <w:noWrap/>
            <w:vAlign w:val="bottom"/>
            <w:hideMark/>
          </w:tcPr>
          <w:p w14:paraId="21E3C134"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820" w:type="dxa"/>
            <w:tcBorders>
              <w:top w:val="nil"/>
              <w:left w:val="nil"/>
              <w:bottom w:val="single" w:sz="4" w:space="0" w:color="auto"/>
              <w:right w:val="single" w:sz="4" w:space="0" w:color="auto"/>
            </w:tcBorders>
            <w:shd w:val="clear" w:color="auto" w:fill="auto"/>
            <w:noWrap/>
            <w:vAlign w:val="bottom"/>
            <w:hideMark/>
          </w:tcPr>
          <w:p w14:paraId="3977A09D"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20" w:type="dxa"/>
            <w:tcBorders>
              <w:top w:val="nil"/>
              <w:left w:val="nil"/>
              <w:bottom w:val="single" w:sz="4" w:space="0" w:color="auto"/>
              <w:right w:val="single" w:sz="4" w:space="0" w:color="auto"/>
            </w:tcBorders>
            <w:shd w:val="clear" w:color="auto" w:fill="auto"/>
            <w:noWrap/>
            <w:vAlign w:val="bottom"/>
            <w:hideMark/>
          </w:tcPr>
          <w:p w14:paraId="3D596DC5"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560" w:type="dxa"/>
            <w:tcBorders>
              <w:top w:val="nil"/>
              <w:left w:val="nil"/>
              <w:bottom w:val="single" w:sz="4" w:space="0" w:color="auto"/>
              <w:right w:val="single" w:sz="4" w:space="0" w:color="auto"/>
            </w:tcBorders>
            <w:shd w:val="clear" w:color="auto" w:fill="auto"/>
            <w:noWrap/>
            <w:vAlign w:val="bottom"/>
            <w:hideMark/>
          </w:tcPr>
          <w:p w14:paraId="2AD4E407"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14881E26" w14:textId="77777777" w:rsidTr="00E8051E">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537DC45" w14:textId="066349BD"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PNG </w:t>
            </w:r>
          </w:p>
        </w:tc>
        <w:tc>
          <w:tcPr>
            <w:tcW w:w="760" w:type="dxa"/>
            <w:tcBorders>
              <w:top w:val="nil"/>
              <w:left w:val="nil"/>
              <w:bottom w:val="single" w:sz="4" w:space="0" w:color="auto"/>
              <w:right w:val="single" w:sz="4" w:space="0" w:color="auto"/>
            </w:tcBorders>
            <w:shd w:val="clear" w:color="auto" w:fill="auto"/>
            <w:noWrap/>
            <w:vAlign w:val="bottom"/>
            <w:hideMark/>
          </w:tcPr>
          <w:p w14:paraId="2B0A1E7B"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3E401F3D"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00" w:type="dxa"/>
            <w:tcBorders>
              <w:top w:val="nil"/>
              <w:left w:val="nil"/>
              <w:bottom w:val="single" w:sz="4" w:space="0" w:color="auto"/>
              <w:right w:val="single" w:sz="4" w:space="0" w:color="auto"/>
            </w:tcBorders>
            <w:shd w:val="clear" w:color="auto" w:fill="auto"/>
            <w:noWrap/>
            <w:vAlign w:val="bottom"/>
            <w:hideMark/>
          </w:tcPr>
          <w:p w14:paraId="3CFB36BC"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820" w:type="dxa"/>
            <w:tcBorders>
              <w:top w:val="nil"/>
              <w:left w:val="nil"/>
              <w:bottom w:val="single" w:sz="4" w:space="0" w:color="auto"/>
              <w:right w:val="single" w:sz="4" w:space="0" w:color="auto"/>
            </w:tcBorders>
            <w:shd w:val="clear" w:color="auto" w:fill="auto"/>
            <w:noWrap/>
            <w:vAlign w:val="bottom"/>
            <w:hideMark/>
          </w:tcPr>
          <w:p w14:paraId="0C6FA065"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20" w:type="dxa"/>
            <w:tcBorders>
              <w:top w:val="nil"/>
              <w:left w:val="nil"/>
              <w:bottom w:val="single" w:sz="4" w:space="0" w:color="auto"/>
              <w:right w:val="single" w:sz="4" w:space="0" w:color="auto"/>
            </w:tcBorders>
            <w:shd w:val="clear" w:color="auto" w:fill="auto"/>
            <w:noWrap/>
            <w:vAlign w:val="bottom"/>
            <w:hideMark/>
          </w:tcPr>
          <w:p w14:paraId="3168EADB"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560" w:type="dxa"/>
            <w:tcBorders>
              <w:top w:val="nil"/>
              <w:left w:val="nil"/>
              <w:bottom w:val="single" w:sz="4" w:space="0" w:color="auto"/>
              <w:right w:val="single" w:sz="4" w:space="0" w:color="auto"/>
            </w:tcBorders>
            <w:shd w:val="clear" w:color="auto" w:fill="auto"/>
            <w:noWrap/>
            <w:vAlign w:val="bottom"/>
            <w:hideMark/>
          </w:tcPr>
          <w:p w14:paraId="210694D3"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099993A0" w14:textId="77777777" w:rsidTr="00E8051E">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4F953D3" w14:textId="4F22D572"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Samoa  </w:t>
            </w:r>
          </w:p>
        </w:tc>
        <w:tc>
          <w:tcPr>
            <w:tcW w:w="760" w:type="dxa"/>
            <w:tcBorders>
              <w:top w:val="nil"/>
              <w:left w:val="nil"/>
              <w:bottom w:val="single" w:sz="4" w:space="0" w:color="auto"/>
              <w:right w:val="single" w:sz="4" w:space="0" w:color="auto"/>
            </w:tcBorders>
            <w:shd w:val="clear" w:color="auto" w:fill="auto"/>
            <w:noWrap/>
            <w:vAlign w:val="bottom"/>
            <w:hideMark/>
          </w:tcPr>
          <w:p w14:paraId="2C118C16"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3837F7F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00" w:type="dxa"/>
            <w:tcBorders>
              <w:top w:val="nil"/>
              <w:left w:val="nil"/>
              <w:bottom w:val="single" w:sz="4" w:space="0" w:color="auto"/>
              <w:right w:val="single" w:sz="4" w:space="0" w:color="auto"/>
            </w:tcBorders>
            <w:shd w:val="clear" w:color="auto" w:fill="auto"/>
            <w:noWrap/>
            <w:vAlign w:val="bottom"/>
            <w:hideMark/>
          </w:tcPr>
          <w:p w14:paraId="562FAB1F"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820" w:type="dxa"/>
            <w:tcBorders>
              <w:top w:val="nil"/>
              <w:left w:val="nil"/>
              <w:bottom w:val="single" w:sz="4" w:space="0" w:color="auto"/>
              <w:right w:val="single" w:sz="4" w:space="0" w:color="auto"/>
            </w:tcBorders>
            <w:shd w:val="clear" w:color="auto" w:fill="auto"/>
            <w:noWrap/>
            <w:vAlign w:val="bottom"/>
            <w:hideMark/>
          </w:tcPr>
          <w:p w14:paraId="7DC4A48B"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20" w:type="dxa"/>
            <w:tcBorders>
              <w:top w:val="nil"/>
              <w:left w:val="nil"/>
              <w:bottom w:val="single" w:sz="4" w:space="0" w:color="auto"/>
              <w:right w:val="single" w:sz="4" w:space="0" w:color="auto"/>
            </w:tcBorders>
            <w:shd w:val="clear" w:color="auto" w:fill="auto"/>
            <w:noWrap/>
            <w:vAlign w:val="bottom"/>
            <w:hideMark/>
          </w:tcPr>
          <w:p w14:paraId="7BE951FE"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560" w:type="dxa"/>
            <w:tcBorders>
              <w:top w:val="nil"/>
              <w:left w:val="nil"/>
              <w:bottom w:val="single" w:sz="4" w:space="0" w:color="auto"/>
              <w:right w:val="single" w:sz="4" w:space="0" w:color="auto"/>
            </w:tcBorders>
            <w:shd w:val="clear" w:color="auto" w:fill="auto"/>
            <w:noWrap/>
            <w:vAlign w:val="bottom"/>
            <w:hideMark/>
          </w:tcPr>
          <w:p w14:paraId="40FB73E3"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0ED44D1F" w14:textId="77777777" w:rsidTr="00E8051E">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3C11187" w14:textId="3D144EE1"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Sol. Is. </w:t>
            </w:r>
          </w:p>
        </w:tc>
        <w:tc>
          <w:tcPr>
            <w:tcW w:w="760" w:type="dxa"/>
            <w:tcBorders>
              <w:top w:val="nil"/>
              <w:left w:val="nil"/>
              <w:bottom w:val="single" w:sz="4" w:space="0" w:color="auto"/>
              <w:right w:val="single" w:sz="4" w:space="0" w:color="auto"/>
            </w:tcBorders>
            <w:shd w:val="clear" w:color="auto" w:fill="auto"/>
            <w:noWrap/>
            <w:vAlign w:val="bottom"/>
            <w:hideMark/>
          </w:tcPr>
          <w:p w14:paraId="00CA4EEC"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6C427645"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00" w:type="dxa"/>
            <w:tcBorders>
              <w:top w:val="nil"/>
              <w:left w:val="nil"/>
              <w:bottom w:val="single" w:sz="4" w:space="0" w:color="auto"/>
              <w:right w:val="single" w:sz="4" w:space="0" w:color="auto"/>
            </w:tcBorders>
            <w:shd w:val="clear" w:color="auto" w:fill="auto"/>
            <w:noWrap/>
            <w:vAlign w:val="bottom"/>
            <w:hideMark/>
          </w:tcPr>
          <w:p w14:paraId="4CC01A4C"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820" w:type="dxa"/>
            <w:tcBorders>
              <w:top w:val="nil"/>
              <w:left w:val="nil"/>
              <w:bottom w:val="single" w:sz="4" w:space="0" w:color="auto"/>
              <w:right w:val="single" w:sz="4" w:space="0" w:color="auto"/>
            </w:tcBorders>
            <w:shd w:val="clear" w:color="auto" w:fill="auto"/>
            <w:noWrap/>
            <w:vAlign w:val="bottom"/>
            <w:hideMark/>
          </w:tcPr>
          <w:p w14:paraId="00BDA3EA"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20" w:type="dxa"/>
            <w:tcBorders>
              <w:top w:val="nil"/>
              <w:left w:val="nil"/>
              <w:bottom w:val="single" w:sz="4" w:space="0" w:color="auto"/>
              <w:right w:val="single" w:sz="4" w:space="0" w:color="auto"/>
            </w:tcBorders>
            <w:shd w:val="clear" w:color="auto" w:fill="auto"/>
            <w:noWrap/>
            <w:vAlign w:val="bottom"/>
            <w:hideMark/>
          </w:tcPr>
          <w:p w14:paraId="0645F45F"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560" w:type="dxa"/>
            <w:tcBorders>
              <w:top w:val="nil"/>
              <w:left w:val="nil"/>
              <w:bottom w:val="single" w:sz="4" w:space="0" w:color="auto"/>
              <w:right w:val="single" w:sz="4" w:space="0" w:color="auto"/>
            </w:tcBorders>
            <w:shd w:val="clear" w:color="auto" w:fill="auto"/>
            <w:noWrap/>
            <w:vAlign w:val="bottom"/>
            <w:hideMark/>
          </w:tcPr>
          <w:p w14:paraId="44BC8202"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3663B636" w14:textId="77777777" w:rsidTr="00E8051E">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19F4FF1" w14:textId="582C786A"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Tonga  </w:t>
            </w:r>
          </w:p>
        </w:tc>
        <w:tc>
          <w:tcPr>
            <w:tcW w:w="760" w:type="dxa"/>
            <w:tcBorders>
              <w:top w:val="nil"/>
              <w:left w:val="nil"/>
              <w:bottom w:val="single" w:sz="4" w:space="0" w:color="auto"/>
              <w:right w:val="single" w:sz="4" w:space="0" w:color="auto"/>
            </w:tcBorders>
            <w:shd w:val="clear" w:color="auto" w:fill="auto"/>
            <w:noWrap/>
            <w:vAlign w:val="bottom"/>
            <w:hideMark/>
          </w:tcPr>
          <w:p w14:paraId="57CA946F"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11AD55E6"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00" w:type="dxa"/>
            <w:tcBorders>
              <w:top w:val="nil"/>
              <w:left w:val="nil"/>
              <w:bottom w:val="single" w:sz="4" w:space="0" w:color="auto"/>
              <w:right w:val="single" w:sz="4" w:space="0" w:color="auto"/>
            </w:tcBorders>
            <w:shd w:val="clear" w:color="auto" w:fill="auto"/>
            <w:noWrap/>
            <w:vAlign w:val="bottom"/>
            <w:hideMark/>
          </w:tcPr>
          <w:p w14:paraId="41C502E4"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820" w:type="dxa"/>
            <w:tcBorders>
              <w:top w:val="nil"/>
              <w:left w:val="nil"/>
              <w:bottom w:val="single" w:sz="4" w:space="0" w:color="auto"/>
              <w:right w:val="single" w:sz="4" w:space="0" w:color="auto"/>
            </w:tcBorders>
            <w:shd w:val="clear" w:color="auto" w:fill="auto"/>
            <w:noWrap/>
            <w:vAlign w:val="bottom"/>
            <w:hideMark/>
          </w:tcPr>
          <w:p w14:paraId="3E0CB05B" w14:textId="5BE604E4"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2,200 </w:t>
            </w:r>
          </w:p>
        </w:tc>
        <w:tc>
          <w:tcPr>
            <w:tcW w:w="620" w:type="dxa"/>
            <w:tcBorders>
              <w:top w:val="nil"/>
              <w:left w:val="nil"/>
              <w:bottom w:val="single" w:sz="4" w:space="0" w:color="auto"/>
              <w:right w:val="single" w:sz="4" w:space="0" w:color="auto"/>
            </w:tcBorders>
            <w:shd w:val="clear" w:color="auto" w:fill="auto"/>
            <w:noWrap/>
            <w:vAlign w:val="bottom"/>
            <w:hideMark/>
          </w:tcPr>
          <w:p w14:paraId="07D6707F"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560" w:type="dxa"/>
            <w:tcBorders>
              <w:top w:val="nil"/>
              <w:left w:val="nil"/>
              <w:bottom w:val="single" w:sz="4" w:space="0" w:color="auto"/>
              <w:right w:val="single" w:sz="4" w:space="0" w:color="auto"/>
            </w:tcBorders>
            <w:shd w:val="clear" w:color="auto" w:fill="auto"/>
            <w:noWrap/>
            <w:vAlign w:val="bottom"/>
            <w:hideMark/>
          </w:tcPr>
          <w:p w14:paraId="48A67F05"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0924F779" w14:textId="77777777" w:rsidTr="00E8051E">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A5215D4" w14:textId="45408B4A"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Tuvalu </w:t>
            </w:r>
          </w:p>
        </w:tc>
        <w:tc>
          <w:tcPr>
            <w:tcW w:w="760" w:type="dxa"/>
            <w:tcBorders>
              <w:top w:val="nil"/>
              <w:left w:val="nil"/>
              <w:bottom w:val="single" w:sz="4" w:space="0" w:color="auto"/>
              <w:right w:val="single" w:sz="4" w:space="0" w:color="auto"/>
            </w:tcBorders>
            <w:shd w:val="clear" w:color="auto" w:fill="auto"/>
            <w:noWrap/>
            <w:vAlign w:val="bottom"/>
            <w:hideMark/>
          </w:tcPr>
          <w:p w14:paraId="2A1C222F"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14583972"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00" w:type="dxa"/>
            <w:tcBorders>
              <w:top w:val="nil"/>
              <w:left w:val="nil"/>
              <w:bottom w:val="single" w:sz="4" w:space="0" w:color="auto"/>
              <w:right w:val="single" w:sz="4" w:space="0" w:color="auto"/>
            </w:tcBorders>
            <w:shd w:val="clear" w:color="auto" w:fill="auto"/>
            <w:noWrap/>
            <w:vAlign w:val="bottom"/>
            <w:hideMark/>
          </w:tcPr>
          <w:p w14:paraId="17A09220"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820" w:type="dxa"/>
            <w:tcBorders>
              <w:top w:val="nil"/>
              <w:left w:val="nil"/>
              <w:bottom w:val="single" w:sz="4" w:space="0" w:color="auto"/>
              <w:right w:val="single" w:sz="4" w:space="0" w:color="auto"/>
            </w:tcBorders>
            <w:shd w:val="clear" w:color="auto" w:fill="auto"/>
            <w:noWrap/>
            <w:vAlign w:val="bottom"/>
            <w:hideMark/>
          </w:tcPr>
          <w:p w14:paraId="06128296"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20" w:type="dxa"/>
            <w:tcBorders>
              <w:top w:val="nil"/>
              <w:left w:val="nil"/>
              <w:bottom w:val="single" w:sz="4" w:space="0" w:color="auto"/>
              <w:right w:val="single" w:sz="4" w:space="0" w:color="auto"/>
            </w:tcBorders>
            <w:shd w:val="clear" w:color="auto" w:fill="auto"/>
            <w:noWrap/>
            <w:vAlign w:val="bottom"/>
            <w:hideMark/>
          </w:tcPr>
          <w:p w14:paraId="0F28675F"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560" w:type="dxa"/>
            <w:tcBorders>
              <w:top w:val="nil"/>
              <w:left w:val="nil"/>
              <w:bottom w:val="single" w:sz="4" w:space="0" w:color="auto"/>
              <w:right w:val="single" w:sz="4" w:space="0" w:color="auto"/>
            </w:tcBorders>
            <w:shd w:val="clear" w:color="auto" w:fill="auto"/>
            <w:noWrap/>
            <w:vAlign w:val="bottom"/>
            <w:hideMark/>
          </w:tcPr>
          <w:p w14:paraId="1C1267CD"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3BD7DFC9" w14:textId="77777777" w:rsidTr="00E8051E">
        <w:trPr>
          <w:trHeight w:val="24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A3681D2" w14:textId="2A98DC1A"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Vanuatu </w:t>
            </w:r>
          </w:p>
        </w:tc>
        <w:tc>
          <w:tcPr>
            <w:tcW w:w="760" w:type="dxa"/>
            <w:tcBorders>
              <w:top w:val="nil"/>
              <w:left w:val="nil"/>
              <w:bottom w:val="single" w:sz="4" w:space="0" w:color="auto"/>
              <w:right w:val="single" w:sz="4" w:space="0" w:color="auto"/>
            </w:tcBorders>
            <w:shd w:val="clear" w:color="auto" w:fill="auto"/>
            <w:noWrap/>
            <w:vAlign w:val="bottom"/>
            <w:hideMark/>
          </w:tcPr>
          <w:p w14:paraId="481F3D37"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60" w:type="dxa"/>
            <w:tcBorders>
              <w:top w:val="nil"/>
              <w:left w:val="nil"/>
              <w:bottom w:val="single" w:sz="4" w:space="0" w:color="auto"/>
              <w:right w:val="single" w:sz="4" w:space="0" w:color="auto"/>
            </w:tcBorders>
            <w:shd w:val="clear" w:color="auto" w:fill="auto"/>
            <w:noWrap/>
            <w:vAlign w:val="bottom"/>
            <w:hideMark/>
          </w:tcPr>
          <w:p w14:paraId="717C3E58"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00" w:type="dxa"/>
            <w:tcBorders>
              <w:top w:val="nil"/>
              <w:left w:val="nil"/>
              <w:bottom w:val="single" w:sz="4" w:space="0" w:color="auto"/>
              <w:right w:val="single" w:sz="4" w:space="0" w:color="auto"/>
            </w:tcBorders>
            <w:shd w:val="clear" w:color="auto" w:fill="auto"/>
            <w:noWrap/>
            <w:vAlign w:val="bottom"/>
            <w:hideMark/>
          </w:tcPr>
          <w:p w14:paraId="4670AE3B"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820" w:type="dxa"/>
            <w:tcBorders>
              <w:top w:val="nil"/>
              <w:left w:val="nil"/>
              <w:bottom w:val="single" w:sz="4" w:space="0" w:color="auto"/>
              <w:right w:val="single" w:sz="4" w:space="0" w:color="auto"/>
            </w:tcBorders>
            <w:shd w:val="clear" w:color="auto" w:fill="auto"/>
            <w:noWrap/>
            <w:vAlign w:val="bottom"/>
            <w:hideMark/>
          </w:tcPr>
          <w:p w14:paraId="6BD8D570"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620" w:type="dxa"/>
            <w:tcBorders>
              <w:top w:val="nil"/>
              <w:left w:val="nil"/>
              <w:bottom w:val="single" w:sz="4" w:space="0" w:color="auto"/>
              <w:right w:val="single" w:sz="4" w:space="0" w:color="auto"/>
            </w:tcBorders>
            <w:shd w:val="clear" w:color="auto" w:fill="auto"/>
            <w:noWrap/>
            <w:vAlign w:val="bottom"/>
            <w:hideMark/>
          </w:tcPr>
          <w:p w14:paraId="788118E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560" w:type="dxa"/>
            <w:tcBorders>
              <w:top w:val="nil"/>
              <w:left w:val="nil"/>
              <w:bottom w:val="single" w:sz="4" w:space="0" w:color="auto"/>
              <w:right w:val="single" w:sz="4" w:space="0" w:color="auto"/>
            </w:tcBorders>
            <w:shd w:val="clear" w:color="auto" w:fill="auto"/>
            <w:noWrap/>
            <w:vAlign w:val="bottom"/>
            <w:hideMark/>
          </w:tcPr>
          <w:p w14:paraId="0BA45EDC"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bl>
    <w:p w14:paraId="143107FC" w14:textId="77777777" w:rsidR="00E8051E" w:rsidRDefault="00E8051E" w:rsidP="001C0289">
      <w:pPr>
        <w:rPr>
          <w:b/>
          <w:bCs/>
        </w:rPr>
      </w:pPr>
    </w:p>
    <w:p w14:paraId="5C251996" w14:textId="60516BA9" w:rsidR="00FC0FDF" w:rsidRPr="00B423FF" w:rsidRDefault="00B423FF" w:rsidP="001C0289">
      <w:pPr>
        <w:rPr>
          <w:b/>
          <w:bCs/>
        </w:rPr>
      </w:pPr>
      <w:r w:rsidRPr="00B423FF">
        <w:rPr>
          <w:b/>
          <w:bCs/>
        </w:rPr>
        <w:t>FIGURE 3</w:t>
      </w:r>
      <w:r>
        <w:rPr>
          <w:b/>
          <w:bCs/>
        </w:rPr>
        <w:t xml:space="preserve">: </w:t>
      </w:r>
      <w:r w:rsidRPr="00680011">
        <w:rPr>
          <w:b/>
          <w:bCs/>
          <w:sz w:val="20"/>
          <w:szCs w:val="20"/>
        </w:rPr>
        <w:t xml:space="preserve">Number of VAHSI COVID-19 vaccine doses </w:t>
      </w:r>
      <w:r>
        <w:rPr>
          <w:b/>
          <w:bCs/>
          <w:sz w:val="20"/>
          <w:szCs w:val="20"/>
        </w:rPr>
        <w:t>supplied</w:t>
      </w:r>
      <w:r w:rsidRPr="00680011">
        <w:rPr>
          <w:b/>
          <w:bCs/>
          <w:sz w:val="20"/>
          <w:szCs w:val="20"/>
        </w:rPr>
        <w:t xml:space="preserve"> by month, Southeast Asian Countries</w:t>
      </w:r>
    </w:p>
    <w:p w14:paraId="45CD5C04" w14:textId="7B5C57DF" w:rsidR="001C0289" w:rsidRPr="00E8051E" w:rsidRDefault="00E8051E" w:rsidP="001C0289">
      <w:pPr>
        <w:rPr>
          <w:b/>
          <w:bCs/>
        </w:rPr>
      </w:pPr>
      <w:r w:rsidRPr="00E8051E">
        <w:rPr>
          <w:b/>
          <w:bCs/>
          <w:noProof/>
        </w:rPr>
        <w:t>2021</w:t>
      </w:r>
    </w:p>
    <w:tbl>
      <w:tblPr>
        <w:tblW w:w="9280" w:type="dxa"/>
        <w:tblLook w:val="04A0" w:firstRow="1" w:lastRow="0" w:firstColumn="1" w:lastColumn="0" w:noHBand="0" w:noVBand="1"/>
      </w:tblPr>
      <w:tblGrid>
        <w:gridCol w:w="1060"/>
        <w:gridCol w:w="880"/>
        <w:gridCol w:w="980"/>
        <w:gridCol w:w="980"/>
        <w:gridCol w:w="980"/>
        <w:gridCol w:w="1100"/>
        <w:gridCol w:w="1100"/>
        <w:gridCol w:w="1100"/>
        <w:gridCol w:w="1100"/>
      </w:tblGrid>
      <w:tr w:rsidR="00E8051E" w:rsidRPr="00E8051E" w14:paraId="3D90C55C" w14:textId="77777777" w:rsidTr="00E8051E">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D52B4" w14:textId="1C47B07F" w:rsidR="00E8051E" w:rsidRPr="009D0D58" w:rsidRDefault="009D0D58" w:rsidP="00E8051E">
            <w:pPr>
              <w:spacing w:after="0" w:line="240" w:lineRule="auto"/>
              <w:rPr>
                <w:rFonts w:ascii="Aptos Narrow" w:hAnsi="Aptos Narrow" w:cs="Times New Roman"/>
                <w:b/>
                <w:bCs/>
                <w:color w:val="000000"/>
                <w:sz w:val="18"/>
                <w:szCs w:val="18"/>
                <w:lang w:eastAsia="en-AU" w:bidi="ar-SA"/>
              </w:rPr>
            </w:pPr>
            <w:r w:rsidRPr="009D0D58">
              <w:rPr>
                <w:rFonts w:ascii="Aptos Narrow" w:hAnsi="Aptos Narrow" w:cs="Times New Roman"/>
                <w:b/>
                <w:bCs/>
                <w:color w:val="000000"/>
                <w:sz w:val="18"/>
                <w:szCs w:val="18"/>
                <w:lang w:eastAsia="en-AU" w:bidi="ar-SA"/>
              </w:rPr>
              <w:t>Country</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1BEAAE51"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May-21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52E14B2"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Jun-21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3DCBE24"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Jul-21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6773DDF"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Aug-21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78D8934"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Sep-21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BD546A9"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Oct-21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004B922"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Nov-21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03F0ADD"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Dec-21</w:t>
            </w:r>
          </w:p>
        </w:tc>
      </w:tr>
      <w:tr w:rsidR="00E8051E" w:rsidRPr="00E8051E" w14:paraId="4A7EFE92" w14:textId="77777777" w:rsidTr="00E8051E">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5F024AC" w14:textId="60F7C4D9"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Cambodia </w:t>
            </w:r>
          </w:p>
        </w:tc>
        <w:tc>
          <w:tcPr>
            <w:tcW w:w="880" w:type="dxa"/>
            <w:tcBorders>
              <w:top w:val="nil"/>
              <w:left w:val="nil"/>
              <w:bottom w:val="single" w:sz="4" w:space="0" w:color="auto"/>
              <w:right w:val="single" w:sz="4" w:space="0" w:color="auto"/>
            </w:tcBorders>
            <w:shd w:val="clear" w:color="auto" w:fill="auto"/>
            <w:noWrap/>
            <w:vAlign w:val="bottom"/>
            <w:hideMark/>
          </w:tcPr>
          <w:p w14:paraId="18BBDAEA"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79CA035E"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55F02E79"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7A33C593"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2F2F8EA4"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E7FF554"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1DF389DC"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22FC7771" w14:textId="5852A4F0"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2,350,530 </w:t>
            </w:r>
          </w:p>
        </w:tc>
      </w:tr>
      <w:tr w:rsidR="00E8051E" w:rsidRPr="00E8051E" w14:paraId="345D1515" w14:textId="77777777" w:rsidTr="00E8051E">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4F8FCB0" w14:textId="2895951A"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Indonesia </w:t>
            </w:r>
          </w:p>
        </w:tc>
        <w:tc>
          <w:tcPr>
            <w:tcW w:w="880" w:type="dxa"/>
            <w:tcBorders>
              <w:top w:val="nil"/>
              <w:left w:val="nil"/>
              <w:bottom w:val="single" w:sz="4" w:space="0" w:color="auto"/>
              <w:right w:val="single" w:sz="4" w:space="0" w:color="auto"/>
            </w:tcBorders>
            <w:shd w:val="clear" w:color="auto" w:fill="auto"/>
            <w:noWrap/>
            <w:vAlign w:val="bottom"/>
            <w:hideMark/>
          </w:tcPr>
          <w:p w14:paraId="5F0290A7"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007430A9"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047B7CA5"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106970BB"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38166A0B" w14:textId="758FEC09"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1,000,000 </w:t>
            </w:r>
          </w:p>
        </w:tc>
        <w:tc>
          <w:tcPr>
            <w:tcW w:w="1100" w:type="dxa"/>
            <w:tcBorders>
              <w:top w:val="nil"/>
              <w:left w:val="nil"/>
              <w:bottom w:val="single" w:sz="4" w:space="0" w:color="auto"/>
              <w:right w:val="single" w:sz="4" w:space="0" w:color="auto"/>
            </w:tcBorders>
            <w:shd w:val="clear" w:color="auto" w:fill="auto"/>
            <w:noWrap/>
            <w:vAlign w:val="bottom"/>
            <w:hideMark/>
          </w:tcPr>
          <w:p w14:paraId="4EEEF3BB" w14:textId="1CCCBD89"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1,200,000 </w:t>
            </w:r>
          </w:p>
        </w:tc>
        <w:tc>
          <w:tcPr>
            <w:tcW w:w="1100" w:type="dxa"/>
            <w:tcBorders>
              <w:top w:val="nil"/>
              <w:left w:val="nil"/>
              <w:bottom w:val="single" w:sz="4" w:space="0" w:color="auto"/>
              <w:right w:val="single" w:sz="4" w:space="0" w:color="auto"/>
            </w:tcBorders>
            <w:shd w:val="clear" w:color="auto" w:fill="auto"/>
            <w:noWrap/>
            <w:vAlign w:val="bottom"/>
            <w:hideMark/>
          </w:tcPr>
          <w:p w14:paraId="400920C7" w14:textId="74813B4C"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2,400,000 </w:t>
            </w:r>
          </w:p>
        </w:tc>
        <w:tc>
          <w:tcPr>
            <w:tcW w:w="1100" w:type="dxa"/>
            <w:tcBorders>
              <w:top w:val="nil"/>
              <w:left w:val="nil"/>
              <w:bottom w:val="single" w:sz="4" w:space="0" w:color="auto"/>
              <w:right w:val="single" w:sz="4" w:space="0" w:color="auto"/>
            </w:tcBorders>
            <w:shd w:val="clear" w:color="auto" w:fill="auto"/>
            <w:noWrap/>
            <w:vAlign w:val="bottom"/>
            <w:hideMark/>
          </w:tcPr>
          <w:p w14:paraId="393B55F3" w14:textId="758E7090"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1,950,000 </w:t>
            </w:r>
          </w:p>
        </w:tc>
      </w:tr>
      <w:tr w:rsidR="00E8051E" w:rsidRPr="00E8051E" w14:paraId="29158BDA" w14:textId="77777777" w:rsidTr="00E8051E">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1FE9D3E" w14:textId="0D85CC35"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Laos </w:t>
            </w:r>
          </w:p>
        </w:tc>
        <w:tc>
          <w:tcPr>
            <w:tcW w:w="880" w:type="dxa"/>
            <w:tcBorders>
              <w:top w:val="nil"/>
              <w:left w:val="nil"/>
              <w:bottom w:val="single" w:sz="4" w:space="0" w:color="auto"/>
              <w:right w:val="single" w:sz="4" w:space="0" w:color="auto"/>
            </w:tcBorders>
            <w:shd w:val="clear" w:color="auto" w:fill="auto"/>
            <w:noWrap/>
            <w:vAlign w:val="bottom"/>
            <w:hideMark/>
          </w:tcPr>
          <w:p w14:paraId="4FE352D3"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5EED59DE"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529D8518"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0007D5B2"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79DB753"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088EC4B2"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681CA419"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2DD03F34" w14:textId="2D5F091C"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100,000 </w:t>
            </w:r>
          </w:p>
        </w:tc>
      </w:tr>
      <w:tr w:rsidR="00E8051E" w:rsidRPr="00E8051E" w14:paraId="3C6DDEFA" w14:textId="77777777" w:rsidTr="00E8051E">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AA2FB7E" w14:textId="5345B3DF"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Philippines </w:t>
            </w:r>
          </w:p>
        </w:tc>
        <w:tc>
          <w:tcPr>
            <w:tcW w:w="880" w:type="dxa"/>
            <w:tcBorders>
              <w:top w:val="nil"/>
              <w:left w:val="nil"/>
              <w:bottom w:val="single" w:sz="4" w:space="0" w:color="auto"/>
              <w:right w:val="single" w:sz="4" w:space="0" w:color="auto"/>
            </w:tcBorders>
            <w:shd w:val="clear" w:color="auto" w:fill="auto"/>
            <w:noWrap/>
            <w:vAlign w:val="bottom"/>
            <w:hideMark/>
          </w:tcPr>
          <w:p w14:paraId="1996EDB0"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4E293567"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1DF2A0AA"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000A50FC"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26D1820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E752B84"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0013558D"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00C5B999" w14:textId="31ED4A1E"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700,000 </w:t>
            </w:r>
          </w:p>
        </w:tc>
      </w:tr>
      <w:tr w:rsidR="00E8051E" w:rsidRPr="00E8051E" w14:paraId="209BD630" w14:textId="77777777" w:rsidTr="00E8051E">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E0FED63" w14:textId="755A69B1"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Thailand </w:t>
            </w:r>
          </w:p>
        </w:tc>
        <w:tc>
          <w:tcPr>
            <w:tcW w:w="880" w:type="dxa"/>
            <w:tcBorders>
              <w:top w:val="nil"/>
              <w:left w:val="nil"/>
              <w:bottom w:val="single" w:sz="4" w:space="0" w:color="auto"/>
              <w:right w:val="single" w:sz="4" w:space="0" w:color="auto"/>
            </w:tcBorders>
            <w:shd w:val="clear" w:color="auto" w:fill="auto"/>
            <w:noWrap/>
            <w:vAlign w:val="bottom"/>
            <w:hideMark/>
          </w:tcPr>
          <w:p w14:paraId="2412C55C"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7F2A1E74"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0DDF45A6"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497FAE5F"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2514DC6"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42187E9"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5567CD76"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0A41FD37"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5196F9D8" w14:textId="77777777" w:rsidTr="00E8051E">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574B38D" w14:textId="6EA53741"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Timor</w:t>
            </w:r>
            <w:r>
              <w:rPr>
                <w:rFonts w:ascii="Aptos Narrow" w:hAnsi="Aptos Narrow" w:cs="Times New Roman"/>
                <w:b/>
                <w:bCs/>
                <w:color w:val="000000"/>
                <w:sz w:val="18"/>
                <w:szCs w:val="18"/>
                <w:lang w:eastAsia="en-AU" w:bidi="ar-SA"/>
              </w:rPr>
              <w:t>-</w:t>
            </w:r>
            <w:r w:rsidRPr="00E8051E">
              <w:rPr>
                <w:rFonts w:ascii="Aptos Narrow" w:hAnsi="Aptos Narrow" w:cs="Times New Roman"/>
                <w:b/>
                <w:bCs/>
                <w:color w:val="000000"/>
                <w:sz w:val="18"/>
                <w:szCs w:val="18"/>
                <w:lang w:eastAsia="en-AU" w:bidi="ar-SA"/>
              </w:rPr>
              <w:t xml:space="preserve">Leste </w:t>
            </w:r>
          </w:p>
        </w:tc>
        <w:tc>
          <w:tcPr>
            <w:tcW w:w="880" w:type="dxa"/>
            <w:tcBorders>
              <w:top w:val="nil"/>
              <w:left w:val="nil"/>
              <w:bottom w:val="single" w:sz="4" w:space="0" w:color="auto"/>
              <w:right w:val="single" w:sz="4" w:space="0" w:color="auto"/>
            </w:tcBorders>
            <w:shd w:val="clear" w:color="auto" w:fill="auto"/>
            <w:noWrap/>
            <w:vAlign w:val="bottom"/>
            <w:hideMark/>
          </w:tcPr>
          <w:p w14:paraId="3918DFF8" w14:textId="1A1E8748"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70,000 </w:t>
            </w:r>
          </w:p>
        </w:tc>
        <w:tc>
          <w:tcPr>
            <w:tcW w:w="980" w:type="dxa"/>
            <w:tcBorders>
              <w:top w:val="nil"/>
              <w:left w:val="nil"/>
              <w:bottom w:val="single" w:sz="4" w:space="0" w:color="auto"/>
              <w:right w:val="single" w:sz="4" w:space="0" w:color="auto"/>
            </w:tcBorders>
            <w:shd w:val="clear" w:color="auto" w:fill="auto"/>
            <w:noWrap/>
            <w:vAlign w:val="bottom"/>
            <w:hideMark/>
          </w:tcPr>
          <w:p w14:paraId="0A550C55" w14:textId="66C12111"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105,000 </w:t>
            </w:r>
          </w:p>
        </w:tc>
        <w:tc>
          <w:tcPr>
            <w:tcW w:w="980" w:type="dxa"/>
            <w:tcBorders>
              <w:top w:val="nil"/>
              <w:left w:val="nil"/>
              <w:bottom w:val="single" w:sz="4" w:space="0" w:color="auto"/>
              <w:right w:val="single" w:sz="4" w:space="0" w:color="auto"/>
            </w:tcBorders>
            <w:shd w:val="clear" w:color="auto" w:fill="auto"/>
            <w:noWrap/>
            <w:vAlign w:val="bottom"/>
            <w:hideMark/>
          </w:tcPr>
          <w:p w14:paraId="7BC6C72E" w14:textId="71265614"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103,200 </w:t>
            </w:r>
          </w:p>
        </w:tc>
        <w:tc>
          <w:tcPr>
            <w:tcW w:w="980" w:type="dxa"/>
            <w:tcBorders>
              <w:top w:val="nil"/>
              <w:left w:val="nil"/>
              <w:bottom w:val="single" w:sz="4" w:space="0" w:color="auto"/>
              <w:right w:val="single" w:sz="4" w:space="0" w:color="auto"/>
            </w:tcBorders>
            <w:shd w:val="clear" w:color="auto" w:fill="auto"/>
            <w:noWrap/>
            <w:vAlign w:val="bottom"/>
            <w:hideMark/>
          </w:tcPr>
          <w:p w14:paraId="13D439A8" w14:textId="1CE7514A"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300,000 </w:t>
            </w:r>
          </w:p>
        </w:tc>
        <w:tc>
          <w:tcPr>
            <w:tcW w:w="1100" w:type="dxa"/>
            <w:tcBorders>
              <w:top w:val="nil"/>
              <w:left w:val="nil"/>
              <w:bottom w:val="single" w:sz="4" w:space="0" w:color="auto"/>
              <w:right w:val="single" w:sz="4" w:space="0" w:color="auto"/>
            </w:tcBorders>
            <w:shd w:val="clear" w:color="auto" w:fill="auto"/>
            <w:noWrap/>
            <w:vAlign w:val="bottom"/>
            <w:hideMark/>
          </w:tcPr>
          <w:p w14:paraId="4FB4A4F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6028934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0FA61F6D" w14:textId="77413DA8"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200,000 </w:t>
            </w:r>
          </w:p>
        </w:tc>
        <w:tc>
          <w:tcPr>
            <w:tcW w:w="1100" w:type="dxa"/>
            <w:tcBorders>
              <w:top w:val="nil"/>
              <w:left w:val="nil"/>
              <w:bottom w:val="single" w:sz="4" w:space="0" w:color="auto"/>
              <w:right w:val="single" w:sz="4" w:space="0" w:color="auto"/>
            </w:tcBorders>
            <w:shd w:val="clear" w:color="auto" w:fill="auto"/>
            <w:noWrap/>
            <w:vAlign w:val="bottom"/>
            <w:hideMark/>
          </w:tcPr>
          <w:p w14:paraId="731040E8"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5AEB0374" w14:textId="77777777" w:rsidTr="00E8051E">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7FBAD29" w14:textId="38C4EA39"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Vietnam </w:t>
            </w:r>
          </w:p>
        </w:tc>
        <w:tc>
          <w:tcPr>
            <w:tcW w:w="880" w:type="dxa"/>
            <w:tcBorders>
              <w:top w:val="nil"/>
              <w:left w:val="nil"/>
              <w:bottom w:val="single" w:sz="4" w:space="0" w:color="auto"/>
              <w:right w:val="single" w:sz="4" w:space="0" w:color="auto"/>
            </w:tcBorders>
            <w:shd w:val="clear" w:color="auto" w:fill="auto"/>
            <w:noWrap/>
            <w:vAlign w:val="bottom"/>
            <w:hideMark/>
          </w:tcPr>
          <w:p w14:paraId="7D2EC1A0"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05C71F20"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4301B5D0"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33A8C654" w14:textId="34124436"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402,800 </w:t>
            </w:r>
          </w:p>
        </w:tc>
        <w:tc>
          <w:tcPr>
            <w:tcW w:w="1100" w:type="dxa"/>
            <w:tcBorders>
              <w:top w:val="nil"/>
              <w:left w:val="nil"/>
              <w:bottom w:val="single" w:sz="4" w:space="0" w:color="auto"/>
              <w:right w:val="single" w:sz="4" w:space="0" w:color="auto"/>
            </w:tcBorders>
            <w:shd w:val="clear" w:color="auto" w:fill="auto"/>
            <w:noWrap/>
            <w:vAlign w:val="bottom"/>
            <w:hideMark/>
          </w:tcPr>
          <w:p w14:paraId="6CCD4F37" w14:textId="3BCF890F"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300,000 </w:t>
            </w:r>
          </w:p>
        </w:tc>
        <w:tc>
          <w:tcPr>
            <w:tcW w:w="1100" w:type="dxa"/>
            <w:tcBorders>
              <w:top w:val="nil"/>
              <w:left w:val="nil"/>
              <w:bottom w:val="single" w:sz="4" w:space="0" w:color="auto"/>
              <w:right w:val="single" w:sz="4" w:space="0" w:color="auto"/>
            </w:tcBorders>
            <w:shd w:val="clear" w:color="auto" w:fill="auto"/>
            <w:noWrap/>
            <w:vAlign w:val="bottom"/>
            <w:hideMark/>
          </w:tcPr>
          <w:p w14:paraId="1B64F4DB" w14:textId="23C9DC31"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800,000 </w:t>
            </w:r>
          </w:p>
        </w:tc>
        <w:tc>
          <w:tcPr>
            <w:tcW w:w="1100" w:type="dxa"/>
            <w:tcBorders>
              <w:top w:val="nil"/>
              <w:left w:val="nil"/>
              <w:bottom w:val="single" w:sz="4" w:space="0" w:color="auto"/>
              <w:right w:val="single" w:sz="4" w:space="0" w:color="auto"/>
            </w:tcBorders>
            <w:shd w:val="clear" w:color="auto" w:fill="auto"/>
            <w:noWrap/>
            <w:vAlign w:val="bottom"/>
            <w:hideMark/>
          </w:tcPr>
          <w:p w14:paraId="0B12436A"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56B0E26B" w14:textId="1211122E"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2,281,100 </w:t>
            </w:r>
          </w:p>
        </w:tc>
      </w:tr>
    </w:tbl>
    <w:p w14:paraId="26B858A9" w14:textId="77777777" w:rsidR="00FC0FDF" w:rsidRDefault="00FC0FDF" w:rsidP="001C0289"/>
    <w:p w14:paraId="6C7AED29" w14:textId="77777777" w:rsidR="00E8051E" w:rsidRDefault="00E8051E">
      <w:pPr>
        <w:spacing w:after="160" w:line="259" w:lineRule="auto"/>
        <w:rPr>
          <w:b/>
          <w:bCs/>
        </w:rPr>
      </w:pPr>
      <w:r>
        <w:rPr>
          <w:b/>
          <w:bCs/>
        </w:rPr>
        <w:br w:type="page"/>
      </w:r>
    </w:p>
    <w:p w14:paraId="116D9D5F" w14:textId="40C1F904" w:rsidR="00E8051E" w:rsidRPr="00E8051E" w:rsidRDefault="00E8051E" w:rsidP="001C0289">
      <w:pPr>
        <w:rPr>
          <w:b/>
          <w:bCs/>
        </w:rPr>
      </w:pPr>
      <w:r w:rsidRPr="00E8051E">
        <w:rPr>
          <w:b/>
          <w:bCs/>
        </w:rPr>
        <w:t>2022</w:t>
      </w:r>
    </w:p>
    <w:tbl>
      <w:tblPr>
        <w:tblW w:w="12000" w:type="dxa"/>
        <w:tblLook w:val="04A0" w:firstRow="1" w:lastRow="0" w:firstColumn="1" w:lastColumn="0" w:noHBand="0" w:noVBand="1"/>
      </w:tblPr>
      <w:tblGrid>
        <w:gridCol w:w="1138"/>
        <w:gridCol w:w="1100"/>
        <w:gridCol w:w="1100"/>
        <w:gridCol w:w="780"/>
        <w:gridCol w:w="1100"/>
        <w:gridCol w:w="1100"/>
        <w:gridCol w:w="700"/>
        <w:gridCol w:w="1180"/>
        <w:gridCol w:w="700"/>
        <w:gridCol w:w="1100"/>
        <w:gridCol w:w="1100"/>
        <w:gridCol w:w="980"/>
      </w:tblGrid>
      <w:tr w:rsidR="00E8051E" w:rsidRPr="00E8051E" w14:paraId="63912EAB" w14:textId="77777777" w:rsidTr="009D0D58">
        <w:trPr>
          <w:trHeight w:val="240"/>
          <w:tblHead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C4F32" w14:textId="28AA4052" w:rsidR="00E8051E" w:rsidRPr="009D0D58" w:rsidRDefault="009D0D58" w:rsidP="00E8051E">
            <w:pPr>
              <w:spacing w:after="0" w:line="240" w:lineRule="auto"/>
              <w:rPr>
                <w:rFonts w:ascii="Aptos Narrow" w:hAnsi="Aptos Narrow" w:cs="Times New Roman"/>
                <w:b/>
                <w:bCs/>
                <w:color w:val="000000"/>
                <w:sz w:val="18"/>
                <w:szCs w:val="18"/>
                <w:lang w:eastAsia="en-AU" w:bidi="ar-SA"/>
              </w:rPr>
            </w:pPr>
            <w:r w:rsidRPr="009D0D58">
              <w:rPr>
                <w:rFonts w:ascii="Aptos Narrow" w:hAnsi="Aptos Narrow" w:cs="Times New Roman"/>
                <w:b/>
                <w:bCs/>
                <w:color w:val="000000"/>
                <w:sz w:val="18"/>
                <w:szCs w:val="18"/>
                <w:lang w:eastAsia="en-AU" w:bidi="ar-SA"/>
              </w:rPr>
              <w:t>Country</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3971FC2"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Jan-22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7AA3337"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Feb-22</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777B815F"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Mar-22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81F02C9"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Apr-22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8BABACD"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May-22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E9D25E2"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Jun-22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DC34005"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Jul-22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67BCF77"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Aug-22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6D2E54B"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Sep-22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3B338A6"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Oct-22</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D91204F" w14:textId="77777777" w:rsidR="00E8051E" w:rsidRPr="00E8051E" w:rsidRDefault="00E8051E" w:rsidP="00E8051E">
            <w:pPr>
              <w:spacing w:after="0" w:line="240" w:lineRule="auto"/>
              <w:jc w:val="right"/>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Nov-22</w:t>
            </w:r>
          </w:p>
        </w:tc>
      </w:tr>
      <w:tr w:rsidR="00E8051E" w:rsidRPr="00E8051E" w14:paraId="56040D6B" w14:textId="77777777" w:rsidTr="00E8051E">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3B84A42" w14:textId="43FEE3A2"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Cambodia </w:t>
            </w:r>
          </w:p>
        </w:tc>
        <w:tc>
          <w:tcPr>
            <w:tcW w:w="1100" w:type="dxa"/>
            <w:tcBorders>
              <w:top w:val="nil"/>
              <w:left w:val="nil"/>
              <w:bottom w:val="single" w:sz="4" w:space="0" w:color="auto"/>
              <w:right w:val="single" w:sz="4" w:space="0" w:color="auto"/>
            </w:tcBorders>
            <w:shd w:val="clear" w:color="auto" w:fill="auto"/>
            <w:noWrap/>
            <w:vAlign w:val="bottom"/>
            <w:hideMark/>
          </w:tcPr>
          <w:p w14:paraId="6005B4A5"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55F002A5"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80" w:type="dxa"/>
            <w:tcBorders>
              <w:top w:val="nil"/>
              <w:left w:val="nil"/>
              <w:bottom w:val="single" w:sz="4" w:space="0" w:color="auto"/>
              <w:right w:val="single" w:sz="4" w:space="0" w:color="auto"/>
            </w:tcBorders>
            <w:shd w:val="clear" w:color="auto" w:fill="auto"/>
            <w:noWrap/>
            <w:vAlign w:val="bottom"/>
            <w:hideMark/>
          </w:tcPr>
          <w:p w14:paraId="73A25293"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3546BB0D"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7582C00E"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340ECD3A"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80" w:type="dxa"/>
            <w:tcBorders>
              <w:top w:val="nil"/>
              <w:left w:val="nil"/>
              <w:bottom w:val="single" w:sz="4" w:space="0" w:color="auto"/>
              <w:right w:val="single" w:sz="4" w:space="0" w:color="auto"/>
            </w:tcBorders>
            <w:shd w:val="clear" w:color="auto" w:fill="auto"/>
            <w:noWrap/>
            <w:vAlign w:val="bottom"/>
            <w:hideMark/>
          </w:tcPr>
          <w:p w14:paraId="36E3F287" w14:textId="17F84AE9"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19,680,011 </w:t>
            </w:r>
          </w:p>
        </w:tc>
        <w:tc>
          <w:tcPr>
            <w:tcW w:w="700" w:type="dxa"/>
            <w:tcBorders>
              <w:top w:val="nil"/>
              <w:left w:val="nil"/>
              <w:bottom w:val="single" w:sz="4" w:space="0" w:color="auto"/>
              <w:right w:val="single" w:sz="4" w:space="0" w:color="auto"/>
            </w:tcBorders>
            <w:shd w:val="clear" w:color="auto" w:fill="auto"/>
            <w:noWrap/>
            <w:vAlign w:val="bottom"/>
            <w:hideMark/>
          </w:tcPr>
          <w:p w14:paraId="61DBF15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4DC5AD2E" w14:textId="2B5E9986"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283,200 </w:t>
            </w:r>
          </w:p>
        </w:tc>
        <w:tc>
          <w:tcPr>
            <w:tcW w:w="1100" w:type="dxa"/>
            <w:tcBorders>
              <w:top w:val="nil"/>
              <w:left w:val="nil"/>
              <w:bottom w:val="single" w:sz="4" w:space="0" w:color="auto"/>
              <w:right w:val="single" w:sz="4" w:space="0" w:color="auto"/>
            </w:tcBorders>
            <w:shd w:val="clear" w:color="auto" w:fill="auto"/>
            <w:noWrap/>
            <w:vAlign w:val="bottom"/>
            <w:hideMark/>
          </w:tcPr>
          <w:p w14:paraId="3391A81C"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75EB114F"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291656D4" w14:textId="77777777" w:rsidTr="00E8051E">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4839650" w14:textId="246F8509"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Indonesia </w:t>
            </w:r>
          </w:p>
        </w:tc>
        <w:tc>
          <w:tcPr>
            <w:tcW w:w="1100" w:type="dxa"/>
            <w:tcBorders>
              <w:top w:val="nil"/>
              <w:left w:val="nil"/>
              <w:bottom w:val="single" w:sz="4" w:space="0" w:color="auto"/>
              <w:right w:val="single" w:sz="4" w:space="0" w:color="auto"/>
            </w:tcBorders>
            <w:shd w:val="clear" w:color="auto" w:fill="auto"/>
            <w:noWrap/>
            <w:vAlign w:val="bottom"/>
            <w:hideMark/>
          </w:tcPr>
          <w:p w14:paraId="772A7019"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321B64CC" w14:textId="60FD4126"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2,700,000 </w:t>
            </w:r>
          </w:p>
        </w:tc>
        <w:tc>
          <w:tcPr>
            <w:tcW w:w="780" w:type="dxa"/>
            <w:tcBorders>
              <w:top w:val="nil"/>
              <w:left w:val="nil"/>
              <w:bottom w:val="single" w:sz="4" w:space="0" w:color="auto"/>
              <w:right w:val="single" w:sz="4" w:space="0" w:color="auto"/>
            </w:tcBorders>
            <w:shd w:val="clear" w:color="auto" w:fill="auto"/>
            <w:noWrap/>
            <w:vAlign w:val="bottom"/>
            <w:hideMark/>
          </w:tcPr>
          <w:p w14:paraId="5FF6A75F"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147FC95F"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055CFD88"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5B7710D6"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80" w:type="dxa"/>
            <w:tcBorders>
              <w:top w:val="nil"/>
              <w:left w:val="nil"/>
              <w:bottom w:val="single" w:sz="4" w:space="0" w:color="auto"/>
              <w:right w:val="single" w:sz="4" w:space="0" w:color="auto"/>
            </w:tcBorders>
            <w:shd w:val="clear" w:color="auto" w:fill="auto"/>
            <w:noWrap/>
            <w:vAlign w:val="bottom"/>
            <w:hideMark/>
          </w:tcPr>
          <w:p w14:paraId="01CDD80F"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50E663A8"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318A045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16D4719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6F158EDB"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3D3C1083" w14:textId="77777777" w:rsidTr="00E8051E">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90DD2D0" w14:textId="654F732C"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Laos </w:t>
            </w:r>
          </w:p>
        </w:tc>
        <w:tc>
          <w:tcPr>
            <w:tcW w:w="1100" w:type="dxa"/>
            <w:tcBorders>
              <w:top w:val="nil"/>
              <w:left w:val="nil"/>
              <w:bottom w:val="single" w:sz="4" w:space="0" w:color="auto"/>
              <w:right w:val="single" w:sz="4" w:space="0" w:color="auto"/>
            </w:tcBorders>
            <w:shd w:val="clear" w:color="auto" w:fill="auto"/>
            <w:noWrap/>
            <w:vAlign w:val="bottom"/>
            <w:hideMark/>
          </w:tcPr>
          <w:p w14:paraId="025D6090" w14:textId="6EB928F1"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905,580 </w:t>
            </w:r>
          </w:p>
        </w:tc>
        <w:tc>
          <w:tcPr>
            <w:tcW w:w="1100" w:type="dxa"/>
            <w:tcBorders>
              <w:top w:val="nil"/>
              <w:left w:val="nil"/>
              <w:bottom w:val="single" w:sz="4" w:space="0" w:color="auto"/>
              <w:right w:val="single" w:sz="4" w:space="0" w:color="auto"/>
            </w:tcBorders>
            <w:shd w:val="clear" w:color="auto" w:fill="auto"/>
            <w:noWrap/>
            <w:vAlign w:val="bottom"/>
            <w:hideMark/>
          </w:tcPr>
          <w:p w14:paraId="534E3679"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80" w:type="dxa"/>
            <w:tcBorders>
              <w:top w:val="nil"/>
              <w:left w:val="nil"/>
              <w:bottom w:val="single" w:sz="4" w:space="0" w:color="auto"/>
              <w:right w:val="single" w:sz="4" w:space="0" w:color="auto"/>
            </w:tcBorders>
            <w:shd w:val="clear" w:color="auto" w:fill="auto"/>
            <w:noWrap/>
            <w:vAlign w:val="bottom"/>
            <w:hideMark/>
          </w:tcPr>
          <w:p w14:paraId="7A8CA8B5"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0131160D"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5327B295"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34FAF15F"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80" w:type="dxa"/>
            <w:tcBorders>
              <w:top w:val="nil"/>
              <w:left w:val="nil"/>
              <w:bottom w:val="single" w:sz="4" w:space="0" w:color="auto"/>
              <w:right w:val="single" w:sz="4" w:space="0" w:color="auto"/>
            </w:tcBorders>
            <w:shd w:val="clear" w:color="auto" w:fill="auto"/>
            <w:noWrap/>
            <w:vAlign w:val="bottom"/>
            <w:hideMark/>
          </w:tcPr>
          <w:p w14:paraId="1A0A9664"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23383BBE"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3F58B174" w14:textId="67346B1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499,200 </w:t>
            </w:r>
          </w:p>
        </w:tc>
        <w:tc>
          <w:tcPr>
            <w:tcW w:w="1100" w:type="dxa"/>
            <w:tcBorders>
              <w:top w:val="nil"/>
              <w:left w:val="nil"/>
              <w:bottom w:val="single" w:sz="4" w:space="0" w:color="auto"/>
              <w:right w:val="single" w:sz="4" w:space="0" w:color="auto"/>
            </w:tcBorders>
            <w:shd w:val="clear" w:color="auto" w:fill="auto"/>
            <w:noWrap/>
            <w:vAlign w:val="bottom"/>
            <w:hideMark/>
          </w:tcPr>
          <w:p w14:paraId="489C8947"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384B5657"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6AC97DC8" w14:textId="77777777" w:rsidTr="00E8051E">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4524150" w14:textId="2BE84C2A"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Philippines </w:t>
            </w:r>
          </w:p>
        </w:tc>
        <w:tc>
          <w:tcPr>
            <w:tcW w:w="1100" w:type="dxa"/>
            <w:tcBorders>
              <w:top w:val="nil"/>
              <w:left w:val="nil"/>
              <w:bottom w:val="single" w:sz="4" w:space="0" w:color="auto"/>
              <w:right w:val="single" w:sz="4" w:space="0" w:color="auto"/>
            </w:tcBorders>
            <w:shd w:val="clear" w:color="auto" w:fill="auto"/>
            <w:noWrap/>
            <w:vAlign w:val="bottom"/>
            <w:hideMark/>
          </w:tcPr>
          <w:p w14:paraId="22A07E18"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02122501" w14:textId="50649318"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1,432,080 </w:t>
            </w:r>
          </w:p>
        </w:tc>
        <w:tc>
          <w:tcPr>
            <w:tcW w:w="780" w:type="dxa"/>
            <w:tcBorders>
              <w:top w:val="nil"/>
              <w:left w:val="nil"/>
              <w:bottom w:val="single" w:sz="4" w:space="0" w:color="auto"/>
              <w:right w:val="single" w:sz="4" w:space="0" w:color="auto"/>
            </w:tcBorders>
            <w:shd w:val="clear" w:color="auto" w:fill="auto"/>
            <w:noWrap/>
            <w:vAlign w:val="bottom"/>
            <w:hideMark/>
          </w:tcPr>
          <w:p w14:paraId="0D22596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79CB92B0"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11C76078"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28CC8D93"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80" w:type="dxa"/>
            <w:tcBorders>
              <w:top w:val="nil"/>
              <w:left w:val="nil"/>
              <w:bottom w:val="single" w:sz="4" w:space="0" w:color="auto"/>
              <w:right w:val="single" w:sz="4" w:space="0" w:color="auto"/>
            </w:tcBorders>
            <w:shd w:val="clear" w:color="auto" w:fill="auto"/>
            <w:noWrap/>
            <w:vAlign w:val="bottom"/>
            <w:hideMark/>
          </w:tcPr>
          <w:p w14:paraId="4A5FF9CC"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5EFEE63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73D1D2E5" w14:textId="3D6BEF23"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3,000,000 </w:t>
            </w:r>
          </w:p>
        </w:tc>
        <w:tc>
          <w:tcPr>
            <w:tcW w:w="1100" w:type="dxa"/>
            <w:tcBorders>
              <w:top w:val="nil"/>
              <w:left w:val="nil"/>
              <w:bottom w:val="single" w:sz="4" w:space="0" w:color="auto"/>
              <w:right w:val="single" w:sz="4" w:space="0" w:color="auto"/>
            </w:tcBorders>
            <w:shd w:val="clear" w:color="auto" w:fill="auto"/>
            <w:noWrap/>
            <w:vAlign w:val="bottom"/>
            <w:hideMark/>
          </w:tcPr>
          <w:p w14:paraId="53948703" w14:textId="70C1EF5F"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2,001,600 </w:t>
            </w:r>
          </w:p>
        </w:tc>
        <w:tc>
          <w:tcPr>
            <w:tcW w:w="980" w:type="dxa"/>
            <w:tcBorders>
              <w:top w:val="nil"/>
              <w:left w:val="nil"/>
              <w:bottom w:val="single" w:sz="4" w:space="0" w:color="auto"/>
              <w:right w:val="single" w:sz="4" w:space="0" w:color="auto"/>
            </w:tcBorders>
            <w:shd w:val="clear" w:color="auto" w:fill="auto"/>
            <w:noWrap/>
            <w:vAlign w:val="bottom"/>
            <w:hideMark/>
          </w:tcPr>
          <w:p w14:paraId="040C669E" w14:textId="5B0911A9"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998,400 </w:t>
            </w:r>
          </w:p>
        </w:tc>
      </w:tr>
      <w:tr w:rsidR="00E8051E" w:rsidRPr="00E8051E" w14:paraId="3DD921FE" w14:textId="77777777" w:rsidTr="00E8051E">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EEB5F4F" w14:textId="39A5E253"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Thailand </w:t>
            </w:r>
          </w:p>
        </w:tc>
        <w:tc>
          <w:tcPr>
            <w:tcW w:w="1100" w:type="dxa"/>
            <w:tcBorders>
              <w:top w:val="nil"/>
              <w:left w:val="nil"/>
              <w:bottom w:val="single" w:sz="4" w:space="0" w:color="auto"/>
              <w:right w:val="single" w:sz="4" w:space="0" w:color="auto"/>
            </w:tcBorders>
            <w:shd w:val="clear" w:color="auto" w:fill="auto"/>
            <w:noWrap/>
            <w:vAlign w:val="bottom"/>
            <w:hideMark/>
          </w:tcPr>
          <w:p w14:paraId="36B44B1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3DB09E32"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80" w:type="dxa"/>
            <w:tcBorders>
              <w:top w:val="nil"/>
              <w:left w:val="nil"/>
              <w:bottom w:val="single" w:sz="4" w:space="0" w:color="auto"/>
              <w:right w:val="single" w:sz="4" w:space="0" w:color="auto"/>
            </w:tcBorders>
            <w:shd w:val="clear" w:color="auto" w:fill="auto"/>
            <w:noWrap/>
            <w:vAlign w:val="bottom"/>
            <w:hideMark/>
          </w:tcPr>
          <w:p w14:paraId="3BB1C7E5"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2E4E6CF7"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11B7123B"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37431463"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80" w:type="dxa"/>
            <w:tcBorders>
              <w:top w:val="nil"/>
              <w:left w:val="nil"/>
              <w:bottom w:val="single" w:sz="4" w:space="0" w:color="auto"/>
              <w:right w:val="single" w:sz="4" w:space="0" w:color="auto"/>
            </w:tcBorders>
            <w:shd w:val="clear" w:color="auto" w:fill="auto"/>
            <w:noWrap/>
            <w:vAlign w:val="bottom"/>
            <w:hideMark/>
          </w:tcPr>
          <w:p w14:paraId="2371E139"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62DA1794"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63C77ABB" w14:textId="7D7D1155"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452,790 </w:t>
            </w:r>
          </w:p>
        </w:tc>
        <w:tc>
          <w:tcPr>
            <w:tcW w:w="1100" w:type="dxa"/>
            <w:tcBorders>
              <w:top w:val="nil"/>
              <w:left w:val="nil"/>
              <w:bottom w:val="single" w:sz="4" w:space="0" w:color="auto"/>
              <w:right w:val="single" w:sz="4" w:space="0" w:color="auto"/>
            </w:tcBorders>
            <w:shd w:val="clear" w:color="auto" w:fill="auto"/>
            <w:noWrap/>
            <w:vAlign w:val="bottom"/>
            <w:hideMark/>
          </w:tcPr>
          <w:p w14:paraId="76BC3C56"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2E63985E"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1A3F4554" w14:textId="77777777" w:rsidTr="00E8051E">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DF9F0ED" w14:textId="34025513"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Timor0Leste </w:t>
            </w:r>
          </w:p>
        </w:tc>
        <w:tc>
          <w:tcPr>
            <w:tcW w:w="1100" w:type="dxa"/>
            <w:tcBorders>
              <w:top w:val="nil"/>
              <w:left w:val="nil"/>
              <w:bottom w:val="single" w:sz="4" w:space="0" w:color="auto"/>
              <w:right w:val="single" w:sz="4" w:space="0" w:color="auto"/>
            </w:tcBorders>
            <w:shd w:val="clear" w:color="auto" w:fill="auto"/>
            <w:noWrap/>
            <w:vAlign w:val="bottom"/>
            <w:hideMark/>
          </w:tcPr>
          <w:p w14:paraId="089CA445" w14:textId="05F76DDE"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259,740 </w:t>
            </w:r>
          </w:p>
        </w:tc>
        <w:tc>
          <w:tcPr>
            <w:tcW w:w="1100" w:type="dxa"/>
            <w:tcBorders>
              <w:top w:val="nil"/>
              <w:left w:val="nil"/>
              <w:bottom w:val="single" w:sz="4" w:space="0" w:color="auto"/>
              <w:right w:val="single" w:sz="4" w:space="0" w:color="auto"/>
            </w:tcBorders>
            <w:shd w:val="clear" w:color="auto" w:fill="auto"/>
            <w:noWrap/>
            <w:vAlign w:val="bottom"/>
            <w:hideMark/>
          </w:tcPr>
          <w:p w14:paraId="7C569B5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80" w:type="dxa"/>
            <w:tcBorders>
              <w:top w:val="nil"/>
              <w:left w:val="nil"/>
              <w:bottom w:val="single" w:sz="4" w:space="0" w:color="auto"/>
              <w:right w:val="single" w:sz="4" w:space="0" w:color="auto"/>
            </w:tcBorders>
            <w:shd w:val="clear" w:color="auto" w:fill="auto"/>
            <w:noWrap/>
            <w:vAlign w:val="bottom"/>
            <w:hideMark/>
          </w:tcPr>
          <w:p w14:paraId="219171BB"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63C4DDC9"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127D5378" w14:textId="003E9F9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152,100 </w:t>
            </w:r>
          </w:p>
        </w:tc>
        <w:tc>
          <w:tcPr>
            <w:tcW w:w="700" w:type="dxa"/>
            <w:tcBorders>
              <w:top w:val="nil"/>
              <w:left w:val="nil"/>
              <w:bottom w:val="single" w:sz="4" w:space="0" w:color="auto"/>
              <w:right w:val="single" w:sz="4" w:space="0" w:color="auto"/>
            </w:tcBorders>
            <w:shd w:val="clear" w:color="auto" w:fill="auto"/>
            <w:noWrap/>
            <w:vAlign w:val="bottom"/>
            <w:hideMark/>
          </w:tcPr>
          <w:p w14:paraId="6CF7E833"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80" w:type="dxa"/>
            <w:tcBorders>
              <w:top w:val="nil"/>
              <w:left w:val="nil"/>
              <w:bottom w:val="single" w:sz="4" w:space="0" w:color="auto"/>
              <w:right w:val="single" w:sz="4" w:space="0" w:color="auto"/>
            </w:tcBorders>
            <w:shd w:val="clear" w:color="auto" w:fill="auto"/>
            <w:noWrap/>
            <w:vAlign w:val="bottom"/>
            <w:hideMark/>
          </w:tcPr>
          <w:p w14:paraId="7D93E2E9"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2D75048C"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7D3C4B18"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0D19C890"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980" w:type="dxa"/>
            <w:tcBorders>
              <w:top w:val="nil"/>
              <w:left w:val="nil"/>
              <w:bottom w:val="single" w:sz="4" w:space="0" w:color="auto"/>
              <w:right w:val="single" w:sz="4" w:space="0" w:color="auto"/>
            </w:tcBorders>
            <w:shd w:val="clear" w:color="auto" w:fill="auto"/>
            <w:noWrap/>
            <w:vAlign w:val="bottom"/>
            <w:hideMark/>
          </w:tcPr>
          <w:p w14:paraId="31300512"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r w:rsidR="00E8051E" w:rsidRPr="00E8051E" w14:paraId="540382D6" w14:textId="77777777" w:rsidTr="00E8051E">
        <w:trPr>
          <w:trHeight w:val="24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8536D6D" w14:textId="58867791" w:rsidR="00E8051E" w:rsidRPr="00E8051E" w:rsidRDefault="00E8051E" w:rsidP="00E8051E">
            <w:pPr>
              <w:spacing w:after="0" w:line="240" w:lineRule="auto"/>
              <w:rPr>
                <w:rFonts w:ascii="Aptos Narrow" w:hAnsi="Aptos Narrow" w:cs="Times New Roman"/>
                <w:b/>
                <w:bCs/>
                <w:color w:val="000000"/>
                <w:sz w:val="18"/>
                <w:szCs w:val="18"/>
                <w:lang w:eastAsia="en-AU" w:bidi="ar-SA"/>
              </w:rPr>
            </w:pPr>
            <w:r w:rsidRPr="00E8051E">
              <w:rPr>
                <w:rFonts w:ascii="Aptos Narrow" w:hAnsi="Aptos Narrow" w:cs="Times New Roman"/>
                <w:b/>
                <w:bCs/>
                <w:color w:val="000000"/>
                <w:sz w:val="18"/>
                <w:szCs w:val="18"/>
                <w:lang w:eastAsia="en-AU" w:bidi="ar-SA"/>
              </w:rPr>
              <w:t xml:space="preserve">Vietnam </w:t>
            </w:r>
          </w:p>
        </w:tc>
        <w:tc>
          <w:tcPr>
            <w:tcW w:w="1100" w:type="dxa"/>
            <w:tcBorders>
              <w:top w:val="nil"/>
              <w:left w:val="nil"/>
              <w:bottom w:val="single" w:sz="4" w:space="0" w:color="auto"/>
              <w:right w:val="single" w:sz="4" w:space="0" w:color="auto"/>
            </w:tcBorders>
            <w:shd w:val="clear" w:color="auto" w:fill="auto"/>
            <w:noWrap/>
            <w:vAlign w:val="bottom"/>
            <w:hideMark/>
          </w:tcPr>
          <w:p w14:paraId="0399B423" w14:textId="420EF3E6"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1,793,190 </w:t>
            </w:r>
          </w:p>
        </w:tc>
        <w:tc>
          <w:tcPr>
            <w:tcW w:w="1100" w:type="dxa"/>
            <w:tcBorders>
              <w:top w:val="nil"/>
              <w:left w:val="nil"/>
              <w:bottom w:val="single" w:sz="4" w:space="0" w:color="auto"/>
              <w:right w:val="single" w:sz="4" w:space="0" w:color="auto"/>
            </w:tcBorders>
            <w:shd w:val="clear" w:color="auto" w:fill="auto"/>
            <w:noWrap/>
            <w:vAlign w:val="bottom"/>
            <w:hideMark/>
          </w:tcPr>
          <w:p w14:paraId="3AA04568" w14:textId="52AF96BF"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2,214,810 </w:t>
            </w:r>
          </w:p>
        </w:tc>
        <w:tc>
          <w:tcPr>
            <w:tcW w:w="780" w:type="dxa"/>
            <w:tcBorders>
              <w:top w:val="nil"/>
              <w:left w:val="nil"/>
              <w:bottom w:val="single" w:sz="4" w:space="0" w:color="auto"/>
              <w:right w:val="single" w:sz="4" w:space="0" w:color="auto"/>
            </w:tcBorders>
            <w:shd w:val="clear" w:color="auto" w:fill="auto"/>
            <w:noWrap/>
            <w:vAlign w:val="bottom"/>
            <w:hideMark/>
          </w:tcPr>
          <w:p w14:paraId="31938471"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034CBED8" w14:textId="3536EF36"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6,451,200 </w:t>
            </w:r>
          </w:p>
        </w:tc>
        <w:tc>
          <w:tcPr>
            <w:tcW w:w="1100" w:type="dxa"/>
            <w:tcBorders>
              <w:top w:val="nil"/>
              <w:left w:val="nil"/>
              <w:bottom w:val="single" w:sz="4" w:space="0" w:color="auto"/>
              <w:right w:val="single" w:sz="4" w:space="0" w:color="auto"/>
            </w:tcBorders>
            <w:shd w:val="clear" w:color="auto" w:fill="auto"/>
            <w:noWrap/>
            <w:vAlign w:val="bottom"/>
            <w:hideMark/>
          </w:tcPr>
          <w:p w14:paraId="32420523" w14:textId="1783AB95"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8,017,800 </w:t>
            </w:r>
          </w:p>
        </w:tc>
        <w:tc>
          <w:tcPr>
            <w:tcW w:w="700" w:type="dxa"/>
            <w:tcBorders>
              <w:top w:val="nil"/>
              <w:left w:val="nil"/>
              <w:bottom w:val="single" w:sz="4" w:space="0" w:color="auto"/>
              <w:right w:val="single" w:sz="4" w:space="0" w:color="auto"/>
            </w:tcBorders>
            <w:shd w:val="clear" w:color="auto" w:fill="auto"/>
            <w:noWrap/>
            <w:vAlign w:val="bottom"/>
            <w:hideMark/>
          </w:tcPr>
          <w:p w14:paraId="29CBF10D"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80" w:type="dxa"/>
            <w:tcBorders>
              <w:top w:val="nil"/>
              <w:left w:val="nil"/>
              <w:bottom w:val="single" w:sz="4" w:space="0" w:color="auto"/>
              <w:right w:val="single" w:sz="4" w:space="0" w:color="auto"/>
            </w:tcBorders>
            <w:shd w:val="clear" w:color="auto" w:fill="auto"/>
            <w:noWrap/>
            <w:vAlign w:val="bottom"/>
            <w:hideMark/>
          </w:tcPr>
          <w:p w14:paraId="0FEB4855"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700" w:type="dxa"/>
            <w:tcBorders>
              <w:top w:val="nil"/>
              <w:left w:val="nil"/>
              <w:bottom w:val="single" w:sz="4" w:space="0" w:color="auto"/>
              <w:right w:val="single" w:sz="4" w:space="0" w:color="auto"/>
            </w:tcBorders>
            <w:shd w:val="clear" w:color="auto" w:fill="auto"/>
            <w:noWrap/>
            <w:vAlign w:val="bottom"/>
            <w:hideMark/>
          </w:tcPr>
          <w:p w14:paraId="504298BB"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c>
          <w:tcPr>
            <w:tcW w:w="1100" w:type="dxa"/>
            <w:tcBorders>
              <w:top w:val="nil"/>
              <w:left w:val="nil"/>
              <w:bottom w:val="single" w:sz="4" w:space="0" w:color="auto"/>
              <w:right w:val="single" w:sz="4" w:space="0" w:color="auto"/>
            </w:tcBorders>
            <w:shd w:val="clear" w:color="auto" w:fill="auto"/>
            <w:noWrap/>
            <w:vAlign w:val="bottom"/>
            <w:hideMark/>
          </w:tcPr>
          <w:p w14:paraId="25EA0C16" w14:textId="315A391D"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3,000,960 </w:t>
            </w:r>
          </w:p>
        </w:tc>
        <w:tc>
          <w:tcPr>
            <w:tcW w:w="1100" w:type="dxa"/>
            <w:tcBorders>
              <w:top w:val="nil"/>
              <w:left w:val="nil"/>
              <w:bottom w:val="single" w:sz="4" w:space="0" w:color="auto"/>
              <w:right w:val="single" w:sz="4" w:space="0" w:color="auto"/>
            </w:tcBorders>
            <w:shd w:val="clear" w:color="auto" w:fill="auto"/>
            <w:noWrap/>
            <w:vAlign w:val="bottom"/>
            <w:hideMark/>
          </w:tcPr>
          <w:p w14:paraId="1EDE6CC7" w14:textId="6D4DDA09"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 xml:space="preserve">1,200,000 </w:t>
            </w:r>
          </w:p>
        </w:tc>
        <w:tc>
          <w:tcPr>
            <w:tcW w:w="980" w:type="dxa"/>
            <w:tcBorders>
              <w:top w:val="nil"/>
              <w:left w:val="nil"/>
              <w:bottom w:val="single" w:sz="4" w:space="0" w:color="auto"/>
              <w:right w:val="single" w:sz="4" w:space="0" w:color="auto"/>
            </w:tcBorders>
            <w:shd w:val="clear" w:color="auto" w:fill="auto"/>
            <w:noWrap/>
            <w:vAlign w:val="bottom"/>
            <w:hideMark/>
          </w:tcPr>
          <w:p w14:paraId="55FFDE64" w14:textId="77777777" w:rsidR="00E8051E" w:rsidRPr="00E8051E" w:rsidRDefault="00E8051E" w:rsidP="00E8051E">
            <w:pPr>
              <w:spacing w:after="0" w:line="240" w:lineRule="auto"/>
              <w:jc w:val="right"/>
              <w:rPr>
                <w:rFonts w:ascii="Aptos Narrow" w:hAnsi="Aptos Narrow" w:cs="Times New Roman"/>
                <w:color w:val="000000"/>
                <w:sz w:val="18"/>
                <w:szCs w:val="18"/>
                <w:lang w:eastAsia="en-AU" w:bidi="ar-SA"/>
              </w:rPr>
            </w:pPr>
            <w:r w:rsidRPr="00E8051E">
              <w:rPr>
                <w:rFonts w:ascii="Aptos Narrow" w:hAnsi="Aptos Narrow" w:cs="Times New Roman"/>
                <w:color w:val="000000"/>
                <w:sz w:val="18"/>
                <w:szCs w:val="18"/>
                <w:lang w:eastAsia="en-AU" w:bidi="ar-SA"/>
              </w:rPr>
              <w:t>0</w:t>
            </w:r>
          </w:p>
        </w:tc>
      </w:tr>
    </w:tbl>
    <w:p w14:paraId="564F717F" w14:textId="77777777" w:rsidR="00E8051E" w:rsidRDefault="00E8051E" w:rsidP="001C0289"/>
    <w:p w14:paraId="5EB27691" w14:textId="77777777" w:rsidR="00E8051E" w:rsidRDefault="00E8051E" w:rsidP="001C0289">
      <w:pPr>
        <w:rPr>
          <w:b/>
          <w:bCs/>
          <w:sz w:val="20"/>
          <w:szCs w:val="20"/>
        </w:rPr>
        <w:sectPr w:rsidR="00E8051E" w:rsidSect="00E8051E">
          <w:pgSz w:w="16839" w:h="11907" w:orient="landscape" w:code="9"/>
          <w:pgMar w:top="720" w:right="720" w:bottom="720" w:left="720" w:header="709" w:footer="709" w:gutter="0"/>
          <w:cols w:space="708"/>
          <w:docGrid w:linePitch="360"/>
        </w:sectPr>
      </w:pPr>
    </w:p>
    <w:p w14:paraId="6D46A348" w14:textId="77777777" w:rsidR="008C7F1C" w:rsidRDefault="008C7F1C" w:rsidP="001C0289">
      <w:pPr>
        <w:rPr>
          <w:b/>
          <w:bCs/>
          <w:sz w:val="20"/>
          <w:szCs w:val="20"/>
        </w:rPr>
      </w:pPr>
      <w:r>
        <w:rPr>
          <w:b/>
          <w:bCs/>
          <w:sz w:val="20"/>
          <w:szCs w:val="20"/>
        </w:rPr>
        <w:t>FIGURE</w:t>
      </w:r>
      <w:r w:rsidRPr="00680011">
        <w:rPr>
          <w:b/>
          <w:bCs/>
          <w:sz w:val="20"/>
          <w:szCs w:val="20"/>
        </w:rPr>
        <w:t xml:space="preserve"> 4: Estimate of VAHSI attributable proportion of total COVID-19 vaccine doses by region</w:t>
      </w:r>
      <w:r w:rsidRPr="00680011">
        <w:rPr>
          <w:rStyle w:val="FootnoteReference"/>
          <w:b/>
          <w:bCs/>
          <w:sz w:val="20"/>
          <w:szCs w:val="20"/>
        </w:rPr>
        <w:footnoteReference w:id="18"/>
      </w:r>
      <w:r w:rsidRPr="00680011">
        <w:rPr>
          <w:b/>
          <w:bCs/>
          <w:sz w:val="20"/>
          <w:szCs w:val="20"/>
        </w:rPr>
        <w:t xml:space="preserve"> and year, 2021 and 2022</w:t>
      </w:r>
    </w:p>
    <w:p w14:paraId="070A0051" w14:textId="77777777" w:rsidR="008C7F1C" w:rsidRDefault="008C7F1C" w:rsidP="001C0289">
      <w:pPr>
        <w:rPr>
          <w:b/>
          <w:bCs/>
          <w:sz w:val="20"/>
          <w:szCs w:val="20"/>
        </w:rPr>
      </w:pPr>
    </w:p>
    <w:p w14:paraId="3D1D4F90" w14:textId="58E244C3" w:rsidR="008C7F1C" w:rsidRDefault="008C7F1C" w:rsidP="001C0289">
      <w:pPr>
        <w:sectPr w:rsidR="008C7F1C" w:rsidSect="00E8051E">
          <w:pgSz w:w="11907" w:h="16839" w:code="9"/>
          <w:pgMar w:top="720" w:right="720" w:bottom="720" w:left="720" w:header="709" w:footer="709" w:gutter="0"/>
          <w:cols w:space="708"/>
          <w:docGrid w:linePitch="360"/>
        </w:sectPr>
      </w:pPr>
      <w:r>
        <w:t>Figure 4 depicts the estimate of the proportion of total COVID-19 vaccine doses received in the Pacific and Southeast Asia regions in 2021 and 2022 that are attributable to VAHSI. In 2021</w:t>
      </w:r>
      <w:r w:rsidR="006A1DF8">
        <w:t>, 46% of total doses received in the Pacific and 59% of the doses received in Southeast Asia were attributable to VAHSI. In 2022, 2% of the doses received in the Pacific and 9% of the doses received in Southeast Asia were attributable to VAHSI.</w:t>
      </w:r>
    </w:p>
    <w:p w14:paraId="0AE6F236" w14:textId="77777777" w:rsidR="001C0289" w:rsidRPr="001C0289" w:rsidRDefault="001C0289" w:rsidP="001C0289"/>
    <w:p w14:paraId="09D080F6" w14:textId="22459277" w:rsidR="0A8D36A0" w:rsidRDefault="001C0289" w:rsidP="006B0C6C">
      <w:pPr>
        <w:pStyle w:val="Heading1SHS"/>
        <w:numPr>
          <w:ilvl w:val="0"/>
          <w:numId w:val="0"/>
        </w:numPr>
      </w:pPr>
      <w:bookmarkStart w:id="338" w:name="_Toc200617319"/>
      <w:r>
        <w:t>Annex 1</w:t>
      </w:r>
      <w:r w:rsidR="0006473F">
        <w:t>3</w:t>
      </w:r>
      <w:r>
        <w:t xml:space="preserve">: </w:t>
      </w:r>
      <w:r w:rsidR="00023AC3" w:rsidRPr="009B7B0A">
        <w:t>References</w:t>
      </w:r>
      <w:bookmarkEnd w:id="338"/>
      <w:r w:rsidR="00E01BB8" w:rsidRPr="00477F8F">
        <w:t xml:space="preserve"> </w:t>
      </w:r>
    </w:p>
    <w:sectPr w:rsidR="0A8D36A0" w:rsidSect="00A25BBF">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38527" w14:textId="77777777" w:rsidR="00AF3A48" w:rsidRPr="006B0C6C" w:rsidRDefault="00AF3A48" w:rsidP="007D1D0D">
      <w:r w:rsidRPr="006B0C6C">
        <w:separator/>
      </w:r>
    </w:p>
  </w:endnote>
  <w:endnote w:type="continuationSeparator" w:id="0">
    <w:p w14:paraId="21C6D0D1" w14:textId="77777777" w:rsidR="00AF3A48" w:rsidRPr="006B0C6C" w:rsidRDefault="00AF3A48" w:rsidP="007D1D0D">
      <w:r w:rsidRPr="006B0C6C">
        <w:continuationSeparator/>
      </w:r>
    </w:p>
  </w:endnote>
  <w:endnote w:type="continuationNotice" w:id="1">
    <w:p w14:paraId="03E26FA8" w14:textId="77777777" w:rsidR="00AF3A48" w:rsidRDefault="00AF3A48">
      <w:pPr>
        <w:spacing w:after="0" w:line="240" w:lineRule="auto"/>
      </w:pPr>
    </w:p>
  </w:endnote>
  <w:endnote w:id="2">
    <w:p w14:paraId="52FF40B7" w14:textId="66D09F84" w:rsidR="006E0707" w:rsidRPr="00367960" w:rsidRDefault="006E0707" w:rsidP="006B0C6C">
      <w:pPr>
        <w:spacing w:before="80" w:after="80" w:line="240" w:lineRule="auto"/>
        <w:rPr>
          <w:szCs w:val="22"/>
        </w:rPr>
      </w:pPr>
      <w:r w:rsidRPr="00367960">
        <w:rPr>
          <w:rStyle w:val="EndnoteReference"/>
          <w:szCs w:val="22"/>
        </w:rPr>
        <w:endnoteRef/>
      </w:r>
      <w:r w:rsidRPr="00367960">
        <w:rPr>
          <w:szCs w:val="22"/>
        </w:rPr>
        <w:t xml:space="preserve"> </w:t>
      </w:r>
      <w:r w:rsidRPr="00977F83">
        <w:rPr>
          <w:szCs w:val="22"/>
        </w:rPr>
        <w:t>DFAT (2023</w:t>
      </w:r>
      <w:r>
        <w:rPr>
          <w:szCs w:val="22"/>
        </w:rPr>
        <w:t>a</w:t>
      </w:r>
      <w:r w:rsidRPr="00913943">
        <w:rPr>
          <w:szCs w:val="22"/>
        </w:rPr>
        <w:t>). Dose Sharing Timeline (Domestic Supply and UNICEF Procured).</w:t>
      </w:r>
      <w:r w:rsidRPr="009B7B0A">
        <w:rPr>
          <w:szCs w:val="22"/>
        </w:rPr>
        <w:t xml:space="preserve"> Department of Foreign Affairs and Trade, Canberra.</w:t>
      </w:r>
    </w:p>
  </w:endnote>
  <w:endnote w:id="3">
    <w:p w14:paraId="04CEBAE0" w14:textId="449F8B3E" w:rsidR="006E0707" w:rsidRPr="006B0C6C" w:rsidRDefault="006E0707" w:rsidP="006B0C6C">
      <w:pPr>
        <w:pStyle w:val="EndnoteText"/>
        <w:spacing w:before="80" w:after="80"/>
        <w:ind w:left="720" w:hanging="720"/>
        <w:rPr>
          <w:sz w:val="22"/>
          <w:szCs w:val="22"/>
        </w:rPr>
      </w:pPr>
      <w:r w:rsidRPr="006B0C6C">
        <w:rPr>
          <w:rStyle w:val="EndnoteReference"/>
          <w:sz w:val="22"/>
          <w:szCs w:val="22"/>
        </w:rPr>
        <w:endnoteRef/>
      </w:r>
      <w:r w:rsidRPr="006B0C6C">
        <w:rPr>
          <w:sz w:val="22"/>
          <w:szCs w:val="22"/>
        </w:rPr>
        <w:t xml:space="preserve"> Ibid.</w:t>
      </w:r>
    </w:p>
  </w:endnote>
  <w:endnote w:id="4">
    <w:p w14:paraId="5BB65022" w14:textId="77777777" w:rsidR="006E0707" w:rsidRPr="006B0C6C" w:rsidRDefault="006E0707" w:rsidP="000017BA">
      <w:pPr>
        <w:pStyle w:val="EndnoteText"/>
        <w:spacing w:before="80" w:after="80"/>
        <w:ind w:left="720" w:hanging="720"/>
        <w:rPr>
          <w:sz w:val="22"/>
          <w:szCs w:val="22"/>
        </w:rPr>
      </w:pPr>
      <w:r w:rsidRPr="006B0C6C">
        <w:rPr>
          <w:rStyle w:val="EndnoteReference"/>
          <w:sz w:val="22"/>
          <w:szCs w:val="22"/>
        </w:rPr>
        <w:endnoteRef/>
      </w:r>
      <w:r w:rsidRPr="006B0C6C">
        <w:rPr>
          <w:sz w:val="22"/>
          <w:szCs w:val="22"/>
        </w:rPr>
        <w:t xml:space="preserve"> Ibid.</w:t>
      </w:r>
    </w:p>
  </w:endnote>
  <w:endnote w:id="5">
    <w:p w14:paraId="0EEC69E9" w14:textId="77777777" w:rsidR="006E0707" w:rsidRPr="006B0C6C" w:rsidRDefault="006E0707" w:rsidP="000017BA">
      <w:pPr>
        <w:pStyle w:val="EndnoteText"/>
        <w:spacing w:before="80" w:after="80"/>
        <w:ind w:left="720" w:hanging="720"/>
        <w:rPr>
          <w:sz w:val="22"/>
          <w:szCs w:val="22"/>
        </w:rPr>
      </w:pPr>
      <w:r w:rsidRPr="006B0C6C">
        <w:rPr>
          <w:rStyle w:val="EndnoteReference"/>
          <w:sz w:val="22"/>
          <w:szCs w:val="22"/>
        </w:rPr>
        <w:endnoteRef/>
      </w:r>
      <w:r w:rsidRPr="006B0C6C">
        <w:rPr>
          <w:sz w:val="22"/>
          <w:szCs w:val="22"/>
        </w:rPr>
        <w:t xml:space="preserve"> Ibid.</w:t>
      </w:r>
    </w:p>
  </w:endnote>
  <w:endnote w:id="6">
    <w:p w14:paraId="54E5397D" w14:textId="77777777" w:rsidR="006E0707" w:rsidRPr="00FA1A39" w:rsidRDefault="006E0707" w:rsidP="000017BA">
      <w:pPr>
        <w:pStyle w:val="EndnoteText"/>
        <w:spacing w:before="80" w:after="80"/>
        <w:rPr>
          <w:sz w:val="22"/>
          <w:szCs w:val="22"/>
        </w:rPr>
      </w:pPr>
      <w:r w:rsidRPr="00FA1A39">
        <w:rPr>
          <w:rStyle w:val="EndnoteReference"/>
          <w:sz w:val="22"/>
          <w:szCs w:val="22"/>
        </w:rPr>
        <w:endnoteRef/>
      </w:r>
      <w:r w:rsidRPr="00FA1A39">
        <w:rPr>
          <w:sz w:val="22"/>
          <w:szCs w:val="22"/>
        </w:rPr>
        <w:t xml:space="preserve"> Ibid. and DFAT (2023) op. cit. </w:t>
      </w:r>
    </w:p>
  </w:endnote>
  <w:endnote w:id="7">
    <w:p w14:paraId="1656077B" w14:textId="3CE471AC" w:rsidR="006E0707" w:rsidRPr="00982383" w:rsidRDefault="006E0707" w:rsidP="00982383">
      <w:pPr>
        <w:pStyle w:val="CommentText"/>
        <w:rPr>
          <w:sz w:val="22"/>
          <w:szCs w:val="22"/>
        </w:rPr>
      </w:pPr>
      <w:r w:rsidRPr="00982383">
        <w:rPr>
          <w:rStyle w:val="EndnoteReference"/>
          <w:sz w:val="22"/>
          <w:szCs w:val="22"/>
        </w:rPr>
        <w:endnoteRef/>
      </w:r>
      <w:r w:rsidRPr="00982383">
        <w:rPr>
          <w:sz w:val="22"/>
          <w:szCs w:val="22"/>
        </w:rPr>
        <w:t xml:space="preserve"> Vanuatu AHP October Progress Report Community Outbreak FINAL 311022; AIHSP 2022 2023 Annual Progress Report (Part 1); UNICEF 1st VAHSI Mid-year report of 2022; WHO-DFAT 2024 Annual Report</w:t>
      </w:r>
    </w:p>
  </w:endnote>
  <w:endnote w:id="8">
    <w:p w14:paraId="3CE1F736" w14:textId="1FB0DDB1" w:rsidR="006E0707" w:rsidRPr="001A33CA" w:rsidRDefault="006E0707" w:rsidP="006B0C6C">
      <w:pPr>
        <w:spacing w:before="80" w:after="80" w:line="240" w:lineRule="auto"/>
        <w:rPr>
          <w:szCs w:val="22"/>
        </w:rPr>
      </w:pPr>
      <w:r w:rsidRPr="00FA1A39">
        <w:rPr>
          <w:rStyle w:val="EndnoteReference"/>
          <w:szCs w:val="22"/>
        </w:rPr>
        <w:endnoteRef/>
      </w:r>
      <w:r w:rsidRPr="00FA1A39">
        <w:rPr>
          <w:szCs w:val="22"/>
        </w:rPr>
        <w:t xml:space="preserve"> BPKP (2021). Report on the Results of Verification of Disbursement Linked Indicator (DLI). Badan</w:t>
      </w:r>
      <w:r w:rsidRPr="001A33CA">
        <w:rPr>
          <w:szCs w:val="22"/>
        </w:rPr>
        <w:t xml:space="preserve"> </w:t>
      </w:r>
      <w:proofErr w:type="spellStart"/>
      <w:r w:rsidRPr="001A33CA">
        <w:rPr>
          <w:szCs w:val="22"/>
        </w:rPr>
        <w:t>Pengawasan</w:t>
      </w:r>
      <w:proofErr w:type="spellEnd"/>
      <w:r w:rsidRPr="001A33CA">
        <w:rPr>
          <w:szCs w:val="22"/>
        </w:rPr>
        <w:t xml:space="preserve"> </w:t>
      </w:r>
      <w:proofErr w:type="spellStart"/>
      <w:r w:rsidRPr="001A33CA">
        <w:rPr>
          <w:szCs w:val="22"/>
        </w:rPr>
        <w:t>Keuangan</w:t>
      </w:r>
      <w:proofErr w:type="spellEnd"/>
      <w:r w:rsidRPr="001A33CA">
        <w:rPr>
          <w:szCs w:val="22"/>
        </w:rPr>
        <w:t xml:space="preserve"> dan Pembangunan (Financial and Development Supervisory Agency), Jakarta.</w:t>
      </w:r>
    </w:p>
  </w:endnote>
  <w:endnote w:id="9">
    <w:p w14:paraId="600FB14B" w14:textId="6218404A" w:rsidR="006E0707" w:rsidRPr="00477F8F" w:rsidRDefault="006E0707" w:rsidP="006B0C6C">
      <w:pPr>
        <w:spacing w:before="80" w:after="80" w:line="240" w:lineRule="auto"/>
      </w:pPr>
      <w:r w:rsidRPr="4717B9FC">
        <w:rPr>
          <w:rStyle w:val="EndnoteReference"/>
        </w:rPr>
        <w:endnoteRef/>
      </w:r>
      <w:r w:rsidRPr="00477F8F">
        <w:rPr>
          <w:szCs w:val="22"/>
        </w:rPr>
        <w:t xml:space="preserve">  </w:t>
      </w:r>
      <w:r>
        <w:t>TGA (2023). AETAP-RSSM Closure Report [and annexes]. Therapeutic Goods Administration, Canberra.</w:t>
      </w:r>
    </w:p>
  </w:endnote>
  <w:endnote w:id="10">
    <w:p w14:paraId="243701A0" w14:textId="43C5EF95" w:rsidR="006E0707" w:rsidRPr="006B0C6C" w:rsidRDefault="006E0707" w:rsidP="006B0C6C">
      <w:pPr>
        <w:pStyle w:val="EndnoteText"/>
        <w:spacing w:before="80" w:after="80"/>
        <w:rPr>
          <w:sz w:val="22"/>
          <w:szCs w:val="22"/>
        </w:rPr>
      </w:pPr>
      <w:r w:rsidRPr="006B0C6C">
        <w:rPr>
          <w:rStyle w:val="EndnoteReference"/>
          <w:sz w:val="22"/>
          <w:szCs w:val="22"/>
        </w:rPr>
        <w:endnoteRef/>
      </w:r>
      <w:r w:rsidRPr="006B0C6C">
        <w:rPr>
          <w:sz w:val="22"/>
          <w:szCs w:val="22"/>
        </w:rPr>
        <w:t xml:space="preserve"> Ibid.</w:t>
      </w:r>
    </w:p>
  </w:endnote>
  <w:endnote w:id="11">
    <w:p w14:paraId="62C514A0" w14:textId="70D30DBB" w:rsidR="006E0707" w:rsidRPr="006B0C6C" w:rsidRDefault="006E0707" w:rsidP="006B0C6C">
      <w:pPr>
        <w:pStyle w:val="EndnoteText"/>
        <w:spacing w:before="80" w:after="80"/>
        <w:rPr>
          <w:sz w:val="22"/>
          <w:szCs w:val="22"/>
        </w:rPr>
      </w:pPr>
      <w:r w:rsidRPr="006B0C6C">
        <w:rPr>
          <w:rStyle w:val="EndnoteReference"/>
          <w:sz w:val="22"/>
          <w:szCs w:val="22"/>
        </w:rPr>
        <w:endnoteRef/>
      </w:r>
      <w:r w:rsidRPr="006B0C6C">
        <w:rPr>
          <w:sz w:val="22"/>
          <w:szCs w:val="22"/>
        </w:rPr>
        <w:t xml:space="preserve"> </w:t>
      </w:r>
      <w:r w:rsidRPr="006B0C6C">
        <w:rPr>
          <w:rFonts w:ascii="Calibri" w:eastAsia="Calibri" w:hAnsi="Calibri" w:cs="Calibri"/>
          <w:sz w:val="22"/>
          <w:szCs w:val="22"/>
        </w:rPr>
        <w:t xml:space="preserve">DFAT (2016), Gender Equality and Women’s Empowerment Strategy </w:t>
      </w:r>
      <w:hyperlink r:id="rId1">
        <w:r w:rsidRPr="00680011">
          <w:rPr>
            <w:rStyle w:val="Hyperlink"/>
            <w:rFonts w:ascii="Calibri" w:eastAsia="Calibri" w:hAnsi="Calibri" w:cs="Calibri"/>
            <w:sz w:val="22"/>
            <w:szCs w:val="22"/>
          </w:rPr>
          <w:t>https://www.dfat.gov.au/sites/default/files/gender-equality-and-womens-empowerment-strategy.pdf</w:t>
        </w:r>
      </w:hyperlink>
    </w:p>
  </w:endnote>
  <w:endnote w:id="12">
    <w:p w14:paraId="5963B67C" w14:textId="1B5E63C3" w:rsidR="006E0707" w:rsidRPr="006B0C6C" w:rsidRDefault="006E0707" w:rsidP="006B0C6C">
      <w:pPr>
        <w:pStyle w:val="EndnoteText"/>
        <w:spacing w:before="80" w:after="80"/>
        <w:rPr>
          <w:sz w:val="22"/>
          <w:szCs w:val="22"/>
        </w:rPr>
      </w:pPr>
      <w:r w:rsidRPr="006B0C6C">
        <w:rPr>
          <w:rStyle w:val="EndnoteReference"/>
          <w:sz w:val="22"/>
          <w:szCs w:val="22"/>
        </w:rPr>
        <w:endnoteRef/>
      </w:r>
      <w:r w:rsidRPr="006B0C6C">
        <w:rPr>
          <w:sz w:val="22"/>
          <w:szCs w:val="22"/>
        </w:rPr>
        <w:t xml:space="preserve"> </w:t>
      </w:r>
      <w:r w:rsidRPr="006B0C6C">
        <w:rPr>
          <w:rFonts w:ascii="Calibri" w:eastAsia="Calibri" w:hAnsi="Calibri" w:cs="Calibri"/>
          <w:sz w:val="22"/>
          <w:szCs w:val="22"/>
        </w:rPr>
        <w:t xml:space="preserve">DFAT (2015), Development for All Strategy </w:t>
      </w:r>
      <w:hyperlink r:id="rId2">
        <w:r w:rsidRPr="00680011">
          <w:rPr>
            <w:rStyle w:val="Hyperlink"/>
            <w:rFonts w:ascii="Calibri" w:eastAsia="Calibri" w:hAnsi="Calibri" w:cs="Calibri"/>
            <w:sz w:val="22"/>
            <w:szCs w:val="22"/>
          </w:rPr>
          <w:t>https://www.dfat.gov.au/sites/default/files/development-for-all-2015-2020.pdf</w:t>
        </w:r>
      </w:hyperlink>
    </w:p>
  </w:endnote>
  <w:endnote w:id="13">
    <w:p w14:paraId="4603BD50" w14:textId="4D7D0C6A" w:rsidR="006E0707" w:rsidRPr="006B0C6C" w:rsidRDefault="006E0707" w:rsidP="006B0C6C">
      <w:pPr>
        <w:pStyle w:val="EndnoteText"/>
        <w:spacing w:before="80" w:after="80"/>
        <w:rPr>
          <w:sz w:val="22"/>
          <w:szCs w:val="22"/>
        </w:rPr>
      </w:pPr>
      <w:r w:rsidRPr="006B0C6C">
        <w:rPr>
          <w:rStyle w:val="EndnoteReference"/>
          <w:sz w:val="22"/>
          <w:szCs w:val="22"/>
        </w:rPr>
        <w:endnoteRef/>
      </w:r>
      <w:r w:rsidRPr="006B0C6C">
        <w:rPr>
          <w:sz w:val="22"/>
          <w:szCs w:val="22"/>
        </w:rPr>
        <w:t xml:space="preserve"> </w:t>
      </w:r>
      <w:r w:rsidRPr="006B0C6C">
        <w:rPr>
          <w:rFonts w:ascii="Calibri" w:eastAsia="Calibri" w:hAnsi="Calibri" w:cs="Calibri"/>
          <w:sz w:val="22"/>
          <w:szCs w:val="22"/>
        </w:rPr>
        <w:t xml:space="preserve">DFAT (2020), Partnerships for Recovery: DFAT’s COVID-19 Development Response </w:t>
      </w:r>
      <w:hyperlink r:id="rId3">
        <w:r w:rsidRPr="00680011">
          <w:rPr>
            <w:rStyle w:val="Hyperlink"/>
            <w:rFonts w:ascii="Calibri" w:eastAsia="Calibri" w:hAnsi="Calibri" w:cs="Calibri"/>
            <w:sz w:val="22"/>
            <w:szCs w:val="22"/>
          </w:rPr>
          <w:t>https://www.dfat.gov.au/sites/default/files/partnerships-for-recovery-australias-covid-19-development-response.pdf</w:t>
        </w:r>
      </w:hyperlink>
    </w:p>
  </w:endnote>
  <w:endnote w:id="14">
    <w:p w14:paraId="0017B798" w14:textId="6D3A4FBF" w:rsidR="006E0707" w:rsidRPr="00477F8F" w:rsidRDefault="006E0707" w:rsidP="006B0C6C">
      <w:pPr>
        <w:spacing w:before="80" w:after="80" w:line="240" w:lineRule="auto"/>
        <w:rPr>
          <w:szCs w:val="22"/>
        </w:rPr>
      </w:pPr>
      <w:r w:rsidRPr="009B7B0A">
        <w:rPr>
          <w:rStyle w:val="EndnoteReference"/>
          <w:szCs w:val="22"/>
        </w:rPr>
        <w:endnoteRef/>
      </w:r>
      <w:r w:rsidRPr="001A33CA">
        <w:rPr>
          <w:szCs w:val="22"/>
        </w:rPr>
        <w:t xml:space="preserve"> </w:t>
      </w:r>
      <w:r w:rsidRPr="001A33CA">
        <w:rPr>
          <w:rFonts w:ascii="Calibri" w:eastAsia="Calibri" w:hAnsi="Calibri" w:cs="Calibri"/>
          <w:szCs w:val="22"/>
        </w:rPr>
        <w:t xml:space="preserve">Health Security Initiative Guidance Note : Supporting Disability </w:t>
      </w:r>
      <w:r w:rsidRPr="001A33CA">
        <w:rPr>
          <w:rFonts w:ascii="Calibri" w:eastAsia="Calibri" w:hAnsi="Calibri" w:cs="Calibri"/>
          <w:color w:val="000000" w:themeColor="text1"/>
          <w:szCs w:val="22"/>
        </w:rPr>
        <w:t xml:space="preserve">inclusion through DFAT health security investments (undated)  </w:t>
      </w:r>
      <w:hyperlink r:id="rId4">
        <w:r w:rsidRPr="00680011">
          <w:rPr>
            <w:rStyle w:val="Hyperlink"/>
            <w:rFonts w:ascii="Calibri" w:eastAsia="Calibri" w:hAnsi="Calibri" w:cs="Calibri"/>
            <w:szCs w:val="22"/>
          </w:rPr>
          <w:t>https://surge4genderequality.com.au/sites/default/files/2023-07/Health%20Security%20Initiative%20Disability%20Guidance%20Note%20V2.0.pdf</w:t>
        </w:r>
      </w:hyperlink>
    </w:p>
  </w:endnote>
  <w:endnote w:id="15">
    <w:p w14:paraId="69AF9692" w14:textId="3F4F8CB2" w:rsidR="006E0707" w:rsidRPr="006B0C6C" w:rsidRDefault="006E0707" w:rsidP="006B0C6C">
      <w:pPr>
        <w:pStyle w:val="EndnoteText"/>
        <w:spacing w:before="80" w:after="80"/>
        <w:rPr>
          <w:sz w:val="22"/>
          <w:szCs w:val="22"/>
        </w:rPr>
      </w:pPr>
      <w:r w:rsidRPr="006B0C6C">
        <w:rPr>
          <w:rStyle w:val="EndnoteReference"/>
          <w:sz w:val="22"/>
          <w:szCs w:val="22"/>
        </w:rPr>
        <w:endnoteRef/>
      </w:r>
      <w:r w:rsidRPr="006B0C6C">
        <w:rPr>
          <w:sz w:val="22"/>
          <w:szCs w:val="22"/>
        </w:rPr>
        <w:t xml:space="preserve"> </w:t>
      </w:r>
      <w:r w:rsidRPr="006B0C6C">
        <w:rPr>
          <w:rFonts w:ascii="Calibri" w:eastAsia="Calibri" w:hAnsi="Calibri" w:cs="Calibri"/>
          <w:color w:val="000000" w:themeColor="text1"/>
          <w:sz w:val="22"/>
          <w:szCs w:val="22"/>
        </w:rPr>
        <w:t xml:space="preserve">Health Security Initiative Guidance Note on Supporting gender equality through DFAT health security investment (undated) </w:t>
      </w:r>
      <w:hyperlink r:id="rId5">
        <w:r w:rsidRPr="00680011">
          <w:rPr>
            <w:rStyle w:val="Hyperlink"/>
            <w:rFonts w:ascii="Calibri" w:eastAsia="Calibri" w:hAnsi="Calibri" w:cs="Calibri"/>
            <w:sz w:val="22"/>
            <w:szCs w:val="22"/>
          </w:rPr>
          <w:t>https://indopacifichealthsecurity.dfat.gov.au/sites/default/files/2022-08/Health%20Security%20Initiative%20Gender%20Guidance%20Note%20V2.0.pdf</w:t>
        </w:r>
      </w:hyperlink>
    </w:p>
  </w:endnote>
  <w:endnote w:id="16">
    <w:p w14:paraId="184F5BE4" w14:textId="0B4F6712" w:rsidR="006E0707" w:rsidRPr="006B0C6C" w:rsidRDefault="006E0707" w:rsidP="006B0C6C">
      <w:pPr>
        <w:pStyle w:val="EndnoteText"/>
        <w:spacing w:before="80" w:after="80"/>
        <w:rPr>
          <w:sz w:val="22"/>
          <w:szCs w:val="22"/>
        </w:rPr>
      </w:pPr>
      <w:r w:rsidRPr="006B0C6C">
        <w:rPr>
          <w:rStyle w:val="EndnoteReference"/>
          <w:sz w:val="22"/>
          <w:szCs w:val="22"/>
        </w:rPr>
        <w:endnoteRef/>
      </w:r>
      <w:r w:rsidRPr="006B0C6C">
        <w:rPr>
          <w:sz w:val="22"/>
          <w:szCs w:val="22"/>
        </w:rPr>
        <w:t xml:space="preserve"> </w:t>
      </w:r>
      <w:r w:rsidRPr="006B0C6C">
        <w:rPr>
          <w:rFonts w:ascii="Calibri" w:eastAsia="Calibri" w:hAnsi="Calibri" w:cs="Calibri"/>
          <w:sz w:val="22"/>
          <w:szCs w:val="22"/>
        </w:rPr>
        <w:t xml:space="preserve">WHO Strategic Advisory Group of Experts on Immunisation (SAGE) prioritisation Roadmap and Values Framework (2020) </w:t>
      </w:r>
      <w:hyperlink r:id="rId6">
        <w:r w:rsidRPr="00680011">
          <w:rPr>
            <w:rStyle w:val="Hyperlink"/>
            <w:rFonts w:ascii="Calibri" w:eastAsia="Calibri" w:hAnsi="Calibri" w:cs="Calibri"/>
            <w:sz w:val="22"/>
            <w:szCs w:val="22"/>
          </w:rPr>
          <w:t>https://iris.who.int/bitstream/handle/10665/334299/WHO-2019-nCoV-SAGE_Framework-Allocation_and_prioritization-2020.1-eng.pdf?sequence=1&amp;isAllowed=y</w:t>
        </w:r>
      </w:hyperlink>
    </w:p>
  </w:endnote>
  <w:endnote w:id="17">
    <w:p w14:paraId="07819DBE" w14:textId="71123943" w:rsidR="006E0707" w:rsidRPr="00477F8F" w:rsidRDefault="006E0707" w:rsidP="006B0C6C">
      <w:pPr>
        <w:spacing w:before="80" w:after="80" w:line="240" w:lineRule="auto"/>
        <w:rPr>
          <w:szCs w:val="22"/>
        </w:rPr>
      </w:pPr>
      <w:r w:rsidRPr="009B7B0A">
        <w:rPr>
          <w:rStyle w:val="EndnoteReference"/>
          <w:szCs w:val="22"/>
        </w:rPr>
        <w:endnoteRef/>
      </w:r>
      <w:r w:rsidRPr="001A33CA">
        <w:rPr>
          <w:szCs w:val="22"/>
        </w:rPr>
        <w:t xml:space="preserve"> </w:t>
      </w:r>
      <w:r w:rsidRPr="001A33CA">
        <w:rPr>
          <w:rFonts w:ascii="Calibri" w:eastAsia="Calibri" w:hAnsi="Calibri" w:cs="Calibri"/>
          <w:szCs w:val="22"/>
        </w:rPr>
        <w:t xml:space="preserve">UNICEF (2023) Landscape Analysis on Children with Disabilities in Indonesia </w:t>
      </w:r>
      <w:hyperlink r:id="rId7">
        <w:r w:rsidRPr="00680011">
          <w:rPr>
            <w:rStyle w:val="Hyperlink"/>
            <w:rFonts w:ascii="Calibri" w:eastAsia="Calibri" w:hAnsi="Calibri" w:cs="Calibri"/>
            <w:szCs w:val="22"/>
          </w:rPr>
          <w:t>https://www.unicef.org/indonesia/media/19746/file/Landscape%20analysis%20on%20children%20with%20disabilities%20in%20Indonesia.pdf</w:t>
        </w:r>
      </w:hyperlink>
    </w:p>
  </w:endnote>
  <w:endnote w:id="18">
    <w:p w14:paraId="04CA97F5" w14:textId="5C9854DD" w:rsidR="006E0707" w:rsidRPr="006B0C6C" w:rsidRDefault="006E0707" w:rsidP="006B0C6C">
      <w:pPr>
        <w:pStyle w:val="EndnoteText"/>
        <w:spacing w:before="80" w:after="80"/>
        <w:rPr>
          <w:sz w:val="22"/>
          <w:szCs w:val="22"/>
        </w:rPr>
      </w:pPr>
      <w:r w:rsidRPr="006B0C6C">
        <w:rPr>
          <w:rStyle w:val="EndnoteReference"/>
          <w:sz w:val="22"/>
          <w:szCs w:val="22"/>
        </w:rPr>
        <w:endnoteRef/>
      </w:r>
      <w:r w:rsidRPr="006B0C6C">
        <w:rPr>
          <w:sz w:val="22"/>
          <w:szCs w:val="22"/>
        </w:rPr>
        <w:t xml:space="preserve"> DFAT (2021), VAHSI Strategic Investment Framework (</w:t>
      </w:r>
      <w:proofErr w:type="spellStart"/>
      <w:r w:rsidRPr="006B0C6C">
        <w:rPr>
          <w:sz w:val="22"/>
          <w:szCs w:val="22"/>
        </w:rPr>
        <w:t>pg</w:t>
      </w:r>
      <w:proofErr w:type="spellEnd"/>
      <w:r w:rsidRPr="006B0C6C">
        <w:rPr>
          <w:sz w:val="22"/>
          <w:szCs w:val="22"/>
        </w:rPr>
        <w:t xml:space="preserve"> 10)</w:t>
      </w:r>
    </w:p>
  </w:endnote>
  <w:endnote w:id="19">
    <w:p w14:paraId="3157C9DF" w14:textId="4B3FCCA7" w:rsidR="006E0707" w:rsidRPr="00477F8F" w:rsidRDefault="006E0707" w:rsidP="006B0C6C">
      <w:pPr>
        <w:spacing w:before="80" w:after="80" w:line="240" w:lineRule="auto"/>
        <w:rPr>
          <w:szCs w:val="22"/>
        </w:rPr>
      </w:pPr>
      <w:r w:rsidRPr="009B7B0A">
        <w:rPr>
          <w:rStyle w:val="EndnoteReference"/>
          <w:szCs w:val="22"/>
        </w:rPr>
        <w:endnoteRef/>
      </w:r>
      <w:r w:rsidRPr="009B7B0A">
        <w:rPr>
          <w:szCs w:val="22"/>
        </w:rPr>
        <w:t xml:space="preserve"> </w:t>
      </w:r>
      <w:hyperlink r:id="rId8" w:anchor="_ednref1">
        <w:r w:rsidRPr="001A33CA">
          <w:rPr>
            <w:rFonts w:ascii="Calibri" w:eastAsia="Calibri" w:hAnsi="Calibri" w:cs="Calibri"/>
            <w:szCs w:val="22"/>
          </w:rPr>
          <w:t>[i]</w:t>
        </w:r>
      </w:hyperlink>
      <w:r w:rsidRPr="009B7B0A">
        <w:rPr>
          <w:rFonts w:ascii="Calibri" w:eastAsia="Calibri" w:hAnsi="Calibri" w:cs="Calibri"/>
          <w:szCs w:val="22"/>
        </w:rPr>
        <w:t xml:space="preserve"> DFAT (2023</w:t>
      </w:r>
      <w:r>
        <w:rPr>
          <w:rFonts w:ascii="Calibri" w:eastAsia="Calibri" w:hAnsi="Calibri" w:cs="Calibri"/>
          <w:szCs w:val="22"/>
        </w:rPr>
        <w:t>b</w:t>
      </w:r>
      <w:r w:rsidRPr="009B7B0A">
        <w:rPr>
          <w:rFonts w:ascii="Calibri" w:eastAsia="Calibri" w:hAnsi="Calibri" w:cs="Calibri"/>
          <w:szCs w:val="22"/>
        </w:rPr>
        <w:t xml:space="preserve">) Design and Monitoring, Evaluation and Learning Standards </w:t>
      </w:r>
      <w:hyperlink r:id="rId9">
        <w:r w:rsidRPr="00680011">
          <w:rPr>
            <w:rFonts w:eastAsia="Calibri"/>
            <w:szCs w:val="22"/>
          </w:rPr>
          <w:t>https://www.dfat.gov.au/about-us/publications/dfat-design-monitoring-evaluation-learning-standards</w:t>
        </w:r>
      </w:hyperlink>
      <w:r w:rsidRPr="00680011">
        <w:rPr>
          <w:rFonts w:eastAsia="Calibri"/>
          <w:szCs w:val="22"/>
        </w:rPr>
        <w:t xml:space="preserve"> </w:t>
      </w:r>
    </w:p>
  </w:endnote>
  <w:endnote w:id="20">
    <w:p w14:paraId="58D27B86" w14:textId="47A31D9F" w:rsidR="006E0707" w:rsidRPr="006B0C6C" w:rsidRDefault="006E0707" w:rsidP="006B0C6C">
      <w:pPr>
        <w:pStyle w:val="EndnoteText"/>
        <w:spacing w:before="80" w:after="80"/>
        <w:rPr>
          <w:sz w:val="22"/>
          <w:szCs w:val="22"/>
        </w:rPr>
      </w:pPr>
      <w:r w:rsidRPr="006B0C6C">
        <w:rPr>
          <w:rStyle w:val="EndnoteReference"/>
          <w:sz w:val="22"/>
          <w:szCs w:val="22"/>
        </w:rPr>
        <w:endnoteRef/>
      </w:r>
      <w:r w:rsidRPr="006B0C6C">
        <w:rPr>
          <w:sz w:val="22"/>
          <w:szCs w:val="22"/>
        </w:rPr>
        <w:t xml:space="preserve"> </w:t>
      </w:r>
      <w:r w:rsidRPr="00695ECB">
        <w:rPr>
          <w:sz w:val="22"/>
          <w:szCs w:val="22"/>
        </w:rPr>
        <w:t>DFAT (2023a) op. cit.</w:t>
      </w:r>
    </w:p>
  </w:endnote>
  <w:endnote w:id="21">
    <w:p w14:paraId="332A7D65" w14:textId="199B2874" w:rsidR="006E0707" w:rsidRPr="006B0C6C" w:rsidRDefault="006E0707" w:rsidP="006B0C6C">
      <w:pPr>
        <w:pStyle w:val="EndnoteText"/>
        <w:spacing w:before="80" w:after="80"/>
        <w:rPr>
          <w:sz w:val="22"/>
          <w:szCs w:val="22"/>
        </w:rPr>
      </w:pPr>
      <w:r w:rsidRPr="006B0C6C">
        <w:rPr>
          <w:rStyle w:val="EndnoteReference"/>
          <w:sz w:val="22"/>
          <w:szCs w:val="22"/>
        </w:rPr>
        <w:endnoteRef/>
      </w:r>
      <w:r w:rsidRPr="006B0C6C">
        <w:rPr>
          <w:sz w:val="22"/>
          <w:szCs w:val="22"/>
        </w:rPr>
        <w:t xml:space="preserve"> </w:t>
      </w:r>
      <w:r w:rsidRPr="006B0C6C">
        <w:rPr>
          <w:rFonts w:ascii="Calibri" w:eastAsia="Calibri" w:hAnsi="Calibri" w:cs="Calibri"/>
          <w:sz w:val="22"/>
          <w:szCs w:val="22"/>
        </w:rPr>
        <w:t>DFAT (2023a) op. cit., Mathieu et al., (2021) op. cit</w:t>
      </w:r>
      <w:r w:rsidRPr="009B7B0A">
        <w:rPr>
          <w:rFonts w:ascii="Calibri" w:eastAsia="Calibri" w:hAnsi="Calibri" w:cs="Calibri"/>
          <w:sz w:val="22"/>
          <w:szCs w:val="22"/>
        </w:rPr>
        <w:t>.</w:t>
      </w:r>
      <w:r w:rsidRPr="006B0C6C">
        <w:rPr>
          <w:rFonts w:ascii="Calibri" w:eastAsia="Calibri" w:hAnsi="Calibri" w:cs="Calibri"/>
          <w:sz w:val="22"/>
          <w:szCs w:val="22"/>
        </w:rPr>
        <w:t>, and DFAT (2023</w:t>
      </w:r>
      <w:r>
        <w:rPr>
          <w:rFonts w:ascii="Calibri" w:eastAsia="Calibri" w:hAnsi="Calibri" w:cs="Calibri"/>
          <w:sz w:val="22"/>
          <w:szCs w:val="22"/>
        </w:rPr>
        <w:t>c</w:t>
      </w:r>
      <w:r w:rsidRPr="006B0C6C">
        <w:rPr>
          <w:rFonts w:ascii="Calibri" w:eastAsia="Calibri" w:hAnsi="Calibri" w:cs="Calibri"/>
          <w:sz w:val="22"/>
          <w:szCs w:val="22"/>
        </w:rPr>
        <w:t xml:space="preserve">) </w:t>
      </w:r>
      <w:r w:rsidRPr="006B0C6C">
        <w:rPr>
          <w:sz w:val="22"/>
          <w:szCs w:val="22"/>
        </w:rPr>
        <w:t>Regional Vaccine Access Placemat. Department of Foreign Affairs and Trade, Canberra.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MinchoB">
    <w:charset w:val="80"/>
    <w:family w:val="roman"/>
    <w:pitch w:val="fixed"/>
    <w:sig w:usb0="80000281" w:usb1="28C76CF8" w:usb2="00000010" w:usb3="00000000" w:csb0="00020000" w:csb1="00000000"/>
  </w:font>
  <w:font w:name="Myriad Pro Light">
    <w:altName w:val="Segoe UI Light"/>
    <w:panose1 w:val="00000000000000000000"/>
    <w:charset w:val="00"/>
    <w:family w:val="roman"/>
    <w:notTrueType/>
    <w:pitch w:val="default"/>
    <w:sig w:usb0="00000003" w:usb1="00000000" w:usb2="00000000" w:usb3="00000000" w:csb0="00000001" w:csb1="00000000"/>
  </w:font>
  <w:font w:name="HGGothicM">
    <w:charset w:val="80"/>
    <w:family w:val="modern"/>
    <w:pitch w:val="fixed"/>
    <w:sig w:usb0="80000281" w:usb1="28C76CF8" w:usb2="00000010" w:usb3="00000000" w:csb0="00020000"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AF0F" w14:textId="77777777" w:rsidR="006E0707" w:rsidRPr="006B0C6C" w:rsidRDefault="006E0707" w:rsidP="007D1D0D">
    <w:pPr>
      <w:pStyle w:val="Footer"/>
    </w:pPr>
    <w:r w:rsidRPr="006B0C6C">
      <w:t>Deliverable Title</w:t>
    </w:r>
    <w:r w:rsidRPr="006B0C6C">
      <w:tab/>
    </w:r>
    <w:r w:rsidRPr="006B0C6C">
      <w:tab/>
    </w:r>
    <w:r w:rsidRPr="00680011">
      <w:rPr>
        <w:rFonts w:ascii="Wingdings" w:eastAsia="Wingdings" w:hAnsi="Wingdings" w:cs="Wingdings"/>
      </w:rPr>
      <w:t></w:t>
    </w:r>
    <w:r w:rsidRPr="006B0C6C">
      <w:t xml:space="preserve"> </w:t>
    </w:r>
    <w:r w:rsidRPr="006B0C6C">
      <w:fldChar w:fldCharType="begin"/>
    </w:r>
    <w:r w:rsidRPr="006B0C6C">
      <w:instrText xml:space="preserve"> PAGE   \* MERGEFORMAT </w:instrText>
    </w:r>
    <w:r w:rsidRPr="006B0C6C">
      <w:fldChar w:fldCharType="separate"/>
    </w:r>
    <w:r w:rsidRPr="006B0C6C">
      <w:t>1</w:t>
    </w:r>
    <w:r w:rsidRPr="006B0C6C">
      <w:fldChar w:fldCharType="end"/>
    </w:r>
  </w:p>
  <w:p w14:paraId="7A389282" w14:textId="77777777" w:rsidR="006E0707" w:rsidRPr="006B0C6C" w:rsidRDefault="006E0707" w:rsidP="007D1D0D">
    <w:pPr>
      <w:pStyle w:val="Footer"/>
    </w:pPr>
    <w:r w:rsidRPr="006B0C6C">
      <w:t>Specialist Health Service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2101" w14:textId="4DBDE1D2" w:rsidR="006E0707" w:rsidRPr="006B0C6C" w:rsidRDefault="006E0707" w:rsidP="007D1D0D">
    <w:pPr>
      <w:pStyle w:val="Footertextblack"/>
    </w:pPr>
    <w:r w:rsidRPr="006B0C6C">
      <w:t>VAHSI Independent Evaluation Report</w:t>
    </w:r>
    <w:r w:rsidRPr="006B0C6C">
      <w:tab/>
    </w:r>
    <w:r w:rsidRPr="006B0C6C">
      <w:tab/>
    </w:r>
    <w:r w:rsidRPr="006B0C6C">
      <w:tab/>
    </w:r>
    <w:r w:rsidRPr="00680011">
      <w:rPr>
        <w:rFonts w:ascii="Wingdings" w:eastAsia="Wingdings" w:hAnsi="Wingdings" w:cs="Wingdings"/>
      </w:rPr>
      <w:t></w:t>
    </w:r>
    <w:r w:rsidRPr="006B0C6C">
      <w:t xml:space="preserve"> </w:t>
    </w:r>
    <w:sdt>
      <w:sdtPr>
        <w:id w:val="-1614347259"/>
        <w:docPartObj>
          <w:docPartGallery w:val="Page Numbers (Bottom of Page)"/>
          <w:docPartUnique/>
        </w:docPartObj>
      </w:sdtPr>
      <w:sdtEndPr/>
      <w:sdtContent>
        <w:r w:rsidRPr="006B0C6C">
          <w:fldChar w:fldCharType="begin"/>
        </w:r>
        <w:r w:rsidRPr="006B0C6C">
          <w:instrText xml:space="preserve"> PAGE   \* MERGEFORMAT </w:instrText>
        </w:r>
        <w:r w:rsidRPr="006B0C6C">
          <w:fldChar w:fldCharType="separate"/>
        </w:r>
        <w:r w:rsidRPr="006B0C6C">
          <w:t>i</w:t>
        </w:r>
        <w:r w:rsidRPr="006B0C6C">
          <w:fldChar w:fldCharType="end"/>
        </w:r>
      </w:sdtContent>
    </w:sdt>
  </w:p>
  <w:p w14:paraId="0E65E71A" w14:textId="77777777" w:rsidR="006E0707" w:rsidRPr="00680011" w:rsidRDefault="006E0707" w:rsidP="007D1D0D">
    <w:pPr>
      <w:pStyle w:val="Footertextred"/>
      <w:rPr>
        <w:color w:val="auto"/>
      </w:rPr>
    </w:pPr>
    <w:r w:rsidRPr="00680011">
      <w:rPr>
        <w:color w:val="auto"/>
      </w:rPr>
      <w:t>Specialist Health Service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8409" w14:textId="77777777" w:rsidR="006E0707" w:rsidRPr="006B0C6C" w:rsidRDefault="006E0707" w:rsidP="007D1D0D">
    <w:pPr>
      <w:pStyle w:val="Footer"/>
      <w:rPr>
        <w:rFonts w:asciiTheme="majorHAnsi" w:eastAsiaTheme="majorEastAsia" w:hAnsiTheme="majorHAnsi"/>
      </w:rPr>
    </w:pPr>
    <w:r w:rsidRPr="006B0C6C">
      <w:rPr>
        <w:rFonts w:asciiTheme="majorHAnsi" w:eastAsiaTheme="majorEastAsia" w:hAnsiTheme="majorHAnsi"/>
      </w:rPr>
      <w:t>December 2016</w:t>
    </w:r>
    <w:r w:rsidRPr="006B0C6C">
      <w:rPr>
        <w:rFonts w:asciiTheme="majorHAnsi" w:eastAsiaTheme="majorEastAsia" w:hAnsiTheme="majorHAnsi"/>
      </w:rPr>
      <w:ptab w:relativeTo="margin" w:alignment="right" w:leader="none"/>
    </w:r>
    <w:r w:rsidRPr="006B0C6C">
      <w:rPr>
        <w:rFonts w:asciiTheme="majorHAnsi" w:eastAsiaTheme="majorEastAsia" w:hAnsiTheme="majorHAnsi"/>
      </w:rPr>
      <w:t xml:space="preserve">Page </w:t>
    </w:r>
    <w:r w:rsidRPr="006B0C6C">
      <w:rPr>
        <w:rFonts w:eastAsiaTheme="minorEastAsia" w:cstheme="minorBidi"/>
      </w:rPr>
      <w:fldChar w:fldCharType="begin"/>
    </w:r>
    <w:r w:rsidRPr="006B0C6C">
      <w:instrText xml:space="preserve"> PAGE   \* MERGEFORMAT </w:instrText>
    </w:r>
    <w:r w:rsidRPr="006B0C6C">
      <w:rPr>
        <w:rFonts w:eastAsiaTheme="minorEastAsia" w:cstheme="minorBidi"/>
      </w:rPr>
      <w:fldChar w:fldCharType="separate"/>
    </w:r>
    <w:r w:rsidRPr="006B0C6C">
      <w:rPr>
        <w:rFonts w:asciiTheme="majorHAnsi" w:eastAsiaTheme="majorEastAsia" w:hAnsiTheme="majorHAnsi"/>
      </w:rPr>
      <w:t>10</w:t>
    </w:r>
    <w:r w:rsidRPr="006B0C6C">
      <w:rPr>
        <w:rFonts w:asciiTheme="majorHAnsi" w:eastAsiaTheme="majorEastAsia" w:hAnsiTheme="maj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6F259" w14:textId="148F79F9" w:rsidR="006E0707" w:rsidRPr="003829F8" w:rsidRDefault="006E0707" w:rsidP="007D1D0D">
    <w:pPr>
      <w:pStyle w:val="Footertextblack"/>
    </w:pPr>
    <w:r>
      <w:t xml:space="preserve">Evaluation Report: Review of the Vaccine Access and Health Security Initiative </w:t>
    </w:r>
    <w:r>
      <w:tab/>
    </w:r>
    <w:r>
      <w:tab/>
    </w:r>
    <w:r w:rsidRPr="4F1BC030">
      <w:rPr>
        <w:rFonts w:ascii="Wingdings" w:eastAsia="Wingdings" w:hAnsi="Wingdings" w:cs="Wingdings"/>
        <w:color w:val="DA291C"/>
      </w:rPr>
      <w:t></w:t>
    </w:r>
    <w:r>
      <w:t xml:space="preserve"> </w:t>
    </w:r>
    <w:sdt>
      <w:sdtPr>
        <w:id w:val="303357324"/>
        <w:docPartObj>
          <w:docPartGallery w:val="Page Numbers (Bottom of Page)"/>
          <w:docPartUnique/>
        </w:docPartObj>
      </w:sdtPr>
      <w:sdtEndPr/>
      <w:sdtContent>
        <w:r>
          <w:fldChar w:fldCharType="begin"/>
        </w:r>
        <w:r>
          <w:instrText xml:space="preserve"> PAGE   \* MERGEFORMAT </w:instrText>
        </w:r>
        <w:r>
          <w:fldChar w:fldCharType="separate"/>
        </w:r>
        <w:r>
          <w:t>i</w:t>
        </w:r>
        <w:r>
          <w:fldChar w:fldCharType="end"/>
        </w:r>
      </w:sdtContent>
    </w:sdt>
  </w:p>
  <w:p w14:paraId="6CDC1FF0" w14:textId="77777777" w:rsidR="006E0707" w:rsidRPr="003829F8" w:rsidRDefault="006E0707" w:rsidP="007D1D0D">
    <w:pPr>
      <w:pStyle w:val="Footertextred"/>
    </w:pPr>
    <w:r w:rsidRPr="003829F8">
      <w:t>Specialist Health Service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91EC" w14:textId="77777777" w:rsidR="006E0707" w:rsidRPr="003829F8" w:rsidRDefault="006E0707" w:rsidP="007D1D0D">
    <w:pPr>
      <w:pStyle w:val="Footer"/>
      <w:rPr>
        <w:rFonts w:asciiTheme="majorHAnsi" w:eastAsiaTheme="majorEastAsia" w:hAnsiTheme="majorHAnsi"/>
      </w:rPr>
    </w:pPr>
    <w:r w:rsidRPr="003829F8">
      <w:rPr>
        <w:rFonts w:asciiTheme="majorHAnsi" w:eastAsiaTheme="majorEastAsia" w:hAnsiTheme="majorHAnsi"/>
      </w:rPr>
      <w:t>December 2016</w:t>
    </w:r>
    <w:r w:rsidRPr="003829F8">
      <w:rPr>
        <w:rFonts w:asciiTheme="majorHAnsi" w:eastAsiaTheme="majorEastAsia" w:hAnsiTheme="majorHAnsi"/>
      </w:rPr>
      <w:ptab w:relativeTo="margin" w:alignment="right" w:leader="none"/>
    </w:r>
    <w:r w:rsidRPr="003829F8">
      <w:rPr>
        <w:rFonts w:asciiTheme="majorHAnsi" w:eastAsiaTheme="majorEastAsia" w:hAnsiTheme="majorHAnsi"/>
      </w:rPr>
      <w:t xml:space="preserve">Page </w:t>
    </w:r>
    <w:r w:rsidRPr="003829F8">
      <w:rPr>
        <w:rFonts w:eastAsiaTheme="minorEastAsia" w:cstheme="minorBidi"/>
      </w:rPr>
      <w:fldChar w:fldCharType="begin"/>
    </w:r>
    <w:r w:rsidRPr="003829F8">
      <w:instrText xml:space="preserve"> PAGE   \* MERGEFORMAT </w:instrText>
    </w:r>
    <w:r w:rsidRPr="003829F8">
      <w:rPr>
        <w:rFonts w:eastAsiaTheme="minorEastAsia" w:cstheme="minorBidi"/>
      </w:rPr>
      <w:fldChar w:fldCharType="separate"/>
    </w:r>
    <w:r w:rsidRPr="003829F8">
      <w:rPr>
        <w:rFonts w:asciiTheme="majorHAnsi" w:eastAsiaTheme="majorEastAsia" w:hAnsiTheme="majorHAnsi"/>
      </w:rPr>
      <w:t>10</w:t>
    </w:r>
    <w:r w:rsidRPr="003829F8">
      <w:rPr>
        <w:rFonts w:asciiTheme="majorHAnsi" w:eastAsiaTheme="majorEastAsia"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DB08F" w14:textId="77777777" w:rsidR="00AF3A48" w:rsidRPr="006B0C6C" w:rsidRDefault="00AF3A48" w:rsidP="007D1D0D">
      <w:r w:rsidRPr="006B0C6C">
        <w:separator/>
      </w:r>
    </w:p>
  </w:footnote>
  <w:footnote w:type="continuationSeparator" w:id="0">
    <w:p w14:paraId="2A02736C" w14:textId="77777777" w:rsidR="00AF3A48" w:rsidRPr="006B0C6C" w:rsidRDefault="00AF3A48" w:rsidP="007D1D0D">
      <w:r w:rsidRPr="006B0C6C">
        <w:continuationSeparator/>
      </w:r>
    </w:p>
  </w:footnote>
  <w:footnote w:type="continuationNotice" w:id="1">
    <w:p w14:paraId="5A104E3B" w14:textId="77777777" w:rsidR="00AF3A48" w:rsidRDefault="00AF3A48">
      <w:pPr>
        <w:spacing w:after="0" w:line="240" w:lineRule="auto"/>
      </w:pPr>
    </w:p>
  </w:footnote>
  <w:footnote w:id="2">
    <w:p w14:paraId="21E98CC1" w14:textId="3B516903" w:rsidR="006E0707" w:rsidRPr="00F11EFB" w:rsidRDefault="006E0707" w:rsidP="4608E2EE">
      <w:pPr>
        <w:spacing w:after="160" w:line="257" w:lineRule="auto"/>
        <w:jc w:val="both"/>
        <w:rPr>
          <w:sz w:val="16"/>
          <w:szCs w:val="16"/>
        </w:rPr>
      </w:pPr>
      <w:r w:rsidRPr="4608E2EE">
        <w:rPr>
          <w:rStyle w:val="FootnoteReference"/>
        </w:rPr>
        <w:footnoteRef/>
      </w:r>
      <w:r>
        <w:t xml:space="preserve"> </w:t>
      </w:r>
      <w:r w:rsidRPr="00F11EFB">
        <w:rPr>
          <w:rFonts w:ascii="Calibri" w:eastAsia="Calibri" w:hAnsi="Calibri" w:cs="Calibri"/>
          <w:sz w:val="16"/>
          <w:szCs w:val="16"/>
        </w:rPr>
        <w:t xml:space="preserve">An important component of effectiveness is any determination of the proportion of total COVID-19 vaccine doses delivered in countries that could be attributable to VAHSI. However, it is recognised that this generally requires establishing a system to capture this data from the outset, and the pandemic did not lend itself to this. A rough estimate of the VAHSI attributable proportion can be obtained by comparing the number of VAHSI doses delivered to countries with the total number of COVID-19 vaccine doses recorded as administered in those countries. It is important to note in this analysis that the two measures are not identical; rather, this analysis assumes that 100% of VAHSI vaccines delivered were administered to the population within the period. It cannot account for any vaccine wastage that may have occurred in-country (which would influence the denominator), noting that it is not </w:t>
      </w:r>
      <w:proofErr w:type="gramStart"/>
      <w:r w:rsidRPr="00F11EFB">
        <w:rPr>
          <w:rFonts w:ascii="Calibri" w:eastAsia="Calibri" w:hAnsi="Calibri" w:cs="Calibri"/>
          <w:sz w:val="16"/>
          <w:szCs w:val="16"/>
        </w:rPr>
        <w:t>really possible</w:t>
      </w:r>
      <w:proofErr w:type="gramEnd"/>
      <w:r w:rsidRPr="00F11EFB">
        <w:rPr>
          <w:rFonts w:ascii="Calibri" w:eastAsia="Calibri" w:hAnsi="Calibri" w:cs="Calibri"/>
          <w:sz w:val="16"/>
          <w:szCs w:val="16"/>
        </w:rPr>
        <w:t xml:space="preserve"> to prescribe a reasonable percentage of vaccine wastage in the context of a pandemic. Furthermore, coverage greater than 100% could indicate that more was provided than the population used or that doses were not distributed (e.g. perhaps demand had reduced, perhaps they are in warehouses, perhaps doses had expired). It does not account for any time lag (e.g. doses delivered in 2022 might not have been administered until 2023) and redistributions between countries are not shown. Data for 2023 are not shown as the VAHSI deliveries stopped. The data shown should therefore be interpreted for general trends and not used as specific, reportable numbers.</w:t>
      </w:r>
    </w:p>
  </w:footnote>
  <w:footnote w:id="3">
    <w:p w14:paraId="3C83584F" w14:textId="6B62017D" w:rsidR="006E0707" w:rsidRPr="00F11EFB" w:rsidRDefault="006E0707" w:rsidP="00982383">
      <w:pPr>
        <w:pStyle w:val="FootnoteText"/>
        <w:rPr>
          <w:sz w:val="16"/>
          <w:szCs w:val="16"/>
        </w:rPr>
      </w:pPr>
      <w:r w:rsidRPr="00F11EFB">
        <w:rPr>
          <w:rStyle w:val="FootnoteReference"/>
          <w:sz w:val="16"/>
          <w:szCs w:val="16"/>
        </w:rPr>
        <w:footnoteRef/>
      </w:r>
      <w:r w:rsidRPr="00F11EFB">
        <w:rPr>
          <w:sz w:val="16"/>
          <w:szCs w:val="16"/>
        </w:rPr>
        <w:t xml:space="preserve"> Pacific Island countries were Fiji, Kiribati, Papua New Guinea, Nauru, Samoa, Solomon Islands, Timor-Leste, Tonga, Tuvalu, and Vanuatu. Southeast Asian countries were Cambodia, Indonesia, Laos, Philippines, Thailand, and Vietnam.</w:t>
      </w:r>
    </w:p>
  </w:footnote>
  <w:footnote w:id="4">
    <w:p w14:paraId="527DE141" w14:textId="18AC243D" w:rsidR="006E0707" w:rsidRPr="006B0C6C" w:rsidRDefault="006E0707" w:rsidP="00F408B4">
      <w:pPr>
        <w:spacing w:after="0" w:line="257" w:lineRule="auto"/>
        <w:jc w:val="both"/>
        <w:rPr>
          <w:sz w:val="18"/>
          <w:szCs w:val="18"/>
        </w:rPr>
      </w:pPr>
      <w:r w:rsidRPr="006B0C6C">
        <w:rPr>
          <w:rStyle w:val="FootnoteReference"/>
          <w:sz w:val="18"/>
          <w:szCs w:val="18"/>
        </w:rPr>
        <w:footnoteRef/>
      </w:r>
      <w:r w:rsidRPr="006B0C6C">
        <w:rPr>
          <w:sz w:val="18"/>
          <w:szCs w:val="18"/>
        </w:rPr>
        <w:t xml:space="preserve"> </w:t>
      </w:r>
      <w:r w:rsidRPr="006B0C6C">
        <w:rPr>
          <w:rFonts w:ascii="Calibri" w:eastAsia="Calibri" w:hAnsi="Calibri" w:cs="Calibri"/>
          <w:sz w:val="18"/>
          <w:szCs w:val="18"/>
        </w:rPr>
        <w:t>While the technical support was highly valued, a point of feedback was that this was not often matched with provision of administrative and/or coordination assistance to agencies who had a rapidly expanded portfolio of immunisation support activities.</w:t>
      </w:r>
    </w:p>
    <w:p w14:paraId="096A48A9" w14:textId="42376683" w:rsidR="006E0707" w:rsidRPr="006B0C6C" w:rsidRDefault="006E0707">
      <w:pPr>
        <w:pStyle w:val="FootnoteText"/>
      </w:pPr>
    </w:p>
  </w:footnote>
  <w:footnote w:id="5">
    <w:p w14:paraId="02034297" w14:textId="106A9195" w:rsidR="006E0707" w:rsidRPr="00F83E7C" w:rsidRDefault="006E0707">
      <w:pPr>
        <w:pStyle w:val="FootnoteText"/>
        <w:rPr>
          <w:sz w:val="16"/>
          <w:szCs w:val="16"/>
          <w:lang w:val="en-GB"/>
        </w:rPr>
      </w:pPr>
      <w:r w:rsidRPr="006B0C6C">
        <w:rPr>
          <w:rStyle w:val="FootnoteReference"/>
        </w:rPr>
        <w:footnoteRef/>
      </w:r>
      <w:r w:rsidRPr="006B0C6C">
        <w:t xml:space="preserve"> </w:t>
      </w:r>
      <w:r w:rsidRPr="00F83E7C">
        <w:rPr>
          <w:sz w:val="16"/>
          <w:szCs w:val="16"/>
        </w:rPr>
        <w:t>https://www.pm.gov.au/media/joint-statement-elevation-comprehensive-strategic-partnership-between-vietnam-and-australia</w:t>
      </w:r>
    </w:p>
  </w:footnote>
  <w:footnote w:id="6">
    <w:p w14:paraId="241E4875" w14:textId="5CD27F69" w:rsidR="006E0707" w:rsidRPr="00A25BBF" w:rsidRDefault="006E0707">
      <w:pPr>
        <w:pStyle w:val="FootnoteText"/>
        <w:rPr>
          <w:lang w:val="en-US"/>
        </w:rPr>
      </w:pPr>
      <w:r>
        <w:rPr>
          <w:rStyle w:val="FootnoteReference"/>
        </w:rPr>
        <w:footnoteRef/>
      </w:r>
      <w:r>
        <w:t xml:space="preserve"> </w:t>
      </w:r>
      <w:hyperlink r:id="rId1">
        <w:r w:rsidRPr="00680011">
          <w:rPr>
            <w:rStyle w:val="Hyperlink"/>
            <w:rFonts w:ascii="Calibri" w:eastAsia="Calibri" w:hAnsi="Calibri" w:cs="Calibri"/>
          </w:rPr>
          <w:t>https://www.care.org.au/wp-content/uploads/2020/04/Vanuatu-Rapid-Gender-Analysis-COVID-FINAL-17.04.20.pdf</w:t>
        </w:r>
      </w:hyperlink>
    </w:p>
  </w:footnote>
  <w:footnote w:id="7">
    <w:p w14:paraId="4E086EBB" w14:textId="77777777" w:rsidR="006E0707" w:rsidRPr="00D24EC1" w:rsidRDefault="006E0707" w:rsidP="00721F73">
      <w:pPr>
        <w:pStyle w:val="FootnoteText"/>
        <w:rPr>
          <w:lang w:val="en-GB"/>
        </w:rPr>
      </w:pPr>
      <w:r>
        <w:rPr>
          <w:rStyle w:val="FootnoteReference"/>
        </w:rPr>
        <w:footnoteRef/>
      </w:r>
      <w:r>
        <w:t xml:space="preserve"> </w:t>
      </w:r>
      <w:hyperlink r:id="rId2" w:history="1">
        <w:r w:rsidRPr="00680011">
          <w:rPr>
            <w:rStyle w:val="Hyperlink"/>
          </w:rPr>
          <w:t>https://www.dfat.gov.au/about-us/publications/dfat-design-monitoring-evaluation-learning-standards</w:t>
        </w:r>
      </w:hyperlink>
      <w:r w:rsidRPr="00680011">
        <w:t xml:space="preserve"> </w:t>
      </w:r>
    </w:p>
  </w:footnote>
  <w:footnote w:id="8">
    <w:p w14:paraId="348CE74F" w14:textId="77777777" w:rsidR="006E0707" w:rsidRPr="00680011" w:rsidRDefault="006E0707" w:rsidP="00721F73">
      <w:pPr>
        <w:spacing w:after="0"/>
        <w:rPr>
          <w:rFonts w:ascii="Calibri" w:eastAsia="Calibri" w:hAnsi="Calibri" w:cs="Calibri"/>
        </w:rPr>
      </w:pPr>
      <w:r>
        <w:rPr>
          <w:rStyle w:val="FootnoteReference"/>
        </w:rPr>
        <w:footnoteRef/>
      </w:r>
      <w:r>
        <w:t xml:space="preserve"> </w:t>
      </w:r>
      <w:hyperlink r:id="rId3" w:anchor="_ftnref1" w:history="1">
        <w:r w:rsidRPr="00680011">
          <w:rPr>
            <w:rStyle w:val="Hyperlink"/>
            <w:rFonts w:ascii="Calibri" w:eastAsia="Calibri" w:hAnsi="Calibri" w:cs="Calibri"/>
            <w:sz w:val="20"/>
            <w:szCs w:val="20"/>
            <w:vertAlign w:val="superscript"/>
          </w:rPr>
          <w:t>[1]</w:t>
        </w:r>
      </w:hyperlink>
      <w:r w:rsidRPr="00680011">
        <w:rPr>
          <w:rFonts w:ascii="Calibri" w:eastAsia="Calibri" w:hAnsi="Calibri" w:cs="Calibri"/>
          <w:sz w:val="20"/>
          <w:szCs w:val="20"/>
        </w:rPr>
        <w:t xml:space="preserve"> OECD (2021), Applying Evaluation Criteria Thoughtfully, OECD Publishing, Paris, </w:t>
      </w:r>
      <w:hyperlink r:id="rId4" w:history="1">
        <w:r w:rsidRPr="00680011">
          <w:rPr>
            <w:rStyle w:val="Hyperlink"/>
            <w:rFonts w:ascii="Calibri" w:eastAsia="Calibri" w:hAnsi="Calibri" w:cs="Calibri"/>
            <w:sz w:val="20"/>
            <w:szCs w:val="20"/>
          </w:rPr>
          <w:t>https://doi.org/10.1787/543e84ed-en</w:t>
        </w:r>
      </w:hyperlink>
      <w:r w:rsidRPr="00680011">
        <w:rPr>
          <w:rFonts w:ascii="Calibri" w:eastAsia="Calibri" w:hAnsi="Calibri" w:cs="Calibri"/>
          <w:sz w:val="20"/>
          <w:szCs w:val="20"/>
        </w:rPr>
        <w:t>. Accessed 10 July 2024.</w:t>
      </w:r>
      <w:r w:rsidRPr="00680011">
        <w:rPr>
          <w:rFonts w:ascii="Calibri" w:eastAsia="Calibri" w:hAnsi="Calibri" w:cs="Calibri"/>
        </w:rPr>
        <w:t xml:space="preserve"> </w:t>
      </w:r>
    </w:p>
  </w:footnote>
  <w:footnote w:id="9">
    <w:p w14:paraId="1C928057" w14:textId="77777777" w:rsidR="006E0707" w:rsidRPr="00680011" w:rsidRDefault="006E0707" w:rsidP="00721F73">
      <w:pPr>
        <w:spacing w:after="0"/>
        <w:rPr>
          <w:rFonts w:ascii="Calibri" w:eastAsia="Calibri" w:hAnsi="Calibri" w:cs="Calibri"/>
          <w:sz w:val="20"/>
          <w:szCs w:val="20"/>
        </w:rPr>
      </w:pPr>
      <w:r w:rsidRPr="00680011">
        <w:rPr>
          <w:rStyle w:val="FootnoteReference"/>
        </w:rPr>
        <w:footnoteRef/>
      </w:r>
      <w:r w:rsidRPr="00680011">
        <w:t xml:space="preserve"> </w:t>
      </w:r>
      <w:hyperlink r:id="rId5" w:anchor="_ftnref1" w:history="1">
        <w:r w:rsidRPr="00680011">
          <w:rPr>
            <w:rStyle w:val="Hyperlink"/>
            <w:rFonts w:ascii="Calibri" w:eastAsia="Calibri" w:hAnsi="Calibri" w:cs="Calibri"/>
            <w:sz w:val="20"/>
            <w:szCs w:val="20"/>
            <w:vertAlign w:val="superscript"/>
          </w:rPr>
          <w:t>[1]</w:t>
        </w:r>
      </w:hyperlink>
      <w:r w:rsidRPr="00680011">
        <w:rPr>
          <w:rFonts w:ascii="Calibri" w:eastAsia="Calibri" w:hAnsi="Calibri" w:cs="Calibri"/>
          <w:sz w:val="20"/>
          <w:szCs w:val="20"/>
        </w:rPr>
        <w:t xml:space="preserve"> </w:t>
      </w:r>
      <w:hyperlink r:id="rId6" w:history="1">
        <w:r w:rsidRPr="00680011">
          <w:rPr>
            <w:rStyle w:val="Hyperlink"/>
            <w:rFonts w:ascii="Calibri" w:eastAsia="Calibri" w:hAnsi="Calibri" w:cs="Calibri"/>
            <w:sz w:val="20"/>
            <w:szCs w:val="20"/>
          </w:rPr>
          <w:t>UNSDG (2024), Leave No One Behind</w:t>
        </w:r>
      </w:hyperlink>
      <w:r w:rsidRPr="00680011">
        <w:rPr>
          <w:rFonts w:ascii="Calibri" w:eastAsia="Calibri" w:hAnsi="Calibri" w:cs="Calibri"/>
          <w:sz w:val="20"/>
          <w:szCs w:val="20"/>
        </w:rPr>
        <w:t xml:space="preserve">. </w:t>
      </w:r>
      <w:hyperlink r:id="rId7" w:history="1">
        <w:r w:rsidRPr="00680011">
          <w:rPr>
            <w:rStyle w:val="Hyperlink"/>
            <w:rFonts w:ascii="Calibri" w:eastAsia="Calibri" w:hAnsi="Calibri" w:cs="Calibri"/>
            <w:sz w:val="20"/>
            <w:szCs w:val="20"/>
          </w:rPr>
          <w:t>https://unsdg.un.org/2030-agenda/universal-values/leave-no-one-behind</w:t>
        </w:r>
      </w:hyperlink>
      <w:r w:rsidRPr="00680011">
        <w:rPr>
          <w:rFonts w:ascii="Calibri" w:eastAsia="Calibri" w:hAnsi="Calibri" w:cs="Calibri"/>
          <w:sz w:val="20"/>
          <w:szCs w:val="20"/>
        </w:rPr>
        <w:t>. Accessed 19 July 2024.</w:t>
      </w:r>
    </w:p>
    <w:p w14:paraId="3B525DC0" w14:textId="77777777" w:rsidR="006E0707" w:rsidRPr="00EC1D98" w:rsidRDefault="006E0707" w:rsidP="00721F73">
      <w:pPr>
        <w:pStyle w:val="FootnoteText"/>
        <w:rPr>
          <w:lang w:val="en-GB"/>
        </w:rPr>
      </w:pPr>
    </w:p>
  </w:footnote>
  <w:footnote w:id="10">
    <w:p w14:paraId="61E367EA" w14:textId="77777777" w:rsidR="006E0707" w:rsidRDefault="006E0707" w:rsidP="00721F73">
      <w:pPr>
        <w:pStyle w:val="FootnoteText"/>
      </w:pPr>
      <w:r w:rsidRPr="009D3642">
        <w:rPr>
          <w:sz w:val="22"/>
          <w:szCs w:val="22"/>
          <w:vertAlign w:val="superscript"/>
        </w:rPr>
        <w:footnoteRef/>
      </w:r>
      <w:r w:rsidRPr="009D3642">
        <w:rPr>
          <w:sz w:val="22"/>
          <w:szCs w:val="22"/>
          <w:vertAlign w:val="superscript"/>
        </w:rPr>
        <w:t xml:space="preserve"> </w:t>
      </w:r>
      <w:r>
        <w:t>Fu Y, et al. 2023. Cost-effectiveness of COVID-19 vaccination: A systematic review. J Evidence Based Med 16(2):152-65. https://doi.org/10.1111/jebm.12525.</w:t>
      </w:r>
    </w:p>
    <w:p w14:paraId="6C165BB0" w14:textId="77777777" w:rsidR="006E0707" w:rsidRDefault="006E0707" w:rsidP="00721F73">
      <w:pPr>
        <w:pStyle w:val="FootnoteText"/>
      </w:pPr>
    </w:p>
  </w:footnote>
  <w:footnote w:id="11">
    <w:p w14:paraId="30C86D6B" w14:textId="77777777" w:rsidR="006E0707" w:rsidRDefault="006E0707" w:rsidP="00721F73">
      <w:pPr>
        <w:spacing w:after="0"/>
        <w:rPr>
          <w:rFonts w:ascii="Calibri" w:eastAsia="Calibri" w:hAnsi="Calibri" w:cs="Calibri"/>
          <w:sz w:val="20"/>
          <w:szCs w:val="20"/>
        </w:rPr>
      </w:pPr>
      <w:r>
        <w:rPr>
          <w:rStyle w:val="FootnoteReference"/>
        </w:rPr>
        <w:footnoteRef/>
      </w:r>
      <w:r w:rsidRPr="0D8F13C1">
        <w:rPr>
          <w:rFonts w:ascii="Calibri" w:eastAsia="Calibri" w:hAnsi="Calibri" w:cs="Calibri"/>
          <w:sz w:val="20"/>
          <w:szCs w:val="20"/>
        </w:rPr>
        <w:t xml:space="preserve">OECD (2021), Applying Evaluation Criteria Thoughtfully, OECD Publishing, Paris, </w:t>
      </w:r>
      <w:hyperlink r:id="rId8" w:history="1">
        <w:r w:rsidRPr="00680011">
          <w:rPr>
            <w:rStyle w:val="Hyperlink"/>
            <w:rFonts w:ascii="Calibri" w:eastAsia="Calibri" w:hAnsi="Calibri" w:cs="Calibri"/>
            <w:sz w:val="20"/>
            <w:szCs w:val="20"/>
          </w:rPr>
          <w:t>https://doi.org/10.1787/543e84ed-en. Accessed 10 July 2024</w:t>
        </w:r>
      </w:hyperlink>
      <w:r w:rsidRPr="0D8F13C1">
        <w:rPr>
          <w:rFonts w:ascii="Calibri" w:eastAsia="Calibri" w:hAnsi="Calibri" w:cs="Calibri"/>
          <w:sz w:val="20"/>
          <w:szCs w:val="20"/>
        </w:rPr>
        <w:t>.</w:t>
      </w:r>
    </w:p>
    <w:p w14:paraId="141A6CBA" w14:textId="77777777" w:rsidR="006E0707" w:rsidRPr="00EB358C" w:rsidRDefault="006E0707" w:rsidP="00721F73">
      <w:pPr>
        <w:pStyle w:val="FootnoteText"/>
        <w:rPr>
          <w:lang w:val="en-GB"/>
        </w:rPr>
      </w:pPr>
    </w:p>
  </w:footnote>
  <w:footnote w:id="12">
    <w:p w14:paraId="54C9E0A7" w14:textId="77777777" w:rsidR="006E0707" w:rsidRPr="00680011" w:rsidRDefault="006E0707" w:rsidP="00721F73">
      <w:pPr>
        <w:pStyle w:val="FootnoteText"/>
        <w:rPr>
          <w:sz w:val="18"/>
          <w:lang w:val="en-US"/>
        </w:rPr>
      </w:pPr>
      <w:r w:rsidRPr="00680011">
        <w:rPr>
          <w:rStyle w:val="FootnoteReference"/>
          <w:sz w:val="18"/>
        </w:rPr>
        <w:footnoteRef/>
      </w:r>
      <w:r w:rsidRPr="00680011">
        <w:rPr>
          <w:sz w:val="18"/>
        </w:rPr>
        <w:t xml:space="preserve"> </w:t>
      </w:r>
      <w:hyperlink r:id="rId9" w:history="1">
        <w:r w:rsidRPr="00680011">
          <w:rPr>
            <w:rStyle w:val="Hyperlink"/>
            <w:rFonts w:ascii="Calibri" w:eastAsia="Calibri" w:hAnsi="Calibri" w:cs="Calibri"/>
            <w:sz w:val="18"/>
          </w:rPr>
          <w:t>https://indopacifichealthsecurity.dfat.gov.au/sites/default/files/2022-08/VAHSI%20-%20GEDSI%20Strategy.pdf</w:t>
        </w:r>
      </w:hyperlink>
    </w:p>
  </w:footnote>
  <w:footnote w:id="13">
    <w:p w14:paraId="5FBC52A3" w14:textId="77777777" w:rsidR="006E0707" w:rsidRPr="00680011" w:rsidRDefault="006E0707" w:rsidP="00721F73">
      <w:pPr>
        <w:spacing w:after="0"/>
        <w:jc w:val="both"/>
        <w:rPr>
          <w:rFonts w:ascii="Calibri" w:eastAsia="Calibri" w:hAnsi="Calibri" w:cs="Calibri"/>
          <w:sz w:val="18"/>
          <w:szCs w:val="18"/>
          <w:u w:val="single"/>
        </w:rPr>
      </w:pPr>
      <w:r w:rsidRPr="00680011">
        <w:rPr>
          <w:rStyle w:val="FootnoteReference"/>
        </w:rPr>
        <w:footnoteRef/>
      </w:r>
      <w:hyperlink r:id="rId10" w:history="1">
        <w:r w:rsidRPr="00680011">
          <w:rPr>
            <w:rStyle w:val="Hyperlink"/>
            <w:rFonts w:ascii="Calibri" w:eastAsia="Calibri" w:hAnsi="Calibri" w:cs="Calibri"/>
            <w:sz w:val="18"/>
            <w:szCs w:val="18"/>
          </w:rPr>
          <w:t>https://www.dfat.gov.au/publications/aid/covid-19-gender-and-social-protection-guidance-note-violence-against-women-and-girls-and-gender-sensitive-social-protection-programming</w:t>
        </w:r>
      </w:hyperlink>
    </w:p>
  </w:footnote>
  <w:footnote w:id="14">
    <w:p w14:paraId="56BB2D9A" w14:textId="77777777" w:rsidR="006E0707" w:rsidRPr="00680011" w:rsidRDefault="006E0707" w:rsidP="00721F73">
      <w:pPr>
        <w:spacing w:after="0"/>
        <w:jc w:val="both"/>
        <w:rPr>
          <w:rFonts w:ascii="Calibri" w:eastAsia="Calibri" w:hAnsi="Calibri" w:cs="Calibri"/>
          <w:sz w:val="20"/>
          <w:szCs w:val="20"/>
          <w:u w:val="single"/>
        </w:rPr>
      </w:pPr>
      <w:r w:rsidRPr="00680011">
        <w:rPr>
          <w:rStyle w:val="FootnoteReference"/>
        </w:rPr>
        <w:footnoteRef/>
      </w:r>
      <w:hyperlink r:id="rId11" w:history="1">
        <w:r w:rsidRPr="00680011">
          <w:rPr>
            <w:rStyle w:val="Hyperlink"/>
            <w:rFonts w:ascii="Calibri" w:eastAsia="Calibri" w:hAnsi="Calibri" w:cs="Calibri"/>
            <w:sz w:val="18"/>
            <w:szCs w:val="18"/>
          </w:rPr>
          <w:t>https://indopacifichealthsecurity.dfat.gov.au/sites/default/files/2022-08/Health%20Security%20Initiative%20Gender%20Guidance%20Note%20V2.0.pdf</w:t>
        </w:r>
      </w:hyperlink>
    </w:p>
  </w:footnote>
  <w:footnote w:id="15">
    <w:p w14:paraId="65D1467C" w14:textId="77777777" w:rsidR="006E0707" w:rsidRPr="00680011" w:rsidRDefault="006E0707" w:rsidP="00721F73">
      <w:pPr>
        <w:spacing w:after="0"/>
        <w:jc w:val="both"/>
        <w:rPr>
          <w:rFonts w:ascii="Calibri" w:eastAsia="Calibri" w:hAnsi="Calibri" w:cs="Calibri"/>
          <w:sz w:val="20"/>
          <w:szCs w:val="20"/>
          <w:u w:val="single"/>
        </w:rPr>
      </w:pPr>
      <w:r w:rsidRPr="00680011">
        <w:rPr>
          <w:rStyle w:val="FootnoteReference"/>
        </w:rPr>
        <w:footnoteRef/>
      </w:r>
      <w:hyperlink r:id="rId12" w:history="1">
        <w:r w:rsidRPr="00680011">
          <w:rPr>
            <w:rStyle w:val="Hyperlink"/>
            <w:rFonts w:ascii="Calibri" w:eastAsia="Calibri" w:hAnsi="Calibri" w:cs="Calibri"/>
            <w:sz w:val="18"/>
            <w:szCs w:val="18"/>
          </w:rPr>
          <w:t>https://surge4genderequality.com.au/sites/default/files/2023-07/Health%20Security%20Initiative%20Disability%20Guidance%20Note%20V2.0.pdf</w:t>
        </w:r>
      </w:hyperlink>
    </w:p>
  </w:footnote>
  <w:footnote w:id="16">
    <w:p w14:paraId="2889DF36" w14:textId="77777777" w:rsidR="006E0707" w:rsidRPr="00680011" w:rsidRDefault="006E0707" w:rsidP="00721F73">
      <w:pPr>
        <w:pStyle w:val="FootnoteText"/>
        <w:rPr>
          <w:lang w:val="en-US"/>
        </w:rPr>
      </w:pPr>
      <w:r w:rsidRPr="00680011">
        <w:rPr>
          <w:rStyle w:val="FootnoteReference"/>
        </w:rPr>
        <w:footnoteRef/>
      </w:r>
      <w:r w:rsidRPr="00680011">
        <w:rPr>
          <w:rStyle w:val="Hyperlink"/>
          <w:rFonts w:ascii="Calibri" w:eastAsia="Calibri" w:hAnsi="Calibri" w:cs="Calibri"/>
          <w:sz w:val="18"/>
        </w:rPr>
        <w:t xml:space="preserve"> </w:t>
      </w:r>
      <w:hyperlink r:id="rId13" w:history="1">
        <w:r w:rsidRPr="00680011">
          <w:rPr>
            <w:rStyle w:val="Hyperlink"/>
            <w:rFonts w:ascii="Calibri" w:eastAsia="Calibri" w:hAnsi="Calibri" w:cs="Calibri"/>
            <w:sz w:val="18"/>
          </w:rPr>
          <w:t>https://www.dfat.gov.au/sites/default/files/environmental-social-safeguard-policy.pdf</w:t>
        </w:r>
      </w:hyperlink>
    </w:p>
  </w:footnote>
  <w:footnote w:id="17">
    <w:p w14:paraId="4C44DE21" w14:textId="77777777" w:rsidR="006E0707" w:rsidRPr="00680011" w:rsidRDefault="006E0707" w:rsidP="00721F73">
      <w:pPr>
        <w:pStyle w:val="FootnoteText"/>
        <w:rPr>
          <w:rStyle w:val="Hyperlink"/>
          <w:rFonts w:ascii="Calibri" w:eastAsia="Calibri" w:hAnsi="Calibri" w:cs="Calibri"/>
          <w:sz w:val="18"/>
        </w:rPr>
      </w:pPr>
      <w:r w:rsidRPr="00680011">
        <w:rPr>
          <w:rStyle w:val="FootnoteReference"/>
        </w:rPr>
        <w:footnoteRef/>
      </w:r>
      <w:hyperlink r:id="rId14" w:history="1">
        <w:r w:rsidRPr="00680011">
          <w:rPr>
            <w:rStyle w:val="Hyperlink"/>
            <w:rFonts w:ascii="Calibri" w:eastAsia="Calibri" w:hAnsi="Calibri" w:cs="Calibri"/>
            <w:sz w:val="18"/>
          </w:rPr>
          <w:t>https://www.worldvisionphilanthropy.org/hubfs/resources/Gender_Equality_and_Social_Inclusion%20WV.pdf</w:t>
        </w:r>
      </w:hyperlink>
    </w:p>
  </w:footnote>
  <w:footnote w:id="18">
    <w:p w14:paraId="471E4596" w14:textId="77777777" w:rsidR="008C7F1C" w:rsidRPr="00F11EFB" w:rsidRDefault="008C7F1C" w:rsidP="008C7F1C">
      <w:pPr>
        <w:pStyle w:val="FootnoteText"/>
        <w:rPr>
          <w:sz w:val="16"/>
          <w:szCs w:val="16"/>
        </w:rPr>
      </w:pPr>
      <w:r w:rsidRPr="00F11EFB">
        <w:rPr>
          <w:rStyle w:val="FootnoteReference"/>
          <w:sz w:val="16"/>
          <w:szCs w:val="16"/>
        </w:rPr>
        <w:footnoteRef/>
      </w:r>
      <w:r w:rsidRPr="00F11EFB">
        <w:rPr>
          <w:sz w:val="16"/>
          <w:szCs w:val="16"/>
        </w:rPr>
        <w:t xml:space="preserve"> Pacific Island countries were Fiji, Kiribati, Papua New Guinea, Nauru, Samoa, Solomon Islands, Timor-Leste, Tonga, Tuvalu, and Vanuatu. Southeast Asian countries were Cambodia, Indonesia, Laos, Philippines, Thailand, and Vietnam.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478D" w14:textId="7F1B34B3" w:rsidR="006E0707" w:rsidRPr="006B0C6C" w:rsidRDefault="006E0707" w:rsidP="007D1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12F0" w14:textId="51C1AC97" w:rsidR="006E0707" w:rsidRPr="006B0C6C" w:rsidRDefault="006E0707" w:rsidP="007D1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B8F5" w14:textId="2102AFB3" w:rsidR="006E0707" w:rsidRPr="006B0C6C" w:rsidRDefault="006E0707" w:rsidP="007D1D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8B52" w14:textId="77777777" w:rsidR="006E0707" w:rsidRPr="003829F8" w:rsidRDefault="006E0707" w:rsidP="007D1D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B558" w14:textId="77777777" w:rsidR="006E0707" w:rsidRPr="003829F8" w:rsidRDefault="006E0707" w:rsidP="007D1D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6F13" w14:textId="77777777" w:rsidR="006E0707" w:rsidRPr="003829F8" w:rsidRDefault="006E0707" w:rsidP="007D1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2E3076"/>
    <w:lvl w:ilvl="0">
      <w:start w:val="1"/>
      <w:numFmt w:val="bullet"/>
      <w:pStyle w:val="ListBullet"/>
      <w:lvlText w:val=""/>
      <w:lvlJc w:val="left"/>
      <w:pPr>
        <w:ind w:left="644" w:hanging="360"/>
      </w:pPr>
      <w:rPr>
        <w:rFonts w:ascii="Wingdings" w:hAnsi="Wingdings" w:hint="default"/>
        <w:color w:val="009F93"/>
      </w:rPr>
    </w:lvl>
  </w:abstractNum>
  <w:abstractNum w:abstractNumId="1"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BD68EC"/>
    <w:multiLevelType w:val="multilevel"/>
    <w:tmpl w:val="374E061C"/>
    <w:lvl w:ilvl="0">
      <w:start w:val="1"/>
      <w:numFmt w:val="decimal"/>
      <w:pStyle w:val="NumberedTitle"/>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lang w:val="en-G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29652C5"/>
    <w:multiLevelType w:val="hybridMultilevel"/>
    <w:tmpl w:val="1E0E4C66"/>
    <w:lvl w:ilvl="0" w:tplc="04090001">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155483"/>
    <w:multiLevelType w:val="hybridMultilevel"/>
    <w:tmpl w:val="522E0566"/>
    <w:lvl w:ilvl="0" w:tplc="3B2C94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BC3321"/>
    <w:multiLevelType w:val="hybridMultilevel"/>
    <w:tmpl w:val="8D4C1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DD110E"/>
    <w:multiLevelType w:val="hybridMultilevel"/>
    <w:tmpl w:val="02A25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EC5880"/>
    <w:multiLevelType w:val="hybridMultilevel"/>
    <w:tmpl w:val="28B2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065A1"/>
    <w:multiLevelType w:val="multilevel"/>
    <w:tmpl w:val="A3B8534E"/>
    <w:lvl w:ilvl="0">
      <w:start w:val="1"/>
      <w:numFmt w:val="decimal"/>
      <w:pStyle w:val="Heading1SHS"/>
      <w:lvlText w:val="%1."/>
      <w:lvlJc w:val="left"/>
      <w:pPr>
        <w:ind w:left="360" w:hanging="360"/>
      </w:pPr>
    </w:lvl>
    <w:lvl w:ilvl="1">
      <w:start w:val="1"/>
      <w:numFmt w:val="decimal"/>
      <w:pStyle w:val="Heading2SHS"/>
      <w:lvlText w:val="%1.%2."/>
      <w:lvlJc w:val="left"/>
      <w:pPr>
        <w:ind w:left="1134" w:firstLine="0"/>
      </w:pPr>
    </w:lvl>
    <w:lvl w:ilvl="2">
      <w:start w:val="1"/>
      <w:numFmt w:val="decimal"/>
      <w:pStyle w:val="Heading3SHS"/>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8C0EE1"/>
    <w:multiLevelType w:val="hybridMultilevel"/>
    <w:tmpl w:val="CE36ABA0"/>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C2F61"/>
    <w:multiLevelType w:val="hybridMultilevel"/>
    <w:tmpl w:val="840E8414"/>
    <w:lvl w:ilvl="0" w:tplc="FFFFFFFF">
      <w:start w:val="1"/>
      <w:numFmt w:val="decimal"/>
      <w:pStyle w:val="ListParagraph"/>
      <w:lvlText w:val="%1."/>
      <w:lvlJc w:val="left"/>
      <w:pPr>
        <w:ind w:left="720" w:hanging="360"/>
      </w:pPr>
      <w:rPr>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A85487"/>
    <w:multiLevelType w:val="hybridMultilevel"/>
    <w:tmpl w:val="F258C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C3EFF"/>
    <w:multiLevelType w:val="hybridMultilevel"/>
    <w:tmpl w:val="24E0F066"/>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13" w15:restartNumberingAfterBreak="0">
    <w:nsid w:val="2A693897"/>
    <w:multiLevelType w:val="hybridMultilevel"/>
    <w:tmpl w:val="EF1C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326BE"/>
    <w:multiLevelType w:val="hybridMultilevel"/>
    <w:tmpl w:val="6A6E732C"/>
    <w:lvl w:ilvl="0" w:tplc="72F46B5E">
      <w:start w:val="1"/>
      <w:numFmt w:val="bullet"/>
      <w:pStyle w:val="bullet"/>
      <w:lvlText w:val=""/>
      <w:lvlJc w:val="left"/>
      <w:pPr>
        <w:ind w:left="717" w:hanging="360"/>
      </w:pPr>
      <w:rPr>
        <w:rFonts w:ascii="Symbol" w:hAnsi="Symbol" w:hint="default"/>
        <w:color w:val="DA291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C67B72"/>
    <w:multiLevelType w:val="hybridMultilevel"/>
    <w:tmpl w:val="5C3A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47D6E"/>
    <w:multiLevelType w:val="hybridMultilevel"/>
    <w:tmpl w:val="8BE44BC6"/>
    <w:lvl w:ilvl="0" w:tplc="04090001">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8266A6"/>
    <w:multiLevelType w:val="hybridMultilevel"/>
    <w:tmpl w:val="08A0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14B19"/>
    <w:multiLevelType w:val="hybridMultilevel"/>
    <w:tmpl w:val="95C0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E5E91"/>
    <w:multiLevelType w:val="hybridMultilevel"/>
    <w:tmpl w:val="0084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E3A60"/>
    <w:multiLevelType w:val="hybridMultilevel"/>
    <w:tmpl w:val="4E80DC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390A96"/>
    <w:multiLevelType w:val="hybridMultilevel"/>
    <w:tmpl w:val="19FE8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9E34BA"/>
    <w:multiLevelType w:val="hybridMultilevel"/>
    <w:tmpl w:val="B66C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63A9D"/>
    <w:multiLevelType w:val="hybridMultilevel"/>
    <w:tmpl w:val="24E0F066"/>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4" w15:restartNumberingAfterBreak="0">
    <w:nsid w:val="782B4FFC"/>
    <w:multiLevelType w:val="hybridMultilevel"/>
    <w:tmpl w:val="FAD6B046"/>
    <w:lvl w:ilvl="0" w:tplc="4FB2C442">
      <w:start w:val="1"/>
      <w:numFmt w:val="lowerRoman"/>
      <w:pStyle w:val="ListNumber2"/>
      <w:lvlText w:val="%1."/>
      <w:lvlJc w:val="right"/>
      <w:pPr>
        <w:ind w:left="360" w:hanging="360"/>
      </w:pPr>
    </w:lvl>
    <w:lvl w:ilvl="1" w:tplc="FFFFFFFF">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AB600A"/>
    <w:multiLevelType w:val="hybridMultilevel"/>
    <w:tmpl w:val="38D0E5D6"/>
    <w:lvl w:ilvl="0" w:tplc="9BFA3AB8">
      <w:numFmt w:val="bullet"/>
      <w:lvlText w:val="-"/>
      <w:lvlJc w:val="left"/>
      <w:pPr>
        <w:ind w:left="720" w:hanging="360"/>
      </w:pPr>
      <w:rPr>
        <w:rFonts w:ascii="Calibri" w:eastAsia="Times New Roman"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22772C"/>
    <w:multiLevelType w:val="hybridMultilevel"/>
    <w:tmpl w:val="3E48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860F66"/>
    <w:multiLevelType w:val="hybridMultilevel"/>
    <w:tmpl w:val="CA0CCF04"/>
    <w:lvl w:ilvl="0" w:tplc="8DDCB7CE">
      <w:start w:val="1"/>
      <w:numFmt w:val="upp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0641586">
    <w:abstractNumId w:val="2"/>
  </w:num>
  <w:num w:numId="2" w16cid:durableId="1192960891">
    <w:abstractNumId w:val="10"/>
  </w:num>
  <w:num w:numId="3" w16cid:durableId="359866665">
    <w:abstractNumId w:val="14"/>
  </w:num>
  <w:num w:numId="4" w16cid:durableId="943343815">
    <w:abstractNumId w:val="12"/>
  </w:num>
  <w:num w:numId="5" w16cid:durableId="663972026">
    <w:abstractNumId w:val="8"/>
  </w:num>
  <w:num w:numId="6" w16cid:durableId="1802919439">
    <w:abstractNumId w:val="10"/>
    <w:lvlOverride w:ilvl="0">
      <w:startOverride w:val="1"/>
    </w:lvlOverride>
  </w:num>
  <w:num w:numId="7" w16cid:durableId="239951662">
    <w:abstractNumId w:val="3"/>
  </w:num>
  <w:num w:numId="8" w16cid:durableId="1714036164">
    <w:abstractNumId w:val="16"/>
  </w:num>
  <w:num w:numId="9" w16cid:durableId="1712345741">
    <w:abstractNumId w:val="20"/>
  </w:num>
  <w:num w:numId="10" w16cid:durableId="1057125246">
    <w:abstractNumId w:val="10"/>
    <w:lvlOverride w:ilvl="0">
      <w:startOverride w:val="1"/>
    </w:lvlOverride>
  </w:num>
  <w:num w:numId="11" w16cid:durableId="2096321698">
    <w:abstractNumId w:val="0"/>
  </w:num>
  <w:num w:numId="12" w16cid:durableId="1158769323">
    <w:abstractNumId w:val="1"/>
  </w:num>
  <w:num w:numId="13" w16cid:durableId="1124617854">
    <w:abstractNumId w:val="24"/>
  </w:num>
  <w:num w:numId="14" w16cid:durableId="1457022918">
    <w:abstractNumId w:val="6"/>
  </w:num>
  <w:num w:numId="15" w16cid:durableId="664169472">
    <w:abstractNumId w:val="23"/>
  </w:num>
  <w:num w:numId="16" w16cid:durableId="332416182">
    <w:abstractNumId w:val="19"/>
  </w:num>
  <w:num w:numId="17" w16cid:durableId="1045446180">
    <w:abstractNumId w:val="26"/>
  </w:num>
  <w:num w:numId="18" w16cid:durableId="1294991663">
    <w:abstractNumId w:val="13"/>
  </w:num>
  <w:num w:numId="19" w16cid:durableId="2032603086">
    <w:abstractNumId w:val="18"/>
  </w:num>
  <w:num w:numId="20" w16cid:durableId="1083450664">
    <w:abstractNumId w:val="11"/>
  </w:num>
  <w:num w:numId="21" w16cid:durableId="1703823287">
    <w:abstractNumId w:val="7"/>
  </w:num>
  <w:num w:numId="22" w16cid:durableId="1597902181">
    <w:abstractNumId w:val="4"/>
  </w:num>
  <w:num w:numId="23" w16cid:durableId="1424956736">
    <w:abstractNumId w:val="27"/>
  </w:num>
  <w:num w:numId="24" w16cid:durableId="1987852980">
    <w:abstractNumId w:val="25"/>
  </w:num>
  <w:num w:numId="25" w16cid:durableId="687677125">
    <w:abstractNumId w:val="9"/>
  </w:num>
  <w:num w:numId="26" w16cid:durableId="900678688">
    <w:abstractNumId w:val="17"/>
  </w:num>
  <w:num w:numId="27" w16cid:durableId="2019237548">
    <w:abstractNumId w:val="22"/>
  </w:num>
  <w:num w:numId="28" w16cid:durableId="1178539583">
    <w:abstractNumId w:val="15"/>
  </w:num>
  <w:num w:numId="29" w16cid:durableId="467163365">
    <w:abstractNumId w:val="5"/>
  </w:num>
  <w:num w:numId="30" w16cid:durableId="173889109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0Mjc3sjCxMLU0NbRU0lEKTi0uzszPAykwqQUAkOke6SwAAAA="/>
  </w:docVars>
  <w:rsids>
    <w:rsidRoot w:val="000239C8"/>
    <w:rsid w:val="000002F7"/>
    <w:rsid w:val="000017BA"/>
    <w:rsid w:val="0000360B"/>
    <w:rsid w:val="0000434E"/>
    <w:rsid w:val="000049D6"/>
    <w:rsid w:val="00007703"/>
    <w:rsid w:val="00007A87"/>
    <w:rsid w:val="000101BA"/>
    <w:rsid w:val="0001120B"/>
    <w:rsid w:val="0001224B"/>
    <w:rsid w:val="00012A5D"/>
    <w:rsid w:val="00012F84"/>
    <w:rsid w:val="00013435"/>
    <w:rsid w:val="00013C4C"/>
    <w:rsid w:val="00015643"/>
    <w:rsid w:val="00020115"/>
    <w:rsid w:val="000201D2"/>
    <w:rsid w:val="000206A0"/>
    <w:rsid w:val="00022C36"/>
    <w:rsid w:val="00022FD7"/>
    <w:rsid w:val="000239C8"/>
    <w:rsid w:val="00023AC3"/>
    <w:rsid w:val="00024664"/>
    <w:rsid w:val="00025592"/>
    <w:rsid w:val="000259E1"/>
    <w:rsid w:val="00025FF9"/>
    <w:rsid w:val="00026A6A"/>
    <w:rsid w:val="00026D84"/>
    <w:rsid w:val="000315D8"/>
    <w:rsid w:val="000328C2"/>
    <w:rsid w:val="00032E78"/>
    <w:rsid w:val="00033769"/>
    <w:rsid w:val="00040AA1"/>
    <w:rsid w:val="00040D2E"/>
    <w:rsid w:val="00040EF1"/>
    <w:rsid w:val="00041573"/>
    <w:rsid w:val="00041B69"/>
    <w:rsid w:val="00042F2A"/>
    <w:rsid w:val="000431E4"/>
    <w:rsid w:val="00043B8D"/>
    <w:rsid w:val="00043E8A"/>
    <w:rsid w:val="00044A96"/>
    <w:rsid w:val="00046177"/>
    <w:rsid w:val="0004659B"/>
    <w:rsid w:val="00046845"/>
    <w:rsid w:val="0004E0B5"/>
    <w:rsid w:val="00050B59"/>
    <w:rsid w:val="0005137A"/>
    <w:rsid w:val="0005152F"/>
    <w:rsid w:val="00053553"/>
    <w:rsid w:val="00055626"/>
    <w:rsid w:val="0005628E"/>
    <w:rsid w:val="00056365"/>
    <w:rsid w:val="000572B2"/>
    <w:rsid w:val="000608F9"/>
    <w:rsid w:val="000609CC"/>
    <w:rsid w:val="00061F74"/>
    <w:rsid w:val="00062A8F"/>
    <w:rsid w:val="00063130"/>
    <w:rsid w:val="0006473F"/>
    <w:rsid w:val="00064A15"/>
    <w:rsid w:val="00064E4D"/>
    <w:rsid w:val="0006544D"/>
    <w:rsid w:val="00066A57"/>
    <w:rsid w:val="000671E9"/>
    <w:rsid w:val="000718EB"/>
    <w:rsid w:val="00076C6C"/>
    <w:rsid w:val="00082173"/>
    <w:rsid w:val="000848E0"/>
    <w:rsid w:val="00090760"/>
    <w:rsid w:val="00091070"/>
    <w:rsid w:val="00095595"/>
    <w:rsid w:val="0009600D"/>
    <w:rsid w:val="000A07BE"/>
    <w:rsid w:val="000A2B06"/>
    <w:rsid w:val="000A2E14"/>
    <w:rsid w:val="000A320E"/>
    <w:rsid w:val="000A3838"/>
    <w:rsid w:val="000A5EDB"/>
    <w:rsid w:val="000A793C"/>
    <w:rsid w:val="000A7B38"/>
    <w:rsid w:val="000B07C7"/>
    <w:rsid w:val="000B13C2"/>
    <w:rsid w:val="000B1BAF"/>
    <w:rsid w:val="000B3284"/>
    <w:rsid w:val="000B6618"/>
    <w:rsid w:val="000B7F90"/>
    <w:rsid w:val="000B932C"/>
    <w:rsid w:val="000C2527"/>
    <w:rsid w:val="000C2800"/>
    <w:rsid w:val="000C2E2E"/>
    <w:rsid w:val="000C49D5"/>
    <w:rsid w:val="000C4FFD"/>
    <w:rsid w:val="000C5095"/>
    <w:rsid w:val="000D030B"/>
    <w:rsid w:val="000D072B"/>
    <w:rsid w:val="000D5E19"/>
    <w:rsid w:val="000D5ECF"/>
    <w:rsid w:val="000D77EB"/>
    <w:rsid w:val="000E0490"/>
    <w:rsid w:val="000E39CA"/>
    <w:rsid w:val="000E46E6"/>
    <w:rsid w:val="000E5739"/>
    <w:rsid w:val="000E5CD2"/>
    <w:rsid w:val="000E5CDE"/>
    <w:rsid w:val="000E609C"/>
    <w:rsid w:val="000E6DE9"/>
    <w:rsid w:val="000F16A7"/>
    <w:rsid w:val="000F17C1"/>
    <w:rsid w:val="000F1916"/>
    <w:rsid w:val="000F36AA"/>
    <w:rsid w:val="000F44B4"/>
    <w:rsid w:val="000F5829"/>
    <w:rsid w:val="000F62F3"/>
    <w:rsid w:val="000F7344"/>
    <w:rsid w:val="000F7F6B"/>
    <w:rsid w:val="00100B1C"/>
    <w:rsid w:val="00102CBB"/>
    <w:rsid w:val="00102F15"/>
    <w:rsid w:val="00104131"/>
    <w:rsid w:val="00106232"/>
    <w:rsid w:val="00106246"/>
    <w:rsid w:val="00106516"/>
    <w:rsid w:val="00110F7A"/>
    <w:rsid w:val="00111617"/>
    <w:rsid w:val="00111E1D"/>
    <w:rsid w:val="00113E18"/>
    <w:rsid w:val="00115803"/>
    <w:rsid w:val="001168F7"/>
    <w:rsid w:val="00117116"/>
    <w:rsid w:val="00117460"/>
    <w:rsid w:val="00117784"/>
    <w:rsid w:val="00120B8A"/>
    <w:rsid w:val="00120F00"/>
    <w:rsid w:val="00122968"/>
    <w:rsid w:val="00123E2D"/>
    <w:rsid w:val="00123F4A"/>
    <w:rsid w:val="00125642"/>
    <w:rsid w:val="00125F5A"/>
    <w:rsid w:val="00126487"/>
    <w:rsid w:val="00127AB5"/>
    <w:rsid w:val="00130EDE"/>
    <w:rsid w:val="001326AC"/>
    <w:rsid w:val="00133696"/>
    <w:rsid w:val="0013376E"/>
    <w:rsid w:val="00133A75"/>
    <w:rsid w:val="00133E7C"/>
    <w:rsid w:val="001344AF"/>
    <w:rsid w:val="00135595"/>
    <w:rsid w:val="001362EE"/>
    <w:rsid w:val="00137228"/>
    <w:rsid w:val="00140D48"/>
    <w:rsid w:val="001417CE"/>
    <w:rsid w:val="00141C1B"/>
    <w:rsid w:val="00144A20"/>
    <w:rsid w:val="001458FC"/>
    <w:rsid w:val="00151AAB"/>
    <w:rsid w:val="0015487E"/>
    <w:rsid w:val="0015508B"/>
    <w:rsid w:val="001571BB"/>
    <w:rsid w:val="00158637"/>
    <w:rsid w:val="00160924"/>
    <w:rsid w:val="00161057"/>
    <w:rsid w:val="00162216"/>
    <w:rsid w:val="00162DD0"/>
    <w:rsid w:val="00164934"/>
    <w:rsid w:val="001652C1"/>
    <w:rsid w:val="00165E11"/>
    <w:rsid w:val="0016707F"/>
    <w:rsid w:val="0017037C"/>
    <w:rsid w:val="00170D25"/>
    <w:rsid w:val="00171683"/>
    <w:rsid w:val="0017259C"/>
    <w:rsid w:val="00172896"/>
    <w:rsid w:val="00172FF3"/>
    <w:rsid w:val="00174335"/>
    <w:rsid w:val="001760FB"/>
    <w:rsid w:val="0017637A"/>
    <w:rsid w:val="00176D88"/>
    <w:rsid w:val="00176FBD"/>
    <w:rsid w:val="00180A78"/>
    <w:rsid w:val="0018116B"/>
    <w:rsid w:val="001815CF"/>
    <w:rsid w:val="00182A32"/>
    <w:rsid w:val="0018424A"/>
    <w:rsid w:val="001843A2"/>
    <w:rsid w:val="00184AE0"/>
    <w:rsid w:val="00186BE8"/>
    <w:rsid w:val="00187035"/>
    <w:rsid w:val="001870EB"/>
    <w:rsid w:val="00192995"/>
    <w:rsid w:val="00193C90"/>
    <w:rsid w:val="00194207"/>
    <w:rsid w:val="00195347"/>
    <w:rsid w:val="001978E8"/>
    <w:rsid w:val="001A046B"/>
    <w:rsid w:val="001A1617"/>
    <w:rsid w:val="001A19C2"/>
    <w:rsid w:val="001A1C08"/>
    <w:rsid w:val="001A33CA"/>
    <w:rsid w:val="001A45B9"/>
    <w:rsid w:val="001A4CAC"/>
    <w:rsid w:val="001B0755"/>
    <w:rsid w:val="001B0F73"/>
    <w:rsid w:val="001B3468"/>
    <w:rsid w:val="001B574E"/>
    <w:rsid w:val="001B7C36"/>
    <w:rsid w:val="001C0289"/>
    <w:rsid w:val="001C0D09"/>
    <w:rsid w:val="001C34EA"/>
    <w:rsid w:val="001C441E"/>
    <w:rsid w:val="001C5C9E"/>
    <w:rsid w:val="001C7084"/>
    <w:rsid w:val="001C709C"/>
    <w:rsid w:val="001D0E26"/>
    <w:rsid w:val="001D16BD"/>
    <w:rsid w:val="001D36E7"/>
    <w:rsid w:val="001D3D3A"/>
    <w:rsid w:val="001D45CC"/>
    <w:rsid w:val="001D4FFF"/>
    <w:rsid w:val="001D549F"/>
    <w:rsid w:val="001D5C74"/>
    <w:rsid w:val="001D6082"/>
    <w:rsid w:val="001E0A46"/>
    <w:rsid w:val="001E2711"/>
    <w:rsid w:val="001E3513"/>
    <w:rsid w:val="001E38CA"/>
    <w:rsid w:val="001E47C3"/>
    <w:rsid w:val="001E5E93"/>
    <w:rsid w:val="001E7D28"/>
    <w:rsid w:val="001F039F"/>
    <w:rsid w:val="001F0C50"/>
    <w:rsid w:val="001F2E57"/>
    <w:rsid w:val="001F3AB5"/>
    <w:rsid w:val="001F4C0F"/>
    <w:rsid w:val="001F547E"/>
    <w:rsid w:val="001F68F1"/>
    <w:rsid w:val="001F6ADF"/>
    <w:rsid w:val="001F7ED7"/>
    <w:rsid w:val="00202267"/>
    <w:rsid w:val="0020333D"/>
    <w:rsid w:val="00204616"/>
    <w:rsid w:val="0020571D"/>
    <w:rsid w:val="00205999"/>
    <w:rsid w:val="00205A68"/>
    <w:rsid w:val="00205CE9"/>
    <w:rsid w:val="00206259"/>
    <w:rsid w:val="002066EA"/>
    <w:rsid w:val="0021087B"/>
    <w:rsid w:val="002109CB"/>
    <w:rsid w:val="002111DB"/>
    <w:rsid w:val="00211D81"/>
    <w:rsid w:val="00212D51"/>
    <w:rsid w:val="00212FDE"/>
    <w:rsid w:val="00213CAE"/>
    <w:rsid w:val="00213DFE"/>
    <w:rsid w:val="00217444"/>
    <w:rsid w:val="00220AC3"/>
    <w:rsid w:val="00220BCC"/>
    <w:rsid w:val="0022321B"/>
    <w:rsid w:val="00223226"/>
    <w:rsid w:val="002233F0"/>
    <w:rsid w:val="00224CB4"/>
    <w:rsid w:val="00227C71"/>
    <w:rsid w:val="002302D3"/>
    <w:rsid w:val="00230C5F"/>
    <w:rsid w:val="00230CF8"/>
    <w:rsid w:val="00231019"/>
    <w:rsid w:val="0023169D"/>
    <w:rsid w:val="00231D76"/>
    <w:rsid w:val="002336DF"/>
    <w:rsid w:val="00234C12"/>
    <w:rsid w:val="00235E95"/>
    <w:rsid w:val="00236F90"/>
    <w:rsid w:val="0023EA25"/>
    <w:rsid w:val="002403BB"/>
    <w:rsid w:val="00240668"/>
    <w:rsid w:val="002407C4"/>
    <w:rsid w:val="00241922"/>
    <w:rsid w:val="00241F16"/>
    <w:rsid w:val="00243802"/>
    <w:rsid w:val="00243A6C"/>
    <w:rsid w:val="00243A7F"/>
    <w:rsid w:val="002466F2"/>
    <w:rsid w:val="0024738E"/>
    <w:rsid w:val="00250470"/>
    <w:rsid w:val="00250CE8"/>
    <w:rsid w:val="00250E0B"/>
    <w:rsid w:val="002523B4"/>
    <w:rsid w:val="00252D74"/>
    <w:rsid w:val="00255ED7"/>
    <w:rsid w:val="00256DCC"/>
    <w:rsid w:val="0025751A"/>
    <w:rsid w:val="002605FE"/>
    <w:rsid w:val="002620E8"/>
    <w:rsid w:val="00264919"/>
    <w:rsid w:val="00265866"/>
    <w:rsid w:val="00266D05"/>
    <w:rsid w:val="0027013F"/>
    <w:rsid w:val="00271F2C"/>
    <w:rsid w:val="002727F9"/>
    <w:rsid w:val="00273357"/>
    <w:rsid w:val="0027345F"/>
    <w:rsid w:val="00273C9E"/>
    <w:rsid w:val="002741E1"/>
    <w:rsid w:val="00275709"/>
    <w:rsid w:val="00276069"/>
    <w:rsid w:val="0028155C"/>
    <w:rsid w:val="0028330C"/>
    <w:rsid w:val="00283C7F"/>
    <w:rsid w:val="00283FDE"/>
    <w:rsid w:val="00284E35"/>
    <w:rsid w:val="00285840"/>
    <w:rsid w:val="0028628D"/>
    <w:rsid w:val="00286D15"/>
    <w:rsid w:val="002872F1"/>
    <w:rsid w:val="00287749"/>
    <w:rsid w:val="00290C5A"/>
    <w:rsid w:val="00290CE9"/>
    <w:rsid w:val="00291074"/>
    <w:rsid w:val="002911E6"/>
    <w:rsid w:val="002949EF"/>
    <w:rsid w:val="00295944"/>
    <w:rsid w:val="00295D46"/>
    <w:rsid w:val="002A448F"/>
    <w:rsid w:val="002A4D05"/>
    <w:rsid w:val="002A6216"/>
    <w:rsid w:val="002B0425"/>
    <w:rsid w:val="002B23C4"/>
    <w:rsid w:val="002B3FB5"/>
    <w:rsid w:val="002B40F6"/>
    <w:rsid w:val="002B4707"/>
    <w:rsid w:val="002B71F3"/>
    <w:rsid w:val="002B7F2E"/>
    <w:rsid w:val="002C00DC"/>
    <w:rsid w:val="002C08BD"/>
    <w:rsid w:val="002C2DA9"/>
    <w:rsid w:val="002C3145"/>
    <w:rsid w:val="002C3F3B"/>
    <w:rsid w:val="002C47F3"/>
    <w:rsid w:val="002C6685"/>
    <w:rsid w:val="002C7280"/>
    <w:rsid w:val="002D1017"/>
    <w:rsid w:val="002D1093"/>
    <w:rsid w:val="002D3084"/>
    <w:rsid w:val="002D319D"/>
    <w:rsid w:val="002D3404"/>
    <w:rsid w:val="002D3C34"/>
    <w:rsid w:val="002D4A28"/>
    <w:rsid w:val="002D56AF"/>
    <w:rsid w:val="002D646D"/>
    <w:rsid w:val="002D7332"/>
    <w:rsid w:val="002D7544"/>
    <w:rsid w:val="002E058A"/>
    <w:rsid w:val="002E0FDA"/>
    <w:rsid w:val="002E1BEC"/>
    <w:rsid w:val="002E1FBE"/>
    <w:rsid w:val="002E3DFA"/>
    <w:rsid w:val="002E4059"/>
    <w:rsid w:val="002E5670"/>
    <w:rsid w:val="002E5EF3"/>
    <w:rsid w:val="002E60A3"/>
    <w:rsid w:val="002F0196"/>
    <w:rsid w:val="002F049F"/>
    <w:rsid w:val="002F04A2"/>
    <w:rsid w:val="002F05B7"/>
    <w:rsid w:val="002F26F1"/>
    <w:rsid w:val="002F4405"/>
    <w:rsid w:val="002F4D07"/>
    <w:rsid w:val="002F5167"/>
    <w:rsid w:val="002F5774"/>
    <w:rsid w:val="002F679C"/>
    <w:rsid w:val="002F79AF"/>
    <w:rsid w:val="00300430"/>
    <w:rsid w:val="00300964"/>
    <w:rsid w:val="00302B0A"/>
    <w:rsid w:val="00302B49"/>
    <w:rsid w:val="003035B2"/>
    <w:rsid w:val="00304530"/>
    <w:rsid w:val="00306CA0"/>
    <w:rsid w:val="00311ED6"/>
    <w:rsid w:val="00311F46"/>
    <w:rsid w:val="00312297"/>
    <w:rsid w:val="00312B5C"/>
    <w:rsid w:val="003136DF"/>
    <w:rsid w:val="0031424A"/>
    <w:rsid w:val="00316069"/>
    <w:rsid w:val="0031615F"/>
    <w:rsid w:val="0031662F"/>
    <w:rsid w:val="003176DC"/>
    <w:rsid w:val="00320849"/>
    <w:rsid w:val="00320C90"/>
    <w:rsid w:val="0032155F"/>
    <w:rsid w:val="003216AA"/>
    <w:rsid w:val="00321AEB"/>
    <w:rsid w:val="003231E6"/>
    <w:rsid w:val="00323235"/>
    <w:rsid w:val="003232E0"/>
    <w:rsid w:val="00323A2B"/>
    <w:rsid w:val="00324B85"/>
    <w:rsid w:val="00326484"/>
    <w:rsid w:val="003270D1"/>
    <w:rsid w:val="0033041E"/>
    <w:rsid w:val="003310C2"/>
    <w:rsid w:val="003311F4"/>
    <w:rsid w:val="00331D89"/>
    <w:rsid w:val="00332481"/>
    <w:rsid w:val="003324C7"/>
    <w:rsid w:val="00335C9E"/>
    <w:rsid w:val="00340BC8"/>
    <w:rsid w:val="003420A7"/>
    <w:rsid w:val="0034321E"/>
    <w:rsid w:val="00343653"/>
    <w:rsid w:val="003446C2"/>
    <w:rsid w:val="00344BC7"/>
    <w:rsid w:val="00344C47"/>
    <w:rsid w:val="00344EA4"/>
    <w:rsid w:val="00347033"/>
    <w:rsid w:val="00347A37"/>
    <w:rsid w:val="00350B88"/>
    <w:rsid w:val="00350D35"/>
    <w:rsid w:val="003570B9"/>
    <w:rsid w:val="00357D50"/>
    <w:rsid w:val="00357FF1"/>
    <w:rsid w:val="00362E1B"/>
    <w:rsid w:val="0036505B"/>
    <w:rsid w:val="003663B0"/>
    <w:rsid w:val="003666BD"/>
    <w:rsid w:val="0036713D"/>
    <w:rsid w:val="00367960"/>
    <w:rsid w:val="00370B85"/>
    <w:rsid w:val="00373183"/>
    <w:rsid w:val="003751A0"/>
    <w:rsid w:val="00375B43"/>
    <w:rsid w:val="00380791"/>
    <w:rsid w:val="0038172E"/>
    <w:rsid w:val="00382499"/>
    <w:rsid w:val="003829E2"/>
    <w:rsid w:val="00382F0F"/>
    <w:rsid w:val="00384AC3"/>
    <w:rsid w:val="0038592B"/>
    <w:rsid w:val="00390B1B"/>
    <w:rsid w:val="00392199"/>
    <w:rsid w:val="003921B6"/>
    <w:rsid w:val="00392C7F"/>
    <w:rsid w:val="0039328F"/>
    <w:rsid w:val="003940DC"/>
    <w:rsid w:val="003942C7"/>
    <w:rsid w:val="0039790A"/>
    <w:rsid w:val="003A1660"/>
    <w:rsid w:val="003A2EC7"/>
    <w:rsid w:val="003A3479"/>
    <w:rsid w:val="003A3829"/>
    <w:rsid w:val="003A3D1C"/>
    <w:rsid w:val="003A46A9"/>
    <w:rsid w:val="003A4B8E"/>
    <w:rsid w:val="003A5897"/>
    <w:rsid w:val="003A629B"/>
    <w:rsid w:val="003B046C"/>
    <w:rsid w:val="003B074B"/>
    <w:rsid w:val="003B09AA"/>
    <w:rsid w:val="003B0E38"/>
    <w:rsid w:val="003B10B0"/>
    <w:rsid w:val="003B2CEA"/>
    <w:rsid w:val="003B3F80"/>
    <w:rsid w:val="003B47D4"/>
    <w:rsid w:val="003B56B9"/>
    <w:rsid w:val="003B5B95"/>
    <w:rsid w:val="003B5C14"/>
    <w:rsid w:val="003B62BE"/>
    <w:rsid w:val="003C02A2"/>
    <w:rsid w:val="003C0D8B"/>
    <w:rsid w:val="003C1E32"/>
    <w:rsid w:val="003C44C1"/>
    <w:rsid w:val="003C47DA"/>
    <w:rsid w:val="003C4B37"/>
    <w:rsid w:val="003C7343"/>
    <w:rsid w:val="003C7DAE"/>
    <w:rsid w:val="003CEEF9"/>
    <w:rsid w:val="003D3895"/>
    <w:rsid w:val="003D3A85"/>
    <w:rsid w:val="003D3B9F"/>
    <w:rsid w:val="003D46D6"/>
    <w:rsid w:val="003D4C63"/>
    <w:rsid w:val="003D537B"/>
    <w:rsid w:val="003D59B8"/>
    <w:rsid w:val="003D669E"/>
    <w:rsid w:val="003D7691"/>
    <w:rsid w:val="003D7CC3"/>
    <w:rsid w:val="003E271C"/>
    <w:rsid w:val="003E355A"/>
    <w:rsid w:val="003E4EE4"/>
    <w:rsid w:val="003E5412"/>
    <w:rsid w:val="003E57F7"/>
    <w:rsid w:val="003E602E"/>
    <w:rsid w:val="003E6F7F"/>
    <w:rsid w:val="003E7D09"/>
    <w:rsid w:val="003F0544"/>
    <w:rsid w:val="003F0C9D"/>
    <w:rsid w:val="003F2BE1"/>
    <w:rsid w:val="003F6127"/>
    <w:rsid w:val="003F7177"/>
    <w:rsid w:val="003F7E3F"/>
    <w:rsid w:val="0040055F"/>
    <w:rsid w:val="00401105"/>
    <w:rsid w:val="004016F6"/>
    <w:rsid w:val="004039A2"/>
    <w:rsid w:val="00404A22"/>
    <w:rsid w:val="0040664C"/>
    <w:rsid w:val="00413767"/>
    <w:rsid w:val="0041426B"/>
    <w:rsid w:val="00415DB5"/>
    <w:rsid w:val="00415EE8"/>
    <w:rsid w:val="004167E1"/>
    <w:rsid w:val="00417049"/>
    <w:rsid w:val="0041705C"/>
    <w:rsid w:val="0041AFC6"/>
    <w:rsid w:val="004217E1"/>
    <w:rsid w:val="00421CF0"/>
    <w:rsid w:val="00422B7F"/>
    <w:rsid w:val="00422E4C"/>
    <w:rsid w:val="00423ABF"/>
    <w:rsid w:val="00424DEB"/>
    <w:rsid w:val="0042528B"/>
    <w:rsid w:val="00425FD5"/>
    <w:rsid w:val="004271B7"/>
    <w:rsid w:val="0043077B"/>
    <w:rsid w:val="00432657"/>
    <w:rsid w:val="00432663"/>
    <w:rsid w:val="00433128"/>
    <w:rsid w:val="00433BDB"/>
    <w:rsid w:val="00434CD2"/>
    <w:rsid w:val="00434DCF"/>
    <w:rsid w:val="00436A5A"/>
    <w:rsid w:val="00437590"/>
    <w:rsid w:val="004410A8"/>
    <w:rsid w:val="00441959"/>
    <w:rsid w:val="004423B8"/>
    <w:rsid w:val="00446549"/>
    <w:rsid w:val="0044662C"/>
    <w:rsid w:val="00447AB5"/>
    <w:rsid w:val="004527E0"/>
    <w:rsid w:val="0045337A"/>
    <w:rsid w:val="004543A4"/>
    <w:rsid w:val="00456BC1"/>
    <w:rsid w:val="004571AB"/>
    <w:rsid w:val="0045E3CF"/>
    <w:rsid w:val="004601A7"/>
    <w:rsid w:val="00462C06"/>
    <w:rsid w:val="00462C71"/>
    <w:rsid w:val="00463BA3"/>
    <w:rsid w:val="00464997"/>
    <w:rsid w:val="00464DA1"/>
    <w:rsid w:val="00467412"/>
    <w:rsid w:val="00467756"/>
    <w:rsid w:val="00467776"/>
    <w:rsid w:val="00467A91"/>
    <w:rsid w:val="00467BAB"/>
    <w:rsid w:val="00471DAC"/>
    <w:rsid w:val="004736B9"/>
    <w:rsid w:val="00473E91"/>
    <w:rsid w:val="00477706"/>
    <w:rsid w:val="0047785C"/>
    <w:rsid w:val="00477F8F"/>
    <w:rsid w:val="00480C33"/>
    <w:rsid w:val="004811B6"/>
    <w:rsid w:val="00481ABE"/>
    <w:rsid w:val="004822D8"/>
    <w:rsid w:val="0048264E"/>
    <w:rsid w:val="00483303"/>
    <w:rsid w:val="004844AC"/>
    <w:rsid w:val="00485BC1"/>
    <w:rsid w:val="0049069E"/>
    <w:rsid w:val="00491275"/>
    <w:rsid w:val="00494575"/>
    <w:rsid w:val="00494D6E"/>
    <w:rsid w:val="00496C73"/>
    <w:rsid w:val="00497455"/>
    <w:rsid w:val="0049766D"/>
    <w:rsid w:val="004A12ED"/>
    <w:rsid w:val="004A15AD"/>
    <w:rsid w:val="004A17AE"/>
    <w:rsid w:val="004A1955"/>
    <w:rsid w:val="004A2082"/>
    <w:rsid w:val="004A23EC"/>
    <w:rsid w:val="004A2C53"/>
    <w:rsid w:val="004A3447"/>
    <w:rsid w:val="004A34A0"/>
    <w:rsid w:val="004A3750"/>
    <w:rsid w:val="004A4A97"/>
    <w:rsid w:val="004A4C1D"/>
    <w:rsid w:val="004A593F"/>
    <w:rsid w:val="004A6B4E"/>
    <w:rsid w:val="004A6B8A"/>
    <w:rsid w:val="004A7F26"/>
    <w:rsid w:val="004B5829"/>
    <w:rsid w:val="004B6BA0"/>
    <w:rsid w:val="004B7912"/>
    <w:rsid w:val="004C04E4"/>
    <w:rsid w:val="004C2635"/>
    <w:rsid w:val="004C265B"/>
    <w:rsid w:val="004C2936"/>
    <w:rsid w:val="004C47B7"/>
    <w:rsid w:val="004C56D2"/>
    <w:rsid w:val="004C680E"/>
    <w:rsid w:val="004C795B"/>
    <w:rsid w:val="004D073B"/>
    <w:rsid w:val="004D227B"/>
    <w:rsid w:val="004D2E03"/>
    <w:rsid w:val="004D2FC3"/>
    <w:rsid w:val="004D3431"/>
    <w:rsid w:val="004D3DB5"/>
    <w:rsid w:val="004D75A6"/>
    <w:rsid w:val="004D77D7"/>
    <w:rsid w:val="004E1190"/>
    <w:rsid w:val="004E17E8"/>
    <w:rsid w:val="004E31A6"/>
    <w:rsid w:val="004E4027"/>
    <w:rsid w:val="004E55C7"/>
    <w:rsid w:val="004E64B9"/>
    <w:rsid w:val="004E6A3C"/>
    <w:rsid w:val="004E7836"/>
    <w:rsid w:val="004F00C3"/>
    <w:rsid w:val="004F06B3"/>
    <w:rsid w:val="004F0ED0"/>
    <w:rsid w:val="004F199E"/>
    <w:rsid w:val="004F1DDE"/>
    <w:rsid w:val="004F2C12"/>
    <w:rsid w:val="004F59C5"/>
    <w:rsid w:val="004F6803"/>
    <w:rsid w:val="004F73F2"/>
    <w:rsid w:val="004F751C"/>
    <w:rsid w:val="004F7E21"/>
    <w:rsid w:val="0050083F"/>
    <w:rsid w:val="00501402"/>
    <w:rsid w:val="0050278D"/>
    <w:rsid w:val="00503372"/>
    <w:rsid w:val="00503722"/>
    <w:rsid w:val="00503906"/>
    <w:rsid w:val="00504120"/>
    <w:rsid w:val="00504202"/>
    <w:rsid w:val="0050495A"/>
    <w:rsid w:val="00505FC2"/>
    <w:rsid w:val="00507C4B"/>
    <w:rsid w:val="005122A7"/>
    <w:rsid w:val="00512345"/>
    <w:rsid w:val="00517230"/>
    <w:rsid w:val="00521A85"/>
    <w:rsid w:val="005220AF"/>
    <w:rsid w:val="0052440D"/>
    <w:rsid w:val="00524B62"/>
    <w:rsid w:val="00525FBE"/>
    <w:rsid w:val="005317A4"/>
    <w:rsid w:val="00532BA1"/>
    <w:rsid w:val="00532C26"/>
    <w:rsid w:val="00535BCB"/>
    <w:rsid w:val="00535CEF"/>
    <w:rsid w:val="0053623E"/>
    <w:rsid w:val="00536400"/>
    <w:rsid w:val="00536CE4"/>
    <w:rsid w:val="00537230"/>
    <w:rsid w:val="00541304"/>
    <w:rsid w:val="005416BB"/>
    <w:rsid w:val="00541B10"/>
    <w:rsid w:val="0054372E"/>
    <w:rsid w:val="00543ED7"/>
    <w:rsid w:val="005468F3"/>
    <w:rsid w:val="0054D7A4"/>
    <w:rsid w:val="00554C94"/>
    <w:rsid w:val="00556E67"/>
    <w:rsid w:val="005571FE"/>
    <w:rsid w:val="00562D69"/>
    <w:rsid w:val="005642BB"/>
    <w:rsid w:val="00564D4C"/>
    <w:rsid w:val="005650C9"/>
    <w:rsid w:val="00565B84"/>
    <w:rsid w:val="00566094"/>
    <w:rsid w:val="005669FC"/>
    <w:rsid w:val="00566C8B"/>
    <w:rsid w:val="005707CE"/>
    <w:rsid w:val="00572CA8"/>
    <w:rsid w:val="00572D35"/>
    <w:rsid w:val="00573AB6"/>
    <w:rsid w:val="00576071"/>
    <w:rsid w:val="00580E91"/>
    <w:rsid w:val="00585ACC"/>
    <w:rsid w:val="00586640"/>
    <w:rsid w:val="00586EE8"/>
    <w:rsid w:val="0059021D"/>
    <w:rsid w:val="00590FA6"/>
    <w:rsid w:val="00591223"/>
    <w:rsid w:val="0059134F"/>
    <w:rsid w:val="00591D86"/>
    <w:rsid w:val="00592C0F"/>
    <w:rsid w:val="005933C6"/>
    <w:rsid w:val="00593BD1"/>
    <w:rsid w:val="005958C4"/>
    <w:rsid w:val="00595942"/>
    <w:rsid w:val="005961E9"/>
    <w:rsid w:val="005962A6"/>
    <w:rsid w:val="0059645D"/>
    <w:rsid w:val="00597CEF"/>
    <w:rsid w:val="00597F79"/>
    <w:rsid w:val="005A013C"/>
    <w:rsid w:val="005A0EAF"/>
    <w:rsid w:val="005A1555"/>
    <w:rsid w:val="005A1B5A"/>
    <w:rsid w:val="005A49F3"/>
    <w:rsid w:val="005A5B93"/>
    <w:rsid w:val="005A5EA2"/>
    <w:rsid w:val="005A7661"/>
    <w:rsid w:val="005B045F"/>
    <w:rsid w:val="005B0501"/>
    <w:rsid w:val="005B1066"/>
    <w:rsid w:val="005B37FC"/>
    <w:rsid w:val="005B4B08"/>
    <w:rsid w:val="005B4BA6"/>
    <w:rsid w:val="005B69F5"/>
    <w:rsid w:val="005C04AF"/>
    <w:rsid w:val="005C1114"/>
    <w:rsid w:val="005C284C"/>
    <w:rsid w:val="005C36D8"/>
    <w:rsid w:val="005C3A89"/>
    <w:rsid w:val="005C4426"/>
    <w:rsid w:val="005C5AA3"/>
    <w:rsid w:val="005C67E1"/>
    <w:rsid w:val="005C70D5"/>
    <w:rsid w:val="005C722C"/>
    <w:rsid w:val="005D0E91"/>
    <w:rsid w:val="005D3C6F"/>
    <w:rsid w:val="005D5F22"/>
    <w:rsid w:val="005D6092"/>
    <w:rsid w:val="005D636E"/>
    <w:rsid w:val="005D65C2"/>
    <w:rsid w:val="005D7CD4"/>
    <w:rsid w:val="005D7EEC"/>
    <w:rsid w:val="005E011A"/>
    <w:rsid w:val="005E0230"/>
    <w:rsid w:val="005E078B"/>
    <w:rsid w:val="005E096F"/>
    <w:rsid w:val="005E10C5"/>
    <w:rsid w:val="005E1589"/>
    <w:rsid w:val="005E27D0"/>
    <w:rsid w:val="005E49D2"/>
    <w:rsid w:val="005E4D1A"/>
    <w:rsid w:val="005E4F8D"/>
    <w:rsid w:val="005E5B19"/>
    <w:rsid w:val="005E6030"/>
    <w:rsid w:val="005E7460"/>
    <w:rsid w:val="005F02DC"/>
    <w:rsid w:val="005F0AB4"/>
    <w:rsid w:val="005F0AB9"/>
    <w:rsid w:val="005F1944"/>
    <w:rsid w:val="005F1E5C"/>
    <w:rsid w:val="005F270C"/>
    <w:rsid w:val="005F41EA"/>
    <w:rsid w:val="005F51FC"/>
    <w:rsid w:val="006018D0"/>
    <w:rsid w:val="00603B68"/>
    <w:rsid w:val="006045B6"/>
    <w:rsid w:val="00605840"/>
    <w:rsid w:val="00605A95"/>
    <w:rsid w:val="00607795"/>
    <w:rsid w:val="00612E54"/>
    <w:rsid w:val="0061435D"/>
    <w:rsid w:val="006151EA"/>
    <w:rsid w:val="00615C75"/>
    <w:rsid w:val="00615FF8"/>
    <w:rsid w:val="00616B10"/>
    <w:rsid w:val="00617D09"/>
    <w:rsid w:val="00621075"/>
    <w:rsid w:val="00622971"/>
    <w:rsid w:val="006232C2"/>
    <w:rsid w:val="0062437C"/>
    <w:rsid w:val="0062552F"/>
    <w:rsid w:val="00625620"/>
    <w:rsid w:val="00625CF0"/>
    <w:rsid w:val="0062670B"/>
    <w:rsid w:val="00626930"/>
    <w:rsid w:val="00631ACA"/>
    <w:rsid w:val="00631FF4"/>
    <w:rsid w:val="00636891"/>
    <w:rsid w:val="00637A59"/>
    <w:rsid w:val="0064040A"/>
    <w:rsid w:val="00643204"/>
    <w:rsid w:val="00643528"/>
    <w:rsid w:val="00644234"/>
    <w:rsid w:val="0064562A"/>
    <w:rsid w:val="00647BAD"/>
    <w:rsid w:val="006513C4"/>
    <w:rsid w:val="00651FBA"/>
    <w:rsid w:val="006525A7"/>
    <w:rsid w:val="00653EA3"/>
    <w:rsid w:val="00653F85"/>
    <w:rsid w:val="00654315"/>
    <w:rsid w:val="006554A6"/>
    <w:rsid w:val="00655709"/>
    <w:rsid w:val="006567F2"/>
    <w:rsid w:val="006568D6"/>
    <w:rsid w:val="00657946"/>
    <w:rsid w:val="00657CE1"/>
    <w:rsid w:val="00657D9B"/>
    <w:rsid w:val="00660ADA"/>
    <w:rsid w:val="00665D07"/>
    <w:rsid w:val="0066617E"/>
    <w:rsid w:val="00666DBB"/>
    <w:rsid w:val="00667298"/>
    <w:rsid w:val="006676AE"/>
    <w:rsid w:val="006698FA"/>
    <w:rsid w:val="006707A7"/>
    <w:rsid w:val="00671146"/>
    <w:rsid w:val="0067119C"/>
    <w:rsid w:val="00671615"/>
    <w:rsid w:val="00671816"/>
    <w:rsid w:val="0067285E"/>
    <w:rsid w:val="0067304A"/>
    <w:rsid w:val="0067306B"/>
    <w:rsid w:val="00673F5A"/>
    <w:rsid w:val="006741AA"/>
    <w:rsid w:val="00674280"/>
    <w:rsid w:val="00675BE1"/>
    <w:rsid w:val="0067667F"/>
    <w:rsid w:val="00680011"/>
    <w:rsid w:val="00680F23"/>
    <w:rsid w:val="0068463F"/>
    <w:rsid w:val="00685CA6"/>
    <w:rsid w:val="00686CB9"/>
    <w:rsid w:val="006874E4"/>
    <w:rsid w:val="0069017C"/>
    <w:rsid w:val="006906C7"/>
    <w:rsid w:val="006909A4"/>
    <w:rsid w:val="00691212"/>
    <w:rsid w:val="00693126"/>
    <w:rsid w:val="0069500F"/>
    <w:rsid w:val="006951FC"/>
    <w:rsid w:val="00695ECB"/>
    <w:rsid w:val="006965FD"/>
    <w:rsid w:val="00696CEE"/>
    <w:rsid w:val="00696DF7"/>
    <w:rsid w:val="00697598"/>
    <w:rsid w:val="006A0183"/>
    <w:rsid w:val="006A0410"/>
    <w:rsid w:val="006A0F53"/>
    <w:rsid w:val="006A1380"/>
    <w:rsid w:val="006A15B0"/>
    <w:rsid w:val="006A1DF8"/>
    <w:rsid w:val="006A1E8F"/>
    <w:rsid w:val="006A216D"/>
    <w:rsid w:val="006A3DDB"/>
    <w:rsid w:val="006A4B27"/>
    <w:rsid w:val="006A5D75"/>
    <w:rsid w:val="006A6FCC"/>
    <w:rsid w:val="006B0793"/>
    <w:rsid w:val="006B07BD"/>
    <w:rsid w:val="006B0C6C"/>
    <w:rsid w:val="006B1B0A"/>
    <w:rsid w:val="006B2B8C"/>
    <w:rsid w:val="006B6858"/>
    <w:rsid w:val="006B6E10"/>
    <w:rsid w:val="006C6486"/>
    <w:rsid w:val="006C7EB2"/>
    <w:rsid w:val="006D0DE0"/>
    <w:rsid w:val="006D1215"/>
    <w:rsid w:val="006D2703"/>
    <w:rsid w:val="006D2D6C"/>
    <w:rsid w:val="006D5EAC"/>
    <w:rsid w:val="006D6460"/>
    <w:rsid w:val="006D6E81"/>
    <w:rsid w:val="006D723D"/>
    <w:rsid w:val="006D7DA5"/>
    <w:rsid w:val="006E066A"/>
    <w:rsid w:val="006E0707"/>
    <w:rsid w:val="006E0E2C"/>
    <w:rsid w:val="006E0E9D"/>
    <w:rsid w:val="006E1D58"/>
    <w:rsid w:val="006E23F9"/>
    <w:rsid w:val="006E2BA7"/>
    <w:rsid w:val="006E3B01"/>
    <w:rsid w:val="006E568A"/>
    <w:rsid w:val="006E6485"/>
    <w:rsid w:val="006E651E"/>
    <w:rsid w:val="006E79F9"/>
    <w:rsid w:val="006F06A0"/>
    <w:rsid w:val="006F2970"/>
    <w:rsid w:val="006F4D00"/>
    <w:rsid w:val="006F63D9"/>
    <w:rsid w:val="006F7033"/>
    <w:rsid w:val="00700D5C"/>
    <w:rsid w:val="00705038"/>
    <w:rsid w:val="00705923"/>
    <w:rsid w:val="00707F51"/>
    <w:rsid w:val="007103BC"/>
    <w:rsid w:val="00712AD0"/>
    <w:rsid w:val="00712AF9"/>
    <w:rsid w:val="00712F55"/>
    <w:rsid w:val="007131EF"/>
    <w:rsid w:val="007138E1"/>
    <w:rsid w:val="00714780"/>
    <w:rsid w:val="00720900"/>
    <w:rsid w:val="00720AA2"/>
    <w:rsid w:val="00720DBD"/>
    <w:rsid w:val="0072105E"/>
    <w:rsid w:val="0072143F"/>
    <w:rsid w:val="0072148F"/>
    <w:rsid w:val="00721F73"/>
    <w:rsid w:val="00722BA3"/>
    <w:rsid w:val="00723290"/>
    <w:rsid w:val="00727C94"/>
    <w:rsid w:val="00727EBA"/>
    <w:rsid w:val="00730D45"/>
    <w:rsid w:val="00731A37"/>
    <w:rsid w:val="0073382F"/>
    <w:rsid w:val="00735CF0"/>
    <w:rsid w:val="00735F4A"/>
    <w:rsid w:val="0074057D"/>
    <w:rsid w:val="00741815"/>
    <w:rsid w:val="007422CE"/>
    <w:rsid w:val="00742523"/>
    <w:rsid w:val="00742AF0"/>
    <w:rsid w:val="0074386C"/>
    <w:rsid w:val="007449F6"/>
    <w:rsid w:val="00744FBE"/>
    <w:rsid w:val="00746FCD"/>
    <w:rsid w:val="00750323"/>
    <w:rsid w:val="007509D4"/>
    <w:rsid w:val="00752674"/>
    <w:rsid w:val="007544B7"/>
    <w:rsid w:val="0075687F"/>
    <w:rsid w:val="007573D8"/>
    <w:rsid w:val="00757885"/>
    <w:rsid w:val="007602AC"/>
    <w:rsid w:val="007626D4"/>
    <w:rsid w:val="00762C55"/>
    <w:rsid w:val="00762E0B"/>
    <w:rsid w:val="0076452F"/>
    <w:rsid w:val="007669E5"/>
    <w:rsid w:val="00767F21"/>
    <w:rsid w:val="007706E3"/>
    <w:rsid w:val="00770B7F"/>
    <w:rsid w:val="00770EA0"/>
    <w:rsid w:val="00771472"/>
    <w:rsid w:val="00771AEF"/>
    <w:rsid w:val="007731CE"/>
    <w:rsid w:val="00774C37"/>
    <w:rsid w:val="00774CBB"/>
    <w:rsid w:val="00774CED"/>
    <w:rsid w:val="0077518B"/>
    <w:rsid w:val="007763F0"/>
    <w:rsid w:val="007764E3"/>
    <w:rsid w:val="00781638"/>
    <w:rsid w:val="0078326E"/>
    <w:rsid w:val="007842FA"/>
    <w:rsid w:val="00784743"/>
    <w:rsid w:val="007847DC"/>
    <w:rsid w:val="00784EF3"/>
    <w:rsid w:val="007950DB"/>
    <w:rsid w:val="007961A9"/>
    <w:rsid w:val="007977E3"/>
    <w:rsid w:val="007A1669"/>
    <w:rsid w:val="007A1D79"/>
    <w:rsid w:val="007A265A"/>
    <w:rsid w:val="007A29E2"/>
    <w:rsid w:val="007A3891"/>
    <w:rsid w:val="007A4396"/>
    <w:rsid w:val="007A64F4"/>
    <w:rsid w:val="007A65D0"/>
    <w:rsid w:val="007B05BA"/>
    <w:rsid w:val="007B23B2"/>
    <w:rsid w:val="007B394B"/>
    <w:rsid w:val="007B4C68"/>
    <w:rsid w:val="007B523B"/>
    <w:rsid w:val="007B586C"/>
    <w:rsid w:val="007B7524"/>
    <w:rsid w:val="007C223F"/>
    <w:rsid w:val="007C22A1"/>
    <w:rsid w:val="007C2E45"/>
    <w:rsid w:val="007C4309"/>
    <w:rsid w:val="007C5F8F"/>
    <w:rsid w:val="007C5FEC"/>
    <w:rsid w:val="007C625B"/>
    <w:rsid w:val="007C7B5E"/>
    <w:rsid w:val="007D0297"/>
    <w:rsid w:val="007D1204"/>
    <w:rsid w:val="007D1D0D"/>
    <w:rsid w:val="007D21F6"/>
    <w:rsid w:val="007D22CF"/>
    <w:rsid w:val="007D22F8"/>
    <w:rsid w:val="007D484C"/>
    <w:rsid w:val="007D6197"/>
    <w:rsid w:val="007D6A56"/>
    <w:rsid w:val="007D786F"/>
    <w:rsid w:val="007E1195"/>
    <w:rsid w:val="007E179D"/>
    <w:rsid w:val="007E1B5A"/>
    <w:rsid w:val="007E795C"/>
    <w:rsid w:val="007F098B"/>
    <w:rsid w:val="007F0A3B"/>
    <w:rsid w:val="007F109C"/>
    <w:rsid w:val="007F16E5"/>
    <w:rsid w:val="007F4716"/>
    <w:rsid w:val="007F489C"/>
    <w:rsid w:val="007F5F1D"/>
    <w:rsid w:val="007F6B1E"/>
    <w:rsid w:val="007F6E12"/>
    <w:rsid w:val="008001D3"/>
    <w:rsid w:val="00800D5B"/>
    <w:rsid w:val="008053BB"/>
    <w:rsid w:val="00806155"/>
    <w:rsid w:val="00807F88"/>
    <w:rsid w:val="0080F2D0"/>
    <w:rsid w:val="008106FA"/>
    <w:rsid w:val="00810A45"/>
    <w:rsid w:val="0081112E"/>
    <w:rsid w:val="00811CFF"/>
    <w:rsid w:val="00812D40"/>
    <w:rsid w:val="00813AD4"/>
    <w:rsid w:val="00813C08"/>
    <w:rsid w:val="00813C41"/>
    <w:rsid w:val="00814A3A"/>
    <w:rsid w:val="00815960"/>
    <w:rsid w:val="00815A1B"/>
    <w:rsid w:val="00822130"/>
    <w:rsid w:val="00823BEB"/>
    <w:rsid w:val="0082456D"/>
    <w:rsid w:val="008258BD"/>
    <w:rsid w:val="008267EA"/>
    <w:rsid w:val="0082699C"/>
    <w:rsid w:val="0082B1BA"/>
    <w:rsid w:val="008319BA"/>
    <w:rsid w:val="0083281E"/>
    <w:rsid w:val="008342D6"/>
    <w:rsid w:val="00834371"/>
    <w:rsid w:val="0083463A"/>
    <w:rsid w:val="00834F57"/>
    <w:rsid w:val="008363EC"/>
    <w:rsid w:val="00836D6B"/>
    <w:rsid w:val="00837BE3"/>
    <w:rsid w:val="0083AD60"/>
    <w:rsid w:val="0083CBA7"/>
    <w:rsid w:val="00842F44"/>
    <w:rsid w:val="0084562C"/>
    <w:rsid w:val="008467A0"/>
    <w:rsid w:val="0084787A"/>
    <w:rsid w:val="008503F6"/>
    <w:rsid w:val="00851409"/>
    <w:rsid w:val="0085325C"/>
    <w:rsid w:val="00853C00"/>
    <w:rsid w:val="00855235"/>
    <w:rsid w:val="00855379"/>
    <w:rsid w:val="00855E31"/>
    <w:rsid w:val="00855F74"/>
    <w:rsid w:val="00856305"/>
    <w:rsid w:val="0086016F"/>
    <w:rsid w:val="00860F35"/>
    <w:rsid w:val="008632B5"/>
    <w:rsid w:val="00863E3B"/>
    <w:rsid w:val="00864B01"/>
    <w:rsid w:val="00866FFB"/>
    <w:rsid w:val="00870461"/>
    <w:rsid w:val="00870BE4"/>
    <w:rsid w:val="0087179B"/>
    <w:rsid w:val="00871A72"/>
    <w:rsid w:val="008732C6"/>
    <w:rsid w:val="0087365F"/>
    <w:rsid w:val="00873F92"/>
    <w:rsid w:val="00876C2E"/>
    <w:rsid w:val="00880477"/>
    <w:rsid w:val="008808DF"/>
    <w:rsid w:val="00880DA1"/>
    <w:rsid w:val="008841C8"/>
    <w:rsid w:val="00884331"/>
    <w:rsid w:val="00884B53"/>
    <w:rsid w:val="00887185"/>
    <w:rsid w:val="0088769D"/>
    <w:rsid w:val="00887DAF"/>
    <w:rsid w:val="00893732"/>
    <w:rsid w:val="00893A5F"/>
    <w:rsid w:val="00893D42"/>
    <w:rsid w:val="00894D3D"/>
    <w:rsid w:val="00894D86"/>
    <w:rsid w:val="008969E3"/>
    <w:rsid w:val="008A0CA2"/>
    <w:rsid w:val="008A14AF"/>
    <w:rsid w:val="008A1E6E"/>
    <w:rsid w:val="008A43ED"/>
    <w:rsid w:val="008A4705"/>
    <w:rsid w:val="008A5243"/>
    <w:rsid w:val="008A6935"/>
    <w:rsid w:val="008A7A85"/>
    <w:rsid w:val="008A7EE1"/>
    <w:rsid w:val="008B025B"/>
    <w:rsid w:val="008B03E5"/>
    <w:rsid w:val="008B074C"/>
    <w:rsid w:val="008B1FB7"/>
    <w:rsid w:val="008B2AEC"/>
    <w:rsid w:val="008B30FE"/>
    <w:rsid w:val="008B5254"/>
    <w:rsid w:val="008B5A7B"/>
    <w:rsid w:val="008B663B"/>
    <w:rsid w:val="008B725A"/>
    <w:rsid w:val="008B72B3"/>
    <w:rsid w:val="008C0216"/>
    <w:rsid w:val="008C0A93"/>
    <w:rsid w:val="008C1939"/>
    <w:rsid w:val="008C31EA"/>
    <w:rsid w:val="008C53B1"/>
    <w:rsid w:val="008C67EC"/>
    <w:rsid w:val="008C6ACF"/>
    <w:rsid w:val="008C6DF6"/>
    <w:rsid w:val="008C7DD0"/>
    <w:rsid w:val="008C7F1C"/>
    <w:rsid w:val="008C7F47"/>
    <w:rsid w:val="008D29DC"/>
    <w:rsid w:val="008D2AB0"/>
    <w:rsid w:val="008D4244"/>
    <w:rsid w:val="008D51F7"/>
    <w:rsid w:val="008D5F4D"/>
    <w:rsid w:val="008D6421"/>
    <w:rsid w:val="008D6EE9"/>
    <w:rsid w:val="008D744E"/>
    <w:rsid w:val="008D778E"/>
    <w:rsid w:val="008D7F03"/>
    <w:rsid w:val="008E0AC4"/>
    <w:rsid w:val="008E0D12"/>
    <w:rsid w:val="008E26A3"/>
    <w:rsid w:val="008E370B"/>
    <w:rsid w:val="008E4848"/>
    <w:rsid w:val="008E503F"/>
    <w:rsid w:val="008E504F"/>
    <w:rsid w:val="008E5D68"/>
    <w:rsid w:val="008E6AD3"/>
    <w:rsid w:val="008E7290"/>
    <w:rsid w:val="008E7FD6"/>
    <w:rsid w:val="008F0F53"/>
    <w:rsid w:val="008F1503"/>
    <w:rsid w:val="008F18F3"/>
    <w:rsid w:val="008F1F5D"/>
    <w:rsid w:val="008F383D"/>
    <w:rsid w:val="008F4272"/>
    <w:rsid w:val="008F70A5"/>
    <w:rsid w:val="008F7845"/>
    <w:rsid w:val="00900884"/>
    <w:rsid w:val="00901008"/>
    <w:rsid w:val="0090118F"/>
    <w:rsid w:val="00902B9F"/>
    <w:rsid w:val="00902F68"/>
    <w:rsid w:val="00903F27"/>
    <w:rsid w:val="00910745"/>
    <w:rsid w:val="00912839"/>
    <w:rsid w:val="00912A60"/>
    <w:rsid w:val="009130F9"/>
    <w:rsid w:val="00913943"/>
    <w:rsid w:val="00914F31"/>
    <w:rsid w:val="00915799"/>
    <w:rsid w:val="0091B1D0"/>
    <w:rsid w:val="00920206"/>
    <w:rsid w:val="00920B17"/>
    <w:rsid w:val="00920D24"/>
    <w:rsid w:val="00920EB8"/>
    <w:rsid w:val="009220B4"/>
    <w:rsid w:val="0092322B"/>
    <w:rsid w:val="00923564"/>
    <w:rsid w:val="00923FDD"/>
    <w:rsid w:val="0092462B"/>
    <w:rsid w:val="00926578"/>
    <w:rsid w:val="009270B4"/>
    <w:rsid w:val="00927198"/>
    <w:rsid w:val="0092AD17"/>
    <w:rsid w:val="009311D0"/>
    <w:rsid w:val="00931FF6"/>
    <w:rsid w:val="00932407"/>
    <w:rsid w:val="00932729"/>
    <w:rsid w:val="009337BD"/>
    <w:rsid w:val="009343ED"/>
    <w:rsid w:val="0093451A"/>
    <w:rsid w:val="00936F97"/>
    <w:rsid w:val="0093739B"/>
    <w:rsid w:val="00940CB2"/>
    <w:rsid w:val="00941525"/>
    <w:rsid w:val="00942B6F"/>
    <w:rsid w:val="009433AD"/>
    <w:rsid w:val="009445CA"/>
    <w:rsid w:val="00945074"/>
    <w:rsid w:val="009478FB"/>
    <w:rsid w:val="00951453"/>
    <w:rsid w:val="00951DD0"/>
    <w:rsid w:val="00952C0B"/>
    <w:rsid w:val="00952D60"/>
    <w:rsid w:val="00952DF9"/>
    <w:rsid w:val="0095405B"/>
    <w:rsid w:val="00954428"/>
    <w:rsid w:val="009549B5"/>
    <w:rsid w:val="00955051"/>
    <w:rsid w:val="009551A4"/>
    <w:rsid w:val="009564EB"/>
    <w:rsid w:val="00957382"/>
    <w:rsid w:val="00957629"/>
    <w:rsid w:val="0096002D"/>
    <w:rsid w:val="00961394"/>
    <w:rsid w:val="00962083"/>
    <w:rsid w:val="009629DB"/>
    <w:rsid w:val="00962C4C"/>
    <w:rsid w:val="00962E8A"/>
    <w:rsid w:val="009639EB"/>
    <w:rsid w:val="00964DCF"/>
    <w:rsid w:val="009662E5"/>
    <w:rsid w:val="0097028F"/>
    <w:rsid w:val="00971507"/>
    <w:rsid w:val="0097152B"/>
    <w:rsid w:val="00971830"/>
    <w:rsid w:val="009727B2"/>
    <w:rsid w:val="009737A9"/>
    <w:rsid w:val="00974161"/>
    <w:rsid w:val="00974982"/>
    <w:rsid w:val="009751F3"/>
    <w:rsid w:val="0097597C"/>
    <w:rsid w:val="0097632B"/>
    <w:rsid w:val="00976AB1"/>
    <w:rsid w:val="00977887"/>
    <w:rsid w:val="00977F83"/>
    <w:rsid w:val="00980795"/>
    <w:rsid w:val="00980CC6"/>
    <w:rsid w:val="00981A8F"/>
    <w:rsid w:val="00982383"/>
    <w:rsid w:val="009823E0"/>
    <w:rsid w:val="009826B2"/>
    <w:rsid w:val="00982849"/>
    <w:rsid w:val="00983DE8"/>
    <w:rsid w:val="00985F24"/>
    <w:rsid w:val="00987907"/>
    <w:rsid w:val="00990AC9"/>
    <w:rsid w:val="009917E6"/>
    <w:rsid w:val="00992491"/>
    <w:rsid w:val="00993D8C"/>
    <w:rsid w:val="00999AD8"/>
    <w:rsid w:val="009A0CBC"/>
    <w:rsid w:val="009A1442"/>
    <w:rsid w:val="009A1E8D"/>
    <w:rsid w:val="009A34B0"/>
    <w:rsid w:val="009A4288"/>
    <w:rsid w:val="009A6F75"/>
    <w:rsid w:val="009A7274"/>
    <w:rsid w:val="009A73A7"/>
    <w:rsid w:val="009A7889"/>
    <w:rsid w:val="009B25D2"/>
    <w:rsid w:val="009B4339"/>
    <w:rsid w:val="009B44D2"/>
    <w:rsid w:val="009B58B8"/>
    <w:rsid w:val="009B646A"/>
    <w:rsid w:val="009B7B0A"/>
    <w:rsid w:val="009C0295"/>
    <w:rsid w:val="009C0A09"/>
    <w:rsid w:val="009C16B2"/>
    <w:rsid w:val="009C2331"/>
    <w:rsid w:val="009C26CA"/>
    <w:rsid w:val="009C4804"/>
    <w:rsid w:val="009C4E13"/>
    <w:rsid w:val="009C57B4"/>
    <w:rsid w:val="009D015F"/>
    <w:rsid w:val="009D07FD"/>
    <w:rsid w:val="009D0A91"/>
    <w:rsid w:val="009D0C50"/>
    <w:rsid w:val="009D0C75"/>
    <w:rsid w:val="009D0D58"/>
    <w:rsid w:val="009D17A9"/>
    <w:rsid w:val="009D1837"/>
    <w:rsid w:val="009D1CA4"/>
    <w:rsid w:val="009D1D3B"/>
    <w:rsid w:val="009D26B7"/>
    <w:rsid w:val="009D2F2C"/>
    <w:rsid w:val="009D3592"/>
    <w:rsid w:val="009D3799"/>
    <w:rsid w:val="009D3D7E"/>
    <w:rsid w:val="009D3F2C"/>
    <w:rsid w:val="009D465E"/>
    <w:rsid w:val="009D533C"/>
    <w:rsid w:val="009D571E"/>
    <w:rsid w:val="009D60A0"/>
    <w:rsid w:val="009D73DB"/>
    <w:rsid w:val="009E0BCD"/>
    <w:rsid w:val="009E1226"/>
    <w:rsid w:val="009E24EA"/>
    <w:rsid w:val="009E2881"/>
    <w:rsid w:val="009E30F5"/>
    <w:rsid w:val="009E471A"/>
    <w:rsid w:val="009E695C"/>
    <w:rsid w:val="009E74A9"/>
    <w:rsid w:val="009F0288"/>
    <w:rsid w:val="009F1D39"/>
    <w:rsid w:val="009F3EBC"/>
    <w:rsid w:val="009F5F35"/>
    <w:rsid w:val="009F5FD1"/>
    <w:rsid w:val="009F6F28"/>
    <w:rsid w:val="009F75F4"/>
    <w:rsid w:val="009F7807"/>
    <w:rsid w:val="009F7812"/>
    <w:rsid w:val="00A0020F"/>
    <w:rsid w:val="00A01BEB"/>
    <w:rsid w:val="00A0208C"/>
    <w:rsid w:val="00A02EF0"/>
    <w:rsid w:val="00A02F56"/>
    <w:rsid w:val="00A02FFB"/>
    <w:rsid w:val="00A0311B"/>
    <w:rsid w:val="00A038B4"/>
    <w:rsid w:val="00A03BC6"/>
    <w:rsid w:val="00A04282"/>
    <w:rsid w:val="00A0521B"/>
    <w:rsid w:val="00A05883"/>
    <w:rsid w:val="00A06AF8"/>
    <w:rsid w:val="00A106C4"/>
    <w:rsid w:val="00A10D66"/>
    <w:rsid w:val="00A11571"/>
    <w:rsid w:val="00A11BF0"/>
    <w:rsid w:val="00A1535A"/>
    <w:rsid w:val="00A15A75"/>
    <w:rsid w:val="00A179B2"/>
    <w:rsid w:val="00A2098D"/>
    <w:rsid w:val="00A209C7"/>
    <w:rsid w:val="00A20E31"/>
    <w:rsid w:val="00A2160B"/>
    <w:rsid w:val="00A225A5"/>
    <w:rsid w:val="00A229A8"/>
    <w:rsid w:val="00A22D8A"/>
    <w:rsid w:val="00A241AE"/>
    <w:rsid w:val="00A24656"/>
    <w:rsid w:val="00A24DF0"/>
    <w:rsid w:val="00A25BBF"/>
    <w:rsid w:val="00A26A80"/>
    <w:rsid w:val="00A26DD4"/>
    <w:rsid w:val="00A2708D"/>
    <w:rsid w:val="00A27488"/>
    <w:rsid w:val="00A27780"/>
    <w:rsid w:val="00A27AC9"/>
    <w:rsid w:val="00A30BEC"/>
    <w:rsid w:val="00A33AB1"/>
    <w:rsid w:val="00A363EB"/>
    <w:rsid w:val="00A37863"/>
    <w:rsid w:val="00A412B9"/>
    <w:rsid w:val="00A41E46"/>
    <w:rsid w:val="00A42B28"/>
    <w:rsid w:val="00A4302C"/>
    <w:rsid w:val="00A44991"/>
    <w:rsid w:val="00A45AB4"/>
    <w:rsid w:val="00A46A44"/>
    <w:rsid w:val="00A46FA4"/>
    <w:rsid w:val="00A4789C"/>
    <w:rsid w:val="00A50A90"/>
    <w:rsid w:val="00A514F1"/>
    <w:rsid w:val="00A535C8"/>
    <w:rsid w:val="00A53DCD"/>
    <w:rsid w:val="00A545A4"/>
    <w:rsid w:val="00A55CFF"/>
    <w:rsid w:val="00A56E7B"/>
    <w:rsid w:val="00A58663"/>
    <w:rsid w:val="00A60155"/>
    <w:rsid w:val="00A60467"/>
    <w:rsid w:val="00A60807"/>
    <w:rsid w:val="00A60B1D"/>
    <w:rsid w:val="00A617EE"/>
    <w:rsid w:val="00A61B74"/>
    <w:rsid w:val="00A661CC"/>
    <w:rsid w:val="00A66727"/>
    <w:rsid w:val="00A673A5"/>
    <w:rsid w:val="00A678B0"/>
    <w:rsid w:val="00A67B6E"/>
    <w:rsid w:val="00A703C4"/>
    <w:rsid w:val="00A7134F"/>
    <w:rsid w:val="00A722B1"/>
    <w:rsid w:val="00A72EE6"/>
    <w:rsid w:val="00A76E1D"/>
    <w:rsid w:val="00A808DA"/>
    <w:rsid w:val="00A80CE5"/>
    <w:rsid w:val="00A818B4"/>
    <w:rsid w:val="00A837FB"/>
    <w:rsid w:val="00A84A71"/>
    <w:rsid w:val="00A853E8"/>
    <w:rsid w:val="00A86388"/>
    <w:rsid w:val="00A865BE"/>
    <w:rsid w:val="00A866F9"/>
    <w:rsid w:val="00A9102F"/>
    <w:rsid w:val="00A91ACE"/>
    <w:rsid w:val="00A9351A"/>
    <w:rsid w:val="00A9627B"/>
    <w:rsid w:val="00A965B9"/>
    <w:rsid w:val="00A967F5"/>
    <w:rsid w:val="00A977E6"/>
    <w:rsid w:val="00A97A7F"/>
    <w:rsid w:val="00A97B3B"/>
    <w:rsid w:val="00AA064F"/>
    <w:rsid w:val="00AA09DB"/>
    <w:rsid w:val="00AA0F49"/>
    <w:rsid w:val="00AA1143"/>
    <w:rsid w:val="00AA1AAD"/>
    <w:rsid w:val="00AA3FED"/>
    <w:rsid w:val="00AA5F4B"/>
    <w:rsid w:val="00AA61F4"/>
    <w:rsid w:val="00AA7124"/>
    <w:rsid w:val="00AA9C69"/>
    <w:rsid w:val="00AB0CEF"/>
    <w:rsid w:val="00AB0D7D"/>
    <w:rsid w:val="00AB1E46"/>
    <w:rsid w:val="00AB241C"/>
    <w:rsid w:val="00AB2A6B"/>
    <w:rsid w:val="00AB45E7"/>
    <w:rsid w:val="00AB4F6B"/>
    <w:rsid w:val="00AB5DDF"/>
    <w:rsid w:val="00AB61D3"/>
    <w:rsid w:val="00AB7DEF"/>
    <w:rsid w:val="00AC1575"/>
    <w:rsid w:val="00AC58B3"/>
    <w:rsid w:val="00AC6FAC"/>
    <w:rsid w:val="00AD0E18"/>
    <w:rsid w:val="00AD1A1F"/>
    <w:rsid w:val="00AD2F83"/>
    <w:rsid w:val="00AD37A6"/>
    <w:rsid w:val="00AD40FF"/>
    <w:rsid w:val="00AD459D"/>
    <w:rsid w:val="00AD4678"/>
    <w:rsid w:val="00AD46F2"/>
    <w:rsid w:val="00AD5A60"/>
    <w:rsid w:val="00AD7928"/>
    <w:rsid w:val="00AE4219"/>
    <w:rsid w:val="00AE5766"/>
    <w:rsid w:val="00AE60C2"/>
    <w:rsid w:val="00AF0A99"/>
    <w:rsid w:val="00AF1EA6"/>
    <w:rsid w:val="00AF2D0A"/>
    <w:rsid w:val="00AF3A48"/>
    <w:rsid w:val="00AF3C14"/>
    <w:rsid w:val="00AF4691"/>
    <w:rsid w:val="00AF4D19"/>
    <w:rsid w:val="00AF535B"/>
    <w:rsid w:val="00AF5F3E"/>
    <w:rsid w:val="00AF71B3"/>
    <w:rsid w:val="00B012E7"/>
    <w:rsid w:val="00B019F1"/>
    <w:rsid w:val="00B03C5F"/>
    <w:rsid w:val="00B03E4B"/>
    <w:rsid w:val="00B04281"/>
    <w:rsid w:val="00B04B22"/>
    <w:rsid w:val="00B0576B"/>
    <w:rsid w:val="00B06623"/>
    <w:rsid w:val="00B06BF4"/>
    <w:rsid w:val="00B07277"/>
    <w:rsid w:val="00B07F89"/>
    <w:rsid w:val="00B108A7"/>
    <w:rsid w:val="00B10A52"/>
    <w:rsid w:val="00B15914"/>
    <w:rsid w:val="00B20778"/>
    <w:rsid w:val="00B26828"/>
    <w:rsid w:val="00B26993"/>
    <w:rsid w:val="00B302B5"/>
    <w:rsid w:val="00B30A8A"/>
    <w:rsid w:val="00B30B48"/>
    <w:rsid w:val="00B310BA"/>
    <w:rsid w:val="00B31926"/>
    <w:rsid w:val="00B32278"/>
    <w:rsid w:val="00B3390C"/>
    <w:rsid w:val="00B33F93"/>
    <w:rsid w:val="00B35C78"/>
    <w:rsid w:val="00B370D6"/>
    <w:rsid w:val="00B3766B"/>
    <w:rsid w:val="00B376AA"/>
    <w:rsid w:val="00B37C38"/>
    <w:rsid w:val="00B37DD5"/>
    <w:rsid w:val="00B4043B"/>
    <w:rsid w:val="00B40C3D"/>
    <w:rsid w:val="00B4140F"/>
    <w:rsid w:val="00B42285"/>
    <w:rsid w:val="00B423FF"/>
    <w:rsid w:val="00B4374E"/>
    <w:rsid w:val="00B45892"/>
    <w:rsid w:val="00B463F0"/>
    <w:rsid w:val="00B4655B"/>
    <w:rsid w:val="00B50085"/>
    <w:rsid w:val="00B516F2"/>
    <w:rsid w:val="00B51CED"/>
    <w:rsid w:val="00B5338D"/>
    <w:rsid w:val="00B543A0"/>
    <w:rsid w:val="00B557E8"/>
    <w:rsid w:val="00B55BE2"/>
    <w:rsid w:val="00B571E5"/>
    <w:rsid w:val="00B602B0"/>
    <w:rsid w:val="00B6085E"/>
    <w:rsid w:val="00B60AB5"/>
    <w:rsid w:val="00B6207A"/>
    <w:rsid w:val="00B63109"/>
    <w:rsid w:val="00B634F6"/>
    <w:rsid w:val="00B63986"/>
    <w:rsid w:val="00B64FAE"/>
    <w:rsid w:val="00B65B22"/>
    <w:rsid w:val="00B67FC6"/>
    <w:rsid w:val="00B71565"/>
    <w:rsid w:val="00B716BE"/>
    <w:rsid w:val="00B729A8"/>
    <w:rsid w:val="00B81058"/>
    <w:rsid w:val="00B81284"/>
    <w:rsid w:val="00B86A5E"/>
    <w:rsid w:val="00B87255"/>
    <w:rsid w:val="00B87417"/>
    <w:rsid w:val="00B90BE2"/>
    <w:rsid w:val="00B91776"/>
    <w:rsid w:val="00B91ED2"/>
    <w:rsid w:val="00B93036"/>
    <w:rsid w:val="00B9366A"/>
    <w:rsid w:val="00B94C14"/>
    <w:rsid w:val="00B964AC"/>
    <w:rsid w:val="00B964F5"/>
    <w:rsid w:val="00B9729E"/>
    <w:rsid w:val="00BA1465"/>
    <w:rsid w:val="00BA3452"/>
    <w:rsid w:val="00BA3571"/>
    <w:rsid w:val="00BA3FF1"/>
    <w:rsid w:val="00BA44E5"/>
    <w:rsid w:val="00BA4E1C"/>
    <w:rsid w:val="00BA653C"/>
    <w:rsid w:val="00BB0255"/>
    <w:rsid w:val="00BB103D"/>
    <w:rsid w:val="00BB19AA"/>
    <w:rsid w:val="00BB2A2E"/>
    <w:rsid w:val="00BB43BE"/>
    <w:rsid w:val="00BB5092"/>
    <w:rsid w:val="00BB6D22"/>
    <w:rsid w:val="00BC0844"/>
    <w:rsid w:val="00BC1242"/>
    <w:rsid w:val="00BC3B05"/>
    <w:rsid w:val="00BC3C0C"/>
    <w:rsid w:val="00BC3D5F"/>
    <w:rsid w:val="00BC6E2A"/>
    <w:rsid w:val="00BC7452"/>
    <w:rsid w:val="00BD0084"/>
    <w:rsid w:val="00BD13B8"/>
    <w:rsid w:val="00BD16C3"/>
    <w:rsid w:val="00BD1C1E"/>
    <w:rsid w:val="00BD3BAC"/>
    <w:rsid w:val="00BD45C6"/>
    <w:rsid w:val="00BD506B"/>
    <w:rsid w:val="00BD5311"/>
    <w:rsid w:val="00BD6166"/>
    <w:rsid w:val="00BDC467"/>
    <w:rsid w:val="00BE03AF"/>
    <w:rsid w:val="00BE1CA2"/>
    <w:rsid w:val="00BE33FA"/>
    <w:rsid w:val="00BE40DE"/>
    <w:rsid w:val="00BE4200"/>
    <w:rsid w:val="00BE5BDC"/>
    <w:rsid w:val="00BF17BA"/>
    <w:rsid w:val="00BF2647"/>
    <w:rsid w:val="00BF40FF"/>
    <w:rsid w:val="00BF4F39"/>
    <w:rsid w:val="00BF4FCE"/>
    <w:rsid w:val="00BF5111"/>
    <w:rsid w:val="00BF6F37"/>
    <w:rsid w:val="00C00083"/>
    <w:rsid w:val="00C00D6E"/>
    <w:rsid w:val="00C0207E"/>
    <w:rsid w:val="00C04CF2"/>
    <w:rsid w:val="00C05D21"/>
    <w:rsid w:val="00C06832"/>
    <w:rsid w:val="00C06C22"/>
    <w:rsid w:val="00C10184"/>
    <w:rsid w:val="00C116E7"/>
    <w:rsid w:val="00C12F67"/>
    <w:rsid w:val="00C14ECE"/>
    <w:rsid w:val="00C14F44"/>
    <w:rsid w:val="00C15906"/>
    <w:rsid w:val="00C16643"/>
    <w:rsid w:val="00C16A65"/>
    <w:rsid w:val="00C21A9C"/>
    <w:rsid w:val="00C21C32"/>
    <w:rsid w:val="00C21CD7"/>
    <w:rsid w:val="00C22872"/>
    <w:rsid w:val="00C22B38"/>
    <w:rsid w:val="00C22F9F"/>
    <w:rsid w:val="00C24930"/>
    <w:rsid w:val="00C24D95"/>
    <w:rsid w:val="00C263C2"/>
    <w:rsid w:val="00C27931"/>
    <w:rsid w:val="00C30814"/>
    <w:rsid w:val="00C331E1"/>
    <w:rsid w:val="00C3432C"/>
    <w:rsid w:val="00C35108"/>
    <w:rsid w:val="00C359F6"/>
    <w:rsid w:val="00C369BC"/>
    <w:rsid w:val="00C369EF"/>
    <w:rsid w:val="00C37A6F"/>
    <w:rsid w:val="00C4596C"/>
    <w:rsid w:val="00C47EA6"/>
    <w:rsid w:val="00C47FB2"/>
    <w:rsid w:val="00C500F3"/>
    <w:rsid w:val="00C505B7"/>
    <w:rsid w:val="00C54AB2"/>
    <w:rsid w:val="00C5778B"/>
    <w:rsid w:val="00C609BD"/>
    <w:rsid w:val="00C617D6"/>
    <w:rsid w:val="00C61B16"/>
    <w:rsid w:val="00C63536"/>
    <w:rsid w:val="00C654ED"/>
    <w:rsid w:val="00C65862"/>
    <w:rsid w:val="00C66D06"/>
    <w:rsid w:val="00C6717F"/>
    <w:rsid w:val="00C674D2"/>
    <w:rsid w:val="00C698F6"/>
    <w:rsid w:val="00C71654"/>
    <w:rsid w:val="00C71BE6"/>
    <w:rsid w:val="00C72179"/>
    <w:rsid w:val="00C728D5"/>
    <w:rsid w:val="00C734C7"/>
    <w:rsid w:val="00C73D10"/>
    <w:rsid w:val="00C73EC8"/>
    <w:rsid w:val="00C79A1D"/>
    <w:rsid w:val="00C819B2"/>
    <w:rsid w:val="00C83E8E"/>
    <w:rsid w:val="00C845AB"/>
    <w:rsid w:val="00C90AD3"/>
    <w:rsid w:val="00C95311"/>
    <w:rsid w:val="00C95939"/>
    <w:rsid w:val="00C9675D"/>
    <w:rsid w:val="00C96884"/>
    <w:rsid w:val="00C977B1"/>
    <w:rsid w:val="00CA0F02"/>
    <w:rsid w:val="00CA16DD"/>
    <w:rsid w:val="00CA1797"/>
    <w:rsid w:val="00CA1B93"/>
    <w:rsid w:val="00CA2BB2"/>
    <w:rsid w:val="00CA399D"/>
    <w:rsid w:val="00CA435B"/>
    <w:rsid w:val="00CA6B1B"/>
    <w:rsid w:val="00CA6FBE"/>
    <w:rsid w:val="00CB0270"/>
    <w:rsid w:val="00CB0B64"/>
    <w:rsid w:val="00CB0C27"/>
    <w:rsid w:val="00CB1C27"/>
    <w:rsid w:val="00CB30A6"/>
    <w:rsid w:val="00CB41E6"/>
    <w:rsid w:val="00CB522D"/>
    <w:rsid w:val="00CB545A"/>
    <w:rsid w:val="00CB6598"/>
    <w:rsid w:val="00CB6703"/>
    <w:rsid w:val="00CB6C9F"/>
    <w:rsid w:val="00CB7FC1"/>
    <w:rsid w:val="00CC0126"/>
    <w:rsid w:val="00CC07E6"/>
    <w:rsid w:val="00CC093C"/>
    <w:rsid w:val="00CC19BC"/>
    <w:rsid w:val="00CC23A8"/>
    <w:rsid w:val="00CC2B30"/>
    <w:rsid w:val="00CC3D78"/>
    <w:rsid w:val="00CC4591"/>
    <w:rsid w:val="00CC4A17"/>
    <w:rsid w:val="00CC5469"/>
    <w:rsid w:val="00CC621C"/>
    <w:rsid w:val="00CC74DA"/>
    <w:rsid w:val="00CD002B"/>
    <w:rsid w:val="00CD1F54"/>
    <w:rsid w:val="00CD221A"/>
    <w:rsid w:val="00CD2755"/>
    <w:rsid w:val="00CD4AAF"/>
    <w:rsid w:val="00CD4C5C"/>
    <w:rsid w:val="00CD7841"/>
    <w:rsid w:val="00CD7AD5"/>
    <w:rsid w:val="00CD7B31"/>
    <w:rsid w:val="00CE2204"/>
    <w:rsid w:val="00CE33C5"/>
    <w:rsid w:val="00CE729B"/>
    <w:rsid w:val="00CE7C52"/>
    <w:rsid w:val="00CF0A83"/>
    <w:rsid w:val="00CF1751"/>
    <w:rsid w:val="00CF22CE"/>
    <w:rsid w:val="00CF27C0"/>
    <w:rsid w:val="00CF2F3F"/>
    <w:rsid w:val="00CF48D4"/>
    <w:rsid w:val="00CF4B8F"/>
    <w:rsid w:val="00CF542A"/>
    <w:rsid w:val="00CF6813"/>
    <w:rsid w:val="00CF771A"/>
    <w:rsid w:val="00D00DE0"/>
    <w:rsid w:val="00D00E2F"/>
    <w:rsid w:val="00D01B4C"/>
    <w:rsid w:val="00D0326B"/>
    <w:rsid w:val="00D04777"/>
    <w:rsid w:val="00D0772F"/>
    <w:rsid w:val="00D10D6C"/>
    <w:rsid w:val="00D1181A"/>
    <w:rsid w:val="00D14874"/>
    <w:rsid w:val="00D170D0"/>
    <w:rsid w:val="00D200B3"/>
    <w:rsid w:val="00D2031E"/>
    <w:rsid w:val="00D239E2"/>
    <w:rsid w:val="00D23A98"/>
    <w:rsid w:val="00D253C2"/>
    <w:rsid w:val="00D2765F"/>
    <w:rsid w:val="00D3026C"/>
    <w:rsid w:val="00D309F0"/>
    <w:rsid w:val="00D31ECA"/>
    <w:rsid w:val="00D32689"/>
    <w:rsid w:val="00D341AD"/>
    <w:rsid w:val="00D35D1E"/>
    <w:rsid w:val="00D3628C"/>
    <w:rsid w:val="00D369C5"/>
    <w:rsid w:val="00D427CE"/>
    <w:rsid w:val="00D46D99"/>
    <w:rsid w:val="00D46F50"/>
    <w:rsid w:val="00D47E0E"/>
    <w:rsid w:val="00D482A5"/>
    <w:rsid w:val="00D4D1B7"/>
    <w:rsid w:val="00D52A39"/>
    <w:rsid w:val="00D52CE8"/>
    <w:rsid w:val="00D56356"/>
    <w:rsid w:val="00D61A53"/>
    <w:rsid w:val="00D62CCC"/>
    <w:rsid w:val="00D63E6C"/>
    <w:rsid w:val="00D649A1"/>
    <w:rsid w:val="00D65360"/>
    <w:rsid w:val="00D68CEA"/>
    <w:rsid w:val="00D70538"/>
    <w:rsid w:val="00D71BBD"/>
    <w:rsid w:val="00D71D63"/>
    <w:rsid w:val="00D72F4B"/>
    <w:rsid w:val="00D72FA0"/>
    <w:rsid w:val="00D730DE"/>
    <w:rsid w:val="00D73AB5"/>
    <w:rsid w:val="00D748E3"/>
    <w:rsid w:val="00D75302"/>
    <w:rsid w:val="00D75594"/>
    <w:rsid w:val="00D7562B"/>
    <w:rsid w:val="00D75E31"/>
    <w:rsid w:val="00D81E38"/>
    <w:rsid w:val="00D826DD"/>
    <w:rsid w:val="00D8283E"/>
    <w:rsid w:val="00D828EF"/>
    <w:rsid w:val="00D82E7F"/>
    <w:rsid w:val="00D83DED"/>
    <w:rsid w:val="00D84EBB"/>
    <w:rsid w:val="00D84F8B"/>
    <w:rsid w:val="00D85D7F"/>
    <w:rsid w:val="00D86544"/>
    <w:rsid w:val="00D87957"/>
    <w:rsid w:val="00D87FAC"/>
    <w:rsid w:val="00D900F5"/>
    <w:rsid w:val="00D9063F"/>
    <w:rsid w:val="00D90FBE"/>
    <w:rsid w:val="00D92B90"/>
    <w:rsid w:val="00D93D6C"/>
    <w:rsid w:val="00D94029"/>
    <w:rsid w:val="00D949B7"/>
    <w:rsid w:val="00D94CFF"/>
    <w:rsid w:val="00D9505F"/>
    <w:rsid w:val="00D95AD9"/>
    <w:rsid w:val="00DA0206"/>
    <w:rsid w:val="00DA0337"/>
    <w:rsid w:val="00DA1321"/>
    <w:rsid w:val="00DA148C"/>
    <w:rsid w:val="00DA16ED"/>
    <w:rsid w:val="00DA3D6E"/>
    <w:rsid w:val="00DA58F6"/>
    <w:rsid w:val="00DA6DD0"/>
    <w:rsid w:val="00DA6FAD"/>
    <w:rsid w:val="00DA790E"/>
    <w:rsid w:val="00DB0B13"/>
    <w:rsid w:val="00DB0B5E"/>
    <w:rsid w:val="00DB2E06"/>
    <w:rsid w:val="00DB4F7F"/>
    <w:rsid w:val="00DB4FA1"/>
    <w:rsid w:val="00DB7104"/>
    <w:rsid w:val="00DB9F27"/>
    <w:rsid w:val="00DC14F6"/>
    <w:rsid w:val="00DC52D7"/>
    <w:rsid w:val="00DCFC50"/>
    <w:rsid w:val="00DD2EEF"/>
    <w:rsid w:val="00DD3EBB"/>
    <w:rsid w:val="00DD5662"/>
    <w:rsid w:val="00DD579D"/>
    <w:rsid w:val="00DD7007"/>
    <w:rsid w:val="00DD7257"/>
    <w:rsid w:val="00DE2C3F"/>
    <w:rsid w:val="00DE35EF"/>
    <w:rsid w:val="00DE49AD"/>
    <w:rsid w:val="00DE5E87"/>
    <w:rsid w:val="00DF16D9"/>
    <w:rsid w:val="00DF1E84"/>
    <w:rsid w:val="00DF3E22"/>
    <w:rsid w:val="00DF4232"/>
    <w:rsid w:val="00DF4B66"/>
    <w:rsid w:val="00DF57CB"/>
    <w:rsid w:val="00DF6E49"/>
    <w:rsid w:val="00DF728E"/>
    <w:rsid w:val="00E00FD5"/>
    <w:rsid w:val="00E01900"/>
    <w:rsid w:val="00E01BB8"/>
    <w:rsid w:val="00E02045"/>
    <w:rsid w:val="00E02EA6"/>
    <w:rsid w:val="00E02F7C"/>
    <w:rsid w:val="00E0533D"/>
    <w:rsid w:val="00E064D3"/>
    <w:rsid w:val="00E06907"/>
    <w:rsid w:val="00E07535"/>
    <w:rsid w:val="00E1030E"/>
    <w:rsid w:val="00E147B2"/>
    <w:rsid w:val="00E153BD"/>
    <w:rsid w:val="00E206C4"/>
    <w:rsid w:val="00E20F5C"/>
    <w:rsid w:val="00E21CCB"/>
    <w:rsid w:val="00E22CBF"/>
    <w:rsid w:val="00E23301"/>
    <w:rsid w:val="00E23B9D"/>
    <w:rsid w:val="00E240EB"/>
    <w:rsid w:val="00E251F8"/>
    <w:rsid w:val="00E25943"/>
    <w:rsid w:val="00E264C7"/>
    <w:rsid w:val="00E27452"/>
    <w:rsid w:val="00E2DAB5"/>
    <w:rsid w:val="00E30E9C"/>
    <w:rsid w:val="00E31048"/>
    <w:rsid w:val="00E32143"/>
    <w:rsid w:val="00E324EA"/>
    <w:rsid w:val="00E32CEB"/>
    <w:rsid w:val="00E34983"/>
    <w:rsid w:val="00E349BC"/>
    <w:rsid w:val="00E41407"/>
    <w:rsid w:val="00E4175C"/>
    <w:rsid w:val="00E41E23"/>
    <w:rsid w:val="00E42046"/>
    <w:rsid w:val="00E42A3F"/>
    <w:rsid w:val="00E42D6C"/>
    <w:rsid w:val="00E42E52"/>
    <w:rsid w:val="00E42FAA"/>
    <w:rsid w:val="00E4511F"/>
    <w:rsid w:val="00E4551A"/>
    <w:rsid w:val="00E4594F"/>
    <w:rsid w:val="00E473DA"/>
    <w:rsid w:val="00E47460"/>
    <w:rsid w:val="00E500D5"/>
    <w:rsid w:val="00E5183F"/>
    <w:rsid w:val="00E52299"/>
    <w:rsid w:val="00E52E3D"/>
    <w:rsid w:val="00E54AD7"/>
    <w:rsid w:val="00E56C21"/>
    <w:rsid w:val="00E57731"/>
    <w:rsid w:val="00E60B6D"/>
    <w:rsid w:val="00E61DEA"/>
    <w:rsid w:val="00E6278A"/>
    <w:rsid w:val="00E63204"/>
    <w:rsid w:val="00E635D5"/>
    <w:rsid w:val="00E6363F"/>
    <w:rsid w:val="00E640AB"/>
    <w:rsid w:val="00E659D4"/>
    <w:rsid w:val="00E67D49"/>
    <w:rsid w:val="00E6C764"/>
    <w:rsid w:val="00E71125"/>
    <w:rsid w:val="00E71A47"/>
    <w:rsid w:val="00E742D0"/>
    <w:rsid w:val="00E77545"/>
    <w:rsid w:val="00E8051E"/>
    <w:rsid w:val="00E82F75"/>
    <w:rsid w:val="00E840D9"/>
    <w:rsid w:val="00E84AD3"/>
    <w:rsid w:val="00E855F8"/>
    <w:rsid w:val="00E85BAB"/>
    <w:rsid w:val="00E86815"/>
    <w:rsid w:val="00E86F1D"/>
    <w:rsid w:val="00E91049"/>
    <w:rsid w:val="00E9258D"/>
    <w:rsid w:val="00E95132"/>
    <w:rsid w:val="00E95CC0"/>
    <w:rsid w:val="00E97052"/>
    <w:rsid w:val="00E97BCA"/>
    <w:rsid w:val="00EA0799"/>
    <w:rsid w:val="00EA0C13"/>
    <w:rsid w:val="00EA3347"/>
    <w:rsid w:val="00EA5FB8"/>
    <w:rsid w:val="00EA6BAC"/>
    <w:rsid w:val="00EA77A4"/>
    <w:rsid w:val="00EB08B3"/>
    <w:rsid w:val="00EB126D"/>
    <w:rsid w:val="00EB2145"/>
    <w:rsid w:val="00EB3215"/>
    <w:rsid w:val="00EB4D41"/>
    <w:rsid w:val="00EB5E1E"/>
    <w:rsid w:val="00EC0793"/>
    <w:rsid w:val="00EC18BE"/>
    <w:rsid w:val="00EC27D7"/>
    <w:rsid w:val="00EC3258"/>
    <w:rsid w:val="00EC3EF3"/>
    <w:rsid w:val="00EC48E2"/>
    <w:rsid w:val="00EC4FC5"/>
    <w:rsid w:val="00EC5B21"/>
    <w:rsid w:val="00EC6763"/>
    <w:rsid w:val="00ED1288"/>
    <w:rsid w:val="00ED3588"/>
    <w:rsid w:val="00ED35DA"/>
    <w:rsid w:val="00ED473B"/>
    <w:rsid w:val="00ED5B31"/>
    <w:rsid w:val="00ED718C"/>
    <w:rsid w:val="00EE0FC2"/>
    <w:rsid w:val="00EE23AB"/>
    <w:rsid w:val="00EE50A5"/>
    <w:rsid w:val="00EE6BEF"/>
    <w:rsid w:val="00EE79D4"/>
    <w:rsid w:val="00EF0E9B"/>
    <w:rsid w:val="00EF2702"/>
    <w:rsid w:val="00EF291C"/>
    <w:rsid w:val="00EF6C91"/>
    <w:rsid w:val="00EF7452"/>
    <w:rsid w:val="00EF7FCB"/>
    <w:rsid w:val="00F003BE"/>
    <w:rsid w:val="00F00C4D"/>
    <w:rsid w:val="00F00F69"/>
    <w:rsid w:val="00F01B8D"/>
    <w:rsid w:val="00F026BC"/>
    <w:rsid w:val="00F028C0"/>
    <w:rsid w:val="00F03608"/>
    <w:rsid w:val="00F04D30"/>
    <w:rsid w:val="00F04D42"/>
    <w:rsid w:val="00F04DC0"/>
    <w:rsid w:val="00F0581B"/>
    <w:rsid w:val="00F05BC0"/>
    <w:rsid w:val="00F067B4"/>
    <w:rsid w:val="00F07534"/>
    <w:rsid w:val="00F076DE"/>
    <w:rsid w:val="00F07ECE"/>
    <w:rsid w:val="00F106FB"/>
    <w:rsid w:val="00F11051"/>
    <w:rsid w:val="00F113BD"/>
    <w:rsid w:val="00F11EFB"/>
    <w:rsid w:val="00F13ECC"/>
    <w:rsid w:val="00F144FB"/>
    <w:rsid w:val="00F149AE"/>
    <w:rsid w:val="00F15A02"/>
    <w:rsid w:val="00F16101"/>
    <w:rsid w:val="00F161BD"/>
    <w:rsid w:val="00F16E60"/>
    <w:rsid w:val="00F24E25"/>
    <w:rsid w:val="00F25D8F"/>
    <w:rsid w:val="00F269EB"/>
    <w:rsid w:val="00F30D50"/>
    <w:rsid w:val="00F31E28"/>
    <w:rsid w:val="00F3262E"/>
    <w:rsid w:val="00F35FDD"/>
    <w:rsid w:val="00F362B4"/>
    <w:rsid w:val="00F36464"/>
    <w:rsid w:val="00F36625"/>
    <w:rsid w:val="00F36E0E"/>
    <w:rsid w:val="00F408B4"/>
    <w:rsid w:val="00F40BAD"/>
    <w:rsid w:val="00F412F8"/>
    <w:rsid w:val="00F41625"/>
    <w:rsid w:val="00F428F7"/>
    <w:rsid w:val="00F44066"/>
    <w:rsid w:val="00F44335"/>
    <w:rsid w:val="00F50344"/>
    <w:rsid w:val="00F5052A"/>
    <w:rsid w:val="00F5060C"/>
    <w:rsid w:val="00F50A5B"/>
    <w:rsid w:val="00F51C90"/>
    <w:rsid w:val="00F52344"/>
    <w:rsid w:val="00F526C5"/>
    <w:rsid w:val="00F55D9A"/>
    <w:rsid w:val="00F569FB"/>
    <w:rsid w:val="00F5766D"/>
    <w:rsid w:val="00F603FB"/>
    <w:rsid w:val="00F60F8C"/>
    <w:rsid w:val="00F61D89"/>
    <w:rsid w:val="00F62386"/>
    <w:rsid w:val="00F62F1C"/>
    <w:rsid w:val="00F63629"/>
    <w:rsid w:val="00F64093"/>
    <w:rsid w:val="00F640DE"/>
    <w:rsid w:val="00F64FA3"/>
    <w:rsid w:val="00F65F52"/>
    <w:rsid w:val="00F72992"/>
    <w:rsid w:val="00F76768"/>
    <w:rsid w:val="00F82B98"/>
    <w:rsid w:val="00F831BB"/>
    <w:rsid w:val="00F83E7C"/>
    <w:rsid w:val="00F856A7"/>
    <w:rsid w:val="00F85EA2"/>
    <w:rsid w:val="00F869A3"/>
    <w:rsid w:val="00F87433"/>
    <w:rsid w:val="00F90223"/>
    <w:rsid w:val="00F912B4"/>
    <w:rsid w:val="00F92F38"/>
    <w:rsid w:val="00F94344"/>
    <w:rsid w:val="00FA0151"/>
    <w:rsid w:val="00FA0CC8"/>
    <w:rsid w:val="00FA1A39"/>
    <w:rsid w:val="00FA1AB7"/>
    <w:rsid w:val="00FA2884"/>
    <w:rsid w:val="00FA46D1"/>
    <w:rsid w:val="00FA96FD"/>
    <w:rsid w:val="00FB097D"/>
    <w:rsid w:val="00FB2964"/>
    <w:rsid w:val="00FB3E48"/>
    <w:rsid w:val="00FB424E"/>
    <w:rsid w:val="00FB46FE"/>
    <w:rsid w:val="00FB5BD5"/>
    <w:rsid w:val="00FB6873"/>
    <w:rsid w:val="00FB6A3D"/>
    <w:rsid w:val="00FB7849"/>
    <w:rsid w:val="00FBFCC5"/>
    <w:rsid w:val="00FC0C4A"/>
    <w:rsid w:val="00FC0FDF"/>
    <w:rsid w:val="00FC132E"/>
    <w:rsid w:val="00FC147D"/>
    <w:rsid w:val="00FC52C9"/>
    <w:rsid w:val="00FC72EB"/>
    <w:rsid w:val="00FC7922"/>
    <w:rsid w:val="00FD01A1"/>
    <w:rsid w:val="00FD421A"/>
    <w:rsid w:val="00FD4C9F"/>
    <w:rsid w:val="00FD59A1"/>
    <w:rsid w:val="00FD6164"/>
    <w:rsid w:val="00FD7ADD"/>
    <w:rsid w:val="00FE06FC"/>
    <w:rsid w:val="00FE0849"/>
    <w:rsid w:val="00FE3749"/>
    <w:rsid w:val="00FE4B80"/>
    <w:rsid w:val="00FE5B52"/>
    <w:rsid w:val="00FE712F"/>
    <w:rsid w:val="00FE73E5"/>
    <w:rsid w:val="00FE7869"/>
    <w:rsid w:val="00FF0098"/>
    <w:rsid w:val="00FF0C2B"/>
    <w:rsid w:val="00FF1C02"/>
    <w:rsid w:val="00FF302A"/>
    <w:rsid w:val="00FF3B39"/>
    <w:rsid w:val="00FF4D35"/>
    <w:rsid w:val="00FF5530"/>
    <w:rsid w:val="00FF6B5B"/>
    <w:rsid w:val="0100E038"/>
    <w:rsid w:val="010E5990"/>
    <w:rsid w:val="01104C3A"/>
    <w:rsid w:val="011E57B3"/>
    <w:rsid w:val="0122CAD9"/>
    <w:rsid w:val="0125739E"/>
    <w:rsid w:val="012764EC"/>
    <w:rsid w:val="0127B116"/>
    <w:rsid w:val="012D27D7"/>
    <w:rsid w:val="01363D4E"/>
    <w:rsid w:val="01383B4A"/>
    <w:rsid w:val="013E6455"/>
    <w:rsid w:val="0146670E"/>
    <w:rsid w:val="014AB599"/>
    <w:rsid w:val="016831CC"/>
    <w:rsid w:val="0168391D"/>
    <w:rsid w:val="016CC9BC"/>
    <w:rsid w:val="017CA6CE"/>
    <w:rsid w:val="0186930F"/>
    <w:rsid w:val="01888B31"/>
    <w:rsid w:val="0189C60E"/>
    <w:rsid w:val="018C2373"/>
    <w:rsid w:val="018E60B9"/>
    <w:rsid w:val="01990553"/>
    <w:rsid w:val="019E3EB6"/>
    <w:rsid w:val="01A8B8BC"/>
    <w:rsid w:val="01C295ED"/>
    <w:rsid w:val="01CEB92B"/>
    <w:rsid w:val="01D22A28"/>
    <w:rsid w:val="01DB6E8D"/>
    <w:rsid w:val="01DE72E8"/>
    <w:rsid w:val="01E01DA9"/>
    <w:rsid w:val="01E25F3E"/>
    <w:rsid w:val="01E7B042"/>
    <w:rsid w:val="01EC1FC2"/>
    <w:rsid w:val="01F3D098"/>
    <w:rsid w:val="01F3D55B"/>
    <w:rsid w:val="01FF13DC"/>
    <w:rsid w:val="0201661A"/>
    <w:rsid w:val="020794EE"/>
    <w:rsid w:val="020A98A8"/>
    <w:rsid w:val="020C7622"/>
    <w:rsid w:val="020DBC31"/>
    <w:rsid w:val="021049C6"/>
    <w:rsid w:val="02164291"/>
    <w:rsid w:val="02168F2C"/>
    <w:rsid w:val="0222B6C2"/>
    <w:rsid w:val="02259DB9"/>
    <w:rsid w:val="022837B4"/>
    <w:rsid w:val="024DBA28"/>
    <w:rsid w:val="026713A3"/>
    <w:rsid w:val="02704A9A"/>
    <w:rsid w:val="0271CB65"/>
    <w:rsid w:val="02794267"/>
    <w:rsid w:val="027BD55D"/>
    <w:rsid w:val="027CA68E"/>
    <w:rsid w:val="027E2C51"/>
    <w:rsid w:val="027EAEB2"/>
    <w:rsid w:val="02867798"/>
    <w:rsid w:val="02956603"/>
    <w:rsid w:val="0295D5A8"/>
    <w:rsid w:val="029C04AD"/>
    <w:rsid w:val="029E2E08"/>
    <w:rsid w:val="02A2BD59"/>
    <w:rsid w:val="02A4CC63"/>
    <w:rsid w:val="02A7190C"/>
    <w:rsid w:val="02A86A56"/>
    <w:rsid w:val="02AA51AE"/>
    <w:rsid w:val="02AAAE23"/>
    <w:rsid w:val="02ABD4CA"/>
    <w:rsid w:val="02B4165C"/>
    <w:rsid w:val="02BA734D"/>
    <w:rsid w:val="02BCEB0D"/>
    <w:rsid w:val="02DC6BB2"/>
    <w:rsid w:val="02E58C35"/>
    <w:rsid w:val="02E99DB6"/>
    <w:rsid w:val="02EC5272"/>
    <w:rsid w:val="02EE9E5A"/>
    <w:rsid w:val="02F0D038"/>
    <w:rsid w:val="02F4CFA3"/>
    <w:rsid w:val="02FD6F4F"/>
    <w:rsid w:val="03048B14"/>
    <w:rsid w:val="030910F6"/>
    <w:rsid w:val="030AA004"/>
    <w:rsid w:val="031345AE"/>
    <w:rsid w:val="03212F0A"/>
    <w:rsid w:val="03266839"/>
    <w:rsid w:val="0327E8BF"/>
    <w:rsid w:val="032B353B"/>
    <w:rsid w:val="0333B9EB"/>
    <w:rsid w:val="03374DED"/>
    <w:rsid w:val="03445FD9"/>
    <w:rsid w:val="034BA446"/>
    <w:rsid w:val="0351CE9E"/>
    <w:rsid w:val="035383EF"/>
    <w:rsid w:val="0354D980"/>
    <w:rsid w:val="035CA00E"/>
    <w:rsid w:val="03802F37"/>
    <w:rsid w:val="0394538D"/>
    <w:rsid w:val="03996224"/>
    <w:rsid w:val="039DAD03"/>
    <w:rsid w:val="03A23A49"/>
    <w:rsid w:val="03A36200"/>
    <w:rsid w:val="03B2E8D9"/>
    <w:rsid w:val="03BEAF38"/>
    <w:rsid w:val="03C3853F"/>
    <w:rsid w:val="03C8D134"/>
    <w:rsid w:val="03CAA51F"/>
    <w:rsid w:val="03CC3C7B"/>
    <w:rsid w:val="03CC9898"/>
    <w:rsid w:val="03CDC6C0"/>
    <w:rsid w:val="03DE4356"/>
    <w:rsid w:val="03DFEE89"/>
    <w:rsid w:val="03F8AD17"/>
    <w:rsid w:val="03F96BAE"/>
    <w:rsid w:val="03F9C807"/>
    <w:rsid w:val="03FCD2AD"/>
    <w:rsid w:val="0403D9FD"/>
    <w:rsid w:val="0405BE70"/>
    <w:rsid w:val="040936E9"/>
    <w:rsid w:val="040968E6"/>
    <w:rsid w:val="0423BC54"/>
    <w:rsid w:val="04263AC8"/>
    <w:rsid w:val="042B5494"/>
    <w:rsid w:val="042C9886"/>
    <w:rsid w:val="042CFA94"/>
    <w:rsid w:val="0434C36B"/>
    <w:rsid w:val="04370D68"/>
    <w:rsid w:val="043932F6"/>
    <w:rsid w:val="0439E94D"/>
    <w:rsid w:val="043E0312"/>
    <w:rsid w:val="04457FA1"/>
    <w:rsid w:val="044B84BF"/>
    <w:rsid w:val="0451CDCE"/>
    <w:rsid w:val="045B0151"/>
    <w:rsid w:val="046A72A6"/>
    <w:rsid w:val="046AC51F"/>
    <w:rsid w:val="046B2931"/>
    <w:rsid w:val="046E80EF"/>
    <w:rsid w:val="0476ECC0"/>
    <w:rsid w:val="04771AD6"/>
    <w:rsid w:val="04817A45"/>
    <w:rsid w:val="0487B320"/>
    <w:rsid w:val="0490AD6D"/>
    <w:rsid w:val="04963597"/>
    <w:rsid w:val="04A0623E"/>
    <w:rsid w:val="04A44C8B"/>
    <w:rsid w:val="04A5C415"/>
    <w:rsid w:val="04A835BE"/>
    <w:rsid w:val="04B089DF"/>
    <w:rsid w:val="04B9D44F"/>
    <w:rsid w:val="04CD15A5"/>
    <w:rsid w:val="04CD9BCE"/>
    <w:rsid w:val="04CE366E"/>
    <w:rsid w:val="04E0AE38"/>
    <w:rsid w:val="04E4B79E"/>
    <w:rsid w:val="04E6ADF5"/>
    <w:rsid w:val="04EA9387"/>
    <w:rsid w:val="04F8E5A0"/>
    <w:rsid w:val="04FA8F10"/>
    <w:rsid w:val="04FBAC53"/>
    <w:rsid w:val="0501E9D3"/>
    <w:rsid w:val="050321FA"/>
    <w:rsid w:val="05088C44"/>
    <w:rsid w:val="051109C7"/>
    <w:rsid w:val="05159610"/>
    <w:rsid w:val="05161E52"/>
    <w:rsid w:val="052050A5"/>
    <w:rsid w:val="0526D9EE"/>
    <w:rsid w:val="052DB04F"/>
    <w:rsid w:val="0539003C"/>
    <w:rsid w:val="053B45A6"/>
    <w:rsid w:val="053CD9A3"/>
    <w:rsid w:val="054B11EA"/>
    <w:rsid w:val="055752B7"/>
    <w:rsid w:val="0558128E"/>
    <w:rsid w:val="055A09E1"/>
    <w:rsid w:val="055EC547"/>
    <w:rsid w:val="056229A2"/>
    <w:rsid w:val="056A8F40"/>
    <w:rsid w:val="056DE77C"/>
    <w:rsid w:val="05713082"/>
    <w:rsid w:val="0577264B"/>
    <w:rsid w:val="05846B94"/>
    <w:rsid w:val="058DCA8E"/>
    <w:rsid w:val="058EE7EF"/>
    <w:rsid w:val="058F260B"/>
    <w:rsid w:val="05959D15"/>
    <w:rsid w:val="059A86DC"/>
    <w:rsid w:val="059D06D5"/>
    <w:rsid w:val="059FA798"/>
    <w:rsid w:val="05A6A6FB"/>
    <w:rsid w:val="05B52ADB"/>
    <w:rsid w:val="05BE0435"/>
    <w:rsid w:val="05BE3DF3"/>
    <w:rsid w:val="05BF26CC"/>
    <w:rsid w:val="05C624AD"/>
    <w:rsid w:val="05CA2114"/>
    <w:rsid w:val="05CA21E1"/>
    <w:rsid w:val="05D8D4C2"/>
    <w:rsid w:val="05DE49A0"/>
    <w:rsid w:val="05E7DA3D"/>
    <w:rsid w:val="05EB221A"/>
    <w:rsid w:val="05ECCA16"/>
    <w:rsid w:val="05ED9C1F"/>
    <w:rsid w:val="05F77281"/>
    <w:rsid w:val="05FEEA0E"/>
    <w:rsid w:val="05FFF007"/>
    <w:rsid w:val="060BC98C"/>
    <w:rsid w:val="060C22E2"/>
    <w:rsid w:val="0619A69B"/>
    <w:rsid w:val="0623EEE5"/>
    <w:rsid w:val="062BE65A"/>
    <w:rsid w:val="062E9AEC"/>
    <w:rsid w:val="0631C7D1"/>
    <w:rsid w:val="06335911"/>
    <w:rsid w:val="0635BCC0"/>
    <w:rsid w:val="0636D310"/>
    <w:rsid w:val="06377D58"/>
    <w:rsid w:val="063AC321"/>
    <w:rsid w:val="06462A9D"/>
    <w:rsid w:val="0649BDDD"/>
    <w:rsid w:val="064D51B5"/>
    <w:rsid w:val="0653214D"/>
    <w:rsid w:val="06544B39"/>
    <w:rsid w:val="065631F5"/>
    <w:rsid w:val="0656EBED"/>
    <w:rsid w:val="065F0370"/>
    <w:rsid w:val="06629E38"/>
    <w:rsid w:val="066B1E9E"/>
    <w:rsid w:val="066BF3C0"/>
    <w:rsid w:val="06709A4E"/>
    <w:rsid w:val="067237A7"/>
    <w:rsid w:val="067291F3"/>
    <w:rsid w:val="0672E68E"/>
    <w:rsid w:val="06754C5F"/>
    <w:rsid w:val="067681C0"/>
    <w:rsid w:val="0678C75B"/>
    <w:rsid w:val="06799C57"/>
    <w:rsid w:val="067BB777"/>
    <w:rsid w:val="067EFC73"/>
    <w:rsid w:val="06801BAE"/>
    <w:rsid w:val="06870765"/>
    <w:rsid w:val="069EEB78"/>
    <w:rsid w:val="06A43953"/>
    <w:rsid w:val="06B72B1D"/>
    <w:rsid w:val="06D082AD"/>
    <w:rsid w:val="06E4CB76"/>
    <w:rsid w:val="06F0CA7F"/>
    <w:rsid w:val="06FA07BA"/>
    <w:rsid w:val="06FF2A63"/>
    <w:rsid w:val="07011177"/>
    <w:rsid w:val="07080593"/>
    <w:rsid w:val="070AE568"/>
    <w:rsid w:val="070DB135"/>
    <w:rsid w:val="0711CBA8"/>
    <w:rsid w:val="07181602"/>
    <w:rsid w:val="0724AA5E"/>
    <w:rsid w:val="072572AF"/>
    <w:rsid w:val="072CB635"/>
    <w:rsid w:val="07342F0C"/>
    <w:rsid w:val="0741C94A"/>
    <w:rsid w:val="0745F845"/>
    <w:rsid w:val="07483AA9"/>
    <w:rsid w:val="076DE175"/>
    <w:rsid w:val="07863908"/>
    <w:rsid w:val="0794B4EB"/>
    <w:rsid w:val="079AFC7D"/>
    <w:rsid w:val="079E0C96"/>
    <w:rsid w:val="079EFFEF"/>
    <w:rsid w:val="07A4199E"/>
    <w:rsid w:val="07B15646"/>
    <w:rsid w:val="07BA7D5F"/>
    <w:rsid w:val="07C16F11"/>
    <w:rsid w:val="07DBD7D1"/>
    <w:rsid w:val="07E16991"/>
    <w:rsid w:val="07E5F14D"/>
    <w:rsid w:val="07EDFAC5"/>
    <w:rsid w:val="07EECCDB"/>
    <w:rsid w:val="07F55228"/>
    <w:rsid w:val="07F5C3FF"/>
    <w:rsid w:val="07F653A0"/>
    <w:rsid w:val="07F85B27"/>
    <w:rsid w:val="08068193"/>
    <w:rsid w:val="0808B54D"/>
    <w:rsid w:val="0809F3F5"/>
    <w:rsid w:val="080A7C22"/>
    <w:rsid w:val="080F5891"/>
    <w:rsid w:val="0813640B"/>
    <w:rsid w:val="0816A834"/>
    <w:rsid w:val="0816D2B2"/>
    <w:rsid w:val="081D0CF4"/>
    <w:rsid w:val="081ED1C7"/>
    <w:rsid w:val="0820EB69"/>
    <w:rsid w:val="0820FB58"/>
    <w:rsid w:val="08258965"/>
    <w:rsid w:val="082F4EF7"/>
    <w:rsid w:val="082F8987"/>
    <w:rsid w:val="08314DA0"/>
    <w:rsid w:val="083554B0"/>
    <w:rsid w:val="08376DF9"/>
    <w:rsid w:val="0837E804"/>
    <w:rsid w:val="084F573B"/>
    <w:rsid w:val="085BC4AA"/>
    <w:rsid w:val="08676759"/>
    <w:rsid w:val="086BAC33"/>
    <w:rsid w:val="086EF329"/>
    <w:rsid w:val="08714D4F"/>
    <w:rsid w:val="0871BE62"/>
    <w:rsid w:val="0877322D"/>
    <w:rsid w:val="087B110F"/>
    <w:rsid w:val="089239C3"/>
    <w:rsid w:val="08A07F89"/>
    <w:rsid w:val="08A5F25C"/>
    <w:rsid w:val="08A79390"/>
    <w:rsid w:val="08B93EBC"/>
    <w:rsid w:val="08BFA4D1"/>
    <w:rsid w:val="08CC0217"/>
    <w:rsid w:val="08D152B1"/>
    <w:rsid w:val="08D2E79C"/>
    <w:rsid w:val="08D520A3"/>
    <w:rsid w:val="08D6C136"/>
    <w:rsid w:val="08E85C12"/>
    <w:rsid w:val="08EB103A"/>
    <w:rsid w:val="08EC8411"/>
    <w:rsid w:val="08ED5FF8"/>
    <w:rsid w:val="08F06614"/>
    <w:rsid w:val="08F4E836"/>
    <w:rsid w:val="08FEF440"/>
    <w:rsid w:val="09078656"/>
    <w:rsid w:val="090ED0A3"/>
    <w:rsid w:val="09284FB5"/>
    <w:rsid w:val="0928A045"/>
    <w:rsid w:val="092B4008"/>
    <w:rsid w:val="0933A0A9"/>
    <w:rsid w:val="0933B63E"/>
    <w:rsid w:val="093BDEDC"/>
    <w:rsid w:val="09417B56"/>
    <w:rsid w:val="094AE551"/>
    <w:rsid w:val="094DE597"/>
    <w:rsid w:val="09610C21"/>
    <w:rsid w:val="0967C165"/>
    <w:rsid w:val="0967E780"/>
    <w:rsid w:val="096C7C72"/>
    <w:rsid w:val="096EEFB9"/>
    <w:rsid w:val="0978BF19"/>
    <w:rsid w:val="0980B06A"/>
    <w:rsid w:val="09844EC6"/>
    <w:rsid w:val="0985ED1B"/>
    <w:rsid w:val="09862A86"/>
    <w:rsid w:val="09873E75"/>
    <w:rsid w:val="09895163"/>
    <w:rsid w:val="098C454E"/>
    <w:rsid w:val="098EFAB7"/>
    <w:rsid w:val="09931749"/>
    <w:rsid w:val="0995F3BE"/>
    <w:rsid w:val="09990813"/>
    <w:rsid w:val="099F151D"/>
    <w:rsid w:val="09A2CCC4"/>
    <w:rsid w:val="09A9FAF2"/>
    <w:rsid w:val="09AE99D8"/>
    <w:rsid w:val="09B367B3"/>
    <w:rsid w:val="09B660A6"/>
    <w:rsid w:val="09B86013"/>
    <w:rsid w:val="09BFF789"/>
    <w:rsid w:val="09CAA19F"/>
    <w:rsid w:val="09CBB945"/>
    <w:rsid w:val="09CCAE9A"/>
    <w:rsid w:val="09CF08A5"/>
    <w:rsid w:val="09D7BAE3"/>
    <w:rsid w:val="09E089E3"/>
    <w:rsid w:val="09EB225C"/>
    <w:rsid w:val="09EE2294"/>
    <w:rsid w:val="09F10E5E"/>
    <w:rsid w:val="09F2EADE"/>
    <w:rsid w:val="09F37677"/>
    <w:rsid w:val="0A02737F"/>
    <w:rsid w:val="0A04AFE1"/>
    <w:rsid w:val="0A050E4E"/>
    <w:rsid w:val="0A07EF59"/>
    <w:rsid w:val="0A0B860F"/>
    <w:rsid w:val="0A0C8FE8"/>
    <w:rsid w:val="0A1422C4"/>
    <w:rsid w:val="0A148D00"/>
    <w:rsid w:val="0A186743"/>
    <w:rsid w:val="0A188D9F"/>
    <w:rsid w:val="0A1DF0C9"/>
    <w:rsid w:val="0A200CEA"/>
    <w:rsid w:val="0A244B77"/>
    <w:rsid w:val="0A301449"/>
    <w:rsid w:val="0A34AA6F"/>
    <w:rsid w:val="0A36B741"/>
    <w:rsid w:val="0A382110"/>
    <w:rsid w:val="0A3BD6C4"/>
    <w:rsid w:val="0A3C4460"/>
    <w:rsid w:val="0A544168"/>
    <w:rsid w:val="0A56FCBF"/>
    <w:rsid w:val="0A5EB60D"/>
    <w:rsid w:val="0A74C7C6"/>
    <w:rsid w:val="0A79988D"/>
    <w:rsid w:val="0A837C6B"/>
    <w:rsid w:val="0A894332"/>
    <w:rsid w:val="0A8D36A0"/>
    <w:rsid w:val="0A90045F"/>
    <w:rsid w:val="0A900C28"/>
    <w:rsid w:val="0A92F492"/>
    <w:rsid w:val="0A9C3D05"/>
    <w:rsid w:val="0AAF5375"/>
    <w:rsid w:val="0AB51C6E"/>
    <w:rsid w:val="0AB53EB4"/>
    <w:rsid w:val="0AC9A714"/>
    <w:rsid w:val="0AD4FD40"/>
    <w:rsid w:val="0AEC6351"/>
    <w:rsid w:val="0AEFF7DE"/>
    <w:rsid w:val="0AF65D41"/>
    <w:rsid w:val="0B01FF5B"/>
    <w:rsid w:val="0B0343CF"/>
    <w:rsid w:val="0B0530BD"/>
    <w:rsid w:val="0B2C9D3E"/>
    <w:rsid w:val="0B31E0CD"/>
    <w:rsid w:val="0B345928"/>
    <w:rsid w:val="0B366692"/>
    <w:rsid w:val="0B3F1509"/>
    <w:rsid w:val="0B52B3B2"/>
    <w:rsid w:val="0B55A1F1"/>
    <w:rsid w:val="0B694AA4"/>
    <w:rsid w:val="0B6C5EE9"/>
    <w:rsid w:val="0B73EBC3"/>
    <w:rsid w:val="0B9CD792"/>
    <w:rsid w:val="0B9E507E"/>
    <w:rsid w:val="0BA1B7BD"/>
    <w:rsid w:val="0BA8A78A"/>
    <w:rsid w:val="0BA9BAC8"/>
    <w:rsid w:val="0BAD7311"/>
    <w:rsid w:val="0BBB997C"/>
    <w:rsid w:val="0BBD80ED"/>
    <w:rsid w:val="0BC0ED70"/>
    <w:rsid w:val="0BC222F0"/>
    <w:rsid w:val="0BD036CD"/>
    <w:rsid w:val="0BD1F5AF"/>
    <w:rsid w:val="0BD5A7DA"/>
    <w:rsid w:val="0BDD0048"/>
    <w:rsid w:val="0BF086EB"/>
    <w:rsid w:val="0BF30A51"/>
    <w:rsid w:val="0BF479C6"/>
    <w:rsid w:val="0C06B1DA"/>
    <w:rsid w:val="0C11D59F"/>
    <w:rsid w:val="0C1BB544"/>
    <w:rsid w:val="0C1C03B8"/>
    <w:rsid w:val="0C1ECB98"/>
    <w:rsid w:val="0C251AE5"/>
    <w:rsid w:val="0C29E647"/>
    <w:rsid w:val="0C2ACC21"/>
    <w:rsid w:val="0C2ACF47"/>
    <w:rsid w:val="0C346559"/>
    <w:rsid w:val="0C38DA4A"/>
    <w:rsid w:val="0C39C306"/>
    <w:rsid w:val="0C3A0896"/>
    <w:rsid w:val="0C3A28BD"/>
    <w:rsid w:val="0C3F9BDA"/>
    <w:rsid w:val="0C406C47"/>
    <w:rsid w:val="0C4446AB"/>
    <w:rsid w:val="0C50A506"/>
    <w:rsid w:val="0C55E90F"/>
    <w:rsid w:val="0C562487"/>
    <w:rsid w:val="0C5D235D"/>
    <w:rsid w:val="0C79A335"/>
    <w:rsid w:val="0C8B51AD"/>
    <w:rsid w:val="0C8B51DE"/>
    <w:rsid w:val="0C9133FA"/>
    <w:rsid w:val="0C92D7F4"/>
    <w:rsid w:val="0C987999"/>
    <w:rsid w:val="0C9A2A3D"/>
    <w:rsid w:val="0C9D3451"/>
    <w:rsid w:val="0C9ECF6F"/>
    <w:rsid w:val="0CA0C82C"/>
    <w:rsid w:val="0CAC4DF6"/>
    <w:rsid w:val="0CACAE67"/>
    <w:rsid w:val="0CB3493C"/>
    <w:rsid w:val="0CB44837"/>
    <w:rsid w:val="0CB6A937"/>
    <w:rsid w:val="0CC02AC2"/>
    <w:rsid w:val="0CCF64ED"/>
    <w:rsid w:val="0CD134D2"/>
    <w:rsid w:val="0CD411B0"/>
    <w:rsid w:val="0CDB17DC"/>
    <w:rsid w:val="0CDE22C0"/>
    <w:rsid w:val="0CE95C02"/>
    <w:rsid w:val="0CF398FE"/>
    <w:rsid w:val="0CF6C0E3"/>
    <w:rsid w:val="0CF82961"/>
    <w:rsid w:val="0D095249"/>
    <w:rsid w:val="0D0CE195"/>
    <w:rsid w:val="0D1B02DE"/>
    <w:rsid w:val="0D1F0C56"/>
    <w:rsid w:val="0D267785"/>
    <w:rsid w:val="0D31C538"/>
    <w:rsid w:val="0D370FC1"/>
    <w:rsid w:val="0D3A8EF5"/>
    <w:rsid w:val="0D43F5C5"/>
    <w:rsid w:val="0D463577"/>
    <w:rsid w:val="0D4904CF"/>
    <w:rsid w:val="0D4F104F"/>
    <w:rsid w:val="0D5BEB0A"/>
    <w:rsid w:val="0D5FCEA6"/>
    <w:rsid w:val="0D6ED593"/>
    <w:rsid w:val="0D7145DD"/>
    <w:rsid w:val="0D7198B9"/>
    <w:rsid w:val="0D71C7AA"/>
    <w:rsid w:val="0D7CDAE5"/>
    <w:rsid w:val="0D8187AA"/>
    <w:rsid w:val="0D81A4A9"/>
    <w:rsid w:val="0D84AF4F"/>
    <w:rsid w:val="0D874168"/>
    <w:rsid w:val="0D8C5FF0"/>
    <w:rsid w:val="0D92193A"/>
    <w:rsid w:val="0D9593A8"/>
    <w:rsid w:val="0D98F0F6"/>
    <w:rsid w:val="0DA0C807"/>
    <w:rsid w:val="0DAB02E8"/>
    <w:rsid w:val="0DBC7FBF"/>
    <w:rsid w:val="0DBCF29F"/>
    <w:rsid w:val="0DE3CE11"/>
    <w:rsid w:val="0DF30DE8"/>
    <w:rsid w:val="0DF6B1DB"/>
    <w:rsid w:val="0DF9AFE3"/>
    <w:rsid w:val="0E0C6E99"/>
    <w:rsid w:val="0E0DDD9A"/>
    <w:rsid w:val="0E1403DD"/>
    <w:rsid w:val="0E1489D2"/>
    <w:rsid w:val="0E18689C"/>
    <w:rsid w:val="0E19C6E9"/>
    <w:rsid w:val="0E1EFB7C"/>
    <w:rsid w:val="0E2014EE"/>
    <w:rsid w:val="0E20B47C"/>
    <w:rsid w:val="0E220B2E"/>
    <w:rsid w:val="0E2532B3"/>
    <w:rsid w:val="0E2B77EA"/>
    <w:rsid w:val="0E2BC720"/>
    <w:rsid w:val="0E313726"/>
    <w:rsid w:val="0E32FC53"/>
    <w:rsid w:val="0E3D9467"/>
    <w:rsid w:val="0E43B6DC"/>
    <w:rsid w:val="0E43D197"/>
    <w:rsid w:val="0E482445"/>
    <w:rsid w:val="0E4D6413"/>
    <w:rsid w:val="0E4E4A5D"/>
    <w:rsid w:val="0E5D822A"/>
    <w:rsid w:val="0E5E6F84"/>
    <w:rsid w:val="0E6AB3FD"/>
    <w:rsid w:val="0E6E0689"/>
    <w:rsid w:val="0E72B5DC"/>
    <w:rsid w:val="0E76998F"/>
    <w:rsid w:val="0E829D25"/>
    <w:rsid w:val="0E85D5A0"/>
    <w:rsid w:val="0E8ACEC8"/>
    <w:rsid w:val="0E8BEA60"/>
    <w:rsid w:val="0E8E0DC8"/>
    <w:rsid w:val="0E90CB58"/>
    <w:rsid w:val="0E9A772A"/>
    <w:rsid w:val="0E9CDF9A"/>
    <w:rsid w:val="0E9E27AE"/>
    <w:rsid w:val="0EAAC0C0"/>
    <w:rsid w:val="0EAC2555"/>
    <w:rsid w:val="0EB63CF8"/>
    <w:rsid w:val="0EB808E4"/>
    <w:rsid w:val="0EB9D470"/>
    <w:rsid w:val="0EBE54E3"/>
    <w:rsid w:val="0EC68638"/>
    <w:rsid w:val="0EC73092"/>
    <w:rsid w:val="0ED37CE2"/>
    <w:rsid w:val="0ED721A7"/>
    <w:rsid w:val="0ED8B22C"/>
    <w:rsid w:val="0EDA2F62"/>
    <w:rsid w:val="0EDAF529"/>
    <w:rsid w:val="0EDB4BD5"/>
    <w:rsid w:val="0EDD9486"/>
    <w:rsid w:val="0EE83340"/>
    <w:rsid w:val="0EEBF1AA"/>
    <w:rsid w:val="0EF54672"/>
    <w:rsid w:val="0F0CC498"/>
    <w:rsid w:val="0F0CFC19"/>
    <w:rsid w:val="0F12F288"/>
    <w:rsid w:val="0F13F1AA"/>
    <w:rsid w:val="0F20E857"/>
    <w:rsid w:val="0F23096C"/>
    <w:rsid w:val="0F23FEB4"/>
    <w:rsid w:val="0F312266"/>
    <w:rsid w:val="0F3E1C5F"/>
    <w:rsid w:val="0F460787"/>
    <w:rsid w:val="0F51484A"/>
    <w:rsid w:val="0F56C017"/>
    <w:rsid w:val="0F5A71A4"/>
    <w:rsid w:val="0F6E36EC"/>
    <w:rsid w:val="0F78382A"/>
    <w:rsid w:val="0F7EDE83"/>
    <w:rsid w:val="0F859FAB"/>
    <w:rsid w:val="0F8E0AE0"/>
    <w:rsid w:val="0F945B02"/>
    <w:rsid w:val="0FA874E4"/>
    <w:rsid w:val="0FAB75FE"/>
    <w:rsid w:val="0FAC74AD"/>
    <w:rsid w:val="0FB6B616"/>
    <w:rsid w:val="0FC0B3DB"/>
    <w:rsid w:val="0FC3038B"/>
    <w:rsid w:val="0FD7FC9D"/>
    <w:rsid w:val="0FDC5212"/>
    <w:rsid w:val="0FDED39D"/>
    <w:rsid w:val="0FDFBBAA"/>
    <w:rsid w:val="0FE149E2"/>
    <w:rsid w:val="0FEB4F6A"/>
    <w:rsid w:val="0FF6058D"/>
    <w:rsid w:val="100134CF"/>
    <w:rsid w:val="1008AEC7"/>
    <w:rsid w:val="100B9525"/>
    <w:rsid w:val="100E0D49"/>
    <w:rsid w:val="1010E06B"/>
    <w:rsid w:val="101D2FB0"/>
    <w:rsid w:val="101EC53B"/>
    <w:rsid w:val="10216AED"/>
    <w:rsid w:val="10263B48"/>
    <w:rsid w:val="102A1EEC"/>
    <w:rsid w:val="1040C5EC"/>
    <w:rsid w:val="104EA184"/>
    <w:rsid w:val="105C4866"/>
    <w:rsid w:val="1064E02E"/>
    <w:rsid w:val="106A58C8"/>
    <w:rsid w:val="106B7FAD"/>
    <w:rsid w:val="106D9303"/>
    <w:rsid w:val="106F19F4"/>
    <w:rsid w:val="10761288"/>
    <w:rsid w:val="107E8066"/>
    <w:rsid w:val="1087819B"/>
    <w:rsid w:val="108EF33C"/>
    <w:rsid w:val="109C0F76"/>
    <w:rsid w:val="109C21AA"/>
    <w:rsid w:val="10A81FE2"/>
    <w:rsid w:val="10A9F21F"/>
    <w:rsid w:val="10AB0887"/>
    <w:rsid w:val="10B74957"/>
    <w:rsid w:val="10BEB6A0"/>
    <w:rsid w:val="10C49242"/>
    <w:rsid w:val="10C7981F"/>
    <w:rsid w:val="10CC376D"/>
    <w:rsid w:val="10CD479C"/>
    <w:rsid w:val="10CDA785"/>
    <w:rsid w:val="10D9CD50"/>
    <w:rsid w:val="10DDFCAD"/>
    <w:rsid w:val="10ED3BD9"/>
    <w:rsid w:val="10EF5E9E"/>
    <w:rsid w:val="10F47096"/>
    <w:rsid w:val="10FA6360"/>
    <w:rsid w:val="10FAFEC6"/>
    <w:rsid w:val="10FF64BF"/>
    <w:rsid w:val="11020F49"/>
    <w:rsid w:val="11095427"/>
    <w:rsid w:val="111229F3"/>
    <w:rsid w:val="11142F2E"/>
    <w:rsid w:val="111720FF"/>
    <w:rsid w:val="111F9E63"/>
    <w:rsid w:val="1122FE69"/>
    <w:rsid w:val="11234D3E"/>
    <w:rsid w:val="112602E0"/>
    <w:rsid w:val="112827C7"/>
    <w:rsid w:val="11283E10"/>
    <w:rsid w:val="112E0DA8"/>
    <w:rsid w:val="113C1968"/>
    <w:rsid w:val="1145548A"/>
    <w:rsid w:val="114DBD88"/>
    <w:rsid w:val="114E60B2"/>
    <w:rsid w:val="116B01B6"/>
    <w:rsid w:val="116D4D4F"/>
    <w:rsid w:val="1178E0D8"/>
    <w:rsid w:val="11794456"/>
    <w:rsid w:val="117C2AAF"/>
    <w:rsid w:val="117CE628"/>
    <w:rsid w:val="1182069C"/>
    <w:rsid w:val="11838855"/>
    <w:rsid w:val="11895814"/>
    <w:rsid w:val="118C0C08"/>
    <w:rsid w:val="118DF316"/>
    <w:rsid w:val="119AD208"/>
    <w:rsid w:val="119C18F5"/>
    <w:rsid w:val="11A103A4"/>
    <w:rsid w:val="11AA6638"/>
    <w:rsid w:val="11AF05B3"/>
    <w:rsid w:val="11B607FA"/>
    <w:rsid w:val="11B9F365"/>
    <w:rsid w:val="11BB39D8"/>
    <w:rsid w:val="11C4076F"/>
    <w:rsid w:val="11C52B8A"/>
    <w:rsid w:val="11C8F607"/>
    <w:rsid w:val="11D2668B"/>
    <w:rsid w:val="11D43983"/>
    <w:rsid w:val="11D4C6FD"/>
    <w:rsid w:val="11D7409F"/>
    <w:rsid w:val="11E6367E"/>
    <w:rsid w:val="11E6BA21"/>
    <w:rsid w:val="1207AAF6"/>
    <w:rsid w:val="1207FF49"/>
    <w:rsid w:val="12149A64"/>
    <w:rsid w:val="121EBC79"/>
    <w:rsid w:val="121EEFE9"/>
    <w:rsid w:val="12246617"/>
    <w:rsid w:val="12273BDD"/>
    <w:rsid w:val="122C5AB4"/>
    <w:rsid w:val="1230B3AC"/>
    <w:rsid w:val="123AE0CB"/>
    <w:rsid w:val="123E2D5D"/>
    <w:rsid w:val="12467547"/>
    <w:rsid w:val="12493FAF"/>
    <w:rsid w:val="124DCAAE"/>
    <w:rsid w:val="1252BD19"/>
    <w:rsid w:val="125ED2C5"/>
    <w:rsid w:val="12608E55"/>
    <w:rsid w:val="126AAB78"/>
    <w:rsid w:val="126AC44D"/>
    <w:rsid w:val="126C282B"/>
    <w:rsid w:val="127CF853"/>
    <w:rsid w:val="1289D808"/>
    <w:rsid w:val="128DE42F"/>
    <w:rsid w:val="129646D2"/>
    <w:rsid w:val="129AF073"/>
    <w:rsid w:val="129BB642"/>
    <w:rsid w:val="129CD542"/>
    <w:rsid w:val="129DB874"/>
    <w:rsid w:val="12AA9466"/>
    <w:rsid w:val="12AB899F"/>
    <w:rsid w:val="12AC3A7B"/>
    <w:rsid w:val="12AD1BFE"/>
    <w:rsid w:val="12B81993"/>
    <w:rsid w:val="12B99720"/>
    <w:rsid w:val="12BA252E"/>
    <w:rsid w:val="12BCFB3D"/>
    <w:rsid w:val="12C6FEF9"/>
    <w:rsid w:val="12CB4E91"/>
    <w:rsid w:val="12D31627"/>
    <w:rsid w:val="12D34790"/>
    <w:rsid w:val="12DF687F"/>
    <w:rsid w:val="12E3FC69"/>
    <w:rsid w:val="12E7FABE"/>
    <w:rsid w:val="12E9B21D"/>
    <w:rsid w:val="12F3433F"/>
    <w:rsid w:val="130070FE"/>
    <w:rsid w:val="1300FCA1"/>
    <w:rsid w:val="1301D232"/>
    <w:rsid w:val="13052F76"/>
    <w:rsid w:val="13082A25"/>
    <w:rsid w:val="1313012B"/>
    <w:rsid w:val="131698B7"/>
    <w:rsid w:val="1319519A"/>
    <w:rsid w:val="131E545C"/>
    <w:rsid w:val="131F9F8C"/>
    <w:rsid w:val="132666D4"/>
    <w:rsid w:val="132A1182"/>
    <w:rsid w:val="132DAB95"/>
    <w:rsid w:val="13303B63"/>
    <w:rsid w:val="1330A6A2"/>
    <w:rsid w:val="1339466A"/>
    <w:rsid w:val="133BFECD"/>
    <w:rsid w:val="133F7BD7"/>
    <w:rsid w:val="134662EF"/>
    <w:rsid w:val="134711F1"/>
    <w:rsid w:val="134C2728"/>
    <w:rsid w:val="1352EAF4"/>
    <w:rsid w:val="135A55D8"/>
    <w:rsid w:val="1364EC54"/>
    <w:rsid w:val="13675739"/>
    <w:rsid w:val="1367C2C1"/>
    <w:rsid w:val="136E74B4"/>
    <w:rsid w:val="137FCB27"/>
    <w:rsid w:val="1386DEFE"/>
    <w:rsid w:val="13910B7D"/>
    <w:rsid w:val="13917B03"/>
    <w:rsid w:val="13944935"/>
    <w:rsid w:val="139A54D7"/>
    <w:rsid w:val="139B8CC7"/>
    <w:rsid w:val="13AD5B51"/>
    <w:rsid w:val="13AF4179"/>
    <w:rsid w:val="13B06E97"/>
    <w:rsid w:val="13B74F83"/>
    <w:rsid w:val="13CB8601"/>
    <w:rsid w:val="13CC7EBE"/>
    <w:rsid w:val="13F75F0E"/>
    <w:rsid w:val="13FA1525"/>
    <w:rsid w:val="13FD0FD7"/>
    <w:rsid w:val="1402E081"/>
    <w:rsid w:val="1407EAA0"/>
    <w:rsid w:val="140D703E"/>
    <w:rsid w:val="140DCA1F"/>
    <w:rsid w:val="141D0E1C"/>
    <w:rsid w:val="14272431"/>
    <w:rsid w:val="142FFDB1"/>
    <w:rsid w:val="1433B450"/>
    <w:rsid w:val="1439AEA7"/>
    <w:rsid w:val="143BA941"/>
    <w:rsid w:val="1441619F"/>
    <w:rsid w:val="144B3909"/>
    <w:rsid w:val="144E508E"/>
    <w:rsid w:val="145F214C"/>
    <w:rsid w:val="145FE3CB"/>
    <w:rsid w:val="14648704"/>
    <w:rsid w:val="148440F1"/>
    <w:rsid w:val="1487080C"/>
    <w:rsid w:val="1489755B"/>
    <w:rsid w:val="148D0AAF"/>
    <w:rsid w:val="148F4EAA"/>
    <w:rsid w:val="14949A10"/>
    <w:rsid w:val="149AA089"/>
    <w:rsid w:val="149FBA48"/>
    <w:rsid w:val="14B0B529"/>
    <w:rsid w:val="14B173DE"/>
    <w:rsid w:val="14B841A1"/>
    <w:rsid w:val="14C0298E"/>
    <w:rsid w:val="14C5186C"/>
    <w:rsid w:val="14C81209"/>
    <w:rsid w:val="14D1048D"/>
    <w:rsid w:val="14D3CC35"/>
    <w:rsid w:val="14D8FCD0"/>
    <w:rsid w:val="14D99980"/>
    <w:rsid w:val="14DC1AFB"/>
    <w:rsid w:val="14DC6246"/>
    <w:rsid w:val="14DCB88E"/>
    <w:rsid w:val="14DDF916"/>
    <w:rsid w:val="14E20772"/>
    <w:rsid w:val="14EB84BA"/>
    <w:rsid w:val="14F16236"/>
    <w:rsid w:val="14FAD7EA"/>
    <w:rsid w:val="14FF3784"/>
    <w:rsid w:val="150EC9BC"/>
    <w:rsid w:val="15164691"/>
    <w:rsid w:val="1524A9FD"/>
    <w:rsid w:val="152E7056"/>
    <w:rsid w:val="1530C6F6"/>
    <w:rsid w:val="153A6B4F"/>
    <w:rsid w:val="15428369"/>
    <w:rsid w:val="15437AEC"/>
    <w:rsid w:val="1546702A"/>
    <w:rsid w:val="1549C38C"/>
    <w:rsid w:val="1550357A"/>
    <w:rsid w:val="155289D1"/>
    <w:rsid w:val="15532224"/>
    <w:rsid w:val="155FC672"/>
    <w:rsid w:val="1563ABFE"/>
    <w:rsid w:val="15650174"/>
    <w:rsid w:val="15680C62"/>
    <w:rsid w:val="156CC5B6"/>
    <w:rsid w:val="156CCAE3"/>
    <w:rsid w:val="1577EAEC"/>
    <w:rsid w:val="15922CD9"/>
    <w:rsid w:val="1599A229"/>
    <w:rsid w:val="159EFD73"/>
    <w:rsid w:val="15A423C0"/>
    <w:rsid w:val="15AEA843"/>
    <w:rsid w:val="15B033C2"/>
    <w:rsid w:val="15BB5D9C"/>
    <w:rsid w:val="15C50173"/>
    <w:rsid w:val="15D76FF1"/>
    <w:rsid w:val="15F3F214"/>
    <w:rsid w:val="1602C881"/>
    <w:rsid w:val="16056636"/>
    <w:rsid w:val="16107272"/>
    <w:rsid w:val="16135947"/>
    <w:rsid w:val="1617767A"/>
    <w:rsid w:val="161C7D1C"/>
    <w:rsid w:val="16236591"/>
    <w:rsid w:val="162981CB"/>
    <w:rsid w:val="1630CA8D"/>
    <w:rsid w:val="163D6DE3"/>
    <w:rsid w:val="163FC0A2"/>
    <w:rsid w:val="1641FB87"/>
    <w:rsid w:val="1642C9D1"/>
    <w:rsid w:val="164C9F8F"/>
    <w:rsid w:val="164E9C9C"/>
    <w:rsid w:val="16525D91"/>
    <w:rsid w:val="16556D74"/>
    <w:rsid w:val="1658A970"/>
    <w:rsid w:val="165B6FD7"/>
    <w:rsid w:val="165FE83E"/>
    <w:rsid w:val="166EACEC"/>
    <w:rsid w:val="167928DE"/>
    <w:rsid w:val="167978EB"/>
    <w:rsid w:val="167C8A36"/>
    <w:rsid w:val="1688F7E2"/>
    <w:rsid w:val="168D72B9"/>
    <w:rsid w:val="1693A4EE"/>
    <w:rsid w:val="1696F57B"/>
    <w:rsid w:val="169D408A"/>
    <w:rsid w:val="16A7FD89"/>
    <w:rsid w:val="16AFAC4F"/>
    <w:rsid w:val="16BE87B7"/>
    <w:rsid w:val="16BED23E"/>
    <w:rsid w:val="16C28710"/>
    <w:rsid w:val="16CCCC5D"/>
    <w:rsid w:val="16CF1E4E"/>
    <w:rsid w:val="16F1A0D5"/>
    <w:rsid w:val="16F8A72D"/>
    <w:rsid w:val="16FE5360"/>
    <w:rsid w:val="17010F78"/>
    <w:rsid w:val="17020983"/>
    <w:rsid w:val="1703DB9F"/>
    <w:rsid w:val="170B583E"/>
    <w:rsid w:val="170D5B24"/>
    <w:rsid w:val="170EBDAC"/>
    <w:rsid w:val="1711D0ED"/>
    <w:rsid w:val="171DBC36"/>
    <w:rsid w:val="17222C91"/>
    <w:rsid w:val="1741E22F"/>
    <w:rsid w:val="174D05D1"/>
    <w:rsid w:val="174E3CED"/>
    <w:rsid w:val="17505EEC"/>
    <w:rsid w:val="175BA1DF"/>
    <w:rsid w:val="176F2B53"/>
    <w:rsid w:val="1774E1AC"/>
    <w:rsid w:val="177B4494"/>
    <w:rsid w:val="1789254D"/>
    <w:rsid w:val="178CF981"/>
    <w:rsid w:val="178FEC1E"/>
    <w:rsid w:val="179A8789"/>
    <w:rsid w:val="179B4F4D"/>
    <w:rsid w:val="179B8333"/>
    <w:rsid w:val="17A2022E"/>
    <w:rsid w:val="17B87875"/>
    <w:rsid w:val="17C1FB4C"/>
    <w:rsid w:val="17C53BCB"/>
    <w:rsid w:val="17C7249C"/>
    <w:rsid w:val="17C793D5"/>
    <w:rsid w:val="17C989F5"/>
    <w:rsid w:val="17D278E6"/>
    <w:rsid w:val="17D96336"/>
    <w:rsid w:val="17E439E1"/>
    <w:rsid w:val="17F2745D"/>
    <w:rsid w:val="17F97E6A"/>
    <w:rsid w:val="17FFB9C3"/>
    <w:rsid w:val="18075325"/>
    <w:rsid w:val="18085F43"/>
    <w:rsid w:val="18086B25"/>
    <w:rsid w:val="180D0B93"/>
    <w:rsid w:val="1811573B"/>
    <w:rsid w:val="18177F4B"/>
    <w:rsid w:val="1817B91A"/>
    <w:rsid w:val="1822C002"/>
    <w:rsid w:val="18255B0D"/>
    <w:rsid w:val="183A501C"/>
    <w:rsid w:val="183E4FCC"/>
    <w:rsid w:val="18403DB0"/>
    <w:rsid w:val="1856DE32"/>
    <w:rsid w:val="185F178D"/>
    <w:rsid w:val="186872EE"/>
    <w:rsid w:val="186DC3A9"/>
    <w:rsid w:val="18729424"/>
    <w:rsid w:val="1873ED1A"/>
    <w:rsid w:val="187761D6"/>
    <w:rsid w:val="1878E915"/>
    <w:rsid w:val="187C40AA"/>
    <w:rsid w:val="188DFB05"/>
    <w:rsid w:val="18905CF3"/>
    <w:rsid w:val="18A49554"/>
    <w:rsid w:val="18A70004"/>
    <w:rsid w:val="18ABE81C"/>
    <w:rsid w:val="18ACBC3E"/>
    <w:rsid w:val="18C2B4B8"/>
    <w:rsid w:val="18C7393D"/>
    <w:rsid w:val="18D17F90"/>
    <w:rsid w:val="18D35C1D"/>
    <w:rsid w:val="18D57F45"/>
    <w:rsid w:val="18D59B11"/>
    <w:rsid w:val="18D63773"/>
    <w:rsid w:val="18D938EA"/>
    <w:rsid w:val="18DACB28"/>
    <w:rsid w:val="18E0F05C"/>
    <w:rsid w:val="18E6ABB6"/>
    <w:rsid w:val="18F0CEA0"/>
    <w:rsid w:val="18FD658B"/>
    <w:rsid w:val="190A772A"/>
    <w:rsid w:val="190C0921"/>
    <w:rsid w:val="19134831"/>
    <w:rsid w:val="1915282F"/>
    <w:rsid w:val="191BD895"/>
    <w:rsid w:val="191F7710"/>
    <w:rsid w:val="19280D9D"/>
    <w:rsid w:val="192DE14C"/>
    <w:rsid w:val="192F7650"/>
    <w:rsid w:val="193B2E00"/>
    <w:rsid w:val="194CBEC3"/>
    <w:rsid w:val="194E4319"/>
    <w:rsid w:val="194F2599"/>
    <w:rsid w:val="195AB5E7"/>
    <w:rsid w:val="195E6F32"/>
    <w:rsid w:val="1967EE54"/>
    <w:rsid w:val="19688FB4"/>
    <w:rsid w:val="196EDD44"/>
    <w:rsid w:val="19714780"/>
    <w:rsid w:val="19739521"/>
    <w:rsid w:val="197C9032"/>
    <w:rsid w:val="1984B36E"/>
    <w:rsid w:val="19880144"/>
    <w:rsid w:val="198A0D4D"/>
    <w:rsid w:val="198AD5A9"/>
    <w:rsid w:val="198BF600"/>
    <w:rsid w:val="198C6B28"/>
    <w:rsid w:val="199599FB"/>
    <w:rsid w:val="199A2E62"/>
    <w:rsid w:val="199A7867"/>
    <w:rsid w:val="199E584C"/>
    <w:rsid w:val="199E86C6"/>
    <w:rsid w:val="19A7B6F8"/>
    <w:rsid w:val="19A9B12E"/>
    <w:rsid w:val="19C35B0D"/>
    <w:rsid w:val="19C4B402"/>
    <w:rsid w:val="19D0DDC2"/>
    <w:rsid w:val="19D1DDB7"/>
    <w:rsid w:val="19D1F62B"/>
    <w:rsid w:val="19D532AE"/>
    <w:rsid w:val="19DDCC1E"/>
    <w:rsid w:val="19E022F3"/>
    <w:rsid w:val="19E090BE"/>
    <w:rsid w:val="19FE060E"/>
    <w:rsid w:val="1A054A7F"/>
    <w:rsid w:val="1A0AF817"/>
    <w:rsid w:val="1A0E5D12"/>
    <w:rsid w:val="1A10C9F0"/>
    <w:rsid w:val="1A2DF2DF"/>
    <w:rsid w:val="1A34BF69"/>
    <w:rsid w:val="1A3B6CEC"/>
    <w:rsid w:val="1A42258F"/>
    <w:rsid w:val="1A514263"/>
    <w:rsid w:val="1A568FBA"/>
    <w:rsid w:val="1A58B80B"/>
    <w:rsid w:val="1A5CBFF8"/>
    <w:rsid w:val="1A632AA7"/>
    <w:rsid w:val="1A75D87E"/>
    <w:rsid w:val="1A7F4010"/>
    <w:rsid w:val="1A99A30D"/>
    <w:rsid w:val="1AA3A4C5"/>
    <w:rsid w:val="1AA3EE6F"/>
    <w:rsid w:val="1AA46B5D"/>
    <w:rsid w:val="1AACEBE6"/>
    <w:rsid w:val="1AB122BC"/>
    <w:rsid w:val="1AB91925"/>
    <w:rsid w:val="1ABF20FE"/>
    <w:rsid w:val="1AC76998"/>
    <w:rsid w:val="1AC81C4C"/>
    <w:rsid w:val="1ACB8A41"/>
    <w:rsid w:val="1ACC545A"/>
    <w:rsid w:val="1ACDB745"/>
    <w:rsid w:val="1ACF062C"/>
    <w:rsid w:val="1AD86D40"/>
    <w:rsid w:val="1ADDAF3F"/>
    <w:rsid w:val="1AE8F915"/>
    <w:rsid w:val="1AED2796"/>
    <w:rsid w:val="1AEFA7EA"/>
    <w:rsid w:val="1AF8E85C"/>
    <w:rsid w:val="1AFD6A0F"/>
    <w:rsid w:val="1AFEE534"/>
    <w:rsid w:val="1B040872"/>
    <w:rsid w:val="1B1C6228"/>
    <w:rsid w:val="1B324E6F"/>
    <w:rsid w:val="1B3EC05D"/>
    <w:rsid w:val="1B423B67"/>
    <w:rsid w:val="1B45D019"/>
    <w:rsid w:val="1B471A07"/>
    <w:rsid w:val="1B4AFA17"/>
    <w:rsid w:val="1B4BA03D"/>
    <w:rsid w:val="1B4C3EC0"/>
    <w:rsid w:val="1B4D3C8F"/>
    <w:rsid w:val="1B4FE7D4"/>
    <w:rsid w:val="1B50A7B2"/>
    <w:rsid w:val="1B56F7EF"/>
    <w:rsid w:val="1B687586"/>
    <w:rsid w:val="1B6DB827"/>
    <w:rsid w:val="1B6EBA13"/>
    <w:rsid w:val="1B759A06"/>
    <w:rsid w:val="1B78E4D3"/>
    <w:rsid w:val="1B7DC113"/>
    <w:rsid w:val="1B7E63AE"/>
    <w:rsid w:val="1B7FB3CA"/>
    <w:rsid w:val="1B92CAA8"/>
    <w:rsid w:val="1B968D79"/>
    <w:rsid w:val="1BA878EF"/>
    <w:rsid w:val="1BA89F40"/>
    <w:rsid w:val="1BAAAABB"/>
    <w:rsid w:val="1BB10169"/>
    <w:rsid w:val="1BB490B1"/>
    <w:rsid w:val="1BB4D557"/>
    <w:rsid w:val="1BBD746C"/>
    <w:rsid w:val="1BBDF751"/>
    <w:rsid w:val="1BBF3BDF"/>
    <w:rsid w:val="1BBFBFE2"/>
    <w:rsid w:val="1BC49BE3"/>
    <w:rsid w:val="1BC62952"/>
    <w:rsid w:val="1BC7D2B0"/>
    <w:rsid w:val="1BCA3B38"/>
    <w:rsid w:val="1BCBDC17"/>
    <w:rsid w:val="1BCC74A8"/>
    <w:rsid w:val="1BCD9188"/>
    <w:rsid w:val="1BD044AA"/>
    <w:rsid w:val="1BD417E1"/>
    <w:rsid w:val="1BDAEC90"/>
    <w:rsid w:val="1BE16A5D"/>
    <w:rsid w:val="1BEC2E6C"/>
    <w:rsid w:val="1BF0A361"/>
    <w:rsid w:val="1BFA3E65"/>
    <w:rsid w:val="1BFFA43E"/>
    <w:rsid w:val="1C0042CB"/>
    <w:rsid w:val="1C05C437"/>
    <w:rsid w:val="1C124D51"/>
    <w:rsid w:val="1C19A4F5"/>
    <w:rsid w:val="1C1EF9DC"/>
    <w:rsid w:val="1C2467FC"/>
    <w:rsid w:val="1C27DD35"/>
    <w:rsid w:val="1C3F3DD6"/>
    <w:rsid w:val="1C52673C"/>
    <w:rsid w:val="1C583AAE"/>
    <w:rsid w:val="1C6ED500"/>
    <w:rsid w:val="1C745B57"/>
    <w:rsid w:val="1C77FBAA"/>
    <w:rsid w:val="1C7ADEAF"/>
    <w:rsid w:val="1C8B1740"/>
    <w:rsid w:val="1C8E475F"/>
    <w:rsid w:val="1C900749"/>
    <w:rsid w:val="1C9359C2"/>
    <w:rsid w:val="1C977D5A"/>
    <w:rsid w:val="1CA0DEE7"/>
    <w:rsid w:val="1CAB218C"/>
    <w:rsid w:val="1CBEE15B"/>
    <w:rsid w:val="1CC317FD"/>
    <w:rsid w:val="1CDF4326"/>
    <w:rsid w:val="1CE4D761"/>
    <w:rsid w:val="1CE9214B"/>
    <w:rsid w:val="1CEB073E"/>
    <w:rsid w:val="1CEC0335"/>
    <w:rsid w:val="1CFBF049"/>
    <w:rsid w:val="1D0C32A3"/>
    <w:rsid w:val="1D115F60"/>
    <w:rsid w:val="1D13B7B4"/>
    <w:rsid w:val="1D1AA9E1"/>
    <w:rsid w:val="1D1CEE19"/>
    <w:rsid w:val="1D211590"/>
    <w:rsid w:val="1D255CE5"/>
    <w:rsid w:val="1D26E3A2"/>
    <w:rsid w:val="1D2AE08A"/>
    <w:rsid w:val="1D406B1F"/>
    <w:rsid w:val="1D49BE6F"/>
    <w:rsid w:val="1D49E17A"/>
    <w:rsid w:val="1D4BE9AD"/>
    <w:rsid w:val="1D5C22E4"/>
    <w:rsid w:val="1D5CC85E"/>
    <w:rsid w:val="1D5F307B"/>
    <w:rsid w:val="1D5FA894"/>
    <w:rsid w:val="1D6F56E8"/>
    <w:rsid w:val="1D782E7D"/>
    <w:rsid w:val="1D7A805D"/>
    <w:rsid w:val="1D7BA4AD"/>
    <w:rsid w:val="1D7F7144"/>
    <w:rsid w:val="1D8C008E"/>
    <w:rsid w:val="1D9480F3"/>
    <w:rsid w:val="1D9F1B12"/>
    <w:rsid w:val="1DA0B183"/>
    <w:rsid w:val="1DA34EEA"/>
    <w:rsid w:val="1DA80B77"/>
    <w:rsid w:val="1DB2531F"/>
    <w:rsid w:val="1DB8055F"/>
    <w:rsid w:val="1DBC4F9A"/>
    <w:rsid w:val="1DC19002"/>
    <w:rsid w:val="1DC41685"/>
    <w:rsid w:val="1DCC8661"/>
    <w:rsid w:val="1DCCB2D9"/>
    <w:rsid w:val="1DCF958F"/>
    <w:rsid w:val="1DD55CC7"/>
    <w:rsid w:val="1DE15ECC"/>
    <w:rsid w:val="1DF30424"/>
    <w:rsid w:val="1DF9D5FD"/>
    <w:rsid w:val="1DFF36D9"/>
    <w:rsid w:val="1E02106F"/>
    <w:rsid w:val="1E1FFBB8"/>
    <w:rsid w:val="1E264D3D"/>
    <w:rsid w:val="1E32F6DC"/>
    <w:rsid w:val="1E33BF61"/>
    <w:rsid w:val="1E37598F"/>
    <w:rsid w:val="1E3767FB"/>
    <w:rsid w:val="1E39FEA6"/>
    <w:rsid w:val="1E3B8C18"/>
    <w:rsid w:val="1E427494"/>
    <w:rsid w:val="1E4488CF"/>
    <w:rsid w:val="1E49E5F2"/>
    <w:rsid w:val="1E4D3276"/>
    <w:rsid w:val="1E4D3F45"/>
    <w:rsid w:val="1E4DD6A7"/>
    <w:rsid w:val="1E58DB36"/>
    <w:rsid w:val="1E59B2F5"/>
    <w:rsid w:val="1E5BC04A"/>
    <w:rsid w:val="1E6586D3"/>
    <w:rsid w:val="1E72A791"/>
    <w:rsid w:val="1E79FCD1"/>
    <w:rsid w:val="1E8D077C"/>
    <w:rsid w:val="1E903D81"/>
    <w:rsid w:val="1E98C6C1"/>
    <w:rsid w:val="1EA0851A"/>
    <w:rsid w:val="1EA24C93"/>
    <w:rsid w:val="1EA3D799"/>
    <w:rsid w:val="1EA86635"/>
    <w:rsid w:val="1EA903BC"/>
    <w:rsid w:val="1EAC1129"/>
    <w:rsid w:val="1EB5EABA"/>
    <w:rsid w:val="1EB66EF6"/>
    <w:rsid w:val="1EBC4733"/>
    <w:rsid w:val="1EC7035F"/>
    <w:rsid w:val="1EC7A817"/>
    <w:rsid w:val="1ECBC65D"/>
    <w:rsid w:val="1ECBED17"/>
    <w:rsid w:val="1ECDEAF3"/>
    <w:rsid w:val="1EDFE971"/>
    <w:rsid w:val="1EE7D526"/>
    <w:rsid w:val="1EE8597A"/>
    <w:rsid w:val="1EF14387"/>
    <w:rsid w:val="1EF69DE7"/>
    <w:rsid w:val="1EFF8B47"/>
    <w:rsid w:val="1EFFEC8B"/>
    <w:rsid w:val="1F086EBA"/>
    <w:rsid w:val="1F0F40EE"/>
    <w:rsid w:val="1F105830"/>
    <w:rsid w:val="1F11ABD9"/>
    <w:rsid w:val="1F157365"/>
    <w:rsid w:val="1F172955"/>
    <w:rsid w:val="1F1CBE29"/>
    <w:rsid w:val="1F1E8BFD"/>
    <w:rsid w:val="1F264BAC"/>
    <w:rsid w:val="1F264C46"/>
    <w:rsid w:val="1F290AEA"/>
    <w:rsid w:val="1F2B609E"/>
    <w:rsid w:val="1F46340D"/>
    <w:rsid w:val="1F56A999"/>
    <w:rsid w:val="1F591956"/>
    <w:rsid w:val="1F5BD43E"/>
    <w:rsid w:val="1F73198B"/>
    <w:rsid w:val="1F743FB8"/>
    <w:rsid w:val="1F79813B"/>
    <w:rsid w:val="1F8770F0"/>
    <w:rsid w:val="1F88480C"/>
    <w:rsid w:val="1F924B10"/>
    <w:rsid w:val="1F95B714"/>
    <w:rsid w:val="1F9ED886"/>
    <w:rsid w:val="1FA44FDE"/>
    <w:rsid w:val="1FA7F188"/>
    <w:rsid w:val="1FADB619"/>
    <w:rsid w:val="1FB573F1"/>
    <w:rsid w:val="1FC2BCA4"/>
    <w:rsid w:val="1FC97182"/>
    <w:rsid w:val="1FCA8103"/>
    <w:rsid w:val="1FD167DF"/>
    <w:rsid w:val="1FDAE608"/>
    <w:rsid w:val="1FDBCF69"/>
    <w:rsid w:val="1FED9C82"/>
    <w:rsid w:val="1FEE3518"/>
    <w:rsid w:val="1FF08FFD"/>
    <w:rsid w:val="1FF4A0DC"/>
    <w:rsid w:val="1FFC449A"/>
    <w:rsid w:val="1FFF1F1C"/>
    <w:rsid w:val="200502F6"/>
    <w:rsid w:val="20064537"/>
    <w:rsid w:val="2015DCD2"/>
    <w:rsid w:val="2015E2AF"/>
    <w:rsid w:val="201A0F5E"/>
    <w:rsid w:val="201B8C4A"/>
    <w:rsid w:val="201CE302"/>
    <w:rsid w:val="20201699"/>
    <w:rsid w:val="20246A36"/>
    <w:rsid w:val="202BF027"/>
    <w:rsid w:val="2033AD14"/>
    <w:rsid w:val="2037FE3A"/>
    <w:rsid w:val="20496BE8"/>
    <w:rsid w:val="204CCCCE"/>
    <w:rsid w:val="204E211A"/>
    <w:rsid w:val="20599AEA"/>
    <w:rsid w:val="2069ADD8"/>
    <w:rsid w:val="206A165A"/>
    <w:rsid w:val="207BC4C6"/>
    <w:rsid w:val="20841958"/>
    <w:rsid w:val="208A2262"/>
    <w:rsid w:val="20932440"/>
    <w:rsid w:val="20999F31"/>
    <w:rsid w:val="20A457BD"/>
    <w:rsid w:val="20A50E53"/>
    <w:rsid w:val="20A62BC5"/>
    <w:rsid w:val="20A91684"/>
    <w:rsid w:val="20AD4752"/>
    <w:rsid w:val="20B6D710"/>
    <w:rsid w:val="20BE7F4D"/>
    <w:rsid w:val="20C87D5E"/>
    <w:rsid w:val="20C9C151"/>
    <w:rsid w:val="20CFDC9E"/>
    <w:rsid w:val="20D369F4"/>
    <w:rsid w:val="20D868F3"/>
    <w:rsid w:val="20E0A15B"/>
    <w:rsid w:val="20E8FE31"/>
    <w:rsid w:val="20EB0304"/>
    <w:rsid w:val="20EC0E0C"/>
    <w:rsid w:val="20F12B87"/>
    <w:rsid w:val="21000DBB"/>
    <w:rsid w:val="21015892"/>
    <w:rsid w:val="21072CB8"/>
    <w:rsid w:val="210985B4"/>
    <w:rsid w:val="2111A8B7"/>
    <w:rsid w:val="212F56C2"/>
    <w:rsid w:val="2132232E"/>
    <w:rsid w:val="2133232F"/>
    <w:rsid w:val="213DFF68"/>
    <w:rsid w:val="21446414"/>
    <w:rsid w:val="214788FA"/>
    <w:rsid w:val="214FDC17"/>
    <w:rsid w:val="21551EA2"/>
    <w:rsid w:val="215A0890"/>
    <w:rsid w:val="215A35D2"/>
    <w:rsid w:val="2161777B"/>
    <w:rsid w:val="2162C081"/>
    <w:rsid w:val="21630588"/>
    <w:rsid w:val="2183588E"/>
    <w:rsid w:val="2195A580"/>
    <w:rsid w:val="219D69BA"/>
    <w:rsid w:val="219E4824"/>
    <w:rsid w:val="219EA72E"/>
    <w:rsid w:val="219F0771"/>
    <w:rsid w:val="21A06498"/>
    <w:rsid w:val="21AEF75E"/>
    <w:rsid w:val="21B91CEE"/>
    <w:rsid w:val="21BBFF62"/>
    <w:rsid w:val="21C37B10"/>
    <w:rsid w:val="21CB0906"/>
    <w:rsid w:val="21CB1A30"/>
    <w:rsid w:val="21D16BED"/>
    <w:rsid w:val="21EB82BC"/>
    <w:rsid w:val="21ED8499"/>
    <w:rsid w:val="21F6F6F8"/>
    <w:rsid w:val="220EF6A4"/>
    <w:rsid w:val="22152997"/>
    <w:rsid w:val="22163FCB"/>
    <w:rsid w:val="221D91DC"/>
    <w:rsid w:val="222F6F4D"/>
    <w:rsid w:val="223FF64A"/>
    <w:rsid w:val="2248417D"/>
    <w:rsid w:val="22511FBF"/>
    <w:rsid w:val="225CEC6E"/>
    <w:rsid w:val="226ED03F"/>
    <w:rsid w:val="226F9797"/>
    <w:rsid w:val="22711309"/>
    <w:rsid w:val="22758D03"/>
    <w:rsid w:val="2277A76D"/>
    <w:rsid w:val="2277D55C"/>
    <w:rsid w:val="2277DC40"/>
    <w:rsid w:val="227AB380"/>
    <w:rsid w:val="22833F55"/>
    <w:rsid w:val="22843E34"/>
    <w:rsid w:val="229CC1D1"/>
    <w:rsid w:val="229F3746"/>
    <w:rsid w:val="22B137F1"/>
    <w:rsid w:val="22C22054"/>
    <w:rsid w:val="22C53348"/>
    <w:rsid w:val="22C71D92"/>
    <w:rsid w:val="22C954C1"/>
    <w:rsid w:val="22DD2831"/>
    <w:rsid w:val="22DF8972"/>
    <w:rsid w:val="22ED487E"/>
    <w:rsid w:val="22F43D26"/>
    <w:rsid w:val="22FE2B6F"/>
    <w:rsid w:val="22FFF617"/>
    <w:rsid w:val="23020407"/>
    <w:rsid w:val="23056FB6"/>
    <w:rsid w:val="23122876"/>
    <w:rsid w:val="23122CF9"/>
    <w:rsid w:val="231312FA"/>
    <w:rsid w:val="231B068E"/>
    <w:rsid w:val="231D8535"/>
    <w:rsid w:val="232555CC"/>
    <w:rsid w:val="2330ACDA"/>
    <w:rsid w:val="23330B64"/>
    <w:rsid w:val="2333C6F3"/>
    <w:rsid w:val="2335D085"/>
    <w:rsid w:val="2339AADD"/>
    <w:rsid w:val="233E9550"/>
    <w:rsid w:val="236B99C7"/>
    <w:rsid w:val="236BCF7F"/>
    <w:rsid w:val="23734C5D"/>
    <w:rsid w:val="237415D4"/>
    <w:rsid w:val="238154A3"/>
    <w:rsid w:val="238CBE95"/>
    <w:rsid w:val="239039EC"/>
    <w:rsid w:val="23A49EEB"/>
    <w:rsid w:val="23A65A5A"/>
    <w:rsid w:val="23B18CF9"/>
    <w:rsid w:val="23B2533F"/>
    <w:rsid w:val="23C02EF7"/>
    <w:rsid w:val="23CDF5D0"/>
    <w:rsid w:val="23D0CC5F"/>
    <w:rsid w:val="23D5A7C8"/>
    <w:rsid w:val="23DC16DE"/>
    <w:rsid w:val="23E0A4AE"/>
    <w:rsid w:val="23E13D16"/>
    <w:rsid w:val="23E14B56"/>
    <w:rsid w:val="23E4619B"/>
    <w:rsid w:val="23E63BF5"/>
    <w:rsid w:val="23F55076"/>
    <w:rsid w:val="23FA7E2D"/>
    <w:rsid w:val="24051BE7"/>
    <w:rsid w:val="2405D935"/>
    <w:rsid w:val="24087886"/>
    <w:rsid w:val="24116836"/>
    <w:rsid w:val="24139CCC"/>
    <w:rsid w:val="241B3254"/>
    <w:rsid w:val="2426DAC1"/>
    <w:rsid w:val="24308A72"/>
    <w:rsid w:val="24318BB1"/>
    <w:rsid w:val="243844D1"/>
    <w:rsid w:val="2440317E"/>
    <w:rsid w:val="244D1730"/>
    <w:rsid w:val="2452B0BE"/>
    <w:rsid w:val="24570257"/>
    <w:rsid w:val="246833A1"/>
    <w:rsid w:val="246CA7C7"/>
    <w:rsid w:val="247BA5BD"/>
    <w:rsid w:val="247D5849"/>
    <w:rsid w:val="2490714A"/>
    <w:rsid w:val="2491A7C0"/>
    <w:rsid w:val="249A41C0"/>
    <w:rsid w:val="249C1DB1"/>
    <w:rsid w:val="249EB22D"/>
    <w:rsid w:val="249FB142"/>
    <w:rsid w:val="24A0F78D"/>
    <w:rsid w:val="24A8B463"/>
    <w:rsid w:val="24AC04FA"/>
    <w:rsid w:val="24B1263E"/>
    <w:rsid w:val="24C284BE"/>
    <w:rsid w:val="24CB3424"/>
    <w:rsid w:val="24CBC678"/>
    <w:rsid w:val="24DB3B6E"/>
    <w:rsid w:val="24DC456A"/>
    <w:rsid w:val="24DEAF1D"/>
    <w:rsid w:val="24E5C3D1"/>
    <w:rsid w:val="24F601F6"/>
    <w:rsid w:val="24F6AE30"/>
    <w:rsid w:val="24FE16E9"/>
    <w:rsid w:val="2500E957"/>
    <w:rsid w:val="2504F91C"/>
    <w:rsid w:val="250A98E9"/>
    <w:rsid w:val="251056EC"/>
    <w:rsid w:val="251AF4E7"/>
    <w:rsid w:val="251B8F43"/>
    <w:rsid w:val="25249A1B"/>
    <w:rsid w:val="2527D728"/>
    <w:rsid w:val="25360460"/>
    <w:rsid w:val="2549FEF9"/>
    <w:rsid w:val="2556257D"/>
    <w:rsid w:val="25574279"/>
    <w:rsid w:val="255CC86F"/>
    <w:rsid w:val="25620A3C"/>
    <w:rsid w:val="256B4E85"/>
    <w:rsid w:val="256CD974"/>
    <w:rsid w:val="25733367"/>
    <w:rsid w:val="25747BA6"/>
    <w:rsid w:val="25753C49"/>
    <w:rsid w:val="2576B949"/>
    <w:rsid w:val="257B98A0"/>
    <w:rsid w:val="257F6128"/>
    <w:rsid w:val="25831B32"/>
    <w:rsid w:val="258321C0"/>
    <w:rsid w:val="25880958"/>
    <w:rsid w:val="258B7432"/>
    <w:rsid w:val="258F67FA"/>
    <w:rsid w:val="2590828E"/>
    <w:rsid w:val="25926014"/>
    <w:rsid w:val="25939EAA"/>
    <w:rsid w:val="2593CE56"/>
    <w:rsid w:val="25A0648B"/>
    <w:rsid w:val="25A12242"/>
    <w:rsid w:val="25B588AF"/>
    <w:rsid w:val="25BF6EE4"/>
    <w:rsid w:val="25CBA094"/>
    <w:rsid w:val="25D0FD10"/>
    <w:rsid w:val="25D7D5C2"/>
    <w:rsid w:val="25E03BE2"/>
    <w:rsid w:val="25E286B9"/>
    <w:rsid w:val="25EF0AA5"/>
    <w:rsid w:val="25F59D74"/>
    <w:rsid w:val="25FBF07D"/>
    <w:rsid w:val="25FFF6DF"/>
    <w:rsid w:val="260B010E"/>
    <w:rsid w:val="2612BA38"/>
    <w:rsid w:val="2616B8C6"/>
    <w:rsid w:val="2618D6D4"/>
    <w:rsid w:val="261CF80C"/>
    <w:rsid w:val="26286CA6"/>
    <w:rsid w:val="262A5BA7"/>
    <w:rsid w:val="26508962"/>
    <w:rsid w:val="265422B9"/>
    <w:rsid w:val="2662F484"/>
    <w:rsid w:val="266A4565"/>
    <w:rsid w:val="266BAB92"/>
    <w:rsid w:val="26701D3E"/>
    <w:rsid w:val="267124D7"/>
    <w:rsid w:val="2672190C"/>
    <w:rsid w:val="2673AFBA"/>
    <w:rsid w:val="2677C091"/>
    <w:rsid w:val="26797AD5"/>
    <w:rsid w:val="267FCF19"/>
    <w:rsid w:val="2683F8B7"/>
    <w:rsid w:val="268D1AA0"/>
    <w:rsid w:val="268E2310"/>
    <w:rsid w:val="268EE8FC"/>
    <w:rsid w:val="268F8D5C"/>
    <w:rsid w:val="26964F36"/>
    <w:rsid w:val="269EAE93"/>
    <w:rsid w:val="26A55881"/>
    <w:rsid w:val="26B0B745"/>
    <w:rsid w:val="26B1F680"/>
    <w:rsid w:val="26B5BEA4"/>
    <w:rsid w:val="26C0913E"/>
    <w:rsid w:val="26C51DB8"/>
    <w:rsid w:val="26C5A8F5"/>
    <w:rsid w:val="26C95259"/>
    <w:rsid w:val="26CB3EE7"/>
    <w:rsid w:val="26D4E7ED"/>
    <w:rsid w:val="26DC2539"/>
    <w:rsid w:val="26E62B19"/>
    <w:rsid w:val="26ECD5EF"/>
    <w:rsid w:val="26FC3451"/>
    <w:rsid w:val="270248C0"/>
    <w:rsid w:val="2703D097"/>
    <w:rsid w:val="270871DB"/>
    <w:rsid w:val="270B4EE0"/>
    <w:rsid w:val="270FF58C"/>
    <w:rsid w:val="271E6E2E"/>
    <w:rsid w:val="272132BD"/>
    <w:rsid w:val="2734DD78"/>
    <w:rsid w:val="273D18B5"/>
    <w:rsid w:val="273DD768"/>
    <w:rsid w:val="273F9159"/>
    <w:rsid w:val="27441298"/>
    <w:rsid w:val="27459ABD"/>
    <w:rsid w:val="274A0218"/>
    <w:rsid w:val="275618CA"/>
    <w:rsid w:val="275AE8DB"/>
    <w:rsid w:val="275B6B74"/>
    <w:rsid w:val="275CFAC5"/>
    <w:rsid w:val="275DF8EA"/>
    <w:rsid w:val="2764762A"/>
    <w:rsid w:val="278296D0"/>
    <w:rsid w:val="278983A2"/>
    <w:rsid w:val="27944B38"/>
    <w:rsid w:val="27977C16"/>
    <w:rsid w:val="2799613E"/>
    <w:rsid w:val="27A2C48A"/>
    <w:rsid w:val="27A37F8E"/>
    <w:rsid w:val="27A785E1"/>
    <w:rsid w:val="27B0C5CA"/>
    <w:rsid w:val="27B54475"/>
    <w:rsid w:val="27B62BDB"/>
    <w:rsid w:val="27BD298E"/>
    <w:rsid w:val="27C03C1A"/>
    <w:rsid w:val="27C43113"/>
    <w:rsid w:val="27D5AA25"/>
    <w:rsid w:val="27DAD98B"/>
    <w:rsid w:val="27E76078"/>
    <w:rsid w:val="27EA14FC"/>
    <w:rsid w:val="27F19BB7"/>
    <w:rsid w:val="27FCF64D"/>
    <w:rsid w:val="281AA9EF"/>
    <w:rsid w:val="282221B5"/>
    <w:rsid w:val="2827B9D3"/>
    <w:rsid w:val="282D2B81"/>
    <w:rsid w:val="28333337"/>
    <w:rsid w:val="28409001"/>
    <w:rsid w:val="284CD4F1"/>
    <w:rsid w:val="28566D0F"/>
    <w:rsid w:val="286767D6"/>
    <w:rsid w:val="286B72F2"/>
    <w:rsid w:val="286C23D4"/>
    <w:rsid w:val="287FDA48"/>
    <w:rsid w:val="2882C12A"/>
    <w:rsid w:val="2882FBD8"/>
    <w:rsid w:val="288798DD"/>
    <w:rsid w:val="2888AB6B"/>
    <w:rsid w:val="28896DAF"/>
    <w:rsid w:val="288B7941"/>
    <w:rsid w:val="288C0527"/>
    <w:rsid w:val="2894BE12"/>
    <w:rsid w:val="2899159F"/>
    <w:rsid w:val="28A892C1"/>
    <w:rsid w:val="28ACDB51"/>
    <w:rsid w:val="28B26174"/>
    <w:rsid w:val="28BB1454"/>
    <w:rsid w:val="28C20A95"/>
    <w:rsid w:val="28C5B751"/>
    <w:rsid w:val="28C9FEE8"/>
    <w:rsid w:val="28D51BF7"/>
    <w:rsid w:val="28D652A3"/>
    <w:rsid w:val="28D8C25B"/>
    <w:rsid w:val="28DA9848"/>
    <w:rsid w:val="28DFCE03"/>
    <w:rsid w:val="28E46C31"/>
    <w:rsid w:val="28E94BA6"/>
    <w:rsid w:val="28ED35B2"/>
    <w:rsid w:val="28F137BC"/>
    <w:rsid w:val="28F461E3"/>
    <w:rsid w:val="28FD34D3"/>
    <w:rsid w:val="28FDAD9C"/>
    <w:rsid w:val="28FDC40F"/>
    <w:rsid w:val="28FF8F68"/>
    <w:rsid w:val="29075DCB"/>
    <w:rsid w:val="2907DCF7"/>
    <w:rsid w:val="29305808"/>
    <w:rsid w:val="293481D9"/>
    <w:rsid w:val="293588F3"/>
    <w:rsid w:val="293685EE"/>
    <w:rsid w:val="2948AED5"/>
    <w:rsid w:val="294D72C0"/>
    <w:rsid w:val="294FF702"/>
    <w:rsid w:val="295482AC"/>
    <w:rsid w:val="29573425"/>
    <w:rsid w:val="2959CB77"/>
    <w:rsid w:val="2960E8C8"/>
    <w:rsid w:val="29724731"/>
    <w:rsid w:val="2975D2B9"/>
    <w:rsid w:val="297FBE12"/>
    <w:rsid w:val="29801F2A"/>
    <w:rsid w:val="298161C3"/>
    <w:rsid w:val="2986F9DB"/>
    <w:rsid w:val="298C1EB6"/>
    <w:rsid w:val="29985366"/>
    <w:rsid w:val="299AA250"/>
    <w:rsid w:val="299CB75E"/>
    <w:rsid w:val="29A34404"/>
    <w:rsid w:val="29A6F6BB"/>
    <w:rsid w:val="29AE9E5F"/>
    <w:rsid w:val="29B9F89D"/>
    <w:rsid w:val="29BC01C7"/>
    <w:rsid w:val="29C0D122"/>
    <w:rsid w:val="29C381A7"/>
    <w:rsid w:val="29C89967"/>
    <w:rsid w:val="29CDF394"/>
    <w:rsid w:val="29CFCB22"/>
    <w:rsid w:val="29D32A20"/>
    <w:rsid w:val="29D4EECC"/>
    <w:rsid w:val="29D87159"/>
    <w:rsid w:val="29ECF9FC"/>
    <w:rsid w:val="29F23F2F"/>
    <w:rsid w:val="29F639E9"/>
    <w:rsid w:val="29F63C53"/>
    <w:rsid w:val="29F677AA"/>
    <w:rsid w:val="2A012F7C"/>
    <w:rsid w:val="2A053AFA"/>
    <w:rsid w:val="2A05819D"/>
    <w:rsid w:val="2A0A0A96"/>
    <w:rsid w:val="2A137974"/>
    <w:rsid w:val="2A1436D6"/>
    <w:rsid w:val="2A17ACE0"/>
    <w:rsid w:val="2A1E61F8"/>
    <w:rsid w:val="2A266B05"/>
    <w:rsid w:val="2A35723C"/>
    <w:rsid w:val="2A37EF77"/>
    <w:rsid w:val="2A46A1EA"/>
    <w:rsid w:val="2A4D9DAB"/>
    <w:rsid w:val="2A4FF74F"/>
    <w:rsid w:val="2A55439B"/>
    <w:rsid w:val="2A5D9221"/>
    <w:rsid w:val="2A5E0BA7"/>
    <w:rsid w:val="2A5E9D86"/>
    <w:rsid w:val="2A667115"/>
    <w:rsid w:val="2A681498"/>
    <w:rsid w:val="2A7C75F3"/>
    <w:rsid w:val="2A81A8ED"/>
    <w:rsid w:val="2A8EB5F2"/>
    <w:rsid w:val="2A966478"/>
    <w:rsid w:val="2A9BF613"/>
    <w:rsid w:val="2AA18076"/>
    <w:rsid w:val="2AB8D686"/>
    <w:rsid w:val="2ABBA347"/>
    <w:rsid w:val="2ABC3B60"/>
    <w:rsid w:val="2AC0A3BB"/>
    <w:rsid w:val="2AD1AF0E"/>
    <w:rsid w:val="2AD60962"/>
    <w:rsid w:val="2ADBCE09"/>
    <w:rsid w:val="2ADD0C59"/>
    <w:rsid w:val="2AE4BE06"/>
    <w:rsid w:val="2AEBE3D5"/>
    <w:rsid w:val="2AEFF852"/>
    <w:rsid w:val="2AF0BA42"/>
    <w:rsid w:val="2AF620A1"/>
    <w:rsid w:val="2AFBB435"/>
    <w:rsid w:val="2AFF8307"/>
    <w:rsid w:val="2B05DA31"/>
    <w:rsid w:val="2B076837"/>
    <w:rsid w:val="2B123F22"/>
    <w:rsid w:val="2B15D3E8"/>
    <w:rsid w:val="2B1B0809"/>
    <w:rsid w:val="2B1DF483"/>
    <w:rsid w:val="2B227EFE"/>
    <w:rsid w:val="2B27D66A"/>
    <w:rsid w:val="2B28F851"/>
    <w:rsid w:val="2B2DB0EE"/>
    <w:rsid w:val="2B2E46B2"/>
    <w:rsid w:val="2B2EFC98"/>
    <w:rsid w:val="2B378D56"/>
    <w:rsid w:val="2B422B92"/>
    <w:rsid w:val="2B42B892"/>
    <w:rsid w:val="2B445B0F"/>
    <w:rsid w:val="2B492BEE"/>
    <w:rsid w:val="2B4A1C8A"/>
    <w:rsid w:val="2B52FA40"/>
    <w:rsid w:val="2B58B17C"/>
    <w:rsid w:val="2B65140D"/>
    <w:rsid w:val="2B6BDD3B"/>
    <w:rsid w:val="2B6F3434"/>
    <w:rsid w:val="2B728A18"/>
    <w:rsid w:val="2B83D658"/>
    <w:rsid w:val="2B84A53B"/>
    <w:rsid w:val="2B8E532D"/>
    <w:rsid w:val="2B91BD90"/>
    <w:rsid w:val="2B94BB26"/>
    <w:rsid w:val="2B9FEECC"/>
    <w:rsid w:val="2BB8DD8F"/>
    <w:rsid w:val="2BB9DCEE"/>
    <w:rsid w:val="2BC20478"/>
    <w:rsid w:val="2BC67855"/>
    <w:rsid w:val="2BC98FD2"/>
    <w:rsid w:val="2BD39C48"/>
    <w:rsid w:val="2BDBB7FC"/>
    <w:rsid w:val="2BE18462"/>
    <w:rsid w:val="2BE4E563"/>
    <w:rsid w:val="2BEAE231"/>
    <w:rsid w:val="2BF43A30"/>
    <w:rsid w:val="2BFDB2AA"/>
    <w:rsid w:val="2C01C964"/>
    <w:rsid w:val="2C071B36"/>
    <w:rsid w:val="2C0DF749"/>
    <w:rsid w:val="2C1AEED8"/>
    <w:rsid w:val="2C24EE7A"/>
    <w:rsid w:val="2C2896A6"/>
    <w:rsid w:val="2C296246"/>
    <w:rsid w:val="2C2DF6AD"/>
    <w:rsid w:val="2C3252BE"/>
    <w:rsid w:val="2C38DD50"/>
    <w:rsid w:val="2C4F29DD"/>
    <w:rsid w:val="2C528135"/>
    <w:rsid w:val="2C5B41EE"/>
    <w:rsid w:val="2C5E15F6"/>
    <w:rsid w:val="2C6E40A4"/>
    <w:rsid w:val="2C74BC1C"/>
    <w:rsid w:val="2C78B1A9"/>
    <w:rsid w:val="2C79065E"/>
    <w:rsid w:val="2C833A09"/>
    <w:rsid w:val="2C85A0A5"/>
    <w:rsid w:val="2C863552"/>
    <w:rsid w:val="2C9749A5"/>
    <w:rsid w:val="2C978CAE"/>
    <w:rsid w:val="2C9CA404"/>
    <w:rsid w:val="2C9DDF56"/>
    <w:rsid w:val="2C9FF466"/>
    <w:rsid w:val="2CA0B0C9"/>
    <w:rsid w:val="2CA2DB73"/>
    <w:rsid w:val="2CA6580B"/>
    <w:rsid w:val="2CACDC37"/>
    <w:rsid w:val="2CAEC252"/>
    <w:rsid w:val="2CAFD088"/>
    <w:rsid w:val="2CB0C95A"/>
    <w:rsid w:val="2CB1AC2F"/>
    <w:rsid w:val="2CB28254"/>
    <w:rsid w:val="2CB4E5A6"/>
    <w:rsid w:val="2CB5409A"/>
    <w:rsid w:val="2CCB8C63"/>
    <w:rsid w:val="2CE033AC"/>
    <w:rsid w:val="2CF7C0C5"/>
    <w:rsid w:val="2CFDBA09"/>
    <w:rsid w:val="2D008252"/>
    <w:rsid w:val="2D051D9D"/>
    <w:rsid w:val="2D09A527"/>
    <w:rsid w:val="2D117D76"/>
    <w:rsid w:val="2D185EB1"/>
    <w:rsid w:val="2D188CBB"/>
    <w:rsid w:val="2D18C905"/>
    <w:rsid w:val="2D1A3A50"/>
    <w:rsid w:val="2D1DD780"/>
    <w:rsid w:val="2D268DDD"/>
    <w:rsid w:val="2D2EC6D8"/>
    <w:rsid w:val="2D363302"/>
    <w:rsid w:val="2D36B703"/>
    <w:rsid w:val="2D370345"/>
    <w:rsid w:val="2D3FBC8D"/>
    <w:rsid w:val="2D41A8B8"/>
    <w:rsid w:val="2D465168"/>
    <w:rsid w:val="2D4F2FD8"/>
    <w:rsid w:val="2D557F6F"/>
    <w:rsid w:val="2D634AB6"/>
    <w:rsid w:val="2D65A1A4"/>
    <w:rsid w:val="2D8F30D7"/>
    <w:rsid w:val="2D8F4726"/>
    <w:rsid w:val="2D931F1F"/>
    <w:rsid w:val="2D9647B9"/>
    <w:rsid w:val="2D98BEB0"/>
    <w:rsid w:val="2DA5FD7A"/>
    <w:rsid w:val="2DA90DBE"/>
    <w:rsid w:val="2DB097FC"/>
    <w:rsid w:val="2DB1F16B"/>
    <w:rsid w:val="2DB39DFD"/>
    <w:rsid w:val="2DB537A2"/>
    <w:rsid w:val="2DBB0E2C"/>
    <w:rsid w:val="2DBCD2DC"/>
    <w:rsid w:val="2DCAB83D"/>
    <w:rsid w:val="2DCD80E5"/>
    <w:rsid w:val="2DD87448"/>
    <w:rsid w:val="2DEE8AAB"/>
    <w:rsid w:val="2DEFDD0D"/>
    <w:rsid w:val="2DEFE989"/>
    <w:rsid w:val="2E0072A2"/>
    <w:rsid w:val="2E041E7F"/>
    <w:rsid w:val="2E07BD99"/>
    <w:rsid w:val="2E0A8585"/>
    <w:rsid w:val="2E0AB351"/>
    <w:rsid w:val="2E1252C7"/>
    <w:rsid w:val="2E14AEFF"/>
    <w:rsid w:val="2E163542"/>
    <w:rsid w:val="2E174C7C"/>
    <w:rsid w:val="2E1782FD"/>
    <w:rsid w:val="2E19DB26"/>
    <w:rsid w:val="2E1E151F"/>
    <w:rsid w:val="2E22195E"/>
    <w:rsid w:val="2E318DC3"/>
    <w:rsid w:val="2E398F1A"/>
    <w:rsid w:val="2E4332EC"/>
    <w:rsid w:val="2E44C17C"/>
    <w:rsid w:val="2E45E0FC"/>
    <w:rsid w:val="2E466731"/>
    <w:rsid w:val="2E47101A"/>
    <w:rsid w:val="2E4847C1"/>
    <w:rsid w:val="2E5DD18D"/>
    <w:rsid w:val="2E60557A"/>
    <w:rsid w:val="2E61BEAD"/>
    <w:rsid w:val="2E628319"/>
    <w:rsid w:val="2E6C4771"/>
    <w:rsid w:val="2E6C6222"/>
    <w:rsid w:val="2E715AB9"/>
    <w:rsid w:val="2E71B935"/>
    <w:rsid w:val="2E883578"/>
    <w:rsid w:val="2E8A239F"/>
    <w:rsid w:val="2E8A3F82"/>
    <w:rsid w:val="2E998AE7"/>
    <w:rsid w:val="2E9E1C50"/>
    <w:rsid w:val="2EB4FD50"/>
    <w:rsid w:val="2EB535B0"/>
    <w:rsid w:val="2EB6B8A3"/>
    <w:rsid w:val="2EC9F2D4"/>
    <w:rsid w:val="2ECB10B7"/>
    <w:rsid w:val="2ED771D2"/>
    <w:rsid w:val="2ED92488"/>
    <w:rsid w:val="2ED96BCD"/>
    <w:rsid w:val="2EE6D136"/>
    <w:rsid w:val="2EEB4F34"/>
    <w:rsid w:val="2EEF03BB"/>
    <w:rsid w:val="2EFC0766"/>
    <w:rsid w:val="2EFCB049"/>
    <w:rsid w:val="2F076B87"/>
    <w:rsid w:val="2F17260F"/>
    <w:rsid w:val="2F176B07"/>
    <w:rsid w:val="2F1F4573"/>
    <w:rsid w:val="2F2D83EA"/>
    <w:rsid w:val="2F31870D"/>
    <w:rsid w:val="2F438D1C"/>
    <w:rsid w:val="2F44F43C"/>
    <w:rsid w:val="2F4A5B2E"/>
    <w:rsid w:val="2F5102AD"/>
    <w:rsid w:val="2F54272B"/>
    <w:rsid w:val="2F59E8FF"/>
    <w:rsid w:val="2F638D31"/>
    <w:rsid w:val="2F68F301"/>
    <w:rsid w:val="2F733B51"/>
    <w:rsid w:val="2F844CA5"/>
    <w:rsid w:val="2F862C6E"/>
    <w:rsid w:val="2F8C6F6C"/>
    <w:rsid w:val="2F8F1D2E"/>
    <w:rsid w:val="2F921D04"/>
    <w:rsid w:val="2FB1E7A6"/>
    <w:rsid w:val="2FB57BA9"/>
    <w:rsid w:val="2FB59A1F"/>
    <w:rsid w:val="2FC45F55"/>
    <w:rsid w:val="2FCCB2EE"/>
    <w:rsid w:val="2FCFE1FB"/>
    <w:rsid w:val="2FD6304F"/>
    <w:rsid w:val="2FDB02C3"/>
    <w:rsid w:val="2FDE7751"/>
    <w:rsid w:val="2FE0740E"/>
    <w:rsid w:val="2FE80E32"/>
    <w:rsid w:val="30163C6A"/>
    <w:rsid w:val="3016ACB1"/>
    <w:rsid w:val="301B128A"/>
    <w:rsid w:val="301F5396"/>
    <w:rsid w:val="302098BB"/>
    <w:rsid w:val="3020C8E6"/>
    <w:rsid w:val="302C8ECB"/>
    <w:rsid w:val="30394DB0"/>
    <w:rsid w:val="303A6A08"/>
    <w:rsid w:val="304724E0"/>
    <w:rsid w:val="30483415"/>
    <w:rsid w:val="3051E58B"/>
    <w:rsid w:val="3051EF02"/>
    <w:rsid w:val="30585BA7"/>
    <w:rsid w:val="3058F09D"/>
    <w:rsid w:val="30662E18"/>
    <w:rsid w:val="30705A15"/>
    <w:rsid w:val="3077D8CA"/>
    <w:rsid w:val="307DF453"/>
    <w:rsid w:val="30891A0C"/>
    <w:rsid w:val="309CF199"/>
    <w:rsid w:val="309F8ECC"/>
    <w:rsid w:val="30A3AA8D"/>
    <w:rsid w:val="30A99B1C"/>
    <w:rsid w:val="30AA2EC4"/>
    <w:rsid w:val="30AA4909"/>
    <w:rsid w:val="30AEA03D"/>
    <w:rsid w:val="30B865D7"/>
    <w:rsid w:val="30CBBA30"/>
    <w:rsid w:val="30D2A7FA"/>
    <w:rsid w:val="30DA3564"/>
    <w:rsid w:val="30DA3836"/>
    <w:rsid w:val="30DAC286"/>
    <w:rsid w:val="30E59941"/>
    <w:rsid w:val="30E8F332"/>
    <w:rsid w:val="30F3E658"/>
    <w:rsid w:val="30F58CF3"/>
    <w:rsid w:val="3101C34B"/>
    <w:rsid w:val="31043AF6"/>
    <w:rsid w:val="310E6408"/>
    <w:rsid w:val="31181F01"/>
    <w:rsid w:val="311FBB37"/>
    <w:rsid w:val="31355B3F"/>
    <w:rsid w:val="31379B51"/>
    <w:rsid w:val="31389641"/>
    <w:rsid w:val="314167F3"/>
    <w:rsid w:val="314C03DE"/>
    <w:rsid w:val="314F1FB7"/>
    <w:rsid w:val="31517E33"/>
    <w:rsid w:val="31530A82"/>
    <w:rsid w:val="315C5FEC"/>
    <w:rsid w:val="316466A8"/>
    <w:rsid w:val="3168B610"/>
    <w:rsid w:val="316A5E02"/>
    <w:rsid w:val="31790307"/>
    <w:rsid w:val="317CC2B2"/>
    <w:rsid w:val="3184EF8E"/>
    <w:rsid w:val="3189E99E"/>
    <w:rsid w:val="318D91F5"/>
    <w:rsid w:val="3197259A"/>
    <w:rsid w:val="31A0B0B4"/>
    <w:rsid w:val="31A1DDB7"/>
    <w:rsid w:val="31A3930B"/>
    <w:rsid w:val="31A3B7DD"/>
    <w:rsid w:val="31A77358"/>
    <w:rsid w:val="31CAC230"/>
    <w:rsid w:val="31CBBA3C"/>
    <w:rsid w:val="31CD334C"/>
    <w:rsid w:val="31CE9EE9"/>
    <w:rsid w:val="31F3A05C"/>
    <w:rsid w:val="31FD0206"/>
    <w:rsid w:val="320E75E7"/>
    <w:rsid w:val="320EEBBB"/>
    <w:rsid w:val="3215658A"/>
    <w:rsid w:val="32212271"/>
    <w:rsid w:val="32223121"/>
    <w:rsid w:val="32299FC6"/>
    <w:rsid w:val="322B8DF5"/>
    <w:rsid w:val="322EBE20"/>
    <w:rsid w:val="3232B74B"/>
    <w:rsid w:val="3236CD4E"/>
    <w:rsid w:val="3237E56A"/>
    <w:rsid w:val="324E6E9C"/>
    <w:rsid w:val="324E9801"/>
    <w:rsid w:val="3253292A"/>
    <w:rsid w:val="325779D5"/>
    <w:rsid w:val="325C0880"/>
    <w:rsid w:val="325CC8DA"/>
    <w:rsid w:val="32677437"/>
    <w:rsid w:val="3275EB37"/>
    <w:rsid w:val="327893DF"/>
    <w:rsid w:val="327A0612"/>
    <w:rsid w:val="327E96AD"/>
    <w:rsid w:val="32827A48"/>
    <w:rsid w:val="328CB0B0"/>
    <w:rsid w:val="329439E1"/>
    <w:rsid w:val="329451E0"/>
    <w:rsid w:val="329E45A7"/>
    <w:rsid w:val="32A28D71"/>
    <w:rsid w:val="32A3334C"/>
    <w:rsid w:val="32A591D9"/>
    <w:rsid w:val="32A6E3A6"/>
    <w:rsid w:val="32A8EB1E"/>
    <w:rsid w:val="32AA59A0"/>
    <w:rsid w:val="32ABFD3C"/>
    <w:rsid w:val="32B070F1"/>
    <w:rsid w:val="32B127F9"/>
    <w:rsid w:val="32B34F44"/>
    <w:rsid w:val="32B6006C"/>
    <w:rsid w:val="32C60E4F"/>
    <w:rsid w:val="32CE130B"/>
    <w:rsid w:val="32D3E749"/>
    <w:rsid w:val="32DA4D8B"/>
    <w:rsid w:val="32F037C1"/>
    <w:rsid w:val="32F7B175"/>
    <w:rsid w:val="32F90220"/>
    <w:rsid w:val="32FB1711"/>
    <w:rsid w:val="3300AB31"/>
    <w:rsid w:val="3301A216"/>
    <w:rsid w:val="33067D04"/>
    <w:rsid w:val="33133DC3"/>
    <w:rsid w:val="331F3A34"/>
    <w:rsid w:val="333DC1F7"/>
    <w:rsid w:val="33420BCD"/>
    <w:rsid w:val="334D3675"/>
    <w:rsid w:val="3354C029"/>
    <w:rsid w:val="3356A998"/>
    <w:rsid w:val="33629F8C"/>
    <w:rsid w:val="33663EF1"/>
    <w:rsid w:val="33681F9F"/>
    <w:rsid w:val="336B1EE4"/>
    <w:rsid w:val="33727B5A"/>
    <w:rsid w:val="33737CD8"/>
    <w:rsid w:val="3376BC78"/>
    <w:rsid w:val="3377C829"/>
    <w:rsid w:val="337F4D65"/>
    <w:rsid w:val="3384B4A4"/>
    <w:rsid w:val="33859E0F"/>
    <w:rsid w:val="3389E1B8"/>
    <w:rsid w:val="338A6264"/>
    <w:rsid w:val="338D8F14"/>
    <w:rsid w:val="339708DA"/>
    <w:rsid w:val="33A4C3BA"/>
    <w:rsid w:val="33AC682E"/>
    <w:rsid w:val="33AE54B0"/>
    <w:rsid w:val="33B031C6"/>
    <w:rsid w:val="33B9C7D0"/>
    <w:rsid w:val="33BBF13C"/>
    <w:rsid w:val="33BD1599"/>
    <w:rsid w:val="33BDD77B"/>
    <w:rsid w:val="33C11826"/>
    <w:rsid w:val="33C1B090"/>
    <w:rsid w:val="33CBDC7E"/>
    <w:rsid w:val="33CC6FEA"/>
    <w:rsid w:val="33D2A318"/>
    <w:rsid w:val="33D47B36"/>
    <w:rsid w:val="33D79FC7"/>
    <w:rsid w:val="33DAF520"/>
    <w:rsid w:val="33E64B2F"/>
    <w:rsid w:val="33EB3C1E"/>
    <w:rsid w:val="33F2F9ED"/>
    <w:rsid w:val="33F3B5F1"/>
    <w:rsid w:val="33F49925"/>
    <w:rsid w:val="33F593A9"/>
    <w:rsid w:val="33FE3C21"/>
    <w:rsid w:val="3400F1C3"/>
    <w:rsid w:val="340288CA"/>
    <w:rsid w:val="34061D18"/>
    <w:rsid w:val="34272CF5"/>
    <w:rsid w:val="342EBEEC"/>
    <w:rsid w:val="342FE097"/>
    <w:rsid w:val="343437E7"/>
    <w:rsid w:val="3437E658"/>
    <w:rsid w:val="34535FA7"/>
    <w:rsid w:val="34552C5A"/>
    <w:rsid w:val="345B47AE"/>
    <w:rsid w:val="345BF749"/>
    <w:rsid w:val="3464F47B"/>
    <w:rsid w:val="34706627"/>
    <w:rsid w:val="347D85FC"/>
    <w:rsid w:val="34841387"/>
    <w:rsid w:val="348F0162"/>
    <w:rsid w:val="3491BAB5"/>
    <w:rsid w:val="3494080D"/>
    <w:rsid w:val="3495D2E5"/>
    <w:rsid w:val="349B1A72"/>
    <w:rsid w:val="349DD4CF"/>
    <w:rsid w:val="349FBCB2"/>
    <w:rsid w:val="34A50700"/>
    <w:rsid w:val="34AEE39E"/>
    <w:rsid w:val="34B1652C"/>
    <w:rsid w:val="34C1A628"/>
    <w:rsid w:val="34C2026A"/>
    <w:rsid w:val="34CEAC53"/>
    <w:rsid w:val="34CF5597"/>
    <w:rsid w:val="34D956E8"/>
    <w:rsid w:val="34DA29A7"/>
    <w:rsid w:val="34DCC281"/>
    <w:rsid w:val="34DCEE3E"/>
    <w:rsid w:val="34EF4D5D"/>
    <w:rsid w:val="34F1801C"/>
    <w:rsid w:val="34F35444"/>
    <w:rsid w:val="3503D91E"/>
    <w:rsid w:val="350644C6"/>
    <w:rsid w:val="351008DC"/>
    <w:rsid w:val="351545CD"/>
    <w:rsid w:val="351937A3"/>
    <w:rsid w:val="351A16F8"/>
    <w:rsid w:val="351B8CC6"/>
    <w:rsid w:val="351D00E4"/>
    <w:rsid w:val="352230A4"/>
    <w:rsid w:val="3524C819"/>
    <w:rsid w:val="3534504F"/>
    <w:rsid w:val="3535879E"/>
    <w:rsid w:val="353780A7"/>
    <w:rsid w:val="353C2E61"/>
    <w:rsid w:val="35445033"/>
    <w:rsid w:val="354629E7"/>
    <w:rsid w:val="35520E20"/>
    <w:rsid w:val="3559A8B1"/>
    <w:rsid w:val="356BBC90"/>
    <w:rsid w:val="356E37A0"/>
    <w:rsid w:val="357288E0"/>
    <w:rsid w:val="3572BDB8"/>
    <w:rsid w:val="357B54B5"/>
    <w:rsid w:val="3582E717"/>
    <w:rsid w:val="35831119"/>
    <w:rsid w:val="358B99D6"/>
    <w:rsid w:val="3594C7D0"/>
    <w:rsid w:val="359602B0"/>
    <w:rsid w:val="35A78CB9"/>
    <w:rsid w:val="35B1891E"/>
    <w:rsid w:val="35B30D1E"/>
    <w:rsid w:val="35B6C3F8"/>
    <w:rsid w:val="35BD61BA"/>
    <w:rsid w:val="35BEBFF7"/>
    <w:rsid w:val="35C481AE"/>
    <w:rsid w:val="35C734B9"/>
    <w:rsid w:val="35C9B26B"/>
    <w:rsid w:val="35D0C3A2"/>
    <w:rsid w:val="35DCB355"/>
    <w:rsid w:val="35E84E64"/>
    <w:rsid w:val="35E8F140"/>
    <w:rsid w:val="35F13762"/>
    <w:rsid w:val="35F5BE14"/>
    <w:rsid w:val="3615EDA5"/>
    <w:rsid w:val="361B3633"/>
    <w:rsid w:val="362851DA"/>
    <w:rsid w:val="363057C1"/>
    <w:rsid w:val="363961FA"/>
    <w:rsid w:val="363F00EC"/>
    <w:rsid w:val="3644362D"/>
    <w:rsid w:val="364DCDE3"/>
    <w:rsid w:val="364E057B"/>
    <w:rsid w:val="364F030D"/>
    <w:rsid w:val="3652A796"/>
    <w:rsid w:val="365BC1E3"/>
    <w:rsid w:val="365F0B4C"/>
    <w:rsid w:val="366ED1D4"/>
    <w:rsid w:val="367110F4"/>
    <w:rsid w:val="36865605"/>
    <w:rsid w:val="36939CA9"/>
    <w:rsid w:val="36A7FBE8"/>
    <w:rsid w:val="36ACF4FB"/>
    <w:rsid w:val="36B665AB"/>
    <w:rsid w:val="36BC7E2C"/>
    <w:rsid w:val="36C510FE"/>
    <w:rsid w:val="36CACE69"/>
    <w:rsid w:val="36E2C2BE"/>
    <w:rsid w:val="36E749C6"/>
    <w:rsid w:val="36EC7B99"/>
    <w:rsid w:val="36FF9A59"/>
    <w:rsid w:val="3704458E"/>
    <w:rsid w:val="371303C8"/>
    <w:rsid w:val="3713F315"/>
    <w:rsid w:val="3714BE26"/>
    <w:rsid w:val="371AEC96"/>
    <w:rsid w:val="37268544"/>
    <w:rsid w:val="372687E7"/>
    <w:rsid w:val="372F6785"/>
    <w:rsid w:val="3738FD95"/>
    <w:rsid w:val="373AA53F"/>
    <w:rsid w:val="37435C4C"/>
    <w:rsid w:val="37481FB1"/>
    <w:rsid w:val="37490F97"/>
    <w:rsid w:val="375965E8"/>
    <w:rsid w:val="37598E28"/>
    <w:rsid w:val="3759CB4A"/>
    <w:rsid w:val="375ADD19"/>
    <w:rsid w:val="375F82ED"/>
    <w:rsid w:val="3769F230"/>
    <w:rsid w:val="376F9308"/>
    <w:rsid w:val="37707CC8"/>
    <w:rsid w:val="37741838"/>
    <w:rsid w:val="37749F52"/>
    <w:rsid w:val="377D7E33"/>
    <w:rsid w:val="377E06A4"/>
    <w:rsid w:val="378093B2"/>
    <w:rsid w:val="3784FFEF"/>
    <w:rsid w:val="3785C204"/>
    <w:rsid w:val="37897834"/>
    <w:rsid w:val="378B815D"/>
    <w:rsid w:val="37A21EA1"/>
    <w:rsid w:val="37A2819C"/>
    <w:rsid w:val="37A3BA6B"/>
    <w:rsid w:val="37A6B8A7"/>
    <w:rsid w:val="37B36553"/>
    <w:rsid w:val="37B9F749"/>
    <w:rsid w:val="37BE94DD"/>
    <w:rsid w:val="37C4F34A"/>
    <w:rsid w:val="37C93626"/>
    <w:rsid w:val="37CB5217"/>
    <w:rsid w:val="37D5714F"/>
    <w:rsid w:val="37D68CB2"/>
    <w:rsid w:val="37D80F8C"/>
    <w:rsid w:val="37DCA7F3"/>
    <w:rsid w:val="37EAF6FF"/>
    <w:rsid w:val="37F19FAA"/>
    <w:rsid w:val="37FC281D"/>
    <w:rsid w:val="3808771C"/>
    <w:rsid w:val="380CC043"/>
    <w:rsid w:val="380DF9D7"/>
    <w:rsid w:val="38119CCF"/>
    <w:rsid w:val="38121FAB"/>
    <w:rsid w:val="3814D846"/>
    <w:rsid w:val="38158A97"/>
    <w:rsid w:val="381666B8"/>
    <w:rsid w:val="3817DC0A"/>
    <w:rsid w:val="381C0B31"/>
    <w:rsid w:val="381CD971"/>
    <w:rsid w:val="381EBD22"/>
    <w:rsid w:val="381F337D"/>
    <w:rsid w:val="381FD2E4"/>
    <w:rsid w:val="3822C42D"/>
    <w:rsid w:val="382DE220"/>
    <w:rsid w:val="383037C3"/>
    <w:rsid w:val="38341604"/>
    <w:rsid w:val="383F0480"/>
    <w:rsid w:val="38428D64"/>
    <w:rsid w:val="38467CCD"/>
    <w:rsid w:val="384D0E5E"/>
    <w:rsid w:val="384FED9B"/>
    <w:rsid w:val="3856DE72"/>
    <w:rsid w:val="385AC0C8"/>
    <w:rsid w:val="3862E152"/>
    <w:rsid w:val="3865BD13"/>
    <w:rsid w:val="38779C81"/>
    <w:rsid w:val="38787A4A"/>
    <w:rsid w:val="38843EAA"/>
    <w:rsid w:val="38914913"/>
    <w:rsid w:val="38918231"/>
    <w:rsid w:val="389C617F"/>
    <w:rsid w:val="389F54B0"/>
    <w:rsid w:val="38A40B4D"/>
    <w:rsid w:val="38A99814"/>
    <w:rsid w:val="38ABCC60"/>
    <w:rsid w:val="38AC70D7"/>
    <w:rsid w:val="38AD7DF8"/>
    <w:rsid w:val="38B286FE"/>
    <w:rsid w:val="38BA35D8"/>
    <w:rsid w:val="38BD560F"/>
    <w:rsid w:val="38C35012"/>
    <w:rsid w:val="38C3EED1"/>
    <w:rsid w:val="38C4D680"/>
    <w:rsid w:val="38CB9026"/>
    <w:rsid w:val="38D4E297"/>
    <w:rsid w:val="38D84C28"/>
    <w:rsid w:val="38E528BE"/>
    <w:rsid w:val="38E56729"/>
    <w:rsid w:val="38E5D86C"/>
    <w:rsid w:val="38E7A7CD"/>
    <w:rsid w:val="38EC62B8"/>
    <w:rsid w:val="38F1442E"/>
    <w:rsid w:val="3901613B"/>
    <w:rsid w:val="390ED11A"/>
    <w:rsid w:val="39105415"/>
    <w:rsid w:val="39163067"/>
    <w:rsid w:val="39202BD7"/>
    <w:rsid w:val="39270173"/>
    <w:rsid w:val="39319E98"/>
    <w:rsid w:val="39339EE3"/>
    <w:rsid w:val="3942D4D0"/>
    <w:rsid w:val="394460D2"/>
    <w:rsid w:val="3946A6B7"/>
    <w:rsid w:val="39511BFC"/>
    <w:rsid w:val="3953ED84"/>
    <w:rsid w:val="39554514"/>
    <w:rsid w:val="3965601A"/>
    <w:rsid w:val="396DBCF3"/>
    <w:rsid w:val="396EC747"/>
    <w:rsid w:val="39813EC0"/>
    <w:rsid w:val="3986BA83"/>
    <w:rsid w:val="398DF700"/>
    <w:rsid w:val="3994EE4E"/>
    <w:rsid w:val="399C3567"/>
    <w:rsid w:val="399EC8A3"/>
    <w:rsid w:val="39A06B4C"/>
    <w:rsid w:val="39A448DA"/>
    <w:rsid w:val="39B1B7F3"/>
    <w:rsid w:val="39B81A3A"/>
    <w:rsid w:val="39BC4971"/>
    <w:rsid w:val="39BFF39B"/>
    <w:rsid w:val="39C15C7F"/>
    <w:rsid w:val="39C63248"/>
    <w:rsid w:val="39CF11F8"/>
    <w:rsid w:val="39D23022"/>
    <w:rsid w:val="39DCFF99"/>
    <w:rsid w:val="39DE2567"/>
    <w:rsid w:val="39E0A266"/>
    <w:rsid w:val="39E67258"/>
    <w:rsid w:val="3A01413C"/>
    <w:rsid w:val="3A053511"/>
    <w:rsid w:val="3A15D9C8"/>
    <w:rsid w:val="3A176421"/>
    <w:rsid w:val="3A24D723"/>
    <w:rsid w:val="3A25261A"/>
    <w:rsid w:val="3A2AC451"/>
    <w:rsid w:val="3A2B2479"/>
    <w:rsid w:val="3A377129"/>
    <w:rsid w:val="3A3AC31A"/>
    <w:rsid w:val="3A44E87A"/>
    <w:rsid w:val="3A4DA279"/>
    <w:rsid w:val="3A501FA8"/>
    <w:rsid w:val="3A53FE54"/>
    <w:rsid w:val="3A54D620"/>
    <w:rsid w:val="3A5E3246"/>
    <w:rsid w:val="3A66EAD5"/>
    <w:rsid w:val="3A80DEAC"/>
    <w:rsid w:val="3A8265F6"/>
    <w:rsid w:val="3A8CDC9B"/>
    <w:rsid w:val="3A8EA338"/>
    <w:rsid w:val="3AA5AED7"/>
    <w:rsid w:val="3AA8BF63"/>
    <w:rsid w:val="3AA95EBC"/>
    <w:rsid w:val="3AAF4CFC"/>
    <w:rsid w:val="3AB48405"/>
    <w:rsid w:val="3AB9F9FA"/>
    <w:rsid w:val="3ABDC194"/>
    <w:rsid w:val="3ABF4D95"/>
    <w:rsid w:val="3AC126D6"/>
    <w:rsid w:val="3AC94441"/>
    <w:rsid w:val="3ACA5FF2"/>
    <w:rsid w:val="3ACD6C2C"/>
    <w:rsid w:val="3ACF82F2"/>
    <w:rsid w:val="3AD38176"/>
    <w:rsid w:val="3AD98D7E"/>
    <w:rsid w:val="3ADEC436"/>
    <w:rsid w:val="3AEC337D"/>
    <w:rsid w:val="3AED72A8"/>
    <w:rsid w:val="3AF0696F"/>
    <w:rsid w:val="3B0431AE"/>
    <w:rsid w:val="3B0CE4C9"/>
    <w:rsid w:val="3B0DEDC3"/>
    <w:rsid w:val="3B1096F1"/>
    <w:rsid w:val="3B281B1D"/>
    <w:rsid w:val="3B377F63"/>
    <w:rsid w:val="3B41E78C"/>
    <w:rsid w:val="3B5007A0"/>
    <w:rsid w:val="3B508932"/>
    <w:rsid w:val="3B51C8A4"/>
    <w:rsid w:val="3B524EC5"/>
    <w:rsid w:val="3B5611E6"/>
    <w:rsid w:val="3B56BDA7"/>
    <w:rsid w:val="3B5B1256"/>
    <w:rsid w:val="3B640633"/>
    <w:rsid w:val="3B6505ED"/>
    <w:rsid w:val="3B71BC38"/>
    <w:rsid w:val="3B73AEF1"/>
    <w:rsid w:val="3B75839E"/>
    <w:rsid w:val="3B760B75"/>
    <w:rsid w:val="3B78C543"/>
    <w:rsid w:val="3B7A2B83"/>
    <w:rsid w:val="3B7B75B7"/>
    <w:rsid w:val="3B926222"/>
    <w:rsid w:val="3BA65844"/>
    <w:rsid w:val="3BA83BB2"/>
    <w:rsid w:val="3BA997B7"/>
    <w:rsid w:val="3BB05951"/>
    <w:rsid w:val="3BB8C66D"/>
    <w:rsid w:val="3BC3130E"/>
    <w:rsid w:val="3BC7CAEB"/>
    <w:rsid w:val="3BCAD6E5"/>
    <w:rsid w:val="3BCAE72F"/>
    <w:rsid w:val="3BD1F948"/>
    <w:rsid w:val="3BD950FC"/>
    <w:rsid w:val="3BDB5432"/>
    <w:rsid w:val="3BE2B9DA"/>
    <w:rsid w:val="3BE9E1E1"/>
    <w:rsid w:val="3BF2F2FD"/>
    <w:rsid w:val="3BF3378F"/>
    <w:rsid w:val="3BF3F226"/>
    <w:rsid w:val="3BFE9C57"/>
    <w:rsid w:val="3C0385E6"/>
    <w:rsid w:val="3C0809CC"/>
    <w:rsid w:val="3C09603A"/>
    <w:rsid w:val="3C17FC00"/>
    <w:rsid w:val="3C18F429"/>
    <w:rsid w:val="3C1D5B6D"/>
    <w:rsid w:val="3C229250"/>
    <w:rsid w:val="3C2389E2"/>
    <w:rsid w:val="3C262D9D"/>
    <w:rsid w:val="3C3E6363"/>
    <w:rsid w:val="3C4294BC"/>
    <w:rsid w:val="3C46C6AE"/>
    <w:rsid w:val="3C50B82D"/>
    <w:rsid w:val="3C535A29"/>
    <w:rsid w:val="3C5C47DB"/>
    <w:rsid w:val="3C5D4F20"/>
    <w:rsid w:val="3C5D924C"/>
    <w:rsid w:val="3C63C294"/>
    <w:rsid w:val="3C675817"/>
    <w:rsid w:val="3C693549"/>
    <w:rsid w:val="3C6D74D5"/>
    <w:rsid w:val="3C743FF5"/>
    <w:rsid w:val="3C819B66"/>
    <w:rsid w:val="3C86FC48"/>
    <w:rsid w:val="3C877FE1"/>
    <w:rsid w:val="3C8D0A3E"/>
    <w:rsid w:val="3C8F4312"/>
    <w:rsid w:val="3C92423E"/>
    <w:rsid w:val="3CA1A607"/>
    <w:rsid w:val="3CA9592F"/>
    <w:rsid w:val="3CC0E144"/>
    <w:rsid w:val="3CC4ABBA"/>
    <w:rsid w:val="3CCC371F"/>
    <w:rsid w:val="3CD51558"/>
    <w:rsid w:val="3CD52611"/>
    <w:rsid w:val="3CE0709B"/>
    <w:rsid w:val="3CE42865"/>
    <w:rsid w:val="3CEC3B82"/>
    <w:rsid w:val="3CF45893"/>
    <w:rsid w:val="3D046058"/>
    <w:rsid w:val="3D0FFD7B"/>
    <w:rsid w:val="3D3069F2"/>
    <w:rsid w:val="3D3342CA"/>
    <w:rsid w:val="3D35ED6E"/>
    <w:rsid w:val="3D3BA35E"/>
    <w:rsid w:val="3D481757"/>
    <w:rsid w:val="3D59950A"/>
    <w:rsid w:val="3D5A5B78"/>
    <w:rsid w:val="3D5D8D09"/>
    <w:rsid w:val="3D6A2547"/>
    <w:rsid w:val="3D6B0EE3"/>
    <w:rsid w:val="3D6C35A1"/>
    <w:rsid w:val="3D769D47"/>
    <w:rsid w:val="3D7B81E5"/>
    <w:rsid w:val="3D7CBCD4"/>
    <w:rsid w:val="3D91F0ED"/>
    <w:rsid w:val="3D9451EE"/>
    <w:rsid w:val="3D96A4FA"/>
    <w:rsid w:val="3D9CC2C2"/>
    <w:rsid w:val="3D9EC4E4"/>
    <w:rsid w:val="3DA6A9A6"/>
    <w:rsid w:val="3DC73296"/>
    <w:rsid w:val="3DCBAB32"/>
    <w:rsid w:val="3DCC7FCD"/>
    <w:rsid w:val="3DDFC17A"/>
    <w:rsid w:val="3DEB8600"/>
    <w:rsid w:val="3DEE898A"/>
    <w:rsid w:val="3DF173B4"/>
    <w:rsid w:val="3DF3BF33"/>
    <w:rsid w:val="3DF83115"/>
    <w:rsid w:val="3DF95AC7"/>
    <w:rsid w:val="3E07885D"/>
    <w:rsid w:val="3E0F592F"/>
    <w:rsid w:val="3E1599B7"/>
    <w:rsid w:val="3E19FCC3"/>
    <w:rsid w:val="3E208E24"/>
    <w:rsid w:val="3E2A6459"/>
    <w:rsid w:val="3E2C6927"/>
    <w:rsid w:val="3E3DF332"/>
    <w:rsid w:val="3E41CA6B"/>
    <w:rsid w:val="3E477E21"/>
    <w:rsid w:val="3E4EC370"/>
    <w:rsid w:val="3E4FA27F"/>
    <w:rsid w:val="3E53F587"/>
    <w:rsid w:val="3E5B99F5"/>
    <w:rsid w:val="3E60563F"/>
    <w:rsid w:val="3E7A7E8E"/>
    <w:rsid w:val="3E7D6F42"/>
    <w:rsid w:val="3E8D7E01"/>
    <w:rsid w:val="3E931B28"/>
    <w:rsid w:val="3E9CAF7F"/>
    <w:rsid w:val="3EA3B78F"/>
    <w:rsid w:val="3EAB00D3"/>
    <w:rsid w:val="3EAC6DC0"/>
    <w:rsid w:val="3EADF0AD"/>
    <w:rsid w:val="3EB122DE"/>
    <w:rsid w:val="3EB84FF5"/>
    <w:rsid w:val="3EBADD56"/>
    <w:rsid w:val="3EBCA12F"/>
    <w:rsid w:val="3EC1E1CD"/>
    <w:rsid w:val="3ECB781E"/>
    <w:rsid w:val="3ECE3597"/>
    <w:rsid w:val="3ED73E92"/>
    <w:rsid w:val="3ED80BDD"/>
    <w:rsid w:val="3ED959A9"/>
    <w:rsid w:val="3EE831BA"/>
    <w:rsid w:val="3EE8607E"/>
    <w:rsid w:val="3EEC0FC9"/>
    <w:rsid w:val="3EF113C3"/>
    <w:rsid w:val="3F025A36"/>
    <w:rsid w:val="3F06AC66"/>
    <w:rsid w:val="3F08352E"/>
    <w:rsid w:val="3F09B35A"/>
    <w:rsid w:val="3F1755DF"/>
    <w:rsid w:val="3F19EC11"/>
    <w:rsid w:val="3F25405D"/>
    <w:rsid w:val="3F2E4960"/>
    <w:rsid w:val="3F323206"/>
    <w:rsid w:val="3F36039E"/>
    <w:rsid w:val="3F3CAAD6"/>
    <w:rsid w:val="3F4126DA"/>
    <w:rsid w:val="3F497AF2"/>
    <w:rsid w:val="3F4A70E4"/>
    <w:rsid w:val="3F4BB3E9"/>
    <w:rsid w:val="3F57544D"/>
    <w:rsid w:val="3F5ABCFF"/>
    <w:rsid w:val="3F5F6885"/>
    <w:rsid w:val="3F75B134"/>
    <w:rsid w:val="3F780681"/>
    <w:rsid w:val="3F79C781"/>
    <w:rsid w:val="3F862A5E"/>
    <w:rsid w:val="3F9849A6"/>
    <w:rsid w:val="3F98DEE0"/>
    <w:rsid w:val="3F9ABC2F"/>
    <w:rsid w:val="3FAAA028"/>
    <w:rsid w:val="3FB1F02B"/>
    <w:rsid w:val="3FB5BD6E"/>
    <w:rsid w:val="3FBBFFCB"/>
    <w:rsid w:val="3FBCFF1E"/>
    <w:rsid w:val="3FC8A69B"/>
    <w:rsid w:val="3FD33237"/>
    <w:rsid w:val="3FD75526"/>
    <w:rsid w:val="3FD8C59B"/>
    <w:rsid w:val="3FDC8004"/>
    <w:rsid w:val="3FE27680"/>
    <w:rsid w:val="3FEB1EAD"/>
    <w:rsid w:val="3FF49388"/>
    <w:rsid w:val="3FF583A5"/>
    <w:rsid w:val="400E433F"/>
    <w:rsid w:val="400F840B"/>
    <w:rsid w:val="40123401"/>
    <w:rsid w:val="40151FCC"/>
    <w:rsid w:val="401A23E4"/>
    <w:rsid w:val="4020BE66"/>
    <w:rsid w:val="40237909"/>
    <w:rsid w:val="402CB7F7"/>
    <w:rsid w:val="403729DD"/>
    <w:rsid w:val="4040AB27"/>
    <w:rsid w:val="404388D3"/>
    <w:rsid w:val="40495B1B"/>
    <w:rsid w:val="40559F18"/>
    <w:rsid w:val="4062DB08"/>
    <w:rsid w:val="4063559D"/>
    <w:rsid w:val="40675EB7"/>
    <w:rsid w:val="4068B8BC"/>
    <w:rsid w:val="406C409C"/>
    <w:rsid w:val="4075023D"/>
    <w:rsid w:val="407AC7AE"/>
    <w:rsid w:val="407B0E0A"/>
    <w:rsid w:val="407ED640"/>
    <w:rsid w:val="4085BA09"/>
    <w:rsid w:val="408ACE70"/>
    <w:rsid w:val="4092B2CC"/>
    <w:rsid w:val="40978512"/>
    <w:rsid w:val="409B52C7"/>
    <w:rsid w:val="409BF21C"/>
    <w:rsid w:val="40A10B35"/>
    <w:rsid w:val="40A3A51D"/>
    <w:rsid w:val="40B45729"/>
    <w:rsid w:val="40B655CB"/>
    <w:rsid w:val="40BA454C"/>
    <w:rsid w:val="40CBD694"/>
    <w:rsid w:val="40CC2AA6"/>
    <w:rsid w:val="40CCAEA6"/>
    <w:rsid w:val="40CD310A"/>
    <w:rsid w:val="40CE0771"/>
    <w:rsid w:val="40D61BFC"/>
    <w:rsid w:val="40D7C2F5"/>
    <w:rsid w:val="40E1AFD6"/>
    <w:rsid w:val="40E31A28"/>
    <w:rsid w:val="40E5B04F"/>
    <w:rsid w:val="40EABE6E"/>
    <w:rsid w:val="40F2A543"/>
    <w:rsid w:val="40F51EF7"/>
    <w:rsid w:val="40F66ABC"/>
    <w:rsid w:val="40FA1E69"/>
    <w:rsid w:val="40FB12A2"/>
    <w:rsid w:val="41150A29"/>
    <w:rsid w:val="411AF6DE"/>
    <w:rsid w:val="4120687C"/>
    <w:rsid w:val="4122DC26"/>
    <w:rsid w:val="412463FB"/>
    <w:rsid w:val="4130B6AF"/>
    <w:rsid w:val="4139B503"/>
    <w:rsid w:val="4140781A"/>
    <w:rsid w:val="41412EB0"/>
    <w:rsid w:val="4141E59A"/>
    <w:rsid w:val="41487E46"/>
    <w:rsid w:val="414C646E"/>
    <w:rsid w:val="4154D964"/>
    <w:rsid w:val="415974B6"/>
    <w:rsid w:val="41606110"/>
    <w:rsid w:val="416B229E"/>
    <w:rsid w:val="416D71BD"/>
    <w:rsid w:val="41709DE4"/>
    <w:rsid w:val="41736DA9"/>
    <w:rsid w:val="41768702"/>
    <w:rsid w:val="417A40CC"/>
    <w:rsid w:val="41820EE1"/>
    <w:rsid w:val="4182501C"/>
    <w:rsid w:val="418646DE"/>
    <w:rsid w:val="41866AC7"/>
    <w:rsid w:val="4187B0F7"/>
    <w:rsid w:val="4189AAA0"/>
    <w:rsid w:val="418B669E"/>
    <w:rsid w:val="4190E78E"/>
    <w:rsid w:val="4191AB71"/>
    <w:rsid w:val="41944D1E"/>
    <w:rsid w:val="4195DC09"/>
    <w:rsid w:val="41A19993"/>
    <w:rsid w:val="41A45B01"/>
    <w:rsid w:val="41A765C5"/>
    <w:rsid w:val="41A9759C"/>
    <w:rsid w:val="41B42A0A"/>
    <w:rsid w:val="41C04D1B"/>
    <w:rsid w:val="41C636A4"/>
    <w:rsid w:val="41C82E9D"/>
    <w:rsid w:val="41C91F5C"/>
    <w:rsid w:val="41CC09E0"/>
    <w:rsid w:val="41D0DD62"/>
    <w:rsid w:val="41D6D6E4"/>
    <w:rsid w:val="41D9D35E"/>
    <w:rsid w:val="41DA31A2"/>
    <w:rsid w:val="41E22567"/>
    <w:rsid w:val="41E39308"/>
    <w:rsid w:val="41F76277"/>
    <w:rsid w:val="420009BD"/>
    <w:rsid w:val="4200821D"/>
    <w:rsid w:val="4217A792"/>
    <w:rsid w:val="421A98D8"/>
    <w:rsid w:val="42216ACE"/>
    <w:rsid w:val="4229C009"/>
    <w:rsid w:val="42363ED1"/>
    <w:rsid w:val="423BC144"/>
    <w:rsid w:val="423E2643"/>
    <w:rsid w:val="42431BD1"/>
    <w:rsid w:val="424917BD"/>
    <w:rsid w:val="4249E111"/>
    <w:rsid w:val="424C0373"/>
    <w:rsid w:val="4254974E"/>
    <w:rsid w:val="42555A0C"/>
    <w:rsid w:val="42572645"/>
    <w:rsid w:val="425DC8C8"/>
    <w:rsid w:val="42604FFB"/>
    <w:rsid w:val="4260540C"/>
    <w:rsid w:val="4261DBA9"/>
    <w:rsid w:val="4268F4E0"/>
    <w:rsid w:val="42694CF5"/>
    <w:rsid w:val="4270780A"/>
    <w:rsid w:val="42833833"/>
    <w:rsid w:val="42836AFD"/>
    <w:rsid w:val="4286CABA"/>
    <w:rsid w:val="42882333"/>
    <w:rsid w:val="428AC95B"/>
    <w:rsid w:val="428D575D"/>
    <w:rsid w:val="42941AA3"/>
    <w:rsid w:val="429A7D83"/>
    <w:rsid w:val="42A1FE53"/>
    <w:rsid w:val="42AA26BA"/>
    <w:rsid w:val="42B12B1F"/>
    <w:rsid w:val="42C12F80"/>
    <w:rsid w:val="42CA9992"/>
    <w:rsid w:val="42CC221E"/>
    <w:rsid w:val="42CD1B5E"/>
    <w:rsid w:val="42CE9EB4"/>
    <w:rsid w:val="42D51B33"/>
    <w:rsid w:val="42DCA3EB"/>
    <w:rsid w:val="42DCF093"/>
    <w:rsid w:val="42DFB3A6"/>
    <w:rsid w:val="42E3EC0B"/>
    <w:rsid w:val="42E827D4"/>
    <w:rsid w:val="42EAF8B9"/>
    <w:rsid w:val="42EC4FA6"/>
    <w:rsid w:val="42F29CBC"/>
    <w:rsid w:val="42F94305"/>
    <w:rsid w:val="42F9A751"/>
    <w:rsid w:val="42FD547F"/>
    <w:rsid w:val="430039E1"/>
    <w:rsid w:val="430388FD"/>
    <w:rsid w:val="4306AA93"/>
    <w:rsid w:val="430DA159"/>
    <w:rsid w:val="4312ADF9"/>
    <w:rsid w:val="431345A8"/>
    <w:rsid w:val="431524A3"/>
    <w:rsid w:val="43228C4F"/>
    <w:rsid w:val="4325EF60"/>
    <w:rsid w:val="432FDE14"/>
    <w:rsid w:val="43362530"/>
    <w:rsid w:val="4337EBD4"/>
    <w:rsid w:val="434380D5"/>
    <w:rsid w:val="43489720"/>
    <w:rsid w:val="434CFEAF"/>
    <w:rsid w:val="43616E45"/>
    <w:rsid w:val="4361702D"/>
    <w:rsid w:val="43630171"/>
    <w:rsid w:val="43663FE5"/>
    <w:rsid w:val="4375BEAF"/>
    <w:rsid w:val="43795F8F"/>
    <w:rsid w:val="43829D2C"/>
    <w:rsid w:val="4384764C"/>
    <w:rsid w:val="438EA429"/>
    <w:rsid w:val="438F8B02"/>
    <w:rsid w:val="439033D4"/>
    <w:rsid w:val="43907280"/>
    <w:rsid w:val="439239D2"/>
    <w:rsid w:val="43964230"/>
    <w:rsid w:val="43A45421"/>
    <w:rsid w:val="43A7881E"/>
    <w:rsid w:val="43B20349"/>
    <w:rsid w:val="43C47C08"/>
    <w:rsid w:val="43C4EB24"/>
    <w:rsid w:val="43C6574C"/>
    <w:rsid w:val="43CD79FD"/>
    <w:rsid w:val="43D0A7BF"/>
    <w:rsid w:val="43E30C8D"/>
    <w:rsid w:val="43E69B1B"/>
    <w:rsid w:val="43E806A8"/>
    <w:rsid w:val="43EBBE26"/>
    <w:rsid w:val="43F32664"/>
    <w:rsid w:val="43F3BB25"/>
    <w:rsid w:val="43F5D766"/>
    <w:rsid w:val="43FA95E7"/>
    <w:rsid w:val="43FC3DCF"/>
    <w:rsid w:val="44027A25"/>
    <w:rsid w:val="44053CB6"/>
    <w:rsid w:val="4406D937"/>
    <w:rsid w:val="4409581F"/>
    <w:rsid w:val="440B2047"/>
    <w:rsid w:val="440C009B"/>
    <w:rsid w:val="440E14C0"/>
    <w:rsid w:val="441032C3"/>
    <w:rsid w:val="44123E52"/>
    <w:rsid w:val="44196039"/>
    <w:rsid w:val="441AAEB0"/>
    <w:rsid w:val="44261928"/>
    <w:rsid w:val="442ED7E8"/>
    <w:rsid w:val="442F2663"/>
    <w:rsid w:val="4431F4CA"/>
    <w:rsid w:val="444409D5"/>
    <w:rsid w:val="4446D762"/>
    <w:rsid w:val="444C9E40"/>
    <w:rsid w:val="4459DE22"/>
    <w:rsid w:val="445E4FF0"/>
    <w:rsid w:val="445E7A9A"/>
    <w:rsid w:val="445FAFC2"/>
    <w:rsid w:val="4462258F"/>
    <w:rsid w:val="446BD0EF"/>
    <w:rsid w:val="446D9AD3"/>
    <w:rsid w:val="4471858A"/>
    <w:rsid w:val="447A1833"/>
    <w:rsid w:val="44825EDE"/>
    <w:rsid w:val="44830CB9"/>
    <w:rsid w:val="449172BF"/>
    <w:rsid w:val="449508D6"/>
    <w:rsid w:val="449B2913"/>
    <w:rsid w:val="449D5AA4"/>
    <w:rsid w:val="44A1FFDB"/>
    <w:rsid w:val="44AEB1DB"/>
    <w:rsid w:val="44B06A68"/>
    <w:rsid w:val="44B31F8B"/>
    <w:rsid w:val="44B674C6"/>
    <w:rsid w:val="44BD579A"/>
    <w:rsid w:val="44BEB90B"/>
    <w:rsid w:val="44C26FE7"/>
    <w:rsid w:val="44C56989"/>
    <w:rsid w:val="44C8811F"/>
    <w:rsid w:val="44CCF0BB"/>
    <w:rsid w:val="44D77504"/>
    <w:rsid w:val="44D80DA3"/>
    <w:rsid w:val="44D8337E"/>
    <w:rsid w:val="44DFFC18"/>
    <w:rsid w:val="44E0865B"/>
    <w:rsid w:val="44E4ECB6"/>
    <w:rsid w:val="44E506F6"/>
    <w:rsid w:val="44F0CEEF"/>
    <w:rsid w:val="44F57677"/>
    <w:rsid w:val="450036CF"/>
    <w:rsid w:val="45072FCD"/>
    <w:rsid w:val="45128062"/>
    <w:rsid w:val="4518D0CD"/>
    <w:rsid w:val="451A648C"/>
    <w:rsid w:val="4523CBAB"/>
    <w:rsid w:val="4528D385"/>
    <w:rsid w:val="453783E9"/>
    <w:rsid w:val="4538FC61"/>
    <w:rsid w:val="45411FD1"/>
    <w:rsid w:val="4543DE43"/>
    <w:rsid w:val="4547A3B6"/>
    <w:rsid w:val="4548CBAD"/>
    <w:rsid w:val="454F9C0D"/>
    <w:rsid w:val="4555822C"/>
    <w:rsid w:val="455621EC"/>
    <w:rsid w:val="455A10BF"/>
    <w:rsid w:val="455D5243"/>
    <w:rsid w:val="455FF26D"/>
    <w:rsid w:val="457DF5A2"/>
    <w:rsid w:val="458510C3"/>
    <w:rsid w:val="45854B0B"/>
    <w:rsid w:val="458BD0FD"/>
    <w:rsid w:val="45944636"/>
    <w:rsid w:val="459D2350"/>
    <w:rsid w:val="459E505C"/>
    <w:rsid w:val="45A26E00"/>
    <w:rsid w:val="45ABF9E8"/>
    <w:rsid w:val="45AC8430"/>
    <w:rsid w:val="45AD5D2F"/>
    <w:rsid w:val="45AE391F"/>
    <w:rsid w:val="45AEC6A2"/>
    <w:rsid w:val="45B4243B"/>
    <w:rsid w:val="45B67FAE"/>
    <w:rsid w:val="45BA914D"/>
    <w:rsid w:val="45C78CAB"/>
    <w:rsid w:val="45D1ECFD"/>
    <w:rsid w:val="45E26BBC"/>
    <w:rsid w:val="45E2A9A5"/>
    <w:rsid w:val="45EB0C4C"/>
    <w:rsid w:val="4605CD1C"/>
    <w:rsid w:val="4608E2EE"/>
    <w:rsid w:val="460B6CDD"/>
    <w:rsid w:val="460FD26E"/>
    <w:rsid w:val="46107A93"/>
    <w:rsid w:val="461C8F04"/>
    <w:rsid w:val="461EA637"/>
    <w:rsid w:val="461F07F2"/>
    <w:rsid w:val="46244E98"/>
    <w:rsid w:val="462D3195"/>
    <w:rsid w:val="46311BA9"/>
    <w:rsid w:val="4637D1C5"/>
    <w:rsid w:val="4643F4DB"/>
    <w:rsid w:val="46584407"/>
    <w:rsid w:val="465CA646"/>
    <w:rsid w:val="465CF3A2"/>
    <w:rsid w:val="465F662F"/>
    <w:rsid w:val="4664A1C4"/>
    <w:rsid w:val="4668A948"/>
    <w:rsid w:val="466A49F1"/>
    <w:rsid w:val="46746425"/>
    <w:rsid w:val="467D18A5"/>
    <w:rsid w:val="467D7D46"/>
    <w:rsid w:val="4680A9A0"/>
    <w:rsid w:val="46914833"/>
    <w:rsid w:val="469C069C"/>
    <w:rsid w:val="469D7549"/>
    <w:rsid w:val="469E15FA"/>
    <w:rsid w:val="46AB5955"/>
    <w:rsid w:val="46AD0FD3"/>
    <w:rsid w:val="46B086D2"/>
    <w:rsid w:val="46B327E8"/>
    <w:rsid w:val="46B6E866"/>
    <w:rsid w:val="46BA60AA"/>
    <w:rsid w:val="46BB4182"/>
    <w:rsid w:val="46BC057B"/>
    <w:rsid w:val="46D6EAB1"/>
    <w:rsid w:val="46DFB009"/>
    <w:rsid w:val="46E34509"/>
    <w:rsid w:val="46E4A133"/>
    <w:rsid w:val="46E6AF9D"/>
    <w:rsid w:val="46EA1346"/>
    <w:rsid w:val="46F6C7A5"/>
    <w:rsid w:val="46FA8833"/>
    <w:rsid w:val="46FC5F6D"/>
    <w:rsid w:val="470534C8"/>
    <w:rsid w:val="4705C793"/>
    <w:rsid w:val="4705D10A"/>
    <w:rsid w:val="47092C0C"/>
    <w:rsid w:val="4717B9FC"/>
    <w:rsid w:val="471B3C2D"/>
    <w:rsid w:val="4721B3FC"/>
    <w:rsid w:val="4728A341"/>
    <w:rsid w:val="472B046A"/>
    <w:rsid w:val="472C2869"/>
    <w:rsid w:val="4736576E"/>
    <w:rsid w:val="4742101F"/>
    <w:rsid w:val="474FD31F"/>
    <w:rsid w:val="4752E54E"/>
    <w:rsid w:val="47559A8E"/>
    <w:rsid w:val="475FF3D8"/>
    <w:rsid w:val="476439CE"/>
    <w:rsid w:val="476AB1F8"/>
    <w:rsid w:val="476C404F"/>
    <w:rsid w:val="4777B8E2"/>
    <w:rsid w:val="477C3C69"/>
    <w:rsid w:val="477EB371"/>
    <w:rsid w:val="4780AD7B"/>
    <w:rsid w:val="47841266"/>
    <w:rsid w:val="4784B868"/>
    <w:rsid w:val="478BF49A"/>
    <w:rsid w:val="4798903C"/>
    <w:rsid w:val="4799E256"/>
    <w:rsid w:val="479EE318"/>
    <w:rsid w:val="479FF2A7"/>
    <w:rsid w:val="47A0108B"/>
    <w:rsid w:val="47A53D6E"/>
    <w:rsid w:val="47AA8C4B"/>
    <w:rsid w:val="47BA2DF1"/>
    <w:rsid w:val="47BD9BE7"/>
    <w:rsid w:val="47C479FF"/>
    <w:rsid w:val="47CAFA28"/>
    <w:rsid w:val="47D625B0"/>
    <w:rsid w:val="47E46C97"/>
    <w:rsid w:val="47E478F4"/>
    <w:rsid w:val="47E56006"/>
    <w:rsid w:val="47E67E2C"/>
    <w:rsid w:val="47F1892D"/>
    <w:rsid w:val="48074F6F"/>
    <w:rsid w:val="480AFF56"/>
    <w:rsid w:val="480CF292"/>
    <w:rsid w:val="480E62D0"/>
    <w:rsid w:val="480E859C"/>
    <w:rsid w:val="48201943"/>
    <w:rsid w:val="482242B5"/>
    <w:rsid w:val="482444E6"/>
    <w:rsid w:val="48283540"/>
    <w:rsid w:val="48309030"/>
    <w:rsid w:val="483A5559"/>
    <w:rsid w:val="483B4B75"/>
    <w:rsid w:val="48427D72"/>
    <w:rsid w:val="48431205"/>
    <w:rsid w:val="484904C2"/>
    <w:rsid w:val="4849A2CE"/>
    <w:rsid w:val="484D05E0"/>
    <w:rsid w:val="48538562"/>
    <w:rsid w:val="485E075F"/>
    <w:rsid w:val="486FE255"/>
    <w:rsid w:val="48753CF9"/>
    <w:rsid w:val="487C2071"/>
    <w:rsid w:val="487CEC47"/>
    <w:rsid w:val="487E9B3D"/>
    <w:rsid w:val="488D488B"/>
    <w:rsid w:val="489B5848"/>
    <w:rsid w:val="48AC0AE7"/>
    <w:rsid w:val="48AE5761"/>
    <w:rsid w:val="48B4F901"/>
    <w:rsid w:val="48B5BF5F"/>
    <w:rsid w:val="48B5D1B7"/>
    <w:rsid w:val="48B9C92F"/>
    <w:rsid w:val="48BE24F9"/>
    <w:rsid w:val="48C17F0D"/>
    <w:rsid w:val="48C1FA05"/>
    <w:rsid w:val="48C44692"/>
    <w:rsid w:val="48D4AA22"/>
    <w:rsid w:val="48DD27F9"/>
    <w:rsid w:val="48E3ABFD"/>
    <w:rsid w:val="48E4FBF4"/>
    <w:rsid w:val="48E96AA2"/>
    <w:rsid w:val="48F4653D"/>
    <w:rsid w:val="4904EF5D"/>
    <w:rsid w:val="490DABA4"/>
    <w:rsid w:val="4913A737"/>
    <w:rsid w:val="49223AB0"/>
    <w:rsid w:val="492723FB"/>
    <w:rsid w:val="492FEC9A"/>
    <w:rsid w:val="49334558"/>
    <w:rsid w:val="493613EC"/>
    <w:rsid w:val="49453EC8"/>
    <w:rsid w:val="4945CE80"/>
    <w:rsid w:val="494C2DA1"/>
    <w:rsid w:val="494D4C57"/>
    <w:rsid w:val="494DF5CC"/>
    <w:rsid w:val="496A6F1C"/>
    <w:rsid w:val="496D7EBB"/>
    <w:rsid w:val="496FF252"/>
    <w:rsid w:val="49711F7A"/>
    <w:rsid w:val="4972344F"/>
    <w:rsid w:val="49759CD7"/>
    <w:rsid w:val="4987BF12"/>
    <w:rsid w:val="499074B8"/>
    <w:rsid w:val="49964DEB"/>
    <w:rsid w:val="499C6615"/>
    <w:rsid w:val="499E2D9F"/>
    <w:rsid w:val="499FE025"/>
    <w:rsid w:val="49A102CB"/>
    <w:rsid w:val="49A351AE"/>
    <w:rsid w:val="49A5F03C"/>
    <w:rsid w:val="49A7502F"/>
    <w:rsid w:val="49B51427"/>
    <w:rsid w:val="49B7FC69"/>
    <w:rsid w:val="49BF08BC"/>
    <w:rsid w:val="49C2B1DA"/>
    <w:rsid w:val="49C3EA00"/>
    <w:rsid w:val="49CD71B4"/>
    <w:rsid w:val="49D1AC12"/>
    <w:rsid w:val="49D5D494"/>
    <w:rsid w:val="49E0DE59"/>
    <w:rsid w:val="49E7BAE4"/>
    <w:rsid w:val="49F42221"/>
    <w:rsid w:val="49FBAFF9"/>
    <w:rsid w:val="49FDB789"/>
    <w:rsid w:val="49FF817D"/>
    <w:rsid w:val="4A041AF8"/>
    <w:rsid w:val="4A05198D"/>
    <w:rsid w:val="4A061535"/>
    <w:rsid w:val="4A077DBD"/>
    <w:rsid w:val="4A093261"/>
    <w:rsid w:val="4A172466"/>
    <w:rsid w:val="4A189EBE"/>
    <w:rsid w:val="4A1EE157"/>
    <w:rsid w:val="4A2BCAC7"/>
    <w:rsid w:val="4A33F493"/>
    <w:rsid w:val="4A351EF4"/>
    <w:rsid w:val="4A3B3BAB"/>
    <w:rsid w:val="4A3D56A9"/>
    <w:rsid w:val="4A40AAC9"/>
    <w:rsid w:val="4A481CB6"/>
    <w:rsid w:val="4A507FE7"/>
    <w:rsid w:val="4A563ACA"/>
    <w:rsid w:val="4A63B159"/>
    <w:rsid w:val="4A817511"/>
    <w:rsid w:val="4A85E1EE"/>
    <w:rsid w:val="4A873DF6"/>
    <w:rsid w:val="4A8F2BCA"/>
    <w:rsid w:val="4A90F0D1"/>
    <w:rsid w:val="4A94A4EB"/>
    <w:rsid w:val="4A9737A3"/>
    <w:rsid w:val="4A98283B"/>
    <w:rsid w:val="4AA506F4"/>
    <w:rsid w:val="4AB772B6"/>
    <w:rsid w:val="4AB81C31"/>
    <w:rsid w:val="4AC07959"/>
    <w:rsid w:val="4AC15A95"/>
    <w:rsid w:val="4AC92B38"/>
    <w:rsid w:val="4ACA6D4B"/>
    <w:rsid w:val="4ACD1ACB"/>
    <w:rsid w:val="4AD0DE30"/>
    <w:rsid w:val="4AD1779C"/>
    <w:rsid w:val="4AD1B108"/>
    <w:rsid w:val="4AD4BBF4"/>
    <w:rsid w:val="4ADDA984"/>
    <w:rsid w:val="4AE3073A"/>
    <w:rsid w:val="4AEB90E5"/>
    <w:rsid w:val="4AF8C625"/>
    <w:rsid w:val="4AFEC609"/>
    <w:rsid w:val="4B00FF78"/>
    <w:rsid w:val="4B021064"/>
    <w:rsid w:val="4B093F90"/>
    <w:rsid w:val="4B100E7E"/>
    <w:rsid w:val="4B1112E0"/>
    <w:rsid w:val="4B14F2C5"/>
    <w:rsid w:val="4B169BAA"/>
    <w:rsid w:val="4B1CBD36"/>
    <w:rsid w:val="4B2355BB"/>
    <w:rsid w:val="4B285B1A"/>
    <w:rsid w:val="4B3A1532"/>
    <w:rsid w:val="4B45105B"/>
    <w:rsid w:val="4B4597F0"/>
    <w:rsid w:val="4B475A53"/>
    <w:rsid w:val="4B50206B"/>
    <w:rsid w:val="4B5991AB"/>
    <w:rsid w:val="4B5F3DD9"/>
    <w:rsid w:val="4B600FD3"/>
    <w:rsid w:val="4B671EC1"/>
    <w:rsid w:val="4B6D291D"/>
    <w:rsid w:val="4B6F0327"/>
    <w:rsid w:val="4B786D76"/>
    <w:rsid w:val="4B7AAED2"/>
    <w:rsid w:val="4B8184F9"/>
    <w:rsid w:val="4B820A82"/>
    <w:rsid w:val="4B82F4E0"/>
    <w:rsid w:val="4B846831"/>
    <w:rsid w:val="4B846EA0"/>
    <w:rsid w:val="4B8C0AF9"/>
    <w:rsid w:val="4B8E8988"/>
    <w:rsid w:val="4B922A83"/>
    <w:rsid w:val="4B95B240"/>
    <w:rsid w:val="4B971BD9"/>
    <w:rsid w:val="4BAFF838"/>
    <w:rsid w:val="4BB247BC"/>
    <w:rsid w:val="4BB37E4A"/>
    <w:rsid w:val="4BB585C5"/>
    <w:rsid w:val="4BB63106"/>
    <w:rsid w:val="4BCD4524"/>
    <w:rsid w:val="4BCED638"/>
    <w:rsid w:val="4BD02165"/>
    <w:rsid w:val="4BD0C82C"/>
    <w:rsid w:val="4BD1E1C0"/>
    <w:rsid w:val="4BD956D2"/>
    <w:rsid w:val="4BEC38C2"/>
    <w:rsid w:val="4BF4D0D0"/>
    <w:rsid w:val="4BFA3928"/>
    <w:rsid w:val="4BFD833B"/>
    <w:rsid w:val="4C03E821"/>
    <w:rsid w:val="4C072942"/>
    <w:rsid w:val="4C0969D5"/>
    <w:rsid w:val="4C0C8F61"/>
    <w:rsid w:val="4C100AF3"/>
    <w:rsid w:val="4C18F321"/>
    <w:rsid w:val="4C270277"/>
    <w:rsid w:val="4C2C8149"/>
    <w:rsid w:val="4C2F4424"/>
    <w:rsid w:val="4C37906B"/>
    <w:rsid w:val="4C3FC1C3"/>
    <w:rsid w:val="4C4700A0"/>
    <w:rsid w:val="4C4E2059"/>
    <w:rsid w:val="4C54560A"/>
    <w:rsid w:val="4C638A2C"/>
    <w:rsid w:val="4C65B25B"/>
    <w:rsid w:val="4C69DD2E"/>
    <w:rsid w:val="4C715294"/>
    <w:rsid w:val="4C71E660"/>
    <w:rsid w:val="4C759646"/>
    <w:rsid w:val="4C7622DD"/>
    <w:rsid w:val="4C82047D"/>
    <w:rsid w:val="4C8760CA"/>
    <w:rsid w:val="4C8EA430"/>
    <w:rsid w:val="4C92327B"/>
    <w:rsid w:val="4C961B51"/>
    <w:rsid w:val="4C9D658E"/>
    <w:rsid w:val="4C9FB8A9"/>
    <w:rsid w:val="4CA308AF"/>
    <w:rsid w:val="4CAABAC0"/>
    <w:rsid w:val="4CACC61C"/>
    <w:rsid w:val="4CB5352C"/>
    <w:rsid w:val="4CB64EFF"/>
    <w:rsid w:val="4CBA8B18"/>
    <w:rsid w:val="4CBBB365"/>
    <w:rsid w:val="4CBF1ED1"/>
    <w:rsid w:val="4CC82E96"/>
    <w:rsid w:val="4CD7FC36"/>
    <w:rsid w:val="4CD8D7D3"/>
    <w:rsid w:val="4CE6617C"/>
    <w:rsid w:val="4CF7CF3F"/>
    <w:rsid w:val="4CF827D7"/>
    <w:rsid w:val="4CFB2AB1"/>
    <w:rsid w:val="4CFEE5BD"/>
    <w:rsid w:val="4D01D483"/>
    <w:rsid w:val="4D110BA3"/>
    <w:rsid w:val="4D1150A1"/>
    <w:rsid w:val="4D115533"/>
    <w:rsid w:val="4D139234"/>
    <w:rsid w:val="4D1A92B0"/>
    <w:rsid w:val="4D1C3166"/>
    <w:rsid w:val="4D1F1CEF"/>
    <w:rsid w:val="4D1FC0FB"/>
    <w:rsid w:val="4D205D21"/>
    <w:rsid w:val="4D2A9654"/>
    <w:rsid w:val="4D2C8D5B"/>
    <w:rsid w:val="4D31E913"/>
    <w:rsid w:val="4D32AC2B"/>
    <w:rsid w:val="4D335A05"/>
    <w:rsid w:val="4D34F761"/>
    <w:rsid w:val="4D38C251"/>
    <w:rsid w:val="4D3CB653"/>
    <w:rsid w:val="4D3D1B8B"/>
    <w:rsid w:val="4D4CB33B"/>
    <w:rsid w:val="4D5137C9"/>
    <w:rsid w:val="4D53200D"/>
    <w:rsid w:val="4D5FB179"/>
    <w:rsid w:val="4D62D4BA"/>
    <w:rsid w:val="4D76137D"/>
    <w:rsid w:val="4D7717FE"/>
    <w:rsid w:val="4D772705"/>
    <w:rsid w:val="4D8DA8ED"/>
    <w:rsid w:val="4D93E96A"/>
    <w:rsid w:val="4D964927"/>
    <w:rsid w:val="4D9D12DC"/>
    <w:rsid w:val="4D9F37E1"/>
    <w:rsid w:val="4DA1BB88"/>
    <w:rsid w:val="4DAD5DFA"/>
    <w:rsid w:val="4DB6977B"/>
    <w:rsid w:val="4DB85E0E"/>
    <w:rsid w:val="4DBA7C8A"/>
    <w:rsid w:val="4DBC07A9"/>
    <w:rsid w:val="4DC81661"/>
    <w:rsid w:val="4DC8E254"/>
    <w:rsid w:val="4DD22CD0"/>
    <w:rsid w:val="4DD75864"/>
    <w:rsid w:val="4DDD84CD"/>
    <w:rsid w:val="4DE35B21"/>
    <w:rsid w:val="4DF73065"/>
    <w:rsid w:val="4DF8974B"/>
    <w:rsid w:val="4E0848C2"/>
    <w:rsid w:val="4E08DBD1"/>
    <w:rsid w:val="4E09BBB6"/>
    <w:rsid w:val="4E0EC961"/>
    <w:rsid w:val="4E13B2AE"/>
    <w:rsid w:val="4E1DA596"/>
    <w:rsid w:val="4E26B5C8"/>
    <w:rsid w:val="4E32A15F"/>
    <w:rsid w:val="4E33CEB2"/>
    <w:rsid w:val="4E352AAF"/>
    <w:rsid w:val="4E38B828"/>
    <w:rsid w:val="4E3D0EC7"/>
    <w:rsid w:val="4E3E443F"/>
    <w:rsid w:val="4E4D464A"/>
    <w:rsid w:val="4E513079"/>
    <w:rsid w:val="4E584A88"/>
    <w:rsid w:val="4E59C1CC"/>
    <w:rsid w:val="4E5A1FD9"/>
    <w:rsid w:val="4E5ABD86"/>
    <w:rsid w:val="4E5FD9CD"/>
    <w:rsid w:val="4E61E41C"/>
    <w:rsid w:val="4E636A34"/>
    <w:rsid w:val="4E647A33"/>
    <w:rsid w:val="4E6F9070"/>
    <w:rsid w:val="4E77C01D"/>
    <w:rsid w:val="4E7A40B8"/>
    <w:rsid w:val="4E7B233E"/>
    <w:rsid w:val="4E803A4F"/>
    <w:rsid w:val="4EA8BD28"/>
    <w:rsid w:val="4EAFF2CC"/>
    <w:rsid w:val="4EBF18A5"/>
    <w:rsid w:val="4EC0C25C"/>
    <w:rsid w:val="4EC1E1F7"/>
    <w:rsid w:val="4EC2B363"/>
    <w:rsid w:val="4EC4B0C9"/>
    <w:rsid w:val="4ECC7BCE"/>
    <w:rsid w:val="4ECE7C3C"/>
    <w:rsid w:val="4ECEB0BF"/>
    <w:rsid w:val="4EDD5293"/>
    <w:rsid w:val="4EDDA956"/>
    <w:rsid w:val="4EDF9D48"/>
    <w:rsid w:val="4EE1ADE4"/>
    <w:rsid w:val="4EE2193E"/>
    <w:rsid w:val="4EF28287"/>
    <w:rsid w:val="4EF59473"/>
    <w:rsid w:val="4EF7D5E3"/>
    <w:rsid w:val="4EF7E63A"/>
    <w:rsid w:val="4EFB2738"/>
    <w:rsid w:val="4F018377"/>
    <w:rsid w:val="4F02E206"/>
    <w:rsid w:val="4F28BE4F"/>
    <w:rsid w:val="4F3278D8"/>
    <w:rsid w:val="4F3DE0F7"/>
    <w:rsid w:val="4F3E36B5"/>
    <w:rsid w:val="4F4158F5"/>
    <w:rsid w:val="4F42829D"/>
    <w:rsid w:val="4F44B887"/>
    <w:rsid w:val="4F47FB63"/>
    <w:rsid w:val="4F4D58C4"/>
    <w:rsid w:val="4F550445"/>
    <w:rsid w:val="4F5DB0E4"/>
    <w:rsid w:val="4F5F6E3B"/>
    <w:rsid w:val="4F6FB721"/>
    <w:rsid w:val="4F70626D"/>
    <w:rsid w:val="4F70ED64"/>
    <w:rsid w:val="4F7299BA"/>
    <w:rsid w:val="4F72FC38"/>
    <w:rsid w:val="4F77BA6A"/>
    <w:rsid w:val="4F7A2D4F"/>
    <w:rsid w:val="4F7B4CB0"/>
    <w:rsid w:val="4F7D81D6"/>
    <w:rsid w:val="4F7F9E9C"/>
    <w:rsid w:val="4F83C6BB"/>
    <w:rsid w:val="4F8776F3"/>
    <w:rsid w:val="4F928BAE"/>
    <w:rsid w:val="4F95E136"/>
    <w:rsid w:val="4F96639F"/>
    <w:rsid w:val="4F9A5DB4"/>
    <w:rsid w:val="4F9AEA54"/>
    <w:rsid w:val="4FA7C51F"/>
    <w:rsid w:val="4FB23E30"/>
    <w:rsid w:val="4FBA893F"/>
    <w:rsid w:val="4FBC8A3E"/>
    <w:rsid w:val="4FC9AF5F"/>
    <w:rsid w:val="4FCF321C"/>
    <w:rsid w:val="4FD343B1"/>
    <w:rsid w:val="4FDA984E"/>
    <w:rsid w:val="4FDB5634"/>
    <w:rsid w:val="4FDBBFB5"/>
    <w:rsid w:val="4FDEDA0B"/>
    <w:rsid w:val="4FEA3513"/>
    <w:rsid w:val="4FF0CEDF"/>
    <w:rsid w:val="4FFF504E"/>
    <w:rsid w:val="5000FB85"/>
    <w:rsid w:val="500914AF"/>
    <w:rsid w:val="501A7BC4"/>
    <w:rsid w:val="504ABBFC"/>
    <w:rsid w:val="50533570"/>
    <w:rsid w:val="5058CF77"/>
    <w:rsid w:val="505DBD5A"/>
    <w:rsid w:val="50617031"/>
    <w:rsid w:val="50623FF0"/>
    <w:rsid w:val="506985C2"/>
    <w:rsid w:val="5075454F"/>
    <w:rsid w:val="507660E2"/>
    <w:rsid w:val="50815A01"/>
    <w:rsid w:val="508F1B8E"/>
    <w:rsid w:val="50918505"/>
    <w:rsid w:val="50949044"/>
    <w:rsid w:val="50990C13"/>
    <w:rsid w:val="5099FA03"/>
    <w:rsid w:val="50A1395E"/>
    <w:rsid w:val="50A3AD66"/>
    <w:rsid w:val="50A42081"/>
    <w:rsid w:val="50A86CFB"/>
    <w:rsid w:val="50A9ACCC"/>
    <w:rsid w:val="50ABDB6A"/>
    <w:rsid w:val="50ADE508"/>
    <w:rsid w:val="50AE98A4"/>
    <w:rsid w:val="50AEBCFE"/>
    <w:rsid w:val="50AFDA7B"/>
    <w:rsid w:val="50B312EF"/>
    <w:rsid w:val="50BD1039"/>
    <w:rsid w:val="50C218EC"/>
    <w:rsid w:val="50C7E270"/>
    <w:rsid w:val="50D211C8"/>
    <w:rsid w:val="50D741F9"/>
    <w:rsid w:val="50D7A99D"/>
    <w:rsid w:val="50E3CD11"/>
    <w:rsid w:val="50E769B7"/>
    <w:rsid w:val="50E9D48D"/>
    <w:rsid w:val="50EBE802"/>
    <w:rsid w:val="50F06ECA"/>
    <w:rsid w:val="50F17448"/>
    <w:rsid w:val="510A621B"/>
    <w:rsid w:val="510C56A0"/>
    <w:rsid w:val="511386D2"/>
    <w:rsid w:val="511565B4"/>
    <w:rsid w:val="511E3763"/>
    <w:rsid w:val="51362C03"/>
    <w:rsid w:val="51386CCE"/>
    <w:rsid w:val="514CD4D8"/>
    <w:rsid w:val="51524839"/>
    <w:rsid w:val="5156B1CE"/>
    <w:rsid w:val="515AF042"/>
    <w:rsid w:val="517A5389"/>
    <w:rsid w:val="5185CE2D"/>
    <w:rsid w:val="51869BD7"/>
    <w:rsid w:val="518BBC17"/>
    <w:rsid w:val="519420C2"/>
    <w:rsid w:val="5194AA21"/>
    <w:rsid w:val="5197E5F6"/>
    <w:rsid w:val="51981907"/>
    <w:rsid w:val="51A20C22"/>
    <w:rsid w:val="51A4A5C6"/>
    <w:rsid w:val="51A8E607"/>
    <w:rsid w:val="51AA8296"/>
    <w:rsid w:val="51B307C2"/>
    <w:rsid w:val="51BA58B2"/>
    <w:rsid w:val="51C05C05"/>
    <w:rsid w:val="51CCEC9E"/>
    <w:rsid w:val="51D2F4F1"/>
    <w:rsid w:val="51DF39D3"/>
    <w:rsid w:val="51E0F9AC"/>
    <w:rsid w:val="51E73410"/>
    <w:rsid w:val="51E79AB0"/>
    <w:rsid w:val="51EEF1B2"/>
    <w:rsid w:val="51F381C6"/>
    <w:rsid w:val="51F49036"/>
    <w:rsid w:val="51F9F93B"/>
    <w:rsid w:val="51FB5549"/>
    <w:rsid w:val="52055894"/>
    <w:rsid w:val="5205860B"/>
    <w:rsid w:val="521074EA"/>
    <w:rsid w:val="521A43CC"/>
    <w:rsid w:val="5224EA91"/>
    <w:rsid w:val="522AD5AB"/>
    <w:rsid w:val="523240F4"/>
    <w:rsid w:val="5238BFDF"/>
    <w:rsid w:val="5239EA64"/>
    <w:rsid w:val="524B650A"/>
    <w:rsid w:val="525945EE"/>
    <w:rsid w:val="525C4CE4"/>
    <w:rsid w:val="5262AA76"/>
    <w:rsid w:val="526440B1"/>
    <w:rsid w:val="52644135"/>
    <w:rsid w:val="5264933A"/>
    <w:rsid w:val="526D3FFD"/>
    <w:rsid w:val="526EA0BF"/>
    <w:rsid w:val="5273C4C0"/>
    <w:rsid w:val="527BF949"/>
    <w:rsid w:val="527DC171"/>
    <w:rsid w:val="5280A24F"/>
    <w:rsid w:val="5285C5DE"/>
    <w:rsid w:val="528E0D30"/>
    <w:rsid w:val="528FBB51"/>
    <w:rsid w:val="5290C690"/>
    <w:rsid w:val="5292FF5D"/>
    <w:rsid w:val="529A7819"/>
    <w:rsid w:val="529B0AC4"/>
    <w:rsid w:val="529F6883"/>
    <w:rsid w:val="52A66827"/>
    <w:rsid w:val="52B40A34"/>
    <w:rsid w:val="52C8CC76"/>
    <w:rsid w:val="52D0B07D"/>
    <w:rsid w:val="52D17630"/>
    <w:rsid w:val="52D6558D"/>
    <w:rsid w:val="52D8E3EA"/>
    <w:rsid w:val="52DE1B77"/>
    <w:rsid w:val="52F59CCC"/>
    <w:rsid w:val="53055723"/>
    <w:rsid w:val="531D1BBF"/>
    <w:rsid w:val="531F57EB"/>
    <w:rsid w:val="5323F619"/>
    <w:rsid w:val="532954F3"/>
    <w:rsid w:val="5331533F"/>
    <w:rsid w:val="5332466F"/>
    <w:rsid w:val="533DDDE3"/>
    <w:rsid w:val="5340F30D"/>
    <w:rsid w:val="5348EBAC"/>
    <w:rsid w:val="53560181"/>
    <w:rsid w:val="53572EB6"/>
    <w:rsid w:val="535887B4"/>
    <w:rsid w:val="535B9298"/>
    <w:rsid w:val="535DF158"/>
    <w:rsid w:val="5364E138"/>
    <w:rsid w:val="53661119"/>
    <w:rsid w:val="536824AC"/>
    <w:rsid w:val="537281BA"/>
    <w:rsid w:val="5377C35D"/>
    <w:rsid w:val="537B5EA8"/>
    <w:rsid w:val="538AFA6A"/>
    <w:rsid w:val="538CDD87"/>
    <w:rsid w:val="538CF59E"/>
    <w:rsid w:val="5393BBC8"/>
    <w:rsid w:val="53954598"/>
    <w:rsid w:val="539701BC"/>
    <w:rsid w:val="53987688"/>
    <w:rsid w:val="53A3B4C7"/>
    <w:rsid w:val="53A4E16D"/>
    <w:rsid w:val="53A9AC1F"/>
    <w:rsid w:val="53AA91F5"/>
    <w:rsid w:val="53AC0CD5"/>
    <w:rsid w:val="53AD1D9B"/>
    <w:rsid w:val="53B32C78"/>
    <w:rsid w:val="53B9790E"/>
    <w:rsid w:val="53C6CDF5"/>
    <w:rsid w:val="53CA54D1"/>
    <w:rsid w:val="53DA8C31"/>
    <w:rsid w:val="53E09DCF"/>
    <w:rsid w:val="53E17F1A"/>
    <w:rsid w:val="53E75D07"/>
    <w:rsid w:val="53F82210"/>
    <w:rsid w:val="53F9C6DF"/>
    <w:rsid w:val="53FBCCA2"/>
    <w:rsid w:val="53FC1E31"/>
    <w:rsid w:val="54047808"/>
    <w:rsid w:val="540485AC"/>
    <w:rsid w:val="54106D83"/>
    <w:rsid w:val="54124269"/>
    <w:rsid w:val="54186AFE"/>
    <w:rsid w:val="5419246A"/>
    <w:rsid w:val="5420ED90"/>
    <w:rsid w:val="54243067"/>
    <w:rsid w:val="542F1E6D"/>
    <w:rsid w:val="543A559E"/>
    <w:rsid w:val="54498DD0"/>
    <w:rsid w:val="54555518"/>
    <w:rsid w:val="545D38F1"/>
    <w:rsid w:val="54669658"/>
    <w:rsid w:val="546D9692"/>
    <w:rsid w:val="547F2877"/>
    <w:rsid w:val="5480E5C3"/>
    <w:rsid w:val="54867530"/>
    <w:rsid w:val="54889F16"/>
    <w:rsid w:val="548ADD0A"/>
    <w:rsid w:val="549CD3AA"/>
    <w:rsid w:val="549E5140"/>
    <w:rsid w:val="549E8762"/>
    <w:rsid w:val="54A9252A"/>
    <w:rsid w:val="54AF4649"/>
    <w:rsid w:val="54B23E5A"/>
    <w:rsid w:val="54B355D4"/>
    <w:rsid w:val="54D5E5DF"/>
    <w:rsid w:val="54D97BB8"/>
    <w:rsid w:val="54DE681A"/>
    <w:rsid w:val="54E79856"/>
    <w:rsid w:val="54E9D65F"/>
    <w:rsid w:val="54FBB8DD"/>
    <w:rsid w:val="55011DDE"/>
    <w:rsid w:val="5504A815"/>
    <w:rsid w:val="55084F3B"/>
    <w:rsid w:val="550C4D12"/>
    <w:rsid w:val="5519843F"/>
    <w:rsid w:val="55200374"/>
    <w:rsid w:val="55207EED"/>
    <w:rsid w:val="55405FB9"/>
    <w:rsid w:val="5545DD0A"/>
    <w:rsid w:val="5558E0CB"/>
    <w:rsid w:val="555A313F"/>
    <w:rsid w:val="556618DD"/>
    <w:rsid w:val="55669AD5"/>
    <w:rsid w:val="55695DF2"/>
    <w:rsid w:val="556B40D0"/>
    <w:rsid w:val="557A5755"/>
    <w:rsid w:val="558FDF2D"/>
    <w:rsid w:val="5596FD0F"/>
    <w:rsid w:val="55A433A5"/>
    <w:rsid w:val="55A95D2F"/>
    <w:rsid w:val="55AA22E4"/>
    <w:rsid w:val="55AAFD9E"/>
    <w:rsid w:val="55AE51C7"/>
    <w:rsid w:val="55B7252D"/>
    <w:rsid w:val="55C3CE07"/>
    <w:rsid w:val="55C48956"/>
    <w:rsid w:val="55C6EF89"/>
    <w:rsid w:val="55CB165D"/>
    <w:rsid w:val="55CF1EE0"/>
    <w:rsid w:val="55D40589"/>
    <w:rsid w:val="55DA873C"/>
    <w:rsid w:val="55DE3AD0"/>
    <w:rsid w:val="55E61013"/>
    <w:rsid w:val="55E70B4E"/>
    <w:rsid w:val="55EC804B"/>
    <w:rsid w:val="55EF73DA"/>
    <w:rsid w:val="55FDB876"/>
    <w:rsid w:val="55FF76FB"/>
    <w:rsid w:val="55FF9786"/>
    <w:rsid w:val="5621ED84"/>
    <w:rsid w:val="5622E480"/>
    <w:rsid w:val="562416D2"/>
    <w:rsid w:val="5627E484"/>
    <w:rsid w:val="5627F435"/>
    <w:rsid w:val="5632CC66"/>
    <w:rsid w:val="56334A35"/>
    <w:rsid w:val="563DC5D0"/>
    <w:rsid w:val="5644B8A6"/>
    <w:rsid w:val="56477C38"/>
    <w:rsid w:val="564D8D54"/>
    <w:rsid w:val="565822C3"/>
    <w:rsid w:val="566490BF"/>
    <w:rsid w:val="566586C1"/>
    <w:rsid w:val="5671178B"/>
    <w:rsid w:val="56787DA8"/>
    <w:rsid w:val="56792417"/>
    <w:rsid w:val="567F3940"/>
    <w:rsid w:val="568C9A54"/>
    <w:rsid w:val="568DB6EF"/>
    <w:rsid w:val="568DD687"/>
    <w:rsid w:val="5690E81A"/>
    <w:rsid w:val="56922BBC"/>
    <w:rsid w:val="5693AEC7"/>
    <w:rsid w:val="5693EBE0"/>
    <w:rsid w:val="569CBE4D"/>
    <w:rsid w:val="569F74F0"/>
    <w:rsid w:val="56A342FF"/>
    <w:rsid w:val="56A552B9"/>
    <w:rsid w:val="56AB0FEF"/>
    <w:rsid w:val="56B284AD"/>
    <w:rsid w:val="56B97006"/>
    <w:rsid w:val="56BD1C2F"/>
    <w:rsid w:val="56BF2692"/>
    <w:rsid w:val="56C23990"/>
    <w:rsid w:val="56C63E2D"/>
    <w:rsid w:val="56CAFB5E"/>
    <w:rsid w:val="56D73771"/>
    <w:rsid w:val="56D86E98"/>
    <w:rsid w:val="56DA769D"/>
    <w:rsid w:val="56E011A3"/>
    <w:rsid w:val="56E2A6EF"/>
    <w:rsid w:val="56E86E5B"/>
    <w:rsid w:val="56EABB18"/>
    <w:rsid w:val="56F88586"/>
    <w:rsid w:val="5702B5ED"/>
    <w:rsid w:val="57052421"/>
    <w:rsid w:val="570A4625"/>
    <w:rsid w:val="570EFCC3"/>
    <w:rsid w:val="57242416"/>
    <w:rsid w:val="573633C4"/>
    <w:rsid w:val="57435FAC"/>
    <w:rsid w:val="5746DAE1"/>
    <w:rsid w:val="575462D8"/>
    <w:rsid w:val="576298FB"/>
    <w:rsid w:val="5763BECF"/>
    <w:rsid w:val="5764C092"/>
    <w:rsid w:val="576A6256"/>
    <w:rsid w:val="576F9926"/>
    <w:rsid w:val="57764C46"/>
    <w:rsid w:val="5778D7AD"/>
    <w:rsid w:val="5785A0E9"/>
    <w:rsid w:val="578749FE"/>
    <w:rsid w:val="578E86BF"/>
    <w:rsid w:val="57914AEF"/>
    <w:rsid w:val="579B1B19"/>
    <w:rsid w:val="57A9AAD3"/>
    <w:rsid w:val="57AF3380"/>
    <w:rsid w:val="57B984D5"/>
    <w:rsid w:val="57BD0739"/>
    <w:rsid w:val="57C0DA02"/>
    <w:rsid w:val="57C29110"/>
    <w:rsid w:val="57C611A4"/>
    <w:rsid w:val="57CF556D"/>
    <w:rsid w:val="57D1C39C"/>
    <w:rsid w:val="57D4490D"/>
    <w:rsid w:val="57D68051"/>
    <w:rsid w:val="57DE4B93"/>
    <w:rsid w:val="57DEFC85"/>
    <w:rsid w:val="57F13F88"/>
    <w:rsid w:val="57F28AD4"/>
    <w:rsid w:val="57F46BEB"/>
    <w:rsid w:val="57F521A6"/>
    <w:rsid w:val="58012964"/>
    <w:rsid w:val="580BFC83"/>
    <w:rsid w:val="580F0625"/>
    <w:rsid w:val="58144B9C"/>
    <w:rsid w:val="58177BF8"/>
    <w:rsid w:val="581B62FA"/>
    <w:rsid w:val="581BBCA3"/>
    <w:rsid w:val="582143A5"/>
    <w:rsid w:val="5821D683"/>
    <w:rsid w:val="58263929"/>
    <w:rsid w:val="58295FB8"/>
    <w:rsid w:val="582EA6E6"/>
    <w:rsid w:val="583064B8"/>
    <w:rsid w:val="58329198"/>
    <w:rsid w:val="58352195"/>
    <w:rsid w:val="58353195"/>
    <w:rsid w:val="5836657B"/>
    <w:rsid w:val="583CFDCA"/>
    <w:rsid w:val="5843A984"/>
    <w:rsid w:val="5852E405"/>
    <w:rsid w:val="5855890D"/>
    <w:rsid w:val="585938D5"/>
    <w:rsid w:val="58596752"/>
    <w:rsid w:val="586708BF"/>
    <w:rsid w:val="58686E5B"/>
    <w:rsid w:val="5878E930"/>
    <w:rsid w:val="587CCF96"/>
    <w:rsid w:val="5880F993"/>
    <w:rsid w:val="5884CED4"/>
    <w:rsid w:val="5899A50C"/>
    <w:rsid w:val="589E076A"/>
    <w:rsid w:val="589EE6ED"/>
    <w:rsid w:val="589F6758"/>
    <w:rsid w:val="58ABA4C1"/>
    <w:rsid w:val="58AC667E"/>
    <w:rsid w:val="58AD943E"/>
    <w:rsid w:val="58B411E9"/>
    <w:rsid w:val="58B4C78B"/>
    <w:rsid w:val="58B6D818"/>
    <w:rsid w:val="58B86D37"/>
    <w:rsid w:val="58BCF0B3"/>
    <w:rsid w:val="58BDB120"/>
    <w:rsid w:val="58CE92C3"/>
    <w:rsid w:val="58DACF75"/>
    <w:rsid w:val="58E682A4"/>
    <w:rsid w:val="58ECE0DC"/>
    <w:rsid w:val="58EE85DD"/>
    <w:rsid w:val="58EF56E5"/>
    <w:rsid w:val="58EF9A9D"/>
    <w:rsid w:val="58F6FD45"/>
    <w:rsid w:val="58F85B2E"/>
    <w:rsid w:val="58FC8BD4"/>
    <w:rsid w:val="58FFF8BF"/>
    <w:rsid w:val="5900987C"/>
    <w:rsid w:val="590793C1"/>
    <w:rsid w:val="5907C05B"/>
    <w:rsid w:val="590D69E7"/>
    <w:rsid w:val="590E9B59"/>
    <w:rsid w:val="59178A4B"/>
    <w:rsid w:val="59186253"/>
    <w:rsid w:val="5921F998"/>
    <w:rsid w:val="5924A236"/>
    <w:rsid w:val="592AFBCB"/>
    <w:rsid w:val="59383C1F"/>
    <w:rsid w:val="59395786"/>
    <w:rsid w:val="593B8904"/>
    <w:rsid w:val="593CB847"/>
    <w:rsid w:val="593D9868"/>
    <w:rsid w:val="594F50FF"/>
    <w:rsid w:val="5957D2B7"/>
    <w:rsid w:val="59617548"/>
    <w:rsid w:val="596AE99D"/>
    <w:rsid w:val="596B3F4B"/>
    <w:rsid w:val="59775E53"/>
    <w:rsid w:val="597DF112"/>
    <w:rsid w:val="597FBE4C"/>
    <w:rsid w:val="5982427B"/>
    <w:rsid w:val="59860C3D"/>
    <w:rsid w:val="5987C972"/>
    <w:rsid w:val="5993B75F"/>
    <w:rsid w:val="599DAD64"/>
    <w:rsid w:val="599F4A13"/>
    <w:rsid w:val="59A0C348"/>
    <w:rsid w:val="59A3C295"/>
    <w:rsid w:val="59A5368E"/>
    <w:rsid w:val="59BC6805"/>
    <w:rsid w:val="59CB0308"/>
    <w:rsid w:val="59CC6832"/>
    <w:rsid w:val="59DA5F5C"/>
    <w:rsid w:val="59E509A3"/>
    <w:rsid w:val="59E635CB"/>
    <w:rsid w:val="59E791C8"/>
    <w:rsid w:val="59F2C642"/>
    <w:rsid w:val="59F8BD37"/>
    <w:rsid w:val="5A11C1C7"/>
    <w:rsid w:val="5A13C4D3"/>
    <w:rsid w:val="5A186EFE"/>
    <w:rsid w:val="5A1D40D2"/>
    <w:rsid w:val="5A258B02"/>
    <w:rsid w:val="5A302F2C"/>
    <w:rsid w:val="5A3BF1C5"/>
    <w:rsid w:val="5A47D029"/>
    <w:rsid w:val="5A4A1754"/>
    <w:rsid w:val="5A4AD9CC"/>
    <w:rsid w:val="5A4CDA14"/>
    <w:rsid w:val="5A573219"/>
    <w:rsid w:val="5A60C35A"/>
    <w:rsid w:val="5A6ABD6E"/>
    <w:rsid w:val="5A708011"/>
    <w:rsid w:val="5A800F90"/>
    <w:rsid w:val="5A80469C"/>
    <w:rsid w:val="5A81A639"/>
    <w:rsid w:val="5A8DFAA1"/>
    <w:rsid w:val="5A929584"/>
    <w:rsid w:val="5A97EF19"/>
    <w:rsid w:val="5A98CB49"/>
    <w:rsid w:val="5A9C8113"/>
    <w:rsid w:val="5AA115D8"/>
    <w:rsid w:val="5AAC1E03"/>
    <w:rsid w:val="5AAC36F4"/>
    <w:rsid w:val="5AACD1E2"/>
    <w:rsid w:val="5AB57E77"/>
    <w:rsid w:val="5ABA0743"/>
    <w:rsid w:val="5ADFCA78"/>
    <w:rsid w:val="5AEC86CC"/>
    <w:rsid w:val="5AEE454D"/>
    <w:rsid w:val="5AF1E495"/>
    <w:rsid w:val="5AF49E44"/>
    <w:rsid w:val="5AF69E95"/>
    <w:rsid w:val="5B0D53E2"/>
    <w:rsid w:val="5B29CC75"/>
    <w:rsid w:val="5B30D73A"/>
    <w:rsid w:val="5B366E91"/>
    <w:rsid w:val="5B389D54"/>
    <w:rsid w:val="5B3F6276"/>
    <w:rsid w:val="5B41B4DD"/>
    <w:rsid w:val="5B42F15C"/>
    <w:rsid w:val="5B487E55"/>
    <w:rsid w:val="5B4B2BDD"/>
    <w:rsid w:val="5B4BDE6A"/>
    <w:rsid w:val="5B52A0EF"/>
    <w:rsid w:val="5B5FEE26"/>
    <w:rsid w:val="5B655B8D"/>
    <w:rsid w:val="5B75E61D"/>
    <w:rsid w:val="5B780311"/>
    <w:rsid w:val="5B83C95F"/>
    <w:rsid w:val="5B8D7E1F"/>
    <w:rsid w:val="5B9115EB"/>
    <w:rsid w:val="5B91CA03"/>
    <w:rsid w:val="5B980BF7"/>
    <w:rsid w:val="5BA1A333"/>
    <w:rsid w:val="5BACFDA2"/>
    <w:rsid w:val="5BB8BBC4"/>
    <w:rsid w:val="5BBA1721"/>
    <w:rsid w:val="5BDB1680"/>
    <w:rsid w:val="5BDB9125"/>
    <w:rsid w:val="5BDC90B0"/>
    <w:rsid w:val="5BE9196D"/>
    <w:rsid w:val="5BF0A1B2"/>
    <w:rsid w:val="5BF836C8"/>
    <w:rsid w:val="5BFEE76D"/>
    <w:rsid w:val="5BFFC808"/>
    <w:rsid w:val="5C0CD337"/>
    <w:rsid w:val="5C0E448F"/>
    <w:rsid w:val="5C158E28"/>
    <w:rsid w:val="5C203117"/>
    <w:rsid w:val="5C335493"/>
    <w:rsid w:val="5C34F2FD"/>
    <w:rsid w:val="5C35A1FA"/>
    <w:rsid w:val="5C3A5C0A"/>
    <w:rsid w:val="5C3CB9F8"/>
    <w:rsid w:val="5C41BE5C"/>
    <w:rsid w:val="5C477A17"/>
    <w:rsid w:val="5C58995D"/>
    <w:rsid w:val="5C7C3EE8"/>
    <w:rsid w:val="5C8A14A6"/>
    <w:rsid w:val="5C927BEB"/>
    <w:rsid w:val="5C9B02D0"/>
    <w:rsid w:val="5CA187F1"/>
    <w:rsid w:val="5CAEE4D4"/>
    <w:rsid w:val="5CB9C98B"/>
    <w:rsid w:val="5CC82F5C"/>
    <w:rsid w:val="5CC8CED4"/>
    <w:rsid w:val="5CC8F3A2"/>
    <w:rsid w:val="5CCFBFD7"/>
    <w:rsid w:val="5CCFDAC3"/>
    <w:rsid w:val="5CD59580"/>
    <w:rsid w:val="5CE02E20"/>
    <w:rsid w:val="5CE45184"/>
    <w:rsid w:val="5CF2164C"/>
    <w:rsid w:val="5D07377B"/>
    <w:rsid w:val="5D082C72"/>
    <w:rsid w:val="5D089E62"/>
    <w:rsid w:val="5D116CF6"/>
    <w:rsid w:val="5D183612"/>
    <w:rsid w:val="5D1CDE59"/>
    <w:rsid w:val="5D282F51"/>
    <w:rsid w:val="5D2D640A"/>
    <w:rsid w:val="5D2DA17E"/>
    <w:rsid w:val="5D2DC982"/>
    <w:rsid w:val="5D39A8CF"/>
    <w:rsid w:val="5D41430A"/>
    <w:rsid w:val="5D435C04"/>
    <w:rsid w:val="5D4C7A72"/>
    <w:rsid w:val="5D4D977C"/>
    <w:rsid w:val="5D4E671A"/>
    <w:rsid w:val="5D50BC4F"/>
    <w:rsid w:val="5D529155"/>
    <w:rsid w:val="5D559D82"/>
    <w:rsid w:val="5D5F5129"/>
    <w:rsid w:val="5D6DAFD9"/>
    <w:rsid w:val="5D775BE4"/>
    <w:rsid w:val="5D8330F9"/>
    <w:rsid w:val="5D910DC7"/>
    <w:rsid w:val="5D912067"/>
    <w:rsid w:val="5D9A058D"/>
    <w:rsid w:val="5D9E289F"/>
    <w:rsid w:val="5DAA2785"/>
    <w:rsid w:val="5DAA4BF4"/>
    <w:rsid w:val="5DAB888F"/>
    <w:rsid w:val="5DB11CAF"/>
    <w:rsid w:val="5DB4AECE"/>
    <w:rsid w:val="5DB5B51F"/>
    <w:rsid w:val="5DB9D46C"/>
    <w:rsid w:val="5DBDFCBE"/>
    <w:rsid w:val="5DBE1A78"/>
    <w:rsid w:val="5DD66911"/>
    <w:rsid w:val="5DD72D42"/>
    <w:rsid w:val="5DD841AB"/>
    <w:rsid w:val="5DDF24B6"/>
    <w:rsid w:val="5DE2072F"/>
    <w:rsid w:val="5DE9F069"/>
    <w:rsid w:val="5DEB2E13"/>
    <w:rsid w:val="5DEEFF95"/>
    <w:rsid w:val="5DF258D0"/>
    <w:rsid w:val="5DFAF76F"/>
    <w:rsid w:val="5DFC6F14"/>
    <w:rsid w:val="5E042E3B"/>
    <w:rsid w:val="5E043148"/>
    <w:rsid w:val="5E0513E6"/>
    <w:rsid w:val="5E062084"/>
    <w:rsid w:val="5E0CF477"/>
    <w:rsid w:val="5E0ECC6C"/>
    <w:rsid w:val="5E180423"/>
    <w:rsid w:val="5E26B6C3"/>
    <w:rsid w:val="5E306CC3"/>
    <w:rsid w:val="5E34E71B"/>
    <w:rsid w:val="5E35402B"/>
    <w:rsid w:val="5E3C779C"/>
    <w:rsid w:val="5E48ED1B"/>
    <w:rsid w:val="5E4EE342"/>
    <w:rsid w:val="5E5248E6"/>
    <w:rsid w:val="5E5C26BA"/>
    <w:rsid w:val="5E5ED77C"/>
    <w:rsid w:val="5E61B9D7"/>
    <w:rsid w:val="5E6283D2"/>
    <w:rsid w:val="5E68A8A3"/>
    <w:rsid w:val="5E6A20D1"/>
    <w:rsid w:val="5E7357D1"/>
    <w:rsid w:val="5E7C1E0E"/>
    <w:rsid w:val="5E83806A"/>
    <w:rsid w:val="5E843CD9"/>
    <w:rsid w:val="5E8919A6"/>
    <w:rsid w:val="5E8C2C31"/>
    <w:rsid w:val="5E8F5487"/>
    <w:rsid w:val="5E91EF9A"/>
    <w:rsid w:val="5E92FC02"/>
    <w:rsid w:val="5E95627F"/>
    <w:rsid w:val="5E9CFD3C"/>
    <w:rsid w:val="5EA832B4"/>
    <w:rsid w:val="5EABD79F"/>
    <w:rsid w:val="5EAD735F"/>
    <w:rsid w:val="5EAFE6B7"/>
    <w:rsid w:val="5EB03C32"/>
    <w:rsid w:val="5EB16B8C"/>
    <w:rsid w:val="5EB2BCB1"/>
    <w:rsid w:val="5EB84027"/>
    <w:rsid w:val="5EB92BC8"/>
    <w:rsid w:val="5EC2928E"/>
    <w:rsid w:val="5EC5A950"/>
    <w:rsid w:val="5ECA3F76"/>
    <w:rsid w:val="5ECD70C4"/>
    <w:rsid w:val="5ECE1DEB"/>
    <w:rsid w:val="5ED6019C"/>
    <w:rsid w:val="5EE7BFBB"/>
    <w:rsid w:val="5EE7E506"/>
    <w:rsid w:val="5EECD111"/>
    <w:rsid w:val="5EEED679"/>
    <w:rsid w:val="5EF8A04D"/>
    <w:rsid w:val="5F004F41"/>
    <w:rsid w:val="5F011130"/>
    <w:rsid w:val="5F075EF6"/>
    <w:rsid w:val="5F093FB4"/>
    <w:rsid w:val="5F0A7EB4"/>
    <w:rsid w:val="5F0CF8CF"/>
    <w:rsid w:val="5F11FD78"/>
    <w:rsid w:val="5F19E827"/>
    <w:rsid w:val="5F216636"/>
    <w:rsid w:val="5F255DE3"/>
    <w:rsid w:val="5F2B5AFD"/>
    <w:rsid w:val="5F2C2290"/>
    <w:rsid w:val="5F2DB200"/>
    <w:rsid w:val="5F31FE4E"/>
    <w:rsid w:val="5F326C8D"/>
    <w:rsid w:val="5F3B0940"/>
    <w:rsid w:val="5F3B9F03"/>
    <w:rsid w:val="5F41E248"/>
    <w:rsid w:val="5F462B13"/>
    <w:rsid w:val="5F491254"/>
    <w:rsid w:val="5F49D7F2"/>
    <w:rsid w:val="5F4D3D15"/>
    <w:rsid w:val="5F4F279A"/>
    <w:rsid w:val="5F503B76"/>
    <w:rsid w:val="5F549888"/>
    <w:rsid w:val="5F692997"/>
    <w:rsid w:val="5F6A1246"/>
    <w:rsid w:val="5F73E041"/>
    <w:rsid w:val="5F75C0C3"/>
    <w:rsid w:val="5F7B467C"/>
    <w:rsid w:val="5F7D21B7"/>
    <w:rsid w:val="5F879D4E"/>
    <w:rsid w:val="5F8A3625"/>
    <w:rsid w:val="5F8FB102"/>
    <w:rsid w:val="5F924C14"/>
    <w:rsid w:val="5F9DF2B2"/>
    <w:rsid w:val="5FA818C9"/>
    <w:rsid w:val="5FA9E714"/>
    <w:rsid w:val="5FBB1250"/>
    <w:rsid w:val="5FBB4406"/>
    <w:rsid w:val="5FBFC7E7"/>
    <w:rsid w:val="5FC17A75"/>
    <w:rsid w:val="5FC35206"/>
    <w:rsid w:val="5FC3FD40"/>
    <w:rsid w:val="5FCD4C13"/>
    <w:rsid w:val="5FCE98D6"/>
    <w:rsid w:val="5FD1E1F7"/>
    <w:rsid w:val="5FD35183"/>
    <w:rsid w:val="5FDB5E8B"/>
    <w:rsid w:val="5FDD7D9A"/>
    <w:rsid w:val="5FE31558"/>
    <w:rsid w:val="5FE711E0"/>
    <w:rsid w:val="5FEA541F"/>
    <w:rsid w:val="5FED231C"/>
    <w:rsid w:val="5FEE6D4F"/>
    <w:rsid w:val="5FEE9622"/>
    <w:rsid w:val="60071EF1"/>
    <w:rsid w:val="600B1870"/>
    <w:rsid w:val="601FDFA8"/>
    <w:rsid w:val="60400DF2"/>
    <w:rsid w:val="6042286A"/>
    <w:rsid w:val="604DA9EC"/>
    <w:rsid w:val="604F48F8"/>
    <w:rsid w:val="60504FA1"/>
    <w:rsid w:val="60529A61"/>
    <w:rsid w:val="60543E2F"/>
    <w:rsid w:val="60547BF0"/>
    <w:rsid w:val="6065E103"/>
    <w:rsid w:val="6065F0AB"/>
    <w:rsid w:val="6066FA15"/>
    <w:rsid w:val="60719AFB"/>
    <w:rsid w:val="6072DE6B"/>
    <w:rsid w:val="6073B958"/>
    <w:rsid w:val="60784AF6"/>
    <w:rsid w:val="6079E2D0"/>
    <w:rsid w:val="607B64B7"/>
    <w:rsid w:val="607E846B"/>
    <w:rsid w:val="608490AD"/>
    <w:rsid w:val="60859F03"/>
    <w:rsid w:val="608865B3"/>
    <w:rsid w:val="6094CAAD"/>
    <w:rsid w:val="60A6A44C"/>
    <w:rsid w:val="60A74657"/>
    <w:rsid w:val="60A968FC"/>
    <w:rsid w:val="60C07AE7"/>
    <w:rsid w:val="60C35524"/>
    <w:rsid w:val="60CC8FB8"/>
    <w:rsid w:val="60D6F7BA"/>
    <w:rsid w:val="60D8FCDC"/>
    <w:rsid w:val="60E0A100"/>
    <w:rsid w:val="60E89AAF"/>
    <w:rsid w:val="60EA2211"/>
    <w:rsid w:val="60EA7571"/>
    <w:rsid w:val="60EF12D3"/>
    <w:rsid w:val="60F80D02"/>
    <w:rsid w:val="60F8ADB7"/>
    <w:rsid w:val="60FF7BC0"/>
    <w:rsid w:val="61034CD2"/>
    <w:rsid w:val="6109D015"/>
    <w:rsid w:val="6109F682"/>
    <w:rsid w:val="610DBCCA"/>
    <w:rsid w:val="61170FE9"/>
    <w:rsid w:val="611A847A"/>
    <w:rsid w:val="6122D409"/>
    <w:rsid w:val="612CE990"/>
    <w:rsid w:val="612EE1D8"/>
    <w:rsid w:val="61324AA8"/>
    <w:rsid w:val="613B3366"/>
    <w:rsid w:val="6143D162"/>
    <w:rsid w:val="6147B3EC"/>
    <w:rsid w:val="61511BED"/>
    <w:rsid w:val="615DEA22"/>
    <w:rsid w:val="6166B553"/>
    <w:rsid w:val="616E63CA"/>
    <w:rsid w:val="616F453B"/>
    <w:rsid w:val="61711F4B"/>
    <w:rsid w:val="6176E71E"/>
    <w:rsid w:val="617B82C1"/>
    <w:rsid w:val="617F9710"/>
    <w:rsid w:val="6180AAFC"/>
    <w:rsid w:val="6189E49A"/>
    <w:rsid w:val="6197D64F"/>
    <w:rsid w:val="61A6BA12"/>
    <w:rsid w:val="61AC8991"/>
    <w:rsid w:val="61B18B1E"/>
    <w:rsid w:val="61B551ED"/>
    <w:rsid w:val="61B564E3"/>
    <w:rsid w:val="61BA3711"/>
    <w:rsid w:val="61BB68ED"/>
    <w:rsid w:val="61C173BA"/>
    <w:rsid w:val="61CAC985"/>
    <w:rsid w:val="61CC0619"/>
    <w:rsid w:val="61CFB321"/>
    <w:rsid w:val="61D2E708"/>
    <w:rsid w:val="61E12266"/>
    <w:rsid w:val="61ED9DDA"/>
    <w:rsid w:val="61F214A8"/>
    <w:rsid w:val="61F552E6"/>
    <w:rsid w:val="6200148B"/>
    <w:rsid w:val="620749B5"/>
    <w:rsid w:val="6209AC02"/>
    <w:rsid w:val="621B79BC"/>
    <w:rsid w:val="621DC73D"/>
    <w:rsid w:val="621F8E03"/>
    <w:rsid w:val="62297926"/>
    <w:rsid w:val="622F0D84"/>
    <w:rsid w:val="6233A27F"/>
    <w:rsid w:val="62378636"/>
    <w:rsid w:val="6237C272"/>
    <w:rsid w:val="6237DBA3"/>
    <w:rsid w:val="62382F37"/>
    <w:rsid w:val="6244B47F"/>
    <w:rsid w:val="6245054F"/>
    <w:rsid w:val="6246C586"/>
    <w:rsid w:val="6247A739"/>
    <w:rsid w:val="62494890"/>
    <w:rsid w:val="6254303A"/>
    <w:rsid w:val="6256A0B9"/>
    <w:rsid w:val="6269F5D1"/>
    <w:rsid w:val="626B1ED8"/>
    <w:rsid w:val="626DA397"/>
    <w:rsid w:val="626E76E3"/>
    <w:rsid w:val="62795F25"/>
    <w:rsid w:val="627C4278"/>
    <w:rsid w:val="62828867"/>
    <w:rsid w:val="62848B5E"/>
    <w:rsid w:val="6287A615"/>
    <w:rsid w:val="628A23AF"/>
    <w:rsid w:val="628A66C6"/>
    <w:rsid w:val="62975BF1"/>
    <w:rsid w:val="6298270A"/>
    <w:rsid w:val="629CD42B"/>
    <w:rsid w:val="62A24F13"/>
    <w:rsid w:val="62A3BCFE"/>
    <w:rsid w:val="62A84221"/>
    <w:rsid w:val="62AA327F"/>
    <w:rsid w:val="62AF19B2"/>
    <w:rsid w:val="62AF4DB8"/>
    <w:rsid w:val="62B40A9B"/>
    <w:rsid w:val="62BF039C"/>
    <w:rsid w:val="62C27FD0"/>
    <w:rsid w:val="62C30684"/>
    <w:rsid w:val="62CC2B41"/>
    <w:rsid w:val="62D4BFB9"/>
    <w:rsid w:val="62D6FD4F"/>
    <w:rsid w:val="62D93690"/>
    <w:rsid w:val="62D9B80C"/>
    <w:rsid w:val="62E3F910"/>
    <w:rsid w:val="62E69D75"/>
    <w:rsid w:val="62E8F747"/>
    <w:rsid w:val="62EAE47F"/>
    <w:rsid w:val="62F5D49E"/>
    <w:rsid w:val="62F7DAB8"/>
    <w:rsid w:val="62FA3824"/>
    <w:rsid w:val="6308F2B2"/>
    <w:rsid w:val="6309AB2C"/>
    <w:rsid w:val="630F1A4C"/>
    <w:rsid w:val="63114B67"/>
    <w:rsid w:val="63142E3C"/>
    <w:rsid w:val="6319062B"/>
    <w:rsid w:val="63246B05"/>
    <w:rsid w:val="63258BCE"/>
    <w:rsid w:val="63295310"/>
    <w:rsid w:val="632E91BB"/>
    <w:rsid w:val="63359FC0"/>
    <w:rsid w:val="63475213"/>
    <w:rsid w:val="63477FF0"/>
    <w:rsid w:val="634FE8DA"/>
    <w:rsid w:val="63544676"/>
    <w:rsid w:val="6359E013"/>
    <w:rsid w:val="635D24A4"/>
    <w:rsid w:val="6364E8F7"/>
    <w:rsid w:val="6365B3D5"/>
    <w:rsid w:val="63695EA8"/>
    <w:rsid w:val="636BEE13"/>
    <w:rsid w:val="637846E8"/>
    <w:rsid w:val="637F57E7"/>
    <w:rsid w:val="638828A5"/>
    <w:rsid w:val="639A2F83"/>
    <w:rsid w:val="639DA34A"/>
    <w:rsid w:val="63A01F8D"/>
    <w:rsid w:val="63A2E41C"/>
    <w:rsid w:val="63A6969A"/>
    <w:rsid w:val="63A94881"/>
    <w:rsid w:val="63A992E1"/>
    <w:rsid w:val="63AE9753"/>
    <w:rsid w:val="63B000FE"/>
    <w:rsid w:val="63BBC429"/>
    <w:rsid w:val="63C04E2C"/>
    <w:rsid w:val="63CC4954"/>
    <w:rsid w:val="63D044D5"/>
    <w:rsid w:val="63D48F33"/>
    <w:rsid w:val="63D70F39"/>
    <w:rsid w:val="63E7EDEC"/>
    <w:rsid w:val="63F273BC"/>
    <w:rsid w:val="63F90166"/>
    <w:rsid w:val="63FAA3BE"/>
    <w:rsid w:val="64017AFF"/>
    <w:rsid w:val="6402A4E5"/>
    <w:rsid w:val="64052D9A"/>
    <w:rsid w:val="64089115"/>
    <w:rsid w:val="640D96A4"/>
    <w:rsid w:val="640F0C81"/>
    <w:rsid w:val="6410028B"/>
    <w:rsid w:val="6415BE0B"/>
    <w:rsid w:val="64167E54"/>
    <w:rsid w:val="6418639A"/>
    <w:rsid w:val="641B3006"/>
    <w:rsid w:val="641E8F71"/>
    <w:rsid w:val="6421A499"/>
    <w:rsid w:val="642A5407"/>
    <w:rsid w:val="642CEA16"/>
    <w:rsid w:val="6432E0C6"/>
    <w:rsid w:val="6443CA98"/>
    <w:rsid w:val="6459524F"/>
    <w:rsid w:val="6465883E"/>
    <w:rsid w:val="646AEAA2"/>
    <w:rsid w:val="646B658A"/>
    <w:rsid w:val="646F2AD1"/>
    <w:rsid w:val="646FCAF8"/>
    <w:rsid w:val="64730D4C"/>
    <w:rsid w:val="64745122"/>
    <w:rsid w:val="6480A975"/>
    <w:rsid w:val="64819455"/>
    <w:rsid w:val="6481FF29"/>
    <w:rsid w:val="64859E01"/>
    <w:rsid w:val="64863886"/>
    <w:rsid w:val="648CB746"/>
    <w:rsid w:val="6491A417"/>
    <w:rsid w:val="64948904"/>
    <w:rsid w:val="64986B2F"/>
    <w:rsid w:val="64A52B5E"/>
    <w:rsid w:val="64A5B0AF"/>
    <w:rsid w:val="64A6FEF0"/>
    <w:rsid w:val="64AC6908"/>
    <w:rsid w:val="64AD9B46"/>
    <w:rsid w:val="64B09457"/>
    <w:rsid w:val="64B57B67"/>
    <w:rsid w:val="64B7B946"/>
    <w:rsid w:val="64B88960"/>
    <w:rsid w:val="64BEB8F1"/>
    <w:rsid w:val="64C45CCA"/>
    <w:rsid w:val="64C58378"/>
    <w:rsid w:val="64D22101"/>
    <w:rsid w:val="64DA423B"/>
    <w:rsid w:val="64DB74AD"/>
    <w:rsid w:val="64E469C7"/>
    <w:rsid w:val="64E69735"/>
    <w:rsid w:val="64E9A08C"/>
    <w:rsid w:val="64EECA8F"/>
    <w:rsid w:val="64F3CC0D"/>
    <w:rsid w:val="64FE5821"/>
    <w:rsid w:val="65000103"/>
    <w:rsid w:val="6515252F"/>
    <w:rsid w:val="651CAF23"/>
    <w:rsid w:val="651DDC10"/>
    <w:rsid w:val="651E91D4"/>
    <w:rsid w:val="652141EA"/>
    <w:rsid w:val="65263029"/>
    <w:rsid w:val="652D21E6"/>
    <w:rsid w:val="65322342"/>
    <w:rsid w:val="6548E743"/>
    <w:rsid w:val="65505BA8"/>
    <w:rsid w:val="65556AE4"/>
    <w:rsid w:val="655893EE"/>
    <w:rsid w:val="6561081B"/>
    <w:rsid w:val="65617D61"/>
    <w:rsid w:val="656DA916"/>
    <w:rsid w:val="657260D7"/>
    <w:rsid w:val="657E9F5E"/>
    <w:rsid w:val="6589F9A2"/>
    <w:rsid w:val="65977C82"/>
    <w:rsid w:val="65AD4CAE"/>
    <w:rsid w:val="65B46059"/>
    <w:rsid w:val="65B587B5"/>
    <w:rsid w:val="65B61BC9"/>
    <w:rsid w:val="65B88849"/>
    <w:rsid w:val="65B8AB09"/>
    <w:rsid w:val="65BBF946"/>
    <w:rsid w:val="65C76909"/>
    <w:rsid w:val="65DDD7E9"/>
    <w:rsid w:val="65ECDE59"/>
    <w:rsid w:val="65EF46C6"/>
    <w:rsid w:val="6607FC60"/>
    <w:rsid w:val="66106BED"/>
    <w:rsid w:val="661734A6"/>
    <w:rsid w:val="661F6735"/>
    <w:rsid w:val="66221FFC"/>
    <w:rsid w:val="662CFD6C"/>
    <w:rsid w:val="66320C49"/>
    <w:rsid w:val="6633CF92"/>
    <w:rsid w:val="66346EB3"/>
    <w:rsid w:val="663AF753"/>
    <w:rsid w:val="663FD2FB"/>
    <w:rsid w:val="6640AAF0"/>
    <w:rsid w:val="6641A29C"/>
    <w:rsid w:val="664450DB"/>
    <w:rsid w:val="664A0324"/>
    <w:rsid w:val="664A865D"/>
    <w:rsid w:val="664EA4FB"/>
    <w:rsid w:val="66582527"/>
    <w:rsid w:val="6658A443"/>
    <w:rsid w:val="665DD6DE"/>
    <w:rsid w:val="665EE553"/>
    <w:rsid w:val="666490A7"/>
    <w:rsid w:val="666755B1"/>
    <w:rsid w:val="666D159C"/>
    <w:rsid w:val="666FD2D3"/>
    <w:rsid w:val="6673C052"/>
    <w:rsid w:val="66793CDF"/>
    <w:rsid w:val="667955D7"/>
    <w:rsid w:val="667B120C"/>
    <w:rsid w:val="667BC85B"/>
    <w:rsid w:val="66925628"/>
    <w:rsid w:val="66A14D4F"/>
    <w:rsid w:val="66A2BEB6"/>
    <w:rsid w:val="66A379FF"/>
    <w:rsid w:val="66A477F3"/>
    <w:rsid w:val="66BAE386"/>
    <w:rsid w:val="66BDAAEF"/>
    <w:rsid w:val="66C1C10C"/>
    <w:rsid w:val="66C4A9E6"/>
    <w:rsid w:val="66C6A452"/>
    <w:rsid w:val="66CC1A39"/>
    <w:rsid w:val="66CC6955"/>
    <w:rsid w:val="66CE605D"/>
    <w:rsid w:val="66CED825"/>
    <w:rsid w:val="66D657A4"/>
    <w:rsid w:val="66DA5CAF"/>
    <w:rsid w:val="66DE7E1A"/>
    <w:rsid w:val="66E8125A"/>
    <w:rsid w:val="66ED30D8"/>
    <w:rsid w:val="66FCCD75"/>
    <w:rsid w:val="670266DE"/>
    <w:rsid w:val="670A3AC0"/>
    <w:rsid w:val="670B7800"/>
    <w:rsid w:val="6715BAF1"/>
    <w:rsid w:val="671B0F22"/>
    <w:rsid w:val="6728C25E"/>
    <w:rsid w:val="672D3663"/>
    <w:rsid w:val="6731C3E2"/>
    <w:rsid w:val="67344FF5"/>
    <w:rsid w:val="6736AB0D"/>
    <w:rsid w:val="67376317"/>
    <w:rsid w:val="6737BBF4"/>
    <w:rsid w:val="673DEC01"/>
    <w:rsid w:val="6741FE89"/>
    <w:rsid w:val="6743F427"/>
    <w:rsid w:val="67476542"/>
    <w:rsid w:val="6749B16A"/>
    <w:rsid w:val="6750DAEF"/>
    <w:rsid w:val="6754747B"/>
    <w:rsid w:val="6777C788"/>
    <w:rsid w:val="677B97C2"/>
    <w:rsid w:val="678B4ACA"/>
    <w:rsid w:val="678E1AB4"/>
    <w:rsid w:val="6796A08D"/>
    <w:rsid w:val="67B18549"/>
    <w:rsid w:val="67B3A439"/>
    <w:rsid w:val="67B743C1"/>
    <w:rsid w:val="67B84C42"/>
    <w:rsid w:val="67B8ED2E"/>
    <w:rsid w:val="67BF356A"/>
    <w:rsid w:val="67C15D3F"/>
    <w:rsid w:val="67C98668"/>
    <w:rsid w:val="67D203B1"/>
    <w:rsid w:val="67D32227"/>
    <w:rsid w:val="67D414C0"/>
    <w:rsid w:val="67DFD268"/>
    <w:rsid w:val="67E9E64A"/>
    <w:rsid w:val="67F310EC"/>
    <w:rsid w:val="67F92C4B"/>
    <w:rsid w:val="67FADBF5"/>
    <w:rsid w:val="67FF5DF5"/>
    <w:rsid w:val="680302B5"/>
    <w:rsid w:val="6806BA36"/>
    <w:rsid w:val="68129606"/>
    <w:rsid w:val="68168839"/>
    <w:rsid w:val="681F44AA"/>
    <w:rsid w:val="681FFC17"/>
    <w:rsid w:val="68237952"/>
    <w:rsid w:val="6829BBE8"/>
    <w:rsid w:val="682B9653"/>
    <w:rsid w:val="682DE6F8"/>
    <w:rsid w:val="6831D931"/>
    <w:rsid w:val="6839C16F"/>
    <w:rsid w:val="683A8B6C"/>
    <w:rsid w:val="683F2F16"/>
    <w:rsid w:val="68429176"/>
    <w:rsid w:val="6846CD69"/>
    <w:rsid w:val="684C8A54"/>
    <w:rsid w:val="68594E05"/>
    <w:rsid w:val="686811A6"/>
    <w:rsid w:val="6869516E"/>
    <w:rsid w:val="6869D2A8"/>
    <w:rsid w:val="686ADD33"/>
    <w:rsid w:val="6875E3B9"/>
    <w:rsid w:val="687915ED"/>
    <w:rsid w:val="687C67DF"/>
    <w:rsid w:val="6884D79B"/>
    <w:rsid w:val="688DF6CA"/>
    <w:rsid w:val="688F6576"/>
    <w:rsid w:val="688FD2E8"/>
    <w:rsid w:val="6893785D"/>
    <w:rsid w:val="6895AD74"/>
    <w:rsid w:val="68975490"/>
    <w:rsid w:val="68B0D6EE"/>
    <w:rsid w:val="68B414DE"/>
    <w:rsid w:val="68B9A42F"/>
    <w:rsid w:val="68BBB697"/>
    <w:rsid w:val="68BC9C36"/>
    <w:rsid w:val="68C4D441"/>
    <w:rsid w:val="68CA7424"/>
    <w:rsid w:val="68CBA36B"/>
    <w:rsid w:val="68CCF974"/>
    <w:rsid w:val="68CE906C"/>
    <w:rsid w:val="68D6392C"/>
    <w:rsid w:val="68E0F30B"/>
    <w:rsid w:val="68F929A2"/>
    <w:rsid w:val="690B8351"/>
    <w:rsid w:val="69108888"/>
    <w:rsid w:val="6911BDCF"/>
    <w:rsid w:val="691348D7"/>
    <w:rsid w:val="6914E75C"/>
    <w:rsid w:val="69158B03"/>
    <w:rsid w:val="6916408D"/>
    <w:rsid w:val="6916DD1D"/>
    <w:rsid w:val="6917C8EB"/>
    <w:rsid w:val="691AA794"/>
    <w:rsid w:val="69367283"/>
    <w:rsid w:val="6944A3EB"/>
    <w:rsid w:val="69461C63"/>
    <w:rsid w:val="6948AFA9"/>
    <w:rsid w:val="694A22AF"/>
    <w:rsid w:val="6951F4A5"/>
    <w:rsid w:val="695389D5"/>
    <w:rsid w:val="6953CB58"/>
    <w:rsid w:val="695E2B00"/>
    <w:rsid w:val="6964D6CF"/>
    <w:rsid w:val="696B733F"/>
    <w:rsid w:val="696BB785"/>
    <w:rsid w:val="6975F8C4"/>
    <w:rsid w:val="697E4BF9"/>
    <w:rsid w:val="69824AAA"/>
    <w:rsid w:val="6983652F"/>
    <w:rsid w:val="6983B023"/>
    <w:rsid w:val="69856AC4"/>
    <w:rsid w:val="699BEB1A"/>
    <w:rsid w:val="699F1CC1"/>
    <w:rsid w:val="69BA56A1"/>
    <w:rsid w:val="69CCFDF1"/>
    <w:rsid w:val="69D2CDD3"/>
    <w:rsid w:val="69D8ACF8"/>
    <w:rsid w:val="69E87FD2"/>
    <w:rsid w:val="69F64114"/>
    <w:rsid w:val="69FB3347"/>
    <w:rsid w:val="69FF629F"/>
    <w:rsid w:val="6A016848"/>
    <w:rsid w:val="6A0477ED"/>
    <w:rsid w:val="6A0B6678"/>
    <w:rsid w:val="6A17F7CE"/>
    <w:rsid w:val="6A23196B"/>
    <w:rsid w:val="6A24494E"/>
    <w:rsid w:val="6A245095"/>
    <w:rsid w:val="6A303E17"/>
    <w:rsid w:val="6A30ED1B"/>
    <w:rsid w:val="6A39BC32"/>
    <w:rsid w:val="6A3F12D7"/>
    <w:rsid w:val="6A57A360"/>
    <w:rsid w:val="6A5AC14F"/>
    <w:rsid w:val="6A6A02C3"/>
    <w:rsid w:val="6A751B57"/>
    <w:rsid w:val="6A7FC82C"/>
    <w:rsid w:val="6A7FE415"/>
    <w:rsid w:val="6A92DCEF"/>
    <w:rsid w:val="6A9434FD"/>
    <w:rsid w:val="6A979F96"/>
    <w:rsid w:val="6A9D4FD6"/>
    <w:rsid w:val="6AA689DB"/>
    <w:rsid w:val="6AA802DF"/>
    <w:rsid w:val="6AB460BA"/>
    <w:rsid w:val="6AB93879"/>
    <w:rsid w:val="6ABF2E3F"/>
    <w:rsid w:val="6AC4881B"/>
    <w:rsid w:val="6AC7DED3"/>
    <w:rsid w:val="6AC899FB"/>
    <w:rsid w:val="6AD4A737"/>
    <w:rsid w:val="6AD85E7F"/>
    <w:rsid w:val="6AE1029A"/>
    <w:rsid w:val="6AE4F227"/>
    <w:rsid w:val="6AE4FFC9"/>
    <w:rsid w:val="6AE60957"/>
    <w:rsid w:val="6AE8EAD2"/>
    <w:rsid w:val="6AEBD78F"/>
    <w:rsid w:val="6AEDC24F"/>
    <w:rsid w:val="6AEDD9B9"/>
    <w:rsid w:val="6AF076D3"/>
    <w:rsid w:val="6AF0BC62"/>
    <w:rsid w:val="6AF3C778"/>
    <w:rsid w:val="6AF6893C"/>
    <w:rsid w:val="6AF78770"/>
    <w:rsid w:val="6B0B9ECD"/>
    <w:rsid w:val="6B0F17A7"/>
    <w:rsid w:val="6B1400B3"/>
    <w:rsid w:val="6B183E4E"/>
    <w:rsid w:val="6B1DE77B"/>
    <w:rsid w:val="6B36A38F"/>
    <w:rsid w:val="6B3B901A"/>
    <w:rsid w:val="6B3C566F"/>
    <w:rsid w:val="6B404386"/>
    <w:rsid w:val="6B4B6FF8"/>
    <w:rsid w:val="6B4E40AE"/>
    <w:rsid w:val="6B54DEFE"/>
    <w:rsid w:val="6B5BAC44"/>
    <w:rsid w:val="6B645E4A"/>
    <w:rsid w:val="6B6BADCE"/>
    <w:rsid w:val="6B6BB5D2"/>
    <w:rsid w:val="6B6CF782"/>
    <w:rsid w:val="6B6FEE09"/>
    <w:rsid w:val="6B780A56"/>
    <w:rsid w:val="6B788B4E"/>
    <w:rsid w:val="6B7DAAAD"/>
    <w:rsid w:val="6B7FB301"/>
    <w:rsid w:val="6B80251D"/>
    <w:rsid w:val="6B8107F3"/>
    <w:rsid w:val="6B8A93D4"/>
    <w:rsid w:val="6B8FA34E"/>
    <w:rsid w:val="6B933E5D"/>
    <w:rsid w:val="6B974F83"/>
    <w:rsid w:val="6B97F6B7"/>
    <w:rsid w:val="6B99AA80"/>
    <w:rsid w:val="6B9AD2FB"/>
    <w:rsid w:val="6BAC6EF7"/>
    <w:rsid w:val="6BAEC898"/>
    <w:rsid w:val="6BB0582E"/>
    <w:rsid w:val="6BC95162"/>
    <w:rsid w:val="6BCAB53C"/>
    <w:rsid w:val="6BCE1E94"/>
    <w:rsid w:val="6BEA774B"/>
    <w:rsid w:val="6BEB934E"/>
    <w:rsid w:val="6BEE1BDC"/>
    <w:rsid w:val="6BF87C50"/>
    <w:rsid w:val="6BFD4453"/>
    <w:rsid w:val="6C0496D1"/>
    <w:rsid w:val="6C084616"/>
    <w:rsid w:val="6C0E504A"/>
    <w:rsid w:val="6C14C721"/>
    <w:rsid w:val="6C1A9909"/>
    <w:rsid w:val="6C1E4BEB"/>
    <w:rsid w:val="6C3394BC"/>
    <w:rsid w:val="6C33996A"/>
    <w:rsid w:val="6C477FB5"/>
    <w:rsid w:val="6C4BD1BA"/>
    <w:rsid w:val="6C527208"/>
    <w:rsid w:val="6C6F57E3"/>
    <w:rsid w:val="6C6F6D3D"/>
    <w:rsid w:val="6C709603"/>
    <w:rsid w:val="6C723879"/>
    <w:rsid w:val="6C800D3C"/>
    <w:rsid w:val="6C845A4F"/>
    <w:rsid w:val="6C87548B"/>
    <w:rsid w:val="6C89DD5A"/>
    <w:rsid w:val="6C89F011"/>
    <w:rsid w:val="6C8E4B7C"/>
    <w:rsid w:val="6C903AFB"/>
    <w:rsid w:val="6C9E44E2"/>
    <w:rsid w:val="6CA3448E"/>
    <w:rsid w:val="6CBA8371"/>
    <w:rsid w:val="6CBDFEA3"/>
    <w:rsid w:val="6CBE1AC6"/>
    <w:rsid w:val="6CBF838C"/>
    <w:rsid w:val="6CC1A703"/>
    <w:rsid w:val="6CCE786B"/>
    <w:rsid w:val="6CD06C4C"/>
    <w:rsid w:val="6CDEB348"/>
    <w:rsid w:val="6CE2D547"/>
    <w:rsid w:val="6CE53F51"/>
    <w:rsid w:val="6CF676E0"/>
    <w:rsid w:val="6CF6CB48"/>
    <w:rsid w:val="6D031E18"/>
    <w:rsid w:val="6D05FEB3"/>
    <w:rsid w:val="6D146502"/>
    <w:rsid w:val="6D184EA5"/>
    <w:rsid w:val="6D1E2F1B"/>
    <w:rsid w:val="6D3C81CE"/>
    <w:rsid w:val="6D3E5264"/>
    <w:rsid w:val="6D4B56EA"/>
    <w:rsid w:val="6D4EE083"/>
    <w:rsid w:val="6D5D16CF"/>
    <w:rsid w:val="6D5DDAA0"/>
    <w:rsid w:val="6D5E7922"/>
    <w:rsid w:val="6D5E85F4"/>
    <w:rsid w:val="6D612029"/>
    <w:rsid w:val="6D6194C9"/>
    <w:rsid w:val="6D62A311"/>
    <w:rsid w:val="6D6460DE"/>
    <w:rsid w:val="6D68C94A"/>
    <w:rsid w:val="6D87227A"/>
    <w:rsid w:val="6D947EE4"/>
    <w:rsid w:val="6D954D59"/>
    <w:rsid w:val="6D974F59"/>
    <w:rsid w:val="6D979C3A"/>
    <w:rsid w:val="6DABAE23"/>
    <w:rsid w:val="6DC318CB"/>
    <w:rsid w:val="6DC37393"/>
    <w:rsid w:val="6DC467C7"/>
    <w:rsid w:val="6DC56688"/>
    <w:rsid w:val="6DC59520"/>
    <w:rsid w:val="6DCA00D0"/>
    <w:rsid w:val="6DCCABDC"/>
    <w:rsid w:val="6DCF44E5"/>
    <w:rsid w:val="6DDE36A4"/>
    <w:rsid w:val="6DE0DF9A"/>
    <w:rsid w:val="6DE710DD"/>
    <w:rsid w:val="6DE784C7"/>
    <w:rsid w:val="6DF0C10F"/>
    <w:rsid w:val="6DF3E619"/>
    <w:rsid w:val="6DF5D554"/>
    <w:rsid w:val="6DFB36BF"/>
    <w:rsid w:val="6DFD1FDF"/>
    <w:rsid w:val="6E0D9B26"/>
    <w:rsid w:val="6E14FED1"/>
    <w:rsid w:val="6E2CD065"/>
    <w:rsid w:val="6E316C8E"/>
    <w:rsid w:val="6E40AE12"/>
    <w:rsid w:val="6E4A8483"/>
    <w:rsid w:val="6E506F82"/>
    <w:rsid w:val="6E518895"/>
    <w:rsid w:val="6E52E417"/>
    <w:rsid w:val="6E68E1B4"/>
    <w:rsid w:val="6E6E5CD3"/>
    <w:rsid w:val="6E7F0FC9"/>
    <w:rsid w:val="6E89C791"/>
    <w:rsid w:val="6E8AC491"/>
    <w:rsid w:val="6E92484A"/>
    <w:rsid w:val="6E947E30"/>
    <w:rsid w:val="6E9654B9"/>
    <w:rsid w:val="6E9EEF38"/>
    <w:rsid w:val="6EA5D9A1"/>
    <w:rsid w:val="6EA9D02A"/>
    <w:rsid w:val="6EABD13C"/>
    <w:rsid w:val="6EB26B93"/>
    <w:rsid w:val="6EB5B158"/>
    <w:rsid w:val="6EBAF4E3"/>
    <w:rsid w:val="6EBD67AD"/>
    <w:rsid w:val="6EC870C8"/>
    <w:rsid w:val="6ED16FD2"/>
    <w:rsid w:val="6ED7860D"/>
    <w:rsid w:val="6EE3B04E"/>
    <w:rsid w:val="6EF37028"/>
    <w:rsid w:val="6EF5B39D"/>
    <w:rsid w:val="6EF601D4"/>
    <w:rsid w:val="6F038334"/>
    <w:rsid w:val="6F17DE62"/>
    <w:rsid w:val="6F185E76"/>
    <w:rsid w:val="6F1E9D13"/>
    <w:rsid w:val="6F3264C9"/>
    <w:rsid w:val="6F4104A7"/>
    <w:rsid w:val="6F4A82A3"/>
    <w:rsid w:val="6F4B6387"/>
    <w:rsid w:val="6F4D47A1"/>
    <w:rsid w:val="6F5B19B2"/>
    <w:rsid w:val="6F64A1EE"/>
    <w:rsid w:val="6F6A08B4"/>
    <w:rsid w:val="6F6AC3B1"/>
    <w:rsid w:val="6F6BBCCE"/>
    <w:rsid w:val="6F76D214"/>
    <w:rsid w:val="6F77A9A5"/>
    <w:rsid w:val="6F792BA1"/>
    <w:rsid w:val="6F797AEF"/>
    <w:rsid w:val="6F7A4A08"/>
    <w:rsid w:val="6F7FF6E0"/>
    <w:rsid w:val="6F84AB29"/>
    <w:rsid w:val="6F859E25"/>
    <w:rsid w:val="6F885BC8"/>
    <w:rsid w:val="6F8B7DDA"/>
    <w:rsid w:val="6F8DABEC"/>
    <w:rsid w:val="6F92DE25"/>
    <w:rsid w:val="6F95C75E"/>
    <w:rsid w:val="6F98ADE9"/>
    <w:rsid w:val="6FA0A7F9"/>
    <w:rsid w:val="6FA5E07E"/>
    <w:rsid w:val="6FA88013"/>
    <w:rsid w:val="6FACC0CE"/>
    <w:rsid w:val="6FB8D7BF"/>
    <w:rsid w:val="6FB9BAAE"/>
    <w:rsid w:val="6FBAD619"/>
    <w:rsid w:val="6FBD77CE"/>
    <w:rsid w:val="6FBE6CD5"/>
    <w:rsid w:val="6FC3F602"/>
    <w:rsid w:val="6FC78E19"/>
    <w:rsid w:val="6FD444B7"/>
    <w:rsid w:val="6FE383FA"/>
    <w:rsid w:val="6FE8AB43"/>
    <w:rsid w:val="6FEEB2FB"/>
    <w:rsid w:val="6FF0F443"/>
    <w:rsid w:val="6FF40F9B"/>
    <w:rsid w:val="6FF78E61"/>
    <w:rsid w:val="700126E3"/>
    <w:rsid w:val="7009B70E"/>
    <w:rsid w:val="700DC5D3"/>
    <w:rsid w:val="7015E422"/>
    <w:rsid w:val="7017E6DD"/>
    <w:rsid w:val="701A5BE3"/>
    <w:rsid w:val="701C6096"/>
    <w:rsid w:val="701EA097"/>
    <w:rsid w:val="7028510D"/>
    <w:rsid w:val="702BB45D"/>
    <w:rsid w:val="702F3CF0"/>
    <w:rsid w:val="702FF013"/>
    <w:rsid w:val="7036D0DD"/>
    <w:rsid w:val="70408B6A"/>
    <w:rsid w:val="7043CBC7"/>
    <w:rsid w:val="70477C62"/>
    <w:rsid w:val="7049A873"/>
    <w:rsid w:val="704B0CBA"/>
    <w:rsid w:val="704DB568"/>
    <w:rsid w:val="7053822C"/>
    <w:rsid w:val="706C649B"/>
    <w:rsid w:val="7070AF2B"/>
    <w:rsid w:val="70717156"/>
    <w:rsid w:val="707E778A"/>
    <w:rsid w:val="7085C145"/>
    <w:rsid w:val="7089E559"/>
    <w:rsid w:val="708AE4A9"/>
    <w:rsid w:val="70913552"/>
    <w:rsid w:val="7096AA96"/>
    <w:rsid w:val="709D7CD9"/>
    <w:rsid w:val="70A43467"/>
    <w:rsid w:val="70A8DB27"/>
    <w:rsid w:val="70AA7E55"/>
    <w:rsid w:val="70ADB5F3"/>
    <w:rsid w:val="70BBEA02"/>
    <w:rsid w:val="70BC29C7"/>
    <w:rsid w:val="70BE5D63"/>
    <w:rsid w:val="70BFD558"/>
    <w:rsid w:val="70C51D81"/>
    <w:rsid w:val="70D820D3"/>
    <w:rsid w:val="70DC2D5B"/>
    <w:rsid w:val="70E8AA70"/>
    <w:rsid w:val="70EADB96"/>
    <w:rsid w:val="70F3E3F0"/>
    <w:rsid w:val="70F781ED"/>
    <w:rsid w:val="70FEF15A"/>
    <w:rsid w:val="71037CBA"/>
    <w:rsid w:val="710CA5E6"/>
    <w:rsid w:val="710FF3C0"/>
    <w:rsid w:val="71119352"/>
    <w:rsid w:val="7113D9CF"/>
    <w:rsid w:val="711627E4"/>
    <w:rsid w:val="7118EA2B"/>
    <w:rsid w:val="71274ADB"/>
    <w:rsid w:val="712B3ECE"/>
    <w:rsid w:val="713534D1"/>
    <w:rsid w:val="71395B16"/>
    <w:rsid w:val="713BC077"/>
    <w:rsid w:val="713CA83E"/>
    <w:rsid w:val="713E8B35"/>
    <w:rsid w:val="715CA6E3"/>
    <w:rsid w:val="71786B7D"/>
    <w:rsid w:val="71891934"/>
    <w:rsid w:val="71930357"/>
    <w:rsid w:val="71A78AF2"/>
    <w:rsid w:val="71AB7CD5"/>
    <w:rsid w:val="71AFD89F"/>
    <w:rsid w:val="71B1D236"/>
    <w:rsid w:val="71B743DF"/>
    <w:rsid w:val="71C6F99C"/>
    <w:rsid w:val="71CFB790"/>
    <w:rsid w:val="71D862FD"/>
    <w:rsid w:val="71DA26F9"/>
    <w:rsid w:val="71DFA2C6"/>
    <w:rsid w:val="71E1D46F"/>
    <w:rsid w:val="71E212FD"/>
    <w:rsid w:val="71E22C76"/>
    <w:rsid w:val="71E2B33A"/>
    <w:rsid w:val="71E45A34"/>
    <w:rsid w:val="71ECD94D"/>
    <w:rsid w:val="71F3DEA8"/>
    <w:rsid w:val="71F52A64"/>
    <w:rsid w:val="72094D15"/>
    <w:rsid w:val="720AABE4"/>
    <w:rsid w:val="7217814B"/>
    <w:rsid w:val="721FDC65"/>
    <w:rsid w:val="72292550"/>
    <w:rsid w:val="722D14ED"/>
    <w:rsid w:val="7238AB01"/>
    <w:rsid w:val="723C7516"/>
    <w:rsid w:val="723F3D90"/>
    <w:rsid w:val="7242C295"/>
    <w:rsid w:val="7242E841"/>
    <w:rsid w:val="72457B84"/>
    <w:rsid w:val="7247E89F"/>
    <w:rsid w:val="724B457B"/>
    <w:rsid w:val="725A9498"/>
    <w:rsid w:val="725C73C6"/>
    <w:rsid w:val="72604D72"/>
    <w:rsid w:val="726441D7"/>
    <w:rsid w:val="72687861"/>
    <w:rsid w:val="726EFBD7"/>
    <w:rsid w:val="726F447F"/>
    <w:rsid w:val="727A06A5"/>
    <w:rsid w:val="727A7FC4"/>
    <w:rsid w:val="727D6519"/>
    <w:rsid w:val="727EA8F9"/>
    <w:rsid w:val="7285CA2B"/>
    <w:rsid w:val="72878361"/>
    <w:rsid w:val="728F22BA"/>
    <w:rsid w:val="7296DD0E"/>
    <w:rsid w:val="72A24855"/>
    <w:rsid w:val="72A48ADD"/>
    <w:rsid w:val="72ACE0B1"/>
    <w:rsid w:val="72B63221"/>
    <w:rsid w:val="72B93B92"/>
    <w:rsid w:val="72BA6CAC"/>
    <w:rsid w:val="72C1F40C"/>
    <w:rsid w:val="72C20719"/>
    <w:rsid w:val="72D077C5"/>
    <w:rsid w:val="72D6584D"/>
    <w:rsid w:val="72D8FAA5"/>
    <w:rsid w:val="72E4F7AE"/>
    <w:rsid w:val="72EDB1BE"/>
    <w:rsid w:val="72F035AE"/>
    <w:rsid w:val="730D39BC"/>
    <w:rsid w:val="730FBEAC"/>
    <w:rsid w:val="7315A3EA"/>
    <w:rsid w:val="73193294"/>
    <w:rsid w:val="731FB3DE"/>
    <w:rsid w:val="7320DE39"/>
    <w:rsid w:val="7325604F"/>
    <w:rsid w:val="73298EFA"/>
    <w:rsid w:val="733676ED"/>
    <w:rsid w:val="7337C659"/>
    <w:rsid w:val="73441921"/>
    <w:rsid w:val="735A905C"/>
    <w:rsid w:val="73614E32"/>
    <w:rsid w:val="73666C2C"/>
    <w:rsid w:val="736C2F19"/>
    <w:rsid w:val="737D2548"/>
    <w:rsid w:val="7386B7DC"/>
    <w:rsid w:val="7388A156"/>
    <w:rsid w:val="738B1849"/>
    <w:rsid w:val="73967AE7"/>
    <w:rsid w:val="739A8622"/>
    <w:rsid w:val="739AFB4D"/>
    <w:rsid w:val="739BFCE3"/>
    <w:rsid w:val="73A7B320"/>
    <w:rsid w:val="73BC258B"/>
    <w:rsid w:val="73C33CA7"/>
    <w:rsid w:val="73C5C009"/>
    <w:rsid w:val="73DF9CA9"/>
    <w:rsid w:val="7401A585"/>
    <w:rsid w:val="741351DD"/>
    <w:rsid w:val="7416A3A1"/>
    <w:rsid w:val="74180C3D"/>
    <w:rsid w:val="741996B2"/>
    <w:rsid w:val="7425F241"/>
    <w:rsid w:val="7428F15F"/>
    <w:rsid w:val="742C0325"/>
    <w:rsid w:val="742C286C"/>
    <w:rsid w:val="743444FE"/>
    <w:rsid w:val="74345E4E"/>
    <w:rsid w:val="743F3262"/>
    <w:rsid w:val="74409ED4"/>
    <w:rsid w:val="7440BC37"/>
    <w:rsid w:val="744AEB2F"/>
    <w:rsid w:val="7450F2B5"/>
    <w:rsid w:val="7459660F"/>
    <w:rsid w:val="745A07BF"/>
    <w:rsid w:val="745EA49E"/>
    <w:rsid w:val="746A9A43"/>
    <w:rsid w:val="747BBA8C"/>
    <w:rsid w:val="747C15C3"/>
    <w:rsid w:val="7485E2E8"/>
    <w:rsid w:val="748D9FF2"/>
    <w:rsid w:val="74939C20"/>
    <w:rsid w:val="74A6D32C"/>
    <w:rsid w:val="74A7EAF9"/>
    <w:rsid w:val="74B8D3B3"/>
    <w:rsid w:val="74BE8692"/>
    <w:rsid w:val="74C1A7B6"/>
    <w:rsid w:val="74C327CF"/>
    <w:rsid w:val="74C75CE8"/>
    <w:rsid w:val="74C95628"/>
    <w:rsid w:val="74CBDB96"/>
    <w:rsid w:val="74D2AD8C"/>
    <w:rsid w:val="74E1FB3C"/>
    <w:rsid w:val="74E268E1"/>
    <w:rsid w:val="74F8DE13"/>
    <w:rsid w:val="74FC11F6"/>
    <w:rsid w:val="7500A308"/>
    <w:rsid w:val="750E1983"/>
    <w:rsid w:val="7510C13D"/>
    <w:rsid w:val="7510D8F8"/>
    <w:rsid w:val="7511B48D"/>
    <w:rsid w:val="7513BB9A"/>
    <w:rsid w:val="7514E908"/>
    <w:rsid w:val="751B1ECD"/>
    <w:rsid w:val="751B7627"/>
    <w:rsid w:val="751BF53B"/>
    <w:rsid w:val="7524F584"/>
    <w:rsid w:val="7527067E"/>
    <w:rsid w:val="752D6ED0"/>
    <w:rsid w:val="7530E86E"/>
    <w:rsid w:val="753334F8"/>
    <w:rsid w:val="75348752"/>
    <w:rsid w:val="753837B4"/>
    <w:rsid w:val="753B95C3"/>
    <w:rsid w:val="753E381E"/>
    <w:rsid w:val="754170E7"/>
    <w:rsid w:val="7547FF4A"/>
    <w:rsid w:val="754E4514"/>
    <w:rsid w:val="7552DF83"/>
    <w:rsid w:val="75540FB5"/>
    <w:rsid w:val="7559E3E9"/>
    <w:rsid w:val="755CB05C"/>
    <w:rsid w:val="756D5308"/>
    <w:rsid w:val="75775661"/>
    <w:rsid w:val="75813671"/>
    <w:rsid w:val="758C5AD5"/>
    <w:rsid w:val="759394CC"/>
    <w:rsid w:val="759DE6F0"/>
    <w:rsid w:val="75A650F6"/>
    <w:rsid w:val="75A98EFA"/>
    <w:rsid w:val="75ACEEDC"/>
    <w:rsid w:val="75AEFB7E"/>
    <w:rsid w:val="75B97B7C"/>
    <w:rsid w:val="75BF71A7"/>
    <w:rsid w:val="75CA7916"/>
    <w:rsid w:val="75DC4218"/>
    <w:rsid w:val="75DC43D7"/>
    <w:rsid w:val="75F73253"/>
    <w:rsid w:val="75F83FB3"/>
    <w:rsid w:val="75FC27FE"/>
    <w:rsid w:val="75FD0C53"/>
    <w:rsid w:val="75FEB8F7"/>
    <w:rsid w:val="76001AF6"/>
    <w:rsid w:val="760B0B66"/>
    <w:rsid w:val="760B1637"/>
    <w:rsid w:val="761460D5"/>
    <w:rsid w:val="761F2BF4"/>
    <w:rsid w:val="761FD1FD"/>
    <w:rsid w:val="762295AA"/>
    <w:rsid w:val="7623BAA5"/>
    <w:rsid w:val="762EFBD1"/>
    <w:rsid w:val="762F51E3"/>
    <w:rsid w:val="762F98BE"/>
    <w:rsid w:val="76392E8C"/>
    <w:rsid w:val="763FCB43"/>
    <w:rsid w:val="76452960"/>
    <w:rsid w:val="764B035E"/>
    <w:rsid w:val="764D149A"/>
    <w:rsid w:val="764DE205"/>
    <w:rsid w:val="76656044"/>
    <w:rsid w:val="7666090F"/>
    <w:rsid w:val="7666E957"/>
    <w:rsid w:val="7671A6FA"/>
    <w:rsid w:val="7676A7DA"/>
    <w:rsid w:val="76838739"/>
    <w:rsid w:val="7687F58F"/>
    <w:rsid w:val="7695344A"/>
    <w:rsid w:val="76993C5D"/>
    <w:rsid w:val="76A769F1"/>
    <w:rsid w:val="76AB589C"/>
    <w:rsid w:val="76B983AD"/>
    <w:rsid w:val="76BF40F4"/>
    <w:rsid w:val="76C9BDFD"/>
    <w:rsid w:val="76CCC1DD"/>
    <w:rsid w:val="76D7BE1C"/>
    <w:rsid w:val="76D963AC"/>
    <w:rsid w:val="76DAE6F7"/>
    <w:rsid w:val="76DF916A"/>
    <w:rsid w:val="76E1283A"/>
    <w:rsid w:val="76E1EBF7"/>
    <w:rsid w:val="76E32638"/>
    <w:rsid w:val="76ECD961"/>
    <w:rsid w:val="77017898"/>
    <w:rsid w:val="770AF9EE"/>
    <w:rsid w:val="770B53CC"/>
    <w:rsid w:val="771010F4"/>
    <w:rsid w:val="77150534"/>
    <w:rsid w:val="7729C2DB"/>
    <w:rsid w:val="772B1F11"/>
    <w:rsid w:val="773111B1"/>
    <w:rsid w:val="773972F5"/>
    <w:rsid w:val="773A32AA"/>
    <w:rsid w:val="773CC145"/>
    <w:rsid w:val="7745CD65"/>
    <w:rsid w:val="774909B3"/>
    <w:rsid w:val="774C5D11"/>
    <w:rsid w:val="774DBBAA"/>
    <w:rsid w:val="775377D5"/>
    <w:rsid w:val="7754F600"/>
    <w:rsid w:val="77554D89"/>
    <w:rsid w:val="775F3F89"/>
    <w:rsid w:val="7764E9D1"/>
    <w:rsid w:val="7765A5B3"/>
    <w:rsid w:val="77769E87"/>
    <w:rsid w:val="777A1BD4"/>
    <w:rsid w:val="777F05F5"/>
    <w:rsid w:val="7782AAA1"/>
    <w:rsid w:val="778978DD"/>
    <w:rsid w:val="778DBC0D"/>
    <w:rsid w:val="778FA3C0"/>
    <w:rsid w:val="779111EB"/>
    <w:rsid w:val="77A268BC"/>
    <w:rsid w:val="77A745E5"/>
    <w:rsid w:val="77ACD1AC"/>
    <w:rsid w:val="77AEBB90"/>
    <w:rsid w:val="77B396F6"/>
    <w:rsid w:val="77B3D1AD"/>
    <w:rsid w:val="77B41E1A"/>
    <w:rsid w:val="77B75C7F"/>
    <w:rsid w:val="77B7DCF3"/>
    <w:rsid w:val="77BC5A66"/>
    <w:rsid w:val="77C4A5A1"/>
    <w:rsid w:val="77C9AADD"/>
    <w:rsid w:val="77D3A769"/>
    <w:rsid w:val="77DEFC04"/>
    <w:rsid w:val="77E2861B"/>
    <w:rsid w:val="77EB08FF"/>
    <w:rsid w:val="77EB42E5"/>
    <w:rsid w:val="77ECBD0B"/>
    <w:rsid w:val="77F541B4"/>
    <w:rsid w:val="7800B44D"/>
    <w:rsid w:val="7802DBE2"/>
    <w:rsid w:val="7811D41C"/>
    <w:rsid w:val="78153F7C"/>
    <w:rsid w:val="78182C96"/>
    <w:rsid w:val="781C23B6"/>
    <w:rsid w:val="7825280B"/>
    <w:rsid w:val="782E3EB0"/>
    <w:rsid w:val="783CB6EF"/>
    <w:rsid w:val="7840AE32"/>
    <w:rsid w:val="7844A08E"/>
    <w:rsid w:val="78507A43"/>
    <w:rsid w:val="78564FC0"/>
    <w:rsid w:val="7856A0F6"/>
    <w:rsid w:val="785DA233"/>
    <w:rsid w:val="785FB93D"/>
    <w:rsid w:val="7867B3D0"/>
    <w:rsid w:val="787050F9"/>
    <w:rsid w:val="78778D0D"/>
    <w:rsid w:val="7877AF2C"/>
    <w:rsid w:val="7877D9BE"/>
    <w:rsid w:val="788223FE"/>
    <w:rsid w:val="7882CF28"/>
    <w:rsid w:val="78860EF6"/>
    <w:rsid w:val="788A6CAF"/>
    <w:rsid w:val="788C3D84"/>
    <w:rsid w:val="788F9EB6"/>
    <w:rsid w:val="7897757B"/>
    <w:rsid w:val="78A41875"/>
    <w:rsid w:val="78C80CD8"/>
    <w:rsid w:val="78CFD0D8"/>
    <w:rsid w:val="78E4314B"/>
    <w:rsid w:val="78EDE403"/>
    <w:rsid w:val="78EE6876"/>
    <w:rsid w:val="78EFF523"/>
    <w:rsid w:val="78F03423"/>
    <w:rsid w:val="78F919A0"/>
    <w:rsid w:val="78FB6F7E"/>
    <w:rsid w:val="7909ED56"/>
    <w:rsid w:val="790C2D94"/>
    <w:rsid w:val="79116996"/>
    <w:rsid w:val="7916420C"/>
    <w:rsid w:val="7916BEC8"/>
    <w:rsid w:val="7919BEEA"/>
    <w:rsid w:val="791E9F2E"/>
    <w:rsid w:val="7929D362"/>
    <w:rsid w:val="792BE8CC"/>
    <w:rsid w:val="792EA2B8"/>
    <w:rsid w:val="79303B34"/>
    <w:rsid w:val="7930473F"/>
    <w:rsid w:val="7935B41D"/>
    <w:rsid w:val="7937440C"/>
    <w:rsid w:val="793A2817"/>
    <w:rsid w:val="793B6066"/>
    <w:rsid w:val="793C7A9B"/>
    <w:rsid w:val="794432DD"/>
    <w:rsid w:val="7945043F"/>
    <w:rsid w:val="79494170"/>
    <w:rsid w:val="794F98E5"/>
    <w:rsid w:val="795A792A"/>
    <w:rsid w:val="795F2F98"/>
    <w:rsid w:val="795F7E2A"/>
    <w:rsid w:val="796CB07B"/>
    <w:rsid w:val="796E4BD6"/>
    <w:rsid w:val="79701334"/>
    <w:rsid w:val="7970384F"/>
    <w:rsid w:val="7973A987"/>
    <w:rsid w:val="7977B97E"/>
    <w:rsid w:val="7977E10E"/>
    <w:rsid w:val="797C2005"/>
    <w:rsid w:val="79815976"/>
    <w:rsid w:val="79862694"/>
    <w:rsid w:val="79862B8C"/>
    <w:rsid w:val="79864124"/>
    <w:rsid w:val="799136BC"/>
    <w:rsid w:val="799238F9"/>
    <w:rsid w:val="79947A9B"/>
    <w:rsid w:val="7997BAB5"/>
    <w:rsid w:val="799B8D2E"/>
    <w:rsid w:val="79A0D315"/>
    <w:rsid w:val="79A1BEA6"/>
    <w:rsid w:val="79A6D92D"/>
    <w:rsid w:val="79B75505"/>
    <w:rsid w:val="79BB8001"/>
    <w:rsid w:val="79C131C1"/>
    <w:rsid w:val="79C99E1B"/>
    <w:rsid w:val="79C9E168"/>
    <w:rsid w:val="79D0038B"/>
    <w:rsid w:val="79D19A4E"/>
    <w:rsid w:val="79DA4819"/>
    <w:rsid w:val="79DC47C1"/>
    <w:rsid w:val="79DC667E"/>
    <w:rsid w:val="79DF8427"/>
    <w:rsid w:val="79E06353"/>
    <w:rsid w:val="79E550EB"/>
    <w:rsid w:val="79F40F81"/>
    <w:rsid w:val="79FEA754"/>
    <w:rsid w:val="7A05216E"/>
    <w:rsid w:val="7A0CECCC"/>
    <w:rsid w:val="7A0E8F53"/>
    <w:rsid w:val="7A14352D"/>
    <w:rsid w:val="7A1C1F80"/>
    <w:rsid w:val="7A2626AC"/>
    <w:rsid w:val="7A2AF44F"/>
    <w:rsid w:val="7A2BB5B8"/>
    <w:rsid w:val="7A32F6D7"/>
    <w:rsid w:val="7A33BD0E"/>
    <w:rsid w:val="7A34AE45"/>
    <w:rsid w:val="7A408C28"/>
    <w:rsid w:val="7A52C5B2"/>
    <w:rsid w:val="7A54BC0E"/>
    <w:rsid w:val="7A5A1CF2"/>
    <w:rsid w:val="7A5C0C99"/>
    <w:rsid w:val="7A6107CF"/>
    <w:rsid w:val="7A66A229"/>
    <w:rsid w:val="7A66F3C4"/>
    <w:rsid w:val="7A6FB993"/>
    <w:rsid w:val="7A810775"/>
    <w:rsid w:val="7A8A52D1"/>
    <w:rsid w:val="7A8E24B4"/>
    <w:rsid w:val="7A93D8E3"/>
    <w:rsid w:val="7AA1821B"/>
    <w:rsid w:val="7AA53E95"/>
    <w:rsid w:val="7AA60E4A"/>
    <w:rsid w:val="7AB3840D"/>
    <w:rsid w:val="7AB64657"/>
    <w:rsid w:val="7ABA224C"/>
    <w:rsid w:val="7ABAD227"/>
    <w:rsid w:val="7AC1EC6E"/>
    <w:rsid w:val="7ACDA80C"/>
    <w:rsid w:val="7AD85CE9"/>
    <w:rsid w:val="7ADA4764"/>
    <w:rsid w:val="7AE03BEB"/>
    <w:rsid w:val="7AEADCB9"/>
    <w:rsid w:val="7AF11488"/>
    <w:rsid w:val="7AF52C92"/>
    <w:rsid w:val="7AFB5007"/>
    <w:rsid w:val="7AFB97BA"/>
    <w:rsid w:val="7B006199"/>
    <w:rsid w:val="7B021946"/>
    <w:rsid w:val="7B0252E2"/>
    <w:rsid w:val="7B077CD1"/>
    <w:rsid w:val="7B0CCE65"/>
    <w:rsid w:val="7B104DB2"/>
    <w:rsid w:val="7B14675D"/>
    <w:rsid w:val="7B209082"/>
    <w:rsid w:val="7B223108"/>
    <w:rsid w:val="7B31980D"/>
    <w:rsid w:val="7B36016A"/>
    <w:rsid w:val="7B3BFFE1"/>
    <w:rsid w:val="7B421324"/>
    <w:rsid w:val="7B4252BF"/>
    <w:rsid w:val="7B4B3E19"/>
    <w:rsid w:val="7B4BCC54"/>
    <w:rsid w:val="7B52CE68"/>
    <w:rsid w:val="7B55DECE"/>
    <w:rsid w:val="7B619A9A"/>
    <w:rsid w:val="7B635B72"/>
    <w:rsid w:val="7B6A6ED6"/>
    <w:rsid w:val="7B6B20B1"/>
    <w:rsid w:val="7B7B4D6F"/>
    <w:rsid w:val="7B7F7107"/>
    <w:rsid w:val="7B82599E"/>
    <w:rsid w:val="7B860B75"/>
    <w:rsid w:val="7B86CD8D"/>
    <w:rsid w:val="7B8750F5"/>
    <w:rsid w:val="7B8AE08C"/>
    <w:rsid w:val="7B8F9F5B"/>
    <w:rsid w:val="7B9138D0"/>
    <w:rsid w:val="7B92CAC3"/>
    <w:rsid w:val="7B9386B9"/>
    <w:rsid w:val="7B96DD45"/>
    <w:rsid w:val="7BADF305"/>
    <w:rsid w:val="7BAFE422"/>
    <w:rsid w:val="7BBAE211"/>
    <w:rsid w:val="7BBD0DB1"/>
    <w:rsid w:val="7BCD1A6D"/>
    <w:rsid w:val="7BCEF916"/>
    <w:rsid w:val="7BD5242D"/>
    <w:rsid w:val="7BD76CE0"/>
    <w:rsid w:val="7BDDE50E"/>
    <w:rsid w:val="7BE2CF75"/>
    <w:rsid w:val="7BEFCA0C"/>
    <w:rsid w:val="7BF66784"/>
    <w:rsid w:val="7BFACAFF"/>
    <w:rsid w:val="7BFCF1C7"/>
    <w:rsid w:val="7BFEC79C"/>
    <w:rsid w:val="7C14FAE1"/>
    <w:rsid w:val="7C17ACCA"/>
    <w:rsid w:val="7C1C9F8D"/>
    <w:rsid w:val="7C1EDAD9"/>
    <w:rsid w:val="7C2442E9"/>
    <w:rsid w:val="7C24BF24"/>
    <w:rsid w:val="7C25E161"/>
    <w:rsid w:val="7C2B5F0B"/>
    <w:rsid w:val="7C32807F"/>
    <w:rsid w:val="7C358EA6"/>
    <w:rsid w:val="7C386258"/>
    <w:rsid w:val="7C490023"/>
    <w:rsid w:val="7C4A979B"/>
    <w:rsid w:val="7C4BE6A9"/>
    <w:rsid w:val="7C4FCA70"/>
    <w:rsid w:val="7C53EDF6"/>
    <w:rsid w:val="7C600C56"/>
    <w:rsid w:val="7C695E2F"/>
    <w:rsid w:val="7C696C26"/>
    <w:rsid w:val="7C74D559"/>
    <w:rsid w:val="7C783AB6"/>
    <w:rsid w:val="7C8449C2"/>
    <w:rsid w:val="7C8F6E5D"/>
    <w:rsid w:val="7C9203EC"/>
    <w:rsid w:val="7C9C4FBD"/>
    <w:rsid w:val="7C9CDBFF"/>
    <w:rsid w:val="7C9E2B83"/>
    <w:rsid w:val="7CA5BE16"/>
    <w:rsid w:val="7CB09D2C"/>
    <w:rsid w:val="7CB53549"/>
    <w:rsid w:val="7CB8D342"/>
    <w:rsid w:val="7CB9BD02"/>
    <w:rsid w:val="7CBE2426"/>
    <w:rsid w:val="7CBFD67E"/>
    <w:rsid w:val="7CC2CDAC"/>
    <w:rsid w:val="7CCF81FF"/>
    <w:rsid w:val="7CD293AB"/>
    <w:rsid w:val="7CD5F08D"/>
    <w:rsid w:val="7CDD88E5"/>
    <w:rsid w:val="7CE62A27"/>
    <w:rsid w:val="7CE8A133"/>
    <w:rsid w:val="7CEDDE83"/>
    <w:rsid w:val="7CF16CC0"/>
    <w:rsid w:val="7CF7E0BF"/>
    <w:rsid w:val="7CFA28A8"/>
    <w:rsid w:val="7CFECD5D"/>
    <w:rsid w:val="7D05CF5E"/>
    <w:rsid w:val="7D062D3D"/>
    <w:rsid w:val="7D084CF4"/>
    <w:rsid w:val="7D0CBEA3"/>
    <w:rsid w:val="7D16FDEA"/>
    <w:rsid w:val="7D199630"/>
    <w:rsid w:val="7D204575"/>
    <w:rsid w:val="7D2B0514"/>
    <w:rsid w:val="7D31E835"/>
    <w:rsid w:val="7D3591ED"/>
    <w:rsid w:val="7D3ED82A"/>
    <w:rsid w:val="7D4F1B9F"/>
    <w:rsid w:val="7D4F9C8A"/>
    <w:rsid w:val="7D4F9D5F"/>
    <w:rsid w:val="7D597F7D"/>
    <w:rsid w:val="7D6334EE"/>
    <w:rsid w:val="7D67A5CF"/>
    <w:rsid w:val="7D6F7BD1"/>
    <w:rsid w:val="7D702111"/>
    <w:rsid w:val="7D73ABD1"/>
    <w:rsid w:val="7D76A5F8"/>
    <w:rsid w:val="7D7AB32F"/>
    <w:rsid w:val="7D8141C4"/>
    <w:rsid w:val="7D824FB1"/>
    <w:rsid w:val="7D829048"/>
    <w:rsid w:val="7D8E3B1B"/>
    <w:rsid w:val="7D8FB59D"/>
    <w:rsid w:val="7D93B3E2"/>
    <w:rsid w:val="7D98D7A8"/>
    <w:rsid w:val="7DAD1157"/>
    <w:rsid w:val="7DBFE791"/>
    <w:rsid w:val="7DC17BA6"/>
    <w:rsid w:val="7DC21790"/>
    <w:rsid w:val="7DDA19B7"/>
    <w:rsid w:val="7DE1BE68"/>
    <w:rsid w:val="7DE4E2A4"/>
    <w:rsid w:val="7DECC694"/>
    <w:rsid w:val="7DF2176B"/>
    <w:rsid w:val="7DF356C5"/>
    <w:rsid w:val="7DF4736E"/>
    <w:rsid w:val="7DF4B1A1"/>
    <w:rsid w:val="7DF7B025"/>
    <w:rsid w:val="7E04D874"/>
    <w:rsid w:val="7E0B678C"/>
    <w:rsid w:val="7E0EFACF"/>
    <w:rsid w:val="7E11DCEF"/>
    <w:rsid w:val="7E14DBC7"/>
    <w:rsid w:val="7E181D55"/>
    <w:rsid w:val="7E2115D1"/>
    <w:rsid w:val="7E21FB5B"/>
    <w:rsid w:val="7E29346E"/>
    <w:rsid w:val="7E34C917"/>
    <w:rsid w:val="7E354C3C"/>
    <w:rsid w:val="7E37CC37"/>
    <w:rsid w:val="7E49B5C6"/>
    <w:rsid w:val="7E4BFE8D"/>
    <w:rsid w:val="7E54A4D8"/>
    <w:rsid w:val="7E566F55"/>
    <w:rsid w:val="7E56B70C"/>
    <w:rsid w:val="7E5E0A7D"/>
    <w:rsid w:val="7E696068"/>
    <w:rsid w:val="7E7ED380"/>
    <w:rsid w:val="7E7FE371"/>
    <w:rsid w:val="7E815AF5"/>
    <w:rsid w:val="7E8B253D"/>
    <w:rsid w:val="7E8DF598"/>
    <w:rsid w:val="7E9234BD"/>
    <w:rsid w:val="7E95A221"/>
    <w:rsid w:val="7E9791C5"/>
    <w:rsid w:val="7E9A6CFB"/>
    <w:rsid w:val="7EA0C03A"/>
    <w:rsid w:val="7EA1343C"/>
    <w:rsid w:val="7EA7CBCD"/>
    <w:rsid w:val="7EA8003A"/>
    <w:rsid w:val="7EAC7003"/>
    <w:rsid w:val="7EC38313"/>
    <w:rsid w:val="7ED694E3"/>
    <w:rsid w:val="7ED8DE5B"/>
    <w:rsid w:val="7ED93BFE"/>
    <w:rsid w:val="7EEEC551"/>
    <w:rsid w:val="7EF0D58F"/>
    <w:rsid w:val="7EF86A00"/>
    <w:rsid w:val="7EFA3F0A"/>
    <w:rsid w:val="7EFFAF27"/>
    <w:rsid w:val="7F013486"/>
    <w:rsid w:val="7F1975B5"/>
    <w:rsid w:val="7F38EB5C"/>
    <w:rsid w:val="7F3B52F2"/>
    <w:rsid w:val="7F3C1CDD"/>
    <w:rsid w:val="7F3F12AF"/>
    <w:rsid w:val="7F471CD5"/>
    <w:rsid w:val="7F478622"/>
    <w:rsid w:val="7F4CEA86"/>
    <w:rsid w:val="7F5218F0"/>
    <w:rsid w:val="7F5437EB"/>
    <w:rsid w:val="7F57B769"/>
    <w:rsid w:val="7F5AB97D"/>
    <w:rsid w:val="7F7F62C2"/>
    <w:rsid w:val="7F885991"/>
    <w:rsid w:val="7F93286B"/>
    <w:rsid w:val="7F935CFC"/>
    <w:rsid w:val="7F99053F"/>
    <w:rsid w:val="7F9A40E5"/>
    <w:rsid w:val="7FA4A561"/>
    <w:rsid w:val="7FACCE17"/>
    <w:rsid w:val="7FAD93EB"/>
    <w:rsid w:val="7FB4ED21"/>
    <w:rsid w:val="7FBE3B18"/>
    <w:rsid w:val="7FC893C9"/>
    <w:rsid w:val="7FCE6458"/>
    <w:rsid w:val="7FD2C612"/>
    <w:rsid w:val="7FD2DFB3"/>
    <w:rsid w:val="7FD516CB"/>
    <w:rsid w:val="7FD65C93"/>
    <w:rsid w:val="7FD6CC3A"/>
    <w:rsid w:val="7FE049A0"/>
    <w:rsid w:val="7FE912C9"/>
    <w:rsid w:val="7FF292CF"/>
    <w:rsid w:val="7FF9D271"/>
    <w:rsid w:val="7FFA6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011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A8A"/>
    <w:pPr>
      <w:spacing w:after="120" w:line="276" w:lineRule="auto"/>
    </w:pPr>
    <w:rPr>
      <w:rFonts w:eastAsia="Times New Roman" w:cs="Mangal"/>
      <w:szCs w:val="24"/>
      <w:lang w:eastAsia="ja-JP" w:bidi="hi-IN"/>
    </w:rPr>
  </w:style>
  <w:style w:type="paragraph" w:styleId="Heading1">
    <w:name w:val="heading 1"/>
    <w:basedOn w:val="Normal"/>
    <w:next w:val="Normal"/>
    <w:link w:val="Heading1Char"/>
    <w:uiPriority w:val="9"/>
    <w:unhideWhenUsed/>
    <w:rsid w:val="000239C8"/>
    <w:pPr>
      <w:keepNext/>
      <w:keepLines/>
      <w:spacing w:before="240" w:after="0"/>
      <w:outlineLvl w:val="0"/>
    </w:pPr>
    <w:rPr>
      <w:rFonts w:asciiTheme="majorHAnsi" w:eastAsiaTheme="majorEastAsia" w:hAnsiTheme="majorHAnsi"/>
      <w:color w:val="A31E1C" w:themeColor="accent1" w:themeShade="BF"/>
      <w:sz w:val="32"/>
      <w:szCs w:val="29"/>
    </w:rPr>
  </w:style>
  <w:style w:type="paragraph" w:styleId="Heading2">
    <w:name w:val="heading 2"/>
    <w:basedOn w:val="Normal"/>
    <w:next w:val="Normal"/>
    <w:link w:val="Heading2Char"/>
    <w:uiPriority w:val="9"/>
    <w:semiHidden/>
    <w:unhideWhenUsed/>
    <w:rsid w:val="000239C8"/>
    <w:pPr>
      <w:keepNext/>
      <w:keepLines/>
      <w:spacing w:before="40" w:after="0"/>
      <w:outlineLvl w:val="1"/>
    </w:pPr>
    <w:rPr>
      <w:rFonts w:asciiTheme="majorHAnsi" w:eastAsiaTheme="majorEastAsia" w:hAnsiTheme="majorHAnsi"/>
      <w:color w:val="A31E1C" w:themeColor="accent1" w:themeShade="BF"/>
      <w:sz w:val="26"/>
      <w:szCs w:val="23"/>
    </w:rPr>
  </w:style>
  <w:style w:type="paragraph" w:styleId="Heading3">
    <w:name w:val="heading 3"/>
    <w:basedOn w:val="Normal"/>
    <w:next w:val="Normal"/>
    <w:link w:val="Heading3Char"/>
    <w:uiPriority w:val="9"/>
    <w:semiHidden/>
    <w:unhideWhenUsed/>
    <w:qFormat/>
    <w:rsid w:val="00FE73E5"/>
    <w:pPr>
      <w:keepNext/>
      <w:keepLines/>
      <w:spacing w:before="40" w:after="0"/>
      <w:outlineLvl w:val="2"/>
    </w:pPr>
    <w:rPr>
      <w:rFonts w:asciiTheme="majorHAnsi" w:eastAsiaTheme="majorEastAsia" w:hAnsiTheme="majorHAnsi"/>
      <w:color w:val="6C1412"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39C8"/>
    <w:pPr>
      <w:tabs>
        <w:tab w:val="center" w:pos="4153"/>
        <w:tab w:val="right" w:pos="8306"/>
      </w:tabs>
    </w:pPr>
  </w:style>
  <w:style w:type="character" w:customStyle="1" w:styleId="HeaderChar">
    <w:name w:val="Header Char"/>
    <w:basedOn w:val="DefaultParagraphFont"/>
    <w:link w:val="Header"/>
    <w:uiPriority w:val="99"/>
    <w:rsid w:val="000239C8"/>
    <w:rPr>
      <w:rFonts w:eastAsia="Times New Roman" w:cs="Mangal"/>
      <w:szCs w:val="24"/>
      <w:lang w:val="en-GB" w:eastAsia="en-GB" w:bidi="hi-IN"/>
    </w:rPr>
  </w:style>
  <w:style w:type="paragraph" w:styleId="Footer">
    <w:name w:val="footer"/>
    <w:basedOn w:val="Normal"/>
    <w:link w:val="FooterChar"/>
    <w:uiPriority w:val="99"/>
    <w:rsid w:val="000239C8"/>
    <w:pPr>
      <w:tabs>
        <w:tab w:val="center" w:pos="4153"/>
        <w:tab w:val="right" w:pos="8306"/>
      </w:tabs>
      <w:spacing w:after="0"/>
    </w:pPr>
  </w:style>
  <w:style w:type="character" w:customStyle="1" w:styleId="FooterChar">
    <w:name w:val="Footer Char"/>
    <w:basedOn w:val="DefaultParagraphFont"/>
    <w:link w:val="Footer"/>
    <w:uiPriority w:val="99"/>
    <w:rsid w:val="000239C8"/>
    <w:rPr>
      <w:rFonts w:eastAsia="Times New Roman" w:cs="Mangal"/>
      <w:szCs w:val="24"/>
      <w:lang w:val="en-GB" w:eastAsia="en-GB" w:bidi="hi-IN"/>
    </w:rPr>
  </w:style>
  <w:style w:type="paragraph" w:styleId="TOC1">
    <w:name w:val="toc 1"/>
    <w:basedOn w:val="Normal"/>
    <w:next w:val="Normal"/>
    <w:autoRedefine/>
    <w:uiPriority w:val="39"/>
    <w:rsid w:val="00585ACC"/>
    <w:pPr>
      <w:tabs>
        <w:tab w:val="left" w:pos="660"/>
        <w:tab w:val="right" w:leader="dot" w:pos="9016"/>
      </w:tabs>
    </w:pPr>
    <w:rPr>
      <w:b/>
    </w:rPr>
  </w:style>
  <w:style w:type="paragraph" w:styleId="TOC2">
    <w:name w:val="toc 2"/>
    <w:basedOn w:val="Normal"/>
    <w:next w:val="Normal"/>
    <w:autoRedefine/>
    <w:uiPriority w:val="39"/>
    <w:rsid w:val="000239C8"/>
    <w:pPr>
      <w:ind w:left="220"/>
    </w:pPr>
    <w:rPr>
      <w:sz w:val="20"/>
    </w:rPr>
  </w:style>
  <w:style w:type="paragraph" w:styleId="Title">
    <w:name w:val="Title"/>
    <w:basedOn w:val="Normal"/>
    <w:next w:val="Normal"/>
    <w:link w:val="TitleChar"/>
    <w:uiPriority w:val="10"/>
    <w:qFormat/>
    <w:rsid w:val="007669E5"/>
    <w:pPr>
      <w:spacing w:after="0"/>
      <w:contextualSpacing/>
      <w:outlineLvl w:val="0"/>
    </w:pPr>
    <w:rPr>
      <w:rFonts w:ascii="Calibri" w:eastAsiaTheme="majorEastAsia" w:hAnsi="Calibri" w:cs="Arial"/>
      <w:b/>
      <w:color w:val="DA291C"/>
      <w:spacing w:val="-10"/>
      <w:sz w:val="32"/>
      <w:szCs w:val="56"/>
      <w:lang w:bidi="ar-SA"/>
    </w:rPr>
  </w:style>
  <w:style w:type="character" w:customStyle="1" w:styleId="TitleChar">
    <w:name w:val="Title Char"/>
    <w:basedOn w:val="DefaultParagraphFont"/>
    <w:link w:val="Title"/>
    <w:uiPriority w:val="10"/>
    <w:rsid w:val="007669E5"/>
    <w:rPr>
      <w:rFonts w:ascii="Calibri" w:eastAsiaTheme="majorEastAsia" w:hAnsi="Calibri" w:cs="Arial"/>
      <w:b/>
      <w:color w:val="DA291C"/>
      <w:spacing w:val="-10"/>
      <w:sz w:val="32"/>
      <w:szCs w:val="56"/>
      <w:lang w:eastAsia="ja-JP"/>
    </w:rPr>
  </w:style>
  <w:style w:type="paragraph" w:customStyle="1" w:styleId="Heading2SHS">
    <w:name w:val="Heading 2 SHS"/>
    <w:basedOn w:val="Heading1SHS"/>
    <w:next w:val="Normal"/>
    <w:link w:val="Heading2SHSChar"/>
    <w:qFormat/>
    <w:rsid w:val="008D4244"/>
    <w:pPr>
      <w:numPr>
        <w:ilvl w:val="1"/>
      </w:numPr>
      <w:spacing w:before="120"/>
    </w:pPr>
    <w:rPr>
      <w:rFonts w:asciiTheme="minorHAnsi" w:hAnsiTheme="minorHAnsi"/>
      <w:color w:val="595959" w:themeColor="text1" w:themeTint="A6"/>
      <w:kern w:val="28"/>
      <w:sz w:val="24"/>
    </w:rPr>
  </w:style>
  <w:style w:type="paragraph" w:customStyle="1" w:styleId="Non-numberedLevel1heading">
    <w:name w:val="Non-numbered Level 1 heading"/>
    <w:basedOn w:val="Normal"/>
    <w:next w:val="Normal"/>
    <w:link w:val="Non-numberedLevel1headingChar"/>
    <w:qFormat/>
    <w:rsid w:val="007669E5"/>
    <w:pPr>
      <w:spacing w:before="320"/>
      <w:ind w:left="360" w:hanging="360"/>
    </w:pPr>
    <w:rPr>
      <w:rFonts w:ascii="Calibri" w:hAnsi="Calibri" w:cs="Arial"/>
      <w:b/>
      <w:color w:val="DA291C"/>
      <w:spacing w:val="-10"/>
      <w:sz w:val="32"/>
      <w:szCs w:val="32"/>
      <w:lang w:bidi="ar-SA"/>
    </w:rPr>
  </w:style>
  <w:style w:type="character" w:customStyle="1" w:styleId="Non-numberedLevel1headingChar">
    <w:name w:val="Non-numbered Level 1 heading Char"/>
    <w:basedOn w:val="TitleChar"/>
    <w:link w:val="Non-numberedLevel1heading"/>
    <w:rsid w:val="007669E5"/>
    <w:rPr>
      <w:rFonts w:ascii="Calibri" w:eastAsia="Times New Roman" w:hAnsi="Calibri" w:cs="Arial"/>
      <w:b/>
      <w:color w:val="DA291C"/>
      <w:spacing w:val="-10"/>
      <w:sz w:val="32"/>
      <w:szCs w:val="32"/>
      <w:lang w:eastAsia="ja-JP"/>
    </w:rPr>
  </w:style>
  <w:style w:type="character" w:customStyle="1" w:styleId="Heading2SHSChar">
    <w:name w:val="Heading 2 SHS Char"/>
    <w:basedOn w:val="Heading1Char"/>
    <w:link w:val="Heading2SHS"/>
    <w:rsid w:val="006A0183"/>
    <w:rPr>
      <w:rFonts w:asciiTheme="majorHAnsi" w:eastAsia="Times New Roman" w:hAnsiTheme="majorHAnsi" w:cs="Arial"/>
      <w:b/>
      <w:color w:val="595959" w:themeColor="text1" w:themeTint="A6"/>
      <w:kern w:val="28"/>
      <w:sz w:val="24"/>
      <w:szCs w:val="24"/>
      <w:lang w:val="en-AU" w:eastAsia="ja-JP" w:bidi="hi-IN"/>
    </w:rPr>
  </w:style>
  <w:style w:type="paragraph" w:customStyle="1" w:styleId="NumberedTitle">
    <w:name w:val="Numbered Title"/>
    <w:basedOn w:val="Non-numberedLevel1heading"/>
    <w:next w:val="Normal"/>
    <w:link w:val="NumberedTitleChar"/>
    <w:rsid w:val="006045B6"/>
    <w:pPr>
      <w:numPr>
        <w:numId w:val="1"/>
      </w:numPr>
    </w:pPr>
  </w:style>
  <w:style w:type="character" w:customStyle="1" w:styleId="NumberedTitleChar">
    <w:name w:val="Numbered Title Char"/>
    <w:basedOn w:val="TitleChar"/>
    <w:link w:val="NumberedTitle"/>
    <w:rsid w:val="009343ED"/>
    <w:rPr>
      <w:rFonts w:ascii="Calibri" w:eastAsia="Times New Roman" w:hAnsi="Calibri" w:cs="Arial"/>
      <w:b/>
      <w:color w:val="DA291C"/>
      <w:spacing w:val="-10"/>
      <w:sz w:val="32"/>
      <w:szCs w:val="32"/>
      <w:lang w:eastAsia="ja-JP"/>
    </w:rPr>
  </w:style>
  <w:style w:type="table" w:styleId="TableGrid">
    <w:name w:val="Table Grid"/>
    <w:basedOn w:val="TableNormal"/>
    <w:uiPriority w:val="59"/>
    <w:rsid w:val="00023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239C8"/>
    <w:rPr>
      <w:rFonts w:asciiTheme="majorHAnsi" w:eastAsiaTheme="majorEastAsia" w:hAnsiTheme="majorHAnsi" w:cs="Mangal"/>
      <w:color w:val="A31E1C" w:themeColor="accent1" w:themeShade="BF"/>
      <w:sz w:val="26"/>
      <w:szCs w:val="23"/>
      <w:lang w:val="en-GB" w:eastAsia="en-GB" w:bidi="hi-IN"/>
    </w:rPr>
  </w:style>
  <w:style w:type="character" w:customStyle="1" w:styleId="Heading1Char">
    <w:name w:val="Heading 1 Char"/>
    <w:basedOn w:val="DefaultParagraphFont"/>
    <w:link w:val="Heading1"/>
    <w:uiPriority w:val="9"/>
    <w:rsid w:val="000D072B"/>
    <w:rPr>
      <w:rFonts w:asciiTheme="majorHAnsi" w:eastAsiaTheme="majorEastAsia" w:hAnsiTheme="majorHAnsi" w:cs="Mangal"/>
      <w:color w:val="A31E1C" w:themeColor="accent1" w:themeShade="BF"/>
      <w:sz w:val="32"/>
      <w:szCs w:val="29"/>
      <w:lang w:val="en-AU" w:eastAsia="ja-JP" w:bidi="hi-IN"/>
    </w:rPr>
  </w:style>
  <w:style w:type="paragraph" w:styleId="ListParagraph">
    <w:name w:val="List Paragraph"/>
    <w:aliases w:val="Lists or bullet"/>
    <w:basedOn w:val="Normal"/>
    <w:next w:val="Normal"/>
    <w:link w:val="ListParagraphChar"/>
    <w:uiPriority w:val="34"/>
    <w:qFormat/>
    <w:rsid w:val="006045B6"/>
    <w:pPr>
      <w:numPr>
        <w:numId w:val="2"/>
      </w:numPr>
      <w:spacing w:after="60"/>
    </w:pPr>
    <w:rPr>
      <w:rFonts w:eastAsiaTheme="minorEastAsia" w:cstheme="minorBidi"/>
      <w:lang w:val="en-US" w:eastAsia="en-US" w:bidi="ar-SA"/>
    </w:rPr>
  </w:style>
  <w:style w:type="paragraph" w:styleId="BodyText">
    <w:name w:val="Body Text"/>
    <w:basedOn w:val="Normal"/>
    <w:link w:val="BodyTextChar"/>
    <w:unhideWhenUsed/>
    <w:rsid w:val="00C95311"/>
    <w:pPr>
      <w:keepNext/>
      <w:keepLines/>
      <w:spacing w:before="120" w:after="0"/>
    </w:pPr>
    <w:rPr>
      <w:rFonts w:asciiTheme="majorHAnsi" w:eastAsiaTheme="minorEastAsia" w:hAnsiTheme="majorHAnsi" w:cs="Times New Roman"/>
      <w:szCs w:val="20"/>
      <w:lang w:bidi="ar-SA"/>
    </w:rPr>
  </w:style>
  <w:style w:type="character" w:customStyle="1" w:styleId="BodyTextChar">
    <w:name w:val="Body Text Char"/>
    <w:basedOn w:val="DefaultParagraphFont"/>
    <w:link w:val="BodyText"/>
    <w:rsid w:val="00C95311"/>
    <w:rPr>
      <w:rFonts w:asciiTheme="majorHAnsi" w:eastAsiaTheme="minorEastAsia" w:hAnsiTheme="majorHAnsi" w:cs="Times New Roman"/>
      <w:szCs w:val="20"/>
      <w:lang w:val="en-AU" w:eastAsia="ja-JP"/>
    </w:rPr>
  </w:style>
  <w:style w:type="character" w:customStyle="1" w:styleId="ListParagraphChar">
    <w:name w:val="List Paragraph Char"/>
    <w:aliases w:val="Lists or bullet Char"/>
    <w:basedOn w:val="DefaultParagraphFont"/>
    <w:link w:val="ListParagraph"/>
    <w:uiPriority w:val="34"/>
    <w:rsid w:val="009343ED"/>
    <w:rPr>
      <w:rFonts w:eastAsiaTheme="minorEastAsia"/>
      <w:szCs w:val="24"/>
      <w:lang w:val="en-US"/>
    </w:rPr>
  </w:style>
  <w:style w:type="paragraph" w:styleId="TOCHeading">
    <w:name w:val="TOC Heading"/>
    <w:basedOn w:val="Heading1"/>
    <w:next w:val="Normal"/>
    <w:uiPriority w:val="39"/>
    <w:unhideWhenUsed/>
    <w:qFormat/>
    <w:rsid w:val="00EE6BEF"/>
    <w:pPr>
      <w:spacing w:line="259" w:lineRule="auto"/>
      <w:outlineLvl w:val="9"/>
    </w:pPr>
    <w:rPr>
      <w:rFonts w:cstheme="majorBidi"/>
      <w:szCs w:val="32"/>
      <w:lang w:val="en-US" w:eastAsia="en-US" w:bidi="ar-SA"/>
    </w:rPr>
  </w:style>
  <w:style w:type="character" w:styleId="Hyperlink">
    <w:name w:val="Hyperlink"/>
    <w:basedOn w:val="DefaultParagraphFont"/>
    <w:uiPriority w:val="99"/>
    <w:unhideWhenUsed/>
    <w:rsid w:val="00742523"/>
    <w:rPr>
      <w:color w:val="auto"/>
      <w:u w:val="single"/>
    </w:rPr>
  </w:style>
  <w:style w:type="paragraph" w:styleId="TOC3">
    <w:name w:val="toc 3"/>
    <w:basedOn w:val="Normal"/>
    <w:next w:val="Normal"/>
    <w:autoRedefine/>
    <w:uiPriority w:val="39"/>
    <w:unhideWhenUsed/>
    <w:rsid w:val="0004659B"/>
    <w:pPr>
      <w:spacing w:after="100"/>
      <w:ind w:left="440"/>
    </w:pPr>
  </w:style>
  <w:style w:type="paragraph" w:styleId="IntenseQuote">
    <w:name w:val="Intense Quote"/>
    <w:basedOn w:val="Normal"/>
    <w:next w:val="Normal"/>
    <w:link w:val="IntenseQuoteChar"/>
    <w:uiPriority w:val="30"/>
    <w:rsid w:val="006E0E9D"/>
    <w:pPr>
      <w:pBdr>
        <w:left w:val="single" w:sz="18" w:space="12" w:color="DA291C"/>
      </w:pBdr>
      <w:spacing w:before="100" w:beforeAutospacing="1" w:line="300" w:lineRule="auto"/>
      <w:ind w:left="1224" w:right="1224"/>
    </w:pPr>
    <w:rPr>
      <w:rFonts w:asciiTheme="majorHAnsi" w:eastAsiaTheme="majorEastAsia" w:hAnsiTheme="majorHAnsi" w:cstheme="majorBidi"/>
      <w:color w:val="000000" w:themeColor="text1"/>
      <w:szCs w:val="28"/>
      <w:lang w:bidi="ar-SA"/>
    </w:rPr>
  </w:style>
  <w:style w:type="character" w:customStyle="1" w:styleId="IntenseQuoteChar">
    <w:name w:val="Intense Quote Char"/>
    <w:basedOn w:val="DefaultParagraphFont"/>
    <w:link w:val="IntenseQuote"/>
    <w:uiPriority w:val="30"/>
    <w:rsid w:val="006E0E9D"/>
    <w:rPr>
      <w:rFonts w:asciiTheme="majorHAnsi" w:eastAsiaTheme="majorEastAsia" w:hAnsiTheme="majorHAnsi" w:cstheme="majorBidi"/>
      <w:color w:val="000000" w:themeColor="text1"/>
      <w:szCs w:val="28"/>
      <w:lang w:val="en-AU" w:eastAsia="ja-JP"/>
    </w:rPr>
  </w:style>
  <w:style w:type="paragraph" w:styleId="Subtitle">
    <w:name w:val="Subtitle"/>
    <w:aliases w:val="Document Title"/>
    <w:basedOn w:val="Normal"/>
    <w:next w:val="Normal"/>
    <w:link w:val="SubtitleChar"/>
    <w:uiPriority w:val="11"/>
    <w:rsid w:val="0067306B"/>
    <w:rPr>
      <w:rFonts w:ascii="Arial" w:eastAsiaTheme="minorEastAsia" w:hAnsi="Arial" w:cs="Arial"/>
      <w:sz w:val="32"/>
      <w:szCs w:val="28"/>
      <w:lang w:bidi="ar-SA"/>
    </w:rPr>
  </w:style>
  <w:style w:type="character" w:customStyle="1" w:styleId="SubtitleChar">
    <w:name w:val="Subtitle Char"/>
    <w:aliases w:val="Document Title Char"/>
    <w:basedOn w:val="DefaultParagraphFont"/>
    <w:link w:val="Subtitle"/>
    <w:uiPriority w:val="11"/>
    <w:rsid w:val="0067306B"/>
    <w:rPr>
      <w:rFonts w:ascii="Arial" w:eastAsiaTheme="minorEastAsia" w:hAnsi="Arial" w:cs="Arial"/>
      <w:sz w:val="32"/>
      <w:szCs w:val="28"/>
      <w:lang w:val="en-AU" w:eastAsia="ja-JP"/>
    </w:rPr>
  </w:style>
  <w:style w:type="character" w:styleId="CommentReference">
    <w:name w:val="annotation reference"/>
    <w:basedOn w:val="DefaultParagraphFont"/>
    <w:uiPriority w:val="99"/>
    <w:semiHidden/>
    <w:unhideWhenUsed/>
    <w:rsid w:val="006E568A"/>
    <w:rPr>
      <w:sz w:val="16"/>
      <w:szCs w:val="16"/>
    </w:rPr>
  </w:style>
  <w:style w:type="paragraph" w:styleId="CommentText">
    <w:name w:val="annotation text"/>
    <w:basedOn w:val="Normal"/>
    <w:link w:val="CommentTextChar"/>
    <w:uiPriority w:val="99"/>
    <w:unhideWhenUsed/>
    <w:rsid w:val="006E568A"/>
    <w:pPr>
      <w:spacing w:line="240" w:lineRule="auto"/>
    </w:pPr>
    <w:rPr>
      <w:sz w:val="20"/>
      <w:szCs w:val="18"/>
    </w:rPr>
  </w:style>
  <w:style w:type="character" w:customStyle="1" w:styleId="CommentTextChar">
    <w:name w:val="Comment Text Char"/>
    <w:basedOn w:val="DefaultParagraphFont"/>
    <w:link w:val="CommentText"/>
    <w:uiPriority w:val="99"/>
    <w:rsid w:val="006E568A"/>
    <w:rPr>
      <w:rFonts w:eastAsia="Times New Roman" w:cs="Mangal"/>
      <w:sz w:val="20"/>
      <w:szCs w:val="18"/>
      <w:lang w:val="en-GB" w:eastAsia="en-GB" w:bidi="hi-IN"/>
    </w:rPr>
  </w:style>
  <w:style w:type="paragraph" w:styleId="CommentSubject">
    <w:name w:val="annotation subject"/>
    <w:basedOn w:val="CommentText"/>
    <w:next w:val="CommentText"/>
    <w:link w:val="CommentSubjectChar"/>
    <w:uiPriority w:val="99"/>
    <w:semiHidden/>
    <w:unhideWhenUsed/>
    <w:rsid w:val="006E568A"/>
    <w:rPr>
      <w:b/>
      <w:bCs/>
    </w:rPr>
  </w:style>
  <w:style w:type="character" w:customStyle="1" w:styleId="CommentSubjectChar">
    <w:name w:val="Comment Subject Char"/>
    <w:basedOn w:val="CommentTextChar"/>
    <w:link w:val="CommentSubject"/>
    <w:uiPriority w:val="99"/>
    <w:semiHidden/>
    <w:rsid w:val="006E568A"/>
    <w:rPr>
      <w:rFonts w:eastAsia="Times New Roman" w:cs="Mangal"/>
      <w:b/>
      <w:bCs/>
      <w:sz w:val="20"/>
      <w:szCs w:val="18"/>
      <w:lang w:val="en-GB" w:eastAsia="en-GB" w:bidi="hi-IN"/>
    </w:rPr>
  </w:style>
  <w:style w:type="paragraph" w:styleId="BalloonText">
    <w:name w:val="Balloon Text"/>
    <w:basedOn w:val="Normal"/>
    <w:link w:val="BalloonTextChar"/>
    <w:uiPriority w:val="99"/>
    <w:semiHidden/>
    <w:unhideWhenUsed/>
    <w:rsid w:val="006E568A"/>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6E568A"/>
    <w:rPr>
      <w:rFonts w:ascii="Segoe UI" w:eastAsia="Times New Roman" w:hAnsi="Segoe UI" w:cs="Mangal"/>
      <w:sz w:val="18"/>
      <w:szCs w:val="16"/>
      <w:lang w:val="en-GB" w:eastAsia="en-GB" w:bidi="hi-IN"/>
    </w:rPr>
  </w:style>
  <w:style w:type="paragraph" w:customStyle="1" w:styleId="redlinetext">
    <w:name w:val="red line text"/>
    <w:basedOn w:val="IntenseQuote"/>
    <w:qFormat/>
    <w:rsid w:val="00504202"/>
    <w:pPr>
      <w:spacing w:before="0" w:beforeAutospacing="0" w:after="60" w:line="276" w:lineRule="auto"/>
      <w:ind w:left="1134" w:right="1225"/>
    </w:pPr>
    <w:rPr>
      <w:rFonts w:asciiTheme="minorHAnsi" w:hAnsiTheme="minorHAnsi"/>
    </w:rPr>
  </w:style>
  <w:style w:type="paragraph" w:customStyle="1" w:styleId="Heading4SHS">
    <w:name w:val="Heading 4 SHS"/>
    <w:basedOn w:val="Normal"/>
    <w:next w:val="Normal"/>
    <w:link w:val="Heading4SHSChar"/>
    <w:qFormat/>
    <w:rsid w:val="00FF3B39"/>
    <w:pPr>
      <w:keepNext/>
      <w:keepLines/>
      <w:spacing w:before="120" w:after="60"/>
      <w:ind w:left="431" w:hanging="431"/>
      <w:outlineLvl w:val="3"/>
    </w:pPr>
    <w:rPr>
      <w:rFonts w:eastAsiaTheme="majorEastAsia" w:cs="Arial"/>
      <w:b/>
      <w:i/>
      <w:szCs w:val="32"/>
      <w:lang w:bidi="ar-SA"/>
    </w:rPr>
  </w:style>
  <w:style w:type="character" w:customStyle="1" w:styleId="Heading4SHSChar">
    <w:name w:val="Heading 4 SHS Char"/>
    <w:basedOn w:val="DefaultParagraphFont"/>
    <w:link w:val="Heading4SHS"/>
    <w:rsid w:val="00FF3B39"/>
    <w:rPr>
      <w:rFonts w:eastAsiaTheme="majorEastAsia" w:cs="Arial"/>
      <w:b/>
      <w:i/>
      <w:szCs w:val="32"/>
      <w:lang w:eastAsia="ja-JP"/>
    </w:rPr>
  </w:style>
  <w:style w:type="paragraph" w:styleId="Caption">
    <w:name w:val="caption"/>
    <w:basedOn w:val="Normal"/>
    <w:next w:val="Normal"/>
    <w:uiPriority w:val="35"/>
    <w:unhideWhenUsed/>
    <w:qFormat/>
    <w:rsid w:val="00876C2E"/>
    <w:pPr>
      <w:keepNext/>
      <w:spacing w:after="60"/>
    </w:pPr>
    <w:rPr>
      <w:b/>
      <w:iCs/>
      <w:color w:val="7F7F7F" w:themeColor="text1" w:themeTint="80"/>
      <w:szCs w:val="16"/>
    </w:rPr>
  </w:style>
  <w:style w:type="paragraph" w:customStyle="1" w:styleId="sourceoffigure">
    <w:name w:val="source of figure"/>
    <w:basedOn w:val="Caption"/>
    <w:qFormat/>
    <w:rsid w:val="00F41625"/>
    <w:rPr>
      <w:color w:val="808080" w:themeColor="background1" w:themeShade="80"/>
      <w:sz w:val="20"/>
    </w:rPr>
  </w:style>
  <w:style w:type="paragraph" w:customStyle="1" w:styleId="Acronymtabletext">
    <w:name w:val="Acronym table text"/>
    <w:basedOn w:val="Normal"/>
    <w:link w:val="AcronymtabletextChar"/>
    <w:rsid w:val="00D93D6C"/>
    <w:pPr>
      <w:spacing w:after="0"/>
    </w:pPr>
    <w:rPr>
      <w:rFonts w:eastAsiaTheme="minorEastAsia"/>
      <w:sz w:val="20"/>
      <w:szCs w:val="22"/>
      <w:lang w:eastAsia="en-AU"/>
    </w:rPr>
  </w:style>
  <w:style w:type="paragraph" w:customStyle="1" w:styleId="Heading3SHS">
    <w:name w:val="Heading 3 SHS"/>
    <w:basedOn w:val="Heading2SHS"/>
    <w:next w:val="Normal"/>
    <w:qFormat/>
    <w:rsid w:val="001E7D28"/>
    <w:pPr>
      <w:numPr>
        <w:ilvl w:val="2"/>
      </w:numPr>
      <w:spacing w:after="60"/>
      <w:outlineLvl w:val="2"/>
    </w:pPr>
    <w:rPr>
      <w:rFonts w:eastAsiaTheme="majorEastAsia"/>
      <w:bCs/>
      <w:spacing w:val="-10"/>
      <w:sz w:val="22"/>
      <w:szCs w:val="32"/>
      <w:lang w:bidi="ar-SA"/>
    </w:rPr>
  </w:style>
  <w:style w:type="paragraph" w:customStyle="1" w:styleId="Footertextblack">
    <w:name w:val="Footer text black"/>
    <w:basedOn w:val="Footer"/>
    <w:qFormat/>
    <w:rsid w:val="00F65F52"/>
    <w:pPr>
      <w:pBdr>
        <w:top w:val="single" w:sz="4" w:space="1" w:color="auto"/>
      </w:pBdr>
      <w:tabs>
        <w:tab w:val="right" w:pos="9072"/>
      </w:tabs>
      <w:spacing w:before="180" w:after="120"/>
      <w:jc w:val="both"/>
    </w:pPr>
    <w:rPr>
      <w:sz w:val="18"/>
      <w:szCs w:val="18"/>
    </w:rPr>
  </w:style>
  <w:style w:type="paragraph" w:customStyle="1" w:styleId="Footertextred">
    <w:name w:val="Footer text red"/>
    <w:basedOn w:val="Footer"/>
    <w:qFormat/>
    <w:rsid w:val="00F65F52"/>
    <w:pPr>
      <w:tabs>
        <w:tab w:val="clear" w:pos="4153"/>
        <w:tab w:val="clear" w:pos="8306"/>
        <w:tab w:val="left" w:pos="2400"/>
      </w:tabs>
    </w:pPr>
    <w:rPr>
      <w:color w:val="DA291C"/>
      <w:sz w:val="18"/>
    </w:rPr>
  </w:style>
  <w:style w:type="paragraph" w:customStyle="1" w:styleId="Acronymstabletext">
    <w:name w:val="Acronyms table text"/>
    <w:basedOn w:val="Acronymtabletext"/>
    <w:link w:val="AcronymstabletextChar"/>
    <w:qFormat/>
    <w:rsid w:val="00F65F52"/>
    <w:rPr>
      <w:sz w:val="22"/>
    </w:rPr>
  </w:style>
  <w:style w:type="paragraph" w:customStyle="1" w:styleId="TOCtext">
    <w:name w:val="TOC text"/>
    <w:basedOn w:val="TOC1"/>
    <w:qFormat/>
    <w:rsid w:val="002C6685"/>
    <w:pPr>
      <w:tabs>
        <w:tab w:val="left" w:pos="440"/>
      </w:tabs>
    </w:pPr>
    <w:rPr>
      <w:b w:val="0"/>
      <w:noProof/>
    </w:rPr>
  </w:style>
  <w:style w:type="paragraph" w:customStyle="1" w:styleId="Disclaimertext">
    <w:name w:val="Disclaimer text"/>
    <w:basedOn w:val="Normal"/>
    <w:qFormat/>
    <w:rsid w:val="0039790A"/>
    <w:rPr>
      <w:rFonts w:eastAsia="HGMinchoB"/>
      <w:i/>
      <w:iCs/>
      <w:sz w:val="18"/>
    </w:rPr>
  </w:style>
  <w:style w:type="paragraph" w:customStyle="1" w:styleId="Coverpagelogotext">
    <w:name w:val="Cover page logo text"/>
    <w:basedOn w:val="Normal"/>
    <w:qFormat/>
    <w:rsid w:val="003E57F7"/>
    <w:pPr>
      <w:spacing w:after="0"/>
      <w:jc w:val="right"/>
    </w:pPr>
    <w:rPr>
      <w:rFonts w:cs="Arial"/>
      <w:i/>
      <w:color w:val="DA291C"/>
      <w:sz w:val="18"/>
    </w:rPr>
  </w:style>
  <w:style w:type="paragraph" w:customStyle="1" w:styleId="figurespictures">
    <w:name w:val="figures/pictures"/>
    <w:basedOn w:val="Normal"/>
    <w:qFormat/>
    <w:rsid w:val="00815960"/>
    <w:pPr>
      <w:framePr w:wrap="notBeside" w:vAnchor="text" w:hAnchor="text" w:y="1"/>
      <w:spacing w:after="0"/>
    </w:pPr>
    <w:rPr>
      <w:noProof/>
      <w:lang w:eastAsia="en-AU" w:bidi="ar-SA"/>
    </w:rPr>
  </w:style>
  <w:style w:type="paragraph" w:customStyle="1" w:styleId="Subheadingtabletextandformat">
    <w:name w:val="Subheading table text and format"/>
    <w:basedOn w:val="Acronymtabletext"/>
    <w:link w:val="SubheadingtabletextandformatChar"/>
    <w:qFormat/>
    <w:rsid w:val="00B81284"/>
    <w:pPr>
      <w:shd w:val="clear" w:color="auto" w:fill="F6B9B4"/>
      <w:spacing w:after="120"/>
    </w:pPr>
    <w:rPr>
      <w:b/>
    </w:rPr>
  </w:style>
  <w:style w:type="paragraph" w:customStyle="1" w:styleId="Coverpagereport">
    <w:name w:val="Cover page report"/>
    <w:basedOn w:val="Normal"/>
    <w:qFormat/>
    <w:rsid w:val="007669E5"/>
    <w:pPr>
      <w:spacing w:after="0"/>
    </w:pPr>
    <w:rPr>
      <w:rFonts w:asciiTheme="majorHAnsi" w:hAnsiTheme="majorHAnsi"/>
      <w:b/>
      <w:sz w:val="36"/>
    </w:rPr>
  </w:style>
  <w:style w:type="paragraph" w:customStyle="1" w:styleId="Heading1SHS">
    <w:name w:val="Heading 1 SHS"/>
    <w:basedOn w:val="Normal"/>
    <w:next w:val="Normal"/>
    <w:qFormat/>
    <w:rsid w:val="007669E5"/>
    <w:pPr>
      <w:numPr>
        <w:numId w:val="5"/>
      </w:numPr>
      <w:spacing w:before="320" w:after="0"/>
      <w:outlineLvl w:val="0"/>
    </w:pPr>
    <w:rPr>
      <w:rFonts w:ascii="Calibri" w:hAnsi="Calibri" w:cs="Arial"/>
      <w:b/>
      <w:color w:val="D5291C"/>
      <w:sz w:val="28"/>
    </w:rPr>
  </w:style>
  <w:style w:type="paragraph" w:customStyle="1" w:styleId="bullet">
    <w:name w:val="bullet"/>
    <w:basedOn w:val="ListParagraph"/>
    <w:qFormat/>
    <w:rsid w:val="00066A57"/>
    <w:pPr>
      <w:numPr>
        <w:numId w:val="3"/>
      </w:numPr>
    </w:pPr>
  </w:style>
  <w:style w:type="paragraph" w:customStyle="1" w:styleId="REQUESTTitle">
    <w:name w:val="REQUEST Title"/>
    <w:basedOn w:val="redlinetext"/>
    <w:next w:val="redlinetext"/>
    <w:qFormat/>
    <w:rsid w:val="00504202"/>
    <w:rPr>
      <w:rFonts w:asciiTheme="majorHAnsi" w:hAnsiTheme="majorHAnsi" w:cs="Arial"/>
      <w:b/>
      <w:color w:val="DA291C"/>
      <w:sz w:val="28"/>
      <w:lang w:bidi="hi-IN"/>
    </w:rPr>
  </w:style>
  <w:style w:type="paragraph" w:customStyle="1" w:styleId="Acronymstext">
    <w:name w:val="Acronyms text"/>
    <w:basedOn w:val="Acronymtabletext"/>
    <w:link w:val="AcronymstextChar"/>
    <w:rsid w:val="00066A57"/>
    <w:rPr>
      <w:rFonts w:ascii="Arial" w:hAnsi="Arial"/>
      <w:lang w:val="en-US"/>
    </w:rPr>
  </w:style>
  <w:style w:type="paragraph" w:styleId="TableofFigures">
    <w:name w:val="table of figures"/>
    <w:basedOn w:val="Normal"/>
    <w:next w:val="Normal"/>
    <w:uiPriority w:val="99"/>
    <w:unhideWhenUsed/>
    <w:rsid w:val="0073382F"/>
    <w:pPr>
      <w:spacing w:after="0"/>
    </w:pPr>
  </w:style>
  <w:style w:type="character" w:customStyle="1" w:styleId="AcronymtabletextChar">
    <w:name w:val="Acronym table text Char"/>
    <w:basedOn w:val="DefaultParagraphFont"/>
    <w:link w:val="Acronymtabletext"/>
    <w:rsid w:val="00066A57"/>
    <w:rPr>
      <w:rFonts w:eastAsiaTheme="minorEastAsia" w:cs="Mangal"/>
      <w:sz w:val="20"/>
      <w:lang w:eastAsia="en-AU" w:bidi="hi-IN"/>
    </w:rPr>
  </w:style>
  <w:style w:type="character" w:customStyle="1" w:styleId="AcronymstextChar">
    <w:name w:val="Acronyms text Char"/>
    <w:basedOn w:val="AcronymtabletextChar"/>
    <w:link w:val="Acronymstext"/>
    <w:rsid w:val="00066A57"/>
    <w:rPr>
      <w:rFonts w:ascii="Arial" w:eastAsiaTheme="minorEastAsia" w:hAnsi="Arial" w:cs="Mangal"/>
      <w:sz w:val="20"/>
      <w:lang w:val="en-US" w:eastAsia="en-AU" w:bidi="hi-IN"/>
    </w:rPr>
  </w:style>
  <w:style w:type="paragraph" w:customStyle="1" w:styleId="TableofFigurestabletext">
    <w:name w:val="Table of Figures table text"/>
    <w:basedOn w:val="Acronymstabletext"/>
    <w:link w:val="TableofFigurestabletextChar"/>
    <w:qFormat/>
    <w:rsid w:val="0073382F"/>
    <w:pPr>
      <w:tabs>
        <w:tab w:val="right" w:leader="dot" w:pos="9016"/>
      </w:tabs>
    </w:pPr>
    <w:rPr>
      <w:noProof/>
    </w:rPr>
  </w:style>
  <w:style w:type="character" w:customStyle="1" w:styleId="Heading3Char">
    <w:name w:val="Heading 3 Char"/>
    <w:basedOn w:val="DefaultParagraphFont"/>
    <w:link w:val="Heading3"/>
    <w:uiPriority w:val="9"/>
    <w:semiHidden/>
    <w:rsid w:val="00FE73E5"/>
    <w:rPr>
      <w:rFonts w:asciiTheme="majorHAnsi" w:eastAsiaTheme="majorEastAsia" w:hAnsiTheme="majorHAnsi" w:cs="Mangal"/>
      <w:color w:val="6C1412" w:themeColor="accent1" w:themeShade="7F"/>
      <w:sz w:val="24"/>
      <w:szCs w:val="21"/>
      <w:lang w:eastAsia="ja-JP" w:bidi="hi-IN"/>
    </w:rPr>
  </w:style>
  <w:style w:type="character" w:customStyle="1" w:styleId="AcronymstabletextChar">
    <w:name w:val="Acronyms table text Char"/>
    <w:basedOn w:val="AcronymtabletextChar"/>
    <w:link w:val="Acronymstabletext"/>
    <w:rsid w:val="0073382F"/>
    <w:rPr>
      <w:rFonts w:eastAsiaTheme="minorEastAsia" w:cs="Mangal"/>
      <w:sz w:val="20"/>
      <w:lang w:eastAsia="en-AU" w:bidi="hi-IN"/>
    </w:rPr>
  </w:style>
  <w:style w:type="character" w:customStyle="1" w:styleId="TableofFigurestabletextChar">
    <w:name w:val="Table of Figures table text Char"/>
    <w:basedOn w:val="AcronymstabletextChar"/>
    <w:link w:val="TableofFigurestabletext"/>
    <w:rsid w:val="0073382F"/>
    <w:rPr>
      <w:rFonts w:eastAsiaTheme="minorEastAsia" w:cs="Mangal"/>
      <w:noProof/>
      <w:sz w:val="20"/>
      <w:lang w:eastAsia="en-AU" w:bidi="hi-IN"/>
    </w:rPr>
  </w:style>
  <w:style w:type="paragraph" w:customStyle="1" w:styleId="Quotes">
    <w:name w:val="Quotes"/>
    <w:basedOn w:val="Normal"/>
    <w:link w:val="QuotesChar"/>
    <w:qFormat/>
    <w:rsid w:val="00D46F50"/>
    <w:pPr>
      <w:ind w:left="862" w:right="862"/>
      <w:jc w:val="center"/>
    </w:pPr>
    <w:rPr>
      <w:i/>
    </w:rPr>
  </w:style>
  <w:style w:type="character" w:customStyle="1" w:styleId="QuotesChar">
    <w:name w:val="Quotes Char"/>
    <w:basedOn w:val="DefaultParagraphFont"/>
    <w:link w:val="Quotes"/>
    <w:rsid w:val="00D46F50"/>
    <w:rPr>
      <w:rFonts w:eastAsia="Times New Roman" w:cs="Mangal"/>
      <w:i/>
      <w:szCs w:val="24"/>
      <w:lang w:eastAsia="ja-JP" w:bidi="hi-IN"/>
    </w:rPr>
  </w:style>
  <w:style w:type="paragraph" w:customStyle="1" w:styleId="TableHeadingsText">
    <w:name w:val="Table Headings Text"/>
    <w:basedOn w:val="Acronymtabletext"/>
    <w:link w:val="TableHeadingsTextChar"/>
    <w:qFormat/>
    <w:rsid w:val="00535BCB"/>
    <w:pPr>
      <w:shd w:val="clear" w:color="auto" w:fill="DA291C"/>
    </w:pPr>
    <w:rPr>
      <w:b/>
      <w:color w:val="FFFFFF" w:themeColor="background1"/>
      <w:sz w:val="22"/>
      <w:lang w:val="en-US"/>
    </w:rPr>
  </w:style>
  <w:style w:type="paragraph" w:customStyle="1" w:styleId="Tabletextnormal">
    <w:name w:val="Table text normal"/>
    <w:basedOn w:val="Subheadingtabletextandformat"/>
    <w:link w:val="TabletextnormalChar"/>
    <w:qFormat/>
    <w:rsid w:val="00535BCB"/>
    <w:pPr>
      <w:shd w:val="clear" w:color="auto" w:fill="auto"/>
    </w:pPr>
    <w:rPr>
      <w:b w:val="0"/>
      <w:lang w:val="en-US"/>
    </w:rPr>
  </w:style>
  <w:style w:type="character" w:customStyle="1" w:styleId="TableHeadingsTextChar">
    <w:name w:val="Table Headings Text Char"/>
    <w:basedOn w:val="AcronymtabletextChar"/>
    <w:link w:val="TableHeadingsText"/>
    <w:rsid w:val="00535BCB"/>
    <w:rPr>
      <w:rFonts w:eastAsiaTheme="minorEastAsia" w:cs="Mangal"/>
      <w:b/>
      <w:color w:val="FFFFFF" w:themeColor="background1"/>
      <w:sz w:val="20"/>
      <w:shd w:val="clear" w:color="auto" w:fill="DA291C"/>
      <w:lang w:val="en-US" w:eastAsia="en-AU" w:bidi="hi-IN"/>
    </w:rPr>
  </w:style>
  <w:style w:type="character" w:customStyle="1" w:styleId="SubheadingtabletextandformatChar">
    <w:name w:val="Subheading table text and format Char"/>
    <w:basedOn w:val="AcronymtabletextChar"/>
    <w:link w:val="Subheadingtabletextandformat"/>
    <w:rsid w:val="00B81284"/>
    <w:rPr>
      <w:rFonts w:eastAsiaTheme="minorEastAsia" w:cs="Mangal"/>
      <w:b/>
      <w:sz w:val="20"/>
      <w:shd w:val="clear" w:color="auto" w:fill="F6B9B4"/>
      <w:lang w:eastAsia="en-AU" w:bidi="hi-IN"/>
    </w:rPr>
  </w:style>
  <w:style w:type="character" w:customStyle="1" w:styleId="TabletextnormalChar">
    <w:name w:val="Table text normal Char"/>
    <w:basedOn w:val="SubheadingtabletextandformatChar"/>
    <w:link w:val="Tabletextnormal"/>
    <w:rsid w:val="00535BCB"/>
    <w:rPr>
      <w:rFonts w:eastAsiaTheme="minorEastAsia" w:cs="Mangal"/>
      <w:b w:val="0"/>
      <w:sz w:val="20"/>
      <w:shd w:val="clear" w:color="auto" w:fill="F6B9B4"/>
      <w:lang w:val="en-US" w:eastAsia="en-AU" w:bidi="hi-IN"/>
    </w:rPr>
  </w:style>
  <w:style w:type="paragraph" w:styleId="TOC4">
    <w:name w:val="toc 4"/>
    <w:basedOn w:val="Normal"/>
    <w:next w:val="Normal"/>
    <w:autoRedefine/>
    <w:uiPriority w:val="39"/>
    <w:unhideWhenUsed/>
    <w:rsid w:val="0028330C"/>
    <w:pPr>
      <w:spacing w:after="100"/>
      <w:ind w:left="660"/>
    </w:pPr>
  </w:style>
  <w:style w:type="table" w:styleId="PlainTable3">
    <w:name w:val="Plain Table 3"/>
    <w:basedOn w:val="TableNormal"/>
    <w:uiPriority w:val="43"/>
    <w:rsid w:val="00D326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HSReportTable">
    <w:name w:val="SHS Report Table"/>
    <w:basedOn w:val="TableNormal"/>
    <w:uiPriority w:val="99"/>
    <w:rsid w:val="00BC3C0C"/>
    <w:pPr>
      <w:spacing w:after="0" w:line="240" w:lineRule="auto"/>
      <w:contextualSpacing/>
    </w:p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pPr>
        <w:wordWrap/>
        <w:spacing w:beforeLines="0" w:before="0" w:beforeAutospacing="0" w:afterLines="0" w:after="0" w:afterAutospacing="0" w:line="276" w:lineRule="auto"/>
        <w:contextualSpacing w:val="0"/>
      </w:pPr>
      <w:rPr>
        <w:rFonts w:asciiTheme="minorHAnsi" w:hAnsiTheme="minorHAnsi"/>
        <w:b/>
        <w:color w:val="FFFFFF" w:themeColor="background1"/>
        <w:sz w:val="22"/>
      </w:rPr>
      <w:tblPr/>
      <w:tcPr>
        <w:shd w:val="clear" w:color="auto" w:fill="DA2926" w:themeFill="accent1"/>
      </w:tcPr>
    </w:tblStylePr>
    <w:tblStylePr w:type="firstCol">
      <w:rPr>
        <w:rFonts w:asciiTheme="minorHAnsi" w:hAnsiTheme="minorHAnsi"/>
        <w:b w:val="0"/>
        <w:sz w:val="20"/>
      </w:rPr>
    </w:tblStylePr>
    <w:tblStylePr w:type="band1Horz">
      <w:tblPr/>
      <w:tcPr>
        <w:shd w:val="clear" w:color="auto" w:fill="F2F2F2" w:themeFill="background1" w:themeFillShade="F2"/>
      </w:tcPr>
    </w:tblStylePr>
  </w:style>
  <w:style w:type="paragraph" w:styleId="Revision">
    <w:name w:val="Revision"/>
    <w:hidden/>
    <w:uiPriority w:val="99"/>
    <w:semiHidden/>
    <w:rsid w:val="00415DB5"/>
    <w:pPr>
      <w:spacing w:after="0" w:line="240" w:lineRule="auto"/>
    </w:pPr>
    <w:rPr>
      <w:rFonts w:eastAsia="Times New Roman" w:cs="Mangal"/>
      <w:szCs w:val="24"/>
      <w:lang w:eastAsia="ja-JP" w:bidi="hi-IN"/>
    </w:rPr>
  </w:style>
  <w:style w:type="paragraph" w:styleId="TOC5">
    <w:name w:val="toc 5"/>
    <w:basedOn w:val="Normal"/>
    <w:next w:val="Normal"/>
    <w:autoRedefine/>
    <w:uiPriority w:val="39"/>
    <w:unhideWhenUsed/>
    <w:rsid w:val="001B7C36"/>
    <w:pPr>
      <w:spacing w:after="100" w:line="259" w:lineRule="auto"/>
      <w:ind w:left="880"/>
    </w:pPr>
    <w:rPr>
      <w:rFonts w:eastAsiaTheme="minorEastAsia" w:cstheme="minorBidi"/>
      <w:kern w:val="2"/>
      <w:szCs w:val="22"/>
      <w:lang w:eastAsia="en-AU" w:bidi="ar-SA"/>
      <w14:ligatures w14:val="standardContextual"/>
    </w:rPr>
  </w:style>
  <w:style w:type="paragraph" w:styleId="TOC6">
    <w:name w:val="toc 6"/>
    <w:basedOn w:val="Normal"/>
    <w:next w:val="Normal"/>
    <w:autoRedefine/>
    <w:uiPriority w:val="39"/>
    <w:unhideWhenUsed/>
    <w:rsid w:val="001B7C36"/>
    <w:pPr>
      <w:spacing w:after="100" w:line="259" w:lineRule="auto"/>
      <w:ind w:left="1100"/>
    </w:pPr>
    <w:rPr>
      <w:rFonts w:eastAsiaTheme="minorEastAsia" w:cstheme="minorBidi"/>
      <w:kern w:val="2"/>
      <w:szCs w:val="22"/>
      <w:lang w:eastAsia="en-AU" w:bidi="ar-SA"/>
      <w14:ligatures w14:val="standardContextual"/>
    </w:rPr>
  </w:style>
  <w:style w:type="paragraph" w:styleId="TOC7">
    <w:name w:val="toc 7"/>
    <w:basedOn w:val="Normal"/>
    <w:next w:val="Normal"/>
    <w:autoRedefine/>
    <w:uiPriority w:val="39"/>
    <w:unhideWhenUsed/>
    <w:rsid w:val="001B7C36"/>
    <w:pPr>
      <w:spacing w:after="100" w:line="259" w:lineRule="auto"/>
      <w:ind w:left="1320"/>
    </w:pPr>
    <w:rPr>
      <w:rFonts w:eastAsiaTheme="minorEastAsia" w:cstheme="minorBidi"/>
      <w:kern w:val="2"/>
      <w:szCs w:val="22"/>
      <w:lang w:eastAsia="en-AU" w:bidi="ar-SA"/>
      <w14:ligatures w14:val="standardContextual"/>
    </w:rPr>
  </w:style>
  <w:style w:type="paragraph" w:styleId="TOC8">
    <w:name w:val="toc 8"/>
    <w:basedOn w:val="Normal"/>
    <w:next w:val="Normal"/>
    <w:autoRedefine/>
    <w:uiPriority w:val="39"/>
    <w:unhideWhenUsed/>
    <w:rsid w:val="001B7C36"/>
    <w:pPr>
      <w:spacing w:after="100" w:line="259" w:lineRule="auto"/>
      <w:ind w:left="1540"/>
    </w:pPr>
    <w:rPr>
      <w:rFonts w:eastAsiaTheme="minorEastAsia" w:cstheme="minorBidi"/>
      <w:kern w:val="2"/>
      <w:szCs w:val="22"/>
      <w:lang w:eastAsia="en-AU" w:bidi="ar-SA"/>
      <w14:ligatures w14:val="standardContextual"/>
    </w:rPr>
  </w:style>
  <w:style w:type="paragraph" w:styleId="TOC9">
    <w:name w:val="toc 9"/>
    <w:basedOn w:val="Normal"/>
    <w:next w:val="Normal"/>
    <w:autoRedefine/>
    <w:uiPriority w:val="39"/>
    <w:unhideWhenUsed/>
    <w:rsid w:val="001B7C36"/>
    <w:pPr>
      <w:spacing w:after="100" w:line="259" w:lineRule="auto"/>
      <w:ind w:left="1760"/>
    </w:pPr>
    <w:rPr>
      <w:rFonts w:eastAsiaTheme="minorEastAsia" w:cstheme="minorBidi"/>
      <w:kern w:val="2"/>
      <w:szCs w:val="22"/>
      <w:lang w:eastAsia="en-AU" w:bidi="ar-SA"/>
      <w14:ligatures w14:val="standardContextual"/>
    </w:rPr>
  </w:style>
  <w:style w:type="character" w:styleId="UnresolvedMention">
    <w:name w:val="Unresolved Mention"/>
    <w:basedOn w:val="DefaultParagraphFont"/>
    <w:uiPriority w:val="99"/>
    <w:semiHidden/>
    <w:unhideWhenUsed/>
    <w:rsid w:val="001B7C36"/>
    <w:rPr>
      <w:color w:val="605E5C"/>
      <w:shd w:val="clear" w:color="auto" w:fill="E1DFDD"/>
    </w:rPr>
  </w:style>
  <w:style w:type="paragraph" w:styleId="FootnoteText">
    <w:name w:val="footnote text"/>
    <w:basedOn w:val="Normal"/>
    <w:link w:val="FootnoteTextChar"/>
    <w:uiPriority w:val="99"/>
    <w:semiHidden/>
    <w:unhideWhenUsed/>
    <w:rsid w:val="00F408B4"/>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F408B4"/>
    <w:rPr>
      <w:rFonts w:eastAsia="Times New Roman" w:cs="Mangal"/>
      <w:sz w:val="20"/>
      <w:szCs w:val="18"/>
      <w:lang w:eastAsia="ja-JP" w:bidi="hi-IN"/>
    </w:rPr>
  </w:style>
  <w:style w:type="character" w:styleId="FootnoteReference">
    <w:name w:val="footnote reference"/>
    <w:aliases w:val="Normal + Font:9 Point,Superscript 3 Point Times"/>
    <w:basedOn w:val="DefaultParagraphFont"/>
    <w:uiPriority w:val="99"/>
    <w:unhideWhenUsed/>
    <w:rsid w:val="00F408B4"/>
    <w:rPr>
      <w:vertAlign w:val="superscript"/>
    </w:rPr>
  </w:style>
  <w:style w:type="paragraph" w:styleId="EndnoteText">
    <w:name w:val="endnote text"/>
    <w:basedOn w:val="Normal"/>
    <w:link w:val="EndnoteTextChar"/>
    <w:uiPriority w:val="99"/>
    <w:semiHidden/>
    <w:unhideWhenUsed/>
    <w:rsid w:val="00E01BB8"/>
    <w:pPr>
      <w:spacing w:after="0" w:line="240" w:lineRule="auto"/>
    </w:pPr>
    <w:rPr>
      <w:sz w:val="20"/>
      <w:szCs w:val="18"/>
    </w:rPr>
  </w:style>
  <w:style w:type="character" w:customStyle="1" w:styleId="EndnoteTextChar">
    <w:name w:val="Endnote Text Char"/>
    <w:basedOn w:val="DefaultParagraphFont"/>
    <w:link w:val="EndnoteText"/>
    <w:uiPriority w:val="99"/>
    <w:semiHidden/>
    <w:rsid w:val="00E01BB8"/>
    <w:rPr>
      <w:rFonts w:eastAsia="Times New Roman" w:cs="Mangal"/>
      <w:sz w:val="20"/>
      <w:szCs w:val="18"/>
      <w:lang w:eastAsia="ja-JP" w:bidi="hi-IN"/>
    </w:rPr>
  </w:style>
  <w:style w:type="character" w:styleId="EndnoteReference">
    <w:name w:val="endnote reference"/>
    <w:basedOn w:val="DefaultParagraphFont"/>
    <w:uiPriority w:val="99"/>
    <w:semiHidden/>
    <w:unhideWhenUsed/>
    <w:rsid w:val="00E01BB8"/>
    <w:rPr>
      <w:vertAlign w:val="superscript"/>
    </w:rPr>
  </w:style>
  <w:style w:type="character" w:styleId="FollowedHyperlink">
    <w:name w:val="FollowedHyperlink"/>
    <w:basedOn w:val="DefaultParagraphFont"/>
    <w:uiPriority w:val="99"/>
    <w:semiHidden/>
    <w:unhideWhenUsed/>
    <w:rsid w:val="00110F7A"/>
    <w:rPr>
      <w:color w:val="7F723D" w:themeColor="followedHyperlink"/>
      <w:u w:val="single"/>
    </w:rPr>
  </w:style>
  <w:style w:type="paragraph" w:styleId="NormalWeb">
    <w:name w:val="Normal (Web)"/>
    <w:basedOn w:val="Normal"/>
    <w:uiPriority w:val="99"/>
    <w:semiHidden/>
    <w:unhideWhenUsed/>
    <w:rsid w:val="00D56356"/>
    <w:pPr>
      <w:spacing w:before="100" w:beforeAutospacing="1" w:after="100" w:afterAutospacing="1" w:line="240" w:lineRule="auto"/>
    </w:pPr>
    <w:rPr>
      <w:rFonts w:ascii="Times New Roman" w:eastAsiaTheme="minorEastAsia" w:hAnsi="Times New Roman" w:cs="Times New Roman"/>
      <w:sz w:val="24"/>
      <w:lang w:eastAsia="en-US" w:bidi="ar-SA"/>
    </w:rPr>
  </w:style>
  <w:style w:type="paragraph" w:customStyle="1" w:styleId="Level2Heading">
    <w:name w:val="Level 2 Heading"/>
    <w:basedOn w:val="Non-numberedLevel1heading"/>
    <w:next w:val="Normal"/>
    <w:link w:val="Level2HeadingChar"/>
    <w:qFormat/>
    <w:rsid w:val="00721F73"/>
    <w:pPr>
      <w:spacing w:before="120"/>
      <w:ind w:left="142" w:firstLine="0"/>
    </w:pPr>
    <w:rPr>
      <w:rFonts w:asciiTheme="majorHAnsi" w:hAnsiTheme="majorHAnsi"/>
      <w:color w:val="595959" w:themeColor="text1" w:themeTint="A6"/>
      <w:kern w:val="28"/>
      <w:sz w:val="24"/>
      <w:lang w:bidi="hi-IN"/>
    </w:rPr>
  </w:style>
  <w:style w:type="character" w:customStyle="1" w:styleId="Level2HeadingChar">
    <w:name w:val="Level 2 Heading Char"/>
    <w:basedOn w:val="Heading1Char"/>
    <w:link w:val="Level2Heading"/>
    <w:rsid w:val="00721F73"/>
    <w:rPr>
      <w:rFonts w:asciiTheme="majorHAnsi" w:eastAsia="Times New Roman" w:hAnsiTheme="majorHAnsi" w:cs="Arial"/>
      <w:b/>
      <w:color w:val="595959" w:themeColor="text1" w:themeTint="A6"/>
      <w:spacing w:val="-10"/>
      <w:kern w:val="28"/>
      <w:sz w:val="24"/>
      <w:szCs w:val="32"/>
      <w:lang w:val="en-AU" w:eastAsia="ja-JP" w:bidi="hi-IN"/>
    </w:rPr>
  </w:style>
  <w:style w:type="paragraph" w:customStyle="1" w:styleId="Level4Heading">
    <w:name w:val="Level 4 Heading"/>
    <w:basedOn w:val="Normal"/>
    <w:next w:val="Normal"/>
    <w:link w:val="Level4HeadingChar"/>
    <w:qFormat/>
    <w:rsid w:val="00721F73"/>
    <w:pPr>
      <w:keepNext/>
      <w:keepLines/>
      <w:spacing w:before="120" w:after="60"/>
      <w:ind w:left="431" w:hanging="431"/>
      <w:outlineLvl w:val="3"/>
    </w:pPr>
    <w:rPr>
      <w:rFonts w:eastAsiaTheme="majorEastAsia" w:cs="Arial"/>
      <w:i/>
      <w:szCs w:val="32"/>
      <w:lang w:bidi="ar-SA"/>
    </w:rPr>
  </w:style>
  <w:style w:type="character" w:customStyle="1" w:styleId="Level4HeadingChar">
    <w:name w:val="Level 4 Heading Char"/>
    <w:basedOn w:val="DefaultParagraphFont"/>
    <w:link w:val="Level4Heading"/>
    <w:rsid w:val="00721F73"/>
    <w:rPr>
      <w:rFonts w:eastAsiaTheme="majorEastAsia" w:cs="Arial"/>
      <w:i/>
      <w:szCs w:val="32"/>
      <w:lang w:eastAsia="ja-JP"/>
    </w:rPr>
  </w:style>
  <w:style w:type="paragraph" w:customStyle="1" w:styleId="Level3heading">
    <w:name w:val="Level 3 heading"/>
    <w:basedOn w:val="Level2Heading"/>
    <w:next w:val="Normal"/>
    <w:qFormat/>
    <w:rsid w:val="00721F73"/>
    <w:pPr>
      <w:spacing w:after="60"/>
      <w:ind w:left="2160" w:hanging="360"/>
      <w:outlineLvl w:val="2"/>
    </w:pPr>
    <w:rPr>
      <w:rFonts w:eastAsiaTheme="majorEastAsia"/>
      <w:bCs/>
      <w:sz w:val="22"/>
    </w:rPr>
  </w:style>
  <w:style w:type="paragraph" w:customStyle="1" w:styleId="NumberedLevel1heading">
    <w:name w:val="Numbered Level 1 heading"/>
    <w:basedOn w:val="Normal"/>
    <w:next w:val="Normal"/>
    <w:qFormat/>
    <w:rsid w:val="00721F73"/>
    <w:pPr>
      <w:spacing w:before="320" w:after="0"/>
      <w:ind w:left="360" w:hanging="360"/>
      <w:outlineLvl w:val="0"/>
    </w:pPr>
    <w:rPr>
      <w:rFonts w:ascii="Calibri" w:hAnsi="Calibri" w:cs="Arial"/>
      <w:b/>
      <w:color w:val="D5291C"/>
      <w:sz w:val="28"/>
    </w:rPr>
  </w:style>
  <w:style w:type="paragraph" w:customStyle="1" w:styleId="Default">
    <w:name w:val="Default"/>
    <w:rsid w:val="00721F73"/>
    <w:pPr>
      <w:autoSpaceDE w:val="0"/>
      <w:autoSpaceDN w:val="0"/>
      <w:adjustRightInd w:val="0"/>
      <w:spacing w:after="0" w:line="240" w:lineRule="auto"/>
    </w:pPr>
    <w:rPr>
      <w:rFonts w:ascii="Arial" w:eastAsiaTheme="minorEastAsia" w:hAnsi="Arial" w:cs="Arial"/>
      <w:color w:val="000000"/>
      <w:sz w:val="24"/>
      <w:szCs w:val="24"/>
    </w:rPr>
  </w:style>
  <w:style w:type="paragraph" w:styleId="ListBullet">
    <w:name w:val="List Bullet"/>
    <w:basedOn w:val="Normal"/>
    <w:unhideWhenUsed/>
    <w:qFormat/>
    <w:rsid w:val="00721F73"/>
    <w:pPr>
      <w:numPr>
        <w:numId w:val="11"/>
      </w:numPr>
    </w:pPr>
    <w:rPr>
      <w:rFonts w:ascii="Arial" w:eastAsiaTheme="minorHAnsi" w:hAnsi="Arial" w:cstheme="minorBidi"/>
      <w:sz w:val="20"/>
      <w:szCs w:val="22"/>
      <w:lang w:eastAsia="en-US" w:bidi="ar-SA"/>
    </w:rPr>
  </w:style>
  <w:style w:type="numbering" w:customStyle="1" w:styleId="Headings">
    <w:name w:val="Headings"/>
    <w:uiPriority w:val="99"/>
    <w:rsid w:val="00721F73"/>
    <w:pPr>
      <w:numPr>
        <w:numId w:val="12"/>
      </w:numPr>
    </w:pPr>
  </w:style>
  <w:style w:type="paragraph" w:customStyle="1" w:styleId="Pa10">
    <w:name w:val="Pa10"/>
    <w:basedOn w:val="Default"/>
    <w:next w:val="Default"/>
    <w:uiPriority w:val="99"/>
    <w:rsid w:val="00721F73"/>
    <w:pPr>
      <w:spacing w:line="201" w:lineRule="atLeast"/>
    </w:pPr>
    <w:rPr>
      <w:rFonts w:ascii="Myriad Pro Light" w:eastAsiaTheme="minorHAnsi" w:hAnsi="Myriad Pro Light" w:cstheme="minorBidi"/>
      <w:color w:val="auto"/>
      <w:lang w:val="en-GB"/>
    </w:rPr>
  </w:style>
  <w:style w:type="paragraph" w:customStyle="1" w:styleId="Pa23">
    <w:name w:val="Pa23"/>
    <w:basedOn w:val="Default"/>
    <w:next w:val="Default"/>
    <w:uiPriority w:val="99"/>
    <w:rsid w:val="00721F73"/>
    <w:pPr>
      <w:spacing w:line="201" w:lineRule="atLeast"/>
    </w:pPr>
    <w:rPr>
      <w:rFonts w:ascii="Myriad Pro Light" w:eastAsiaTheme="minorHAnsi" w:hAnsi="Myriad Pro Light" w:cstheme="minorBidi"/>
      <w:color w:val="auto"/>
      <w:lang w:val="en-GB"/>
    </w:rPr>
  </w:style>
  <w:style w:type="paragraph" w:styleId="ListNumber2">
    <w:name w:val="List Number 2"/>
    <w:basedOn w:val="Normal"/>
    <w:uiPriority w:val="99"/>
    <w:unhideWhenUsed/>
    <w:qFormat/>
    <w:rsid w:val="00721F73"/>
    <w:pPr>
      <w:numPr>
        <w:numId w:val="13"/>
      </w:numPr>
      <w:spacing w:line="240" w:lineRule="auto"/>
    </w:pPr>
    <w:rPr>
      <w:rFonts w:eastAsiaTheme="minorHAnsi" w:cstheme="minorBidi"/>
      <w:color w:val="000000" w:themeColor="text1"/>
      <w:sz w:val="20"/>
      <w:szCs w:val="20"/>
      <w:lang w:eastAsia="en-US" w:bidi="ar-SA"/>
    </w:rPr>
  </w:style>
  <w:style w:type="paragraph" w:customStyle="1" w:styleId="paragraph">
    <w:name w:val="paragraph"/>
    <w:basedOn w:val="Normal"/>
    <w:rsid w:val="00721F73"/>
    <w:pPr>
      <w:spacing w:before="100" w:beforeAutospacing="1" w:after="100" w:afterAutospacing="1" w:line="240" w:lineRule="auto"/>
    </w:pPr>
    <w:rPr>
      <w:rFonts w:ascii="Times New Roman" w:hAnsi="Times New Roman" w:cs="Times New Roman"/>
      <w:sz w:val="24"/>
      <w:lang w:eastAsia="en-GB" w:bidi="ar-SA"/>
    </w:rPr>
  </w:style>
  <w:style w:type="character" w:customStyle="1" w:styleId="normaltextrun">
    <w:name w:val="normaltextrun"/>
    <w:basedOn w:val="DefaultParagraphFont"/>
    <w:rsid w:val="00721F73"/>
  </w:style>
  <w:style w:type="character" w:customStyle="1" w:styleId="eop">
    <w:name w:val="eop"/>
    <w:basedOn w:val="DefaultParagraphFont"/>
    <w:rsid w:val="00721F73"/>
  </w:style>
  <w:style w:type="character" w:customStyle="1" w:styleId="scxw243588575">
    <w:name w:val="scxw243588575"/>
    <w:basedOn w:val="DefaultParagraphFont"/>
    <w:rsid w:val="00721F73"/>
  </w:style>
  <w:style w:type="table" w:styleId="GridTable1Light-Accent1">
    <w:name w:val="Grid Table 1 Light Accent 1"/>
    <w:basedOn w:val="TableNormal"/>
    <w:uiPriority w:val="46"/>
    <w:rsid w:val="00721F73"/>
    <w:pPr>
      <w:spacing w:after="0" w:line="240" w:lineRule="auto"/>
    </w:pPr>
    <w:tblPr>
      <w:tblStyleRowBandSize w:val="1"/>
      <w:tblStyleColBandSize w:val="1"/>
      <w:tblBorders>
        <w:top w:val="single" w:sz="4" w:space="0" w:color="F0A9A8" w:themeColor="accent1" w:themeTint="66"/>
        <w:left w:val="single" w:sz="4" w:space="0" w:color="F0A9A8" w:themeColor="accent1" w:themeTint="66"/>
        <w:bottom w:val="single" w:sz="4" w:space="0" w:color="F0A9A8" w:themeColor="accent1" w:themeTint="66"/>
        <w:right w:val="single" w:sz="4" w:space="0" w:color="F0A9A8" w:themeColor="accent1" w:themeTint="66"/>
        <w:insideH w:val="single" w:sz="4" w:space="0" w:color="F0A9A8" w:themeColor="accent1" w:themeTint="66"/>
        <w:insideV w:val="single" w:sz="4" w:space="0" w:color="F0A9A8" w:themeColor="accent1" w:themeTint="66"/>
      </w:tblBorders>
    </w:tblPr>
    <w:tblStylePr w:type="firstRow">
      <w:rPr>
        <w:b/>
        <w:bCs/>
      </w:rPr>
      <w:tblPr/>
      <w:tcPr>
        <w:tcBorders>
          <w:bottom w:val="single" w:sz="12" w:space="0" w:color="E87E7C" w:themeColor="accent1" w:themeTint="99"/>
        </w:tcBorders>
      </w:tcPr>
    </w:tblStylePr>
    <w:tblStylePr w:type="lastRow">
      <w:rPr>
        <w:b/>
        <w:bCs/>
      </w:rPr>
      <w:tblPr/>
      <w:tcPr>
        <w:tcBorders>
          <w:top w:val="double" w:sz="2" w:space="0" w:color="E87E7C"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721F7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5673">
      <w:bodyDiv w:val="1"/>
      <w:marLeft w:val="0"/>
      <w:marRight w:val="0"/>
      <w:marTop w:val="0"/>
      <w:marBottom w:val="0"/>
      <w:divBdr>
        <w:top w:val="none" w:sz="0" w:space="0" w:color="auto"/>
        <w:left w:val="none" w:sz="0" w:space="0" w:color="auto"/>
        <w:bottom w:val="none" w:sz="0" w:space="0" w:color="auto"/>
        <w:right w:val="none" w:sz="0" w:space="0" w:color="auto"/>
      </w:divBdr>
    </w:div>
    <w:div w:id="238172834">
      <w:bodyDiv w:val="1"/>
      <w:marLeft w:val="0"/>
      <w:marRight w:val="0"/>
      <w:marTop w:val="0"/>
      <w:marBottom w:val="0"/>
      <w:divBdr>
        <w:top w:val="none" w:sz="0" w:space="0" w:color="auto"/>
        <w:left w:val="none" w:sz="0" w:space="0" w:color="auto"/>
        <w:bottom w:val="none" w:sz="0" w:space="0" w:color="auto"/>
        <w:right w:val="none" w:sz="0" w:space="0" w:color="auto"/>
      </w:divBdr>
    </w:div>
    <w:div w:id="370883895">
      <w:bodyDiv w:val="1"/>
      <w:marLeft w:val="0"/>
      <w:marRight w:val="0"/>
      <w:marTop w:val="0"/>
      <w:marBottom w:val="0"/>
      <w:divBdr>
        <w:top w:val="none" w:sz="0" w:space="0" w:color="auto"/>
        <w:left w:val="none" w:sz="0" w:space="0" w:color="auto"/>
        <w:bottom w:val="none" w:sz="0" w:space="0" w:color="auto"/>
        <w:right w:val="none" w:sz="0" w:space="0" w:color="auto"/>
      </w:divBdr>
    </w:div>
    <w:div w:id="706876261">
      <w:bodyDiv w:val="1"/>
      <w:marLeft w:val="0"/>
      <w:marRight w:val="0"/>
      <w:marTop w:val="0"/>
      <w:marBottom w:val="0"/>
      <w:divBdr>
        <w:top w:val="none" w:sz="0" w:space="0" w:color="auto"/>
        <w:left w:val="none" w:sz="0" w:space="0" w:color="auto"/>
        <w:bottom w:val="none" w:sz="0" w:space="0" w:color="auto"/>
        <w:right w:val="none" w:sz="0" w:space="0" w:color="auto"/>
      </w:divBdr>
    </w:div>
    <w:div w:id="839196679">
      <w:bodyDiv w:val="1"/>
      <w:marLeft w:val="0"/>
      <w:marRight w:val="0"/>
      <w:marTop w:val="0"/>
      <w:marBottom w:val="0"/>
      <w:divBdr>
        <w:top w:val="none" w:sz="0" w:space="0" w:color="auto"/>
        <w:left w:val="none" w:sz="0" w:space="0" w:color="auto"/>
        <w:bottom w:val="none" w:sz="0" w:space="0" w:color="auto"/>
        <w:right w:val="none" w:sz="0" w:space="0" w:color="auto"/>
      </w:divBdr>
    </w:div>
    <w:div w:id="1010449789">
      <w:bodyDiv w:val="1"/>
      <w:marLeft w:val="0"/>
      <w:marRight w:val="0"/>
      <w:marTop w:val="0"/>
      <w:marBottom w:val="0"/>
      <w:divBdr>
        <w:top w:val="none" w:sz="0" w:space="0" w:color="auto"/>
        <w:left w:val="none" w:sz="0" w:space="0" w:color="auto"/>
        <w:bottom w:val="none" w:sz="0" w:space="0" w:color="auto"/>
        <w:right w:val="none" w:sz="0" w:space="0" w:color="auto"/>
      </w:divBdr>
    </w:div>
    <w:div w:id="1028138403">
      <w:bodyDiv w:val="1"/>
      <w:marLeft w:val="0"/>
      <w:marRight w:val="0"/>
      <w:marTop w:val="0"/>
      <w:marBottom w:val="0"/>
      <w:divBdr>
        <w:top w:val="none" w:sz="0" w:space="0" w:color="auto"/>
        <w:left w:val="none" w:sz="0" w:space="0" w:color="auto"/>
        <w:bottom w:val="none" w:sz="0" w:space="0" w:color="auto"/>
        <w:right w:val="none" w:sz="0" w:space="0" w:color="auto"/>
      </w:divBdr>
    </w:div>
    <w:div w:id="1398237448">
      <w:bodyDiv w:val="1"/>
      <w:marLeft w:val="0"/>
      <w:marRight w:val="0"/>
      <w:marTop w:val="0"/>
      <w:marBottom w:val="0"/>
      <w:divBdr>
        <w:top w:val="none" w:sz="0" w:space="0" w:color="auto"/>
        <w:left w:val="none" w:sz="0" w:space="0" w:color="auto"/>
        <w:bottom w:val="none" w:sz="0" w:space="0" w:color="auto"/>
        <w:right w:val="none" w:sz="0" w:space="0" w:color="auto"/>
      </w:divBdr>
    </w:div>
    <w:div w:id="1490975149">
      <w:bodyDiv w:val="1"/>
      <w:marLeft w:val="0"/>
      <w:marRight w:val="0"/>
      <w:marTop w:val="0"/>
      <w:marBottom w:val="0"/>
      <w:divBdr>
        <w:top w:val="none" w:sz="0" w:space="0" w:color="auto"/>
        <w:left w:val="none" w:sz="0" w:space="0" w:color="auto"/>
        <w:bottom w:val="none" w:sz="0" w:space="0" w:color="auto"/>
        <w:right w:val="none" w:sz="0" w:space="0" w:color="auto"/>
      </w:divBdr>
    </w:div>
    <w:div w:id="1638100105">
      <w:bodyDiv w:val="1"/>
      <w:marLeft w:val="0"/>
      <w:marRight w:val="0"/>
      <w:marTop w:val="0"/>
      <w:marBottom w:val="0"/>
      <w:divBdr>
        <w:top w:val="none" w:sz="0" w:space="0" w:color="auto"/>
        <w:left w:val="none" w:sz="0" w:space="0" w:color="auto"/>
        <w:bottom w:val="none" w:sz="0" w:space="0" w:color="auto"/>
        <w:right w:val="none" w:sz="0" w:space="0" w:color="auto"/>
      </w:divBdr>
    </w:div>
    <w:div w:id="1736471684">
      <w:bodyDiv w:val="1"/>
      <w:marLeft w:val="0"/>
      <w:marRight w:val="0"/>
      <w:marTop w:val="0"/>
      <w:marBottom w:val="0"/>
      <w:divBdr>
        <w:top w:val="none" w:sz="0" w:space="0" w:color="auto"/>
        <w:left w:val="none" w:sz="0" w:space="0" w:color="auto"/>
        <w:bottom w:val="none" w:sz="0" w:space="0" w:color="auto"/>
        <w:right w:val="none" w:sz="0" w:space="0" w:color="auto"/>
      </w:divBdr>
    </w:div>
    <w:div w:id="1798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s://word-edit.officeapps.live.com/we/wordeditorframe.aspx?ui=en-US&amp;rs=en-US&amp;wopisrc=https%3A%2F%2Fabtassoc.sharepoint.com%2Fsites%2FAbtAUSHSTechnicalTeam%2F_vti_bin%2Fwopi.ashx%2Ffiles%2Ffee713465e9d4d5c86ae9283ec462c54&amp;wdenableroaming=1&amp;mscc=0&amp;hid=948055A1-F07D-6000-9ED3-9E78C35BFA8A.0&amp;uih=sharepointcom&amp;wdlcid=en-US&amp;jsapi=1&amp;jsapiver=v2&amp;corrid=1dff3d4e-708c-1b8a-0a5f-afdd7d3a4192&amp;usid=1dff3d4e-708c-1b8a-0a5f-afdd7d3a4192&amp;newsession=1&amp;sftc=1&amp;uihit=docaspx&amp;muv=1&amp;cac=1&amp;sams=1&amp;mtf=1&amp;sfp=1&amp;sdp=1&amp;hch=1&amp;hwfh=1&amp;dchat=1&amp;sc=%7B%22pmo%22%3A%22https%3A%2F%2Fabtassoc.sharepoint.com%22%2C%22pmshare%22%3Atrue%7D&amp;ctp=LeastProtected&amp;rct=Normal&amp;wdorigin=ItemsView&amp;wdhostclicktime=1727748927253&amp;instantedit=1&amp;wopicomplete=1&amp;wdredirectionreason=Unified_SingleFlush" TargetMode="External"/><Relationship Id="rId3" Type="http://schemas.openxmlformats.org/officeDocument/2006/relationships/hyperlink" Target="https://www.dfat.gov.au/sites/default/files/partnerships-for-recovery-australias-covid-19-development-response.pdf" TargetMode="External"/><Relationship Id="rId7" Type="http://schemas.openxmlformats.org/officeDocument/2006/relationships/hyperlink" Target="https://www.unicef.org/indonesia/media/19746/file/Landscape%20analysis%20on%20children%20with%20disabilities%20in%20Indonesia.pdf" TargetMode="External"/><Relationship Id="rId2" Type="http://schemas.openxmlformats.org/officeDocument/2006/relationships/hyperlink" Target="https://www.dfat.gov.au/sites/default/files/development-for-all-2015-2020.pdf" TargetMode="External"/><Relationship Id="rId1" Type="http://schemas.openxmlformats.org/officeDocument/2006/relationships/hyperlink" Target="https://www.dfat.gov.au/sites/default/files/gender-equality-and-womens-empowerment-strategy.pdf" TargetMode="External"/><Relationship Id="rId6" Type="http://schemas.openxmlformats.org/officeDocument/2006/relationships/hyperlink" Target="https://iris.who.int/bitstream/handle/10665/334299/WHO-2019-nCoV-SAGE_Framework-Allocation_and_prioritization-2020.1-eng.pdf?sequence=1&amp;isAllowed=y" TargetMode="External"/><Relationship Id="rId5" Type="http://schemas.openxmlformats.org/officeDocument/2006/relationships/hyperlink" Target="https://indopacifichealthsecurity.dfat.gov.au/sites/default/files/2022-08/Health%20Security%20Initiative%20Gender%20Guidance%20Note%20V2.0.pdf" TargetMode="External"/><Relationship Id="rId4" Type="http://schemas.openxmlformats.org/officeDocument/2006/relationships/hyperlink" Target="https://surge4genderequality.com.au/sites/default/files/2023-07/Health%20Security%20Initiative%20Disability%20Guidance%20Note%20V2.0.pdf" TargetMode="External"/><Relationship Id="rId9" Type="http://schemas.openxmlformats.org/officeDocument/2006/relationships/hyperlink" Target="https://www.dfat.gov.au/about-us/publications/dfat-design-monitoring-evaluation-learning-standard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1787/543e84ed-en.%20Accessed%2010%20July%202024" TargetMode="External"/><Relationship Id="rId13" Type="http://schemas.openxmlformats.org/officeDocument/2006/relationships/hyperlink" Target="https://www.dfat.gov.au/sites/default/files/environmental-social-safeguard-policy.pdf" TargetMode="External"/><Relationship Id="rId3" Type="http://schemas.openxmlformats.org/officeDocument/2006/relationships/hyperlink" Target="https://word-edit.officeapps.live.com/we/wordeditorframe.aspx?ui=en-US&amp;rs=en-US&amp;wopisrc=https%3A%2F%2Fabtassoc.sharepoint.com%2Fsites%2FAbtAUSHSTechnicalTeam%2F_vti_bin%2Fwopi.ashx%2Ffiles%2F676f09bedfc446fea64146f358762739&amp;wdsle=0&amp;wdenableroaming=1&amp;mscc=0&amp;hid=18BC3DA1-10A8-6000-0F5F-457E272213F2.0&amp;uih=sharepointcom&amp;wdlcid=en-US&amp;jsapi=1&amp;jsapiver=v2&amp;corrid=1bcc2f6e-3741-fa18-f12e-2847a7364728&amp;usid=1bcc2f6e-3741-fa18-f12e-2847a7364728&amp;newsession=1&amp;sftc=1&amp;uihit=docaspx&amp;muv=1&amp;cac=1&amp;sams=1&amp;mtf=1&amp;sfp=1&amp;sdp=1&amp;hch=1&amp;hwfh=1&amp;dchat=1&amp;sc=%7B%22pmo%22%3A%22https%3A%2F%2Fabtassoc.sharepoint.com%22%2C%22pmshare%22%3Atrue%7D&amp;ctp=LeastProtected&amp;rct=Normal&amp;wdorigin=ItemsView&amp;wdhostclicktime=1721368885457&amp;instantedit=1&amp;wopicomplete=1&amp;wdredirectionreason=Unified_SingleFlush" TargetMode="External"/><Relationship Id="rId7" Type="http://schemas.openxmlformats.org/officeDocument/2006/relationships/hyperlink" Target="https://unsdg.un.org/2030-agenda/universal-values/leave-no-one-behind" TargetMode="External"/><Relationship Id="rId12" Type="http://schemas.openxmlformats.org/officeDocument/2006/relationships/hyperlink" Target="https://surge4genderequality.com.au/sites/default/files/2023-07/Health%20Security%20Initiative%20Disability%20Guidance%20Note%20V2.0.pdf" TargetMode="External"/><Relationship Id="rId2" Type="http://schemas.openxmlformats.org/officeDocument/2006/relationships/hyperlink" Target="https://www.dfat.gov.au/about-us/publications/dfat-design-monitoring-evaluation-learning-standards" TargetMode="External"/><Relationship Id="rId1" Type="http://schemas.openxmlformats.org/officeDocument/2006/relationships/hyperlink" Target="https://www.care.org.au/wp-content/uploads/2020/04/Vanuatu-Rapid-Gender-Analysis-COVID-FINAL-17.04.20.pdf" TargetMode="External"/><Relationship Id="rId6" Type="http://schemas.openxmlformats.org/officeDocument/2006/relationships/hyperlink" Target="https://unsdg.un.org/2030-agenda/universal-values/leave-no-one-behind" TargetMode="External"/><Relationship Id="rId11" Type="http://schemas.openxmlformats.org/officeDocument/2006/relationships/hyperlink" Target="https://indopacifichealthsecurity.dfat.gov.au/sites/default/files/2022-08/Health%20Security%20Initiative%20Gender%20Guidance%20Note%20V2.0.pdf" TargetMode="External"/><Relationship Id="rId5" Type="http://schemas.openxmlformats.org/officeDocument/2006/relationships/hyperlink" Target="https://word-edit.officeapps.live.com/we/wordeditorframe.aspx?ui=en-US&amp;rs=en-US&amp;wopisrc=https%3A%2F%2Fabtassoc.sharepoint.com%2Fsites%2FAbtAUSHSTechnicalTeam%2F_vti_bin%2Fwopi.ashx%2Ffiles%2F676f09bedfc446fea64146f358762739&amp;wdsle=0&amp;wdenableroaming=1&amp;mscc=0&amp;hid=18BC3DA1-10A8-6000-0F5F-457E272213F2.0&amp;uih=sharepointcom&amp;wdlcid=en-US&amp;jsapi=1&amp;jsapiver=v2&amp;corrid=1bcc2f6e-3741-fa18-f12e-2847a7364728&amp;usid=1bcc2f6e-3741-fa18-f12e-2847a7364728&amp;newsession=1&amp;sftc=1&amp;uihit=docaspx&amp;muv=1&amp;cac=1&amp;sams=1&amp;mtf=1&amp;sfp=1&amp;sdp=1&amp;hch=1&amp;hwfh=1&amp;dchat=1&amp;sc=%7B%22pmo%22%3A%22https%3A%2F%2Fabtassoc.sharepoint.com%22%2C%22pmshare%22%3Atrue%7D&amp;ctp=LeastProtected&amp;rct=Normal&amp;wdorigin=ItemsView&amp;wdhostclicktime=1721368885457&amp;instantedit=1&amp;wopicomplete=1&amp;wdredirectionreason=Unified_SingleFlush" TargetMode="External"/><Relationship Id="rId10" Type="http://schemas.openxmlformats.org/officeDocument/2006/relationships/hyperlink" Target="https://www.dfat.gov.au/publications/aid/covid-19-gender-and-social-protection-guidance-note-violence-against-women-and-girls-and-gender-sensitive-social-protection-programming" TargetMode="External"/><Relationship Id="rId4" Type="http://schemas.openxmlformats.org/officeDocument/2006/relationships/hyperlink" Target="https://doi.org/10.1787/543e84ed-en" TargetMode="External"/><Relationship Id="rId9" Type="http://schemas.openxmlformats.org/officeDocument/2006/relationships/hyperlink" Target="https://indopacifichealthsecurity.dfat.gov.au/sites/default/files/2022-08/VAHSI%20-%20GEDSI%20Strategy.pdf" TargetMode="External"/><Relationship Id="rId14" Type="http://schemas.openxmlformats.org/officeDocument/2006/relationships/hyperlink" Target="https://www.worldvisionphilanthropy.org/hubfs/resources/Gender_Equality_and_Social_Inclusion%20WV.pdf" TargetMode="External"/></Relationships>
</file>

<file path=word/theme/theme1.xml><?xml version="1.0" encoding="utf-8"?>
<a:theme xmlns:a="http://schemas.openxmlformats.org/drawingml/2006/main" name="Office Theme">
  <a:themeElements>
    <a:clrScheme name="SHS">
      <a:dk1>
        <a:sysClr val="windowText" lastClr="000000"/>
      </a:dk1>
      <a:lt1>
        <a:sysClr val="window" lastClr="FFFFFF"/>
      </a:lt1>
      <a:dk2>
        <a:srgbClr val="39302A"/>
      </a:dk2>
      <a:lt2>
        <a:srgbClr val="E5DEDB"/>
      </a:lt2>
      <a:accent1>
        <a:srgbClr val="DA2926"/>
      </a:accent1>
      <a:accent2>
        <a:srgbClr val="DA2926"/>
      </a:accent2>
      <a:accent3>
        <a:srgbClr val="DA2926"/>
      </a:accent3>
      <a:accent4>
        <a:srgbClr val="DA2926"/>
      </a:accent4>
      <a:accent5>
        <a:srgbClr val="DA2926"/>
      </a:accent5>
      <a:accent6>
        <a:srgbClr val="DA2926"/>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6" ma:contentTypeDescription="Create a new document." ma:contentTypeScope="" ma:versionID="ba1fa6c34a2dab3fe078ff3cf69a9971">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820c0362387de8b9b76192a44b850940"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D264B-49A5-1148-ADBE-B6A163802E50}">
  <ds:schemaRefs>
    <ds:schemaRef ds:uri="http://schemas.openxmlformats.org/officeDocument/2006/bibliography"/>
  </ds:schemaRefs>
</ds:datastoreItem>
</file>

<file path=customXml/itemProps2.xml><?xml version="1.0" encoding="utf-8"?>
<ds:datastoreItem xmlns:ds="http://schemas.openxmlformats.org/officeDocument/2006/customXml" ds:itemID="{3E62343F-DBB2-452A-A2F5-E851303CB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30623</Words>
  <Characters>180398</Characters>
  <Application>Microsoft Office Word</Application>
  <DocSecurity>0</DocSecurity>
  <Lines>4568</Lines>
  <Paragraphs>2461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VAHSI Independent Evaluation – Final Evaluation Report</dc:title>
  <dc:subject/>
  <dc:creator/>
  <cp:keywords>[SEC=OFFICIAL]</cp:keywords>
  <dc:description/>
  <cp:lastModifiedBy/>
  <cp:revision>1</cp:revision>
  <dcterms:created xsi:type="dcterms:W3CDTF">2025-06-16T06:35:00Z</dcterms:created>
  <dcterms:modified xsi:type="dcterms:W3CDTF">2025-06-16T06:36:00Z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v=2022.1;a=SHA256;h=FF29B5831856E0C275620A1C832CC420D4B2FFC21A37A4EDBAD833B1ADCCDE2B</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2024-10-15T05:53:38Z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A8F4769E2FFA4EFBA8E00A855BF1C90C</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137927F6024C2C416B85666A6D61A9E0</vt:lpwstr>
  </property>
  <property fmtid="{D5CDD505-2E9C-101B-9397-08002B2CF9AE}" pid="24" name="PM_Hash_Salt">
    <vt:lpwstr>A048D0B5A53F73AE523244FF0C0E7E43</vt:lpwstr>
  </property>
  <property fmtid="{D5CDD505-2E9C-101B-9397-08002B2CF9AE}" pid="25" name="PM_Hash_SHA1">
    <vt:lpwstr>D320ED54215E71597E794D442A7EA62D653376D8</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