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2A83A4" w14:textId="77777777" w:rsidR="00944BC2" w:rsidRPr="0072064D" w:rsidRDefault="00944BC2" w:rsidP="00944BC2">
      <w:pPr>
        <w:tabs>
          <w:tab w:val="left" w:pos="170"/>
        </w:tabs>
        <w:rPr>
          <w:color w:val="666699"/>
          <w:sz w:val="18"/>
          <w:szCs w:val="18"/>
        </w:rPr>
      </w:pPr>
    </w:p>
    <w:p w14:paraId="768C146B" w14:textId="68186875" w:rsidR="00CC57BF" w:rsidRPr="00CC57BF" w:rsidRDefault="00C657FB" w:rsidP="00CC57BF">
      <w:pPr>
        <w:pStyle w:val="DocName"/>
        <w:pBdr>
          <w:top w:val="single" w:sz="4" w:space="12" w:color="FF9900"/>
          <w:bottom w:val="single" w:sz="4" w:space="5" w:color="FF9900"/>
        </w:pBdr>
        <w:shd w:val="clear" w:color="auto" w:fill="FFFFCC"/>
        <w:spacing w:line="360" w:lineRule="auto"/>
        <w:rPr>
          <w:sz w:val="24"/>
          <w:lang w:eastAsia="en-AU"/>
        </w:rPr>
      </w:pPr>
      <w:r>
        <w:rPr>
          <w:sz w:val="24"/>
          <w:lang w:eastAsia="en-AU"/>
        </w:rPr>
        <w:t xml:space="preserve">Evaluation of </w:t>
      </w:r>
      <w:r w:rsidR="00CC57BF">
        <w:rPr>
          <w:sz w:val="24"/>
          <w:lang w:eastAsia="en-AU"/>
        </w:rPr>
        <w:t xml:space="preserve">Australian and </w:t>
      </w:r>
      <w:r w:rsidR="00CC57BF" w:rsidRPr="00CC57BF">
        <w:rPr>
          <w:sz w:val="24"/>
          <w:lang w:eastAsia="en-AU"/>
        </w:rPr>
        <w:t xml:space="preserve">New Zealand support to </w:t>
      </w:r>
    </w:p>
    <w:p w14:paraId="742A83A5" w14:textId="15725B24" w:rsidR="00C657FB" w:rsidRDefault="00CC57BF" w:rsidP="00CC57BF">
      <w:pPr>
        <w:pStyle w:val="DocName"/>
        <w:pBdr>
          <w:top w:val="single" w:sz="4" w:space="12" w:color="FF9900"/>
          <w:bottom w:val="single" w:sz="4" w:space="5" w:color="FF9900"/>
        </w:pBdr>
        <w:shd w:val="clear" w:color="auto" w:fill="FFFFCC"/>
        <w:spacing w:line="360" w:lineRule="auto"/>
        <w:rPr>
          <w:sz w:val="24"/>
          <w:lang w:eastAsia="en-AU"/>
        </w:rPr>
      </w:pPr>
      <w:r w:rsidRPr="00CC57BF">
        <w:rPr>
          <w:sz w:val="24"/>
          <w:lang w:eastAsia="en-AU"/>
        </w:rPr>
        <w:t xml:space="preserve">The </w:t>
      </w:r>
      <w:r>
        <w:rPr>
          <w:sz w:val="24"/>
          <w:lang w:eastAsia="en-AU"/>
        </w:rPr>
        <w:t xml:space="preserve">University of the South Pacific </w:t>
      </w:r>
      <w:r w:rsidRPr="00CC57BF">
        <w:rPr>
          <w:sz w:val="24"/>
          <w:lang w:eastAsia="en-AU"/>
        </w:rPr>
        <w:t>2010–2012</w:t>
      </w:r>
    </w:p>
    <w:p w14:paraId="742A83A6" w14:textId="77777777" w:rsidR="00C657FB" w:rsidRDefault="00F37B61" w:rsidP="00C657FB">
      <w:pPr>
        <w:pStyle w:val="DocName"/>
        <w:pBdr>
          <w:top w:val="single" w:sz="4" w:space="12" w:color="FF9900"/>
          <w:bottom w:val="single" w:sz="4" w:space="5" w:color="FF9900"/>
        </w:pBdr>
        <w:shd w:val="clear" w:color="auto" w:fill="FFFFCC"/>
        <w:spacing w:line="360" w:lineRule="auto"/>
        <w:rPr>
          <w:sz w:val="24"/>
          <w:lang w:eastAsia="en-AU"/>
        </w:rPr>
      </w:pPr>
      <w:r>
        <w:rPr>
          <w:sz w:val="24"/>
          <w:lang w:eastAsia="en-AU"/>
        </w:rPr>
        <w:t>MANAGEMENT RESPONSE</w:t>
      </w:r>
    </w:p>
    <w:p w14:paraId="742A83A7" w14:textId="77777777" w:rsidR="00C657FB" w:rsidRDefault="000B520A" w:rsidP="00683EB4">
      <w:pPr>
        <w:pStyle w:val="Heading2"/>
      </w:pPr>
      <w:r>
        <w:t xml:space="preserve">Initiative </w:t>
      </w:r>
      <w:r w:rsidR="00C657FB">
        <w:t>Summary</w:t>
      </w:r>
    </w:p>
    <w:tbl>
      <w:tblPr>
        <w:tblW w:w="988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bottom w:w="57" w:type="dxa"/>
        </w:tblCellMar>
        <w:tblLook w:val="01E0" w:firstRow="1" w:lastRow="1" w:firstColumn="1" w:lastColumn="1" w:noHBand="0" w:noVBand="0"/>
      </w:tblPr>
      <w:tblGrid>
        <w:gridCol w:w="2660"/>
        <w:gridCol w:w="2693"/>
        <w:gridCol w:w="1843"/>
        <w:gridCol w:w="2693"/>
      </w:tblGrid>
      <w:tr w:rsidR="00C657FB" w:rsidRPr="00F43CEC" w14:paraId="742A83AA" w14:textId="77777777" w:rsidTr="00175FFC">
        <w:trPr>
          <w:cantSplit/>
          <w:tblHeader/>
        </w:trPr>
        <w:tc>
          <w:tcPr>
            <w:tcW w:w="2660" w:type="dxa"/>
            <w:shd w:val="clear" w:color="auto" w:fill="E0E0E0"/>
            <w:vAlign w:val="center"/>
          </w:tcPr>
          <w:p w14:paraId="742A83A8" w14:textId="77777777" w:rsidR="00C657FB" w:rsidRPr="00F43CEC" w:rsidRDefault="00EF02B3" w:rsidP="00175FFC">
            <w:pPr>
              <w:pStyle w:val="Table-normal-text"/>
              <w:spacing w:before="120" w:after="120"/>
              <w:rPr>
                <w:b/>
              </w:rPr>
            </w:pPr>
            <w:r>
              <w:rPr>
                <w:b/>
              </w:rPr>
              <w:t>Initiative</w:t>
            </w:r>
            <w:r w:rsidR="00C657FB" w:rsidRPr="00F43CEC">
              <w:rPr>
                <w:b/>
              </w:rPr>
              <w:t xml:space="preserve"> Name</w:t>
            </w:r>
          </w:p>
        </w:tc>
        <w:tc>
          <w:tcPr>
            <w:tcW w:w="7229" w:type="dxa"/>
            <w:gridSpan w:val="3"/>
            <w:shd w:val="clear" w:color="auto" w:fill="E0E0E0"/>
            <w:vAlign w:val="center"/>
          </w:tcPr>
          <w:p w14:paraId="742A83A9" w14:textId="2D0D0D98" w:rsidR="00C657FB" w:rsidRPr="00F43CEC" w:rsidRDefault="00CC57BF" w:rsidP="00175FFC">
            <w:pPr>
              <w:pStyle w:val="Table-normal-text"/>
              <w:spacing w:before="120" w:after="120"/>
              <w:rPr>
                <w:b/>
              </w:rPr>
            </w:pPr>
            <w:r w:rsidRPr="00CC57BF">
              <w:rPr>
                <w:b/>
              </w:rPr>
              <w:t>University of the South Pacific Partnership</w:t>
            </w:r>
          </w:p>
        </w:tc>
      </w:tr>
      <w:tr w:rsidR="00C657FB" w:rsidRPr="00F43CEC" w14:paraId="742A83AD" w14:textId="77777777" w:rsidTr="00175FFC">
        <w:trPr>
          <w:cantSplit/>
        </w:trPr>
        <w:tc>
          <w:tcPr>
            <w:tcW w:w="2660" w:type="dxa"/>
            <w:shd w:val="clear" w:color="auto" w:fill="auto"/>
          </w:tcPr>
          <w:p w14:paraId="742A83AB" w14:textId="77777777" w:rsidR="00C657FB" w:rsidRPr="00F2320B" w:rsidRDefault="00C657FB" w:rsidP="00175FFC">
            <w:pPr>
              <w:pStyle w:val="Table-normal-text"/>
            </w:pPr>
            <w:r w:rsidRPr="00F2320B">
              <w:t>AidWorks initiative number</w:t>
            </w:r>
          </w:p>
        </w:tc>
        <w:tc>
          <w:tcPr>
            <w:tcW w:w="7229" w:type="dxa"/>
            <w:gridSpan w:val="3"/>
            <w:shd w:val="clear" w:color="auto" w:fill="auto"/>
          </w:tcPr>
          <w:p w14:paraId="742A83AC" w14:textId="02C48940" w:rsidR="00C657FB" w:rsidRPr="00CC57BF" w:rsidRDefault="00CC57BF" w:rsidP="00175FFC">
            <w:pPr>
              <w:pStyle w:val="Table-normal-text"/>
            </w:pPr>
            <w:r>
              <w:t>INJ054</w:t>
            </w:r>
          </w:p>
        </w:tc>
      </w:tr>
      <w:tr w:rsidR="00C657FB" w:rsidRPr="00F43CEC" w14:paraId="742A83B2" w14:textId="77777777" w:rsidTr="00175FFC">
        <w:trPr>
          <w:cantSplit/>
        </w:trPr>
        <w:tc>
          <w:tcPr>
            <w:tcW w:w="2660" w:type="dxa"/>
            <w:shd w:val="clear" w:color="auto" w:fill="auto"/>
          </w:tcPr>
          <w:p w14:paraId="742A83AE" w14:textId="77777777" w:rsidR="00C657FB" w:rsidRPr="00F2320B" w:rsidRDefault="00C657FB" w:rsidP="00175FFC">
            <w:pPr>
              <w:pStyle w:val="Table-normal-text"/>
            </w:pPr>
            <w:r w:rsidRPr="00F2320B">
              <w:t xml:space="preserve">Commencement </w:t>
            </w:r>
            <w:r>
              <w:t>d</w:t>
            </w:r>
            <w:r w:rsidRPr="00F2320B">
              <w:t>ate</w:t>
            </w:r>
          </w:p>
        </w:tc>
        <w:tc>
          <w:tcPr>
            <w:tcW w:w="2693" w:type="dxa"/>
            <w:shd w:val="clear" w:color="auto" w:fill="auto"/>
          </w:tcPr>
          <w:p w14:paraId="742A83AF" w14:textId="48D21293" w:rsidR="00C657FB" w:rsidRPr="00F2320B" w:rsidRDefault="00CC57BF" w:rsidP="00175FFC">
            <w:pPr>
              <w:pStyle w:val="Table-normal-text"/>
            </w:pPr>
            <w:r>
              <w:t>1 January 2010</w:t>
            </w:r>
          </w:p>
        </w:tc>
        <w:tc>
          <w:tcPr>
            <w:tcW w:w="1843" w:type="dxa"/>
            <w:shd w:val="clear" w:color="auto" w:fill="auto"/>
          </w:tcPr>
          <w:p w14:paraId="742A83B0" w14:textId="77777777" w:rsidR="00C657FB" w:rsidRPr="00F2320B" w:rsidRDefault="00C657FB" w:rsidP="00175FFC">
            <w:pPr>
              <w:pStyle w:val="Table-normal-text"/>
            </w:pPr>
            <w:r w:rsidRPr="00F2320B">
              <w:t xml:space="preserve">Completion </w:t>
            </w:r>
            <w:r>
              <w:t>d</w:t>
            </w:r>
            <w:r w:rsidRPr="00F2320B">
              <w:t>ate</w:t>
            </w:r>
          </w:p>
        </w:tc>
        <w:tc>
          <w:tcPr>
            <w:tcW w:w="2693" w:type="dxa"/>
            <w:shd w:val="clear" w:color="auto" w:fill="auto"/>
          </w:tcPr>
          <w:p w14:paraId="742A83B1" w14:textId="3E1F5F55" w:rsidR="00C657FB" w:rsidRPr="00F2320B" w:rsidRDefault="00CC57BF" w:rsidP="00175FFC">
            <w:pPr>
              <w:pStyle w:val="Table-normal-text"/>
            </w:pPr>
            <w:r>
              <w:t>31 December 2013</w:t>
            </w:r>
          </w:p>
        </w:tc>
      </w:tr>
      <w:tr w:rsidR="00C657FB" w:rsidRPr="00F43CEC" w14:paraId="742A83B5" w14:textId="77777777" w:rsidTr="00175FFC">
        <w:trPr>
          <w:cantSplit/>
        </w:trPr>
        <w:tc>
          <w:tcPr>
            <w:tcW w:w="2660" w:type="dxa"/>
            <w:shd w:val="clear" w:color="auto" w:fill="auto"/>
          </w:tcPr>
          <w:p w14:paraId="742A83B3" w14:textId="77777777" w:rsidR="00C657FB" w:rsidRPr="00F2320B" w:rsidRDefault="00C657FB" w:rsidP="00175FFC">
            <w:pPr>
              <w:pStyle w:val="Table-normal-text"/>
            </w:pPr>
            <w:r>
              <w:t>Total Australian $</w:t>
            </w:r>
          </w:p>
        </w:tc>
        <w:tc>
          <w:tcPr>
            <w:tcW w:w="7229" w:type="dxa"/>
            <w:gridSpan w:val="3"/>
            <w:shd w:val="clear" w:color="auto" w:fill="auto"/>
          </w:tcPr>
          <w:p w14:paraId="742A83B4" w14:textId="549906C3" w:rsidR="00C657FB" w:rsidRPr="00F2320B" w:rsidRDefault="00CC57BF" w:rsidP="00175FFC">
            <w:pPr>
              <w:pStyle w:val="Table-normal-text"/>
            </w:pPr>
            <w:r>
              <w:t>32,475,000</w:t>
            </w:r>
          </w:p>
        </w:tc>
      </w:tr>
      <w:tr w:rsidR="00C657FB" w:rsidRPr="00F43CEC" w14:paraId="742A83B8" w14:textId="77777777" w:rsidTr="00175FFC">
        <w:trPr>
          <w:cantSplit/>
        </w:trPr>
        <w:tc>
          <w:tcPr>
            <w:tcW w:w="2660" w:type="dxa"/>
            <w:shd w:val="clear" w:color="auto" w:fill="auto"/>
          </w:tcPr>
          <w:p w14:paraId="742A83B6" w14:textId="77777777" w:rsidR="00C657FB" w:rsidRPr="00F2320B" w:rsidRDefault="00C657FB" w:rsidP="00175FFC">
            <w:pPr>
              <w:pStyle w:val="Table-normal-text"/>
            </w:pPr>
            <w:r>
              <w:t>Total other $</w:t>
            </w:r>
          </w:p>
        </w:tc>
        <w:tc>
          <w:tcPr>
            <w:tcW w:w="7229" w:type="dxa"/>
            <w:gridSpan w:val="3"/>
            <w:shd w:val="clear" w:color="auto" w:fill="auto"/>
          </w:tcPr>
          <w:p w14:paraId="742A83B7" w14:textId="0DA53A3D" w:rsidR="00C657FB" w:rsidRPr="00F2320B" w:rsidRDefault="00CC57BF" w:rsidP="00175FFC">
            <w:pPr>
              <w:pStyle w:val="Table-normal-text"/>
            </w:pPr>
            <w:r>
              <w:t>0</w:t>
            </w:r>
          </w:p>
        </w:tc>
      </w:tr>
      <w:tr w:rsidR="00C657FB" w:rsidRPr="00F43CEC" w14:paraId="742A83BB" w14:textId="77777777" w:rsidTr="00175FFC">
        <w:trPr>
          <w:cantSplit/>
        </w:trPr>
        <w:tc>
          <w:tcPr>
            <w:tcW w:w="2660" w:type="dxa"/>
            <w:shd w:val="clear" w:color="auto" w:fill="auto"/>
          </w:tcPr>
          <w:p w14:paraId="742A83B9" w14:textId="77777777" w:rsidR="00C657FB" w:rsidRPr="00F2320B" w:rsidRDefault="00C657FB" w:rsidP="00175FFC">
            <w:pPr>
              <w:pStyle w:val="Table-normal-text"/>
            </w:pPr>
            <w:r w:rsidRPr="00F2320B">
              <w:t>Delivery organisation(s)</w:t>
            </w:r>
          </w:p>
        </w:tc>
        <w:tc>
          <w:tcPr>
            <w:tcW w:w="7229" w:type="dxa"/>
            <w:gridSpan w:val="3"/>
            <w:shd w:val="clear" w:color="auto" w:fill="auto"/>
          </w:tcPr>
          <w:p w14:paraId="742A83BA" w14:textId="43FBC505" w:rsidR="00C657FB" w:rsidRPr="00F2320B" w:rsidRDefault="00C657FB" w:rsidP="00175FFC">
            <w:pPr>
              <w:pStyle w:val="Table-normal-text"/>
            </w:pPr>
          </w:p>
        </w:tc>
      </w:tr>
      <w:tr w:rsidR="00C657FB" w:rsidRPr="00F43CEC" w14:paraId="742A83BE" w14:textId="77777777" w:rsidTr="00175FFC">
        <w:trPr>
          <w:cantSplit/>
        </w:trPr>
        <w:tc>
          <w:tcPr>
            <w:tcW w:w="2660" w:type="dxa"/>
            <w:shd w:val="clear" w:color="auto" w:fill="auto"/>
          </w:tcPr>
          <w:p w14:paraId="742A83BC" w14:textId="77777777" w:rsidR="00C657FB" w:rsidRPr="00F2320B" w:rsidRDefault="00C657FB" w:rsidP="00845B17">
            <w:pPr>
              <w:pStyle w:val="Table-normal-text"/>
            </w:pPr>
            <w:r w:rsidRPr="00F2320B">
              <w:t xml:space="preserve">Implementing </w:t>
            </w:r>
            <w:r w:rsidR="00845B17">
              <w:t>p</w:t>
            </w:r>
            <w:r w:rsidR="00845B17" w:rsidRPr="00F2320B">
              <w:t>artner</w:t>
            </w:r>
            <w:r w:rsidRPr="00F2320B">
              <w:t>(s)</w:t>
            </w:r>
          </w:p>
        </w:tc>
        <w:tc>
          <w:tcPr>
            <w:tcW w:w="7229" w:type="dxa"/>
            <w:gridSpan w:val="3"/>
            <w:shd w:val="clear" w:color="auto" w:fill="auto"/>
          </w:tcPr>
          <w:p w14:paraId="742A83BD" w14:textId="2CC22423" w:rsidR="00C657FB" w:rsidRPr="00F2320B" w:rsidRDefault="00CC57BF" w:rsidP="00175FFC">
            <w:pPr>
              <w:pStyle w:val="Table-normal-text"/>
            </w:pPr>
            <w:r>
              <w:t>The University of the South Pacific</w:t>
            </w:r>
          </w:p>
        </w:tc>
      </w:tr>
      <w:tr w:rsidR="00C657FB" w:rsidRPr="00F43CEC" w14:paraId="742A83C1" w14:textId="77777777" w:rsidTr="00175FFC">
        <w:trPr>
          <w:cantSplit/>
        </w:trPr>
        <w:tc>
          <w:tcPr>
            <w:tcW w:w="2660" w:type="dxa"/>
            <w:shd w:val="clear" w:color="auto" w:fill="auto"/>
          </w:tcPr>
          <w:p w14:paraId="742A83BF" w14:textId="77777777" w:rsidR="00C657FB" w:rsidRPr="00F2320B" w:rsidRDefault="00C657FB" w:rsidP="00175FFC">
            <w:pPr>
              <w:pStyle w:val="Table-normal-text"/>
            </w:pPr>
            <w:r w:rsidRPr="00F2320B">
              <w:t>Country/Region</w:t>
            </w:r>
          </w:p>
        </w:tc>
        <w:tc>
          <w:tcPr>
            <w:tcW w:w="7229" w:type="dxa"/>
            <w:gridSpan w:val="3"/>
            <w:shd w:val="clear" w:color="auto" w:fill="auto"/>
          </w:tcPr>
          <w:p w14:paraId="742A83C0" w14:textId="2EF12BF5" w:rsidR="00C657FB" w:rsidRPr="00F2320B" w:rsidRDefault="00CC57BF" w:rsidP="00175FFC">
            <w:pPr>
              <w:pStyle w:val="Table-normal-text"/>
            </w:pPr>
            <w:r>
              <w:t>Pacific</w:t>
            </w:r>
          </w:p>
        </w:tc>
      </w:tr>
      <w:tr w:rsidR="00C657FB" w:rsidRPr="00F43CEC" w14:paraId="742A83C4" w14:textId="77777777" w:rsidTr="00175FFC">
        <w:trPr>
          <w:cantSplit/>
        </w:trPr>
        <w:tc>
          <w:tcPr>
            <w:tcW w:w="2660" w:type="dxa"/>
            <w:shd w:val="clear" w:color="auto" w:fill="auto"/>
          </w:tcPr>
          <w:p w14:paraId="742A83C2" w14:textId="77777777" w:rsidR="00C657FB" w:rsidRPr="00F2320B" w:rsidRDefault="00C657FB" w:rsidP="00845B17">
            <w:pPr>
              <w:pStyle w:val="Table-normal-text"/>
            </w:pPr>
            <w:r w:rsidRPr="00F2320B">
              <w:t xml:space="preserve">Primary </w:t>
            </w:r>
            <w:r w:rsidR="00845B17">
              <w:t>s</w:t>
            </w:r>
            <w:r w:rsidR="00845B17" w:rsidRPr="00F2320B">
              <w:t>ector</w:t>
            </w:r>
          </w:p>
        </w:tc>
        <w:tc>
          <w:tcPr>
            <w:tcW w:w="7229" w:type="dxa"/>
            <w:gridSpan w:val="3"/>
            <w:shd w:val="clear" w:color="auto" w:fill="auto"/>
          </w:tcPr>
          <w:p w14:paraId="742A83C3" w14:textId="7530164A" w:rsidR="00C657FB" w:rsidRPr="00F2320B" w:rsidRDefault="00CC57BF" w:rsidP="00175FFC">
            <w:pPr>
              <w:pStyle w:val="Table-normal-text"/>
            </w:pPr>
            <w:r>
              <w:t>Education</w:t>
            </w:r>
          </w:p>
        </w:tc>
      </w:tr>
      <w:tr w:rsidR="00C657FB" w:rsidRPr="00F43CEC" w14:paraId="742A83C7" w14:textId="77777777" w:rsidTr="00175FFC">
        <w:trPr>
          <w:cantSplit/>
        </w:trPr>
        <w:tc>
          <w:tcPr>
            <w:tcW w:w="2660" w:type="dxa"/>
            <w:shd w:val="clear" w:color="auto" w:fill="auto"/>
          </w:tcPr>
          <w:p w14:paraId="742A83C5" w14:textId="77777777" w:rsidR="00C657FB" w:rsidRPr="00444D45" w:rsidRDefault="00390A59" w:rsidP="00175FFC">
            <w:pPr>
              <w:pStyle w:val="Table-normal-text"/>
            </w:pPr>
            <w:r w:rsidRPr="00444D45">
              <w:t>Initiative</w:t>
            </w:r>
            <w:r w:rsidR="00C657FB" w:rsidRPr="00444D45">
              <w:t xml:space="preserve"> objective</w:t>
            </w:r>
            <w:r w:rsidR="00614E79" w:rsidRPr="00444D45">
              <w:t>/s</w:t>
            </w:r>
          </w:p>
        </w:tc>
        <w:tc>
          <w:tcPr>
            <w:tcW w:w="7229" w:type="dxa"/>
            <w:gridSpan w:val="3"/>
            <w:shd w:val="clear" w:color="auto" w:fill="auto"/>
          </w:tcPr>
          <w:p w14:paraId="7E2D25F7" w14:textId="77777777" w:rsidR="00CC57BF" w:rsidRDefault="00CC57BF" w:rsidP="00CC57BF">
            <w:pPr>
              <w:pStyle w:val="Table-normal-text"/>
            </w:pPr>
            <w:r>
              <w:t>1.</w:t>
            </w:r>
            <w:r>
              <w:tab/>
              <w:t>Enhance the success of USP Students through improved student services.</w:t>
            </w:r>
          </w:p>
          <w:p w14:paraId="25166BA5" w14:textId="77777777" w:rsidR="00CC57BF" w:rsidRDefault="00CC57BF" w:rsidP="00CC57BF">
            <w:pPr>
              <w:pStyle w:val="Table-normal-text"/>
            </w:pPr>
            <w:r>
              <w:t>2.</w:t>
            </w:r>
            <w:r>
              <w:tab/>
              <w:t>Increase USP’s research capacity, leading to greater access, applications and benefit of its research to the region.</w:t>
            </w:r>
          </w:p>
          <w:p w14:paraId="682C569B" w14:textId="77777777" w:rsidR="00CC57BF" w:rsidRDefault="00CC57BF" w:rsidP="00CC57BF">
            <w:pPr>
              <w:pStyle w:val="Table-normal-text"/>
            </w:pPr>
            <w:r>
              <w:t>3. Strengthen USP’s administration and academic programs, enabling the delivery of efficient, relevant and quality services.</w:t>
            </w:r>
          </w:p>
          <w:p w14:paraId="080364F5" w14:textId="77777777" w:rsidR="00CC57BF" w:rsidRDefault="00CC57BF" w:rsidP="00CC57BF">
            <w:pPr>
              <w:pStyle w:val="Table-normal-text"/>
            </w:pPr>
            <w:r>
              <w:t>4. Build public awareness of outcomes of the Partnership.</w:t>
            </w:r>
          </w:p>
          <w:p w14:paraId="742A83C6" w14:textId="0544CD05" w:rsidR="00C657FB" w:rsidRPr="00F2320B" w:rsidRDefault="00CC57BF" w:rsidP="00CC57BF">
            <w:pPr>
              <w:pStyle w:val="Table-normal-text"/>
            </w:pPr>
            <w:r>
              <w:t>We aim to achieve these objectives by supporting the priorities of USP’s Strategic Plan through budget support and incentive funds targeted to policy priority areas.</w:t>
            </w:r>
          </w:p>
        </w:tc>
      </w:tr>
    </w:tbl>
    <w:p w14:paraId="742A83C8" w14:textId="77777777" w:rsidR="00C657FB" w:rsidRDefault="00C657FB" w:rsidP="00C657FB">
      <w:pPr>
        <w:pStyle w:val="Heading2"/>
      </w:pPr>
      <w:r>
        <w:t>Evaluation Summary</w:t>
      </w:r>
    </w:p>
    <w:p w14:paraId="742A83C9" w14:textId="77777777" w:rsidR="00683EB4" w:rsidRDefault="00683EB4" w:rsidP="00C657FB">
      <w:pPr>
        <w:rPr>
          <w:b/>
        </w:rPr>
      </w:pPr>
    </w:p>
    <w:p w14:paraId="742A83CA" w14:textId="790B2C79" w:rsidR="00C657FB" w:rsidRPr="00CC57BF" w:rsidRDefault="00C657FB" w:rsidP="00C657FB">
      <w:pPr>
        <w:rPr>
          <w:b/>
        </w:rPr>
      </w:pPr>
      <w:r w:rsidRPr="00123C3E">
        <w:rPr>
          <w:b/>
        </w:rPr>
        <w:t>Evaluation Objective:</w:t>
      </w:r>
      <w:r>
        <w:rPr>
          <w:b/>
        </w:rPr>
        <w:t xml:space="preserve"> </w:t>
      </w:r>
      <w:r w:rsidR="00CC57BF" w:rsidRPr="00CC57BF">
        <w:t xml:space="preserve">The review </w:t>
      </w:r>
      <w:r w:rsidR="00661E41">
        <w:t>looked</w:t>
      </w:r>
      <w:r w:rsidR="00CC57BF" w:rsidRPr="00CC57BF">
        <w:t xml:space="preserve"> at the </w:t>
      </w:r>
      <w:r w:rsidR="00661E41">
        <w:t xml:space="preserve">Australia-USP and New Zealand-USP </w:t>
      </w:r>
      <w:r w:rsidR="00CC57BF" w:rsidRPr="00CC57BF">
        <w:t>Partnership</w:t>
      </w:r>
      <w:r w:rsidR="00661E41">
        <w:t>s</w:t>
      </w:r>
      <w:r w:rsidR="00CC57BF" w:rsidRPr="00CC57BF">
        <w:t xml:space="preserve"> to evaluate the impact and outcomes of </w:t>
      </w:r>
      <w:r w:rsidR="00661E41">
        <w:t>the</w:t>
      </w:r>
      <w:r w:rsidR="00CC57BF" w:rsidRPr="00CC57BF">
        <w:t xml:space="preserve"> support. A key of objective of the review </w:t>
      </w:r>
      <w:r w:rsidR="00661E41">
        <w:t xml:space="preserve">is to </w:t>
      </w:r>
      <w:r w:rsidR="00CC57BF" w:rsidRPr="00CC57BF">
        <w:t xml:space="preserve">utilise </w:t>
      </w:r>
      <w:r w:rsidR="00661E41">
        <w:t xml:space="preserve">the </w:t>
      </w:r>
      <w:r w:rsidR="00CC57BF" w:rsidRPr="00CC57BF">
        <w:t xml:space="preserve">advice and recommendations </w:t>
      </w:r>
      <w:r w:rsidR="00661E41">
        <w:t xml:space="preserve">generated </w:t>
      </w:r>
      <w:r w:rsidR="00CC57BF" w:rsidRPr="00CC57BF">
        <w:t xml:space="preserve">to inform the development of any new Australian support to USP. </w:t>
      </w:r>
    </w:p>
    <w:p w14:paraId="742A83CB" w14:textId="6622B681" w:rsidR="00C657FB" w:rsidRPr="00394FD3" w:rsidRDefault="00C657FB" w:rsidP="00C657FB">
      <w:r w:rsidRPr="0041711B">
        <w:rPr>
          <w:b/>
        </w:rPr>
        <w:t>Evaluation Completion Date:</w:t>
      </w:r>
      <w:r>
        <w:rPr>
          <w:b/>
        </w:rPr>
        <w:t xml:space="preserve"> </w:t>
      </w:r>
      <w:r w:rsidR="00CC57BF" w:rsidRPr="0041711B">
        <w:t>31 December 2012</w:t>
      </w:r>
    </w:p>
    <w:p w14:paraId="742A83CC" w14:textId="2663750D" w:rsidR="00C657FB" w:rsidRPr="00394FD3" w:rsidRDefault="00C657FB" w:rsidP="00C657FB">
      <w:r w:rsidRPr="00123C3E">
        <w:rPr>
          <w:b/>
        </w:rPr>
        <w:t>Evaluation Team:</w:t>
      </w:r>
      <w:r>
        <w:rPr>
          <w:b/>
        </w:rPr>
        <w:t xml:space="preserve"> </w:t>
      </w:r>
      <w:r w:rsidR="00CC57BF" w:rsidRPr="00A86DBE">
        <w:t>Prof Kate Ashcroft</w:t>
      </w:r>
      <w:r w:rsidRPr="00A86DBE">
        <w:t xml:space="preserve"> (Team Leader), </w:t>
      </w:r>
      <w:r w:rsidR="00CC57BF" w:rsidRPr="00A86DBE">
        <w:t>Prof Joan Cooper</w:t>
      </w:r>
      <w:r w:rsidRPr="00A86DBE">
        <w:t xml:space="preserve"> (</w:t>
      </w:r>
      <w:r w:rsidR="00CC57BF" w:rsidRPr="00A86DBE">
        <w:t>team member</w:t>
      </w:r>
      <w:r w:rsidRPr="00A86DBE">
        <w:t xml:space="preserve">) and </w:t>
      </w:r>
      <w:r w:rsidR="00CC57BF" w:rsidRPr="00A86DBE">
        <w:t>Lori Banks Dutta</w:t>
      </w:r>
      <w:r w:rsidRPr="00A86DBE">
        <w:t xml:space="preserve"> (AusAID Evaluation Manager)</w:t>
      </w:r>
    </w:p>
    <w:p w14:paraId="742A83CD" w14:textId="77777777" w:rsidR="002824B7" w:rsidRDefault="002824B7" w:rsidP="00C657FB">
      <w:pPr>
        <w:pStyle w:val="Heading2"/>
      </w:pPr>
    </w:p>
    <w:p w14:paraId="742A83CF" w14:textId="77777777" w:rsidR="005E3939" w:rsidRPr="008B3156" w:rsidRDefault="00367DA3" w:rsidP="008E6963">
      <w:pPr>
        <w:pStyle w:val="Heading2"/>
      </w:pPr>
      <w:r w:rsidRPr="008B3156">
        <w:t>AusAID’s response to the evaluation report</w:t>
      </w:r>
    </w:p>
    <w:p w14:paraId="742A83D0" w14:textId="082F910E" w:rsidR="00A268C7" w:rsidRPr="00A86DBE" w:rsidRDefault="005625FE" w:rsidP="00A268C7">
      <w:pPr>
        <w:numPr>
          <w:ilvl w:val="0"/>
          <w:numId w:val="37"/>
        </w:numPr>
        <w:rPr>
          <w:rFonts w:cs="Arial"/>
        </w:rPr>
      </w:pPr>
      <w:r w:rsidRPr="00A86DBE">
        <w:rPr>
          <w:rFonts w:cs="Arial"/>
        </w:rPr>
        <w:t xml:space="preserve">The final report submitted by the review team </w:t>
      </w:r>
      <w:r w:rsidR="00206373" w:rsidRPr="00A86DBE">
        <w:rPr>
          <w:rFonts w:cs="Arial"/>
        </w:rPr>
        <w:t xml:space="preserve">meets the quality criteria in AusAID guidance on evaluation reports. It </w:t>
      </w:r>
      <w:r w:rsidRPr="00A86DBE">
        <w:rPr>
          <w:rFonts w:cs="Arial"/>
        </w:rPr>
        <w:t>addresses the terms of reference</w:t>
      </w:r>
      <w:r w:rsidR="00206373" w:rsidRPr="00A86DBE">
        <w:rPr>
          <w:rFonts w:cs="Arial"/>
        </w:rPr>
        <w:t xml:space="preserve"> and incorporates feedback on the draft</w:t>
      </w:r>
      <w:r w:rsidR="000D4C87" w:rsidRPr="00A86DBE">
        <w:rPr>
          <w:rFonts w:cs="Arial"/>
        </w:rPr>
        <w:t xml:space="preserve">. The </w:t>
      </w:r>
      <w:r w:rsidR="005B432F" w:rsidRPr="00A86DBE">
        <w:rPr>
          <w:rFonts w:cs="Arial"/>
        </w:rPr>
        <w:t xml:space="preserve">report reflects an </w:t>
      </w:r>
      <w:r w:rsidR="00206373" w:rsidRPr="00A86DBE">
        <w:rPr>
          <w:rFonts w:cs="Arial"/>
        </w:rPr>
        <w:t>understanding of the key issues</w:t>
      </w:r>
      <w:r w:rsidR="005B432F" w:rsidRPr="00A86DBE">
        <w:rPr>
          <w:rFonts w:cs="Arial"/>
        </w:rPr>
        <w:t>, the rationale for recommendations is provided</w:t>
      </w:r>
      <w:r w:rsidR="00A82584">
        <w:rPr>
          <w:rFonts w:cs="Arial"/>
        </w:rPr>
        <w:t xml:space="preserve"> and </w:t>
      </w:r>
      <w:r w:rsidR="00A82584" w:rsidRPr="00A86DBE">
        <w:rPr>
          <w:rFonts w:cs="Arial"/>
        </w:rPr>
        <w:t>there is an executive summar</w:t>
      </w:r>
      <w:r w:rsidR="00A82584">
        <w:rPr>
          <w:rFonts w:cs="Arial"/>
        </w:rPr>
        <w:t>y for decision-makers</w:t>
      </w:r>
      <w:r w:rsidR="005B432F" w:rsidRPr="00A86DBE">
        <w:rPr>
          <w:rFonts w:cs="Arial"/>
        </w:rPr>
        <w:t>.</w:t>
      </w:r>
      <w:r w:rsidR="00206373" w:rsidRPr="00A86DBE">
        <w:rPr>
          <w:rFonts w:cs="Arial"/>
        </w:rPr>
        <w:t xml:space="preserve"> The style, format and writing are clear and accessible.</w:t>
      </w:r>
    </w:p>
    <w:p w14:paraId="001C6CC7" w14:textId="11A65772" w:rsidR="00A86DBE" w:rsidRDefault="00EC19A9" w:rsidP="00E9622B">
      <w:pPr>
        <w:numPr>
          <w:ilvl w:val="0"/>
          <w:numId w:val="37"/>
        </w:numPr>
        <w:rPr>
          <w:rFonts w:cs="Arial"/>
        </w:rPr>
      </w:pPr>
      <w:r w:rsidRPr="00A86DBE">
        <w:rPr>
          <w:rFonts w:cs="Arial"/>
        </w:rPr>
        <w:t>The review was a useful opportunity to get an independent view of the Australia-USP Partnership, particularly as it was a new modality of engagement with USP when it was signed in 2010. The review confirms that the Part</w:t>
      </w:r>
      <w:r w:rsidR="005518CE">
        <w:rPr>
          <w:rFonts w:cs="Arial"/>
        </w:rPr>
        <w:t>nership has been useful to USP</w:t>
      </w:r>
      <w:r w:rsidRPr="00A86DBE">
        <w:rPr>
          <w:rFonts w:cs="Arial"/>
        </w:rPr>
        <w:t xml:space="preserve"> in </w:t>
      </w:r>
      <w:r w:rsidR="002548C7">
        <w:rPr>
          <w:rFonts w:cs="Arial"/>
        </w:rPr>
        <w:t>achiev</w:t>
      </w:r>
      <w:r w:rsidR="007A2281">
        <w:rPr>
          <w:rFonts w:cs="Arial"/>
        </w:rPr>
        <w:t xml:space="preserve">ing 80 per cent of its key performance indicators in </w:t>
      </w:r>
      <w:r w:rsidRPr="00A86DBE">
        <w:rPr>
          <w:rFonts w:cs="Arial"/>
        </w:rPr>
        <w:t>its strategic plan</w:t>
      </w:r>
      <w:r w:rsidR="005518CE">
        <w:rPr>
          <w:rFonts w:cs="Arial"/>
        </w:rPr>
        <w:t xml:space="preserve"> 2010-12</w:t>
      </w:r>
      <w:r w:rsidR="007A2281">
        <w:rPr>
          <w:rFonts w:cs="Arial"/>
        </w:rPr>
        <w:t>.</w:t>
      </w:r>
      <w:r w:rsidRPr="00A86DBE">
        <w:rPr>
          <w:rFonts w:cs="Arial"/>
        </w:rPr>
        <w:t xml:space="preserve"> </w:t>
      </w:r>
      <w:r w:rsidR="007A2281">
        <w:rPr>
          <w:rFonts w:cs="Arial"/>
        </w:rPr>
        <w:t>A</w:t>
      </w:r>
      <w:r w:rsidRPr="00A86DBE">
        <w:rPr>
          <w:rFonts w:cs="Arial"/>
        </w:rPr>
        <w:t>s much as impact can be attributed, Aus</w:t>
      </w:r>
      <w:r w:rsidR="00A86DBE">
        <w:rPr>
          <w:rFonts w:cs="Arial"/>
        </w:rPr>
        <w:t>AID</w:t>
      </w:r>
      <w:r w:rsidRPr="00A86DBE">
        <w:rPr>
          <w:rFonts w:cs="Arial"/>
        </w:rPr>
        <w:t xml:space="preserve"> funding has had a positive impact on USP’s ability to achieve its strategic objectives. </w:t>
      </w:r>
    </w:p>
    <w:p w14:paraId="12ACCB82" w14:textId="6A0668AB" w:rsidR="00E9622B" w:rsidRPr="00A86DBE" w:rsidRDefault="00EC19A9" w:rsidP="007A2281">
      <w:pPr>
        <w:numPr>
          <w:ilvl w:val="0"/>
          <w:numId w:val="37"/>
        </w:numPr>
        <w:rPr>
          <w:rFonts w:cs="Arial"/>
        </w:rPr>
      </w:pPr>
      <w:r w:rsidRPr="00A86DBE">
        <w:rPr>
          <w:rFonts w:cs="Arial"/>
        </w:rPr>
        <w:t xml:space="preserve">Our view that the Partnership modality has strengthened and deepened </w:t>
      </w:r>
      <w:r w:rsidR="00B010AD" w:rsidRPr="00A86DBE">
        <w:rPr>
          <w:rFonts w:cs="Arial"/>
        </w:rPr>
        <w:t xml:space="preserve">Australia’s </w:t>
      </w:r>
      <w:r w:rsidRPr="00A86DBE">
        <w:rPr>
          <w:rFonts w:cs="Arial"/>
        </w:rPr>
        <w:t>relationship with USP is supported by the review findings.</w:t>
      </w:r>
      <w:r w:rsidR="00143347" w:rsidRPr="00A86DBE">
        <w:rPr>
          <w:rFonts w:cs="Arial"/>
        </w:rPr>
        <w:t xml:space="preserve"> </w:t>
      </w:r>
      <w:r w:rsidR="00617EBE">
        <w:rPr>
          <w:rFonts w:cs="Arial"/>
        </w:rPr>
        <w:t xml:space="preserve">The review notes that management arrangements for the Partnership work well supported by the frequent engagement on the ground between AusAID and USP. </w:t>
      </w:r>
      <w:r w:rsidR="00143347" w:rsidRPr="00A86DBE">
        <w:rPr>
          <w:rFonts w:cs="Arial"/>
        </w:rPr>
        <w:t>In highlighting the substantial work that has been done by USP senior management and staff to turn aroun</w:t>
      </w:r>
      <w:r w:rsidR="00206373" w:rsidRPr="00A86DBE">
        <w:rPr>
          <w:rFonts w:cs="Arial"/>
        </w:rPr>
        <w:t>d finances, improve governance, review and ensure the relevance of its course offerings and improve the overall quality of its services to member countrie</w:t>
      </w:r>
      <w:r w:rsidR="00137EE5" w:rsidRPr="00A86DBE">
        <w:rPr>
          <w:rFonts w:cs="Arial"/>
        </w:rPr>
        <w:t xml:space="preserve">s </w:t>
      </w:r>
      <w:r w:rsidR="00E9622B" w:rsidRPr="00A86DBE">
        <w:rPr>
          <w:rFonts w:cs="Arial"/>
        </w:rPr>
        <w:t xml:space="preserve">, the review </w:t>
      </w:r>
      <w:r w:rsidR="00137EE5" w:rsidRPr="00A86DBE">
        <w:rPr>
          <w:rFonts w:cs="Arial"/>
        </w:rPr>
        <w:t xml:space="preserve">affirms our observation of USP’s activities over the initial term of the Partnership. In suggesting that USP has some way to go to </w:t>
      </w:r>
      <w:r w:rsidR="00E9622B" w:rsidRPr="00A86DBE">
        <w:rPr>
          <w:rFonts w:cs="Arial"/>
        </w:rPr>
        <w:t xml:space="preserve">achieve its aspirations for equitable experiences for learners at regional campuses, including IT connectivity; student support services and HR management, the review team has </w:t>
      </w:r>
      <w:r w:rsidR="007A2281">
        <w:rPr>
          <w:rFonts w:cs="Arial"/>
        </w:rPr>
        <w:t>pointed to</w:t>
      </w:r>
      <w:r w:rsidR="00E9622B" w:rsidRPr="00A86DBE">
        <w:rPr>
          <w:rFonts w:cs="Arial"/>
        </w:rPr>
        <w:t xml:space="preserve"> issues that we</w:t>
      </w:r>
      <w:r w:rsidR="00A86DBE">
        <w:rPr>
          <w:rFonts w:cs="Arial"/>
        </w:rPr>
        <w:t xml:space="preserve"> </w:t>
      </w:r>
      <w:r w:rsidR="007A2281">
        <w:rPr>
          <w:rFonts w:cs="Arial"/>
        </w:rPr>
        <w:t>will consider</w:t>
      </w:r>
      <w:r w:rsidR="00E9622B" w:rsidRPr="00A86DBE">
        <w:rPr>
          <w:rFonts w:cs="Arial"/>
        </w:rPr>
        <w:t xml:space="preserve"> </w:t>
      </w:r>
      <w:r w:rsidR="007A2281">
        <w:rPr>
          <w:rFonts w:cs="Arial"/>
        </w:rPr>
        <w:t>targeting for</w:t>
      </w:r>
      <w:r w:rsidR="00E9622B" w:rsidRPr="00A86DBE">
        <w:rPr>
          <w:rFonts w:cs="Arial"/>
        </w:rPr>
        <w:t xml:space="preserve"> future support.</w:t>
      </w:r>
    </w:p>
    <w:p w14:paraId="39540488" w14:textId="784FBAF3" w:rsidR="00FF739D" w:rsidRDefault="00FF739D" w:rsidP="007A2281">
      <w:pPr>
        <w:numPr>
          <w:ilvl w:val="0"/>
          <w:numId w:val="37"/>
        </w:numPr>
        <w:rPr>
          <w:rFonts w:cs="Arial"/>
        </w:rPr>
      </w:pPr>
      <w:r w:rsidRPr="00A86DBE">
        <w:rPr>
          <w:rFonts w:cs="Arial"/>
        </w:rPr>
        <w:t xml:space="preserve">The review found that the targets in the Partnership </w:t>
      </w:r>
      <w:r w:rsidR="005578AE">
        <w:rPr>
          <w:rFonts w:cs="Arial"/>
        </w:rPr>
        <w:t>are largely focussed</w:t>
      </w:r>
      <w:r w:rsidRPr="00A86DBE">
        <w:rPr>
          <w:rFonts w:cs="Arial"/>
        </w:rPr>
        <w:t xml:space="preserve"> on inputs and outputs</w:t>
      </w:r>
      <w:r w:rsidR="007A2281">
        <w:rPr>
          <w:rFonts w:cs="Arial"/>
        </w:rPr>
        <w:t>, rather than outcomes and higher level objectives</w:t>
      </w:r>
      <w:r w:rsidRPr="00A86DBE">
        <w:rPr>
          <w:rFonts w:cs="Arial"/>
        </w:rPr>
        <w:t xml:space="preserve">. Noting USP’s progress </w:t>
      </w:r>
      <w:r w:rsidR="007A2281">
        <w:rPr>
          <w:rFonts w:cs="Arial"/>
        </w:rPr>
        <w:t xml:space="preserve">over the 2010-12 period </w:t>
      </w:r>
      <w:r w:rsidRPr="00A86DBE">
        <w:rPr>
          <w:rFonts w:cs="Arial"/>
        </w:rPr>
        <w:t xml:space="preserve">and the maturity of the relationship between Australia and USP, the team has recommended that future support </w:t>
      </w:r>
      <w:r w:rsidR="00F93313">
        <w:rPr>
          <w:rFonts w:cs="Arial"/>
        </w:rPr>
        <w:t>be</w:t>
      </w:r>
      <w:r w:rsidRPr="00A86DBE">
        <w:rPr>
          <w:rFonts w:cs="Arial"/>
        </w:rPr>
        <w:t xml:space="preserve"> based on more demanding outcomes and results. We take </w:t>
      </w:r>
      <w:r w:rsidR="005578AE">
        <w:rPr>
          <w:rFonts w:cs="Arial"/>
        </w:rPr>
        <w:t xml:space="preserve">the point, and </w:t>
      </w:r>
      <w:r w:rsidR="00DD5365">
        <w:rPr>
          <w:rFonts w:cs="Arial"/>
        </w:rPr>
        <w:t>will include a more robust</w:t>
      </w:r>
      <w:r w:rsidR="007A2281">
        <w:rPr>
          <w:rFonts w:cs="Arial"/>
        </w:rPr>
        <w:t>,</w:t>
      </w:r>
      <w:r w:rsidR="00A82584">
        <w:rPr>
          <w:rFonts w:cs="Arial"/>
        </w:rPr>
        <w:t xml:space="preserve"> outcomes-focussed</w:t>
      </w:r>
      <w:r w:rsidR="00DD5365">
        <w:rPr>
          <w:rFonts w:cs="Arial"/>
        </w:rPr>
        <w:t xml:space="preserve"> performance framework in future Partnership support.</w:t>
      </w:r>
    </w:p>
    <w:p w14:paraId="6A3A9C8A" w14:textId="700A42D2" w:rsidR="00FF739D" w:rsidRDefault="00A86DBE" w:rsidP="007A2281">
      <w:pPr>
        <w:numPr>
          <w:ilvl w:val="0"/>
          <w:numId w:val="37"/>
        </w:numPr>
        <w:rPr>
          <w:rFonts w:cs="Arial"/>
        </w:rPr>
      </w:pPr>
      <w:r w:rsidRPr="00A86DBE">
        <w:rPr>
          <w:rFonts w:cs="Arial"/>
        </w:rPr>
        <w:t xml:space="preserve">The </w:t>
      </w:r>
      <w:r w:rsidR="00143397">
        <w:rPr>
          <w:rFonts w:cs="Arial"/>
        </w:rPr>
        <w:t>team noted</w:t>
      </w:r>
      <w:r>
        <w:rPr>
          <w:rFonts w:cs="Arial"/>
        </w:rPr>
        <w:t xml:space="preserve"> that the</w:t>
      </w:r>
      <w:r w:rsidR="0083127F">
        <w:rPr>
          <w:rFonts w:cs="Arial"/>
        </w:rPr>
        <w:t>ir</w:t>
      </w:r>
      <w:r>
        <w:rPr>
          <w:rFonts w:cs="Arial"/>
        </w:rPr>
        <w:t xml:space="preserve"> work</w:t>
      </w:r>
      <w:r w:rsidRPr="00A86DBE">
        <w:rPr>
          <w:rFonts w:cs="Arial"/>
        </w:rPr>
        <w:t xml:space="preserve"> was somewhat constrained by the “r</w:t>
      </w:r>
      <w:r>
        <w:rPr>
          <w:rFonts w:cs="Arial"/>
        </w:rPr>
        <w:t>elatively data-poor environment”</w:t>
      </w:r>
      <w:r w:rsidR="0083127F">
        <w:rPr>
          <w:rFonts w:cs="Arial"/>
        </w:rPr>
        <w:t>, though they felt confident basing their findings and recommendations on the quantitative</w:t>
      </w:r>
      <w:r w:rsidR="00831E76">
        <w:rPr>
          <w:rFonts w:cs="Arial"/>
        </w:rPr>
        <w:t xml:space="preserve"> and qualitative data </w:t>
      </w:r>
      <w:r w:rsidR="00143397">
        <w:rPr>
          <w:rFonts w:cs="Arial"/>
        </w:rPr>
        <w:t>collected</w:t>
      </w:r>
      <w:r w:rsidR="00F93313">
        <w:rPr>
          <w:rFonts w:cs="Arial"/>
        </w:rPr>
        <w:t xml:space="preserve"> (and it is notable that they did not offer a recommendation around this point). </w:t>
      </w:r>
      <w:r>
        <w:rPr>
          <w:rFonts w:cs="Arial"/>
        </w:rPr>
        <w:t>The lack of baseline information and comprehensiv</w:t>
      </w:r>
      <w:r w:rsidR="00143397">
        <w:rPr>
          <w:rFonts w:cs="Arial"/>
        </w:rPr>
        <w:t>e performance data is a concern. It is clear</w:t>
      </w:r>
      <w:r w:rsidR="00A82584">
        <w:rPr>
          <w:rFonts w:cs="Arial"/>
        </w:rPr>
        <w:t xml:space="preserve"> however,</w:t>
      </w:r>
      <w:r w:rsidR="00143397">
        <w:rPr>
          <w:rFonts w:cs="Arial"/>
        </w:rPr>
        <w:t xml:space="preserve"> that USP </w:t>
      </w:r>
      <w:r w:rsidR="00FF739D">
        <w:rPr>
          <w:rFonts w:cs="Arial"/>
        </w:rPr>
        <w:t>systems</w:t>
      </w:r>
      <w:r w:rsidR="007A2281">
        <w:rPr>
          <w:rFonts w:cs="Arial"/>
        </w:rPr>
        <w:t xml:space="preserve"> are evolving and further planned developments </w:t>
      </w:r>
      <w:r w:rsidR="00A82584">
        <w:rPr>
          <w:rFonts w:cs="Arial"/>
        </w:rPr>
        <w:t>will enable capture and reporting o</w:t>
      </w:r>
      <w:r w:rsidR="007A2281">
        <w:rPr>
          <w:rFonts w:cs="Arial"/>
        </w:rPr>
        <w:t>f more comprehensive</w:t>
      </w:r>
      <w:r w:rsidR="00A82584">
        <w:rPr>
          <w:rFonts w:cs="Arial"/>
        </w:rPr>
        <w:t xml:space="preserve"> data</w:t>
      </w:r>
      <w:r w:rsidR="00143397">
        <w:rPr>
          <w:rFonts w:cs="Arial"/>
        </w:rPr>
        <w:t xml:space="preserve">. </w:t>
      </w:r>
      <w:r w:rsidR="007A2281">
        <w:rPr>
          <w:rFonts w:cs="Arial"/>
        </w:rPr>
        <w:t>The Dashboard Intelligence Business System (DIBS) can already provide data on institutional KPI</w:t>
      </w:r>
      <w:r w:rsidR="002548C7">
        <w:rPr>
          <w:rFonts w:cs="Arial"/>
        </w:rPr>
        <w:t>s:</w:t>
      </w:r>
      <w:r w:rsidR="007A2281">
        <w:rPr>
          <w:rFonts w:cs="Arial"/>
        </w:rPr>
        <w:t xml:space="preserve"> pass rate,</w:t>
      </w:r>
      <w:r w:rsidR="00757FF4">
        <w:rPr>
          <w:rFonts w:cs="Arial"/>
        </w:rPr>
        <w:t xml:space="preserve"> completions, retention, </w:t>
      </w:r>
      <w:r w:rsidR="002548C7">
        <w:rPr>
          <w:rFonts w:cs="Arial"/>
        </w:rPr>
        <w:t>etc.</w:t>
      </w:r>
      <w:r w:rsidR="00757FF4">
        <w:rPr>
          <w:rFonts w:cs="Arial"/>
        </w:rPr>
        <w:t xml:space="preserve"> disaggregated by gender, level of study, progra</w:t>
      </w:r>
      <w:r w:rsidR="00F93313">
        <w:rPr>
          <w:rFonts w:cs="Arial"/>
        </w:rPr>
        <w:t xml:space="preserve">m, and country of citizenship. </w:t>
      </w:r>
      <w:r w:rsidR="00757FF4">
        <w:rPr>
          <w:rFonts w:cs="Arial"/>
        </w:rPr>
        <w:t xml:space="preserve">We have begun discussions with USP on the importance of reporting results to communicate their progress, </w:t>
      </w:r>
      <w:r w:rsidR="002548C7">
        <w:rPr>
          <w:rFonts w:cs="Arial"/>
        </w:rPr>
        <w:t xml:space="preserve">the </w:t>
      </w:r>
      <w:r w:rsidR="00757FF4">
        <w:rPr>
          <w:rFonts w:cs="Arial"/>
        </w:rPr>
        <w:t>benefits accruing to member</w:t>
      </w:r>
      <w:r w:rsidR="002548C7">
        <w:rPr>
          <w:rFonts w:cs="Arial"/>
        </w:rPr>
        <w:t xml:space="preserve"> states</w:t>
      </w:r>
      <w:r w:rsidR="00757FF4">
        <w:rPr>
          <w:rFonts w:cs="Arial"/>
        </w:rPr>
        <w:t>, and</w:t>
      </w:r>
      <w:r w:rsidR="002548C7">
        <w:rPr>
          <w:rFonts w:cs="Arial"/>
        </w:rPr>
        <w:t xml:space="preserve"> the return on investment in USP</w:t>
      </w:r>
      <w:r w:rsidR="00757FF4">
        <w:rPr>
          <w:rFonts w:cs="Arial"/>
        </w:rPr>
        <w:t>.</w:t>
      </w:r>
      <w:r w:rsidR="000147E6">
        <w:rPr>
          <w:rFonts w:cs="Arial"/>
        </w:rPr>
        <w:t xml:space="preserve"> </w:t>
      </w:r>
      <w:r w:rsidR="00E41884">
        <w:rPr>
          <w:rFonts w:cs="Arial"/>
        </w:rPr>
        <w:t xml:space="preserve">Holding USP accountable for reporting against its </w:t>
      </w:r>
      <w:r w:rsidR="0070207A">
        <w:rPr>
          <w:rFonts w:cs="Arial"/>
        </w:rPr>
        <w:t>Strategic</w:t>
      </w:r>
      <w:r w:rsidR="00E41884">
        <w:rPr>
          <w:rFonts w:cs="Arial"/>
        </w:rPr>
        <w:t xml:space="preserve"> Plan and institutional KPIs will ensure that this type of information is more regularly available.</w:t>
      </w:r>
    </w:p>
    <w:p w14:paraId="7C8EBE78" w14:textId="17A95896" w:rsidR="00F93313" w:rsidRDefault="00757FF4" w:rsidP="00757FF4">
      <w:pPr>
        <w:numPr>
          <w:ilvl w:val="0"/>
          <w:numId w:val="37"/>
        </w:numPr>
        <w:rPr>
          <w:rFonts w:cs="Arial"/>
        </w:rPr>
      </w:pPr>
      <w:r w:rsidRPr="00A86DBE">
        <w:rPr>
          <w:rFonts w:cs="Arial"/>
        </w:rPr>
        <w:t>Interesting points were raised by the team on USP’s approach to gender and disability. The review noted that USP is addressing these issues, albeit at a basic level. Australia has encouraged and supported USP’s efforts on these two</w:t>
      </w:r>
      <w:r w:rsidR="002548C7">
        <w:rPr>
          <w:rFonts w:cs="Arial"/>
        </w:rPr>
        <w:t xml:space="preserve"> cross-cutting issues, as they are priorities</w:t>
      </w:r>
      <w:r w:rsidRPr="00A86DBE">
        <w:rPr>
          <w:rFonts w:cs="Arial"/>
        </w:rPr>
        <w:t xml:space="preserve"> for Australia’s aid program. Future support to keep the focus on this work could assist USP broaden its approach to these cross-cutting issues.  Instead of focussing on females, USP might begin to address any </w:t>
      </w:r>
      <w:r w:rsidR="005C6144">
        <w:rPr>
          <w:rFonts w:cs="Arial"/>
        </w:rPr>
        <w:t>in</w:t>
      </w:r>
      <w:r w:rsidRPr="00A86DBE">
        <w:rPr>
          <w:rFonts w:cs="Arial"/>
        </w:rPr>
        <w:t xml:space="preserve">equity between males and females as gender issues (i.e. underperformance of males in education in the Pacific). For disability, progress in this area might be </w:t>
      </w:r>
      <w:r w:rsidR="00F93313">
        <w:rPr>
          <w:rFonts w:cs="Arial"/>
        </w:rPr>
        <w:t xml:space="preserve">increased numbers of students with disability </w:t>
      </w:r>
      <w:r w:rsidR="0041711B">
        <w:rPr>
          <w:rFonts w:cs="Arial"/>
        </w:rPr>
        <w:t xml:space="preserve">attending </w:t>
      </w:r>
      <w:r w:rsidR="00F93313">
        <w:rPr>
          <w:rFonts w:cs="Arial"/>
        </w:rPr>
        <w:t xml:space="preserve">and </w:t>
      </w:r>
      <w:r w:rsidR="0041711B">
        <w:rPr>
          <w:rFonts w:cs="Arial"/>
        </w:rPr>
        <w:t xml:space="preserve">being </w:t>
      </w:r>
      <w:r w:rsidRPr="00A86DBE">
        <w:rPr>
          <w:rFonts w:cs="Arial"/>
        </w:rPr>
        <w:t>provid</w:t>
      </w:r>
      <w:r w:rsidR="0041711B">
        <w:rPr>
          <w:rFonts w:cs="Arial"/>
        </w:rPr>
        <w:t xml:space="preserve">ed with </w:t>
      </w:r>
      <w:r w:rsidRPr="00A86DBE">
        <w:rPr>
          <w:rFonts w:cs="Arial"/>
        </w:rPr>
        <w:t>the services they need to succeed at USP.</w:t>
      </w:r>
      <w:r w:rsidR="00F93313">
        <w:rPr>
          <w:rFonts w:cs="Arial"/>
        </w:rPr>
        <w:t xml:space="preserve"> </w:t>
      </w:r>
    </w:p>
    <w:p w14:paraId="2D233183" w14:textId="54B2654E" w:rsidR="00757FF4" w:rsidRPr="00757FF4" w:rsidRDefault="00F93313" w:rsidP="00757FF4">
      <w:pPr>
        <w:numPr>
          <w:ilvl w:val="0"/>
          <w:numId w:val="37"/>
        </w:numPr>
        <w:rPr>
          <w:rFonts w:cs="Arial"/>
        </w:rPr>
      </w:pPr>
      <w:r>
        <w:rPr>
          <w:rFonts w:cs="Arial"/>
        </w:rPr>
        <w:t xml:space="preserve">The recommendation around support for mental illness and intellectual disabilities may be premature. There is little support in the region for students with these challenges. It is therefore unlikely that </w:t>
      </w:r>
      <w:r w:rsidR="00557441">
        <w:rPr>
          <w:rFonts w:cs="Arial"/>
        </w:rPr>
        <w:t xml:space="preserve">many </w:t>
      </w:r>
      <w:r>
        <w:rPr>
          <w:rFonts w:cs="Arial"/>
        </w:rPr>
        <w:t xml:space="preserve">students would </w:t>
      </w:r>
      <w:r w:rsidR="00557441">
        <w:rPr>
          <w:rFonts w:cs="Arial"/>
        </w:rPr>
        <w:t xml:space="preserve">present to USP qualified to begin University study. For individuals that do, their needs can be addressed on a case-by-case </w:t>
      </w:r>
      <w:r w:rsidR="0070207A">
        <w:rPr>
          <w:rFonts w:cs="Arial"/>
        </w:rPr>
        <w:t>basis;</w:t>
      </w:r>
      <w:r w:rsidR="00557441">
        <w:rPr>
          <w:rFonts w:cs="Arial"/>
        </w:rPr>
        <w:t xml:space="preserve"> much as other students with disabilities are supported now.</w:t>
      </w:r>
    </w:p>
    <w:p w14:paraId="7D234293" w14:textId="4A5F4640" w:rsidR="00273308" w:rsidRPr="00273308" w:rsidRDefault="00273308" w:rsidP="008E6963">
      <w:pPr>
        <w:pStyle w:val="Heading3"/>
      </w:pPr>
      <w:r w:rsidRPr="00273308">
        <w:t>Considerations for the future engagement with USP</w:t>
      </w:r>
    </w:p>
    <w:p w14:paraId="742A83D2" w14:textId="0C7260FF" w:rsidR="00C657FB" w:rsidRPr="00AB422E" w:rsidRDefault="00617EBE" w:rsidP="00AB422E">
      <w:pPr>
        <w:numPr>
          <w:ilvl w:val="0"/>
          <w:numId w:val="37"/>
        </w:numPr>
        <w:rPr>
          <w:rFonts w:cs="Arial"/>
        </w:rPr>
      </w:pPr>
      <w:r>
        <w:rPr>
          <w:rFonts w:cs="Arial"/>
        </w:rPr>
        <w:t xml:space="preserve">The </w:t>
      </w:r>
      <w:r w:rsidR="006F036E">
        <w:rPr>
          <w:rFonts w:cs="Arial"/>
        </w:rPr>
        <w:t>r</w:t>
      </w:r>
      <w:r>
        <w:rPr>
          <w:rFonts w:cs="Arial"/>
        </w:rPr>
        <w:t xml:space="preserve">eview provides </w:t>
      </w:r>
      <w:r w:rsidR="006F036E">
        <w:rPr>
          <w:rFonts w:cs="Arial"/>
        </w:rPr>
        <w:t xml:space="preserve">a </w:t>
      </w:r>
      <w:r>
        <w:rPr>
          <w:rFonts w:cs="Arial"/>
        </w:rPr>
        <w:t xml:space="preserve">good basis for reflection on the Partnership in preparation for the development of multi-year funding to USP to commence in 2014. </w:t>
      </w:r>
      <w:r w:rsidR="00AB422E">
        <w:rPr>
          <w:rFonts w:cs="Arial"/>
        </w:rPr>
        <w:t>The review recommends that Australia continues support through the Partnership to 2018 (in line with the timing of USP’s new strategic plan), with minor adjustments as noted above, to support USPs transformation to the excellent University that the Pacific needs. AusAID intends to move forward with the engagement with USP and will consider the review recommendations in discussions with USP on the next phase of the relationship, and incorporate them as appropriate.</w:t>
      </w:r>
    </w:p>
    <w:p w14:paraId="23956556" w14:textId="0C98860A" w:rsidR="006F036E" w:rsidRDefault="006F036E" w:rsidP="006F036E">
      <w:pPr>
        <w:numPr>
          <w:ilvl w:val="0"/>
          <w:numId w:val="37"/>
        </w:numPr>
        <w:rPr>
          <w:rFonts w:cs="Arial"/>
        </w:rPr>
      </w:pPr>
      <w:r>
        <w:rPr>
          <w:rFonts w:cs="Arial"/>
        </w:rPr>
        <w:t>USP</w:t>
      </w:r>
      <w:r w:rsidR="002767F9">
        <w:rPr>
          <w:rFonts w:cs="Arial"/>
        </w:rPr>
        <w:t>’s</w:t>
      </w:r>
      <w:r>
        <w:rPr>
          <w:rFonts w:cs="Arial"/>
        </w:rPr>
        <w:t xml:space="preserve"> Strategic Plan 2013-18 will guide its activities for the period. As the Plan articulates the strategic directions for USP (in consultation wi</w:t>
      </w:r>
      <w:r w:rsidR="0041711B">
        <w:rPr>
          <w:rFonts w:cs="Arial"/>
        </w:rPr>
        <w:t>th</w:t>
      </w:r>
      <w:r>
        <w:rPr>
          <w:rFonts w:cs="Arial"/>
        </w:rPr>
        <w:t xml:space="preserve"> stakeholders and approved by Council) Australia’s investment in USP for the medium term</w:t>
      </w:r>
      <w:r w:rsidR="00A32F68">
        <w:rPr>
          <w:rFonts w:cs="Arial"/>
        </w:rPr>
        <w:t xml:space="preserve"> (3-5 years)</w:t>
      </w:r>
      <w:r>
        <w:rPr>
          <w:rFonts w:cs="Arial"/>
        </w:rPr>
        <w:t xml:space="preserve"> is likely to support the plan. There is also potential for support to USP under AusAID’s </w:t>
      </w:r>
      <w:r w:rsidR="0070207A">
        <w:rPr>
          <w:rFonts w:cs="Arial"/>
        </w:rPr>
        <w:t>updated Pacific</w:t>
      </w:r>
      <w:r>
        <w:rPr>
          <w:rFonts w:cs="Arial"/>
        </w:rPr>
        <w:t xml:space="preserve"> </w:t>
      </w:r>
      <w:r w:rsidR="00E41884">
        <w:rPr>
          <w:rFonts w:cs="Arial"/>
        </w:rPr>
        <w:t xml:space="preserve">Education and Skills Development Agenda </w:t>
      </w:r>
      <w:r w:rsidR="00DD2B35">
        <w:rPr>
          <w:rFonts w:cs="Arial"/>
        </w:rPr>
        <w:t xml:space="preserve">(PESDA) </w:t>
      </w:r>
      <w:r w:rsidR="00E41884">
        <w:rPr>
          <w:rFonts w:cs="Arial"/>
        </w:rPr>
        <w:t>and its associated delivery strategy</w:t>
      </w:r>
      <w:r w:rsidR="00A32F68">
        <w:rPr>
          <w:rFonts w:cs="Arial"/>
        </w:rPr>
        <w:t xml:space="preserve">. There may be scope for consolidating support to USP under the </w:t>
      </w:r>
      <w:r w:rsidR="00DD2B35">
        <w:rPr>
          <w:rFonts w:cs="Arial"/>
        </w:rPr>
        <w:t>Partnership</w:t>
      </w:r>
      <w:r w:rsidR="00A32F68">
        <w:rPr>
          <w:rFonts w:cs="Arial"/>
        </w:rPr>
        <w:t xml:space="preserve"> as subsequent </w:t>
      </w:r>
      <w:r w:rsidR="00DD2B35">
        <w:rPr>
          <w:rFonts w:cs="Arial"/>
        </w:rPr>
        <w:t xml:space="preserve">initiatives under the PESDA </w:t>
      </w:r>
      <w:r w:rsidR="00A32F68">
        <w:rPr>
          <w:rFonts w:cs="Arial"/>
        </w:rPr>
        <w:t>are implemented.</w:t>
      </w:r>
    </w:p>
    <w:p w14:paraId="224293BF" w14:textId="7ED56FFE" w:rsidR="00A32F68" w:rsidRDefault="00A32F68" w:rsidP="006F036E">
      <w:pPr>
        <w:numPr>
          <w:ilvl w:val="0"/>
          <w:numId w:val="37"/>
        </w:numPr>
        <w:rPr>
          <w:rFonts w:cs="Arial"/>
        </w:rPr>
      </w:pPr>
      <w:r>
        <w:rPr>
          <w:rFonts w:cs="Arial"/>
        </w:rPr>
        <w:t xml:space="preserve">A Regional Situation Analysis (RSA) for the Pacific </w:t>
      </w:r>
      <w:r w:rsidR="00AE0EB3">
        <w:rPr>
          <w:rFonts w:cs="Arial"/>
        </w:rPr>
        <w:t xml:space="preserve">has been drafted </w:t>
      </w:r>
      <w:r>
        <w:rPr>
          <w:rFonts w:cs="Arial"/>
        </w:rPr>
        <w:t>as background to the development of a Regional Program Strategy for AusAID</w:t>
      </w:r>
      <w:r w:rsidR="00AB422E">
        <w:rPr>
          <w:rFonts w:cs="Arial"/>
        </w:rPr>
        <w:t xml:space="preserve">. The RSA identifies </w:t>
      </w:r>
      <w:r w:rsidR="00AE0EB3">
        <w:rPr>
          <w:rFonts w:cs="Arial"/>
        </w:rPr>
        <w:t>provision of regional public goods and the Australian Government’s Comprehensive Aid Policy Framework (CAPF) as the filters for identifying initiatives for support and prioritisation under the regional program. As USP is the example of a provider of regional public goods in the RSA, it is expected that ongoing support to USP will fit within this new framework.</w:t>
      </w:r>
    </w:p>
    <w:p w14:paraId="67381C87" w14:textId="5649F954" w:rsidR="00AE0EB3" w:rsidRPr="006F036E" w:rsidRDefault="00AE0EB3" w:rsidP="006F036E">
      <w:pPr>
        <w:numPr>
          <w:ilvl w:val="0"/>
          <w:numId w:val="37"/>
        </w:numPr>
        <w:rPr>
          <w:rFonts w:cs="Arial"/>
        </w:rPr>
      </w:pPr>
      <w:r>
        <w:rPr>
          <w:rFonts w:cs="Arial"/>
        </w:rPr>
        <w:t>A delivery strategy for Pacific regional organisation</w:t>
      </w:r>
      <w:r w:rsidR="00702E01">
        <w:rPr>
          <w:rFonts w:cs="Arial"/>
        </w:rPr>
        <w:t xml:space="preserve">s </w:t>
      </w:r>
      <w:r>
        <w:rPr>
          <w:rFonts w:cs="Arial"/>
        </w:rPr>
        <w:t xml:space="preserve">will be drafted </w:t>
      </w:r>
      <w:r w:rsidR="00702E01">
        <w:rPr>
          <w:rFonts w:cs="Arial"/>
        </w:rPr>
        <w:t xml:space="preserve">in the first half of 2013 </w:t>
      </w:r>
      <w:r>
        <w:rPr>
          <w:rFonts w:cs="Arial"/>
        </w:rPr>
        <w:t xml:space="preserve">to guide the development of multi-year </w:t>
      </w:r>
      <w:r w:rsidR="00702E01">
        <w:rPr>
          <w:rFonts w:cs="Arial"/>
        </w:rPr>
        <w:t>investment in</w:t>
      </w:r>
      <w:r>
        <w:rPr>
          <w:rFonts w:cs="Arial"/>
        </w:rPr>
        <w:t xml:space="preserve"> regional organisations under the new P</w:t>
      </w:r>
      <w:r w:rsidR="00702E01">
        <w:rPr>
          <w:rFonts w:cs="Arial"/>
        </w:rPr>
        <w:t xml:space="preserve">acific Regional Strategy. The development of multi-year funding to USP will be subject to this delivery strategy, which is likely to support Partnerships as a modality. </w:t>
      </w:r>
    </w:p>
    <w:p w14:paraId="742A83D4" w14:textId="0319053F" w:rsidR="00C657FB" w:rsidRPr="00702E01" w:rsidRDefault="00273308" w:rsidP="00C657FB">
      <w:pPr>
        <w:numPr>
          <w:ilvl w:val="0"/>
          <w:numId w:val="37"/>
        </w:numPr>
        <w:rPr>
          <w:rFonts w:cs="Arial"/>
        </w:rPr>
      </w:pPr>
      <w:r>
        <w:rPr>
          <w:rFonts w:cs="Arial"/>
        </w:rPr>
        <w:t>T</w:t>
      </w:r>
      <w:r w:rsidR="00702E01" w:rsidRPr="00702E01">
        <w:rPr>
          <w:rFonts w:cs="Arial"/>
        </w:rPr>
        <w:t xml:space="preserve">he recommendations of the review, the USP Strategic Plan 2013-18, the </w:t>
      </w:r>
      <w:r w:rsidR="00DD2B35">
        <w:rPr>
          <w:rFonts w:cs="Arial"/>
        </w:rPr>
        <w:t>PESDA</w:t>
      </w:r>
      <w:r w:rsidR="00702E01" w:rsidRPr="00702E01">
        <w:rPr>
          <w:rFonts w:cs="Arial"/>
        </w:rPr>
        <w:t>, AusAID’s Pacific Regional Strategy, and the Deliver</w:t>
      </w:r>
      <w:r w:rsidR="0041711B">
        <w:rPr>
          <w:rFonts w:cs="Arial"/>
        </w:rPr>
        <w:t>y</w:t>
      </w:r>
      <w:r w:rsidR="00702E01" w:rsidRPr="00702E01">
        <w:rPr>
          <w:rFonts w:cs="Arial"/>
        </w:rPr>
        <w:t xml:space="preserve"> Strategy for Regional Organisations will all be considered </w:t>
      </w:r>
      <w:r w:rsidR="00AB422E">
        <w:rPr>
          <w:rFonts w:cs="Arial"/>
        </w:rPr>
        <w:t xml:space="preserve">in discussions on the next phase of the </w:t>
      </w:r>
      <w:r w:rsidR="00702E01" w:rsidRPr="00702E01">
        <w:rPr>
          <w:rFonts w:cs="Arial"/>
        </w:rPr>
        <w:t>engagement between Australia and USP.</w:t>
      </w:r>
      <w:r w:rsidR="003803BE">
        <w:rPr>
          <w:rFonts w:cs="Arial"/>
        </w:rPr>
        <w:t xml:space="preserve"> This will ensure that the broad ranging analysis undertaken to inform these strategic and policy documents comes to bear on </w:t>
      </w:r>
      <w:r w:rsidR="00AD7AB3">
        <w:rPr>
          <w:rFonts w:cs="Arial"/>
        </w:rPr>
        <w:t xml:space="preserve">the development of the next phase of Australia’s support for USP, </w:t>
      </w:r>
      <w:r w:rsidR="00AB422E">
        <w:rPr>
          <w:rFonts w:cs="Arial"/>
        </w:rPr>
        <w:t xml:space="preserve">building on what has been achieved to date and </w:t>
      </w:r>
      <w:r w:rsidR="00AD7AB3">
        <w:rPr>
          <w:rFonts w:cs="Arial"/>
        </w:rPr>
        <w:t xml:space="preserve">optimising the </w:t>
      </w:r>
      <w:r w:rsidR="003803BE">
        <w:rPr>
          <w:rFonts w:cs="Arial"/>
        </w:rPr>
        <w:t>relevance</w:t>
      </w:r>
      <w:r w:rsidR="00AD7AB3">
        <w:rPr>
          <w:rFonts w:cs="Arial"/>
        </w:rPr>
        <w:t>, effectiveness and efficiency of the engagement.</w:t>
      </w:r>
      <w:r w:rsidR="003803BE">
        <w:rPr>
          <w:rFonts w:cs="Arial"/>
        </w:rPr>
        <w:t xml:space="preserve"> </w:t>
      </w:r>
    </w:p>
    <w:p w14:paraId="742A83D5" w14:textId="77777777" w:rsidR="00367DA3" w:rsidRDefault="00367DA3" w:rsidP="00C657FB">
      <w:pPr>
        <w:rPr>
          <w:rFonts w:cs="Arial"/>
        </w:rPr>
      </w:pPr>
    </w:p>
    <w:p w14:paraId="742A83D6" w14:textId="77777777" w:rsidR="00C657FB" w:rsidRPr="008B3156" w:rsidRDefault="00F63B43" w:rsidP="008E6963">
      <w:pPr>
        <w:pStyle w:val="Heading2"/>
      </w:pPr>
      <w:r w:rsidRPr="008B3156">
        <w:t>AusAID’s r</w:t>
      </w:r>
      <w:r w:rsidR="00C657FB" w:rsidRPr="008B3156">
        <w:t xml:space="preserve">esponse </w:t>
      </w:r>
      <w:bookmarkStart w:id="0" w:name="_GoBack"/>
      <w:bookmarkEnd w:id="0"/>
      <w:r w:rsidR="00C657FB" w:rsidRPr="008B3156">
        <w:t>to the specific rec</w:t>
      </w:r>
      <w:r w:rsidR="00367DA3" w:rsidRPr="008B3156">
        <w:t>ommendations made in the report</w:t>
      </w:r>
    </w:p>
    <w:p w14:paraId="742A83D7" w14:textId="77777777" w:rsidR="00C657FB" w:rsidRDefault="00C657FB" w:rsidP="00C657FB">
      <w:pPr>
        <w:rPr>
          <w:rFonts w:cs="Arial"/>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bottom w:w="57" w:type="dxa"/>
        </w:tblCellMar>
        <w:tblLook w:val="04A0" w:firstRow="1" w:lastRow="0" w:firstColumn="1" w:lastColumn="0" w:noHBand="0" w:noVBand="1"/>
      </w:tblPr>
      <w:tblGrid>
        <w:gridCol w:w="2638"/>
        <w:gridCol w:w="2715"/>
        <w:gridCol w:w="2644"/>
        <w:gridCol w:w="1857"/>
      </w:tblGrid>
      <w:tr w:rsidR="00E6298A" w:rsidRPr="00E6298A" w14:paraId="742A83DC" w14:textId="77777777" w:rsidTr="00074DFB">
        <w:trPr>
          <w:cantSplit/>
          <w:tblHeader/>
        </w:trPr>
        <w:tc>
          <w:tcPr>
            <w:tcW w:w="2638" w:type="dxa"/>
            <w:shd w:val="clear" w:color="auto" w:fill="FFEC9B"/>
            <w:vAlign w:val="center"/>
          </w:tcPr>
          <w:p w14:paraId="742A83D8" w14:textId="77777777" w:rsidR="00E6298A" w:rsidRPr="00E6298A" w:rsidRDefault="00E6298A" w:rsidP="001467C6">
            <w:pPr>
              <w:pStyle w:val="Heading2"/>
              <w:spacing w:before="120" w:after="120"/>
              <w:jc w:val="center"/>
              <w:rPr>
                <w:sz w:val="20"/>
                <w:szCs w:val="20"/>
              </w:rPr>
            </w:pPr>
            <w:r w:rsidRPr="00E6298A">
              <w:rPr>
                <w:sz w:val="20"/>
                <w:szCs w:val="20"/>
              </w:rPr>
              <w:t>Recommendation</w:t>
            </w:r>
          </w:p>
        </w:tc>
        <w:tc>
          <w:tcPr>
            <w:tcW w:w="2715" w:type="dxa"/>
            <w:tcBorders>
              <w:right w:val="single" w:sz="4" w:space="0" w:color="auto"/>
            </w:tcBorders>
            <w:shd w:val="clear" w:color="auto" w:fill="FFEC9B"/>
            <w:vAlign w:val="center"/>
          </w:tcPr>
          <w:p w14:paraId="742A83D9" w14:textId="77777777" w:rsidR="00E6298A" w:rsidRPr="00E6298A" w:rsidRDefault="00E6298A" w:rsidP="001467C6">
            <w:pPr>
              <w:spacing w:after="120"/>
              <w:jc w:val="center"/>
              <w:rPr>
                <w:rFonts w:cs="Arial"/>
                <w:b/>
                <w:szCs w:val="20"/>
              </w:rPr>
            </w:pPr>
            <w:r w:rsidRPr="00E6298A">
              <w:rPr>
                <w:rFonts w:cs="Arial"/>
                <w:b/>
                <w:szCs w:val="20"/>
              </w:rPr>
              <w:t>Response</w:t>
            </w:r>
          </w:p>
        </w:tc>
        <w:tc>
          <w:tcPr>
            <w:tcW w:w="2644" w:type="dxa"/>
            <w:tcBorders>
              <w:left w:val="single" w:sz="4" w:space="0" w:color="auto"/>
            </w:tcBorders>
            <w:shd w:val="clear" w:color="auto" w:fill="FFEC9B"/>
            <w:vAlign w:val="center"/>
          </w:tcPr>
          <w:p w14:paraId="742A83DA" w14:textId="77777777" w:rsidR="00E6298A" w:rsidRPr="00E6298A" w:rsidRDefault="00E6298A" w:rsidP="001467C6">
            <w:pPr>
              <w:spacing w:after="120"/>
              <w:jc w:val="center"/>
              <w:rPr>
                <w:rFonts w:cs="Arial"/>
                <w:b/>
                <w:szCs w:val="20"/>
              </w:rPr>
            </w:pPr>
            <w:r w:rsidRPr="00E6298A">
              <w:rPr>
                <w:rFonts w:cs="Arial"/>
                <w:b/>
                <w:szCs w:val="20"/>
              </w:rPr>
              <w:t>Actions</w:t>
            </w:r>
          </w:p>
        </w:tc>
        <w:tc>
          <w:tcPr>
            <w:tcW w:w="1857" w:type="dxa"/>
            <w:tcBorders>
              <w:left w:val="single" w:sz="4" w:space="0" w:color="auto"/>
            </w:tcBorders>
            <w:shd w:val="clear" w:color="auto" w:fill="FFEC9B"/>
            <w:vAlign w:val="center"/>
          </w:tcPr>
          <w:p w14:paraId="742A83DB" w14:textId="77777777" w:rsidR="00E6298A" w:rsidRPr="00E6298A" w:rsidRDefault="00E6298A" w:rsidP="001467C6">
            <w:pPr>
              <w:spacing w:after="120"/>
              <w:jc w:val="center"/>
              <w:rPr>
                <w:rFonts w:cs="Arial"/>
                <w:szCs w:val="20"/>
              </w:rPr>
            </w:pPr>
            <w:r w:rsidRPr="00E6298A">
              <w:rPr>
                <w:b/>
                <w:szCs w:val="20"/>
              </w:rPr>
              <w:t>Responsibility</w:t>
            </w:r>
          </w:p>
        </w:tc>
      </w:tr>
      <w:tr w:rsidR="00E6298A" w:rsidRPr="00F43CEC" w14:paraId="742A83E2" w14:textId="77777777" w:rsidTr="00074DFB">
        <w:trPr>
          <w:cantSplit/>
          <w:trHeight w:val="885"/>
        </w:trPr>
        <w:tc>
          <w:tcPr>
            <w:tcW w:w="2638" w:type="dxa"/>
            <w:shd w:val="clear" w:color="auto" w:fill="auto"/>
          </w:tcPr>
          <w:p w14:paraId="742A83DD" w14:textId="2D552F94" w:rsidR="00E6298A" w:rsidRPr="00632714" w:rsidRDefault="004D7098" w:rsidP="004D7098">
            <w:pPr>
              <w:numPr>
                <w:ilvl w:val="0"/>
                <w:numId w:val="38"/>
              </w:numPr>
              <w:spacing w:after="120"/>
              <w:rPr>
                <w:b/>
              </w:rPr>
            </w:pPr>
            <w:r w:rsidRPr="004D7098">
              <w:rPr>
                <w:b/>
              </w:rPr>
              <w:t>Some project funding should continue, but at a reduced level.</w:t>
            </w:r>
          </w:p>
        </w:tc>
        <w:tc>
          <w:tcPr>
            <w:tcW w:w="2715" w:type="dxa"/>
            <w:tcBorders>
              <w:right w:val="single" w:sz="4" w:space="0" w:color="auto"/>
            </w:tcBorders>
            <w:shd w:val="clear" w:color="auto" w:fill="auto"/>
          </w:tcPr>
          <w:p w14:paraId="742A83DE" w14:textId="6D8F58B8" w:rsidR="00E6298A" w:rsidRDefault="00B03D37" w:rsidP="00175FFC">
            <w:pPr>
              <w:spacing w:after="120"/>
              <w:rPr>
                <w:rFonts w:cs="Arial"/>
              </w:rPr>
            </w:pPr>
            <w:r>
              <w:rPr>
                <w:rFonts w:cs="Arial"/>
              </w:rPr>
              <w:t>Agree</w:t>
            </w:r>
          </w:p>
          <w:p w14:paraId="411D6729" w14:textId="15F19BD4" w:rsidR="008B1A36" w:rsidRDefault="000B6F8D" w:rsidP="00175FFC">
            <w:pPr>
              <w:spacing w:after="120"/>
              <w:rPr>
                <w:rFonts w:cs="Arial"/>
              </w:rPr>
            </w:pPr>
            <w:r>
              <w:rPr>
                <w:rFonts w:cs="Arial"/>
              </w:rPr>
              <w:t>There have been mixed results from project funding under the Partnership. However, there are projects such as the Future Climate Leaders’ Program which have delivered desired outcomes for the Pacific. Sectoral projects which are addressing an identified need in the region and are in line with USPs broader strategic objectives should continue to be supported.</w:t>
            </w:r>
          </w:p>
          <w:p w14:paraId="742A83DF" w14:textId="62D1FB0B" w:rsidR="00E6298A" w:rsidRPr="00F43CEC" w:rsidRDefault="00E6298A" w:rsidP="00B03D37">
            <w:pPr>
              <w:spacing w:after="120"/>
              <w:rPr>
                <w:rFonts w:cs="Arial"/>
              </w:rPr>
            </w:pPr>
          </w:p>
        </w:tc>
        <w:tc>
          <w:tcPr>
            <w:tcW w:w="2644" w:type="dxa"/>
            <w:tcBorders>
              <w:left w:val="single" w:sz="4" w:space="0" w:color="auto"/>
            </w:tcBorders>
            <w:shd w:val="clear" w:color="auto" w:fill="auto"/>
          </w:tcPr>
          <w:p w14:paraId="742A83E0" w14:textId="19DA1875" w:rsidR="00E6298A" w:rsidRPr="00F43CEC" w:rsidRDefault="000B6F8D" w:rsidP="00AB422E">
            <w:pPr>
              <w:spacing w:after="120"/>
              <w:rPr>
                <w:rFonts w:cs="Arial"/>
              </w:rPr>
            </w:pPr>
            <w:r>
              <w:rPr>
                <w:rFonts w:cs="Arial"/>
              </w:rPr>
              <w:t>AusAID will negotiate the next phase agreement with USP to include the flexibility to support mutually agreed sectoral projects assessed as priorities on a case-by-case basis</w:t>
            </w:r>
            <w:r w:rsidR="00074DFB">
              <w:rPr>
                <w:rFonts w:cs="Arial"/>
              </w:rPr>
              <w:t>.</w:t>
            </w:r>
          </w:p>
        </w:tc>
        <w:tc>
          <w:tcPr>
            <w:tcW w:w="1857" w:type="dxa"/>
            <w:tcBorders>
              <w:left w:val="single" w:sz="4" w:space="0" w:color="auto"/>
            </w:tcBorders>
            <w:shd w:val="clear" w:color="auto" w:fill="auto"/>
          </w:tcPr>
          <w:p w14:paraId="742A83E1" w14:textId="606FE4A9" w:rsidR="00E6298A" w:rsidRPr="00F43CEC" w:rsidRDefault="006852DE" w:rsidP="00632714">
            <w:pPr>
              <w:spacing w:after="120"/>
              <w:rPr>
                <w:rFonts w:cs="Arial"/>
              </w:rPr>
            </w:pPr>
            <w:r>
              <w:rPr>
                <w:rFonts w:cs="Arial"/>
              </w:rPr>
              <w:t>Regional Education Team (Suva)</w:t>
            </w:r>
          </w:p>
        </w:tc>
      </w:tr>
      <w:tr w:rsidR="00E6298A" w:rsidRPr="00F43CEC" w14:paraId="742A83E8" w14:textId="77777777" w:rsidTr="00074DFB">
        <w:trPr>
          <w:cantSplit/>
          <w:trHeight w:val="885"/>
        </w:trPr>
        <w:tc>
          <w:tcPr>
            <w:tcW w:w="2638" w:type="dxa"/>
            <w:shd w:val="clear" w:color="auto" w:fill="auto"/>
          </w:tcPr>
          <w:p w14:paraId="742A83E3" w14:textId="103513B5" w:rsidR="00E6298A" w:rsidRDefault="004D7098" w:rsidP="00783EFE">
            <w:pPr>
              <w:numPr>
                <w:ilvl w:val="0"/>
                <w:numId w:val="38"/>
              </w:numPr>
              <w:spacing w:after="120"/>
              <w:ind w:left="426" w:hanging="426"/>
              <w:rPr>
                <w:b/>
              </w:rPr>
            </w:pPr>
            <w:r w:rsidRPr="00AD73B3">
              <w:rPr>
                <w:rFonts w:eastAsia="Cambria"/>
                <w:b/>
                <w:lang w:val="en-US"/>
              </w:rPr>
              <w:t>USP and AusAID should develop a more critical stance to project planning, especially to the feasibility of the activities given the timelines ascribed to them.</w:t>
            </w:r>
          </w:p>
        </w:tc>
        <w:tc>
          <w:tcPr>
            <w:tcW w:w="2715" w:type="dxa"/>
            <w:tcBorders>
              <w:right w:val="single" w:sz="4" w:space="0" w:color="auto"/>
            </w:tcBorders>
            <w:shd w:val="clear" w:color="auto" w:fill="auto"/>
          </w:tcPr>
          <w:p w14:paraId="7C748B80" w14:textId="77777777" w:rsidR="00E6298A" w:rsidRDefault="00E6298A" w:rsidP="008B1A36">
            <w:pPr>
              <w:spacing w:after="120"/>
              <w:rPr>
                <w:rFonts w:cs="Arial"/>
              </w:rPr>
            </w:pPr>
            <w:r w:rsidRPr="00F43CEC">
              <w:rPr>
                <w:rFonts w:cs="Arial"/>
              </w:rPr>
              <w:t xml:space="preserve">Agree </w:t>
            </w:r>
          </w:p>
          <w:p w14:paraId="742A83E5" w14:textId="11E5C8AA" w:rsidR="008B1A36" w:rsidRPr="00F43CEC" w:rsidRDefault="000B6F8D" w:rsidP="000B6F8D">
            <w:pPr>
              <w:spacing w:after="120"/>
              <w:rPr>
                <w:rFonts w:cs="Arial"/>
              </w:rPr>
            </w:pPr>
            <w:r>
              <w:rPr>
                <w:rFonts w:cs="Arial"/>
              </w:rPr>
              <w:t>Costing, b</w:t>
            </w:r>
            <w:r w:rsidR="008B1A36">
              <w:rPr>
                <w:rFonts w:cs="Arial"/>
              </w:rPr>
              <w:t>u</w:t>
            </w:r>
            <w:r>
              <w:rPr>
                <w:rFonts w:cs="Arial"/>
              </w:rPr>
              <w:t>dgeting and project management should</w:t>
            </w:r>
            <w:r w:rsidR="008B1A36">
              <w:rPr>
                <w:rFonts w:cs="Arial"/>
              </w:rPr>
              <w:t xml:space="preserve"> be strengthened to ensure projects </w:t>
            </w:r>
            <w:r>
              <w:rPr>
                <w:rFonts w:cs="Arial"/>
              </w:rPr>
              <w:t xml:space="preserve">implemented by USP program areas </w:t>
            </w:r>
            <w:r w:rsidR="008B1A36">
              <w:rPr>
                <w:rFonts w:cs="Arial"/>
              </w:rPr>
              <w:t xml:space="preserve">are completed on time and on budget. </w:t>
            </w:r>
          </w:p>
        </w:tc>
        <w:tc>
          <w:tcPr>
            <w:tcW w:w="2644" w:type="dxa"/>
            <w:tcBorders>
              <w:left w:val="single" w:sz="4" w:space="0" w:color="auto"/>
            </w:tcBorders>
            <w:shd w:val="clear" w:color="auto" w:fill="auto"/>
          </w:tcPr>
          <w:p w14:paraId="742A83E6" w14:textId="6C7326E9" w:rsidR="00E6298A" w:rsidRPr="00F43CEC" w:rsidRDefault="008B1A36" w:rsidP="00074DFB">
            <w:pPr>
              <w:spacing w:after="120"/>
              <w:rPr>
                <w:rFonts w:cs="Arial"/>
              </w:rPr>
            </w:pPr>
            <w:r>
              <w:rPr>
                <w:rFonts w:cs="Arial"/>
              </w:rPr>
              <w:t xml:space="preserve">AusAID will </w:t>
            </w:r>
            <w:r w:rsidR="00074DFB">
              <w:rPr>
                <w:rFonts w:cs="Arial"/>
              </w:rPr>
              <w:t xml:space="preserve">prioritise </w:t>
            </w:r>
            <w:r>
              <w:rPr>
                <w:rFonts w:cs="Arial"/>
              </w:rPr>
              <w:t>scrutin</w:t>
            </w:r>
            <w:r w:rsidR="00074DFB">
              <w:rPr>
                <w:rFonts w:cs="Arial"/>
              </w:rPr>
              <w:t>y of</w:t>
            </w:r>
            <w:r>
              <w:rPr>
                <w:rFonts w:cs="Arial"/>
              </w:rPr>
              <w:t xml:space="preserve"> proposals</w:t>
            </w:r>
            <w:r w:rsidR="00074DFB">
              <w:rPr>
                <w:rFonts w:cs="Arial"/>
              </w:rPr>
              <w:t xml:space="preserve"> (including external appraisal, where appropriate)</w:t>
            </w:r>
            <w:r>
              <w:rPr>
                <w:rFonts w:cs="Arial"/>
              </w:rPr>
              <w:t xml:space="preserve"> for project funding and work with counterparts at USP to ensure budgets and timeframes are realistic.</w:t>
            </w:r>
          </w:p>
        </w:tc>
        <w:tc>
          <w:tcPr>
            <w:tcW w:w="1857" w:type="dxa"/>
            <w:tcBorders>
              <w:left w:val="single" w:sz="4" w:space="0" w:color="auto"/>
            </w:tcBorders>
            <w:shd w:val="clear" w:color="auto" w:fill="auto"/>
          </w:tcPr>
          <w:p w14:paraId="742A83E7" w14:textId="2345A025" w:rsidR="00E6298A" w:rsidRPr="00F43CEC" w:rsidRDefault="008B1A36" w:rsidP="00632714">
            <w:pPr>
              <w:spacing w:after="120"/>
              <w:rPr>
                <w:rFonts w:cs="Arial"/>
              </w:rPr>
            </w:pPr>
            <w:r>
              <w:rPr>
                <w:rFonts w:cs="Arial"/>
              </w:rPr>
              <w:t>Regional Education Team (Suva)</w:t>
            </w:r>
          </w:p>
        </w:tc>
      </w:tr>
      <w:tr w:rsidR="0036463D" w:rsidRPr="00F43CEC" w14:paraId="65BCD0F9" w14:textId="77777777" w:rsidTr="00074DFB">
        <w:trPr>
          <w:cantSplit/>
          <w:trHeight w:val="885"/>
        </w:trPr>
        <w:tc>
          <w:tcPr>
            <w:tcW w:w="2638" w:type="dxa"/>
            <w:shd w:val="clear" w:color="auto" w:fill="auto"/>
          </w:tcPr>
          <w:p w14:paraId="796984E4" w14:textId="77777777" w:rsidR="0036463D" w:rsidRPr="00565CDB" w:rsidRDefault="0036463D" w:rsidP="00565CDB">
            <w:pPr>
              <w:numPr>
                <w:ilvl w:val="0"/>
                <w:numId w:val="38"/>
              </w:numPr>
              <w:spacing w:after="120"/>
              <w:rPr>
                <w:rFonts w:eastAsia="Cambria"/>
                <w:b/>
                <w:lang w:val="en-US"/>
              </w:rPr>
            </w:pPr>
            <w:r w:rsidRPr="00565CDB">
              <w:rPr>
                <w:rFonts w:eastAsia="Cambria"/>
                <w:b/>
                <w:lang w:val="en-US"/>
              </w:rPr>
              <w:t>Wherever possible:</w:t>
            </w:r>
          </w:p>
          <w:p w14:paraId="601C08C6" w14:textId="77777777" w:rsidR="0036463D" w:rsidRPr="00565CDB" w:rsidRDefault="0036463D" w:rsidP="00565CDB">
            <w:pPr>
              <w:numPr>
                <w:ilvl w:val="0"/>
                <w:numId w:val="42"/>
              </w:numPr>
              <w:spacing w:after="120"/>
              <w:rPr>
                <w:rFonts w:eastAsia="Cambria"/>
                <w:b/>
                <w:lang w:val="en-US"/>
              </w:rPr>
            </w:pPr>
            <w:r w:rsidRPr="00565CDB">
              <w:rPr>
                <w:rFonts w:eastAsia="Cambria"/>
                <w:b/>
                <w:lang w:val="en-US"/>
              </w:rPr>
              <w:t xml:space="preserve">AusAID and NZ MFAT should continue to use a common reporting format, which is compatible with the annual cycle for activity planning and budgeting at USP and the triennial cycle of strategic planning and funding from other sources. </w:t>
            </w:r>
          </w:p>
          <w:p w14:paraId="2E898E24" w14:textId="77777777" w:rsidR="0036463D" w:rsidRPr="00565CDB" w:rsidRDefault="0036463D" w:rsidP="00565CDB">
            <w:pPr>
              <w:numPr>
                <w:ilvl w:val="0"/>
                <w:numId w:val="42"/>
              </w:numPr>
              <w:spacing w:after="120"/>
              <w:rPr>
                <w:rFonts w:eastAsia="Cambria"/>
                <w:b/>
                <w:lang w:val="en-US"/>
              </w:rPr>
            </w:pPr>
            <w:r w:rsidRPr="00565CDB">
              <w:rPr>
                <w:rFonts w:eastAsia="Cambria"/>
                <w:b/>
                <w:lang w:val="en-US"/>
              </w:rPr>
              <w:t>Funds supplied and activities supported, whether on a competitive, commercial or incentive/core funding or project basis should be reported according to a common timetable, compatible with USP's own planning and reporting cycle.</w:t>
            </w:r>
          </w:p>
          <w:p w14:paraId="6E1EB85E" w14:textId="77777777" w:rsidR="0036463D" w:rsidRPr="00565CDB" w:rsidRDefault="0036463D" w:rsidP="00565CDB">
            <w:pPr>
              <w:numPr>
                <w:ilvl w:val="0"/>
                <w:numId w:val="42"/>
              </w:numPr>
              <w:spacing w:after="120"/>
              <w:rPr>
                <w:rFonts w:eastAsia="Cambria"/>
                <w:b/>
                <w:lang w:val="en-US"/>
              </w:rPr>
            </w:pPr>
            <w:r w:rsidRPr="00565CDB">
              <w:rPr>
                <w:rFonts w:eastAsia="Cambria"/>
                <w:b/>
                <w:lang w:val="en-US"/>
              </w:rPr>
              <w:t>The flow of funds from competitive, commercial or incentive/core funding should form part of one overarching partnership and reporting agreement.</w:t>
            </w:r>
          </w:p>
          <w:p w14:paraId="22CDB5EA" w14:textId="77777777" w:rsidR="0036463D" w:rsidRPr="00AD73B3" w:rsidRDefault="0036463D" w:rsidP="00565CDB">
            <w:pPr>
              <w:spacing w:after="120"/>
              <w:ind w:left="426"/>
              <w:rPr>
                <w:rFonts w:eastAsia="Cambria"/>
                <w:b/>
                <w:lang w:val="en-US"/>
              </w:rPr>
            </w:pPr>
          </w:p>
        </w:tc>
        <w:tc>
          <w:tcPr>
            <w:tcW w:w="2715" w:type="dxa"/>
            <w:tcBorders>
              <w:right w:val="single" w:sz="4" w:space="0" w:color="auto"/>
            </w:tcBorders>
            <w:shd w:val="clear" w:color="auto" w:fill="auto"/>
          </w:tcPr>
          <w:p w14:paraId="7C695337" w14:textId="77777777" w:rsidR="0036463D" w:rsidRDefault="0036463D" w:rsidP="00C263B2">
            <w:pPr>
              <w:spacing w:after="120"/>
              <w:rPr>
                <w:rFonts w:cs="Arial"/>
              </w:rPr>
            </w:pPr>
            <w:r>
              <w:rPr>
                <w:rFonts w:cs="Arial"/>
              </w:rPr>
              <w:t>Agree all points</w:t>
            </w:r>
          </w:p>
          <w:p w14:paraId="7317CBB6" w14:textId="77777777" w:rsidR="0036463D" w:rsidRDefault="0036463D" w:rsidP="00C7445C">
            <w:pPr>
              <w:numPr>
                <w:ilvl w:val="0"/>
                <w:numId w:val="42"/>
              </w:numPr>
              <w:spacing w:after="120"/>
              <w:rPr>
                <w:rFonts w:eastAsia="Cambria"/>
                <w:lang w:val="en-US"/>
              </w:rPr>
            </w:pPr>
            <w:r w:rsidRPr="00C7445C">
              <w:rPr>
                <w:rFonts w:eastAsia="Cambria"/>
                <w:lang w:val="en-US"/>
              </w:rPr>
              <w:t>Continuing established practice of common reporting aligned with USP processes minimises the accountability burden for USP and the stretching of resources at Post.</w:t>
            </w:r>
          </w:p>
          <w:p w14:paraId="459DCCAF" w14:textId="0B01C338" w:rsidR="0036463D" w:rsidRPr="00C7445C" w:rsidRDefault="0036463D" w:rsidP="00C7445C">
            <w:pPr>
              <w:numPr>
                <w:ilvl w:val="0"/>
                <w:numId w:val="42"/>
              </w:numPr>
              <w:spacing w:after="120"/>
              <w:rPr>
                <w:rFonts w:eastAsia="Cambria"/>
                <w:lang w:val="en-US"/>
              </w:rPr>
            </w:pPr>
            <w:r>
              <w:rPr>
                <w:rFonts w:eastAsia="Cambria"/>
                <w:lang w:val="en-US"/>
              </w:rPr>
              <w:t xml:space="preserve">In the main, reporting for all AusAID funding occurs on the timetable for the HLCs, which are timed for compatibility with USPs planning and reporting cycle. </w:t>
            </w:r>
          </w:p>
          <w:p w14:paraId="48C88F13" w14:textId="5D3BD716" w:rsidR="0036463D" w:rsidRPr="00074DFB" w:rsidRDefault="0036463D" w:rsidP="00DD2B35">
            <w:pPr>
              <w:pStyle w:val="ListParagraph"/>
              <w:numPr>
                <w:ilvl w:val="0"/>
                <w:numId w:val="42"/>
              </w:numPr>
              <w:spacing w:after="120"/>
              <w:rPr>
                <w:rFonts w:cs="Arial"/>
              </w:rPr>
            </w:pPr>
            <w:r>
              <w:rPr>
                <w:rFonts w:cs="Arial"/>
              </w:rPr>
              <w:t xml:space="preserve">For efficiency, it is preferable to AusAID that all funds provided to USP form part of a single Partnership framework. However, due to the nature of the </w:t>
            </w:r>
            <w:r w:rsidR="00DD2B35">
              <w:rPr>
                <w:rFonts w:cs="Arial"/>
              </w:rPr>
              <w:t>PESDA delivery strategy</w:t>
            </w:r>
            <w:r>
              <w:rPr>
                <w:rFonts w:cs="Arial"/>
              </w:rPr>
              <w:t>, consolidation of support to USP may be outside of the scope of the next phase of support, though it is a long</w:t>
            </w:r>
            <w:r w:rsidR="00DD2B35">
              <w:rPr>
                <w:rFonts w:cs="Arial"/>
              </w:rPr>
              <w:t>er</w:t>
            </w:r>
            <w:r>
              <w:rPr>
                <w:rFonts w:cs="Arial"/>
              </w:rPr>
              <w:t xml:space="preserve"> term goal.</w:t>
            </w:r>
          </w:p>
        </w:tc>
        <w:tc>
          <w:tcPr>
            <w:tcW w:w="2644" w:type="dxa"/>
            <w:tcBorders>
              <w:left w:val="single" w:sz="4" w:space="0" w:color="auto"/>
            </w:tcBorders>
            <w:shd w:val="clear" w:color="auto" w:fill="auto"/>
          </w:tcPr>
          <w:p w14:paraId="4EDDE38B" w14:textId="77777777" w:rsidR="0036463D" w:rsidRDefault="0036463D" w:rsidP="00632714">
            <w:pPr>
              <w:spacing w:after="120"/>
              <w:rPr>
                <w:rFonts w:cs="Arial"/>
              </w:rPr>
            </w:pPr>
          </w:p>
          <w:p w14:paraId="678DDBA2" w14:textId="77777777" w:rsidR="0036463D" w:rsidRDefault="0036463D" w:rsidP="00C7445C">
            <w:pPr>
              <w:numPr>
                <w:ilvl w:val="0"/>
                <w:numId w:val="42"/>
              </w:numPr>
              <w:spacing w:after="120"/>
              <w:rPr>
                <w:rFonts w:eastAsia="Cambria"/>
                <w:lang w:val="en-US"/>
              </w:rPr>
            </w:pPr>
            <w:r w:rsidRPr="00C7445C">
              <w:rPr>
                <w:rFonts w:eastAsia="Cambria"/>
                <w:lang w:val="en-US"/>
              </w:rPr>
              <w:t>AusAID will continue the requirement for tripartite HLCs and accept the common reporting format for the term of the current Partnership arrangement (through 2013). Consideration will be given to continuing this practice in development of future support to USP from 2014, in consultation with USP and NZMFAT.</w:t>
            </w:r>
          </w:p>
          <w:p w14:paraId="25307C59" w14:textId="77777777" w:rsidR="0036463D" w:rsidRDefault="0036463D" w:rsidP="0036463D">
            <w:pPr>
              <w:numPr>
                <w:ilvl w:val="0"/>
                <w:numId w:val="42"/>
              </w:numPr>
              <w:spacing w:after="120"/>
              <w:rPr>
                <w:rFonts w:eastAsia="Cambria"/>
                <w:lang w:val="en-US"/>
              </w:rPr>
            </w:pPr>
            <w:r>
              <w:rPr>
                <w:rFonts w:eastAsia="Cambria"/>
                <w:lang w:val="en-US"/>
              </w:rPr>
              <w:t>AusAID will ensure the common reporting timetable is retained in the next phase of the engagement and will seek to ensure additional activities adhere to this schedule as they are agreed.</w:t>
            </w:r>
          </w:p>
          <w:p w14:paraId="5125A72A" w14:textId="258F6AC3" w:rsidR="0036463D" w:rsidRPr="00C7445C" w:rsidRDefault="0036463D" w:rsidP="000147E6">
            <w:pPr>
              <w:numPr>
                <w:ilvl w:val="0"/>
                <w:numId w:val="42"/>
              </w:numPr>
              <w:spacing w:after="120"/>
              <w:rPr>
                <w:rFonts w:eastAsia="Cambria"/>
                <w:lang w:val="en-US"/>
              </w:rPr>
            </w:pPr>
            <w:r>
              <w:rPr>
                <w:rFonts w:eastAsia="Cambria"/>
                <w:lang w:val="en-US"/>
              </w:rPr>
              <w:t xml:space="preserve">Within the </w:t>
            </w:r>
            <w:r w:rsidR="001E01DA">
              <w:rPr>
                <w:rFonts w:eastAsia="Cambria"/>
                <w:lang w:val="en-US"/>
              </w:rPr>
              <w:t xml:space="preserve">anticipated </w:t>
            </w:r>
            <w:r>
              <w:rPr>
                <w:rFonts w:eastAsia="Cambria"/>
                <w:lang w:val="en-US"/>
              </w:rPr>
              <w:t xml:space="preserve">guidelines of the </w:t>
            </w:r>
            <w:r w:rsidR="0056364C">
              <w:rPr>
                <w:rFonts w:eastAsia="Cambria"/>
                <w:lang w:val="en-US"/>
              </w:rPr>
              <w:t>PESDA</w:t>
            </w:r>
            <w:r w:rsidR="000147E6">
              <w:rPr>
                <w:rFonts w:eastAsia="Cambria"/>
                <w:lang w:val="en-US"/>
              </w:rPr>
              <w:t xml:space="preserve"> delivery strategy</w:t>
            </w:r>
            <w:r w:rsidR="0056364C">
              <w:rPr>
                <w:rFonts w:eastAsia="Cambria"/>
                <w:lang w:val="en-US"/>
              </w:rPr>
              <w:t xml:space="preserve"> and the </w:t>
            </w:r>
            <w:r>
              <w:rPr>
                <w:rFonts w:eastAsia="Cambria"/>
                <w:lang w:val="en-US"/>
              </w:rPr>
              <w:t>delivery strategy for regional</w:t>
            </w:r>
            <w:r w:rsidR="001E01DA">
              <w:rPr>
                <w:rFonts w:eastAsia="Cambria"/>
                <w:lang w:val="en-US"/>
              </w:rPr>
              <w:t xml:space="preserve"> organisations, the flow of funds in the next phase of support to USP will come under a consolidated Partnership framework.</w:t>
            </w:r>
          </w:p>
        </w:tc>
        <w:tc>
          <w:tcPr>
            <w:tcW w:w="1857" w:type="dxa"/>
            <w:tcBorders>
              <w:left w:val="single" w:sz="4" w:space="0" w:color="auto"/>
            </w:tcBorders>
            <w:shd w:val="clear" w:color="auto" w:fill="auto"/>
          </w:tcPr>
          <w:p w14:paraId="33D65263" w14:textId="77777777" w:rsidR="0036463D" w:rsidRDefault="0036463D" w:rsidP="0036463D">
            <w:pPr>
              <w:numPr>
                <w:ilvl w:val="0"/>
                <w:numId w:val="42"/>
              </w:numPr>
              <w:spacing w:after="120"/>
              <w:rPr>
                <w:rFonts w:eastAsia="Cambria"/>
                <w:lang w:val="en-US"/>
              </w:rPr>
            </w:pPr>
            <w:r w:rsidRPr="0036463D">
              <w:rPr>
                <w:rFonts w:eastAsia="Cambria"/>
                <w:lang w:val="en-US"/>
              </w:rPr>
              <w:t>Regional Education Team (Suva), in consultation with USP and NZMFAT</w:t>
            </w:r>
          </w:p>
          <w:p w14:paraId="76690B0E" w14:textId="77777777" w:rsidR="0036463D" w:rsidRDefault="0036463D" w:rsidP="0036463D">
            <w:pPr>
              <w:numPr>
                <w:ilvl w:val="0"/>
                <w:numId w:val="42"/>
              </w:numPr>
              <w:spacing w:after="120"/>
              <w:rPr>
                <w:rFonts w:eastAsia="Cambria"/>
                <w:lang w:val="en-US"/>
              </w:rPr>
            </w:pPr>
            <w:r>
              <w:rPr>
                <w:rFonts w:eastAsia="Cambria"/>
                <w:lang w:val="en-US"/>
              </w:rPr>
              <w:t>Regional Education Officer</w:t>
            </w:r>
          </w:p>
          <w:p w14:paraId="2C8AD93D" w14:textId="61470F8F" w:rsidR="001E01DA" w:rsidRPr="001E01DA" w:rsidRDefault="001E01DA" w:rsidP="001E01DA">
            <w:pPr>
              <w:numPr>
                <w:ilvl w:val="0"/>
                <w:numId w:val="42"/>
              </w:numPr>
              <w:spacing w:after="120"/>
              <w:rPr>
                <w:rFonts w:eastAsia="Cambria"/>
                <w:lang w:val="en-US"/>
              </w:rPr>
            </w:pPr>
            <w:r>
              <w:rPr>
                <w:rFonts w:eastAsia="Cambria"/>
                <w:lang w:val="en-US"/>
              </w:rPr>
              <w:t>Regional Education Officer</w:t>
            </w:r>
          </w:p>
        </w:tc>
      </w:tr>
      <w:tr w:rsidR="0036463D" w:rsidRPr="00F43CEC" w14:paraId="7F563D87" w14:textId="77777777" w:rsidTr="00074DFB">
        <w:trPr>
          <w:cantSplit/>
          <w:trHeight w:val="885"/>
        </w:trPr>
        <w:tc>
          <w:tcPr>
            <w:tcW w:w="2638" w:type="dxa"/>
            <w:shd w:val="clear" w:color="auto" w:fill="auto"/>
          </w:tcPr>
          <w:p w14:paraId="17A9DC2B" w14:textId="3560BCAB" w:rsidR="0036463D" w:rsidRPr="00AD73B3" w:rsidRDefault="0036463D" w:rsidP="00783EFE">
            <w:pPr>
              <w:numPr>
                <w:ilvl w:val="0"/>
                <w:numId w:val="38"/>
              </w:numPr>
              <w:spacing w:after="120"/>
              <w:ind w:left="426" w:hanging="426"/>
              <w:rPr>
                <w:rFonts w:eastAsia="Cambria"/>
                <w:b/>
                <w:lang w:val="en-US"/>
              </w:rPr>
            </w:pPr>
            <w:r w:rsidRPr="00AD73B3">
              <w:rPr>
                <w:rFonts w:eastAsia="Cambria"/>
                <w:b/>
                <w:lang w:val="en-US"/>
              </w:rPr>
              <w:t xml:space="preserve">Incentive funding in the new USP/donor partnerships and some project funding in the next period should be </w:t>
            </w:r>
            <w:r>
              <w:rPr>
                <w:rFonts w:eastAsia="Cambria"/>
                <w:b/>
                <w:lang w:val="en-US"/>
              </w:rPr>
              <w:t>target</w:t>
            </w:r>
            <w:r w:rsidRPr="00AD73B3">
              <w:rPr>
                <w:rFonts w:eastAsia="Cambria"/>
                <w:b/>
                <w:lang w:val="en-US"/>
              </w:rPr>
              <w:t>ed on the development of USP’s human resources strategy for improving human capacity</w:t>
            </w:r>
            <w:r w:rsidRPr="00AD73B3">
              <w:rPr>
                <w:rFonts w:eastAsia="Cambria"/>
                <w:lang w:val="en-US"/>
              </w:rPr>
              <w:t xml:space="preserve"> </w:t>
            </w:r>
            <w:r w:rsidRPr="00AD73B3">
              <w:rPr>
                <w:rFonts w:eastAsia="Cambria"/>
                <w:b/>
                <w:lang w:val="en-US"/>
              </w:rPr>
              <w:t>(particularly managers and key academics) and on improving its HRM function, policies and processes.</w:t>
            </w:r>
          </w:p>
        </w:tc>
        <w:tc>
          <w:tcPr>
            <w:tcW w:w="2715" w:type="dxa"/>
            <w:tcBorders>
              <w:right w:val="single" w:sz="4" w:space="0" w:color="auto"/>
            </w:tcBorders>
            <w:shd w:val="clear" w:color="auto" w:fill="auto"/>
          </w:tcPr>
          <w:p w14:paraId="72EEF49C" w14:textId="77777777" w:rsidR="0036463D" w:rsidRDefault="0036463D" w:rsidP="00C263B2">
            <w:pPr>
              <w:spacing w:after="120"/>
              <w:rPr>
                <w:rFonts w:cs="Arial"/>
              </w:rPr>
            </w:pPr>
            <w:r>
              <w:rPr>
                <w:rFonts w:cs="Arial"/>
              </w:rPr>
              <w:t>Partially agree</w:t>
            </w:r>
          </w:p>
          <w:p w14:paraId="6A700CD3" w14:textId="6E59DF7D" w:rsidR="0036463D" w:rsidRPr="00F43CEC" w:rsidRDefault="0036463D" w:rsidP="00F34AFB">
            <w:pPr>
              <w:spacing w:after="120"/>
              <w:rPr>
                <w:rFonts w:cs="Arial"/>
              </w:rPr>
            </w:pPr>
            <w:r>
              <w:rPr>
                <w:rFonts w:cs="Arial"/>
              </w:rPr>
              <w:t xml:space="preserve">As a key risk to USP achieving its strategic objectives, HR is an area that AusAID will explore for focussed support under the next phase of engagement with </w:t>
            </w:r>
            <w:r w:rsidR="00663F2B">
              <w:rPr>
                <w:rFonts w:cs="Arial"/>
              </w:rPr>
              <w:t>USP;</w:t>
            </w:r>
            <w:r>
              <w:rPr>
                <w:rFonts w:cs="Arial"/>
              </w:rPr>
              <w:t xml:space="preserve"> however we may choose to provide this through mechanisms other than incentive or project funding.</w:t>
            </w:r>
          </w:p>
        </w:tc>
        <w:tc>
          <w:tcPr>
            <w:tcW w:w="2644" w:type="dxa"/>
            <w:tcBorders>
              <w:left w:val="single" w:sz="4" w:space="0" w:color="auto"/>
            </w:tcBorders>
            <w:shd w:val="clear" w:color="auto" w:fill="auto"/>
          </w:tcPr>
          <w:p w14:paraId="5DAAEC92" w14:textId="77777777" w:rsidR="0036463D" w:rsidRDefault="0036463D" w:rsidP="00F34AFB">
            <w:pPr>
              <w:spacing w:after="120"/>
              <w:rPr>
                <w:rFonts w:cs="Arial"/>
              </w:rPr>
            </w:pPr>
            <w:r>
              <w:rPr>
                <w:rFonts w:cs="Arial"/>
              </w:rPr>
              <w:t xml:space="preserve">AusAID will explore with USP the best approach to provide support for development of Human Resources Management in line with USP’s established HR strategy and plan. </w:t>
            </w:r>
          </w:p>
          <w:p w14:paraId="67A8E520" w14:textId="09FF83C0" w:rsidR="00E82A2C" w:rsidRPr="00F43CEC" w:rsidRDefault="00E82A2C" w:rsidP="0056364C">
            <w:pPr>
              <w:spacing w:after="120"/>
              <w:rPr>
                <w:rFonts w:cs="Arial"/>
              </w:rPr>
            </w:pPr>
            <w:r>
              <w:rPr>
                <w:rFonts w:cs="Arial"/>
              </w:rPr>
              <w:t>PLP will provide management support to USP initially through mentoring and through engagement of a consulting firm to work on capacity and change management to support successful implementation of the strategic plan</w:t>
            </w:r>
          </w:p>
        </w:tc>
        <w:tc>
          <w:tcPr>
            <w:tcW w:w="1857" w:type="dxa"/>
            <w:tcBorders>
              <w:left w:val="single" w:sz="4" w:space="0" w:color="auto"/>
            </w:tcBorders>
            <w:shd w:val="clear" w:color="auto" w:fill="auto"/>
          </w:tcPr>
          <w:p w14:paraId="6FC8B109" w14:textId="77777777" w:rsidR="0036463D" w:rsidRDefault="0036463D" w:rsidP="00632714">
            <w:pPr>
              <w:spacing w:after="120"/>
              <w:rPr>
                <w:rFonts w:cs="Arial"/>
              </w:rPr>
            </w:pPr>
            <w:r>
              <w:rPr>
                <w:rFonts w:cs="Arial"/>
              </w:rPr>
              <w:t>Regional Education Team (Suva), in consultation with USP</w:t>
            </w:r>
          </w:p>
          <w:p w14:paraId="556ADABC" w14:textId="013C8FA0" w:rsidR="00E82A2C" w:rsidRPr="00F43CEC" w:rsidRDefault="00E82A2C" w:rsidP="00632714">
            <w:pPr>
              <w:spacing w:after="120"/>
              <w:rPr>
                <w:rFonts w:cs="Arial"/>
              </w:rPr>
            </w:pPr>
            <w:r>
              <w:rPr>
                <w:rFonts w:cs="Arial"/>
              </w:rPr>
              <w:t>Pacific Leadership Program</w:t>
            </w:r>
          </w:p>
        </w:tc>
      </w:tr>
      <w:tr w:rsidR="0036463D" w:rsidRPr="00F43CEC" w14:paraId="7584CBBB" w14:textId="77777777" w:rsidTr="00074DFB">
        <w:trPr>
          <w:cantSplit/>
          <w:trHeight w:val="885"/>
        </w:trPr>
        <w:tc>
          <w:tcPr>
            <w:tcW w:w="2638" w:type="dxa"/>
            <w:shd w:val="clear" w:color="auto" w:fill="auto"/>
          </w:tcPr>
          <w:p w14:paraId="7F8D1313" w14:textId="542AE94D" w:rsidR="0036463D" w:rsidRPr="00AD73B3" w:rsidRDefault="0036463D" w:rsidP="00565CDB">
            <w:pPr>
              <w:numPr>
                <w:ilvl w:val="0"/>
                <w:numId w:val="38"/>
              </w:numPr>
              <w:spacing w:after="120"/>
              <w:rPr>
                <w:rFonts w:eastAsia="Cambria"/>
                <w:b/>
                <w:lang w:val="en-US"/>
              </w:rPr>
            </w:pPr>
            <w:r w:rsidRPr="00565CDB">
              <w:rPr>
                <w:rFonts w:eastAsia="Cambria"/>
                <w:b/>
                <w:lang w:val="en-US"/>
              </w:rPr>
              <w:t>Incentive funding should target student support in the areas of English language and ICT skills development and support at all regional campuses.</w:t>
            </w:r>
          </w:p>
        </w:tc>
        <w:tc>
          <w:tcPr>
            <w:tcW w:w="2715" w:type="dxa"/>
            <w:tcBorders>
              <w:right w:val="single" w:sz="4" w:space="0" w:color="auto"/>
            </w:tcBorders>
            <w:shd w:val="clear" w:color="auto" w:fill="auto"/>
          </w:tcPr>
          <w:p w14:paraId="3F742E0B" w14:textId="2A6E061D" w:rsidR="0036463D" w:rsidRPr="00457777" w:rsidRDefault="00457777" w:rsidP="00C263B2">
            <w:pPr>
              <w:spacing w:after="120"/>
              <w:rPr>
                <w:rFonts w:cs="Arial"/>
              </w:rPr>
            </w:pPr>
            <w:r>
              <w:rPr>
                <w:rFonts w:cs="Arial"/>
              </w:rPr>
              <w:t>Partially a</w:t>
            </w:r>
            <w:r w:rsidRPr="00457777">
              <w:rPr>
                <w:rFonts w:cs="Arial"/>
              </w:rPr>
              <w:t>gree</w:t>
            </w:r>
          </w:p>
          <w:p w14:paraId="643EE19A" w14:textId="7E5E452B" w:rsidR="00D62D58" w:rsidRPr="00457777" w:rsidRDefault="00D62D58" w:rsidP="00C263B2">
            <w:pPr>
              <w:spacing w:after="120"/>
              <w:rPr>
                <w:rFonts w:cs="Arial"/>
              </w:rPr>
            </w:pPr>
            <w:r w:rsidRPr="00457777">
              <w:rPr>
                <w:rFonts w:cs="Arial"/>
              </w:rPr>
              <w:t xml:space="preserve">USP has identified English language and ICT skills as </w:t>
            </w:r>
            <w:r w:rsidR="00962C02" w:rsidRPr="00457777">
              <w:rPr>
                <w:rFonts w:cs="Arial"/>
              </w:rPr>
              <w:t xml:space="preserve">graduate attributes that should be supported in all campuses. They have instituted </w:t>
            </w:r>
            <w:r w:rsidR="00EA25E3" w:rsidRPr="00457777">
              <w:rPr>
                <w:rFonts w:cs="Arial"/>
              </w:rPr>
              <w:t xml:space="preserve">compulsory university courses in each of these areas to ensure all undergraduate students acquire these competencies. </w:t>
            </w:r>
            <w:r w:rsidR="00962C02" w:rsidRPr="00457777">
              <w:rPr>
                <w:rFonts w:cs="Arial"/>
              </w:rPr>
              <w:t>Mastery of skills in these areas is vital to the employability of USP graduates</w:t>
            </w:r>
            <w:r w:rsidR="00457777">
              <w:rPr>
                <w:rFonts w:cs="Arial"/>
              </w:rPr>
              <w:t xml:space="preserve">, but AusAID will support acquisition of these skills at the foundation level through the </w:t>
            </w:r>
            <w:r w:rsidR="000147E6">
              <w:rPr>
                <w:rFonts w:cs="Arial"/>
              </w:rPr>
              <w:t>PESDA delivery strategy.</w:t>
            </w:r>
          </w:p>
          <w:p w14:paraId="6221AD85" w14:textId="2DD8764B" w:rsidR="00D62D58" w:rsidRPr="00457777" w:rsidRDefault="00D62D58" w:rsidP="00C263B2">
            <w:pPr>
              <w:spacing w:after="120"/>
              <w:rPr>
                <w:rFonts w:cs="Arial"/>
              </w:rPr>
            </w:pPr>
          </w:p>
        </w:tc>
        <w:tc>
          <w:tcPr>
            <w:tcW w:w="2644" w:type="dxa"/>
            <w:tcBorders>
              <w:left w:val="single" w:sz="4" w:space="0" w:color="auto"/>
            </w:tcBorders>
            <w:shd w:val="clear" w:color="auto" w:fill="auto"/>
          </w:tcPr>
          <w:p w14:paraId="410ABDA1" w14:textId="0CAD2A35" w:rsidR="0036463D" w:rsidRPr="00457777" w:rsidRDefault="00962C02" w:rsidP="00457777">
            <w:pPr>
              <w:spacing w:after="120"/>
              <w:rPr>
                <w:rFonts w:cs="Arial"/>
              </w:rPr>
            </w:pPr>
            <w:r w:rsidRPr="00457777">
              <w:rPr>
                <w:rFonts w:cs="Arial"/>
              </w:rPr>
              <w:t xml:space="preserve">AusAID will </w:t>
            </w:r>
            <w:r w:rsidR="00457777">
              <w:rPr>
                <w:rFonts w:cs="Arial"/>
              </w:rPr>
              <w:t>support students in the areas of English language and ICT skills development at foundation level to ensure they enter USP with these basic skills.</w:t>
            </w:r>
          </w:p>
        </w:tc>
        <w:tc>
          <w:tcPr>
            <w:tcW w:w="1857" w:type="dxa"/>
            <w:tcBorders>
              <w:left w:val="single" w:sz="4" w:space="0" w:color="auto"/>
            </w:tcBorders>
            <w:shd w:val="clear" w:color="auto" w:fill="auto"/>
          </w:tcPr>
          <w:p w14:paraId="54199C0F" w14:textId="755CA7D0" w:rsidR="0036463D" w:rsidRPr="00F43CEC" w:rsidRDefault="00962C02" w:rsidP="00632714">
            <w:pPr>
              <w:spacing w:after="120"/>
              <w:rPr>
                <w:rFonts w:cs="Arial"/>
              </w:rPr>
            </w:pPr>
            <w:r>
              <w:rPr>
                <w:rFonts w:eastAsia="Cambria"/>
                <w:lang w:val="en-US"/>
              </w:rPr>
              <w:t>Regional Education Officer</w:t>
            </w:r>
            <w:r w:rsidR="00EA25E3">
              <w:rPr>
                <w:rFonts w:eastAsia="Cambria"/>
                <w:lang w:val="en-US"/>
              </w:rPr>
              <w:t>, in consultation with USP</w:t>
            </w:r>
          </w:p>
        </w:tc>
      </w:tr>
      <w:tr w:rsidR="00A00336" w:rsidRPr="00F43CEC" w14:paraId="6241E4C3" w14:textId="77777777" w:rsidTr="00074DFB">
        <w:trPr>
          <w:cantSplit/>
          <w:trHeight w:val="885"/>
        </w:trPr>
        <w:tc>
          <w:tcPr>
            <w:tcW w:w="2638" w:type="dxa"/>
            <w:shd w:val="clear" w:color="auto" w:fill="auto"/>
          </w:tcPr>
          <w:p w14:paraId="0288AE70" w14:textId="33EBCD8D" w:rsidR="00A00336" w:rsidRPr="00AD73B3" w:rsidRDefault="00A00336" w:rsidP="00783EFE">
            <w:pPr>
              <w:numPr>
                <w:ilvl w:val="0"/>
                <w:numId w:val="38"/>
              </w:numPr>
              <w:spacing w:after="120"/>
              <w:ind w:left="426" w:hanging="426"/>
              <w:rPr>
                <w:rFonts w:eastAsia="Cambria"/>
                <w:b/>
                <w:lang w:val="en-US"/>
              </w:rPr>
            </w:pPr>
            <w:r w:rsidRPr="00AD73B3">
              <w:rPr>
                <w:rFonts w:eastAsia="Cambria"/>
                <w:b/>
                <w:lang w:val="en-US"/>
              </w:rPr>
              <w:t>Incentive funding should focus on student support services at the local campuses and promoting teaching methodologies and student services that meet the needs of student</w:t>
            </w:r>
            <w:r>
              <w:rPr>
                <w:rFonts w:eastAsia="Cambria"/>
                <w:b/>
                <w:lang w:val="en-US"/>
              </w:rPr>
              <w:t>s</w:t>
            </w:r>
            <w:r w:rsidRPr="00AD73B3">
              <w:rPr>
                <w:rFonts w:eastAsia="Cambria"/>
                <w:b/>
                <w:lang w:val="en-US"/>
              </w:rPr>
              <w:t xml:space="preserve"> with </w:t>
            </w:r>
            <w:r>
              <w:rPr>
                <w:rFonts w:eastAsia="Cambria"/>
                <w:b/>
                <w:lang w:val="en-US"/>
              </w:rPr>
              <w:t>mental health issues, intellectual</w:t>
            </w:r>
            <w:r w:rsidRPr="00AD73B3">
              <w:rPr>
                <w:rFonts w:eastAsia="Cambria"/>
                <w:b/>
                <w:lang w:val="en-US"/>
              </w:rPr>
              <w:t xml:space="preserve"> learning problems and disadvantages.</w:t>
            </w:r>
          </w:p>
        </w:tc>
        <w:tc>
          <w:tcPr>
            <w:tcW w:w="2715" w:type="dxa"/>
            <w:tcBorders>
              <w:right w:val="single" w:sz="4" w:space="0" w:color="auto"/>
            </w:tcBorders>
            <w:shd w:val="clear" w:color="auto" w:fill="auto"/>
          </w:tcPr>
          <w:p w14:paraId="77BC8F64" w14:textId="645A901D" w:rsidR="00A00336" w:rsidRDefault="00A00336" w:rsidP="00C263B2">
            <w:pPr>
              <w:spacing w:after="120"/>
              <w:rPr>
                <w:rFonts w:cs="Arial"/>
              </w:rPr>
            </w:pPr>
            <w:r>
              <w:rPr>
                <w:rFonts w:cs="Arial"/>
              </w:rPr>
              <w:t>Partially Agree</w:t>
            </w:r>
          </w:p>
          <w:p w14:paraId="436D68D7" w14:textId="6C82EF87" w:rsidR="00A00336" w:rsidRDefault="00A00336" w:rsidP="00C263B2">
            <w:pPr>
              <w:spacing w:after="120"/>
              <w:rPr>
                <w:rFonts w:cs="Arial"/>
              </w:rPr>
            </w:pPr>
            <w:r>
              <w:rPr>
                <w:rFonts w:cs="Arial"/>
              </w:rPr>
              <w:t xml:space="preserve">We support USP equitably providing student support services for all campuses and providing services for students with special needs based on individual requirements for assistance. However, as few </w:t>
            </w:r>
            <w:r w:rsidR="00663F2B">
              <w:rPr>
                <w:rFonts w:cs="Arial"/>
              </w:rPr>
              <w:t xml:space="preserve">university level </w:t>
            </w:r>
            <w:r>
              <w:rPr>
                <w:rFonts w:cs="Arial"/>
              </w:rPr>
              <w:t xml:space="preserve">students </w:t>
            </w:r>
            <w:r w:rsidR="00663F2B">
              <w:rPr>
                <w:rFonts w:cs="Arial"/>
              </w:rPr>
              <w:t xml:space="preserve">from the Pacific </w:t>
            </w:r>
            <w:r>
              <w:rPr>
                <w:rFonts w:cs="Arial"/>
              </w:rPr>
              <w:t>present with specific issues</w:t>
            </w:r>
            <w:r w:rsidR="00663F2B">
              <w:rPr>
                <w:rFonts w:cs="Arial"/>
              </w:rPr>
              <w:t xml:space="preserve"> of mental health and intellectual learning problems</w:t>
            </w:r>
            <w:r>
              <w:rPr>
                <w:rFonts w:cs="Arial"/>
              </w:rPr>
              <w:t>, the</w:t>
            </w:r>
            <w:r w:rsidR="00663F2B">
              <w:rPr>
                <w:rFonts w:cs="Arial"/>
              </w:rPr>
              <w:t>se issues</w:t>
            </w:r>
            <w:r>
              <w:rPr>
                <w:rFonts w:cs="Arial"/>
              </w:rPr>
              <w:t xml:space="preserve"> will not be targeted for incentive funding. </w:t>
            </w:r>
          </w:p>
          <w:p w14:paraId="5098A892" w14:textId="67AA40E1" w:rsidR="00A00336" w:rsidRPr="00F43CEC" w:rsidRDefault="00A00336" w:rsidP="00C263B2">
            <w:pPr>
              <w:spacing w:after="120"/>
              <w:rPr>
                <w:rFonts w:cs="Arial"/>
              </w:rPr>
            </w:pPr>
          </w:p>
        </w:tc>
        <w:tc>
          <w:tcPr>
            <w:tcW w:w="2644" w:type="dxa"/>
            <w:tcBorders>
              <w:left w:val="single" w:sz="4" w:space="0" w:color="auto"/>
            </w:tcBorders>
            <w:shd w:val="clear" w:color="auto" w:fill="auto"/>
          </w:tcPr>
          <w:p w14:paraId="0B87D77D" w14:textId="7E9830B3" w:rsidR="00A00336" w:rsidRPr="00F43CEC" w:rsidRDefault="00A00336" w:rsidP="00A00336">
            <w:pPr>
              <w:spacing w:after="120"/>
              <w:rPr>
                <w:rFonts w:cs="Arial"/>
              </w:rPr>
            </w:pPr>
            <w:r>
              <w:rPr>
                <w:rFonts w:cs="Arial"/>
              </w:rPr>
              <w:t>AusAID will explore with USP the potential for incentive targets for student support services for regional campuses, noting that the number of incentive targets for each year will be limited to avoid unrealistic expectations of USP.</w:t>
            </w:r>
          </w:p>
        </w:tc>
        <w:tc>
          <w:tcPr>
            <w:tcW w:w="1857" w:type="dxa"/>
            <w:tcBorders>
              <w:left w:val="single" w:sz="4" w:space="0" w:color="auto"/>
            </w:tcBorders>
            <w:shd w:val="clear" w:color="auto" w:fill="auto"/>
          </w:tcPr>
          <w:p w14:paraId="756296D8" w14:textId="6A943057" w:rsidR="00A00336" w:rsidRPr="00F43CEC" w:rsidRDefault="00A00336" w:rsidP="00632714">
            <w:pPr>
              <w:spacing w:after="120"/>
              <w:rPr>
                <w:rFonts w:cs="Arial"/>
              </w:rPr>
            </w:pPr>
            <w:r>
              <w:rPr>
                <w:rFonts w:eastAsia="Cambria"/>
                <w:lang w:val="en-US"/>
              </w:rPr>
              <w:t>Regional Education Officer, in consultation with USP</w:t>
            </w:r>
          </w:p>
        </w:tc>
      </w:tr>
      <w:tr w:rsidR="00A00336" w:rsidRPr="00F43CEC" w14:paraId="6D10A180" w14:textId="77777777" w:rsidTr="00074DFB">
        <w:trPr>
          <w:cantSplit/>
          <w:trHeight w:val="885"/>
        </w:trPr>
        <w:tc>
          <w:tcPr>
            <w:tcW w:w="2638" w:type="dxa"/>
            <w:shd w:val="clear" w:color="auto" w:fill="auto"/>
          </w:tcPr>
          <w:p w14:paraId="14F1F644" w14:textId="216F31E7" w:rsidR="00A00336" w:rsidRPr="00AD73B3" w:rsidRDefault="00A00336" w:rsidP="00783EFE">
            <w:pPr>
              <w:numPr>
                <w:ilvl w:val="0"/>
                <w:numId w:val="38"/>
              </w:numPr>
              <w:spacing w:after="120"/>
              <w:ind w:left="426" w:hanging="426"/>
              <w:rPr>
                <w:rFonts w:eastAsia="Cambria"/>
                <w:b/>
                <w:lang w:val="en-US"/>
              </w:rPr>
            </w:pPr>
            <w:r w:rsidRPr="00AD73B3">
              <w:rPr>
                <w:rFonts w:eastAsia="Cambria"/>
                <w:b/>
                <w:lang w:val="en-US"/>
              </w:rPr>
              <w:t>These services should be available to more students, including</w:t>
            </w:r>
            <w:r w:rsidRPr="00AD73B3">
              <w:rPr>
                <w:rFonts w:ascii="Cambria" w:eastAsia="Cambria" w:hAnsi="Cambria"/>
                <w:b/>
                <w:lang w:val="en-US"/>
              </w:rPr>
              <w:t xml:space="preserve"> </w:t>
            </w:r>
            <w:r w:rsidRPr="00AD73B3">
              <w:rPr>
                <w:rFonts w:eastAsia="Cambria"/>
                <w:b/>
                <w:lang w:val="en-US"/>
              </w:rPr>
              <w:t>postgraduate students, so they may then go on to successful further study.</w:t>
            </w:r>
          </w:p>
        </w:tc>
        <w:tc>
          <w:tcPr>
            <w:tcW w:w="2715" w:type="dxa"/>
            <w:tcBorders>
              <w:right w:val="single" w:sz="4" w:space="0" w:color="auto"/>
            </w:tcBorders>
            <w:shd w:val="clear" w:color="auto" w:fill="auto"/>
          </w:tcPr>
          <w:p w14:paraId="0C55329C" w14:textId="16AFBD59" w:rsidR="00A00336" w:rsidRDefault="00A00336" w:rsidP="00C263B2">
            <w:pPr>
              <w:spacing w:after="120"/>
              <w:rPr>
                <w:rFonts w:cs="Arial"/>
              </w:rPr>
            </w:pPr>
            <w:r>
              <w:rPr>
                <w:rFonts w:cs="Arial"/>
              </w:rPr>
              <w:t>Agree</w:t>
            </w:r>
          </w:p>
          <w:p w14:paraId="218157FC" w14:textId="762BF777" w:rsidR="00A00336" w:rsidRPr="00F43CEC" w:rsidRDefault="00337381" w:rsidP="00337381">
            <w:pPr>
              <w:spacing w:after="120"/>
              <w:rPr>
                <w:rFonts w:cs="Arial"/>
              </w:rPr>
            </w:pPr>
            <w:r>
              <w:rPr>
                <w:rFonts w:cs="Arial"/>
              </w:rPr>
              <w:t>Student support services should be available to all, including postgraduate students</w:t>
            </w:r>
            <w:r w:rsidR="00663F2B">
              <w:rPr>
                <w:rFonts w:cs="Arial"/>
              </w:rPr>
              <w:t>,</w:t>
            </w:r>
            <w:r>
              <w:rPr>
                <w:rFonts w:cs="Arial"/>
              </w:rPr>
              <w:t xml:space="preserve"> to support their success at USP</w:t>
            </w:r>
          </w:p>
        </w:tc>
        <w:tc>
          <w:tcPr>
            <w:tcW w:w="2644" w:type="dxa"/>
            <w:tcBorders>
              <w:left w:val="single" w:sz="4" w:space="0" w:color="auto"/>
            </w:tcBorders>
            <w:shd w:val="clear" w:color="auto" w:fill="auto"/>
          </w:tcPr>
          <w:p w14:paraId="7A192ABF" w14:textId="45C1C6F3" w:rsidR="00A00336" w:rsidRPr="00F43CEC" w:rsidRDefault="00337381" w:rsidP="00663F2B">
            <w:pPr>
              <w:spacing w:after="120"/>
              <w:rPr>
                <w:rFonts w:cs="Arial"/>
              </w:rPr>
            </w:pPr>
            <w:r>
              <w:rPr>
                <w:rFonts w:cs="Arial"/>
              </w:rPr>
              <w:t xml:space="preserve">In discussing the possibility of an incentive target </w:t>
            </w:r>
            <w:r w:rsidR="00663F2B">
              <w:rPr>
                <w:rFonts w:cs="Arial"/>
              </w:rPr>
              <w:t xml:space="preserve">for equitable provision of </w:t>
            </w:r>
            <w:r>
              <w:rPr>
                <w:rFonts w:cs="Arial"/>
              </w:rPr>
              <w:t>student services, the scope of these services will be addressed.</w:t>
            </w:r>
          </w:p>
        </w:tc>
        <w:tc>
          <w:tcPr>
            <w:tcW w:w="1857" w:type="dxa"/>
            <w:tcBorders>
              <w:left w:val="single" w:sz="4" w:space="0" w:color="auto"/>
            </w:tcBorders>
            <w:shd w:val="clear" w:color="auto" w:fill="auto"/>
          </w:tcPr>
          <w:p w14:paraId="3289D72D" w14:textId="37C9D8F7" w:rsidR="00A00336" w:rsidRPr="00F43CEC" w:rsidRDefault="00337381" w:rsidP="00632714">
            <w:pPr>
              <w:spacing w:after="120"/>
              <w:rPr>
                <w:rFonts w:cs="Arial"/>
              </w:rPr>
            </w:pPr>
            <w:r>
              <w:rPr>
                <w:rFonts w:eastAsia="Cambria"/>
                <w:lang w:val="en-US"/>
              </w:rPr>
              <w:t>Regional Education Officer, in consultation with USP</w:t>
            </w:r>
          </w:p>
        </w:tc>
      </w:tr>
      <w:tr w:rsidR="00A00336" w:rsidRPr="00F43CEC" w14:paraId="5C5C0AED" w14:textId="77777777" w:rsidTr="00074DFB">
        <w:trPr>
          <w:cantSplit/>
          <w:trHeight w:val="885"/>
        </w:trPr>
        <w:tc>
          <w:tcPr>
            <w:tcW w:w="2638" w:type="dxa"/>
            <w:shd w:val="clear" w:color="auto" w:fill="auto"/>
          </w:tcPr>
          <w:p w14:paraId="3210A8A2" w14:textId="3B834B56" w:rsidR="00A00336" w:rsidRPr="00AD73B3" w:rsidRDefault="00A00336" w:rsidP="00783EFE">
            <w:pPr>
              <w:numPr>
                <w:ilvl w:val="0"/>
                <w:numId w:val="38"/>
              </w:numPr>
              <w:spacing w:after="120"/>
              <w:ind w:left="426" w:hanging="426"/>
              <w:rPr>
                <w:rFonts w:eastAsia="Cambria"/>
                <w:b/>
                <w:lang w:val="en-US"/>
              </w:rPr>
            </w:pPr>
            <w:r w:rsidRPr="00AD73B3">
              <w:rPr>
                <w:rFonts w:eastAsia="Cambria"/>
                <w:b/>
                <w:lang w:val="en-US"/>
              </w:rPr>
              <w:t xml:space="preserve">Study at USP at various levels up to </w:t>
            </w:r>
            <w:r>
              <w:rPr>
                <w:rFonts w:eastAsia="Cambria"/>
                <w:b/>
                <w:lang w:val="en-US"/>
              </w:rPr>
              <w:t>p</w:t>
            </w:r>
            <w:r w:rsidRPr="00AD73B3">
              <w:rPr>
                <w:rFonts w:eastAsia="Cambria"/>
                <w:b/>
                <w:lang w:val="en-US"/>
              </w:rPr>
              <w:t>ost</w:t>
            </w:r>
            <w:r>
              <w:rPr>
                <w:rFonts w:eastAsia="Cambria"/>
                <w:b/>
                <w:lang w:val="en-US"/>
              </w:rPr>
              <w:t>g</w:t>
            </w:r>
            <w:r w:rsidRPr="00AD73B3">
              <w:rPr>
                <w:rFonts w:eastAsia="Cambria"/>
                <w:b/>
                <w:lang w:val="en-US"/>
              </w:rPr>
              <w:t>raduate level should be part of the scholarship offerings by AusAID and NZ MFAT in the next funding period.</w:t>
            </w:r>
          </w:p>
        </w:tc>
        <w:tc>
          <w:tcPr>
            <w:tcW w:w="2715" w:type="dxa"/>
            <w:tcBorders>
              <w:right w:val="single" w:sz="4" w:space="0" w:color="auto"/>
            </w:tcBorders>
            <w:shd w:val="clear" w:color="auto" w:fill="auto"/>
          </w:tcPr>
          <w:p w14:paraId="4B65BEBB" w14:textId="77777777" w:rsidR="00A00336" w:rsidRDefault="00A00336" w:rsidP="00C263B2">
            <w:pPr>
              <w:spacing w:after="120"/>
              <w:rPr>
                <w:rFonts w:cs="Arial"/>
              </w:rPr>
            </w:pPr>
            <w:r>
              <w:rPr>
                <w:rFonts w:cs="Arial"/>
              </w:rPr>
              <w:t>Agree</w:t>
            </w:r>
          </w:p>
          <w:p w14:paraId="44220F84" w14:textId="28F1F5C0" w:rsidR="00A00336" w:rsidRPr="00F43CEC" w:rsidRDefault="00A00336" w:rsidP="004D63FF">
            <w:pPr>
              <w:spacing w:after="120"/>
              <w:rPr>
                <w:rFonts w:cs="Arial"/>
              </w:rPr>
            </w:pPr>
            <w:r>
              <w:rPr>
                <w:rFonts w:cs="Arial"/>
              </w:rPr>
              <w:t xml:space="preserve">The Australia Awards Pacific Scholarships currently cover study at various levels up to postgraduate for study in the region (including at USP). </w:t>
            </w:r>
          </w:p>
        </w:tc>
        <w:tc>
          <w:tcPr>
            <w:tcW w:w="2644" w:type="dxa"/>
            <w:tcBorders>
              <w:left w:val="single" w:sz="4" w:space="0" w:color="auto"/>
            </w:tcBorders>
            <w:shd w:val="clear" w:color="auto" w:fill="auto"/>
          </w:tcPr>
          <w:p w14:paraId="69BA0B6D" w14:textId="35FA430D" w:rsidR="00A00336" w:rsidRPr="00F43CEC" w:rsidRDefault="00A00336" w:rsidP="004D63FF">
            <w:pPr>
              <w:spacing w:after="120"/>
              <w:rPr>
                <w:rFonts w:cs="Arial"/>
              </w:rPr>
            </w:pPr>
            <w:r>
              <w:rPr>
                <w:rFonts w:cs="Arial"/>
              </w:rPr>
              <w:t>Advise colleagues in the Scholarships area of the recommendation, as Australia Awards Pacific Scholarships are offered bilaterally (not through the regional program) based on the human resource development needs of Pacific governments</w:t>
            </w:r>
            <w:r w:rsidR="00663F2B">
              <w:rPr>
                <w:rFonts w:cs="Arial"/>
              </w:rPr>
              <w:t>.</w:t>
            </w:r>
          </w:p>
        </w:tc>
        <w:tc>
          <w:tcPr>
            <w:tcW w:w="1857" w:type="dxa"/>
            <w:tcBorders>
              <w:left w:val="single" w:sz="4" w:space="0" w:color="auto"/>
            </w:tcBorders>
            <w:shd w:val="clear" w:color="auto" w:fill="auto"/>
          </w:tcPr>
          <w:p w14:paraId="21553196" w14:textId="19EA1004" w:rsidR="00A00336" w:rsidRPr="00F43CEC" w:rsidRDefault="00A00336" w:rsidP="00A83C53">
            <w:pPr>
              <w:spacing w:after="120"/>
              <w:rPr>
                <w:rFonts w:cs="Arial"/>
              </w:rPr>
            </w:pPr>
            <w:r>
              <w:rPr>
                <w:rFonts w:eastAsia="Cambria"/>
                <w:lang w:val="en-US"/>
              </w:rPr>
              <w:t>Regional Education Officer</w:t>
            </w:r>
          </w:p>
        </w:tc>
      </w:tr>
      <w:tr w:rsidR="00A00336" w:rsidRPr="00F43CEC" w14:paraId="74944107" w14:textId="77777777" w:rsidTr="00074DFB">
        <w:trPr>
          <w:cantSplit/>
          <w:trHeight w:val="885"/>
        </w:trPr>
        <w:tc>
          <w:tcPr>
            <w:tcW w:w="2638" w:type="dxa"/>
            <w:shd w:val="clear" w:color="auto" w:fill="auto"/>
          </w:tcPr>
          <w:p w14:paraId="347717AC" w14:textId="3E489BCB" w:rsidR="00A00336" w:rsidRPr="00AD73B3" w:rsidRDefault="00A00336" w:rsidP="00783EFE">
            <w:pPr>
              <w:numPr>
                <w:ilvl w:val="0"/>
                <w:numId w:val="38"/>
              </w:numPr>
              <w:spacing w:after="120"/>
              <w:ind w:left="426" w:hanging="426"/>
              <w:rPr>
                <w:rFonts w:eastAsia="Cambria"/>
                <w:b/>
                <w:lang w:val="en-US"/>
              </w:rPr>
            </w:pPr>
            <w:r w:rsidRPr="00AD73B3">
              <w:rPr>
                <w:rFonts w:eastAsia="Cambria"/>
                <w:b/>
                <w:lang w:val="en-US"/>
              </w:rPr>
              <w:t>There should be continued support from AusAID and NZ MFAT through project funding and/or core/incentive funding to improve ICT connectivity and to upgrade the human/technical support for students’ learning in regional campuses so that they can take advantage of e-resources and learning opportunities.</w:t>
            </w:r>
          </w:p>
        </w:tc>
        <w:tc>
          <w:tcPr>
            <w:tcW w:w="2715" w:type="dxa"/>
            <w:tcBorders>
              <w:right w:val="single" w:sz="4" w:space="0" w:color="auto"/>
            </w:tcBorders>
            <w:shd w:val="clear" w:color="auto" w:fill="auto"/>
          </w:tcPr>
          <w:p w14:paraId="257D3076" w14:textId="77777777" w:rsidR="00A00336" w:rsidRDefault="00A00336" w:rsidP="00C263B2">
            <w:pPr>
              <w:spacing w:after="120"/>
              <w:rPr>
                <w:rFonts w:cs="Arial"/>
              </w:rPr>
            </w:pPr>
            <w:r>
              <w:rPr>
                <w:rFonts w:cs="Arial"/>
              </w:rPr>
              <w:t>Agree</w:t>
            </w:r>
          </w:p>
          <w:p w14:paraId="57D3EB5D" w14:textId="56C52E44" w:rsidR="00A00336" w:rsidRPr="00F43CEC" w:rsidRDefault="00A00336" w:rsidP="00C263B2">
            <w:pPr>
              <w:spacing w:after="120"/>
              <w:rPr>
                <w:rFonts w:cs="Arial"/>
              </w:rPr>
            </w:pPr>
            <w:r>
              <w:rPr>
                <w:rFonts w:cs="Arial"/>
              </w:rPr>
              <w:t xml:space="preserve">Australia has been a frequent supporter of ICT development at USP, most recently funding the </w:t>
            </w:r>
            <w:r w:rsidR="0070207A">
              <w:rPr>
                <w:rFonts w:cs="Arial"/>
              </w:rPr>
              <w:t>upgrade</w:t>
            </w:r>
            <w:r>
              <w:rPr>
                <w:rFonts w:cs="Arial"/>
              </w:rPr>
              <w:t xml:space="preserve"> of the USP’s internet speed to STM4 from STM1. These developments should be supported to ensure students and staff have reliable access to online resources, including Open Educational Resources (OERs)</w:t>
            </w:r>
          </w:p>
        </w:tc>
        <w:tc>
          <w:tcPr>
            <w:tcW w:w="2644" w:type="dxa"/>
            <w:tcBorders>
              <w:left w:val="single" w:sz="4" w:space="0" w:color="auto"/>
            </w:tcBorders>
            <w:shd w:val="clear" w:color="auto" w:fill="auto"/>
          </w:tcPr>
          <w:p w14:paraId="77F92C5E" w14:textId="71FA0FBD" w:rsidR="00A00336" w:rsidRPr="00F43CEC" w:rsidRDefault="00A00336" w:rsidP="000147E6">
            <w:pPr>
              <w:spacing w:after="120"/>
              <w:rPr>
                <w:rFonts w:cs="Arial"/>
              </w:rPr>
            </w:pPr>
            <w:r>
              <w:rPr>
                <w:rFonts w:cs="Arial"/>
              </w:rPr>
              <w:t>Explore with USP opportunities for support to ICT development</w:t>
            </w:r>
            <w:r w:rsidR="000147E6">
              <w:rPr>
                <w:rFonts w:cs="Arial"/>
              </w:rPr>
              <w:t xml:space="preserve"> </w:t>
            </w:r>
            <w:r>
              <w:rPr>
                <w:rFonts w:cs="Arial"/>
              </w:rPr>
              <w:t xml:space="preserve">through </w:t>
            </w:r>
            <w:r w:rsidR="000147E6">
              <w:rPr>
                <w:rFonts w:cs="Arial"/>
              </w:rPr>
              <w:t>the PESDA delivery strategy</w:t>
            </w:r>
            <w:r>
              <w:rPr>
                <w:rFonts w:cs="Arial"/>
              </w:rPr>
              <w:t>.</w:t>
            </w:r>
          </w:p>
        </w:tc>
        <w:tc>
          <w:tcPr>
            <w:tcW w:w="1857" w:type="dxa"/>
            <w:tcBorders>
              <w:left w:val="single" w:sz="4" w:space="0" w:color="auto"/>
            </w:tcBorders>
            <w:shd w:val="clear" w:color="auto" w:fill="auto"/>
          </w:tcPr>
          <w:p w14:paraId="2D280D55" w14:textId="14B39B6F" w:rsidR="00A00336" w:rsidRPr="00F43CEC" w:rsidRDefault="00A00336" w:rsidP="00BF0D1C">
            <w:pPr>
              <w:spacing w:after="120"/>
              <w:rPr>
                <w:rFonts w:cs="Arial"/>
              </w:rPr>
            </w:pPr>
            <w:r>
              <w:rPr>
                <w:rFonts w:eastAsia="Cambria"/>
                <w:lang w:val="en-US"/>
              </w:rPr>
              <w:t>Regional Education Team, in consultation with USP</w:t>
            </w:r>
          </w:p>
        </w:tc>
      </w:tr>
      <w:tr w:rsidR="00A00336" w:rsidRPr="00F43CEC" w14:paraId="22D8BE73" w14:textId="77777777" w:rsidTr="00074DFB">
        <w:trPr>
          <w:cantSplit/>
          <w:trHeight w:val="885"/>
        </w:trPr>
        <w:tc>
          <w:tcPr>
            <w:tcW w:w="2638" w:type="dxa"/>
            <w:shd w:val="clear" w:color="auto" w:fill="auto"/>
          </w:tcPr>
          <w:p w14:paraId="768FB0DC" w14:textId="4EB8DE68" w:rsidR="00A00336" w:rsidRPr="00AD73B3" w:rsidRDefault="00A00336" w:rsidP="00783EFE">
            <w:pPr>
              <w:numPr>
                <w:ilvl w:val="0"/>
                <w:numId w:val="38"/>
              </w:numPr>
              <w:spacing w:after="120"/>
              <w:ind w:left="426" w:hanging="426"/>
              <w:rPr>
                <w:rFonts w:eastAsia="Cambria"/>
                <w:b/>
                <w:lang w:val="en-US"/>
              </w:rPr>
            </w:pPr>
            <w:r w:rsidRPr="00AD73B3">
              <w:rPr>
                <w:rFonts w:eastAsia="Cambria"/>
                <w:b/>
                <w:lang w:val="en-US"/>
              </w:rPr>
              <w:t>AusAID should focus some of its project funding on research relevant to the region’s needs.</w:t>
            </w:r>
          </w:p>
        </w:tc>
        <w:tc>
          <w:tcPr>
            <w:tcW w:w="2715" w:type="dxa"/>
            <w:tcBorders>
              <w:right w:val="single" w:sz="4" w:space="0" w:color="auto"/>
            </w:tcBorders>
            <w:shd w:val="clear" w:color="auto" w:fill="auto"/>
          </w:tcPr>
          <w:p w14:paraId="43751DAE" w14:textId="77777777" w:rsidR="00A00336" w:rsidRDefault="00A00336" w:rsidP="00C263B2">
            <w:pPr>
              <w:spacing w:after="120"/>
              <w:rPr>
                <w:rFonts w:cs="Arial"/>
              </w:rPr>
            </w:pPr>
            <w:r>
              <w:rPr>
                <w:rFonts w:cs="Arial"/>
              </w:rPr>
              <w:t>Partially Agree</w:t>
            </w:r>
          </w:p>
          <w:p w14:paraId="0180E9ED" w14:textId="19BE7665" w:rsidR="00A00336" w:rsidRPr="00F43CEC" w:rsidRDefault="00A00336" w:rsidP="00757AF6">
            <w:pPr>
              <w:spacing w:after="120"/>
              <w:rPr>
                <w:rFonts w:cs="Arial"/>
              </w:rPr>
            </w:pPr>
            <w:r>
              <w:rPr>
                <w:rFonts w:cs="Arial"/>
              </w:rPr>
              <w:t xml:space="preserve">AusAID has supported the priority area of research at USP since 2010 with excellent results. Support for research has been provided through core (strategic plan) funding. As research continues to be a priority area for USP (with specific attention to research relevant to the region) and they have demonstrated success with the current funding arrangement, it may not be prudent to projectise this support. This is particularly true given the mixed results with projects at USP and the earlier recommendation around projects. </w:t>
            </w:r>
          </w:p>
        </w:tc>
        <w:tc>
          <w:tcPr>
            <w:tcW w:w="2644" w:type="dxa"/>
            <w:tcBorders>
              <w:left w:val="single" w:sz="4" w:space="0" w:color="auto"/>
            </w:tcBorders>
            <w:shd w:val="clear" w:color="auto" w:fill="auto"/>
          </w:tcPr>
          <w:p w14:paraId="499AE245" w14:textId="252016F6" w:rsidR="00A00336" w:rsidRPr="00F43CEC" w:rsidRDefault="00A00336" w:rsidP="000147E6">
            <w:pPr>
              <w:spacing w:after="120"/>
              <w:rPr>
                <w:rFonts w:cs="Arial"/>
              </w:rPr>
            </w:pPr>
            <w:r>
              <w:rPr>
                <w:rFonts w:cs="Arial"/>
              </w:rPr>
              <w:t xml:space="preserve">Discuss with USP </w:t>
            </w:r>
            <w:r w:rsidR="00663F2B">
              <w:rPr>
                <w:rFonts w:cs="Arial"/>
              </w:rPr>
              <w:t xml:space="preserve">an </w:t>
            </w:r>
            <w:r>
              <w:rPr>
                <w:rFonts w:cs="Arial"/>
              </w:rPr>
              <w:t xml:space="preserve">appropriate way to continue support for research, </w:t>
            </w:r>
            <w:r w:rsidR="000147E6">
              <w:rPr>
                <w:rFonts w:cs="Arial"/>
              </w:rPr>
              <w:t>through the PESDA delivery strategy</w:t>
            </w:r>
            <w:r w:rsidR="00457777">
              <w:rPr>
                <w:rFonts w:cs="Arial"/>
              </w:rPr>
              <w:t xml:space="preserve">, </w:t>
            </w:r>
            <w:r>
              <w:rPr>
                <w:rFonts w:cs="Arial"/>
              </w:rPr>
              <w:t>emphasising the need to increase research relevant to the region.</w:t>
            </w:r>
          </w:p>
        </w:tc>
        <w:tc>
          <w:tcPr>
            <w:tcW w:w="1857" w:type="dxa"/>
            <w:tcBorders>
              <w:left w:val="single" w:sz="4" w:space="0" w:color="auto"/>
            </w:tcBorders>
            <w:shd w:val="clear" w:color="auto" w:fill="auto"/>
          </w:tcPr>
          <w:p w14:paraId="55E73B3F" w14:textId="21E8D014" w:rsidR="00A00336" w:rsidRPr="00F43CEC" w:rsidRDefault="00A00336" w:rsidP="00632714">
            <w:pPr>
              <w:spacing w:after="120"/>
              <w:rPr>
                <w:rFonts w:cs="Arial"/>
              </w:rPr>
            </w:pPr>
            <w:r>
              <w:rPr>
                <w:rFonts w:eastAsia="Cambria"/>
                <w:lang w:val="en-US"/>
              </w:rPr>
              <w:t>Regional Education Officer, in consultation with USP</w:t>
            </w:r>
          </w:p>
        </w:tc>
      </w:tr>
      <w:tr w:rsidR="00A00336" w:rsidRPr="00F43CEC" w14:paraId="0FFAF575" w14:textId="77777777" w:rsidTr="00074DFB">
        <w:trPr>
          <w:cantSplit/>
          <w:trHeight w:val="885"/>
        </w:trPr>
        <w:tc>
          <w:tcPr>
            <w:tcW w:w="2638" w:type="dxa"/>
            <w:shd w:val="clear" w:color="auto" w:fill="auto"/>
          </w:tcPr>
          <w:p w14:paraId="700EFE18" w14:textId="7F0066D6" w:rsidR="00A00336" w:rsidRPr="00AD73B3" w:rsidRDefault="00A00336" w:rsidP="00783EFE">
            <w:pPr>
              <w:numPr>
                <w:ilvl w:val="0"/>
                <w:numId w:val="38"/>
              </w:numPr>
              <w:spacing w:after="120"/>
              <w:ind w:left="426" w:hanging="426"/>
              <w:rPr>
                <w:rFonts w:eastAsia="Cambria"/>
                <w:b/>
                <w:lang w:val="en-US"/>
              </w:rPr>
            </w:pPr>
            <w:r w:rsidRPr="00AD73B3">
              <w:rPr>
                <w:rFonts w:eastAsia="Cambria"/>
                <w:b/>
                <w:lang w:val="en-US"/>
              </w:rPr>
              <w:t>AusAID and NZ MFAT should continue to invest, through core and/or incentive funding, in reducing the inequity between the facilities at the Suva campus and the regional campuses, including investment in increased human resources, teaching space, more ICT equipment and bigger and better stocked science laboratories and libraries.</w:t>
            </w:r>
          </w:p>
        </w:tc>
        <w:tc>
          <w:tcPr>
            <w:tcW w:w="2715" w:type="dxa"/>
            <w:tcBorders>
              <w:right w:val="single" w:sz="4" w:space="0" w:color="auto"/>
            </w:tcBorders>
            <w:shd w:val="clear" w:color="auto" w:fill="auto"/>
          </w:tcPr>
          <w:p w14:paraId="3D6F5487" w14:textId="77777777" w:rsidR="00A00336" w:rsidRDefault="00A00336" w:rsidP="00C263B2">
            <w:pPr>
              <w:spacing w:after="120"/>
              <w:rPr>
                <w:rFonts w:cs="Arial"/>
              </w:rPr>
            </w:pPr>
            <w:r>
              <w:rPr>
                <w:rFonts w:cs="Arial"/>
              </w:rPr>
              <w:t>Agree</w:t>
            </w:r>
          </w:p>
          <w:p w14:paraId="0A36C107" w14:textId="502706D6" w:rsidR="00A00336" w:rsidRPr="00F43CEC" w:rsidRDefault="00A00336" w:rsidP="00C263B2">
            <w:pPr>
              <w:spacing w:after="120"/>
              <w:rPr>
                <w:rFonts w:cs="Arial"/>
              </w:rPr>
            </w:pPr>
            <w:r>
              <w:rPr>
                <w:rFonts w:cs="Arial"/>
              </w:rPr>
              <w:t>Regional campus development is a priority for USP and will be supported by AusAID to ensure equity in the facilities and services available to regional students.</w:t>
            </w:r>
          </w:p>
        </w:tc>
        <w:tc>
          <w:tcPr>
            <w:tcW w:w="2644" w:type="dxa"/>
            <w:tcBorders>
              <w:left w:val="single" w:sz="4" w:space="0" w:color="auto"/>
            </w:tcBorders>
            <w:shd w:val="clear" w:color="auto" w:fill="auto"/>
          </w:tcPr>
          <w:p w14:paraId="7197E901" w14:textId="66EDBF38" w:rsidR="00A00336" w:rsidRPr="00F43CEC" w:rsidRDefault="00A00336" w:rsidP="000147E6">
            <w:pPr>
              <w:spacing w:after="120"/>
              <w:rPr>
                <w:rFonts w:cs="Arial"/>
              </w:rPr>
            </w:pPr>
            <w:r>
              <w:rPr>
                <w:rFonts w:cs="Arial"/>
              </w:rPr>
              <w:t xml:space="preserve">Explore with USP opportunities for support to regional campus development, through </w:t>
            </w:r>
            <w:r w:rsidR="000147E6">
              <w:rPr>
                <w:rFonts w:cs="Arial"/>
              </w:rPr>
              <w:t>the PESDA delivery strategy</w:t>
            </w:r>
            <w:r>
              <w:rPr>
                <w:rFonts w:cs="Arial"/>
              </w:rPr>
              <w:t>.</w:t>
            </w:r>
          </w:p>
        </w:tc>
        <w:tc>
          <w:tcPr>
            <w:tcW w:w="1857" w:type="dxa"/>
            <w:tcBorders>
              <w:left w:val="single" w:sz="4" w:space="0" w:color="auto"/>
            </w:tcBorders>
            <w:shd w:val="clear" w:color="auto" w:fill="auto"/>
          </w:tcPr>
          <w:p w14:paraId="6BD2C5CB" w14:textId="495EA759" w:rsidR="00A00336" w:rsidRPr="00F43CEC" w:rsidRDefault="00A00336" w:rsidP="00632714">
            <w:pPr>
              <w:spacing w:after="120"/>
              <w:rPr>
                <w:rFonts w:cs="Arial"/>
              </w:rPr>
            </w:pPr>
            <w:r>
              <w:rPr>
                <w:rFonts w:cs="Arial"/>
              </w:rPr>
              <w:t>Regional Education Team, in consultation with USP</w:t>
            </w:r>
          </w:p>
        </w:tc>
      </w:tr>
      <w:tr w:rsidR="00A00336" w:rsidRPr="00F43CEC" w14:paraId="59534AB1" w14:textId="77777777" w:rsidTr="00074DFB">
        <w:trPr>
          <w:cantSplit/>
          <w:trHeight w:val="885"/>
        </w:trPr>
        <w:tc>
          <w:tcPr>
            <w:tcW w:w="2638" w:type="dxa"/>
            <w:shd w:val="clear" w:color="auto" w:fill="auto"/>
          </w:tcPr>
          <w:p w14:paraId="29A754F5" w14:textId="04807FBE" w:rsidR="00A00336" w:rsidRPr="00AD73B3" w:rsidRDefault="00A00336" w:rsidP="00783EFE">
            <w:pPr>
              <w:numPr>
                <w:ilvl w:val="0"/>
                <w:numId w:val="38"/>
              </w:numPr>
              <w:spacing w:after="120"/>
              <w:ind w:left="426" w:hanging="426"/>
              <w:rPr>
                <w:rFonts w:eastAsia="Cambria"/>
                <w:b/>
                <w:lang w:val="en-US"/>
              </w:rPr>
            </w:pPr>
            <w:r w:rsidRPr="00AD73B3">
              <w:rPr>
                <w:b/>
                <w:lang w:val="en-US"/>
              </w:rPr>
              <w:t>In the next funding period, AusAID and NZ MFAT should negotiate with USP a framework that moves the balance between input and process targets and indicators somewhat towards outcomes and outputs.</w:t>
            </w:r>
          </w:p>
        </w:tc>
        <w:tc>
          <w:tcPr>
            <w:tcW w:w="2715" w:type="dxa"/>
            <w:tcBorders>
              <w:right w:val="single" w:sz="4" w:space="0" w:color="auto"/>
            </w:tcBorders>
            <w:shd w:val="clear" w:color="auto" w:fill="auto"/>
          </w:tcPr>
          <w:p w14:paraId="4F46D9BF" w14:textId="77777777" w:rsidR="00A00336" w:rsidRDefault="00A00336" w:rsidP="00C263B2">
            <w:pPr>
              <w:spacing w:after="120"/>
              <w:rPr>
                <w:rFonts w:cs="Arial"/>
              </w:rPr>
            </w:pPr>
            <w:r>
              <w:rPr>
                <w:rFonts w:cs="Arial"/>
              </w:rPr>
              <w:t>Agree</w:t>
            </w:r>
          </w:p>
          <w:p w14:paraId="13731179" w14:textId="7EE50DEB" w:rsidR="00A00336" w:rsidRPr="00F43CEC" w:rsidRDefault="00A00336" w:rsidP="00C263B2">
            <w:pPr>
              <w:spacing w:after="120"/>
              <w:rPr>
                <w:rFonts w:cs="Arial"/>
              </w:rPr>
            </w:pPr>
            <w:r>
              <w:rPr>
                <w:rFonts w:cs="Arial"/>
              </w:rPr>
              <w:t>It is important that we are able to “tell the story” of USP’s development and Australia’s contribution to it. To do this more outcomes based reporting and data will be required.</w:t>
            </w:r>
          </w:p>
        </w:tc>
        <w:tc>
          <w:tcPr>
            <w:tcW w:w="2644" w:type="dxa"/>
            <w:tcBorders>
              <w:left w:val="single" w:sz="4" w:space="0" w:color="auto"/>
            </w:tcBorders>
            <w:shd w:val="clear" w:color="auto" w:fill="auto"/>
          </w:tcPr>
          <w:p w14:paraId="407219F6" w14:textId="20C9EA06" w:rsidR="00A00336" w:rsidRPr="00F43CEC" w:rsidRDefault="00A00336" w:rsidP="00BF0D1C">
            <w:pPr>
              <w:spacing w:after="120"/>
              <w:rPr>
                <w:rFonts w:cs="Arial"/>
              </w:rPr>
            </w:pPr>
            <w:r>
              <w:rPr>
                <w:rFonts w:cs="Arial"/>
              </w:rPr>
              <w:t>Enlist the assistance of an M&amp;E expert to help develop the performance assessment framework for the next phase of the engagement, in consultation with USP, to ensure necessary M&amp;E systems are in place</w:t>
            </w:r>
          </w:p>
        </w:tc>
        <w:tc>
          <w:tcPr>
            <w:tcW w:w="1857" w:type="dxa"/>
            <w:tcBorders>
              <w:left w:val="single" w:sz="4" w:space="0" w:color="auto"/>
            </w:tcBorders>
            <w:shd w:val="clear" w:color="auto" w:fill="auto"/>
          </w:tcPr>
          <w:p w14:paraId="745AC563" w14:textId="7D23A099" w:rsidR="00A00336" w:rsidRPr="00F43CEC" w:rsidRDefault="00A00336" w:rsidP="00632714">
            <w:pPr>
              <w:spacing w:after="120"/>
              <w:rPr>
                <w:rFonts w:cs="Arial"/>
              </w:rPr>
            </w:pPr>
            <w:r>
              <w:rPr>
                <w:rFonts w:cs="Arial"/>
              </w:rPr>
              <w:t>Regional Education Officer, in consultation with USP</w:t>
            </w:r>
          </w:p>
        </w:tc>
      </w:tr>
      <w:tr w:rsidR="00A00336" w:rsidRPr="00F43CEC" w14:paraId="44F26684" w14:textId="77777777" w:rsidTr="00074DFB">
        <w:trPr>
          <w:cantSplit/>
          <w:trHeight w:val="885"/>
        </w:trPr>
        <w:tc>
          <w:tcPr>
            <w:tcW w:w="2638" w:type="dxa"/>
            <w:shd w:val="clear" w:color="auto" w:fill="auto"/>
          </w:tcPr>
          <w:p w14:paraId="6B655F82" w14:textId="6C1C5B1C" w:rsidR="00A00336" w:rsidRPr="00AD73B3" w:rsidRDefault="00A00336" w:rsidP="00783EFE">
            <w:pPr>
              <w:numPr>
                <w:ilvl w:val="0"/>
                <w:numId w:val="38"/>
              </w:numPr>
              <w:spacing w:after="120"/>
              <w:ind w:left="426" w:hanging="426"/>
              <w:rPr>
                <w:rFonts w:eastAsia="Cambria"/>
                <w:b/>
                <w:lang w:val="en-US"/>
              </w:rPr>
            </w:pPr>
            <w:r w:rsidRPr="00AD73B3">
              <w:rPr>
                <w:rFonts w:eastAsia="Cambria"/>
                <w:b/>
                <w:lang w:val="en-US"/>
              </w:rPr>
              <w:t>NZ MFAT and AusAID should continue to fund USP through the partnership agreements and maintain core and/or incentive funding at an increased level.</w:t>
            </w:r>
          </w:p>
        </w:tc>
        <w:tc>
          <w:tcPr>
            <w:tcW w:w="2715" w:type="dxa"/>
            <w:tcBorders>
              <w:right w:val="single" w:sz="4" w:space="0" w:color="auto"/>
            </w:tcBorders>
            <w:shd w:val="clear" w:color="auto" w:fill="auto"/>
          </w:tcPr>
          <w:p w14:paraId="5AD5052B" w14:textId="77777777" w:rsidR="00A00336" w:rsidRDefault="00A00336" w:rsidP="00C263B2">
            <w:pPr>
              <w:spacing w:after="120"/>
              <w:rPr>
                <w:rFonts w:cs="Arial"/>
              </w:rPr>
            </w:pPr>
            <w:r>
              <w:rPr>
                <w:rFonts w:cs="Arial"/>
              </w:rPr>
              <w:t>Agree</w:t>
            </w:r>
          </w:p>
          <w:p w14:paraId="2B0DFE0E" w14:textId="0857B6EB" w:rsidR="00A00336" w:rsidRPr="00F43CEC" w:rsidRDefault="00A00336" w:rsidP="00C263B2">
            <w:pPr>
              <w:spacing w:after="120"/>
              <w:rPr>
                <w:rFonts w:cs="Arial"/>
              </w:rPr>
            </w:pPr>
            <w:r>
              <w:rPr>
                <w:rFonts w:cs="Arial"/>
              </w:rPr>
              <w:t xml:space="preserve">The Partnership modality has worked well and has provided a useful platform for deepening Australia’s engagement with USP. </w:t>
            </w:r>
          </w:p>
        </w:tc>
        <w:tc>
          <w:tcPr>
            <w:tcW w:w="2644" w:type="dxa"/>
            <w:tcBorders>
              <w:left w:val="single" w:sz="4" w:space="0" w:color="auto"/>
            </w:tcBorders>
            <w:shd w:val="clear" w:color="auto" w:fill="auto"/>
          </w:tcPr>
          <w:p w14:paraId="52D8346E" w14:textId="300344B6" w:rsidR="00A00336" w:rsidRPr="00F43CEC" w:rsidRDefault="00A00336" w:rsidP="00632714">
            <w:pPr>
              <w:spacing w:after="120"/>
              <w:rPr>
                <w:rFonts w:cs="Arial"/>
              </w:rPr>
            </w:pPr>
            <w:r>
              <w:rPr>
                <w:rFonts w:cs="Arial"/>
              </w:rPr>
              <w:t>Advocate for increased levels of funding to USP in AusAID budgeting processes and negotiate the next phase of engagement with USP with the intention of building on the current Partnership.</w:t>
            </w:r>
          </w:p>
        </w:tc>
        <w:tc>
          <w:tcPr>
            <w:tcW w:w="1857" w:type="dxa"/>
            <w:tcBorders>
              <w:left w:val="single" w:sz="4" w:space="0" w:color="auto"/>
            </w:tcBorders>
            <w:shd w:val="clear" w:color="auto" w:fill="auto"/>
          </w:tcPr>
          <w:p w14:paraId="4B603587" w14:textId="65527FD1" w:rsidR="00A00336" w:rsidRPr="00F43CEC" w:rsidRDefault="00A00336" w:rsidP="00632714">
            <w:pPr>
              <w:spacing w:after="120"/>
              <w:rPr>
                <w:rFonts w:cs="Arial"/>
              </w:rPr>
            </w:pPr>
            <w:r>
              <w:rPr>
                <w:rFonts w:cs="Arial"/>
              </w:rPr>
              <w:t>Regional education team, in consultation with USP</w:t>
            </w:r>
          </w:p>
        </w:tc>
      </w:tr>
    </w:tbl>
    <w:p w14:paraId="742A83EB" w14:textId="77777777" w:rsidR="00C657FB" w:rsidRDefault="00C657FB" w:rsidP="00C657FB">
      <w:pPr>
        <w:rPr>
          <w:rFonts w:cs="Arial"/>
        </w:rPr>
      </w:pPr>
    </w:p>
    <w:p w14:paraId="742A83EC" w14:textId="78C29BFA" w:rsidR="00C657FB" w:rsidRDefault="00C657FB" w:rsidP="001E3D24">
      <w:pPr>
        <w:pStyle w:val="Heading2"/>
      </w:pPr>
    </w:p>
    <w:p w14:paraId="742A83ED" w14:textId="77777777" w:rsidR="00913F5E" w:rsidRPr="00913F5E" w:rsidRDefault="00913F5E" w:rsidP="00C657FB">
      <w:pPr>
        <w:pStyle w:val="Heading2"/>
      </w:pPr>
    </w:p>
    <w:sectPr w:rsidR="00913F5E" w:rsidRPr="00913F5E" w:rsidSect="00054700">
      <w:headerReference w:type="default" r:id="rId11"/>
      <w:footerReference w:type="default" r:id="rId12"/>
      <w:pgSz w:w="11906" w:h="16838"/>
      <w:pgMar w:top="1134" w:right="1134" w:bottom="1134" w:left="1134" w:header="567" w:footer="60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2A83F4" w14:textId="77777777" w:rsidR="000147E6" w:rsidRDefault="000147E6">
      <w:pPr>
        <w:pStyle w:val="Table-list-number"/>
      </w:pPr>
      <w:r>
        <w:separator/>
      </w:r>
    </w:p>
  </w:endnote>
  <w:endnote w:type="continuationSeparator" w:id="0">
    <w:p w14:paraId="742A83F5" w14:textId="77777777" w:rsidR="000147E6" w:rsidRDefault="000147E6">
      <w:pPr>
        <w:pStyle w:val="Table-list-numb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2A83F7" w14:textId="77777777" w:rsidR="000147E6" w:rsidRPr="00AE52D5" w:rsidRDefault="000147E6" w:rsidP="00AE52D5">
    <w:pPr>
      <w:pStyle w:val="Footer"/>
      <w:pBdr>
        <w:top w:val="single" w:sz="4" w:space="7" w:color="333333"/>
      </w:pBdr>
      <w:tabs>
        <w:tab w:val="clear" w:pos="4153"/>
        <w:tab w:val="clear" w:pos="8306"/>
        <w:tab w:val="right" w:pos="9639"/>
      </w:tabs>
      <w:rPr>
        <w:rStyle w:val="PageNumber"/>
      </w:rPr>
    </w:pPr>
    <w:r>
      <w:t>Tool: Management Response Template</w:t>
    </w:r>
    <w:r w:rsidRPr="00AE52D5">
      <w:t xml:space="preserve"> (registered # </w:t>
    </w:r>
    <w:r>
      <w:t>158</w:t>
    </w:r>
    <w:r w:rsidRPr="00AE52D5">
      <w:t>)</w:t>
    </w:r>
    <w:r w:rsidRPr="00AE52D5">
      <w:tab/>
      <w:t xml:space="preserve">page </w:t>
    </w:r>
    <w:r w:rsidRPr="00AE52D5">
      <w:rPr>
        <w:rStyle w:val="PageNumber"/>
      </w:rPr>
      <w:fldChar w:fldCharType="begin"/>
    </w:r>
    <w:r w:rsidRPr="00AE52D5">
      <w:rPr>
        <w:rStyle w:val="PageNumber"/>
      </w:rPr>
      <w:instrText xml:space="preserve"> PAGE </w:instrText>
    </w:r>
    <w:r w:rsidRPr="00AE52D5">
      <w:rPr>
        <w:rStyle w:val="PageNumber"/>
      </w:rPr>
      <w:fldChar w:fldCharType="separate"/>
    </w:r>
    <w:r w:rsidR="008E6963">
      <w:rPr>
        <w:rStyle w:val="PageNumber"/>
        <w:noProof/>
      </w:rPr>
      <w:t>8</w:t>
    </w:r>
    <w:r w:rsidRPr="00AE52D5">
      <w:rPr>
        <w:rStyle w:val="PageNumber"/>
      </w:rPr>
      <w:fldChar w:fldCharType="end"/>
    </w:r>
    <w:r w:rsidRPr="00AE52D5">
      <w:rPr>
        <w:rStyle w:val="PageNumber"/>
      </w:rPr>
      <w:t xml:space="preserve"> of </w:t>
    </w:r>
    <w:r w:rsidRPr="00AE52D5">
      <w:rPr>
        <w:rStyle w:val="PageNumber"/>
      </w:rPr>
      <w:fldChar w:fldCharType="begin"/>
    </w:r>
    <w:r w:rsidRPr="00AE52D5">
      <w:rPr>
        <w:rStyle w:val="PageNumber"/>
      </w:rPr>
      <w:instrText xml:space="preserve"> NUMPAGES </w:instrText>
    </w:r>
    <w:r w:rsidRPr="00AE52D5">
      <w:rPr>
        <w:rStyle w:val="PageNumber"/>
      </w:rPr>
      <w:fldChar w:fldCharType="separate"/>
    </w:r>
    <w:r w:rsidR="008E6963">
      <w:rPr>
        <w:rStyle w:val="PageNumber"/>
        <w:noProof/>
      </w:rPr>
      <w:t>8</w:t>
    </w:r>
    <w:r w:rsidRPr="00AE52D5">
      <w:rPr>
        <w:rStyle w:val="PageNumber"/>
      </w:rPr>
      <w:fldChar w:fldCharType="end"/>
    </w:r>
  </w:p>
  <w:p w14:paraId="742A83F8" w14:textId="77777777" w:rsidR="000147E6" w:rsidRPr="00AE52D5" w:rsidRDefault="000147E6" w:rsidP="00AE52D5">
    <w:pPr>
      <w:pStyle w:val="Footer"/>
      <w:pBdr>
        <w:top w:val="single" w:sz="4" w:space="7" w:color="333333"/>
      </w:pBdr>
      <w:tabs>
        <w:tab w:val="clear" w:pos="4153"/>
        <w:tab w:val="clear" w:pos="8306"/>
        <w:tab w:val="right" w:pos="9639"/>
      </w:tabs>
    </w:pPr>
    <w:r w:rsidRPr="00AE52D5">
      <w:t xml:space="preserve">Effective from </w:t>
    </w:r>
    <w:r>
      <w:t>December 2012</w:t>
    </w:r>
    <w:r w:rsidRPr="00AE52D5">
      <w:t xml:space="preserve"> to </w:t>
    </w:r>
    <w:r>
      <w:t>December 2013</w:t>
    </w:r>
    <w:r w:rsidRPr="00AE52D5">
      <w:tab/>
    </w:r>
    <w:r w:rsidRPr="00AE52D5">
      <w:rPr>
        <w:rStyle w:val="PageNumber"/>
      </w:rPr>
      <w:t>UNCLASSIFIED</w:t>
    </w:r>
  </w:p>
  <w:p w14:paraId="742A83F9" w14:textId="77777777" w:rsidR="000147E6" w:rsidRPr="000815FC" w:rsidRDefault="000147E6" w:rsidP="00887304">
    <w:pPr>
      <w:pStyle w:val="Footer"/>
      <w:pBdr>
        <w:top w:val="single" w:sz="4" w:space="8" w:color="999999"/>
      </w:pBdr>
      <w:tabs>
        <w:tab w:val="clear" w:pos="4153"/>
        <w:tab w:val="clear" w:pos="8306"/>
        <w:tab w:val="right" w:pos="9639"/>
      </w:tabs>
      <w:rPr>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2A83F2" w14:textId="77777777" w:rsidR="000147E6" w:rsidRDefault="000147E6">
      <w:pPr>
        <w:pStyle w:val="Table-list-number"/>
      </w:pPr>
      <w:r>
        <w:separator/>
      </w:r>
    </w:p>
  </w:footnote>
  <w:footnote w:type="continuationSeparator" w:id="0">
    <w:p w14:paraId="742A83F3" w14:textId="77777777" w:rsidR="000147E6" w:rsidRDefault="000147E6">
      <w:pPr>
        <w:pStyle w:val="Table-list-numbe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2A83F6" w14:textId="51347E29" w:rsidR="000147E6" w:rsidRPr="00077243" w:rsidRDefault="000147E6" w:rsidP="00077243">
    <w:pPr>
      <w:pStyle w:val="Header"/>
      <w:jc w:val="center"/>
      <w:rPr>
        <w:caps/>
      </w:rPr>
    </w:pPr>
    <w:r w:rsidRPr="00077243">
      <w:rPr>
        <w:caps/>
      </w:rPr>
      <w:t>Unclassified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D6A10"/>
    <w:multiLevelType w:val="multilevel"/>
    <w:tmpl w:val="5EC8BC40"/>
    <w:lvl w:ilvl="0">
      <w:numFmt w:val="bullet"/>
      <w:lvlText w:val=""/>
      <w:lvlJc w:val="left"/>
      <w:pPr>
        <w:tabs>
          <w:tab w:val="num" w:pos="720"/>
        </w:tabs>
        <w:ind w:left="720" w:hanging="360"/>
      </w:pPr>
      <w:rPr>
        <w:rFonts w:ascii="Wingdings" w:hAnsi="Wingdings" w:cs="Times New Roman" w:hint="default"/>
        <w:b w:val="0"/>
        <w:i w:val="0"/>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92929E6"/>
    <w:multiLevelType w:val="hybridMultilevel"/>
    <w:tmpl w:val="2BB08866"/>
    <w:lvl w:ilvl="0" w:tplc="AC2E0D00">
      <w:start w:val="1"/>
      <w:numFmt w:val="decimal"/>
      <w:pStyle w:val="Table-list-number"/>
      <w:lvlText w:val="%1."/>
      <w:lvlJc w:val="left"/>
      <w:pPr>
        <w:tabs>
          <w:tab w:val="num" w:pos="360"/>
        </w:tabs>
        <w:ind w:left="35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A644581"/>
    <w:multiLevelType w:val="multilevel"/>
    <w:tmpl w:val="A0A6AAD8"/>
    <w:lvl w:ilvl="0">
      <w:numFmt w:val="bullet"/>
      <w:lvlText w:val=""/>
      <w:lvlJc w:val="left"/>
      <w:pPr>
        <w:tabs>
          <w:tab w:val="num" w:pos="720"/>
        </w:tabs>
        <w:ind w:left="720" w:hanging="360"/>
      </w:pPr>
      <w:rPr>
        <w:rFonts w:ascii="Wingdings" w:eastAsia="Times New Roman" w:hAnsi="Wingdings" w:cs="Times New Roman"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13375D85"/>
    <w:multiLevelType w:val="hybridMultilevel"/>
    <w:tmpl w:val="A0A6AAD8"/>
    <w:lvl w:ilvl="0" w:tplc="7F402E40">
      <w:numFmt w:val="bullet"/>
      <w:lvlText w:val=""/>
      <w:lvlJc w:val="left"/>
      <w:pPr>
        <w:tabs>
          <w:tab w:val="num" w:pos="720"/>
        </w:tabs>
        <w:ind w:left="720" w:hanging="360"/>
      </w:pPr>
      <w:rPr>
        <w:rFonts w:ascii="Wingdings" w:eastAsia="Times New Roman" w:hAnsi="Wingdings" w:cs="Times New Roman"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8856708"/>
    <w:multiLevelType w:val="hybridMultilevel"/>
    <w:tmpl w:val="BD005BE8"/>
    <w:lvl w:ilvl="0" w:tplc="03B0FA2A">
      <w:numFmt w:val="bullet"/>
      <w:lvlText w:val="-"/>
      <w:lvlJc w:val="left"/>
      <w:pPr>
        <w:tabs>
          <w:tab w:val="num" w:pos="397"/>
        </w:tabs>
        <w:ind w:left="397" w:hanging="22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8A81B60"/>
    <w:multiLevelType w:val="hybridMultilevel"/>
    <w:tmpl w:val="CF9040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1ADE6952"/>
    <w:multiLevelType w:val="hybridMultilevel"/>
    <w:tmpl w:val="5BD0AAB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20517EE7"/>
    <w:multiLevelType w:val="hybridMultilevel"/>
    <w:tmpl w:val="540851CE"/>
    <w:lvl w:ilvl="0" w:tplc="0C090001">
      <w:start w:val="1"/>
      <w:numFmt w:val="bullet"/>
      <w:lvlText w:val=""/>
      <w:lvlJc w:val="left"/>
      <w:pPr>
        <w:ind w:left="766" w:hanging="360"/>
      </w:pPr>
      <w:rPr>
        <w:rFonts w:ascii="Symbol" w:hAnsi="Symbol" w:hint="default"/>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8">
    <w:nsid w:val="20BF696C"/>
    <w:multiLevelType w:val="hybridMultilevel"/>
    <w:tmpl w:val="44EA52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3703D64"/>
    <w:multiLevelType w:val="hybridMultilevel"/>
    <w:tmpl w:val="B8AAF53A"/>
    <w:lvl w:ilvl="0" w:tplc="B2806932">
      <w:numFmt w:val="bullet"/>
      <w:lvlText w:val=""/>
      <w:lvlJc w:val="left"/>
      <w:pPr>
        <w:tabs>
          <w:tab w:val="num" w:pos="720"/>
        </w:tabs>
        <w:ind w:left="720" w:hanging="360"/>
      </w:pPr>
      <w:rPr>
        <w:rFonts w:ascii="Wingdings" w:hAnsi="Wingdings" w:cs="Times New Roman"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5264A5A"/>
    <w:multiLevelType w:val="hybridMultilevel"/>
    <w:tmpl w:val="0D2C9A66"/>
    <w:lvl w:ilvl="0" w:tplc="48FC474E">
      <w:start w:val="1"/>
      <w:numFmt w:val="bullet"/>
      <w:pStyle w:val="List-bullet-1"/>
      <w:lvlText w:val=""/>
      <w:lvlJc w:val="left"/>
      <w:pPr>
        <w:tabs>
          <w:tab w:val="num" w:pos="720"/>
        </w:tabs>
        <w:ind w:left="720" w:hanging="363"/>
      </w:pPr>
      <w:rPr>
        <w:rFonts w:ascii="Symbol" w:hAnsi="Symbol" w:hint="default"/>
        <w:color w:val="auto"/>
        <w:sz w:val="20"/>
      </w:rPr>
    </w:lvl>
    <w:lvl w:ilvl="1" w:tplc="04090003" w:tentative="1">
      <w:start w:val="1"/>
      <w:numFmt w:val="bullet"/>
      <w:lvlText w:val="o"/>
      <w:lvlJc w:val="left"/>
      <w:pPr>
        <w:tabs>
          <w:tab w:val="num" w:pos="1724"/>
        </w:tabs>
        <w:ind w:left="1724" w:hanging="360"/>
      </w:pPr>
      <w:rPr>
        <w:rFonts w:ascii="Courier New" w:hAnsi="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1">
    <w:nsid w:val="2A8D1296"/>
    <w:multiLevelType w:val="hybridMultilevel"/>
    <w:tmpl w:val="5EC8BC40"/>
    <w:lvl w:ilvl="0" w:tplc="3F200F0E">
      <w:numFmt w:val="bullet"/>
      <w:lvlText w:val=""/>
      <w:lvlJc w:val="left"/>
      <w:pPr>
        <w:tabs>
          <w:tab w:val="num" w:pos="720"/>
        </w:tabs>
        <w:ind w:left="720" w:hanging="360"/>
      </w:pPr>
      <w:rPr>
        <w:rFonts w:ascii="Wingdings" w:hAnsi="Wingdings" w:cs="Times New Roman"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B44006C"/>
    <w:multiLevelType w:val="multilevel"/>
    <w:tmpl w:val="A0A6AAD8"/>
    <w:lvl w:ilvl="0">
      <w:numFmt w:val="bullet"/>
      <w:lvlText w:val=""/>
      <w:lvlJc w:val="left"/>
      <w:pPr>
        <w:tabs>
          <w:tab w:val="num" w:pos="720"/>
        </w:tabs>
        <w:ind w:left="720" w:hanging="360"/>
      </w:pPr>
      <w:rPr>
        <w:rFonts w:ascii="Wingdings" w:eastAsia="Times New Roman" w:hAnsi="Wingdings" w:cs="Times New Roman"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2B9362C3"/>
    <w:multiLevelType w:val="hybridMultilevel"/>
    <w:tmpl w:val="54FA67CA"/>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nsid w:val="2D2345DD"/>
    <w:multiLevelType w:val="hybridMultilevel"/>
    <w:tmpl w:val="F06E71B4"/>
    <w:lvl w:ilvl="0" w:tplc="0C09000F">
      <w:start w:val="1"/>
      <w:numFmt w:val="decimal"/>
      <w:lvlText w:val="%1."/>
      <w:lvlJc w:val="left"/>
      <w:pPr>
        <w:tabs>
          <w:tab w:val="num" w:pos="2160"/>
        </w:tabs>
        <w:ind w:left="2160" w:hanging="360"/>
      </w:pPr>
    </w:lvl>
    <w:lvl w:ilvl="1" w:tplc="0C090019" w:tentative="1">
      <w:start w:val="1"/>
      <w:numFmt w:val="lowerLetter"/>
      <w:lvlText w:val="%2."/>
      <w:lvlJc w:val="left"/>
      <w:pPr>
        <w:tabs>
          <w:tab w:val="num" w:pos="2880"/>
        </w:tabs>
        <w:ind w:left="2880" w:hanging="360"/>
      </w:pPr>
    </w:lvl>
    <w:lvl w:ilvl="2" w:tplc="0C09001B" w:tentative="1">
      <w:start w:val="1"/>
      <w:numFmt w:val="lowerRoman"/>
      <w:lvlText w:val="%3."/>
      <w:lvlJc w:val="right"/>
      <w:pPr>
        <w:tabs>
          <w:tab w:val="num" w:pos="3600"/>
        </w:tabs>
        <w:ind w:left="3600" w:hanging="180"/>
      </w:pPr>
    </w:lvl>
    <w:lvl w:ilvl="3" w:tplc="0C09000F" w:tentative="1">
      <w:start w:val="1"/>
      <w:numFmt w:val="decimal"/>
      <w:lvlText w:val="%4."/>
      <w:lvlJc w:val="left"/>
      <w:pPr>
        <w:tabs>
          <w:tab w:val="num" w:pos="4320"/>
        </w:tabs>
        <w:ind w:left="4320" w:hanging="360"/>
      </w:pPr>
    </w:lvl>
    <w:lvl w:ilvl="4" w:tplc="0C090019" w:tentative="1">
      <w:start w:val="1"/>
      <w:numFmt w:val="lowerLetter"/>
      <w:lvlText w:val="%5."/>
      <w:lvlJc w:val="left"/>
      <w:pPr>
        <w:tabs>
          <w:tab w:val="num" w:pos="5040"/>
        </w:tabs>
        <w:ind w:left="5040" w:hanging="360"/>
      </w:pPr>
    </w:lvl>
    <w:lvl w:ilvl="5" w:tplc="0C09001B" w:tentative="1">
      <w:start w:val="1"/>
      <w:numFmt w:val="lowerRoman"/>
      <w:lvlText w:val="%6."/>
      <w:lvlJc w:val="right"/>
      <w:pPr>
        <w:tabs>
          <w:tab w:val="num" w:pos="5760"/>
        </w:tabs>
        <w:ind w:left="5760" w:hanging="180"/>
      </w:pPr>
    </w:lvl>
    <w:lvl w:ilvl="6" w:tplc="0C09000F" w:tentative="1">
      <w:start w:val="1"/>
      <w:numFmt w:val="decimal"/>
      <w:lvlText w:val="%7."/>
      <w:lvlJc w:val="left"/>
      <w:pPr>
        <w:tabs>
          <w:tab w:val="num" w:pos="6480"/>
        </w:tabs>
        <w:ind w:left="6480" w:hanging="360"/>
      </w:pPr>
    </w:lvl>
    <w:lvl w:ilvl="7" w:tplc="0C090019" w:tentative="1">
      <w:start w:val="1"/>
      <w:numFmt w:val="lowerLetter"/>
      <w:lvlText w:val="%8."/>
      <w:lvlJc w:val="left"/>
      <w:pPr>
        <w:tabs>
          <w:tab w:val="num" w:pos="7200"/>
        </w:tabs>
        <w:ind w:left="7200" w:hanging="360"/>
      </w:pPr>
    </w:lvl>
    <w:lvl w:ilvl="8" w:tplc="0C09001B" w:tentative="1">
      <w:start w:val="1"/>
      <w:numFmt w:val="lowerRoman"/>
      <w:lvlText w:val="%9."/>
      <w:lvlJc w:val="right"/>
      <w:pPr>
        <w:tabs>
          <w:tab w:val="num" w:pos="7920"/>
        </w:tabs>
        <w:ind w:left="7920" w:hanging="180"/>
      </w:pPr>
    </w:lvl>
  </w:abstractNum>
  <w:abstractNum w:abstractNumId="15">
    <w:nsid w:val="2FBD11B4"/>
    <w:multiLevelType w:val="multilevel"/>
    <w:tmpl w:val="88B61454"/>
    <w:lvl w:ilvl="0">
      <w:start w:val="1"/>
      <w:numFmt w:val="decimal"/>
      <w:pStyle w:val="List-number-1"/>
      <w:lvlText w:val="%1."/>
      <w:lvlJc w:val="left"/>
      <w:pPr>
        <w:tabs>
          <w:tab w:val="num" w:pos="360"/>
        </w:tabs>
        <w:ind w:left="360" w:hanging="360"/>
      </w:pPr>
      <w:rPr>
        <w:rFonts w:hint="default"/>
      </w:rPr>
    </w:lvl>
    <w:lvl w:ilvl="1">
      <w:start w:val="1"/>
      <w:numFmt w:val="lowerLetter"/>
      <w:pStyle w:val="List-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nsid w:val="30C2392D"/>
    <w:multiLevelType w:val="hybridMultilevel"/>
    <w:tmpl w:val="5694FF50"/>
    <w:lvl w:ilvl="0" w:tplc="AF9A3AE6">
      <w:numFmt w:val="bullet"/>
      <w:lvlText w:val=""/>
      <w:lvlJc w:val="left"/>
      <w:pPr>
        <w:tabs>
          <w:tab w:val="num" w:pos="720"/>
        </w:tabs>
        <w:ind w:left="720" w:hanging="360"/>
      </w:pPr>
      <w:rPr>
        <w:rFonts w:ascii="Wingdings" w:eastAsia="Times New Roman" w:hAnsi="Wingdings" w:cs="Times New Roman"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4E57B58"/>
    <w:multiLevelType w:val="hybridMultilevel"/>
    <w:tmpl w:val="6B226158"/>
    <w:lvl w:ilvl="0" w:tplc="FB6C1462">
      <w:start w:val="1"/>
      <w:numFmt w:val="bullet"/>
      <w:lvlText w:val=""/>
      <w:lvlJc w:val="left"/>
      <w:pPr>
        <w:tabs>
          <w:tab w:val="num" w:pos="624"/>
        </w:tabs>
        <w:ind w:left="624" w:hanging="170"/>
      </w:pPr>
      <w:rPr>
        <w:rFonts w:ascii="Symbol" w:hAnsi="Symbol" w:hint="default"/>
        <w:color w:val="0000FF"/>
      </w:rPr>
    </w:lvl>
    <w:lvl w:ilvl="1" w:tplc="04090003" w:tentative="1">
      <w:start w:val="1"/>
      <w:numFmt w:val="bullet"/>
      <w:lvlText w:val="o"/>
      <w:lvlJc w:val="left"/>
      <w:pPr>
        <w:tabs>
          <w:tab w:val="num" w:pos="1894"/>
        </w:tabs>
        <w:ind w:left="1894" w:hanging="360"/>
      </w:pPr>
      <w:rPr>
        <w:rFonts w:ascii="Courier New" w:hAnsi="Courier New" w:cs="Courier New" w:hint="default"/>
      </w:rPr>
    </w:lvl>
    <w:lvl w:ilvl="2" w:tplc="04090005" w:tentative="1">
      <w:start w:val="1"/>
      <w:numFmt w:val="bullet"/>
      <w:lvlText w:val=""/>
      <w:lvlJc w:val="left"/>
      <w:pPr>
        <w:tabs>
          <w:tab w:val="num" w:pos="2614"/>
        </w:tabs>
        <w:ind w:left="2614" w:hanging="360"/>
      </w:pPr>
      <w:rPr>
        <w:rFonts w:ascii="Wingdings" w:hAnsi="Wingdings" w:hint="default"/>
      </w:rPr>
    </w:lvl>
    <w:lvl w:ilvl="3" w:tplc="04090001" w:tentative="1">
      <w:start w:val="1"/>
      <w:numFmt w:val="bullet"/>
      <w:lvlText w:val=""/>
      <w:lvlJc w:val="left"/>
      <w:pPr>
        <w:tabs>
          <w:tab w:val="num" w:pos="3334"/>
        </w:tabs>
        <w:ind w:left="3334" w:hanging="360"/>
      </w:pPr>
      <w:rPr>
        <w:rFonts w:ascii="Symbol" w:hAnsi="Symbol" w:hint="default"/>
      </w:rPr>
    </w:lvl>
    <w:lvl w:ilvl="4" w:tplc="04090003" w:tentative="1">
      <w:start w:val="1"/>
      <w:numFmt w:val="bullet"/>
      <w:lvlText w:val="o"/>
      <w:lvlJc w:val="left"/>
      <w:pPr>
        <w:tabs>
          <w:tab w:val="num" w:pos="4054"/>
        </w:tabs>
        <w:ind w:left="4054" w:hanging="360"/>
      </w:pPr>
      <w:rPr>
        <w:rFonts w:ascii="Courier New" w:hAnsi="Courier New" w:cs="Courier New" w:hint="default"/>
      </w:rPr>
    </w:lvl>
    <w:lvl w:ilvl="5" w:tplc="04090005" w:tentative="1">
      <w:start w:val="1"/>
      <w:numFmt w:val="bullet"/>
      <w:lvlText w:val=""/>
      <w:lvlJc w:val="left"/>
      <w:pPr>
        <w:tabs>
          <w:tab w:val="num" w:pos="4774"/>
        </w:tabs>
        <w:ind w:left="4774" w:hanging="360"/>
      </w:pPr>
      <w:rPr>
        <w:rFonts w:ascii="Wingdings" w:hAnsi="Wingdings" w:hint="default"/>
      </w:rPr>
    </w:lvl>
    <w:lvl w:ilvl="6" w:tplc="04090001" w:tentative="1">
      <w:start w:val="1"/>
      <w:numFmt w:val="bullet"/>
      <w:lvlText w:val=""/>
      <w:lvlJc w:val="left"/>
      <w:pPr>
        <w:tabs>
          <w:tab w:val="num" w:pos="5494"/>
        </w:tabs>
        <w:ind w:left="5494" w:hanging="360"/>
      </w:pPr>
      <w:rPr>
        <w:rFonts w:ascii="Symbol" w:hAnsi="Symbol" w:hint="default"/>
      </w:rPr>
    </w:lvl>
    <w:lvl w:ilvl="7" w:tplc="04090003" w:tentative="1">
      <w:start w:val="1"/>
      <w:numFmt w:val="bullet"/>
      <w:lvlText w:val="o"/>
      <w:lvlJc w:val="left"/>
      <w:pPr>
        <w:tabs>
          <w:tab w:val="num" w:pos="6214"/>
        </w:tabs>
        <w:ind w:left="6214" w:hanging="360"/>
      </w:pPr>
      <w:rPr>
        <w:rFonts w:ascii="Courier New" w:hAnsi="Courier New" w:cs="Courier New" w:hint="default"/>
      </w:rPr>
    </w:lvl>
    <w:lvl w:ilvl="8" w:tplc="04090005" w:tentative="1">
      <w:start w:val="1"/>
      <w:numFmt w:val="bullet"/>
      <w:lvlText w:val=""/>
      <w:lvlJc w:val="left"/>
      <w:pPr>
        <w:tabs>
          <w:tab w:val="num" w:pos="6934"/>
        </w:tabs>
        <w:ind w:left="6934" w:hanging="360"/>
      </w:pPr>
      <w:rPr>
        <w:rFonts w:ascii="Wingdings" w:hAnsi="Wingdings" w:hint="default"/>
      </w:rPr>
    </w:lvl>
  </w:abstractNum>
  <w:abstractNum w:abstractNumId="18">
    <w:nsid w:val="3C64032D"/>
    <w:multiLevelType w:val="hybridMultilevel"/>
    <w:tmpl w:val="FE4430FC"/>
    <w:lvl w:ilvl="0" w:tplc="EA8229C4">
      <w:numFmt w:val="bullet"/>
      <w:lvlText w:val=""/>
      <w:lvlJc w:val="left"/>
      <w:pPr>
        <w:tabs>
          <w:tab w:val="num" w:pos="720"/>
        </w:tabs>
        <w:ind w:left="720" w:hanging="360"/>
      </w:pPr>
      <w:rPr>
        <w:rFonts w:ascii="Wingdings" w:hAnsi="Wingdings" w:cs="Times New Roman" w:hint="default"/>
        <w:b w:val="0"/>
        <w:i w:val="0"/>
        <w:sz w:val="26"/>
        <w:szCs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7531147"/>
    <w:multiLevelType w:val="hybridMultilevel"/>
    <w:tmpl w:val="D5B06BB0"/>
    <w:lvl w:ilvl="0" w:tplc="C5B0958A">
      <w:start w:val="1"/>
      <w:numFmt w:val="bullet"/>
      <w:pStyle w:val="List-bullet-2"/>
      <w:lvlText w:val="–"/>
      <w:lvlJc w:val="left"/>
      <w:pPr>
        <w:tabs>
          <w:tab w:val="num" w:pos="1021"/>
        </w:tabs>
        <w:ind w:left="1021" w:hanging="301"/>
      </w:pPr>
      <w:rPr>
        <w:rFonts w:hint="default"/>
        <w:color w:val="auto"/>
        <w:sz w:val="20"/>
      </w:rPr>
    </w:lvl>
    <w:lvl w:ilvl="1" w:tplc="416EABDE">
      <w:start w:val="1"/>
      <w:numFmt w:val="bullet"/>
      <w:lvlText w:val="–"/>
      <w:lvlJc w:val="left"/>
      <w:pPr>
        <w:tabs>
          <w:tab w:val="num" w:pos="1724"/>
        </w:tabs>
        <w:ind w:left="1724" w:hanging="363"/>
      </w:pPr>
      <w:rPr>
        <w:rFonts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0">
    <w:nsid w:val="48C56684"/>
    <w:multiLevelType w:val="hybridMultilevel"/>
    <w:tmpl w:val="BC8A9B00"/>
    <w:lvl w:ilvl="0" w:tplc="0409000F">
      <w:start w:val="1"/>
      <w:numFmt w:val="decimal"/>
      <w:lvlText w:val="%1."/>
      <w:lvlJc w:val="left"/>
      <w:pPr>
        <w:tabs>
          <w:tab w:val="num" w:pos="720"/>
        </w:tabs>
        <w:ind w:left="720" w:hanging="360"/>
      </w:pPr>
    </w:lvl>
    <w:lvl w:ilvl="1" w:tplc="D3E0EC30">
      <w:start w:val="1"/>
      <w:numFmt w:val="lowerLetter"/>
      <w:lvlText w:val="%2."/>
      <w:lvlJc w:val="left"/>
      <w:pPr>
        <w:tabs>
          <w:tab w:val="num" w:pos="1440"/>
        </w:tabs>
        <w:ind w:left="1440" w:hanging="360"/>
      </w:pPr>
      <w:rPr>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9CF4F7B"/>
    <w:multiLevelType w:val="multilevel"/>
    <w:tmpl w:val="FE4430FC"/>
    <w:lvl w:ilvl="0">
      <w:numFmt w:val="bullet"/>
      <w:lvlText w:val=""/>
      <w:lvlJc w:val="left"/>
      <w:pPr>
        <w:tabs>
          <w:tab w:val="num" w:pos="720"/>
        </w:tabs>
        <w:ind w:left="720" w:hanging="360"/>
      </w:pPr>
      <w:rPr>
        <w:rFonts w:ascii="Wingdings" w:hAnsi="Wingdings" w:cs="Times New Roman" w:hint="default"/>
        <w:b w:val="0"/>
        <w:i w:val="0"/>
        <w:sz w:val="26"/>
        <w:szCs w:val="2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4B7E6638"/>
    <w:multiLevelType w:val="hybridMultilevel"/>
    <w:tmpl w:val="CC32436A"/>
    <w:lvl w:ilvl="0" w:tplc="0409000F">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nsid w:val="54A16312"/>
    <w:multiLevelType w:val="hybridMultilevel"/>
    <w:tmpl w:val="0248FFAE"/>
    <w:lvl w:ilvl="0" w:tplc="3C888874">
      <w:numFmt w:val="bullet"/>
      <w:lvlText w:val=""/>
      <w:lvlJc w:val="left"/>
      <w:pPr>
        <w:tabs>
          <w:tab w:val="num" w:pos="717"/>
        </w:tabs>
        <w:ind w:left="717" w:hanging="360"/>
      </w:pPr>
      <w:rPr>
        <w:rFonts w:ascii="Wingdings" w:hAnsi="Wingdings" w:cs="Times New Roman" w:hint="default"/>
        <w:sz w:val="26"/>
        <w:szCs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5990D16"/>
    <w:multiLevelType w:val="multilevel"/>
    <w:tmpl w:val="B8AAF53A"/>
    <w:lvl w:ilvl="0">
      <w:numFmt w:val="bullet"/>
      <w:lvlText w:val=""/>
      <w:lvlJc w:val="left"/>
      <w:pPr>
        <w:tabs>
          <w:tab w:val="num" w:pos="720"/>
        </w:tabs>
        <w:ind w:left="720" w:hanging="360"/>
      </w:pPr>
      <w:rPr>
        <w:rFonts w:ascii="Wingdings" w:hAnsi="Wingdings" w:cs="Times New Roman" w:hint="default"/>
        <w:b w:val="0"/>
        <w:i w:val="0"/>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nsid w:val="57E65D90"/>
    <w:multiLevelType w:val="hybridMultilevel"/>
    <w:tmpl w:val="56686C26"/>
    <w:lvl w:ilvl="0" w:tplc="0C09000F">
      <w:start w:val="1"/>
      <w:numFmt w:val="decimal"/>
      <w:lvlText w:val="%1."/>
      <w:lvlJc w:val="left"/>
      <w:pPr>
        <w:tabs>
          <w:tab w:val="num" w:pos="720"/>
        </w:tabs>
        <w:ind w:left="720" w:hanging="360"/>
      </w:p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6">
    <w:nsid w:val="588247B9"/>
    <w:multiLevelType w:val="hybridMultilevel"/>
    <w:tmpl w:val="B4F227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41B3406"/>
    <w:multiLevelType w:val="hybridMultilevel"/>
    <w:tmpl w:val="973A389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nsid w:val="697D395E"/>
    <w:multiLevelType w:val="hybridMultilevel"/>
    <w:tmpl w:val="F0C69608"/>
    <w:lvl w:ilvl="0" w:tplc="234ECC50">
      <w:numFmt w:val="bullet"/>
      <w:lvlText w:val=""/>
      <w:lvlJc w:val="left"/>
      <w:pPr>
        <w:tabs>
          <w:tab w:val="num" w:pos="720"/>
        </w:tabs>
        <w:ind w:left="720" w:hanging="360"/>
      </w:pPr>
      <w:rPr>
        <w:rFonts w:ascii="Wingdings" w:hAnsi="Wingdings" w:cs="Times New Roman"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1CC66FC"/>
    <w:multiLevelType w:val="multilevel"/>
    <w:tmpl w:val="5694FF50"/>
    <w:lvl w:ilvl="0">
      <w:numFmt w:val="bullet"/>
      <w:lvlText w:val=""/>
      <w:lvlJc w:val="left"/>
      <w:pPr>
        <w:tabs>
          <w:tab w:val="num" w:pos="720"/>
        </w:tabs>
        <w:ind w:left="720" w:hanging="360"/>
      </w:pPr>
      <w:rPr>
        <w:rFonts w:ascii="Wingdings" w:eastAsia="Times New Roman" w:hAnsi="Wingdings" w:cs="Times New Roman"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nsid w:val="7286401F"/>
    <w:multiLevelType w:val="multilevel"/>
    <w:tmpl w:val="5F303A0A"/>
    <w:lvl w:ilvl="0">
      <w:start w:val="1"/>
      <w:numFmt w:val="decimal"/>
      <w:lvlText w:val="%1"/>
      <w:lvlJc w:val="left"/>
      <w:pPr>
        <w:tabs>
          <w:tab w:val="num" w:pos="357"/>
        </w:tabs>
        <w:ind w:left="357" w:hanging="357"/>
      </w:pPr>
      <w:rPr>
        <w:rFonts w:hint="default"/>
      </w:rPr>
    </w:lvl>
    <w:lvl w:ilvl="1">
      <w:start w:val="1"/>
      <w:numFmt w:val="decimal"/>
      <w:pStyle w:val="Heading2numbered"/>
      <w:lvlText w:val="%2."/>
      <w:lvlJc w:val="left"/>
      <w:pPr>
        <w:tabs>
          <w:tab w:val="num" w:pos="357"/>
        </w:tabs>
        <w:ind w:left="357" w:hanging="357"/>
      </w:pPr>
      <w:rPr>
        <w:rFonts w:hint="default"/>
      </w:rPr>
    </w:lvl>
    <w:lvl w:ilvl="2">
      <w:start w:val="1"/>
      <w:numFmt w:val="decimal"/>
      <w:pStyle w:val="Heading3numbered"/>
      <w:lvlText w:val="%2.%3"/>
      <w:lvlJc w:val="left"/>
      <w:pPr>
        <w:tabs>
          <w:tab w:val="num" w:pos="851"/>
        </w:tabs>
        <w:ind w:left="851" w:hanging="494"/>
      </w:pPr>
      <w:rPr>
        <w:rFonts w:ascii="Arial" w:hAnsi="Arial" w:hint="default"/>
        <w:b/>
        <w:i/>
        <w:sz w:val="22"/>
        <w:szCs w:val="18"/>
      </w:rPr>
    </w:lvl>
    <w:lvl w:ilvl="3">
      <w:start w:val="1"/>
      <w:numFmt w:val="lowerLetter"/>
      <w:pStyle w:val="List-outline-numbered"/>
      <w:lvlText w:val="%4."/>
      <w:lvlJc w:val="left"/>
      <w:pPr>
        <w:tabs>
          <w:tab w:val="num" w:pos="737"/>
        </w:tabs>
        <w:ind w:left="737" w:hanging="380"/>
      </w:pPr>
      <w:rPr>
        <w:rFonts w:hint="default"/>
      </w:rPr>
    </w:lvl>
    <w:lvl w:ilvl="4">
      <w:start w:val="1"/>
      <w:numFmt w:val="decimal"/>
      <w:lvlText w:val="%1.%2.%3.%4.%5"/>
      <w:lvlJc w:val="left"/>
      <w:pPr>
        <w:tabs>
          <w:tab w:val="num" w:pos="1080"/>
        </w:tabs>
        <w:ind w:left="1080" w:hanging="1008"/>
      </w:pPr>
      <w:rPr>
        <w:rFonts w:hint="default"/>
      </w:rPr>
    </w:lvl>
    <w:lvl w:ilvl="5">
      <w:start w:val="1"/>
      <w:numFmt w:val="decimal"/>
      <w:lvlText w:val="%1.%2.%3.%4.%5.%6"/>
      <w:lvlJc w:val="left"/>
      <w:pPr>
        <w:tabs>
          <w:tab w:val="num" w:pos="1224"/>
        </w:tabs>
        <w:ind w:left="1224" w:hanging="1152"/>
      </w:pPr>
      <w:rPr>
        <w:rFonts w:hint="default"/>
      </w:rPr>
    </w:lvl>
    <w:lvl w:ilvl="6">
      <w:start w:val="1"/>
      <w:numFmt w:val="decimal"/>
      <w:lvlText w:val="%1.%2.%3.%4.%5.%6.%7"/>
      <w:lvlJc w:val="left"/>
      <w:pPr>
        <w:tabs>
          <w:tab w:val="num" w:pos="1368"/>
        </w:tabs>
        <w:ind w:left="1368" w:hanging="1296"/>
      </w:pPr>
      <w:rPr>
        <w:rFonts w:hint="default"/>
      </w:rPr>
    </w:lvl>
    <w:lvl w:ilvl="7">
      <w:start w:val="1"/>
      <w:numFmt w:val="decimal"/>
      <w:lvlText w:val="%1.%2.%3.%4.%5.%6.%7.%8"/>
      <w:lvlJc w:val="left"/>
      <w:pPr>
        <w:tabs>
          <w:tab w:val="num" w:pos="1512"/>
        </w:tabs>
        <w:ind w:left="1512" w:hanging="1440"/>
      </w:pPr>
      <w:rPr>
        <w:rFonts w:hint="default"/>
      </w:rPr>
    </w:lvl>
    <w:lvl w:ilvl="8">
      <w:start w:val="1"/>
      <w:numFmt w:val="decimal"/>
      <w:lvlText w:val="%1.%2.%3.%4.%5.%6.%7.%8.%9"/>
      <w:lvlJc w:val="left"/>
      <w:pPr>
        <w:tabs>
          <w:tab w:val="num" w:pos="1656"/>
        </w:tabs>
        <w:ind w:left="1656" w:hanging="1584"/>
      </w:pPr>
      <w:rPr>
        <w:rFonts w:hint="default"/>
      </w:rPr>
    </w:lvl>
  </w:abstractNum>
  <w:abstractNum w:abstractNumId="31">
    <w:nsid w:val="774868B9"/>
    <w:multiLevelType w:val="hybridMultilevel"/>
    <w:tmpl w:val="A02AF9EA"/>
    <w:lvl w:ilvl="0" w:tplc="F33CF392">
      <w:start w:val="1"/>
      <w:numFmt w:val="bullet"/>
      <w:pStyle w:val="Table-list-bullet"/>
      <w:lvlText w:val="–"/>
      <w:lvlJc w:val="left"/>
      <w:pPr>
        <w:tabs>
          <w:tab w:val="num" w:pos="357"/>
        </w:tabs>
        <w:ind w:left="357" w:hanging="357"/>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B471930"/>
    <w:multiLevelType w:val="hybridMultilevel"/>
    <w:tmpl w:val="D368F730"/>
    <w:lvl w:ilvl="0" w:tplc="CFB4EBF4">
      <w:numFmt w:val="bullet"/>
      <w:lvlText w:val=""/>
      <w:lvlJc w:val="left"/>
      <w:pPr>
        <w:tabs>
          <w:tab w:val="num" w:pos="284"/>
        </w:tabs>
        <w:ind w:left="284" w:hanging="284"/>
      </w:pPr>
      <w:rPr>
        <w:rFonts w:ascii="Symbol" w:hAnsi="Symbol" w:cs="Times New Roman"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CCE4871"/>
    <w:multiLevelType w:val="hybridMultilevel"/>
    <w:tmpl w:val="C44E9C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7DE5166B"/>
    <w:multiLevelType w:val="hybridMultilevel"/>
    <w:tmpl w:val="0B1C8D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2"/>
  </w:num>
  <w:num w:numId="2">
    <w:abstractNumId w:val="10"/>
  </w:num>
  <w:num w:numId="3">
    <w:abstractNumId w:val="19"/>
  </w:num>
  <w:num w:numId="4">
    <w:abstractNumId w:val="15"/>
  </w:num>
  <w:num w:numId="5">
    <w:abstractNumId w:val="30"/>
  </w:num>
  <w:num w:numId="6">
    <w:abstractNumId w:val="31"/>
  </w:num>
  <w:num w:numId="7">
    <w:abstractNumId w:val="1"/>
  </w:num>
  <w:num w:numId="8">
    <w:abstractNumId w:val="26"/>
  </w:num>
  <w:num w:numId="9">
    <w:abstractNumId w:val="3"/>
  </w:num>
  <w:num w:numId="10">
    <w:abstractNumId w:val="30"/>
  </w:num>
  <w:num w:numId="11">
    <w:abstractNumId w:val="30"/>
  </w:num>
  <w:num w:numId="12">
    <w:abstractNumId w:val="10"/>
  </w:num>
  <w:num w:numId="13">
    <w:abstractNumId w:val="19"/>
  </w:num>
  <w:num w:numId="14">
    <w:abstractNumId w:val="15"/>
  </w:num>
  <w:num w:numId="15">
    <w:abstractNumId w:val="15"/>
  </w:num>
  <w:num w:numId="16">
    <w:abstractNumId w:val="30"/>
  </w:num>
  <w:num w:numId="17">
    <w:abstractNumId w:val="31"/>
  </w:num>
  <w:num w:numId="18">
    <w:abstractNumId w:val="1"/>
  </w:num>
  <w:num w:numId="19">
    <w:abstractNumId w:val="2"/>
  </w:num>
  <w:num w:numId="20">
    <w:abstractNumId w:val="16"/>
  </w:num>
  <w:num w:numId="21">
    <w:abstractNumId w:val="29"/>
  </w:num>
  <w:num w:numId="22">
    <w:abstractNumId w:val="11"/>
  </w:num>
  <w:num w:numId="23">
    <w:abstractNumId w:val="0"/>
  </w:num>
  <w:num w:numId="24">
    <w:abstractNumId w:val="9"/>
  </w:num>
  <w:num w:numId="25">
    <w:abstractNumId w:val="24"/>
  </w:num>
  <w:num w:numId="26">
    <w:abstractNumId w:val="18"/>
  </w:num>
  <w:num w:numId="27">
    <w:abstractNumId w:val="12"/>
  </w:num>
  <w:num w:numId="28">
    <w:abstractNumId w:val="23"/>
  </w:num>
  <w:num w:numId="29">
    <w:abstractNumId w:val="21"/>
  </w:num>
  <w:num w:numId="30">
    <w:abstractNumId w:val="28"/>
  </w:num>
  <w:num w:numId="31">
    <w:abstractNumId w:val="25"/>
  </w:num>
  <w:num w:numId="32">
    <w:abstractNumId w:val="14"/>
  </w:num>
  <w:num w:numId="33">
    <w:abstractNumId w:val="22"/>
  </w:num>
  <w:num w:numId="34">
    <w:abstractNumId w:val="20"/>
  </w:num>
  <w:num w:numId="35">
    <w:abstractNumId w:val="17"/>
  </w:num>
  <w:num w:numId="36">
    <w:abstractNumId w:val="4"/>
  </w:num>
  <w:num w:numId="37">
    <w:abstractNumId w:val="33"/>
  </w:num>
  <w:num w:numId="38">
    <w:abstractNumId w:val="27"/>
  </w:num>
  <w:num w:numId="39">
    <w:abstractNumId w:val="6"/>
  </w:num>
  <w:num w:numId="40">
    <w:abstractNumId w:val="7"/>
  </w:num>
  <w:num w:numId="41">
    <w:abstractNumId w:val="8"/>
  </w:num>
  <w:num w:numId="42">
    <w:abstractNumId w:val="13"/>
  </w:num>
  <w:num w:numId="43">
    <w:abstractNumId w:val="5"/>
  </w:num>
  <w:num w:numId="44">
    <w:abstractNumId w:val="3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57"/>
  <w:drawingGridVerticalSpacing w:val="181"/>
  <w:displayVerticalDrawingGridEvery w:val="2"/>
  <w:noPunctuationKerning/>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735"/>
    <w:rsid w:val="00012070"/>
    <w:rsid w:val="00012E96"/>
    <w:rsid w:val="000135D5"/>
    <w:rsid w:val="000147E6"/>
    <w:rsid w:val="00015371"/>
    <w:rsid w:val="000163BD"/>
    <w:rsid w:val="000272E0"/>
    <w:rsid w:val="00031779"/>
    <w:rsid w:val="000412DD"/>
    <w:rsid w:val="00052316"/>
    <w:rsid w:val="00054700"/>
    <w:rsid w:val="00067C95"/>
    <w:rsid w:val="0007162A"/>
    <w:rsid w:val="00071CEC"/>
    <w:rsid w:val="000728D3"/>
    <w:rsid w:val="000733A7"/>
    <w:rsid w:val="00074DFB"/>
    <w:rsid w:val="000765F5"/>
    <w:rsid w:val="00077243"/>
    <w:rsid w:val="000815FC"/>
    <w:rsid w:val="000869CE"/>
    <w:rsid w:val="00094CE2"/>
    <w:rsid w:val="000A77DB"/>
    <w:rsid w:val="000B520A"/>
    <w:rsid w:val="000B6F8D"/>
    <w:rsid w:val="000B7AFD"/>
    <w:rsid w:val="000C4574"/>
    <w:rsid w:val="000D316D"/>
    <w:rsid w:val="000D38AE"/>
    <w:rsid w:val="000D4C87"/>
    <w:rsid w:val="000E1475"/>
    <w:rsid w:val="000E1958"/>
    <w:rsid w:val="000E2D45"/>
    <w:rsid w:val="000F51D5"/>
    <w:rsid w:val="000F5FF5"/>
    <w:rsid w:val="0010006D"/>
    <w:rsid w:val="00102362"/>
    <w:rsid w:val="00104963"/>
    <w:rsid w:val="001077BF"/>
    <w:rsid w:val="00113C84"/>
    <w:rsid w:val="00116D39"/>
    <w:rsid w:val="00121F43"/>
    <w:rsid w:val="001236CF"/>
    <w:rsid w:val="00123C3E"/>
    <w:rsid w:val="0012582F"/>
    <w:rsid w:val="00134B6C"/>
    <w:rsid w:val="001378B7"/>
    <w:rsid w:val="00137EE5"/>
    <w:rsid w:val="00140289"/>
    <w:rsid w:val="00143347"/>
    <w:rsid w:val="00143397"/>
    <w:rsid w:val="00144AF1"/>
    <w:rsid w:val="001461C8"/>
    <w:rsid w:val="001467C6"/>
    <w:rsid w:val="00151891"/>
    <w:rsid w:val="00153F2A"/>
    <w:rsid w:val="001614B0"/>
    <w:rsid w:val="0016457C"/>
    <w:rsid w:val="00173632"/>
    <w:rsid w:val="00175FFC"/>
    <w:rsid w:val="00177AC0"/>
    <w:rsid w:val="00184728"/>
    <w:rsid w:val="001874BC"/>
    <w:rsid w:val="001917F6"/>
    <w:rsid w:val="001B1EE4"/>
    <w:rsid w:val="001B5DEE"/>
    <w:rsid w:val="001D7353"/>
    <w:rsid w:val="001E01DA"/>
    <w:rsid w:val="001E3D24"/>
    <w:rsid w:val="001E4372"/>
    <w:rsid w:val="001E4FCC"/>
    <w:rsid w:val="001F548E"/>
    <w:rsid w:val="001F5865"/>
    <w:rsid w:val="00201759"/>
    <w:rsid w:val="00206132"/>
    <w:rsid w:val="00206373"/>
    <w:rsid w:val="00214F7F"/>
    <w:rsid w:val="00221D53"/>
    <w:rsid w:val="00223581"/>
    <w:rsid w:val="00232239"/>
    <w:rsid w:val="002425E0"/>
    <w:rsid w:val="00245265"/>
    <w:rsid w:val="00250414"/>
    <w:rsid w:val="00250CB9"/>
    <w:rsid w:val="002524DA"/>
    <w:rsid w:val="002546B7"/>
    <w:rsid w:val="002548C7"/>
    <w:rsid w:val="00255DF0"/>
    <w:rsid w:val="00264366"/>
    <w:rsid w:val="00273308"/>
    <w:rsid w:val="002767F9"/>
    <w:rsid w:val="00276F45"/>
    <w:rsid w:val="002824B7"/>
    <w:rsid w:val="002839B9"/>
    <w:rsid w:val="0029717D"/>
    <w:rsid w:val="002B16DD"/>
    <w:rsid w:val="002B2279"/>
    <w:rsid w:val="002B2BA6"/>
    <w:rsid w:val="002B5216"/>
    <w:rsid w:val="002D1173"/>
    <w:rsid w:val="002D4C96"/>
    <w:rsid w:val="002E0EA2"/>
    <w:rsid w:val="002E7065"/>
    <w:rsid w:val="002E7A09"/>
    <w:rsid w:val="002F001E"/>
    <w:rsid w:val="002F13CD"/>
    <w:rsid w:val="002F3803"/>
    <w:rsid w:val="0030264B"/>
    <w:rsid w:val="00310523"/>
    <w:rsid w:val="00310FA6"/>
    <w:rsid w:val="00326D2A"/>
    <w:rsid w:val="00334E51"/>
    <w:rsid w:val="00337381"/>
    <w:rsid w:val="00341654"/>
    <w:rsid w:val="00342870"/>
    <w:rsid w:val="00345F77"/>
    <w:rsid w:val="00350917"/>
    <w:rsid w:val="0035724B"/>
    <w:rsid w:val="0036463D"/>
    <w:rsid w:val="00367DA3"/>
    <w:rsid w:val="003719DB"/>
    <w:rsid w:val="00371B8D"/>
    <w:rsid w:val="00373EB2"/>
    <w:rsid w:val="0037535E"/>
    <w:rsid w:val="003803BE"/>
    <w:rsid w:val="0039002F"/>
    <w:rsid w:val="00390A59"/>
    <w:rsid w:val="00394C72"/>
    <w:rsid w:val="00397F85"/>
    <w:rsid w:val="003A09AD"/>
    <w:rsid w:val="003A273C"/>
    <w:rsid w:val="003A36D5"/>
    <w:rsid w:val="003A4D26"/>
    <w:rsid w:val="003B518A"/>
    <w:rsid w:val="003C0A67"/>
    <w:rsid w:val="003C24EC"/>
    <w:rsid w:val="003C25ED"/>
    <w:rsid w:val="003D0C24"/>
    <w:rsid w:val="003D236A"/>
    <w:rsid w:val="003D4CAC"/>
    <w:rsid w:val="003D548A"/>
    <w:rsid w:val="003D5CFC"/>
    <w:rsid w:val="003D6E0A"/>
    <w:rsid w:val="003D7317"/>
    <w:rsid w:val="003E0DFE"/>
    <w:rsid w:val="003E2603"/>
    <w:rsid w:val="003E3E3E"/>
    <w:rsid w:val="003E6561"/>
    <w:rsid w:val="003E7BC4"/>
    <w:rsid w:val="003F0F7E"/>
    <w:rsid w:val="003F2997"/>
    <w:rsid w:val="003F43CF"/>
    <w:rsid w:val="003F43F9"/>
    <w:rsid w:val="003F7C64"/>
    <w:rsid w:val="004032D0"/>
    <w:rsid w:val="00406563"/>
    <w:rsid w:val="00406867"/>
    <w:rsid w:val="00406CD2"/>
    <w:rsid w:val="00411862"/>
    <w:rsid w:val="00416565"/>
    <w:rsid w:val="0041711B"/>
    <w:rsid w:val="004221A5"/>
    <w:rsid w:val="00434134"/>
    <w:rsid w:val="004360CF"/>
    <w:rsid w:val="00444D45"/>
    <w:rsid w:val="00454766"/>
    <w:rsid w:val="004555E2"/>
    <w:rsid w:val="00455F94"/>
    <w:rsid w:val="00456E9B"/>
    <w:rsid w:val="00457777"/>
    <w:rsid w:val="00461D80"/>
    <w:rsid w:val="00466CDA"/>
    <w:rsid w:val="004707CB"/>
    <w:rsid w:val="00473AA7"/>
    <w:rsid w:val="00476FDC"/>
    <w:rsid w:val="0047719C"/>
    <w:rsid w:val="00496DB3"/>
    <w:rsid w:val="004A100E"/>
    <w:rsid w:val="004A56A0"/>
    <w:rsid w:val="004C00C0"/>
    <w:rsid w:val="004C429D"/>
    <w:rsid w:val="004C675F"/>
    <w:rsid w:val="004D3454"/>
    <w:rsid w:val="004D63FF"/>
    <w:rsid w:val="004D7098"/>
    <w:rsid w:val="004E0A16"/>
    <w:rsid w:val="004E150A"/>
    <w:rsid w:val="004E37BD"/>
    <w:rsid w:val="004F5F17"/>
    <w:rsid w:val="00504689"/>
    <w:rsid w:val="005077AB"/>
    <w:rsid w:val="005149FE"/>
    <w:rsid w:val="005154F9"/>
    <w:rsid w:val="0052010E"/>
    <w:rsid w:val="00522766"/>
    <w:rsid w:val="00523BBF"/>
    <w:rsid w:val="00530283"/>
    <w:rsid w:val="005477B9"/>
    <w:rsid w:val="00550E26"/>
    <w:rsid w:val="005518CE"/>
    <w:rsid w:val="00557441"/>
    <w:rsid w:val="005578AE"/>
    <w:rsid w:val="005625FE"/>
    <w:rsid w:val="0056364C"/>
    <w:rsid w:val="00565CDB"/>
    <w:rsid w:val="005672CB"/>
    <w:rsid w:val="00576EED"/>
    <w:rsid w:val="005829CA"/>
    <w:rsid w:val="00586B72"/>
    <w:rsid w:val="0059065C"/>
    <w:rsid w:val="005928E6"/>
    <w:rsid w:val="00593DB7"/>
    <w:rsid w:val="0059519C"/>
    <w:rsid w:val="00596949"/>
    <w:rsid w:val="005A4455"/>
    <w:rsid w:val="005A47C3"/>
    <w:rsid w:val="005A6B4A"/>
    <w:rsid w:val="005A7156"/>
    <w:rsid w:val="005A7776"/>
    <w:rsid w:val="005B432F"/>
    <w:rsid w:val="005C6144"/>
    <w:rsid w:val="005D008B"/>
    <w:rsid w:val="005D3F4B"/>
    <w:rsid w:val="005E0F91"/>
    <w:rsid w:val="005E3939"/>
    <w:rsid w:val="006115C4"/>
    <w:rsid w:val="00611E1D"/>
    <w:rsid w:val="0061231E"/>
    <w:rsid w:val="00614E79"/>
    <w:rsid w:val="00614EC8"/>
    <w:rsid w:val="006153BC"/>
    <w:rsid w:val="00617EBE"/>
    <w:rsid w:val="00630522"/>
    <w:rsid w:val="00632714"/>
    <w:rsid w:val="00636F15"/>
    <w:rsid w:val="00642F53"/>
    <w:rsid w:val="00654BC0"/>
    <w:rsid w:val="00656E2F"/>
    <w:rsid w:val="00661E41"/>
    <w:rsid w:val="00663F2B"/>
    <w:rsid w:val="00670D9D"/>
    <w:rsid w:val="00677BF8"/>
    <w:rsid w:val="00681953"/>
    <w:rsid w:val="00681FC6"/>
    <w:rsid w:val="00683EB4"/>
    <w:rsid w:val="006852DE"/>
    <w:rsid w:val="00691182"/>
    <w:rsid w:val="00696A03"/>
    <w:rsid w:val="006A069A"/>
    <w:rsid w:val="006A33F8"/>
    <w:rsid w:val="006A6864"/>
    <w:rsid w:val="006B0754"/>
    <w:rsid w:val="006B0F3C"/>
    <w:rsid w:val="006B204D"/>
    <w:rsid w:val="006B4A7A"/>
    <w:rsid w:val="006B5E30"/>
    <w:rsid w:val="006B7BFE"/>
    <w:rsid w:val="006C2142"/>
    <w:rsid w:val="006D31BA"/>
    <w:rsid w:val="006D7297"/>
    <w:rsid w:val="006E0843"/>
    <w:rsid w:val="006E08F6"/>
    <w:rsid w:val="006F036E"/>
    <w:rsid w:val="0070207A"/>
    <w:rsid w:val="00702E01"/>
    <w:rsid w:val="007104C5"/>
    <w:rsid w:val="0072064D"/>
    <w:rsid w:val="007336DD"/>
    <w:rsid w:val="00743FDA"/>
    <w:rsid w:val="00744139"/>
    <w:rsid w:val="007478C2"/>
    <w:rsid w:val="00747B90"/>
    <w:rsid w:val="00755ECE"/>
    <w:rsid w:val="00757AF6"/>
    <w:rsid w:val="00757FF4"/>
    <w:rsid w:val="007617BD"/>
    <w:rsid w:val="00762F7B"/>
    <w:rsid w:val="00767EB4"/>
    <w:rsid w:val="007717B2"/>
    <w:rsid w:val="0077265D"/>
    <w:rsid w:val="0077790F"/>
    <w:rsid w:val="007820D0"/>
    <w:rsid w:val="00783EFE"/>
    <w:rsid w:val="00783F58"/>
    <w:rsid w:val="007A2281"/>
    <w:rsid w:val="007B042E"/>
    <w:rsid w:val="007C0E48"/>
    <w:rsid w:val="007C5FAB"/>
    <w:rsid w:val="007D2631"/>
    <w:rsid w:val="007E37A6"/>
    <w:rsid w:val="007E4E22"/>
    <w:rsid w:val="007E4FE8"/>
    <w:rsid w:val="007E60A1"/>
    <w:rsid w:val="007E694D"/>
    <w:rsid w:val="007F3EE5"/>
    <w:rsid w:val="00800650"/>
    <w:rsid w:val="00802A54"/>
    <w:rsid w:val="00804AEF"/>
    <w:rsid w:val="00804D49"/>
    <w:rsid w:val="00806888"/>
    <w:rsid w:val="00814D47"/>
    <w:rsid w:val="0081654C"/>
    <w:rsid w:val="00816584"/>
    <w:rsid w:val="00817570"/>
    <w:rsid w:val="0083127F"/>
    <w:rsid w:val="00831E76"/>
    <w:rsid w:val="00831FE2"/>
    <w:rsid w:val="00843412"/>
    <w:rsid w:val="00843D42"/>
    <w:rsid w:val="00845B17"/>
    <w:rsid w:val="00847FA2"/>
    <w:rsid w:val="00864A76"/>
    <w:rsid w:val="0087604D"/>
    <w:rsid w:val="00886689"/>
    <w:rsid w:val="00887304"/>
    <w:rsid w:val="00894472"/>
    <w:rsid w:val="008B1A36"/>
    <w:rsid w:val="008B3156"/>
    <w:rsid w:val="008B7666"/>
    <w:rsid w:val="008D105C"/>
    <w:rsid w:val="008D6B75"/>
    <w:rsid w:val="008D716B"/>
    <w:rsid w:val="008D7666"/>
    <w:rsid w:val="008D7908"/>
    <w:rsid w:val="008E0C4C"/>
    <w:rsid w:val="008E6963"/>
    <w:rsid w:val="008F36C7"/>
    <w:rsid w:val="0091135C"/>
    <w:rsid w:val="00913F5E"/>
    <w:rsid w:val="00921CBF"/>
    <w:rsid w:val="00923B0C"/>
    <w:rsid w:val="009247FD"/>
    <w:rsid w:val="00933765"/>
    <w:rsid w:val="00936948"/>
    <w:rsid w:val="00944BC2"/>
    <w:rsid w:val="009526A3"/>
    <w:rsid w:val="00953FAD"/>
    <w:rsid w:val="0095688C"/>
    <w:rsid w:val="00962C02"/>
    <w:rsid w:val="00963C76"/>
    <w:rsid w:val="00963FE5"/>
    <w:rsid w:val="00974B09"/>
    <w:rsid w:val="00975EFF"/>
    <w:rsid w:val="00982318"/>
    <w:rsid w:val="00983442"/>
    <w:rsid w:val="00993D41"/>
    <w:rsid w:val="009A4B0D"/>
    <w:rsid w:val="009B1EDE"/>
    <w:rsid w:val="009B4B2D"/>
    <w:rsid w:val="009B6244"/>
    <w:rsid w:val="009B6A20"/>
    <w:rsid w:val="009C235A"/>
    <w:rsid w:val="009C34DA"/>
    <w:rsid w:val="009C73C2"/>
    <w:rsid w:val="009D62FF"/>
    <w:rsid w:val="009D6DE1"/>
    <w:rsid w:val="009D7187"/>
    <w:rsid w:val="009E74C0"/>
    <w:rsid w:val="009F493D"/>
    <w:rsid w:val="00A00336"/>
    <w:rsid w:val="00A02130"/>
    <w:rsid w:val="00A04888"/>
    <w:rsid w:val="00A236A7"/>
    <w:rsid w:val="00A2540E"/>
    <w:rsid w:val="00A268C7"/>
    <w:rsid w:val="00A32596"/>
    <w:rsid w:val="00A32F68"/>
    <w:rsid w:val="00A33696"/>
    <w:rsid w:val="00A36EBD"/>
    <w:rsid w:val="00A435F6"/>
    <w:rsid w:val="00A44E49"/>
    <w:rsid w:val="00A472CF"/>
    <w:rsid w:val="00A5059C"/>
    <w:rsid w:val="00A519CC"/>
    <w:rsid w:val="00A5273A"/>
    <w:rsid w:val="00A53647"/>
    <w:rsid w:val="00A558C5"/>
    <w:rsid w:val="00A55C90"/>
    <w:rsid w:val="00A71362"/>
    <w:rsid w:val="00A75B48"/>
    <w:rsid w:val="00A82584"/>
    <w:rsid w:val="00A83C53"/>
    <w:rsid w:val="00A85757"/>
    <w:rsid w:val="00A86DBE"/>
    <w:rsid w:val="00A91D3A"/>
    <w:rsid w:val="00A94B71"/>
    <w:rsid w:val="00AA4991"/>
    <w:rsid w:val="00AB422E"/>
    <w:rsid w:val="00AB6960"/>
    <w:rsid w:val="00AC3332"/>
    <w:rsid w:val="00AD1B8A"/>
    <w:rsid w:val="00AD7AB3"/>
    <w:rsid w:val="00AE0EB3"/>
    <w:rsid w:val="00AE250D"/>
    <w:rsid w:val="00AE52D5"/>
    <w:rsid w:val="00AE5F85"/>
    <w:rsid w:val="00AE7561"/>
    <w:rsid w:val="00AF1433"/>
    <w:rsid w:val="00AF367C"/>
    <w:rsid w:val="00AF4FCA"/>
    <w:rsid w:val="00B008B4"/>
    <w:rsid w:val="00B010AD"/>
    <w:rsid w:val="00B03D37"/>
    <w:rsid w:val="00B04101"/>
    <w:rsid w:val="00B045C1"/>
    <w:rsid w:val="00B06A1E"/>
    <w:rsid w:val="00B07AD5"/>
    <w:rsid w:val="00B11A4D"/>
    <w:rsid w:val="00B2593F"/>
    <w:rsid w:val="00B35F23"/>
    <w:rsid w:val="00B362C7"/>
    <w:rsid w:val="00B369D1"/>
    <w:rsid w:val="00B36D4E"/>
    <w:rsid w:val="00B41A17"/>
    <w:rsid w:val="00B432DE"/>
    <w:rsid w:val="00B4437C"/>
    <w:rsid w:val="00B67F3E"/>
    <w:rsid w:val="00B75863"/>
    <w:rsid w:val="00B766F4"/>
    <w:rsid w:val="00B8200C"/>
    <w:rsid w:val="00B84249"/>
    <w:rsid w:val="00B86E2F"/>
    <w:rsid w:val="00B91940"/>
    <w:rsid w:val="00B91CCC"/>
    <w:rsid w:val="00B93E67"/>
    <w:rsid w:val="00B9551F"/>
    <w:rsid w:val="00BA3C47"/>
    <w:rsid w:val="00BB53D4"/>
    <w:rsid w:val="00BC2C84"/>
    <w:rsid w:val="00BC5D5C"/>
    <w:rsid w:val="00BF0D1C"/>
    <w:rsid w:val="00BF3562"/>
    <w:rsid w:val="00BF3735"/>
    <w:rsid w:val="00C00100"/>
    <w:rsid w:val="00C01019"/>
    <w:rsid w:val="00C0509D"/>
    <w:rsid w:val="00C0520A"/>
    <w:rsid w:val="00C13229"/>
    <w:rsid w:val="00C16B9D"/>
    <w:rsid w:val="00C20446"/>
    <w:rsid w:val="00C23929"/>
    <w:rsid w:val="00C263B2"/>
    <w:rsid w:val="00C42279"/>
    <w:rsid w:val="00C441FE"/>
    <w:rsid w:val="00C4776D"/>
    <w:rsid w:val="00C51434"/>
    <w:rsid w:val="00C53398"/>
    <w:rsid w:val="00C6299D"/>
    <w:rsid w:val="00C64683"/>
    <w:rsid w:val="00C64B11"/>
    <w:rsid w:val="00C65145"/>
    <w:rsid w:val="00C657FB"/>
    <w:rsid w:val="00C65A25"/>
    <w:rsid w:val="00C65DDC"/>
    <w:rsid w:val="00C66DAE"/>
    <w:rsid w:val="00C679C9"/>
    <w:rsid w:val="00C700FD"/>
    <w:rsid w:val="00C7445C"/>
    <w:rsid w:val="00C77C7A"/>
    <w:rsid w:val="00C8100B"/>
    <w:rsid w:val="00C8709B"/>
    <w:rsid w:val="00CA2397"/>
    <w:rsid w:val="00CA5F98"/>
    <w:rsid w:val="00CB0D9F"/>
    <w:rsid w:val="00CB13C6"/>
    <w:rsid w:val="00CB24A3"/>
    <w:rsid w:val="00CC30D7"/>
    <w:rsid w:val="00CC5199"/>
    <w:rsid w:val="00CC57BF"/>
    <w:rsid w:val="00CC7AE9"/>
    <w:rsid w:val="00CD0227"/>
    <w:rsid w:val="00CE0C47"/>
    <w:rsid w:val="00CF08F0"/>
    <w:rsid w:val="00CF2ABF"/>
    <w:rsid w:val="00D02F70"/>
    <w:rsid w:val="00D17961"/>
    <w:rsid w:val="00D17B4F"/>
    <w:rsid w:val="00D273CD"/>
    <w:rsid w:val="00D34B08"/>
    <w:rsid w:val="00D35C20"/>
    <w:rsid w:val="00D4711F"/>
    <w:rsid w:val="00D62D58"/>
    <w:rsid w:val="00D66ACD"/>
    <w:rsid w:val="00D709F8"/>
    <w:rsid w:val="00D721A2"/>
    <w:rsid w:val="00D72611"/>
    <w:rsid w:val="00D81AE0"/>
    <w:rsid w:val="00D82FCE"/>
    <w:rsid w:val="00D91610"/>
    <w:rsid w:val="00D9527A"/>
    <w:rsid w:val="00D95EB1"/>
    <w:rsid w:val="00D97C41"/>
    <w:rsid w:val="00DB1297"/>
    <w:rsid w:val="00DB20B2"/>
    <w:rsid w:val="00DC06C0"/>
    <w:rsid w:val="00DC4205"/>
    <w:rsid w:val="00DC5878"/>
    <w:rsid w:val="00DC73A5"/>
    <w:rsid w:val="00DC7D35"/>
    <w:rsid w:val="00DD2B35"/>
    <w:rsid w:val="00DD5365"/>
    <w:rsid w:val="00DE11AB"/>
    <w:rsid w:val="00DE2470"/>
    <w:rsid w:val="00DF62D0"/>
    <w:rsid w:val="00E10870"/>
    <w:rsid w:val="00E12A1C"/>
    <w:rsid w:val="00E12F7B"/>
    <w:rsid w:val="00E20030"/>
    <w:rsid w:val="00E245E4"/>
    <w:rsid w:val="00E27F4A"/>
    <w:rsid w:val="00E30F79"/>
    <w:rsid w:val="00E33E4E"/>
    <w:rsid w:val="00E36400"/>
    <w:rsid w:val="00E41884"/>
    <w:rsid w:val="00E44075"/>
    <w:rsid w:val="00E50AA1"/>
    <w:rsid w:val="00E5268B"/>
    <w:rsid w:val="00E53537"/>
    <w:rsid w:val="00E57B1B"/>
    <w:rsid w:val="00E605EE"/>
    <w:rsid w:val="00E6298A"/>
    <w:rsid w:val="00E67963"/>
    <w:rsid w:val="00E77EAF"/>
    <w:rsid w:val="00E82A2C"/>
    <w:rsid w:val="00E854B4"/>
    <w:rsid w:val="00E86F3D"/>
    <w:rsid w:val="00E879FB"/>
    <w:rsid w:val="00E9095B"/>
    <w:rsid w:val="00E9260F"/>
    <w:rsid w:val="00E9448D"/>
    <w:rsid w:val="00E9622B"/>
    <w:rsid w:val="00EA1AA0"/>
    <w:rsid w:val="00EA25E3"/>
    <w:rsid w:val="00EA5124"/>
    <w:rsid w:val="00EA6987"/>
    <w:rsid w:val="00EA6FCD"/>
    <w:rsid w:val="00EB3E0E"/>
    <w:rsid w:val="00EB3F2D"/>
    <w:rsid w:val="00EB74F2"/>
    <w:rsid w:val="00EC19A9"/>
    <w:rsid w:val="00EC262F"/>
    <w:rsid w:val="00EC54C2"/>
    <w:rsid w:val="00EC6A26"/>
    <w:rsid w:val="00EF02B3"/>
    <w:rsid w:val="00EF116F"/>
    <w:rsid w:val="00EF51DB"/>
    <w:rsid w:val="00F00F21"/>
    <w:rsid w:val="00F01177"/>
    <w:rsid w:val="00F0610B"/>
    <w:rsid w:val="00F13AF9"/>
    <w:rsid w:val="00F22FFA"/>
    <w:rsid w:val="00F31F3B"/>
    <w:rsid w:val="00F34AFB"/>
    <w:rsid w:val="00F36188"/>
    <w:rsid w:val="00F3700D"/>
    <w:rsid w:val="00F37B61"/>
    <w:rsid w:val="00F37DD4"/>
    <w:rsid w:val="00F4512D"/>
    <w:rsid w:val="00F52AAB"/>
    <w:rsid w:val="00F52EA1"/>
    <w:rsid w:val="00F570DB"/>
    <w:rsid w:val="00F62828"/>
    <w:rsid w:val="00F63B43"/>
    <w:rsid w:val="00F67830"/>
    <w:rsid w:val="00F931EC"/>
    <w:rsid w:val="00F93313"/>
    <w:rsid w:val="00FA2BD3"/>
    <w:rsid w:val="00FA5AC3"/>
    <w:rsid w:val="00FB4715"/>
    <w:rsid w:val="00FB6E05"/>
    <w:rsid w:val="00FC1D12"/>
    <w:rsid w:val="00FC2E73"/>
    <w:rsid w:val="00FC32FD"/>
    <w:rsid w:val="00FE16B3"/>
    <w:rsid w:val="00FE5571"/>
    <w:rsid w:val="00FF0910"/>
    <w:rsid w:val="00FF247F"/>
    <w:rsid w:val="00FF3066"/>
    <w:rsid w:val="00FF31DD"/>
    <w:rsid w:val="00FF5A97"/>
    <w:rsid w:val="00FF6C48"/>
    <w:rsid w:val="00FF73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14:docId w14:val="742A8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77DB"/>
    <w:pPr>
      <w:spacing w:before="120"/>
    </w:pPr>
    <w:rPr>
      <w:rFonts w:ascii="Arial" w:hAnsi="Arial"/>
      <w:szCs w:val="24"/>
      <w:lang w:eastAsia="en-US"/>
    </w:rPr>
  </w:style>
  <w:style w:type="paragraph" w:styleId="Heading1">
    <w:name w:val="heading 1"/>
    <w:next w:val="Normal"/>
    <w:qFormat/>
    <w:rsid w:val="002B2279"/>
    <w:pPr>
      <w:keepNext/>
      <w:spacing w:before="240" w:after="60"/>
      <w:outlineLvl w:val="0"/>
    </w:pPr>
    <w:rPr>
      <w:rFonts w:ascii="Arial" w:hAnsi="Arial" w:cs="Arial"/>
      <w:b/>
      <w:sz w:val="26"/>
      <w:szCs w:val="32"/>
    </w:rPr>
  </w:style>
  <w:style w:type="paragraph" w:styleId="Heading2">
    <w:name w:val="heading 2"/>
    <w:basedOn w:val="Heading1"/>
    <w:next w:val="Normal"/>
    <w:link w:val="Heading2Char"/>
    <w:qFormat/>
    <w:rsid w:val="002B2279"/>
    <w:pPr>
      <w:outlineLvl w:val="1"/>
    </w:pPr>
    <w:rPr>
      <w:iCs/>
      <w:sz w:val="24"/>
      <w:szCs w:val="22"/>
    </w:rPr>
  </w:style>
  <w:style w:type="paragraph" w:styleId="Heading3">
    <w:name w:val="heading 3"/>
    <w:basedOn w:val="Normal"/>
    <w:next w:val="Normal"/>
    <w:qFormat/>
    <w:rsid w:val="008E6963"/>
    <w:pPr>
      <w:ind w:left="360"/>
      <w:outlineLvl w:val="2"/>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Name">
    <w:name w:val="DocName"/>
    <w:basedOn w:val="Normal"/>
    <w:link w:val="DocNameChar"/>
    <w:rsid w:val="002B2279"/>
    <w:pPr>
      <w:spacing w:before="0"/>
      <w:jc w:val="center"/>
    </w:pPr>
    <w:rPr>
      <w:b/>
      <w:bCs/>
      <w:sz w:val="28"/>
    </w:rPr>
  </w:style>
  <w:style w:type="paragraph" w:customStyle="1" w:styleId="DocStatus">
    <w:name w:val="DocStatus"/>
    <w:basedOn w:val="Normal"/>
    <w:rsid w:val="002B2279"/>
    <w:pPr>
      <w:spacing w:after="60"/>
      <w:jc w:val="center"/>
    </w:pPr>
    <w:rPr>
      <w:b/>
      <w:sz w:val="22"/>
    </w:rPr>
  </w:style>
  <w:style w:type="paragraph" w:customStyle="1" w:styleId="Heading2numbered">
    <w:name w:val="Heading 2 numbered"/>
    <w:basedOn w:val="Heading2"/>
    <w:next w:val="Normal"/>
    <w:rsid w:val="002B2279"/>
    <w:pPr>
      <w:numPr>
        <w:ilvl w:val="1"/>
        <w:numId w:val="16"/>
      </w:numPr>
    </w:pPr>
  </w:style>
  <w:style w:type="paragraph" w:customStyle="1" w:styleId="Heading3numbered">
    <w:name w:val="Heading 3 numbered"/>
    <w:basedOn w:val="Heading3"/>
    <w:next w:val="Normal"/>
    <w:rsid w:val="002B2279"/>
    <w:pPr>
      <w:numPr>
        <w:ilvl w:val="2"/>
        <w:numId w:val="16"/>
      </w:numPr>
    </w:pPr>
  </w:style>
  <w:style w:type="paragraph" w:customStyle="1" w:styleId="List-bullet-2">
    <w:name w:val="List-bullet-2"/>
    <w:basedOn w:val="Normal"/>
    <w:rsid w:val="002B2279"/>
    <w:pPr>
      <w:numPr>
        <w:numId w:val="13"/>
      </w:numPr>
      <w:spacing w:before="80"/>
    </w:pPr>
    <w:rPr>
      <w:rFonts w:cs="Arial"/>
      <w:szCs w:val="22"/>
      <w:lang w:val="en-US"/>
    </w:rPr>
  </w:style>
  <w:style w:type="paragraph" w:customStyle="1" w:styleId="List-number-2">
    <w:name w:val="List-number-2"/>
    <w:basedOn w:val="Normal"/>
    <w:link w:val="List-number-2Char"/>
    <w:rsid w:val="002B2279"/>
    <w:pPr>
      <w:numPr>
        <w:ilvl w:val="1"/>
        <w:numId w:val="15"/>
      </w:numPr>
    </w:pPr>
  </w:style>
  <w:style w:type="paragraph" w:customStyle="1" w:styleId="Normal-indent">
    <w:name w:val="Normal-indent"/>
    <w:basedOn w:val="Normal"/>
    <w:rsid w:val="002B2279"/>
    <w:pPr>
      <w:ind w:left="357"/>
    </w:pPr>
    <w:rPr>
      <w:lang w:eastAsia="en-AU"/>
    </w:rPr>
  </w:style>
  <w:style w:type="character" w:styleId="CommentReference">
    <w:name w:val="annotation reference"/>
    <w:semiHidden/>
    <w:rsid w:val="002B2279"/>
    <w:rPr>
      <w:sz w:val="16"/>
      <w:szCs w:val="16"/>
    </w:rPr>
  </w:style>
  <w:style w:type="paragraph" w:customStyle="1" w:styleId="TableHeader">
    <w:name w:val="TableHeader"/>
    <w:basedOn w:val="Normal"/>
    <w:rsid w:val="002B2279"/>
    <w:pPr>
      <w:keepNext/>
      <w:spacing w:before="60" w:after="40"/>
      <w:jc w:val="center"/>
    </w:pPr>
    <w:rPr>
      <w:rFonts w:cs="Arial"/>
      <w:b/>
    </w:rPr>
  </w:style>
  <w:style w:type="paragraph" w:customStyle="1" w:styleId="Table-normal-text">
    <w:name w:val="Table-normal-text"/>
    <w:basedOn w:val="Normal"/>
    <w:rsid w:val="002B2279"/>
    <w:pPr>
      <w:spacing w:before="60"/>
    </w:pPr>
  </w:style>
  <w:style w:type="paragraph" w:customStyle="1" w:styleId="Table-list-bullet">
    <w:name w:val="Table-list-bullet"/>
    <w:basedOn w:val="Table-normal-text"/>
    <w:rsid w:val="002B2279"/>
    <w:pPr>
      <w:numPr>
        <w:numId w:val="17"/>
      </w:numPr>
    </w:pPr>
  </w:style>
  <w:style w:type="paragraph" w:customStyle="1" w:styleId="Table-list-number">
    <w:name w:val="Table-list-number"/>
    <w:basedOn w:val="Table-normal-text"/>
    <w:rsid w:val="002B2279"/>
    <w:pPr>
      <w:numPr>
        <w:numId w:val="18"/>
      </w:numPr>
    </w:pPr>
  </w:style>
  <w:style w:type="paragraph" w:customStyle="1" w:styleId="TableTitle">
    <w:name w:val="TableTitle"/>
    <w:basedOn w:val="Normal"/>
    <w:next w:val="Table-normal-text"/>
    <w:rsid w:val="002B2279"/>
    <w:pPr>
      <w:keepNext/>
      <w:spacing w:before="240" w:after="120"/>
      <w:jc w:val="center"/>
    </w:pPr>
    <w:rPr>
      <w:b/>
    </w:rPr>
  </w:style>
  <w:style w:type="paragraph" w:styleId="Header">
    <w:name w:val="header"/>
    <w:basedOn w:val="Normal"/>
    <w:rsid w:val="002B2279"/>
    <w:pPr>
      <w:tabs>
        <w:tab w:val="center" w:pos="4153"/>
        <w:tab w:val="right" w:pos="8306"/>
      </w:tabs>
    </w:pPr>
    <w:rPr>
      <w:sz w:val="16"/>
    </w:rPr>
  </w:style>
  <w:style w:type="paragraph" w:styleId="Footer">
    <w:name w:val="footer"/>
    <w:basedOn w:val="Normal"/>
    <w:rsid w:val="002B2279"/>
    <w:pPr>
      <w:tabs>
        <w:tab w:val="center" w:pos="4153"/>
        <w:tab w:val="right" w:pos="8306"/>
      </w:tabs>
    </w:pPr>
    <w:rPr>
      <w:sz w:val="16"/>
    </w:rPr>
  </w:style>
  <w:style w:type="character" w:styleId="PageNumber">
    <w:name w:val="page number"/>
    <w:rsid w:val="002B2279"/>
    <w:rPr>
      <w:rFonts w:ascii="Arial" w:hAnsi="Arial"/>
      <w:sz w:val="16"/>
    </w:rPr>
  </w:style>
  <w:style w:type="character" w:styleId="Hyperlink">
    <w:name w:val="Hyperlink"/>
    <w:rsid w:val="002B2279"/>
    <w:rPr>
      <w:rFonts w:ascii="Arial" w:hAnsi="Arial"/>
      <w:color w:val="0000FF"/>
      <w:u w:val="single"/>
    </w:rPr>
  </w:style>
  <w:style w:type="paragraph" w:customStyle="1" w:styleId="List-outline-numbered">
    <w:name w:val="List-outline-numbered"/>
    <w:basedOn w:val="Normal"/>
    <w:rsid w:val="002B2279"/>
    <w:pPr>
      <w:numPr>
        <w:ilvl w:val="3"/>
        <w:numId w:val="16"/>
      </w:numPr>
    </w:pPr>
  </w:style>
  <w:style w:type="paragraph" w:customStyle="1" w:styleId="List-bullet-1">
    <w:name w:val="List-bullet-1"/>
    <w:basedOn w:val="Normal"/>
    <w:rsid w:val="002B2279"/>
    <w:pPr>
      <w:numPr>
        <w:numId w:val="12"/>
      </w:numPr>
    </w:pPr>
    <w:rPr>
      <w:rFonts w:cs="Arial"/>
      <w:szCs w:val="22"/>
    </w:rPr>
  </w:style>
  <w:style w:type="paragraph" w:customStyle="1" w:styleId="List-number-1">
    <w:name w:val="List-number-1"/>
    <w:basedOn w:val="Normal"/>
    <w:rsid w:val="002B2279"/>
    <w:pPr>
      <w:numPr>
        <w:numId w:val="15"/>
      </w:numPr>
    </w:pPr>
  </w:style>
  <w:style w:type="paragraph" w:styleId="BalloonText">
    <w:name w:val="Balloon Text"/>
    <w:basedOn w:val="Normal"/>
    <w:semiHidden/>
    <w:rsid w:val="002B2279"/>
    <w:rPr>
      <w:rFonts w:ascii="Tahoma" w:hAnsi="Tahoma" w:cs="Tahoma"/>
      <w:sz w:val="16"/>
      <w:szCs w:val="16"/>
    </w:rPr>
  </w:style>
  <w:style w:type="table" w:styleId="TableGrid">
    <w:name w:val="Table Grid"/>
    <w:basedOn w:val="TableNormal"/>
    <w:rsid w:val="002B2279"/>
    <w:pPr>
      <w:spacing w:before="60"/>
    </w:pPr>
    <w:rPr>
      <w:rFonts w:ascii="Arial" w:hAnsi="Arial"/>
      <w:sz w:val="18"/>
      <w:szCs w:val="18"/>
    </w:rPr>
    <w:tblPr>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57" w:type="dxa"/>
        <w:bottom w:w="28" w:type="dxa"/>
        <w:right w:w="57" w:type="dxa"/>
      </w:tblCellMar>
    </w:tblPr>
    <w:trPr>
      <w:cantSplit/>
    </w:trPr>
    <w:tblStylePr w:type="firstRow">
      <w:pPr>
        <w:jc w:val="center"/>
      </w:pPr>
      <w:rPr>
        <w:rFonts w:ascii="Arial" w:hAnsi="Arial"/>
        <w:b/>
        <w:sz w:val="18"/>
      </w:rPr>
      <w:tblPr/>
      <w:trPr>
        <w:tblHeader/>
      </w:trPr>
      <w:tcPr>
        <w:shd w:val="clear" w:color="auto" w:fill="E0E0E0"/>
        <w:vAlign w:val="center"/>
      </w:tcPr>
    </w:tblStylePr>
  </w:style>
  <w:style w:type="table" w:customStyle="1" w:styleId="TableCheckList-1">
    <w:name w:val="TableCheckList-1"/>
    <w:basedOn w:val="TableNormal"/>
    <w:rsid w:val="002B2279"/>
    <w:pPr>
      <w:spacing w:before="60"/>
    </w:pPr>
    <w:rPr>
      <w:rFonts w:ascii="Arial" w:hAnsi="Arial"/>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57" w:type="dxa"/>
        <w:left w:w="57" w:type="dxa"/>
        <w:bottom w:w="0" w:type="dxa"/>
        <w:right w:w="57" w:type="dxa"/>
      </w:tblCellMar>
    </w:tblPr>
    <w:tblStylePr w:type="firstCol">
      <w:tblPr/>
      <w:tcPr>
        <w:tcBorders>
          <w:bottom w:val="nil"/>
          <w:insideH w:val="single" w:sz="4" w:space="0" w:color="999999"/>
        </w:tcBorders>
      </w:tcPr>
    </w:tblStylePr>
  </w:style>
  <w:style w:type="table" w:customStyle="1" w:styleId="TableCheckList-2">
    <w:name w:val="TableCheckList-2"/>
    <w:basedOn w:val="TableNormal"/>
    <w:rsid w:val="002B2279"/>
    <w:pPr>
      <w:spacing w:before="60"/>
    </w:pPr>
    <w:rPr>
      <w:rFonts w:ascii="Arial" w:hAnsi="Arial"/>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57" w:type="dxa"/>
        <w:left w:w="57" w:type="dxa"/>
        <w:bottom w:w="0" w:type="dxa"/>
        <w:right w:w="57" w:type="dxa"/>
      </w:tblCellMar>
    </w:tblPr>
    <w:tblStylePr w:type="lastCol">
      <w:tblPr/>
      <w:tcPr>
        <w:tcBorders>
          <w:bottom w:val="single" w:sz="4" w:space="0" w:color="999999"/>
          <w:insideH w:val="single" w:sz="4" w:space="0" w:color="999999"/>
        </w:tcBorders>
      </w:tcPr>
    </w:tblStylePr>
  </w:style>
  <w:style w:type="paragraph" w:styleId="CommentText">
    <w:name w:val="annotation text"/>
    <w:basedOn w:val="Normal"/>
    <w:semiHidden/>
    <w:rsid w:val="002B2279"/>
    <w:rPr>
      <w:szCs w:val="20"/>
    </w:rPr>
  </w:style>
  <w:style w:type="paragraph" w:styleId="CommentSubject">
    <w:name w:val="annotation subject"/>
    <w:basedOn w:val="CommentText"/>
    <w:next w:val="CommentText"/>
    <w:semiHidden/>
    <w:rsid w:val="002B2279"/>
    <w:rPr>
      <w:b/>
      <w:bCs/>
    </w:rPr>
  </w:style>
  <w:style w:type="character" w:customStyle="1" w:styleId="List-number-2Char">
    <w:name w:val="List-number-2 Char"/>
    <w:link w:val="List-number-2"/>
    <w:rsid w:val="002B2279"/>
    <w:rPr>
      <w:rFonts w:ascii="Arial" w:hAnsi="Arial"/>
      <w:szCs w:val="24"/>
      <w:lang w:val="en-AU" w:eastAsia="en-US" w:bidi="ar-SA"/>
    </w:rPr>
  </w:style>
  <w:style w:type="table" w:customStyle="1" w:styleId="Tablewithnoheader">
    <w:name w:val="Table with no header"/>
    <w:basedOn w:val="TableNormal"/>
    <w:rsid w:val="002B2279"/>
    <w:rPr>
      <w:rFonts w:ascii="Arial" w:hAnsi="Arial"/>
    </w:rPr>
    <w:tblPr>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108" w:type="dxa"/>
        <w:bottom w:w="57" w:type="dxa"/>
        <w:right w:w="108" w:type="dxa"/>
      </w:tblCellMar>
    </w:tblPr>
    <w:trPr>
      <w:cantSplit/>
    </w:trPr>
    <w:tcPr>
      <w:shd w:val="clear" w:color="auto" w:fill="auto"/>
    </w:tcPr>
  </w:style>
  <w:style w:type="table" w:customStyle="1" w:styleId="Tablewithheader">
    <w:name w:val="Table with header"/>
    <w:basedOn w:val="Tablewithnoheader"/>
    <w:rsid w:val="002B2279"/>
    <w:tblPr>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108" w:type="dxa"/>
        <w:bottom w:w="57" w:type="dxa"/>
        <w:right w:w="108" w:type="dxa"/>
      </w:tblCellMar>
    </w:tblPr>
    <w:trPr>
      <w:cantSplit/>
    </w:trPr>
    <w:tcPr>
      <w:shd w:val="clear" w:color="auto" w:fill="auto"/>
    </w:tcPr>
    <w:tblStylePr w:type="firstRow">
      <w:pPr>
        <w:jc w:val="center"/>
      </w:pPr>
      <w:rPr>
        <w:rFonts w:ascii="Arial" w:hAnsi="Arial"/>
        <w:b/>
        <w:sz w:val="20"/>
      </w:rPr>
      <w:tblPr/>
      <w:trPr>
        <w:tblHeader/>
      </w:trPr>
      <w:tcPr>
        <w:shd w:val="clear" w:color="auto" w:fill="E0E0E0"/>
        <w:vAlign w:val="center"/>
      </w:tcPr>
    </w:tblStylePr>
  </w:style>
  <w:style w:type="paragraph" w:styleId="TOC1">
    <w:name w:val="toc 1"/>
    <w:basedOn w:val="Normal"/>
    <w:next w:val="Normal"/>
    <w:autoRedefine/>
    <w:semiHidden/>
    <w:rsid w:val="002B2279"/>
    <w:pPr>
      <w:tabs>
        <w:tab w:val="left" w:pos="798"/>
      </w:tabs>
      <w:ind w:left="456"/>
    </w:pPr>
  </w:style>
  <w:style w:type="paragraph" w:styleId="TOC2">
    <w:name w:val="toc 2"/>
    <w:basedOn w:val="Normal"/>
    <w:next w:val="Normal"/>
    <w:autoRedefine/>
    <w:semiHidden/>
    <w:rsid w:val="002B2279"/>
    <w:pPr>
      <w:tabs>
        <w:tab w:val="left" w:pos="855"/>
      </w:tabs>
      <w:spacing w:before="80"/>
      <w:ind w:left="454"/>
    </w:pPr>
  </w:style>
  <w:style w:type="paragraph" w:styleId="TOC3">
    <w:name w:val="toc 3"/>
    <w:basedOn w:val="Normal"/>
    <w:next w:val="Normal"/>
    <w:autoRedefine/>
    <w:semiHidden/>
    <w:rsid w:val="002B2279"/>
    <w:pPr>
      <w:tabs>
        <w:tab w:val="left" w:pos="1311"/>
      </w:tabs>
      <w:spacing w:before="40"/>
      <w:ind w:left="856"/>
    </w:pPr>
  </w:style>
  <w:style w:type="character" w:customStyle="1" w:styleId="DocNameChar">
    <w:name w:val="DocName Char"/>
    <w:link w:val="DocName"/>
    <w:rsid w:val="003D6E0A"/>
    <w:rPr>
      <w:rFonts w:ascii="Arial" w:hAnsi="Arial"/>
      <w:b/>
      <w:bCs/>
      <w:sz w:val="28"/>
      <w:szCs w:val="24"/>
      <w:lang w:val="en-AU" w:eastAsia="en-US" w:bidi="ar-SA"/>
    </w:rPr>
  </w:style>
  <w:style w:type="character" w:customStyle="1" w:styleId="Heading2Char">
    <w:name w:val="Heading 2 Char"/>
    <w:link w:val="Heading2"/>
    <w:rsid w:val="00C657FB"/>
    <w:rPr>
      <w:rFonts w:ascii="Arial" w:hAnsi="Arial" w:cs="Arial"/>
      <w:b/>
      <w:iCs/>
      <w:sz w:val="24"/>
      <w:szCs w:val="22"/>
    </w:rPr>
  </w:style>
  <w:style w:type="character" w:styleId="FollowedHyperlink">
    <w:name w:val="FollowedHyperlink"/>
    <w:basedOn w:val="DefaultParagraphFont"/>
    <w:rsid w:val="00077243"/>
    <w:rPr>
      <w:color w:val="800080" w:themeColor="followedHyperlink"/>
      <w:u w:val="single"/>
    </w:rPr>
  </w:style>
  <w:style w:type="paragraph" w:styleId="ListParagraph">
    <w:name w:val="List Paragraph"/>
    <w:basedOn w:val="Normal"/>
    <w:uiPriority w:val="34"/>
    <w:qFormat/>
    <w:rsid w:val="00074DF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A77DB"/>
    <w:pPr>
      <w:spacing w:before="120"/>
    </w:pPr>
    <w:rPr>
      <w:rFonts w:ascii="Arial" w:hAnsi="Arial"/>
      <w:szCs w:val="24"/>
      <w:lang w:eastAsia="en-US"/>
    </w:rPr>
  </w:style>
  <w:style w:type="paragraph" w:styleId="Heading1">
    <w:name w:val="heading 1"/>
    <w:next w:val="Normal"/>
    <w:qFormat/>
    <w:rsid w:val="002B2279"/>
    <w:pPr>
      <w:keepNext/>
      <w:spacing w:before="240" w:after="60"/>
      <w:outlineLvl w:val="0"/>
    </w:pPr>
    <w:rPr>
      <w:rFonts w:ascii="Arial" w:hAnsi="Arial" w:cs="Arial"/>
      <w:b/>
      <w:sz w:val="26"/>
      <w:szCs w:val="32"/>
    </w:rPr>
  </w:style>
  <w:style w:type="paragraph" w:styleId="Heading2">
    <w:name w:val="heading 2"/>
    <w:basedOn w:val="Heading1"/>
    <w:next w:val="Normal"/>
    <w:link w:val="Heading2Char"/>
    <w:qFormat/>
    <w:rsid w:val="002B2279"/>
    <w:pPr>
      <w:outlineLvl w:val="1"/>
    </w:pPr>
    <w:rPr>
      <w:iCs/>
      <w:sz w:val="24"/>
      <w:szCs w:val="22"/>
    </w:rPr>
  </w:style>
  <w:style w:type="paragraph" w:styleId="Heading3">
    <w:name w:val="heading 3"/>
    <w:basedOn w:val="Normal"/>
    <w:next w:val="Normal"/>
    <w:qFormat/>
    <w:rsid w:val="008E6963"/>
    <w:pPr>
      <w:ind w:left="360"/>
      <w:outlineLvl w:val="2"/>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Name">
    <w:name w:val="DocName"/>
    <w:basedOn w:val="Normal"/>
    <w:link w:val="DocNameChar"/>
    <w:rsid w:val="002B2279"/>
    <w:pPr>
      <w:spacing w:before="0"/>
      <w:jc w:val="center"/>
    </w:pPr>
    <w:rPr>
      <w:b/>
      <w:bCs/>
      <w:sz w:val="28"/>
    </w:rPr>
  </w:style>
  <w:style w:type="paragraph" w:customStyle="1" w:styleId="DocStatus">
    <w:name w:val="DocStatus"/>
    <w:basedOn w:val="Normal"/>
    <w:rsid w:val="002B2279"/>
    <w:pPr>
      <w:spacing w:after="60"/>
      <w:jc w:val="center"/>
    </w:pPr>
    <w:rPr>
      <w:b/>
      <w:sz w:val="22"/>
    </w:rPr>
  </w:style>
  <w:style w:type="paragraph" w:customStyle="1" w:styleId="Heading2numbered">
    <w:name w:val="Heading 2 numbered"/>
    <w:basedOn w:val="Heading2"/>
    <w:next w:val="Normal"/>
    <w:rsid w:val="002B2279"/>
    <w:pPr>
      <w:numPr>
        <w:ilvl w:val="1"/>
        <w:numId w:val="16"/>
      </w:numPr>
    </w:pPr>
  </w:style>
  <w:style w:type="paragraph" w:customStyle="1" w:styleId="Heading3numbered">
    <w:name w:val="Heading 3 numbered"/>
    <w:basedOn w:val="Heading3"/>
    <w:next w:val="Normal"/>
    <w:rsid w:val="002B2279"/>
    <w:pPr>
      <w:numPr>
        <w:ilvl w:val="2"/>
        <w:numId w:val="16"/>
      </w:numPr>
    </w:pPr>
  </w:style>
  <w:style w:type="paragraph" w:customStyle="1" w:styleId="List-bullet-2">
    <w:name w:val="List-bullet-2"/>
    <w:basedOn w:val="Normal"/>
    <w:rsid w:val="002B2279"/>
    <w:pPr>
      <w:numPr>
        <w:numId w:val="13"/>
      </w:numPr>
      <w:spacing w:before="80"/>
    </w:pPr>
    <w:rPr>
      <w:rFonts w:cs="Arial"/>
      <w:szCs w:val="22"/>
      <w:lang w:val="en-US"/>
    </w:rPr>
  </w:style>
  <w:style w:type="paragraph" w:customStyle="1" w:styleId="List-number-2">
    <w:name w:val="List-number-2"/>
    <w:basedOn w:val="Normal"/>
    <w:link w:val="List-number-2Char"/>
    <w:rsid w:val="002B2279"/>
    <w:pPr>
      <w:numPr>
        <w:ilvl w:val="1"/>
        <w:numId w:val="15"/>
      </w:numPr>
    </w:pPr>
  </w:style>
  <w:style w:type="paragraph" w:customStyle="1" w:styleId="Normal-indent">
    <w:name w:val="Normal-indent"/>
    <w:basedOn w:val="Normal"/>
    <w:rsid w:val="002B2279"/>
    <w:pPr>
      <w:ind w:left="357"/>
    </w:pPr>
    <w:rPr>
      <w:lang w:eastAsia="en-AU"/>
    </w:rPr>
  </w:style>
  <w:style w:type="character" w:styleId="CommentReference">
    <w:name w:val="annotation reference"/>
    <w:semiHidden/>
    <w:rsid w:val="002B2279"/>
    <w:rPr>
      <w:sz w:val="16"/>
      <w:szCs w:val="16"/>
    </w:rPr>
  </w:style>
  <w:style w:type="paragraph" w:customStyle="1" w:styleId="TableHeader">
    <w:name w:val="TableHeader"/>
    <w:basedOn w:val="Normal"/>
    <w:rsid w:val="002B2279"/>
    <w:pPr>
      <w:keepNext/>
      <w:spacing w:before="60" w:after="40"/>
      <w:jc w:val="center"/>
    </w:pPr>
    <w:rPr>
      <w:rFonts w:cs="Arial"/>
      <w:b/>
    </w:rPr>
  </w:style>
  <w:style w:type="paragraph" w:customStyle="1" w:styleId="Table-normal-text">
    <w:name w:val="Table-normal-text"/>
    <w:basedOn w:val="Normal"/>
    <w:rsid w:val="002B2279"/>
    <w:pPr>
      <w:spacing w:before="60"/>
    </w:pPr>
  </w:style>
  <w:style w:type="paragraph" w:customStyle="1" w:styleId="Table-list-bullet">
    <w:name w:val="Table-list-bullet"/>
    <w:basedOn w:val="Table-normal-text"/>
    <w:rsid w:val="002B2279"/>
    <w:pPr>
      <w:numPr>
        <w:numId w:val="17"/>
      </w:numPr>
    </w:pPr>
  </w:style>
  <w:style w:type="paragraph" w:customStyle="1" w:styleId="Table-list-number">
    <w:name w:val="Table-list-number"/>
    <w:basedOn w:val="Table-normal-text"/>
    <w:rsid w:val="002B2279"/>
    <w:pPr>
      <w:numPr>
        <w:numId w:val="18"/>
      </w:numPr>
    </w:pPr>
  </w:style>
  <w:style w:type="paragraph" w:customStyle="1" w:styleId="TableTitle">
    <w:name w:val="TableTitle"/>
    <w:basedOn w:val="Normal"/>
    <w:next w:val="Table-normal-text"/>
    <w:rsid w:val="002B2279"/>
    <w:pPr>
      <w:keepNext/>
      <w:spacing w:before="240" w:after="120"/>
      <w:jc w:val="center"/>
    </w:pPr>
    <w:rPr>
      <w:b/>
    </w:rPr>
  </w:style>
  <w:style w:type="paragraph" w:styleId="Header">
    <w:name w:val="header"/>
    <w:basedOn w:val="Normal"/>
    <w:rsid w:val="002B2279"/>
    <w:pPr>
      <w:tabs>
        <w:tab w:val="center" w:pos="4153"/>
        <w:tab w:val="right" w:pos="8306"/>
      </w:tabs>
    </w:pPr>
    <w:rPr>
      <w:sz w:val="16"/>
    </w:rPr>
  </w:style>
  <w:style w:type="paragraph" w:styleId="Footer">
    <w:name w:val="footer"/>
    <w:basedOn w:val="Normal"/>
    <w:rsid w:val="002B2279"/>
    <w:pPr>
      <w:tabs>
        <w:tab w:val="center" w:pos="4153"/>
        <w:tab w:val="right" w:pos="8306"/>
      </w:tabs>
    </w:pPr>
    <w:rPr>
      <w:sz w:val="16"/>
    </w:rPr>
  </w:style>
  <w:style w:type="character" w:styleId="PageNumber">
    <w:name w:val="page number"/>
    <w:rsid w:val="002B2279"/>
    <w:rPr>
      <w:rFonts w:ascii="Arial" w:hAnsi="Arial"/>
      <w:sz w:val="16"/>
    </w:rPr>
  </w:style>
  <w:style w:type="character" w:styleId="Hyperlink">
    <w:name w:val="Hyperlink"/>
    <w:rsid w:val="002B2279"/>
    <w:rPr>
      <w:rFonts w:ascii="Arial" w:hAnsi="Arial"/>
      <w:color w:val="0000FF"/>
      <w:u w:val="single"/>
    </w:rPr>
  </w:style>
  <w:style w:type="paragraph" w:customStyle="1" w:styleId="List-outline-numbered">
    <w:name w:val="List-outline-numbered"/>
    <w:basedOn w:val="Normal"/>
    <w:rsid w:val="002B2279"/>
    <w:pPr>
      <w:numPr>
        <w:ilvl w:val="3"/>
        <w:numId w:val="16"/>
      </w:numPr>
    </w:pPr>
  </w:style>
  <w:style w:type="paragraph" w:customStyle="1" w:styleId="List-bullet-1">
    <w:name w:val="List-bullet-1"/>
    <w:basedOn w:val="Normal"/>
    <w:rsid w:val="002B2279"/>
    <w:pPr>
      <w:numPr>
        <w:numId w:val="12"/>
      </w:numPr>
    </w:pPr>
    <w:rPr>
      <w:rFonts w:cs="Arial"/>
      <w:szCs w:val="22"/>
    </w:rPr>
  </w:style>
  <w:style w:type="paragraph" w:customStyle="1" w:styleId="List-number-1">
    <w:name w:val="List-number-1"/>
    <w:basedOn w:val="Normal"/>
    <w:rsid w:val="002B2279"/>
    <w:pPr>
      <w:numPr>
        <w:numId w:val="15"/>
      </w:numPr>
    </w:pPr>
  </w:style>
  <w:style w:type="paragraph" w:styleId="BalloonText">
    <w:name w:val="Balloon Text"/>
    <w:basedOn w:val="Normal"/>
    <w:semiHidden/>
    <w:rsid w:val="002B2279"/>
    <w:rPr>
      <w:rFonts w:ascii="Tahoma" w:hAnsi="Tahoma" w:cs="Tahoma"/>
      <w:sz w:val="16"/>
      <w:szCs w:val="16"/>
    </w:rPr>
  </w:style>
  <w:style w:type="table" w:styleId="TableGrid">
    <w:name w:val="Table Grid"/>
    <w:basedOn w:val="TableNormal"/>
    <w:rsid w:val="002B2279"/>
    <w:pPr>
      <w:spacing w:before="60"/>
    </w:pPr>
    <w:rPr>
      <w:rFonts w:ascii="Arial" w:hAnsi="Arial"/>
      <w:sz w:val="18"/>
      <w:szCs w:val="18"/>
    </w:rPr>
    <w:tblPr>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57" w:type="dxa"/>
        <w:bottom w:w="28" w:type="dxa"/>
        <w:right w:w="57" w:type="dxa"/>
      </w:tblCellMar>
    </w:tblPr>
    <w:trPr>
      <w:cantSplit/>
    </w:trPr>
    <w:tblStylePr w:type="firstRow">
      <w:pPr>
        <w:jc w:val="center"/>
      </w:pPr>
      <w:rPr>
        <w:rFonts w:ascii="Arial" w:hAnsi="Arial"/>
        <w:b/>
        <w:sz w:val="18"/>
      </w:rPr>
      <w:tblPr/>
      <w:trPr>
        <w:tblHeader/>
      </w:trPr>
      <w:tcPr>
        <w:shd w:val="clear" w:color="auto" w:fill="E0E0E0"/>
        <w:vAlign w:val="center"/>
      </w:tcPr>
    </w:tblStylePr>
  </w:style>
  <w:style w:type="table" w:customStyle="1" w:styleId="TableCheckList-1">
    <w:name w:val="TableCheckList-1"/>
    <w:basedOn w:val="TableNormal"/>
    <w:rsid w:val="002B2279"/>
    <w:pPr>
      <w:spacing w:before="60"/>
    </w:pPr>
    <w:rPr>
      <w:rFonts w:ascii="Arial" w:hAnsi="Arial"/>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57" w:type="dxa"/>
        <w:left w:w="57" w:type="dxa"/>
        <w:bottom w:w="0" w:type="dxa"/>
        <w:right w:w="57" w:type="dxa"/>
      </w:tblCellMar>
    </w:tblPr>
    <w:tblStylePr w:type="firstCol">
      <w:tblPr/>
      <w:tcPr>
        <w:tcBorders>
          <w:bottom w:val="nil"/>
          <w:insideH w:val="single" w:sz="4" w:space="0" w:color="999999"/>
        </w:tcBorders>
      </w:tcPr>
    </w:tblStylePr>
  </w:style>
  <w:style w:type="table" w:customStyle="1" w:styleId="TableCheckList-2">
    <w:name w:val="TableCheckList-2"/>
    <w:basedOn w:val="TableNormal"/>
    <w:rsid w:val="002B2279"/>
    <w:pPr>
      <w:spacing w:before="60"/>
    </w:pPr>
    <w:rPr>
      <w:rFonts w:ascii="Arial" w:hAnsi="Arial"/>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57" w:type="dxa"/>
        <w:left w:w="57" w:type="dxa"/>
        <w:bottom w:w="0" w:type="dxa"/>
        <w:right w:w="57" w:type="dxa"/>
      </w:tblCellMar>
    </w:tblPr>
    <w:tblStylePr w:type="lastCol">
      <w:tblPr/>
      <w:tcPr>
        <w:tcBorders>
          <w:bottom w:val="single" w:sz="4" w:space="0" w:color="999999"/>
          <w:insideH w:val="single" w:sz="4" w:space="0" w:color="999999"/>
        </w:tcBorders>
      </w:tcPr>
    </w:tblStylePr>
  </w:style>
  <w:style w:type="paragraph" w:styleId="CommentText">
    <w:name w:val="annotation text"/>
    <w:basedOn w:val="Normal"/>
    <w:semiHidden/>
    <w:rsid w:val="002B2279"/>
    <w:rPr>
      <w:szCs w:val="20"/>
    </w:rPr>
  </w:style>
  <w:style w:type="paragraph" w:styleId="CommentSubject">
    <w:name w:val="annotation subject"/>
    <w:basedOn w:val="CommentText"/>
    <w:next w:val="CommentText"/>
    <w:semiHidden/>
    <w:rsid w:val="002B2279"/>
    <w:rPr>
      <w:b/>
      <w:bCs/>
    </w:rPr>
  </w:style>
  <w:style w:type="character" w:customStyle="1" w:styleId="List-number-2Char">
    <w:name w:val="List-number-2 Char"/>
    <w:link w:val="List-number-2"/>
    <w:rsid w:val="002B2279"/>
    <w:rPr>
      <w:rFonts w:ascii="Arial" w:hAnsi="Arial"/>
      <w:szCs w:val="24"/>
      <w:lang w:val="en-AU" w:eastAsia="en-US" w:bidi="ar-SA"/>
    </w:rPr>
  </w:style>
  <w:style w:type="table" w:customStyle="1" w:styleId="Tablewithnoheader">
    <w:name w:val="Table with no header"/>
    <w:basedOn w:val="TableNormal"/>
    <w:rsid w:val="002B2279"/>
    <w:rPr>
      <w:rFonts w:ascii="Arial" w:hAnsi="Arial"/>
    </w:rPr>
    <w:tblPr>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108" w:type="dxa"/>
        <w:bottom w:w="57" w:type="dxa"/>
        <w:right w:w="108" w:type="dxa"/>
      </w:tblCellMar>
    </w:tblPr>
    <w:trPr>
      <w:cantSplit/>
    </w:trPr>
    <w:tcPr>
      <w:shd w:val="clear" w:color="auto" w:fill="auto"/>
    </w:tcPr>
  </w:style>
  <w:style w:type="table" w:customStyle="1" w:styleId="Tablewithheader">
    <w:name w:val="Table with header"/>
    <w:basedOn w:val="Tablewithnoheader"/>
    <w:rsid w:val="002B2279"/>
    <w:tblPr>
      <w:tblInd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left w:w="108" w:type="dxa"/>
        <w:bottom w:w="57" w:type="dxa"/>
        <w:right w:w="108" w:type="dxa"/>
      </w:tblCellMar>
    </w:tblPr>
    <w:trPr>
      <w:cantSplit/>
    </w:trPr>
    <w:tcPr>
      <w:shd w:val="clear" w:color="auto" w:fill="auto"/>
    </w:tcPr>
    <w:tblStylePr w:type="firstRow">
      <w:pPr>
        <w:jc w:val="center"/>
      </w:pPr>
      <w:rPr>
        <w:rFonts w:ascii="Arial" w:hAnsi="Arial"/>
        <w:b/>
        <w:sz w:val="20"/>
      </w:rPr>
      <w:tblPr/>
      <w:trPr>
        <w:tblHeader/>
      </w:trPr>
      <w:tcPr>
        <w:shd w:val="clear" w:color="auto" w:fill="E0E0E0"/>
        <w:vAlign w:val="center"/>
      </w:tcPr>
    </w:tblStylePr>
  </w:style>
  <w:style w:type="paragraph" w:styleId="TOC1">
    <w:name w:val="toc 1"/>
    <w:basedOn w:val="Normal"/>
    <w:next w:val="Normal"/>
    <w:autoRedefine/>
    <w:semiHidden/>
    <w:rsid w:val="002B2279"/>
    <w:pPr>
      <w:tabs>
        <w:tab w:val="left" w:pos="798"/>
      </w:tabs>
      <w:ind w:left="456"/>
    </w:pPr>
  </w:style>
  <w:style w:type="paragraph" w:styleId="TOC2">
    <w:name w:val="toc 2"/>
    <w:basedOn w:val="Normal"/>
    <w:next w:val="Normal"/>
    <w:autoRedefine/>
    <w:semiHidden/>
    <w:rsid w:val="002B2279"/>
    <w:pPr>
      <w:tabs>
        <w:tab w:val="left" w:pos="855"/>
      </w:tabs>
      <w:spacing w:before="80"/>
      <w:ind w:left="454"/>
    </w:pPr>
  </w:style>
  <w:style w:type="paragraph" w:styleId="TOC3">
    <w:name w:val="toc 3"/>
    <w:basedOn w:val="Normal"/>
    <w:next w:val="Normal"/>
    <w:autoRedefine/>
    <w:semiHidden/>
    <w:rsid w:val="002B2279"/>
    <w:pPr>
      <w:tabs>
        <w:tab w:val="left" w:pos="1311"/>
      </w:tabs>
      <w:spacing w:before="40"/>
      <w:ind w:left="856"/>
    </w:pPr>
  </w:style>
  <w:style w:type="character" w:customStyle="1" w:styleId="DocNameChar">
    <w:name w:val="DocName Char"/>
    <w:link w:val="DocName"/>
    <w:rsid w:val="003D6E0A"/>
    <w:rPr>
      <w:rFonts w:ascii="Arial" w:hAnsi="Arial"/>
      <w:b/>
      <w:bCs/>
      <w:sz w:val="28"/>
      <w:szCs w:val="24"/>
      <w:lang w:val="en-AU" w:eastAsia="en-US" w:bidi="ar-SA"/>
    </w:rPr>
  </w:style>
  <w:style w:type="character" w:customStyle="1" w:styleId="Heading2Char">
    <w:name w:val="Heading 2 Char"/>
    <w:link w:val="Heading2"/>
    <w:rsid w:val="00C657FB"/>
    <w:rPr>
      <w:rFonts w:ascii="Arial" w:hAnsi="Arial" w:cs="Arial"/>
      <w:b/>
      <w:iCs/>
      <w:sz w:val="24"/>
      <w:szCs w:val="22"/>
    </w:rPr>
  </w:style>
  <w:style w:type="character" w:styleId="FollowedHyperlink">
    <w:name w:val="FollowedHyperlink"/>
    <w:basedOn w:val="DefaultParagraphFont"/>
    <w:rsid w:val="00077243"/>
    <w:rPr>
      <w:color w:val="800080" w:themeColor="followedHyperlink"/>
      <w:u w:val="single"/>
    </w:rPr>
  </w:style>
  <w:style w:type="paragraph" w:styleId="ListParagraph">
    <w:name w:val="List Paragraph"/>
    <w:basedOn w:val="Normal"/>
    <w:uiPriority w:val="34"/>
    <w:qFormat/>
    <w:rsid w:val="00074D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79D81F-0CD8-4C43-BFAB-83B766C0532E}"/>
</file>

<file path=customXml/itemProps2.xml><?xml version="1.0" encoding="utf-8"?>
<ds:datastoreItem xmlns:ds="http://schemas.openxmlformats.org/officeDocument/2006/customXml" ds:itemID="{B704AB32-C515-4A14-90EC-5BE9E82027D3}"/>
</file>

<file path=customXml/itemProps3.xml><?xml version="1.0" encoding="utf-8"?>
<ds:datastoreItem xmlns:ds="http://schemas.openxmlformats.org/officeDocument/2006/customXml" ds:itemID="{285AEE76-1192-4206-9050-2B5ECF03859F}"/>
</file>

<file path=docProps/app.xml><?xml version="1.0" encoding="utf-8"?>
<Properties xmlns="http://schemas.openxmlformats.org/officeDocument/2006/extended-properties" xmlns:vt="http://schemas.openxmlformats.org/officeDocument/2006/docPropsVTypes">
  <Template>Normal.dotm</Template>
  <TotalTime>0</TotalTime>
  <Pages>8</Pages>
  <Words>2969</Words>
  <Characters>16585</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TOOL</vt:lpstr>
    </vt:vector>
  </TitlesOfParts>
  <Company>Indigo Spark</Company>
  <LinksUpToDate>false</LinksUpToDate>
  <CharactersWithSpaces>19515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TOOL</dc:title>
  <dc:subject/>
  <dc:creator>Ann Phillis</dc:creator>
  <cp:keywords/>
  <dc:description/>
  <cp:lastModifiedBy>Tom Ffrench</cp:lastModifiedBy>
  <cp:revision>2</cp:revision>
  <cp:lastPrinted>2013-04-23T21:42:00Z</cp:lastPrinted>
  <dcterms:created xsi:type="dcterms:W3CDTF">2013-07-15T06:31:00Z</dcterms:created>
  <dcterms:modified xsi:type="dcterms:W3CDTF">2013-07-15T06:31:00Z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Salvatore Carluccio</vt:lpwstr>
  </property>
  <property fmtid="{D5CDD505-2E9C-101B-9397-08002B2CF9AE}" pid="3" name="display_urn:schemas-microsoft-com:office:office#Author">
    <vt:lpwstr>Alex Knox</vt:lpwstr>
  </property>
  <property fmtid="{D5CDD505-2E9C-101B-9397-08002B2CF9AE}" pid="4" name="xd_Signature">
    <vt:lpwstr/>
  </property>
  <property fmtid="{D5CDD505-2E9C-101B-9397-08002B2CF9AE}" pid="5" name="TemplateUrl">
    <vt:lpwstr/>
  </property>
  <property fmtid="{D5CDD505-2E9C-101B-9397-08002B2CF9AE}" pid="6" name="xd_ProgID">
    <vt:lpwstr/>
  </property>
  <property fmtid="{D5CDD505-2E9C-101B-9397-08002B2CF9AE}" pid="7" name="ContentTypeId">
    <vt:lpwstr>0x01010050F19AC2165D2E47A5E6B7F563E4CF00</vt:lpwstr>
  </property>
  <property fmtid="{D5CDD505-2E9C-101B-9397-08002B2CF9AE}" pid="8" name="ContentType">
    <vt:lpwstr>Document</vt:lpwstr>
  </property>
  <property fmtid="{D5CDD505-2E9C-101B-9397-08002B2CF9AE}" pid="9" name="Subject">
    <vt:lpwstr/>
  </property>
  <property fmtid="{D5CDD505-2E9C-101B-9397-08002B2CF9AE}" pid="10" name="Keywords">
    <vt:lpwstr/>
  </property>
  <property fmtid="{D5CDD505-2E9C-101B-9397-08002B2CF9AE}" pid="11" name="_Author">
    <vt:lpwstr>Ann Phillis</vt:lpwstr>
  </property>
  <property fmtid="{D5CDD505-2E9C-101B-9397-08002B2CF9AE}" pid="12" name="_Category">
    <vt:lpwstr/>
  </property>
  <property fmtid="{D5CDD505-2E9C-101B-9397-08002B2CF9AE}" pid="13" name="Categories">
    <vt:lpwstr/>
  </property>
  <property fmtid="{D5CDD505-2E9C-101B-9397-08002B2CF9AE}" pid="14" name="Approval Level">
    <vt:lpwstr/>
  </property>
  <property fmtid="{D5CDD505-2E9C-101B-9397-08002B2CF9AE}" pid="15" name="_Comments">
    <vt:lpwstr/>
  </property>
  <property fmtid="{D5CDD505-2E9C-101B-9397-08002B2CF9AE}" pid="16" name="Assigned To">
    <vt:lpwstr/>
  </property>
  <property fmtid="{D5CDD505-2E9C-101B-9397-08002B2CF9AE}" pid="17" name="TempID">
    <vt:lpwstr>48</vt:lpwstr>
  </property>
  <property fmtid="{D5CDD505-2E9C-101B-9397-08002B2CF9AE}" pid="18" name="Order">
    <vt:r8>2900</vt:r8>
  </property>
  <property fmtid="{D5CDD505-2E9C-101B-9397-08002B2CF9AE}" pid="19" name="_SourceUrl">
    <vt:lpwstr/>
  </property>
  <property fmtid="{D5CDD505-2E9C-101B-9397-08002B2CF9AE}" pid="20" name="_SharedFileIndex">
    <vt:lpwstr/>
  </property>
  <property fmtid="{D5CDD505-2E9C-101B-9397-08002B2CF9AE}" pid="21" name="display_urn">
    <vt:lpwstr>Alex Knox</vt:lpwstr>
  </property>
</Properties>
</file>