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13" w:rsidRDefault="00FB174B" w:rsidP="009223BD">
      <w:pPr>
        <w:jc w:val="center"/>
        <w:rPr>
          <w:b/>
        </w:rPr>
      </w:pPr>
      <w:bookmarkStart w:id="0" w:name="_GoBack"/>
      <w:bookmarkEnd w:id="0"/>
      <w:r w:rsidRPr="00FB174B">
        <w:rPr>
          <w:b/>
        </w:rPr>
        <w:t>UN Pacific Regional Ant</w:t>
      </w:r>
      <w:r>
        <w:rPr>
          <w:b/>
        </w:rPr>
        <w:t xml:space="preserve">i-Corruption project (UN-PRAC) </w:t>
      </w:r>
      <w:r w:rsidR="009223BD">
        <w:rPr>
          <w:b/>
        </w:rPr>
        <w:t xml:space="preserve">- </w:t>
      </w:r>
      <w:r w:rsidR="009223BD" w:rsidRPr="009223BD">
        <w:rPr>
          <w:b/>
        </w:rPr>
        <w:t>Independent Project Evaluation</w:t>
      </w:r>
    </w:p>
    <w:p w:rsidR="00E96613" w:rsidRDefault="00E96613">
      <w:pPr>
        <w:rPr>
          <w:b/>
        </w:rPr>
      </w:pPr>
      <w:r w:rsidRPr="00E96613">
        <w:rPr>
          <w:b/>
        </w:rPr>
        <w:t>DFAT Management Response</w:t>
      </w:r>
    </w:p>
    <w:p w:rsidR="00E96613" w:rsidRDefault="00E96613">
      <w:pPr>
        <w:rPr>
          <w:b/>
        </w:rPr>
      </w:pPr>
      <w:r w:rsidRPr="00E96613">
        <w:rPr>
          <w:b/>
        </w:rPr>
        <w:t>Overview</w:t>
      </w:r>
    </w:p>
    <w:p w:rsidR="00FB174B" w:rsidRDefault="00FB174B" w:rsidP="00FB174B">
      <w:r>
        <w:t>The United Nations Pacific Regional Anti-Corruption (UN-PRAC) project (2017-2020; $6</w:t>
      </w:r>
      <w:r w:rsidR="009223BD">
        <w:t>.1</w:t>
      </w:r>
      <w:r>
        <w:t xml:space="preserve"> million) is a DFAT funded activity to </w:t>
      </w:r>
      <w:r w:rsidRPr="004D16F0">
        <w:t>support P</w:t>
      </w:r>
      <w:r>
        <w:t xml:space="preserve">acific </w:t>
      </w:r>
      <w:r w:rsidRPr="004D16F0">
        <w:t>I</w:t>
      </w:r>
      <w:r>
        <w:t xml:space="preserve">sland </w:t>
      </w:r>
      <w:r w:rsidRPr="004D16F0">
        <w:t>C</w:t>
      </w:r>
      <w:r>
        <w:t>ountries (PICs) with</w:t>
      </w:r>
      <w:r w:rsidRPr="004D16F0">
        <w:t xml:space="preserve"> implementation of </w:t>
      </w:r>
      <w:r>
        <w:t xml:space="preserve">the </w:t>
      </w:r>
      <w:r w:rsidRPr="004D16F0">
        <w:t>U</w:t>
      </w:r>
      <w:r>
        <w:t xml:space="preserve">nited </w:t>
      </w:r>
      <w:r w:rsidRPr="004D16F0">
        <w:t>N</w:t>
      </w:r>
      <w:r>
        <w:t xml:space="preserve">ations </w:t>
      </w:r>
      <w:r w:rsidRPr="004D16F0">
        <w:t>C</w:t>
      </w:r>
      <w:r>
        <w:t xml:space="preserve">onvention against Corruption (UNCAC) </w:t>
      </w:r>
      <w:r w:rsidRPr="004D16F0">
        <w:t>and to develop anti-corruption systems</w:t>
      </w:r>
      <w:r>
        <w:t xml:space="preserve">. UN-PRAC is </w:t>
      </w:r>
      <w:r w:rsidR="009223BD" w:rsidRPr="001D4AF9">
        <w:t xml:space="preserve">jointly </w:t>
      </w:r>
      <w:r w:rsidR="00793D4D" w:rsidRPr="001D4AF9">
        <w:t xml:space="preserve">managed </w:t>
      </w:r>
      <w:r w:rsidR="009223BD" w:rsidRPr="001D4AF9">
        <w:t>by UNODC and UNDP</w:t>
      </w:r>
      <w:r w:rsidR="00793D4D">
        <w:t xml:space="preserve"> in a </w:t>
      </w:r>
      <w:proofErr w:type="gramStart"/>
      <w:r w:rsidR="00793D4D">
        <w:t>globally-unique</w:t>
      </w:r>
      <w:proofErr w:type="gramEnd"/>
      <w:r w:rsidR="00793D4D">
        <w:t xml:space="preserve"> arrangement in the UN system. Advisors from the UNDP and UNODC deliver the project from</w:t>
      </w:r>
      <w:r w:rsidR="009223BD" w:rsidRPr="001D4AF9">
        <w:t xml:space="preserve"> in UNDP</w:t>
      </w:r>
      <w:r w:rsidR="009223BD">
        <w:t>’</w:t>
      </w:r>
      <w:r w:rsidR="009223BD" w:rsidRPr="001D4AF9">
        <w:t xml:space="preserve">s Effective Governance Unit </w:t>
      </w:r>
      <w:r w:rsidR="009223BD">
        <w:t>in</w:t>
      </w:r>
      <w:r w:rsidR="009223BD" w:rsidRPr="001D4AF9">
        <w:t xml:space="preserve"> Fiji. </w:t>
      </w:r>
      <w:r>
        <w:t xml:space="preserve">The </w:t>
      </w:r>
      <w:r w:rsidRPr="004D16F0">
        <w:t xml:space="preserve">UN-PRAC Project </w:t>
      </w:r>
      <w:proofErr w:type="gramStart"/>
      <w:r w:rsidRPr="004D16F0">
        <w:t>was established</w:t>
      </w:r>
      <w:proofErr w:type="gramEnd"/>
      <w:r w:rsidRPr="004D16F0">
        <w:t xml:space="preserve"> in 2012 to work with all 15 PICs. Phase II of UN-PRAC </w:t>
      </w:r>
      <w:r w:rsidR="00793D4D">
        <w:t>commenced</w:t>
      </w:r>
      <w:r w:rsidRPr="004D16F0">
        <w:t xml:space="preserve"> on 1 July 2016 and will </w:t>
      </w:r>
      <w:r w:rsidR="00793D4D">
        <w:t>conclude on</w:t>
      </w:r>
      <w:r w:rsidRPr="004D16F0">
        <w:t xml:space="preserve"> 30 June 2020.</w:t>
      </w:r>
    </w:p>
    <w:p w:rsidR="00FB174B" w:rsidRDefault="00FB174B">
      <w:r>
        <w:t>Cons</w:t>
      </w:r>
      <w:r w:rsidR="009223BD">
        <w:t>is</w:t>
      </w:r>
      <w:r>
        <w:t xml:space="preserve">tent with </w:t>
      </w:r>
      <w:proofErr w:type="gramStart"/>
      <w:r>
        <w:t>DFAT’s</w:t>
      </w:r>
      <w:proofErr w:type="gramEnd"/>
      <w:r>
        <w:t xml:space="preserve"> funding agreement, UNDP and UNODC commissioned a</w:t>
      </w:r>
      <w:r w:rsidR="009223BD">
        <w:t>n</w:t>
      </w:r>
      <w:r>
        <w:t xml:space="preserve"> </w:t>
      </w:r>
      <w:r w:rsidR="009223BD" w:rsidRPr="002735F5">
        <w:t xml:space="preserve">Independent Project Evaluation </w:t>
      </w:r>
      <w:r w:rsidR="009223BD">
        <w:t xml:space="preserve">of UN-PRAC in 2018. The IPE </w:t>
      </w:r>
      <w:proofErr w:type="gramStart"/>
      <w:r w:rsidR="009223BD">
        <w:t>was</w:t>
      </w:r>
      <w:r w:rsidR="009223BD" w:rsidRPr="002735F5">
        <w:t xml:space="preserve"> scheduled and managed by the </w:t>
      </w:r>
      <w:r w:rsidR="009223BD">
        <w:t xml:space="preserve">UN-PRAC </w:t>
      </w:r>
      <w:r w:rsidR="009223BD" w:rsidRPr="002735F5">
        <w:t>project managers and conducted by external independent evaluators</w:t>
      </w:r>
      <w:proofErr w:type="gramEnd"/>
      <w:r w:rsidR="009223BD" w:rsidRPr="002735F5">
        <w:t>.</w:t>
      </w:r>
      <w:r w:rsidR="009223BD">
        <w:t xml:space="preserve"> </w:t>
      </w:r>
      <w:r w:rsidRPr="004D16F0">
        <w:t xml:space="preserve">The evaluation covered the period between July 2016 and 6 September 2018. The evaluation itself </w:t>
      </w:r>
      <w:proofErr w:type="gramStart"/>
      <w:r w:rsidRPr="004D16F0">
        <w:t>was conducted</w:t>
      </w:r>
      <w:proofErr w:type="gramEnd"/>
      <w:r w:rsidRPr="004D16F0">
        <w:t xml:space="preserve"> from August </w:t>
      </w:r>
      <w:r>
        <w:t>to</w:t>
      </w:r>
      <w:r w:rsidRPr="004D16F0">
        <w:t xml:space="preserve"> November 2018</w:t>
      </w:r>
      <w:r w:rsidR="00793D4D">
        <w:t>.</w:t>
      </w:r>
    </w:p>
    <w:p w:rsidR="00DC422E" w:rsidRPr="00421D26" w:rsidRDefault="00421D26">
      <w:r w:rsidRPr="00421D26">
        <w:t xml:space="preserve">The UN-PRAC program managers have prepared a response to the recommendations from the </w:t>
      </w:r>
      <w:proofErr w:type="gramStart"/>
      <w:r w:rsidRPr="00421D26">
        <w:t>IPE which</w:t>
      </w:r>
      <w:proofErr w:type="gramEnd"/>
      <w:r w:rsidRPr="00421D26">
        <w:t xml:space="preserve"> is being considered by the project implementation partners. DFAT</w:t>
      </w:r>
      <w:r>
        <w:t xml:space="preserve"> has prepared Partner Performance Assessments of the UNDP and UNODC management and implementation of the projects in 2017 and 2018. DFAT</w:t>
      </w:r>
      <w:r w:rsidRPr="00421D26">
        <w:t>’s management response to the IPE recommendations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29"/>
        <w:gridCol w:w="6187"/>
      </w:tblGrid>
      <w:tr w:rsidR="00E96613" w:rsidRPr="00EF588C" w:rsidTr="008828D2">
        <w:trPr>
          <w:trHeight w:val="60"/>
        </w:trPr>
        <w:tc>
          <w:tcPr>
            <w:tcW w:w="1569" w:type="pct"/>
            <w:tcMar>
              <w:top w:w="80" w:type="dxa"/>
              <w:left w:w="80" w:type="dxa"/>
              <w:bottom w:w="80" w:type="dxa"/>
              <w:right w:w="80" w:type="dxa"/>
            </w:tcMar>
          </w:tcPr>
          <w:p w:rsidR="00E96613" w:rsidRPr="00E5212B" w:rsidRDefault="00E96613" w:rsidP="008074EB">
            <w:pPr>
              <w:pStyle w:val="Tablecontent"/>
              <w:spacing w:after="0" w:line="240" w:lineRule="auto"/>
              <w:rPr>
                <w:rFonts w:asciiTheme="minorHAnsi" w:hAnsiTheme="minorHAnsi"/>
                <w:b/>
                <w:sz w:val="20"/>
                <w:szCs w:val="20"/>
              </w:rPr>
            </w:pPr>
            <w:r w:rsidRPr="00E5212B">
              <w:rPr>
                <w:rFonts w:asciiTheme="minorHAnsi" w:hAnsiTheme="minorHAnsi"/>
                <w:b/>
                <w:i/>
                <w:iCs/>
                <w:sz w:val="20"/>
                <w:szCs w:val="20"/>
              </w:rPr>
              <w:t>Recommendation</w:t>
            </w:r>
          </w:p>
        </w:tc>
        <w:tc>
          <w:tcPr>
            <w:tcW w:w="3431" w:type="pct"/>
            <w:tcMar>
              <w:top w:w="80" w:type="dxa"/>
              <w:left w:w="80" w:type="dxa"/>
              <w:bottom w:w="80" w:type="dxa"/>
              <w:right w:w="80" w:type="dxa"/>
            </w:tcMar>
          </w:tcPr>
          <w:p w:rsidR="00E96613" w:rsidRPr="00E5212B" w:rsidRDefault="00E96613" w:rsidP="008074EB">
            <w:pPr>
              <w:pStyle w:val="Tablecontent"/>
              <w:spacing w:after="0" w:line="240" w:lineRule="auto"/>
              <w:rPr>
                <w:rFonts w:asciiTheme="minorHAnsi" w:hAnsiTheme="minorHAnsi"/>
                <w:b/>
                <w:sz w:val="20"/>
                <w:szCs w:val="20"/>
              </w:rPr>
            </w:pPr>
            <w:r w:rsidRPr="00E5212B">
              <w:rPr>
                <w:rFonts w:asciiTheme="minorHAnsi" w:hAnsiTheme="minorHAnsi"/>
                <w:b/>
                <w:i/>
                <w:iCs/>
                <w:sz w:val="20"/>
                <w:szCs w:val="20"/>
              </w:rPr>
              <w:t>Management Response (accepted/partially accepted/rejected)</w:t>
            </w:r>
          </w:p>
        </w:tc>
      </w:tr>
      <w:tr w:rsidR="00E96613" w:rsidRPr="00EF588C" w:rsidTr="008828D2">
        <w:trPr>
          <w:trHeight w:val="60"/>
        </w:trPr>
        <w:tc>
          <w:tcPr>
            <w:tcW w:w="1569" w:type="pct"/>
            <w:tcMar>
              <w:top w:w="140" w:type="dxa"/>
              <w:left w:w="80" w:type="dxa"/>
              <w:bottom w:w="180" w:type="dxa"/>
              <w:right w:w="80" w:type="dxa"/>
            </w:tcMar>
          </w:tcPr>
          <w:p w:rsidR="00E96613" w:rsidRPr="00EF588C" w:rsidRDefault="00E96613" w:rsidP="008074EB">
            <w:pPr>
              <w:pStyle w:val="Tablecontent"/>
              <w:spacing w:after="0" w:line="240" w:lineRule="auto"/>
              <w:rPr>
                <w:rFonts w:asciiTheme="minorHAnsi" w:hAnsiTheme="minorHAnsi"/>
                <w:sz w:val="20"/>
                <w:szCs w:val="20"/>
              </w:rPr>
            </w:pPr>
            <w:r>
              <w:rPr>
                <w:rFonts w:asciiTheme="minorHAnsi" w:hAnsiTheme="minorHAnsi"/>
                <w:sz w:val="20"/>
                <w:szCs w:val="20"/>
              </w:rPr>
              <w:t>1</w:t>
            </w:r>
            <w:r w:rsidRPr="00EF588C">
              <w:rPr>
                <w:rFonts w:asciiTheme="minorHAnsi" w:hAnsiTheme="minorHAnsi"/>
                <w:sz w:val="20"/>
                <w:szCs w:val="20"/>
              </w:rPr>
              <w:t>:  Increase the focus of the project on R</w:t>
            </w:r>
            <w:r>
              <w:rPr>
                <w:rFonts w:asciiTheme="minorHAnsi" w:hAnsiTheme="minorHAnsi"/>
                <w:sz w:val="20"/>
                <w:szCs w:val="20"/>
              </w:rPr>
              <w:t xml:space="preserve">ight </w:t>
            </w:r>
            <w:r w:rsidR="00D87552">
              <w:rPr>
                <w:rFonts w:asciiTheme="minorHAnsi" w:hAnsiTheme="minorHAnsi"/>
                <w:sz w:val="20"/>
                <w:szCs w:val="20"/>
              </w:rPr>
              <w:t>t</w:t>
            </w:r>
            <w:r>
              <w:rPr>
                <w:rFonts w:asciiTheme="minorHAnsi" w:hAnsiTheme="minorHAnsi"/>
                <w:sz w:val="20"/>
                <w:szCs w:val="20"/>
              </w:rPr>
              <w:t xml:space="preserve">o </w:t>
            </w:r>
            <w:r w:rsidRPr="00EF588C">
              <w:rPr>
                <w:rFonts w:asciiTheme="minorHAnsi" w:hAnsiTheme="minorHAnsi"/>
                <w:sz w:val="20"/>
                <w:szCs w:val="20"/>
              </w:rPr>
              <w:t>I</w:t>
            </w:r>
            <w:r>
              <w:rPr>
                <w:rFonts w:asciiTheme="minorHAnsi" w:hAnsiTheme="minorHAnsi"/>
                <w:sz w:val="20"/>
                <w:szCs w:val="20"/>
              </w:rPr>
              <w:t>nformation (RTI)</w:t>
            </w:r>
            <w:r w:rsidRPr="00EF588C">
              <w:rPr>
                <w:rFonts w:asciiTheme="minorHAnsi" w:hAnsiTheme="minorHAnsi"/>
                <w:sz w:val="20"/>
                <w:szCs w:val="20"/>
              </w:rPr>
              <w:t>.</w:t>
            </w:r>
          </w:p>
        </w:tc>
        <w:tc>
          <w:tcPr>
            <w:tcW w:w="3431" w:type="pct"/>
            <w:tcMar>
              <w:top w:w="140" w:type="dxa"/>
              <w:left w:w="80" w:type="dxa"/>
              <w:bottom w:w="180" w:type="dxa"/>
              <w:right w:w="80" w:type="dxa"/>
            </w:tcMar>
          </w:tcPr>
          <w:p w:rsidR="008828D2" w:rsidRDefault="008828D2" w:rsidP="008828D2">
            <w:pPr>
              <w:pStyle w:val="Tablecontent"/>
              <w:spacing w:after="0" w:line="240" w:lineRule="auto"/>
              <w:rPr>
                <w:rFonts w:asciiTheme="minorHAnsi" w:hAnsiTheme="minorHAnsi"/>
                <w:sz w:val="20"/>
                <w:szCs w:val="20"/>
              </w:rPr>
            </w:pPr>
            <w:r w:rsidRPr="008828D2">
              <w:rPr>
                <w:rFonts w:asciiTheme="minorHAnsi" w:hAnsiTheme="minorHAnsi"/>
                <w:b/>
                <w:sz w:val="20"/>
                <w:szCs w:val="20"/>
              </w:rPr>
              <w:t>Partially</w:t>
            </w:r>
            <w:r w:rsidR="00884655" w:rsidRPr="008828D2">
              <w:rPr>
                <w:rFonts w:asciiTheme="minorHAnsi" w:hAnsiTheme="minorHAnsi"/>
                <w:b/>
                <w:sz w:val="20"/>
                <w:szCs w:val="20"/>
              </w:rPr>
              <w:t xml:space="preserve"> accepted</w:t>
            </w:r>
            <w:r>
              <w:rPr>
                <w:rFonts w:asciiTheme="minorHAnsi" w:hAnsiTheme="minorHAnsi"/>
                <w:b/>
                <w:sz w:val="20"/>
                <w:szCs w:val="20"/>
              </w:rPr>
              <w:t>:</w:t>
            </w:r>
            <w:r w:rsidR="00884655">
              <w:rPr>
                <w:rFonts w:asciiTheme="minorHAnsi" w:hAnsiTheme="minorHAnsi"/>
                <w:sz w:val="20"/>
                <w:szCs w:val="20"/>
              </w:rPr>
              <w:t xml:space="preserve"> DFAT notes that the UN-PRAC IPE and advisors have presented the case for expanding coverage of the project to include RTI. Before agreeing to expansion of project scope to </w:t>
            </w:r>
            <w:r>
              <w:rPr>
                <w:rFonts w:asciiTheme="minorHAnsi" w:hAnsiTheme="minorHAnsi"/>
                <w:sz w:val="20"/>
                <w:szCs w:val="20"/>
              </w:rPr>
              <w:t>cover RTI, DFAT will seek clarification from UNDP/UNODC on the case for inclusion. This will draw on an assessment in late 2019 of:</w:t>
            </w:r>
          </w:p>
          <w:p w:rsidR="008828D2" w:rsidRDefault="008828D2" w:rsidP="008828D2">
            <w:pPr>
              <w:pStyle w:val="Tablecontent"/>
              <w:numPr>
                <w:ilvl w:val="0"/>
                <w:numId w:val="1"/>
              </w:numPr>
              <w:spacing w:after="0" w:line="240" w:lineRule="auto"/>
              <w:rPr>
                <w:rFonts w:asciiTheme="minorHAnsi" w:hAnsiTheme="minorHAnsi"/>
                <w:sz w:val="20"/>
                <w:szCs w:val="20"/>
              </w:rPr>
            </w:pPr>
            <w:r>
              <w:rPr>
                <w:rFonts w:asciiTheme="minorHAnsi" w:hAnsiTheme="minorHAnsi"/>
                <w:sz w:val="20"/>
                <w:szCs w:val="20"/>
              </w:rPr>
              <w:t>Capacity of UN-PRAC advisers to introduce a new theme while maintaining attention on long-standing goals;</w:t>
            </w:r>
          </w:p>
          <w:p w:rsidR="008828D2" w:rsidRDefault="008828D2" w:rsidP="008828D2">
            <w:pPr>
              <w:pStyle w:val="Tablecontent"/>
              <w:numPr>
                <w:ilvl w:val="0"/>
                <w:numId w:val="1"/>
              </w:numPr>
              <w:spacing w:after="0" w:line="240" w:lineRule="auto"/>
              <w:rPr>
                <w:rFonts w:asciiTheme="minorHAnsi" w:hAnsiTheme="minorHAnsi"/>
                <w:sz w:val="20"/>
                <w:szCs w:val="20"/>
              </w:rPr>
            </w:pPr>
            <w:r>
              <w:rPr>
                <w:rFonts w:asciiTheme="minorHAnsi" w:hAnsiTheme="minorHAnsi"/>
                <w:sz w:val="20"/>
                <w:szCs w:val="20"/>
              </w:rPr>
              <w:t xml:space="preserve">Availability of resourcing </w:t>
            </w:r>
            <w:r w:rsidR="00793D4D">
              <w:rPr>
                <w:rFonts w:asciiTheme="minorHAnsi" w:hAnsiTheme="minorHAnsi"/>
                <w:sz w:val="20"/>
                <w:szCs w:val="20"/>
              </w:rPr>
              <w:t xml:space="preserve">from within the UN-PRAC funding envelope </w:t>
            </w:r>
            <w:r>
              <w:rPr>
                <w:rFonts w:asciiTheme="minorHAnsi" w:hAnsiTheme="minorHAnsi"/>
                <w:sz w:val="20"/>
                <w:szCs w:val="20"/>
              </w:rPr>
              <w:t>to maintain support for all PICs; and,</w:t>
            </w:r>
          </w:p>
          <w:p w:rsidR="00E96613" w:rsidRDefault="008828D2" w:rsidP="008828D2">
            <w:pPr>
              <w:pStyle w:val="Tablecontent"/>
              <w:numPr>
                <w:ilvl w:val="0"/>
                <w:numId w:val="1"/>
              </w:numPr>
              <w:spacing w:after="0" w:line="240" w:lineRule="auto"/>
              <w:rPr>
                <w:rFonts w:asciiTheme="minorHAnsi" w:hAnsiTheme="minorHAnsi"/>
                <w:sz w:val="20"/>
                <w:szCs w:val="20"/>
              </w:rPr>
            </w:pPr>
            <w:r>
              <w:rPr>
                <w:rFonts w:asciiTheme="minorHAnsi" w:hAnsiTheme="minorHAnsi"/>
                <w:sz w:val="20"/>
                <w:szCs w:val="20"/>
              </w:rPr>
              <w:t>Alignment of RTI with implementation of UNCAC.</w:t>
            </w:r>
            <w:r w:rsidR="00884655">
              <w:rPr>
                <w:rFonts w:asciiTheme="minorHAnsi" w:hAnsiTheme="minorHAnsi"/>
                <w:sz w:val="20"/>
                <w:szCs w:val="20"/>
              </w:rPr>
              <w:t xml:space="preserve"> </w:t>
            </w:r>
          </w:p>
          <w:p w:rsidR="008828D2" w:rsidRDefault="008828D2" w:rsidP="008828D2">
            <w:pPr>
              <w:pStyle w:val="Tablecontent"/>
              <w:spacing w:after="0" w:line="240" w:lineRule="auto"/>
              <w:rPr>
                <w:rFonts w:asciiTheme="minorHAnsi" w:hAnsiTheme="minorHAnsi"/>
                <w:sz w:val="20"/>
                <w:szCs w:val="20"/>
              </w:rPr>
            </w:pPr>
          </w:p>
          <w:p w:rsidR="008828D2" w:rsidRPr="00EF588C" w:rsidRDefault="008828D2" w:rsidP="008828D2">
            <w:pPr>
              <w:pStyle w:val="Tablecontent"/>
              <w:spacing w:after="0" w:line="240" w:lineRule="auto"/>
              <w:rPr>
                <w:rFonts w:asciiTheme="minorHAnsi" w:hAnsiTheme="minorHAnsi"/>
                <w:sz w:val="20"/>
                <w:szCs w:val="20"/>
              </w:rPr>
            </w:pPr>
            <w:r>
              <w:rPr>
                <w:rFonts w:asciiTheme="minorHAnsi" w:hAnsiTheme="minorHAnsi"/>
                <w:sz w:val="20"/>
                <w:szCs w:val="20"/>
              </w:rPr>
              <w:t>DFAT will also consider whether to expand the scope of UN-PRAC to cover RTI during assessment of renewal of the project through a third phase of the project.</w:t>
            </w:r>
          </w:p>
        </w:tc>
      </w:tr>
      <w:tr w:rsidR="00E96613" w:rsidRPr="00EF588C" w:rsidTr="008828D2">
        <w:trPr>
          <w:trHeight w:val="60"/>
        </w:trPr>
        <w:tc>
          <w:tcPr>
            <w:tcW w:w="1569" w:type="pct"/>
            <w:tcMar>
              <w:top w:w="80" w:type="dxa"/>
              <w:left w:w="80" w:type="dxa"/>
              <w:bottom w:w="180" w:type="dxa"/>
              <w:right w:w="80" w:type="dxa"/>
            </w:tcMar>
          </w:tcPr>
          <w:p w:rsidR="00E96613" w:rsidRPr="00EF588C" w:rsidRDefault="00E96613" w:rsidP="008074EB">
            <w:pPr>
              <w:pStyle w:val="Tablecontent"/>
              <w:spacing w:after="0" w:line="240" w:lineRule="auto"/>
              <w:rPr>
                <w:rFonts w:asciiTheme="minorHAnsi" w:hAnsiTheme="minorHAnsi"/>
                <w:sz w:val="20"/>
                <w:szCs w:val="20"/>
              </w:rPr>
            </w:pPr>
            <w:r>
              <w:rPr>
                <w:rFonts w:asciiTheme="minorHAnsi" w:hAnsiTheme="minorHAnsi"/>
                <w:sz w:val="20"/>
                <w:szCs w:val="20"/>
              </w:rPr>
              <w:t>2</w:t>
            </w:r>
            <w:r w:rsidRPr="00EF588C">
              <w:rPr>
                <w:rFonts w:asciiTheme="minorHAnsi" w:hAnsiTheme="minorHAnsi"/>
                <w:sz w:val="20"/>
                <w:szCs w:val="20"/>
              </w:rPr>
              <w:t xml:space="preserve">:  Revise how the project </w:t>
            </w:r>
            <w:proofErr w:type="gramStart"/>
            <w:r w:rsidRPr="00EF588C">
              <w:rPr>
                <w:rFonts w:asciiTheme="minorHAnsi" w:hAnsiTheme="minorHAnsi"/>
                <w:sz w:val="20"/>
                <w:szCs w:val="20"/>
              </w:rPr>
              <w:t>is administered</w:t>
            </w:r>
            <w:proofErr w:type="gramEnd"/>
            <w:r w:rsidRPr="00EF588C">
              <w:rPr>
                <w:rFonts w:asciiTheme="minorHAnsi" w:hAnsiTheme="minorHAnsi"/>
                <w:sz w:val="20"/>
                <w:szCs w:val="20"/>
              </w:rPr>
              <w:t>, including new posts and new capacity.</w:t>
            </w:r>
          </w:p>
        </w:tc>
        <w:tc>
          <w:tcPr>
            <w:tcW w:w="3431" w:type="pct"/>
            <w:tcMar>
              <w:top w:w="80" w:type="dxa"/>
              <w:left w:w="80" w:type="dxa"/>
              <w:bottom w:w="180" w:type="dxa"/>
              <w:right w:w="80" w:type="dxa"/>
            </w:tcMar>
          </w:tcPr>
          <w:p w:rsidR="00E96613" w:rsidRPr="00B9420C" w:rsidRDefault="00B9420C" w:rsidP="00793D4D">
            <w:pPr>
              <w:pStyle w:val="Tablecontent"/>
              <w:spacing w:after="0" w:line="240" w:lineRule="auto"/>
              <w:rPr>
                <w:rFonts w:asciiTheme="minorHAnsi" w:hAnsiTheme="minorHAnsi"/>
                <w:sz w:val="20"/>
                <w:szCs w:val="20"/>
              </w:rPr>
            </w:pPr>
            <w:r>
              <w:rPr>
                <w:rFonts w:asciiTheme="minorHAnsi" w:hAnsiTheme="minorHAnsi"/>
                <w:b/>
                <w:sz w:val="20"/>
                <w:szCs w:val="20"/>
              </w:rPr>
              <w:t>P</w:t>
            </w:r>
            <w:r w:rsidRPr="00B9420C">
              <w:rPr>
                <w:rFonts w:asciiTheme="minorHAnsi" w:hAnsiTheme="minorHAnsi"/>
                <w:b/>
                <w:sz w:val="20"/>
                <w:szCs w:val="20"/>
              </w:rPr>
              <w:t>artially accepted</w:t>
            </w:r>
            <w:r>
              <w:rPr>
                <w:rFonts w:asciiTheme="minorHAnsi" w:hAnsiTheme="minorHAnsi"/>
                <w:b/>
                <w:sz w:val="20"/>
                <w:szCs w:val="20"/>
              </w:rPr>
              <w:t xml:space="preserve">: </w:t>
            </w:r>
            <w:r>
              <w:rPr>
                <w:rFonts w:asciiTheme="minorHAnsi" w:hAnsiTheme="minorHAnsi"/>
                <w:sz w:val="20"/>
                <w:szCs w:val="20"/>
              </w:rPr>
              <w:t xml:space="preserve">Before agreeing to changes to the project’s administration and introduction of new posts and capacity, DFAT would require detailed information on the rationale and resourcing required </w:t>
            </w:r>
            <w:proofErr w:type="gramStart"/>
            <w:r>
              <w:rPr>
                <w:rFonts w:asciiTheme="minorHAnsi" w:hAnsiTheme="minorHAnsi"/>
                <w:sz w:val="20"/>
                <w:szCs w:val="20"/>
              </w:rPr>
              <w:t>to support</w:t>
            </w:r>
            <w:proofErr w:type="gramEnd"/>
            <w:r>
              <w:rPr>
                <w:rFonts w:asciiTheme="minorHAnsi" w:hAnsiTheme="minorHAnsi"/>
                <w:sz w:val="20"/>
                <w:szCs w:val="20"/>
              </w:rPr>
              <w:t xml:space="preserve"> UN-PRAC. Key issues would include an assessment of the proposed staffing profile, location of new posts and the capabilities required to support advice to PICs. Critical concerns include the ability of UNDP and UNODC to recruit high-quality personnel to </w:t>
            </w:r>
            <w:r w:rsidR="00793D4D">
              <w:rPr>
                <w:rFonts w:asciiTheme="minorHAnsi" w:hAnsiTheme="minorHAnsi"/>
                <w:sz w:val="20"/>
                <w:szCs w:val="20"/>
              </w:rPr>
              <w:t xml:space="preserve">provide advisory support along with </w:t>
            </w:r>
            <w:r>
              <w:rPr>
                <w:rFonts w:asciiTheme="minorHAnsi" w:hAnsiTheme="minorHAnsi"/>
                <w:sz w:val="20"/>
                <w:szCs w:val="20"/>
              </w:rPr>
              <w:t xml:space="preserve">management </w:t>
            </w:r>
            <w:r w:rsidR="00793D4D">
              <w:rPr>
                <w:rFonts w:asciiTheme="minorHAnsi" w:hAnsiTheme="minorHAnsi"/>
                <w:sz w:val="20"/>
                <w:szCs w:val="20"/>
              </w:rPr>
              <w:t xml:space="preserve">and </w:t>
            </w:r>
            <w:r>
              <w:rPr>
                <w:rFonts w:asciiTheme="minorHAnsi" w:hAnsiTheme="minorHAnsi"/>
                <w:sz w:val="20"/>
                <w:szCs w:val="20"/>
              </w:rPr>
              <w:t>administration</w:t>
            </w:r>
            <w:r w:rsidR="00793D4D">
              <w:rPr>
                <w:rFonts w:asciiTheme="minorHAnsi" w:hAnsiTheme="minorHAnsi"/>
                <w:sz w:val="20"/>
                <w:szCs w:val="20"/>
              </w:rPr>
              <w:t xml:space="preserve"> of an expanded presence in the Pacific.</w:t>
            </w:r>
          </w:p>
        </w:tc>
      </w:tr>
      <w:tr w:rsidR="00E96613" w:rsidRPr="00EF588C" w:rsidTr="008828D2">
        <w:trPr>
          <w:trHeight w:val="60"/>
        </w:trPr>
        <w:tc>
          <w:tcPr>
            <w:tcW w:w="1569" w:type="pct"/>
            <w:tcMar>
              <w:top w:w="80" w:type="dxa"/>
              <w:left w:w="80" w:type="dxa"/>
              <w:bottom w:w="180" w:type="dxa"/>
              <w:right w:w="80" w:type="dxa"/>
            </w:tcMar>
          </w:tcPr>
          <w:p w:rsidR="00E96613" w:rsidRDefault="00E96613" w:rsidP="008074EB">
            <w:pPr>
              <w:pStyle w:val="Tablecontent"/>
              <w:spacing w:after="0" w:line="240" w:lineRule="auto"/>
              <w:rPr>
                <w:rFonts w:asciiTheme="minorHAnsi" w:hAnsiTheme="minorHAnsi"/>
                <w:sz w:val="20"/>
                <w:szCs w:val="20"/>
              </w:rPr>
            </w:pPr>
            <w:r>
              <w:rPr>
                <w:rFonts w:asciiTheme="minorHAnsi" w:hAnsiTheme="minorHAnsi"/>
                <w:sz w:val="20"/>
                <w:szCs w:val="20"/>
              </w:rPr>
              <w:t xml:space="preserve">3: </w:t>
            </w:r>
            <w:r w:rsidRPr="00EF588C">
              <w:rPr>
                <w:rFonts w:asciiTheme="minorHAnsi" w:hAnsiTheme="minorHAnsi"/>
                <w:sz w:val="20"/>
                <w:szCs w:val="20"/>
              </w:rPr>
              <w:t xml:space="preserve">Consider transitioning UN-PRAC into a regional programme </w:t>
            </w:r>
            <w:r w:rsidRPr="00EF588C">
              <w:rPr>
                <w:rFonts w:asciiTheme="minorHAnsi" w:hAnsiTheme="minorHAnsi"/>
                <w:sz w:val="20"/>
                <w:szCs w:val="20"/>
              </w:rPr>
              <w:lastRenderedPageBreak/>
              <w:t>with sufficient resources to operate at the regional level with national components.</w:t>
            </w:r>
          </w:p>
        </w:tc>
        <w:tc>
          <w:tcPr>
            <w:tcW w:w="3431" w:type="pct"/>
            <w:tcMar>
              <w:top w:w="80" w:type="dxa"/>
              <w:left w:w="80" w:type="dxa"/>
              <w:bottom w:w="180" w:type="dxa"/>
              <w:right w:w="80" w:type="dxa"/>
            </w:tcMar>
          </w:tcPr>
          <w:p w:rsidR="00E96613" w:rsidRPr="0063696A" w:rsidRDefault="00B9420C" w:rsidP="00D87552">
            <w:pPr>
              <w:pStyle w:val="Tablecontent"/>
              <w:spacing w:after="0" w:line="240" w:lineRule="auto"/>
              <w:rPr>
                <w:rFonts w:asciiTheme="minorHAnsi" w:hAnsiTheme="minorHAnsi"/>
                <w:sz w:val="20"/>
                <w:szCs w:val="20"/>
              </w:rPr>
            </w:pPr>
            <w:r w:rsidRPr="00B9420C">
              <w:rPr>
                <w:rFonts w:asciiTheme="minorHAnsi" w:hAnsiTheme="minorHAnsi"/>
                <w:b/>
                <w:sz w:val="20"/>
                <w:szCs w:val="20"/>
              </w:rPr>
              <w:lastRenderedPageBreak/>
              <w:t>Partially accepted</w:t>
            </w:r>
            <w:r w:rsidR="0063696A">
              <w:rPr>
                <w:rFonts w:asciiTheme="minorHAnsi" w:hAnsiTheme="minorHAnsi"/>
                <w:b/>
                <w:sz w:val="20"/>
                <w:szCs w:val="20"/>
              </w:rPr>
              <w:t xml:space="preserve">: </w:t>
            </w:r>
            <w:r w:rsidR="0063696A">
              <w:rPr>
                <w:rFonts w:asciiTheme="minorHAnsi" w:hAnsiTheme="minorHAnsi"/>
                <w:sz w:val="20"/>
                <w:szCs w:val="20"/>
              </w:rPr>
              <w:t xml:space="preserve">DFAT welcomes the proposal to deepen UN-PRAC’s engagement </w:t>
            </w:r>
            <w:r w:rsidR="00D87552">
              <w:rPr>
                <w:rFonts w:asciiTheme="minorHAnsi" w:hAnsiTheme="minorHAnsi"/>
                <w:sz w:val="20"/>
                <w:szCs w:val="20"/>
              </w:rPr>
              <w:t xml:space="preserve">with countries in the Pacific including through establishment </w:t>
            </w:r>
            <w:r w:rsidR="00D87552">
              <w:rPr>
                <w:rFonts w:asciiTheme="minorHAnsi" w:hAnsiTheme="minorHAnsi"/>
                <w:sz w:val="20"/>
                <w:szCs w:val="20"/>
              </w:rPr>
              <w:lastRenderedPageBreak/>
              <w:t>of individual county programs that are able to respond to requests for assistance. However, DFAT requires assurance that any transition from a regional program serving the needs of all PICs to a program focussed on individual countries would maintain the integrity of the program as a source of support for all countries in the Pacific.</w:t>
            </w:r>
            <w:r w:rsidR="0063696A">
              <w:rPr>
                <w:rFonts w:asciiTheme="minorHAnsi" w:hAnsiTheme="minorHAnsi"/>
                <w:sz w:val="20"/>
                <w:szCs w:val="20"/>
              </w:rPr>
              <w:t xml:space="preserve"> </w:t>
            </w:r>
          </w:p>
        </w:tc>
      </w:tr>
      <w:tr w:rsidR="00E96613" w:rsidRPr="00EF588C" w:rsidTr="008828D2">
        <w:trPr>
          <w:trHeight w:val="352"/>
        </w:trPr>
        <w:tc>
          <w:tcPr>
            <w:tcW w:w="1569" w:type="pct"/>
            <w:tcMar>
              <w:top w:w="80" w:type="dxa"/>
              <w:left w:w="80" w:type="dxa"/>
              <w:bottom w:w="180" w:type="dxa"/>
              <w:right w:w="80" w:type="dxa"/>
            </w:tcMar>
          </w:tcPr>
          <w:p w:rsidR="00E96613" w:rsidRPr="00EF588C" w:rsidRDefault="00E96613" w:rsidP="008074EB">
            <w:pPr>
              <w:pStyle w:val="Tablecontent"/>
              <w:spacing w:after="0" w:line="240" w:lineRule="auto"/>
              <w:rPr>
                <w:rFonts w:asciiTheme="minorHAnsi" w:hAnsiTheme="minorHAnsi"/>
                <w:sz w:val="20"/>
                <w:szCs w:val="20"/>
              </w:rPr>
            </w:pPr>
            <w:r>
              <w:rPr>
                <w:rFonts w:asciiTheme="minorHAnsi" w:hAnsiTheme="minorHAnsi"/>
                <w:sz w:val="20"/>
                <w:szCs w:val="20"/>
              </w:rPr>
              <w:lastRenderedPageBreak/>
              <w:t xml:space="preserve">4: </w:t>
            </w:r>
            <w:r w:rsidRPr="00EF588C">
              <w:rPr>
                <w:rFonts w:asciiTheme="minorHAnsi" w:hAnsiTheme="minorHAnsi"/>
                <w:sz w:val="20"/>
                <w:szCs w:val="20"/>
              </w:rPr>
              <w:t>Increase the Donor Base of the Regional Work</w:t>
            </w:r>
          </w:p>
        </w:tc>
        <w:tc>
          <w:tcPr>
            <w:tcW w:w="3431" w:type="pct"/>
            <w:tcMar>
              <w:top w:w="80" w:type="dxa"/>
              <w:left w:w="80" w:type="dxa"/>
              <w:bottom w:w="180" w:type="dxa"/>
              <w:right w:w="80" w:type="dxa"/>
            </w:tcMar>
          </w:tcPr>
          <w:p w:rsidR="00E96613" w:rsidRPr="00EF588C" w:rsidRDefault="004B5D41" w:rsidP="0002600E">
            <w:pPr>
              <w:pStyle w:val="Tablecontent"/>
              <w:spacing w:after="0" w:line="240" w:lineRule="auto"/>
              <w:rPr>
                <w:rFonts w:asciiTheme="minorHAnsi" w:hAnsiTheme="minorHAnsi"/>
                <w:sz w:val="20"/>
                <w:szCs w:val="20"/>
              </w:rPr>
            </w:pPr>
            <w:r>
              <w:rPr>
                <w:rFonts w:asciiTheme="minorHAnsi" w:hAnsiTheme="minorHAnsi"/>
                <w:b/>
                <w:sz w:val="20"/>
                <w:szCs w:val="20"/>
              </w:rPr>
              <w:t>Accepted</w:t>
            </w:r>
            <w:r w:rsidR="0002600E">
              <w:rPr>
                <w:rFonts w:asciiTheme="minorHAnsi" w:hAnsiTheme="minorHAnsi"/>
                <w:b/>
                <w:sz w:val="20"/>
                <w:szCs w:val="20"/>
              </w:rPr>
              <w:t>:</w:t>
            </w:r>
            <w:r>
              <w:rPr>
                <w:rFonts w:asciiTheme="minorHAnsi" w:hAnsiTheme="minorHAnsi"/>
                <w:sz w:val="20"/>
                <w:szCs w:val="20"/>
              </w:rPr>
              <w:t xml:space="preserve"> Increasing the resources available to support implementation of UNCAC in the Pacific through contributions from other donors is likely to improve UN-PRAC’s capacity to broaden the span and intensity of engagement and support to PICs. Ideally, increased resourcing from donors should enable UNDP and UNODC to recruit additional advisors with the specialist skills required to provide tailored support that meets the needs of individual PICs. Australia recommends that </w:t>
            </w:r>
            <w:r w:rsidR="00B9420C">
              <w:rPr>
                <w:rFonts w:asciiTheme="minorHAnsi" w:hAnsiTheme="minorHAnsi"/>
                <w:sz w:val="20"/>
                <w:szCs w:val="20"/>
              </w:rPr>
              <w:t xml:space="preserve">the advisors </w:t>
            </w:r>
            <w:proofErr w:type="gramStart"/>
            <w:r w:rsidR="00B9420C">
              <w:rPr>
                <w:rFonts w:asciiTheme="minorHAnsi" w:hAnsiTheme="minorHAnsi"/>
                <w:sz w:val="20"/>
                <w:szCs w:val="20"/>
              </w:rPr>
              <w:t>are</w:t>
            </w:r>
            <w:proofErr w:type="gramEnd"/>
            <w:r w:rsidR="00B9420C">
              <w:rPr>
                <w:rFonts w:asciiTheme="minorHAnsi" w:hAnsiTheme="minorHAnsi"/>
                <w:sz w:val="20"/>
                <w:szCs w:val="20"/>
              </w:rPr>
              <w:t xml:space="preserve"> placed a resident missions to ensure that they are able to build relationships with key officials and have on-the-ground familiarity with the local context. If UN-PRAC secures funding from other donors, Australia will work with UNODC and UNDP to establish a governance arrangement to ensure strategic alignment of donor interests and coordination.</w:t>
            </w:r>
          </w:p>
        </w:tc>
      </w:tr>
      <w:tr w:rsidR="00E96613" w:rsidRPr="00EF588C" w:rsidTr="008828D2">
        <w:trPr>
          <w:trHeight w:val="60"/>
        </w:trPr>
        <w:tc>
          <w:tcPr>
            <w:tcW w:w="1569" w:type="pct"/>
            <w:tcMar>
              <w:top w:w="80" w:type="dxa"/>
              <w:left w:w="80" w:type="dxa"/>
              <w:bottom w:w="180" w:type="dxa"/>
              <w:right w:w="80" w:type="dxa"/>
            </w:tcMar>
          </w:tcPr>
          <w:p w:rsidR="00E96613" w:rsidRPr="00EF588C" w:rsidRDefault="00E96613" w:rsidP="008074EB">
            <w:pPr>
              <w:pStyle w:val="Tablecontent"/>
              <w:spacing w:after="0" w:line="240" w:lineRule="auto"/>
              <w:rPr>
                <w:rFonts w:asciiTheme="minorHAnsi" w:hAnsiTheme="minorHAnsi"/>
                <w:sz w:val="20"/>
                <w:szCs w:val="20"/>
              </w:rPr>
            </w:pPr>
            <w:r>
              <w:rPr>
                <w:rFonts w:asciiTheme="minorHAnsi" w:hAnsiTheme="minorHAnsi"/>
                <w:sz w:val="20"/>
                <w:szCs w:val="20"/>
              </w:rPr>
              <w:t>5</w:t>
            </w:r>
            <w:r w:rsidRPr="00EF588C">
              <w:rPr>
                <w:rFonts w:asciiTheme="minorHAnsi" w:hAnsiTheme="minorHAnsi"/>
                <w:sz w:val="20"/>
                <w:szCs w:val="20"/>
              </w:rPr>
              <w:t xml:space="preserve">: </w:t>
            </w:r>
            <w:r w:rsidR="001F74C9">
              <w:rPr>
                <w:rFonts w:asciiTheme="minorHAnsi" w:hAnsiTheme="minorHAnsi"/>
                <w:sz w:val="20"/>
                <w:szCs w:val="20"/>
              </w:rPr>
              <w:t xml:space="preserve"> Re-consider the </w:t>
            </w:r>
            <w:proofErr w:type="gramStart"/>
            <w:r w:rsidR="001F74C9">
              <w:rPr>
                <w:rFonts w:asciiTheme="minorHAnsi" w:hAnsiTheme="minorHAnsi"/>
                <w:sz w:val="20"/>
                <w:szCs w:val="20"/>
              </w:rPr>
              <w:t>added-</w:t>
            </w:r>
            <w:r w:rsidRPr="00EF588C">
              <w:rPr>
                <w:rFonts w:asciiTheme="minorHAnsi" w:hAnsiTheme="minorHAnsi"/>
                <w:sz w:val="20"/>
                <w:szCs w:val="20"/>
              </w:rPr>
              <w:t>value</w:t>
            </w:r>
            <w:proofErr w:type="gramEnd"/>
            <w:r w:rsidRPr="00EF588C">
              <w:rPr>
                <w:rFonts w:asciiTheme="minorHAnsi" w:hAnsiTheme="minorHAnsi"/>
                <w:sz w:val="20"/>
                <w:szCs w:val="20"/>
              </w:rPr>
              <w:t xml:space="preserve"> of the provision of small grants to project beneficiaries.</w:t>
            </w:r>
          </w:p>
        </w:tc>
        <w:tc>
          <w:tcPr>
            <w:tcW w:w="3431" w:type="pct"/>
            <w:tcMar>
              <w:top w:w="80" w:type="dxa"/>
              <w:left w:w="80" w:type="dxa"/>
              <w:bottom w:w="180" w:type="dxa"/>
              <w:right w:w="80" w:type="dxa"/>
            </w:tcMar>
          </w:tcPr>
          <w:p w:rsidR="00CB5E9A" w:rsidRDefault="0002600E" w:rsidP="001F74C9">
            <w:pPr>
              <w:pStyle w:val="Tablecontent"/>
              <w:spacing w:after="0" w:line="240" w:lineRule="auto"/>
              <w:rPr>
                <w:rFonts w:asciiTheme="minorHAnsi" w:hAnsiTheme="minorHAnsi"/>
                <w:sz w:val="20"/>
                <w:szCs w:val="20"/>
              </w:rPr>
            </w:pPr>
            <w:r>
              <w:rPr>
                <w:rFonts w:asciiTheme="minorHAnsi" w:hAnsiTheme="minorHAnsi"/>
                <w:b/>
                <w:sz w:val="20"/>
                <w:szCs w:val="20"/>
              </w:rPr>
              <w:t>Accepted:</w:t>
            </w:r>
            <w:r w:rsidR="001F74C9">
              <w:rPr>
                <w:rFonts w:asciiTheme="minorHAnsi" w:hAnsiTheme="minorHAnsi"/>
                <w:sz w:val="20"/>
                <w:szCs w:val="20"/>
              </w:rPr>
              <w:t xml:space="preserve"> DFAT supports actions to improve the efficiency of UN-PRAC’s operations including the ending of the small grants element of the project. DFAT notes that while the small grants were a means to support participation of officials and other stakeholders in activities related to the aims of the program, the administrative burden was significant and diverted the attention of the UNDP and UNODC advisors from core work.</w:t>
            </w:r>
          </w:p>
          <w:p w:rsidR="00CB5E9A" w:rsidRDefault="00CB5E9A" w:rsidP="001F74C9">
            <w:pPr>
              <w:pStyle w:val="Tablecontent"/>
              <w:spacing w:after="0" w:line="240" w:lineRule="auto"/>
              <w:rPr>
                <w:rFonts w:asciiTheme="minorHAnsi" w:hAnsiTheme="minorHAnsi"/>
                <w:sz w:val="20"/>
                <w:szCs w:val="20"/>
              </w:rPr>
            </w:pPr>
          </w:p>
          <w:p w:rsidR="00E96613" w:rsidRPr="00EF588C" w:rsidRDefault="00CB5E9A" w:rsidP="00406DE9">
            <w:pPr>
              <w:pStyle w:val="Tablecontent"/>
              <w:spacing w:after="0" w:line="240" w:lineRule="auto"/>
              <w:rPr>
                <w:rFonts w:asciiTheme="minorHAnsi" w:hAnsiTheme="minorHAnsi"/>
                <w:sz w:val="20"/>
                <w:szCs w:val="20"/>
              </w:rPr>
            </w:pPr>
            <w:r>
              <w:rPr>
                <w:rFonts w:asciiTheme="minorHAnsi" w:hAnsiTheme="minorHAnsi"/>
                <w:sz w:val="20"/>
                <w:szCs w:val="20"/>
              </w:rPr>
              <w:t xml:space="preserve">DFAT will seek advice on the </w:t>
            </w:r>
            <w:r w:rsidR="00406DE9">
              <w:rPr>
                <w:rFonts w:asciiTheme="minorHAnsi" w:hAnsiTheme="minorHAnsi"/>
                <w:sz w:val="20"/>
                <w:szCs w:val="20"/>
              </w:rPr>
              <w:t>availability of other resources and means to support participation of officials and other stakeholders in UNCAC related activities if a third phase of the program is developed.</w:t>
            </w:r>
          </w:p>
        </w:tc>
      </w:tr>
      <w:tr w:rsidR="00E96613" w:rsidRPr="00EF588C" w:rsidTr="008828D2">
        <w:trPr>
          <w:trHeight w:val="60"/>
        </w:trPr>
        <w:tc>
          <w:tcPr>
            <w:tcW w:w="1569" w:type="pct"/>
            <w:tcMar>
              <w:top w:w="80" w:type="dxa"/>
              <w:left w:w="80" w:type="dxa"/>
              <w:bottom w:w="180" w:type="dxa"/>
              <w:right w:w="80" w:type="dxa"/>
            </w:tcMar>
          </w:tcPr>
          <w:p w:rsidR="00E96613" w:rsidRDefault="00E96613" w:rsidP="008074EB">
            <w:pPr>
              <w:pStyle w:val="Tablecontent"/>
              <w:spacing w:after="0" w:line="240" w:lineRule="auto"/>
              <w:rPr>
                <w:rFonts w:asciiTheme="minorHAnsi" w:hAnsiTheme="minorHAnsi"/>
                <w:sz w:val="20"/>
                <w:szCs w:val="20"/>
              </w:rPr>
            </w:pPr>
            <w:r>
              <w:rPr>
                <w:rFonts w:asciiTheme="minorHAnsi" w:hAnsiTheme="minorHAnsi"/>
                <w:sz w:val="20"/>
                <w:szCs w:val="20"/>
              </w:rPr>
              <w:t xml:space="preserve">6: </w:t>
            </w:r>
            <w:r w:rsidRPr="00EF588C">
              <w:rPr>
                <w:rFonts w:asciiTheme="minorHAnsi" w:hAnsiTheme="minorHAnsi"/>
                <w:sz w:val="20"/>
                <w:szCs w:val="20"/>
              </w:rPr>
              <w:t>Promote more bilateral and multi-lateral interactions between beneficiaries through UN-PRAC platforms.</w:t>
            </w:r>
          </w:p>
        </w:tc>
        <w:tc>
          <w:tcPr>
            <w:tcW w:w="3431" w:type="pct"/>
            <w:tcMar>
              <w:top w:w="80" w:type="dxa"/>
              <w:left w:w="80" w:type="dxa"/>
              <w:bottom w:w="180" w:type="dxa"/>
              <w:right w:w="80" w:type="dxa"/>
            </w:tcMar>
          </w:tcPr>
          <w:p w:rsidR="00E96613" w:rsidRPr="00EF588C" w:rsidRDefault="0002600E" w:rsidP="00D87552">
            <w:pPr>
              <w:pStyle w:val="Tablecontent"/>
              <w:spacing w:after="0" w:line="240" w:lineRule="auto"/>
              <w:rPr>
                <w:rFonts w:asciiTheme="minorHAnsi" w:hAnsiTheme="minorHAnsi"/>
                <w:sz w:val="20"/>
                <w:szCs w:val="20"/>
              </w:rPr>
            </w:pPr>
            <w:r>
              <w:rPr>
                <w:rFonts w:asciiTheme="minorHAnsi" w:hAnsiTheme="minorHAnsi"/>
                <w:b/>
                <w:sz w:val="20"/>
                <w:szCs w:val="20"/>
              </w:rPr>
              <w:t>Accepted:</w:t>
            </w:r>
            <w:r w:rsidR="000A40A6">
              <w:rPr>
                <w:rFonts w:asciiTheme="minorHAnsi" w:hAnsiTheme="minorHAnsi"/>
                <w:sz w:val="20"/>
                <w:szCs w:val="20"/>
              </w:rPr>
              <w:t xml:space="preserve"> DFAT supports </w:t>
            </w:r>
            <w:r w:rsidR="001F74C9">
              <w:rPr>
                <w:rFonts w:asciiTheme="minorHAnsi" w:hAnsiTheme="minorHAnsi"/>
                <w:sz w:val="20"/>
                <w:szCs w:val="20"/>
              </w:rPr>
              <w:t>establishment</w:t>
            </w:r>
            <w:r w:rsidR="000A40A6">
              <w:rPr>
                <w:rFonts w:asciiTheme="minorHAnsi" w:hAnsiTheme="minorHAnsi"/>
                <w:sz w:val="20"/>
                <w:szCs w:val="20"/>
              </w:rPr>
              <w:t xml:space="preserve"> and use of broad coalitions </w:t>
            </w:r>
            <w:r w:rsidR="00D87552">
              <w:rPr>
                <w:rFonts w:asciiTheme="minorHAnsi" w:hAnsiTheme="minorHAnsi"/>
                <w:sz w:val="20"/>
                <w:szCs w:val="20"/>
              </w:rPr>
              <w:t xml:space="preserve">drawn from multi-lateral organisations, government, civil society and the private sector </w:t>
            </w:r>
            <w:r w:rsidR="000A40A6">
              <w:rPr>
                <w:rFonts w:asciiTheme="minorHAnsi" w:hAnsiTheme="minorHAnsi"/>
                <w:sz w:val="20"/>
                <w:szCs w:val="20"/>
              </w:rPr>
              <w:t>to support implementation of UNCAC in the Pacific</w:t>
            </w:r>
            <w:r w:rsidR="00D87552">
              <w:rPr>
                <w:rFonts w:asciiTheme="minorHAnsi" w:hAnsiTheme="minorHAnsi"/>
                <w:sz w:val="20"/>
                <w:szCs w:val="20"/>
              </w:rPr>
              <w:t xml:space="preserve">. Coalitions will ensure that the UN-PRAC agenda reflects the needs and interests of beneficiaries in the development of legislative, </w:t>
            </w:r>
            <w:r w:rsidR="001F74C9">
              <w:rPr>
                <w:rFonts w:asciiTheme="minorHAnsi" w:hAnsiTheme="minorHAnsi"/>
                <w:sz w:val="20"/>
                <w:szCs w:val="20"/>
              </w:rPr>
              <w:t>institutional</w:t>
            </w:r>
            <w:r w:rsidR="00D87552">
              <w:rPr>
                <w:rFonts w:asciiTheme="minorHAnsi" w:hAnsiTheme="minorHAnsi"/>
                <w:sz w:val="20"/>
                <w:szCs w:val="20"/>
              </w:rPr>
              <w:t xml:space="preserve"> and implementation arrangements</w:t>
            </w:r>
            <w:r w:rsidR="001F74C9">
              <w:rPr>
                <w:rFonts w:asciiTheme="minorHAnsi" w:hAnsiTheme="minorHAnsi"/>
                <w:sz w:val="20"/>
                <w:szCs w:val="20"/>
              </w:rPr>
              <w:t>.</w:t>
            </w:r>
            <w:r w:rsidR="00D87552">
              <w:rPr>
                <w:rFonts w:asciiTheme="minorHAnsi" w:hAnsiTheme="minorHAnsi"/>
                <w:sz w:val="20"/>
                <w:szCs w:val="20"/>
              </w:rPr>
              <w:t xml:space="preserve"> </w:t>
            </w:r>
          </w:p>
        </w:tc>
      </w:tr>
      <w:tr w:rsidR="00E96613" w:rsidRPr="00EF588C" w:rsidTr="008828D2">
        <w:trPr>
          <w:trHeight w:val="60"/>
        </w:trPr>
        <w:tc>
          <w:tcPr>
            <w:tcW w:w="1569" w:type="pct"/>
            <w:tcMar>
              <w:top w:w="80" w:type="dxa"/>
              <w:left w:w="80" w:type="dxa"/>
              <w:bottom w:w="180" w:type="dxa"/>
              <w:right w:w="80" w:type="dxa"/>
            </w:tcMar>
          </w:tcPr>
          <w:p w:rsidR="00E96613" w:rsidRPr="00EF588C" w:rsidRDefault="00E96613" w:rsidP="008074EB">
            <w:pPr>
              <w:pStyle w:val="Tablecontent"/>
              <w:spacing w:after="0" w:line="240" w:lineRule="auto"/>
              <w:rPr>
                <w:rFonts w:asciiTheme="minorHAnsi" w:hAnsiTheme="minorHAnsi"/>
                <w:sz w:val="20"/>
                <w:szCs w:val="20"/>
              </w:rPr>
            </w:pPr>
            <w:r w:rsidRPr="00EF588C">
              <w:rPr>
                <w:rFonts w:asciiTheme="minorHAnsi" w:hAnsiTheme="minorHAnsi"/>
                <w:sz w:val="20"/>
                <w:szCs w:val="20"/>
              </w:rPr>
              <w:t xml:space="preserve">7. More interventions – </w:t>
            </w:r>
            <w:proofErr w:type="gramStart"/>
            <w:r w:rsidRPr="00EF588C">
              <w:rPr>
                <w:rFonts w:asciiTheme="minorHAnsi" w:hAnsiTheme="minorHAnsi"/>
                <w:sz w:val="20"/>
                <w:szCs w:val="20"/>
              </w:rPr>
              <w:t>both through mainstreaming and targeting</w:t>
            </w:r>
            <w:proofErr w:type="gramEnd"/>
            <w:r w:rsidRPr="00EF588C">
              <w:rPr>
                <w:rFonts w:asciiTheme="minorHAnsi" w:hAnsiTheme="minorHAnsi"/>
                <w:sz w:val="20"/>
                <w:szCs w:val="20"/>
              </w:rPr>
              <w:t xml:space="preserve"> – are required to promote gender equality in the project’s work.</w:t>
            </w:r>
          </w:p>
        </w:tc>
        <w:tc>
          <w:tcPr>
            <w:tcW w:w="3431" w:type="pct"/>
            <w:tcMar>
              <w:top w:w="80" w:type="dxa"/>
              <w:left w:w="80" w:type="dxa"/>
              <w:bottom w:w="180" w:type="dxa"/>
              <w:right w:w="80" w:type="dxa"/>
            </w:tcMar>
          </w:tcPr>
          <w:p w:rsidR="00E96613" w:rsidRPr="00A75012" w:rsidRDefault="0002600E" w:rsidP="0002600E">
            <w:pPr>
              <w:pStyle w:val="Tablecontent"/>
              <w:spacing w:after="0" w:line="240" w:lineRule="auto"/>
              <w:rPr>
                <w:rFonts w:asciiTheme="minorHAnsi" w:hAnsiTheme="minorHAnsi"/>
                <w:sz w:val="20"/>
                <w:szCs w:val="20"/>
              </w:rPr>
            </w:pPr>
            <w:r>
              <w:rPr>
                <w:rFonts w:asciiTheme="minorHAnsi" w:hAnsiTheme="minorHAnsi"/>
                <w:b/>
                <w:sz w:val="20"/>
                <w:szCs w:val="20"/>
              </w:rPr>
              <w:t>Accepted:</w:t>
            </w:r>
            <w:r w:rsidR="00A75012">
              <w:rPr>
                <w:rFonts w:asciiTheme="minorHAnsi" w:hAnsiTheme="minorHAnsi"/>
                <w:b/>
                <w:sz w:val="20"/>
                <w:szCs w:val="20"/>
              </w:rPr>
              <w:t xml:space="preserve"> </w:t>
            </w:r>
            <w:r w:rsidR="00A75012">
              <w:rPr>
                <w:rFonts w:asciiTheme="minorHAnsi" w:hAnsiTheme="minorHAnsi"/>
                <w:sz w:val="20"/>
                <w:szCs w:val="20"/>
              </w:rPr>
              <w:t xml:space="preserve">DFAT </w:t>
            </w:r>
            <w:r>
              <w:rPr>
                <w:rFonts w:asciiTheme="minorHAnsi" w:hAnsiTheme="minorHAnsi"/>
                <w:sz w:val="20"/>
                <w:szCs w:val="20"/>
              </w:rPr>
              <w:t xml:space="preserve">would welcome increased attention to gender mainstreaming in the UN-PRAC project. Noting that there is limited information and analysis of the gender </w:t>
            </w:r>
            <w:proofErr w:type="gramStart"/>
            <w:r>
              <w:rPr>
                <w:rFonts w:asciiTheme="minorHAnsi" w:hAnsiTheme="minorHAnsi"/>
                <w:sz w:val="20"/>
                <w:szCs w:val="20"/>
              </w:rPr>
              <w:t>impacts</w:t>
            </w:r>
            <w:proofErr w:type="gramEnd"/>
            <w:r>
              <w:rPr>
                <w:rFonts w:asciiTheme="minorHAnsi" w:hAnsiTheme="minorHAnsi"/>
                <w:sz w:val="20"/>
                <w:szCs w:val="20"/>
              </w:rPr>
              <w:t xml:space="preserve"> of corruption in the Pacific (and the wider Indo-Pacific region), DFAT encourages UN-PRAC to complete a detailed assessment of corruption in the region and its impacts on women and men. This will provide a baseline understanding of issues that will improve the project’s capacity to devise interventions that mainstream gender in programming. DFAT will consider requests to provide expertise that will contribute to i</w:t>
            </w:r>
            <w:r w:rsidR="00A75012">
              <w:rPr>
                <w:rFonts w:asciiTheme="minorHAnsi" w:hAnsiTheme="minorHAnsi"/>
                <w:sz w:val="20"/>
                <w:szCs w:val="20"/>
              </w:rPr>
              <w:t>mprov</w:t>
            </w:r>
            <w:r>
              <w:rPr>
                <w:rFonts w:asciiTheme="minorHAnsi" w:hAnsiTheme="minorHAnsi"/>
                <w:sz w:val="20"/>
                <w:szCs w:val="20"/>
              </w:rPr>
              <w:t xml:space="preserve">ed </w:t>
            </w:r>
            <w:r w:rsidR="00A75012">
              <w:rPr>
                <w:rFonts w:asciiTheme="minorHAnsi" w:hAnsiTheme="minorHAnsi"/>
                <w:sz w:val="20"/>
                <w:szCs w:val="20"/>
              </w:rPr>
              <w:t>gender equity outcomes in the Pacific.</w:t>
            </w:r>
          </w:p>
        </w:tc>
      </w:tr>
    </w:tbl>
    <w:p w:rsidR="00E96613" w:rsidRDefault="00E96613"/>
    <w:sectPr w:rsidR="00E966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37" w:rsidRDefault="00600337" w:rsidP="00600337">
      <w:pPr>
        <w:spacing w:after="0" w:line="240" w:lineRule="auto"/>
      </w:pPr>
      <w:r>
        <w:separator/>
      </w:r>
    </w:p>
  </w:endnote>
  <w:endnote w:type="continuationSeparator" w:id="0">
    <w:p w:rsidR="00600337" w:rsidRDefault="00600337" w:rsidP="0060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37" w:rsidRDefault="0060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37" w:rsidRDefault="00600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37" w:rsidRDefault="0060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37" w:rsidRDefault="00600337" w:rsidP="00600337">
      <w:pPr>
        <w:spacing w:after="0" w:line="240" w:lineRule="auto"/>
      </w:pPr>
      <w:r>
        <w:separator/>
      </w:r>
    </w:p>
  </w:footnote>
  <w:footnote w:type="continuationSeparator" w:id="0">
    <w:p w:rsidR="00600337" w:rsidRDefault="00600337" w:rsidP="0060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37" w:rsidRDefault="00600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37" w:rsidRDefault="00600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37" w:rsidRDefault="00600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6359"/>
    <w:multiLevelType w:val="hybridMultilevel"/>
    <w:tmpl w:val="0F907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13"/>
    <w:rsid w:val="0002600E"/>
    <w:rsid w:val="00027EBD"/>
    <w:rsid w:val="00073934"/>
    <w:rsid w:val="000A40A6"/>
    <w:rsid w:val="001F74C9"/>
    <w:rsid w:val="0029592D"/>
    <w:rsid w:val="00350140"/>
    <w:rsid w:val="003A7E93"/>
    <w:rsid w:val="00406DE9"/>
    <w:rsid w:val="00421D26"/>
    <w:rsid w:val="004B5D41"/>
    <w:rsid w:val="004F765C"/>
    <w:rsid w:val="00600337"/>
    <w:rsid w:val="0063696A"/>
    <w:rsid w:val="00750E66"/>
    <w:rsid w:val="00793D4D"/>
    <w:rsid w:val="008518AB"/>
    <w:rsid w:val="008828D2"/>
    <w:rsid w:val="00884655"/>
    <w:rsid w:val="00894135"/>
    <w:rsid w:val="009223BD"/>
    <w:rsid w:val="00A75012"/>
    <w:rsid w:val="00B36EBC"/>
    <w:rsid w:val="00B9420C"/>
    <w:rsid w:val="00CB5E9A"/>
    <w:rsid w:val="00D87552"/>
    <w:rsid w:val="00E5212B"/>
    <w:rsid w:val="00E96613"/>
    <w:rsid w:val="00FB174B"/>
    <w:rsid w:val="00FC1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
    <w:name w:val="Table content"/>
    <w:basedOn w:val="Normal"/>
    <w:rsid w:val="00E96613"/>
    <w:pPr>
      <w:autoSpaceDE w:val="0"/>
      <w:autoSpaceDN w:val="0"/>
      <w:adjustRightInd w:val="0"/>
      <w:spacing w:after="113" w:line="230" w:lineRule="atLeast"/>
      <w:textAlignment w:val="center"/>
    </w:pPr>
    <w:rPr>
      <w:rFonts w:ascii="Myriad Pro" w:eastAsia="Times New Roman" w:hAnsi="Myriad Pro" w:cs="Myriad Pro"/>
      <w:color w:val="000000"/>
      <w:sz w:val="19"/>
      <w:szCs w:val="19"/>
      <w:lang w:val="en-GB"/>
    </w:rPr>
  </w:style>
  <w:style w:type="paragraph" w:styleId="BalloonText">
    <w:name w:val="Balloon Text"/>
    <w:basedOn w:val="Normal"/>
    <w:link w:val="BalloonTextChar"/>
    <w:uiPriority w:val="99"/>
    <w:semiHidden/>
    <w:unhideWhenUsed/>
    <w:rsid w:val="00E52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2B"/>
    <w:rPr>
      <w:rFonts w:ascii="Segoe UI" w:hAnsi="Segoe UI" w:cs="Segoe UI"/>
      <w:sz w:val="18"/>
      <w:szCs w:val="18"/>
    </w:rPr>
  </w:style>
  <w:style w:type="paragraph" w:styleId="Header">
    <w:name w:val="header"/>
    <w:basedOn w:val="Normal"/>
    <w:link w:val="HeaderChar"/>
    <w:uiPriority w:val="99"/>
    <w:unhideWhenUsed/>
    <w:rsid w:val="00600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337"/>
  </w:style>
  <w:style w:type="paragraph" w:styleId="Footer">
    <w:name w:val="footer"/>
    <w:basedOn w:val="Normal"/>
    <w:link w:val="FooterChar"/>
    <w:uiPriority w:val="99"/>
    <w:unhideWhenUsed/>
    <w:rsid w:val="00600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A02C29-E7FD-4569-8489-BF1CC20A0E38}"/>
</file>

<file path=customXml/itemProps2.xml><?xml version="1.0" encoding="utf-8"?>
<ds:datastoreItem xmlns:ds="http://schemas.openxmlformats.org/officeDocument/2006/customXml" ds:itemID="{4E7A1CBF-489E-431E-95F0-A6370A06BE2C}"/>
</file>

<file path=customXml/itemProps3.xml><?xml version="1.0" encoding="utf-8"?>
<ds:datastoreItem xmlns:ds="http://schemas.openxmlformats.org/officeDocument/2006/customXml" ds:itemID="{B84CC39D-F890-4784-82F6-E672E2F6F93D}"/>
</file>

<file path=customXml/itemProps4.xml><?xml version="1.0" encoding="utf-8"?>
<ds:datastoreItem xmlns:ds="http://schemas.openxmlformats.org/officeDocument/2006/customXml" ds:itemID="{3C2D3118-E890-4A2F-BF51-0CC9BA9D03F4}"/>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2019-08-12T01:09:00Z</dcterms:created>
  <dcterms:modified xsi:type="dcterms:W3CDTF">2019-08-12T01:09:00Z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027a839f-011e-4892-aa5e-8310b70cc054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1255700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