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58E25" w14:textId="77777777" w:rsidR="009C5213" w:rsidRPr="00C02346" w:rsidRDefault="00E4381E" w:rsidP="005043E7">
      <w:pPr>
        <w:pStyle w:val="DocName"/>
        <w:pBdr>
          <w:top w:val="single" w:sz="4" w:space="12" w:color="FF9900"/>
          <w:bottom w:val="single" w:sz="4" w:space="5" w:color="FF9900"/>
        </w:pBdr>
        <w:shd w:val="clear" w:color="auto" w:fill="FFFFCC"/>
        <w:contextualSpacing/>
        <w:rPr>
          <w:rFonts w:ascii="Calibri" w:hAnsi="Calibri" w:cs="Calibri"/>
          <w:color w:val="000000"/>
          <w:sz w:val="24"/>
          <w:lang w:eastAsia="en-AU"/>
        </w:rPr>
      </w:pPr>
      <w:bookmarkStart w:id="0" w:name="_GoBack"/>
      <w:bookmarkEnd w:id="0"/>
      <w:r w:rsidRPr="00C02346">
        <w:rPr>
          <w:rFonts w:ascii="Calibri" w:hAnsi="Calibri" w:cs="Calibri"/>
          <w:color w:val="000000"/>
          <w:sz w:val="24"/>
          <w:lang w:eastAsia="en-AU"/>
        </w:rPr>
        <w:t>Independent Evaluation</w:t>
      </w:r>
      <w:r w:rsidR="008476B1" w:rsidRPr="00C02346">
        <w:rPr>
          <w:rFonts w:ascii="Calibri" w:hAnsi="Calibri" w:cs="Calibri"/>
          <w:color w:val="000000"/>
          <w:sz w:val="24"/>
          <w:lang w:eastAsia="en-AU"/>
        </w:rPr>
        <w:t>:</w:t>
      </w:r>
      <w:r w:rsidR="009C5213" w:rsidRPr="00C02346">
        <w:rPr>
          <w:rFonts w:ascii="Calibri" w:hAnsi="Calibri" w:cs="Calibri"/>
          <w:color w:val="000000"/>
          <w:sz w:val="24"/>
          <w:lang w:eastAsia="en-AU"/>
        </w:rPr>
        <w:t xml:space="preserve"> </w:t>
      </w:r>
      <w:r w:rsidRPr="00C02346">
        <w:rPr>
          <w:rFonts w:ascii="Calibri" w:hAnsi="Calibri" w:cs="Calibri"/>
          <w:color w:val="000000"/>
          <w:sz w:val="24"/>
          <w:lang w:eastAsia="en-AU"/>
        </w:rPr>
        <w:t>Tropical Cyclone Pam Recovery Program</w:t>
      </w:r>
    </w:p>
    <w:p w14:paraId="79AAE1CD" w14:textId="77777777" w:rsidR="009C5213" w:rsidRPr="00C02346" w:rsidRDefault="009C5213" w:rsidP="005043E7">
      <w:pPr>
        <w:pStyle w:val="DocName"/>
        <w:pBdr>
          <w:top w:val="single" w:sz="4" w:space="12" w:color="FF9900"/>
          <w:bottom w:val="single" w:sz="4" w:space="5" w:color="FF9900"/>
        </w:pBdr>
        <w:shd w:val="clear" w:color="auto" w:fill="FFFFCC"/>
        <w:contextualSpacing/>
        <w:rPr>
          <w:rFonts w:ascii="Calibri" w:hAnsi="Calibri" w:cs="Calibri"/>
          <w:color w:val="000000"/>
          <w:sz w:val="24"/>
          <w:lang w:eastAsia="en-AU"/>
        </w:rPr>
      </w:pPr>
      <w:r w:rsidRPr="00C02346">
        <w:rPr>
          <w:rFonts w:ascii="Calibri" w:hAnsi="Calibri" w:cs="Calibri"/>
          <w:color w:val="000000"/>
          <w:sz w:val="24"/>
          <w:lang w:eastAsia="en-AU"/>
        </w:rPr>
        <w:t>MANAGEMENT RESPONSE</w:t>
      </w:r>
    </w:p>
    <w:p w14:paraId="2BA576CD" w14:textId="77777777" w:rsidR="009C5213" w:rsidRPr="00C02346" w:rsidRDefault="00C67CEC" w:rsidP="0020133E">
      <w:pPr>
        <w:pStyle w:val="Heading2"/>
        <w:spacing w:before="120" w:after="120"/>
        <w:contextualSpacing/>
        <w:rPr>
          <w:rFonts w:ascii="Calibri" w:hAnsi="Calibri" w:cs="Calibri"/>
          <w:szCs w:val="24"/>
        </w:rPr>
      </w:pPr>
      <w:r w:rsidRPr="00C02346">
        <w:rPr>
          <w:rFonts w:ascii="Calibri" w:hAnsi="Calibri" w:cs="Calibri"/>
          <w:szCs w:val="24"/>
        </w:rPr>
        <w:t>Investment</w:t>
      </w:r>
      <w:r w:rsidR="009C5213" w:rsidRPr="00C02346">
        <w:rPr>
          <w:rFonts w:ascii="Calibri" w:hAnsi="Calibri" w:cs="Calibri"/>
          <w:szCs w:val="24"/>
        </w:rPr>
        <w:t xml:space="preserve"> Summary</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297"/>
        <w:gridCol w:w="7201"/>
      </w:tblGrid>
      <w:tr w:rsidR="00505C3A" w:rsidRPr="00C02346" w14:paraId="02E73AE1" w14:textId="77777777" w:rsidTr="0020133E">
        <w:trPr>
          <w:cantSplit/>
          <w:trHeight w:val="449"/>
          <w:tblHeader/>
        </w:trPr>
        <w:tc>
          <w:tcPr>
            <w:tcW w:w="2297" w:type="dxa"/>
            <w:shd w:val="clear" w:color="auto" w:fill="E0E0E0"/>
          </w:tcPr>
          <w:p w14:paraId="05CB5DBC" w14:textId="77777777" w:rsidR="009C5213" w:rsidRPr="00C02346" w:rsidRDefault="009C5213" w:rsidP="0020133E">
            <w:pPr>
              <w:pStyle w:val="Table-normal-text"/>
              <w:spacing w:after="60"/>
              <w:contextualSpacing/>
              <w:rPr>
                <w:rFonts w:ascii="Calibri" w:hAnsi="Calibri" w:cs="Calibri"/>
                <w:b/>
                <w:sz w:val="22"/>
              </w:rPr>
            </w:pPr>
            <w:r w:rsidRPr="00C02346">
              <w:rPr>
                <w:rFonts w:ascii="Calibri" w:hAnsi="Calibri" w:cs="Calibri"/>
                <w:b/>
                <w:sz w:val="22"/>
              </w:rPr>
              <w:t>In</w:t>
            </w:r>
            <w:r w:rsidR="00C67CEC" w:rsidRPr="00C02346">
              <w:rPr>
                <w:rFonts w:ascii="Calibri" w:hAnsi="Calibri" w:cs="Calibri"/>
                <w:b/>
                <w:sz w:val="22"/>
              </w:rPr>
              <w:t>vestment</w:t>
            </w:r>
            <w:r w:rsidRPr="00C02346">
              <w:rPr>
                <w:rFonts w:ascii="Calibri" w:hAnsi="Calibri" w:cs="Calibri"/>
                <w:b/>
                <w:sz w:val="22"/>
              </w:rPr>
              <w:t xml:space="preserve"> Name</w:t>
            </w:r>
          </w:p>
        </w:tc>
        <w:tc>
          <w:tcPr>
            <w:tcW w:w="7201" w:type="dxa"/>
            <w:shd w:val="clear" w:color="auto" w:fill="E0E0E0"/>
          </w:tcPr>
          <w:p w14:paraId="65D79ECE" w14:textId="77777777" w:rsidR="00E4381E" w:rsidRPr="00C02346" w:rsidRDefault="00E4381E" w:rsidP="00E4381E">
            <w:pPr>
              <w:pStyle w:val="Table-normal-text"/>
              <w:spacing w:after="60"/>
              <w:contextualSpacing/>
              <w:rPr>
                <w:rFonts w:ascii="Calibri" w:hAnsi="Calibri" w:cs="Calibri"/>
                <w:sz w:val="22"/>
              </w:rPr>
            </w:pPr>
            <w:r w:rsidRPr="00C02346">
              <w:rPr>
                <w:rFonts w:ascii="Calibri" w:hAnsi="Calibri" w:cs="Calibri"/>
                <w:sz w:val="22"/>
              </w:rPr>
              <w:t xml:space="preserve">Tropical Cyclone Pam Recovery Program </w:t>
            </w:r>
          </w:p>
          <w:p w14:paraId="1BF436CE" w14:textId="77777777" w:rsidR="009C5213" w:rsidRPr="00C02346" w:rsidRDefault="009C5213" w:rsidP="00E4381E">
            <w:pPr>
              <w:pStyle w:val="Table-normal-text"/>
              <w:spacing w:after="60"/>
              <w:contextualSpacing/>
              <w:rPr>
                <w:rFonts w:ascii="Calibri" w:hAnsi="Calibri" w:cs="Calibri"/>
                <w:sz w:val="22"/>
              </w:rPr>
            </w:pPr>
          </w:p>
        </w:tc>
      </w:tr>
      <w:tr w:rsidR="009C5213" w:rsidRPr="00C02346" w14:paraId="6567F0D4" w14:textId="77777777" w:rsidTr="0020133E">
        <w:trPr>
          <w:cantSplit/>
          <w:trHeight w:val="295"/>
        </w:trPr>
        <w:tc>
          <w:tcPr>
            <w:tcW w:w="2297" w:type="dxa"/>
            <w:shd w:val="clear" w:color="auto" w:fill="auto"/>
          </w:tcPr>
          <w:p w14:paraId="7BCA8C7F" w14:textId="77777777" w:rsidR="009C5213" w:rsidRPr="00C02346" w:rsidRDefault="009C5213" w:rsidP="0020133E">
            <w:pPr>
              <w:pStyle w:val="Table-normal-text"/>
              <w:spacing w:after="60"/>
              <w:contextualSpacing/>
              <w:rPr>
                <w:rFonts w:ascii="Calibri" w:hAnsi="Calibri" w:cs="Calibri"/>
                <w:sz w:val="22"/>
              </w:rPr>
            </w:pPr>
            <w:r w:rsidRPr="00C02346">
              <w:rPr>
                <w:rFonts w:ascii="Calibri" w:hAnsi="Calibri" w:cs="Calibri"/>
                <w:sz w:val="22"/>
              </w:rPr>
              <w:t xml:space="preserve">AidWorks </w:t>
            </w:r>
            <w:r w:rsidR="00C67CEC" w:rsidRPr="00C02346">
              <w:rPr>
                <w:rFonts w:ascii="Calibri" w:hAnsi="Calibri" w:cs="Calibri"/>
                <w:sz w:val="22"/>
              </w:rPr>
              <w:t xml:space="preserve">reference </w:t>
            </w:r>
          </w:p>
        </w:tc>
        <w:tc>
          <w:tcPr>
            <w:tcW w:w="7201" w:type="dxa"/>
            <w:shd w:val="clear" w:color="auto" w:fill="auto"/>
          </w:tcPr>
          <w:p w14:paraId="247CDE46" w14:textId="77777777" w:rsidR="009C5213" w:rsidRPr="00C02346" w:rsidRDefault="00C67CEC" w:rsidP="00E4381E">
            <w:pPr>
              <w:pStyle w:val="Table-normal-text"/>
              <w:spacing w:after="60"/>
              <w:contextualSpacing/>
              <w:rPr>
                <w:rFonts w:ascii="Calibri" w:hAnsi="Calibri" w:cs="Calibri"/>
                <w:sz w:val="22"/>
              </w:rPr>
            </w:pPr>
            <w:r w:rsidRPr="00C02346">
              <w:rPr>
                <w:rFonts w:ascii="Calibri" w:hAnsi="Calibri" w:cs="Calibri"/>
                <w:sz w:val="22"/>
              </w:rPr>
              <w:t xml:space="preserve">Investment </w:t>
            </w:r>
            <w:r w:rsidR="00E4381E" w:rsidRPr="00C02346">
              <w:rPr>
                <w:rFonts w:ascii="Calibri" w:hAnsi="Calibri" w:cs="Calibri"/>
                <w:sz w:val="22"/>
                <w:szCs w:val="22"/>
              </w:rPr>
              <w:t>INL372</w:t>
            </w:r>
          </w:p>
        </w:tc>
      </w:tr>
      <w:tr w:rsidR="00057125" w:rsidRPr="00C02346" w14:paraId="67761449" w14:textId="77777777" w:rsidTr="00143F5A">
        <w:trPr>
          <w:cantSplit/>
          <w:trHeight w:val="266"/>
        </w:trPr>
        <w:tc>
          <w:tcPr>
            <w:tcW w:w="2297" w:type="dxa"/>
            <w:shd w:val="clear" w:color="auto" w:fill="auto"/>
          </w:tcPr>
          <w:p w14:paraId="5F8EE734" w14:textId="77777777" w:rsidR="00057125" w:rsidRPr="00C02346" w:rsidRDefault="00057125" w:rsidP="00057125">
            <w:pPr>
              <w:pStyle w:val="Table-normal-text"/>
              <w:spacing w:after="60"/>
              <w:contextualSpacing/>
              <w:rPr>
                <w:rFonts w:ascii="Calibri" w:hAnsi="Calibri" w:cs="Calibri"/>
                <w:sz w:val="22"/>
              </w:rPr>
            </w:pPr>
            <w:r w:rsidRPr="00C02346">
              <w:rPr>
                <w:rFonts w:ascii="Calibri" w:hAnsi="Calibri" w:cs="Calibri"/>
                <w:sz w:val="22"/>
              </w:rPr>
              <w:t>Original dates:</w:t>
            </w:r>
          </w:p>
        </w:tc>
        <w:tc>
          <w:tcPr>
            <w:tcW w:w="7201" w:type="dxa"/>
            <w:shd w:val="clear" w:color="auto" w:fill="auto"/>
          </w:tcPr>
          <w:p w14:paraId="0848AF34" w14:textId="77777777" w:rsidR="00057125" w:rsidRPr="00C02346" w:rsidRDefault="00057125" w:rsidP="00E4381E">
            <w:pPr>
              <w:pStyle w:val="Table-normal-text"/>
              <w:spacing w:after="60"/>
              <w:contextualSpacing/>
              <w:rPr>
                <w:rFonts w:ascii="Calibri" w:hAnsi="Calibri" w:cs="Calibri"/>
                <w:sz w:val="22"/>
              </w:rPr>
            </w:pPr>
            <w:r w:rsidRPr="00C02346">
              <w:rPr>
                <w:rFonts w:ascii="Calibri" w:hAnsi="Calibri" w:cs="Calibri"/>
                <w:sz w:val="22"/>
              </w:rPr>
              <w:t xml:space="preserve">1 </w:t>
            </w:r>
            <w:r w:rsidR="00E4381E" w:rsidRPr="00C02346">
              <w:rPr>
                <w:rFonts w:ascii="Calibri" w:hAnsi="Calibri" w:cs="Calibri"/>
                <w:sz w:val="22"/>
              </w:rPr>
              <w:t>July</w:t>
            </w:r>
            <w:r w:rsidRPr="00C02346">
              <w:rPr>
                <w:rFonts w:ascii="Calibri" w:hAnsi="Calibri" w:cs="Calibri"/>
                <w:sz w:val="22"/>
              </w:rPr>
              <w:t xml:space="preserve"> </w:t>
            </w:r>
            <w:r w:rsidR="00E4381E" w:rsidRPr="00C02346">
              <w:rPr>
                <w:rFonts w:ascii="Calibri" w:hAnsi="Calibri" w:cs="Calibri"/>
                <w:sz w:val="22"/>
              </w:rPr>
              <w:t xml:space="preserve">2015 </w:t>
            </w:r>
            <w:r w:rsidRPr="00C02346">
              <w:rPr>
                <w:rFonts w:ascii="Calibri" w:hAnsi="Calibri" w:cs="Calibri"/>
                <w:sz w:val="22"/>
              </w:rPr>
              <w:t xml:space="preserve">to </w:t>
            </w:r>
            <w:r w:rsidR="00E4381E" w:rsidRPr="00C02346">
              <w:rPr>
                <w:rFonts w:ascii="Calibri" w:hAnsi="Calibri" w:cs="Calibri"/>
                <w:sz w:val="22"/>
              </w:rPr>
              <w:t xml:space="preserve">30 </w:t>
            </w:r>
            <w:r w:rsidRPr="00C02346">
              <w:rPr>
                <w:rFonts w:ascii="Calibri" w:hAnsi="Calibri" w:cs="Calibri"/>
                <w:sz w:val="22"/>
              </w:rPr>
              <w:t xml:space="preserve">June </w:t>
            </w:r>
            <w:r w:rsidR="00E4381E" w:rsidRPr="00C02346">
              <w:rPr>
                <w:rFonts w:ascii="Calibri" w:hAnsi="Calibri" w:cs="Calibri"/>
                <w:sz w:val="22"/>
              </w:rPr>
              <w:t xml:space="preserve">2018 </w:t>
            </w:r>
          </w:p>
        </w:tc>
      </w:tr>
      <w:tr w:rsidR="00057125" w:rsidRPr="00C02346" w14:paraId="52273A58" w14:textId="77777777" w:rsidTr="00143F5A">
        <w:trPr>
          <w:cantSplit/>
          <w:trHeight w:val="266"/>
        </w:trPr>
        <w:tc>
          <w:tcPr>
            <w:tcW w:w="2297" w:type="dxa"/>
            <w:shd w:val="clear" w:color="auto" w:fill="auto"/>
          </w:tcPr>
          <w:p w14:paraId="37F52FC7" w14:textId="77777777" w:rsidR="00057125" w:rsidRPr="00C02346" w:rsidRDefault="00057125" w:rsidP="0020133E">
            <w:pPr>
              <w:pStyle w:val="Table-normal-text"/>
              <w:spacing w:after="60"/>
              <w:contextualSpacing/>
              <w:rPr>
                <w:rFonts w:ascii="Calibri" w:hAnsi="Calibri" w:cs="Calibri"/>
                <w:sz w:val="22"/>
              </w:rPr>
            </w:pPr>
            <w:r w:rsidRPr="00C02346">
              <w:rPr>
                <w:rFonts w:ascii="Calibri" w:hAnsi="Calibri" w:cs="Calibri"/>
                <w:sz w:val="22"/>
              </w:rPr>
              <w:t>Amended dates:</w:t>
            </w:r>
          </w:p>
        </w:tc>
        <w:tc>
          <w:tcPr>
            <w:tcW w:w="7201" w:type="dxa"/>
            <w:shd w:val="clear" w:color="auto" w:fill="auto"/>
          </w:tcPr>
          <w:p w14:paraId="5436B76A" w14:textId="77777777" w:rsidR="00057125" w:rsidRPr="00C02346" w:rsidRDefault="00057125" w:rsidP="00E4381E">
            <w:pPr>
              <w:pStyle w:val="Table-normal-text"/>
              <w:spacing w:after="60"/>
              <w:contextualSpacing/>
              <w:rPr>
                <w:rFonts w:ascii="Calibri" w:hAnsi="Calibri" w:cs="Calibri"/>
                <w:sz w:val="22"/>
              </w:rPr>
            </w:pPr>
            <w:r w:rsidRPr="00C02346">
              <w:rPr>
                <w:rFonts w:ascii="Calibri" w:hAnsi="Calibri" w:cs="Calibri"/>
                <w:sz w:val="22"/>
              </w:rPr>
              <w:t xml:space="preserve">1 </w:t>
            </w:r>
            <w:r w:rsidR="00E4381E" w:rsidRPr="00C02346">
              <w:rPr>
                <w:rFonts w:ascii="Calibri" w:hAnsi="Calibri" w:cs="Calibri"/>
                <w:sz w:val="22"/>
              </w:rPr>
              <w:t xml:space="preserve">July 2015 </w:t>
            </w:r>
            <w:r w:rsidRPr="00C02346">
              <w:rPr>
                <w:rFonts w:ascii="Calibri" w:hAnsi="Calibri" w:cs="Calibri"/>
                <w:sz w:val="22"/>
              </w:rPr>
              <w:t xml:space="preserve">to </w:t>
            </w:r>
            <w:r w:rsidR="00E4381E" w:rsidRPr="00C02346">
              <w:rPr>
                <w:rFonts w:ascii="Calibri" w:hAnsi="Calibri" w:cs="Calibri"/>
                <w:sz w:val="22"/>
              </w:rPr>
              <w:t xml:space="preserve">30 June </w:t>
            </w:r>
            <w:r w:rsidRPr="00C02346">
              <w:rPr>
                <w:rFonts w:ascii="Calibri" w:hAnsi="Calibri" w:cs="Calibri"/>
                <w:sz w:val="22"/>
              </w:rPr>
              <w:t>2019</w:t>
            </w:r>
            <w:r w:rsidR="00896AE4" w:rsidRPr="00C02346">
              <w:rPr>
                <w:rFonts w:ascii="Calibri" w:hAnsi="Calibri" w:cs="Calibri"/>
                <w:sz w:val="22"/>
              </w:rPr>
              <w:t xml:space="preserve"> (signed </w:t>
            </w:r>
            <w:r w:rsidR="00E4381E" w:rsidRPr="00C02346">
              <w:rPr>
                <w:rFonts w:ascii="Calibri" w:hAnsi="Calibri" w:cs="Calibri"/>
                <w:sz w:val="22"/>
              </w:rPr>
              <w:t>19 April 2018</w:t>
            </w:r>
            <w:r w:rsidR="00896AE4" w:rsidRPr="00C02346">
              <w:rPr>
                <w:rFonts w:ascii="Calibri" w:hAnsi="Calibri" w:cs="Calibri"/>
                <w:sz w:val="22"/>
              </w:rPr>
              <w:t>)</w:t>
            </w:r>
          </w:p>
        </w:tc>
      </w:tr>
      <w:tr w:rsidR="005043E7" w:rsidRPr="00C02346" w14:paraId="725EF41D" w14:textId="77777777" w:rsidTr="0020133E">
        <w:trPr>
          <w:cantSplit/>
          <w:trHeight w:val="295"/>
        </w:trPr>
        <w:tc>
          <w:tcPr>
            <w:tcW w:w="2297" w:type="dxa"/>
            <w:shd w:val="clear" w:color="auto" w:fill="auto"/>
          </w:tcPr>
          <w:p w14:paraId="45F61DD5" w14:textId="77777777" w:rsidR="005043E7" w:rsidRPr="00C02346" w:rsidRDefault="00057125" w:rsidP="0020133E">
            <w:pPr>
              <w:pStyle w:val="Table-normal-text"/>
              <w:spacing w:after="60"/>
              <w:contextualSpacing/>
              <w:rPr>
                <w:rFonts w:ascii="Calibri" w:hAnsi="Calibri" w:cs="Calibri"/>
                <w:sz w:val="22"/>
              </w:rPr>
            </w:pPr>
            <w:r w:rsidRPr="00C02346">
              <w:rPr>
                <w:rFonts w:ascii="Calibri" w:hAnsi="Calibri" w:cs="Calibri"/>
                <w:sz w:val="22"/>
              </w:rPr>
              <w:t>Original</w:t>
            </w:r>
            <w:r w:rsidR="005043E7" w:rsidRPr="00C02346">
              <w:rPr>
                <w:rFonts w:ascii="Calibri" w:hAnsi="Calibri" w:cs="Calibri"/>
                <w:sz w:val="22"/>
              </w:rPr>
              <w:t xml:space="preserve"> value:</w:t>
            </w:r>
          </w:p>
        </w:tc>
        <w:tc>
          <w:tcPr>
            <w:tcW w:w="7201" w:type="dxa"/>
            <w:shd w:val="clear" w:color="auto" w:fill="auto"/>
          </w:tcPr>
          <w:p w14:paraId="0DE34262" w14:textId="77777777" w:rsidR="005043E7" w:rsidRPr="00C02346" w:rsidRDefault="005043E7" w:rsidP="0020133E">
            <w:pPr>
              <w:pStyle w:val="Table-normal-text"/>
              <w:spacing w:after="60"/>
              <w:contextualSpacing/>
              <w:rPr>
                <w:rFonts w:ascii="Calibri" w:hAnsi="Calibri" w:cs="Calibri"/>
                <w:sz w:val="22"/>
              </w:rPr>
            </w:pPr>
            <w:r w:rsidRPr="00C02346">
              <w:rPr>
                <w:rFonts w:ascii="Calibri" w:hAnsi="Calibri" w:cs="Calibri"/>
                <w:sz w:val="22"/>
              </w:rPr>
              <w:t>Total value: A$</w:t>
            </w:r>
            <w:r w:rsidR="00E4381E" w:rsidRPr="00C02346">
              <w:rPr>
                <w:rFonts w:ascii="Calibri" w:hAnsi="Calibri" w:cs="Calibri"/>
                <w:sz w:val="22"/>
              </w:rPr>
              <w:t>35</w:t>
            </w:r>
            <w:r w:rsidRPr="00C02346">
              <w:rPr>
                <w:rFonts w:ascii="Calibri" w:hAnsi="Calibri" w:cs="Calibri"/>
                <w:sz w:val="22"/>
              </w:rPr>
              <w:t>,</w:t>
            </w:r>
            <w:r w:rsidR="00E4381E" w:rsidRPr="00C02346">
              <w:rPr>
                <w:rFonts w:ascii="Calibri" w:hAnsi="Calibri" w:cs="Calibri"/>
                <w:sz w:val="22"/>
              </w:rPr>
              <w:t>000</w:t>
            </w:r>
            <w:r w:rsidRPr="00C02346">
              <w:rPr>
                <w:rFonts w:ascii="Calibri" w:hAnsi="Calibri" w:cs="Calibri"/>
                <w:sz w:val="22"/>
              </w:rPr>
              <w:t>,</w:t>
            </w:r>
            <w:r w:rsidR="00E4381E" w:rsidRPr="00C02346">
              <w:rPr>
                <w:rFonts w:ascii="Calibri" w:hAnsi="Calibri" w:cs="Calibri"/>
                <w:sz w:val="22"/>
              </w:rPr>
              <w:t>000</w:t>
            </w:r>
          </w:p>
          <w:p w14:paraId="62766073" w14:textId="77777777" w:rsidR="005043E7" w:rsidRPr="00C02346" w:rsidRDefault="005043E7" w:rsidP="00B24DCC">
            <w:pPr>
              <w:pStyle w:val="Table-normal-text"/>
              <w:spacing w:after="60"/>
              <w:contextualSpacing/>
              <w:rPr>
                <w:rFonts w:ascii="Calibri" w:hAnsi="Calibri" w:cs="Calibri"/>
                <w:sz w:val="22"/>
              </w:rPr>
            </w:pPr>
            <w:r w:rsidRPr="00C02346">
              <w:rPr>
                <w:rFonts w:ascii="Calibri" w:hAnsi="Calibri" w:cs="Calibri"/>
                <w:sz w:val="22"/>
              </w:rPr>
              <w:t>(</w:t>
            </w:r>
            <w:r w:rsidR="00E4381E" w:rsidRPr="00C02346">
              <w:rPr>
                <w:rFonts w:ascii="Calibri" w:hAnsi="Calibri" w:cs="Calibri"/>
                <w:sz w:val="22"/>
              </w:rPr>
              <w:t>A$34,700,000 was transferred to the Reserve Bank of Vanuatu in June 2015 in a single tranche governed by a Direct Funding Agreement (DFA)</w:t>
            </w:r>
            <w:r w:rsidR="00B24DCC" w:rsidRPr="00C02346">
              <w:rPr>
                <w:rFonts w:ascii="Calibri" w:hAnsi="Calibri" w:cs="Calibri"/>
                <w:sz w:val="22"/>
              </w:rPr>
              <w:t xml:space="preserve"> and A$300,000 was retained to cover administrative and staffing expenses</w:t>
            </w:r>
            <w:r w:rsidRPr="00C02346">
              <w:rPr>
                <w:rFonts w:ascii="Calibri" w:hAnsi="Calibri" w:cs="Calibri"/>
                <w:sz w:val="22"/>
              </w:rPr>
              <w:t>)</w:t>
            </w:r>
          </w:p>
        </w:tc>
      </w:tr>
      <w:tr w:rsidR="009C5213" w:rsidRPr="00C02346" w14:paraId="5934F35F" w14:textId="77777777" w:rsidTr="0020133E">
        <w:trPr>
          <w:cantSplit/>
          <w:trHeight w:val="339"/>
        </w:trPr>
        <w:tc>
          <w:tcPr>
            <w:tcW w:w="2297" w:type="dxa"/>
            <w:shd w:val="clear" w:color="auto" w:fill="auto"/>
          </w:tcPr>
          <w:p w14:paraId="3FC802A8" w14:textId="77777777" w:rsidR="009C5213" w:rsidRPr="00C02346" w:rsidRDefault="00A91E23" w:rsidP="0020133E">
            <w:pPr>
              <w:pStyle w:val="Table-normal-text"/>
              <w:spacing w:after="60"/>
              <w:contextualSpacing/>
              <w:rPr>
                <w:rFonts w:ascii="Calibri" w:hAnsi="Calibri" w:cs="Calibri"/>
                <w:sz w:val="22"/>
              </w:rPr>
            </w:pPr>
            <w:r w:rsidRPr="00C02346">
              <w:rPr>
                <w:rFonts w:ascii="Calibri" w:hAnsi="Calibri" w:cs="Calibri"/>
                <w:sz w:val="22"/>
              </w:rPr>
              <w:t>Implementing partner</w:t>
            </w:r>
            <w:r w:rsidR="00505C3A" w:rsidRPr="00C02346">
              <w:rPr>
                <w:rFonts w:ascii="Calibri" w:hAnsi="Calibri" w:cs="Calibri"/>
                <w:sz w:val="22"/>
              </w:rPr>
              <w:t>:</w:t>
            </w:r>
          </w:p>
        </w:tc>
        <w:tc>
          <w:tcPr>
            <w:tcW w:w="7201" w:type="dxa"/>
            <w:shd w:val="clear" w:color="auto" w:fill="auto"/>
          </w:tcPr>
          <w:p w14:paraId="771AC643" w14:textId="77777777" w:rsidR="009C5213" w:rsidRPr="00C02346" w:rsidRDefault="00E4381E" w:rsidP="00E4381E">
            <w:pPr>
              <w:pStyle w:val="Table-normal-text"/>
              <w:spacing w:after="60"/>
              <w:contextualSpacing/>
              <w:rPr>
                <w:rFonts w:ascii="Calibri" w:hAnsi="Calibri" w:cs="Calibri"/>
                <w:sz w:val="22"/>
              </w:rPr>
            </w:pPr>
            <w:r w:rsidRPr="00C02346">
              <w:rPr>
                <w:rFonts w:ascii="Calibri" w:hAnsi="Calibri" w:cs="Calibri"/>
                <w:sz w:val="22"/>
              </w:rPr>
              <w:t>Government of Vanuatu (across multiple Ministries)</w:t>
            </w:r>
          </w:p>
        </w:tc>
      </w:tr>
      <w:tr w:rsidR="009C5213" w:rsidRPr="00C02346" w14:paraId="4DEEE41B" w14:textId="77777777" w:rsidTr="0020133E">
        <w:trPr>
          <w:cantSplit/>
          <w:trHeight w:val="295"/>
        </w:trPr>
        <w:tc>
          <w:tcPr>
            <w:tcW w:w="2297" w:type="dxa"/>
            <w:shd w:val="clear" w:color="auto" w:fill="auto"/>
          </w:tcPr>
          <w:p w14:paraId="5F69673D" w14:textId="77777777" w:rsidR="009C5213" w:rsidRPr="00C02346" w:rsidRDefault="009C5213" w:rsidP="0020133E">
            <w:pPr>
              <w:pStyle w:val="Table-normal-text"/>
              <w:spacing w:after="60"/>
              <w:contextualSpacing/>
              <w:rPr>
                <w:rFonts w:ascii="Calibri" w:hAnsi="Calibri" w:cs="Calibri"/>
                <w:sz w:val="22"/>
              </w:rPr>
            </w:pPr>
            <w:r w:rsidRPr="00C02346">
              <w:rPr>
                <w:rFonts w:ascii="Calibri" w:hAnsi="Calibri" w:cs="Calibri"/>
                <w:sz w:val="22"/>
              </w:rPr>
              <w:t>Country/Region</w:t>
            </w:r>
            <w:r w:rsidR="00505C3A" w:rsidRPr="00C02346">
              <w:rPr>
                <w:rFonts w:ascii="Calibri" w:hAnsi="Calibri" w:cs="Calibri"/>
                <w:sz w:val="22"/>
              </w:rPr>
              <w:t>:</w:t>
            </w:r>
          </w:p>
        </w:tc>
        <w:tc>
          <w:tcPr>
            <w:tcW w:w="7201" w:type="dxa"/>
            <w:shd w:val="clear" w:color="auto" w:fill="auto"/>
          </w:tcPr>
          <w:p w14:paraId="69AA864B" w14:textId="77777777" w:rsidR="009C5213" w:rsidRPr="00C02346" w:rsidRDefault="009C5213" w:rsidP="0020133E">
            <w:pPr>
              <w:pStyle w:val="Table-normal-text"/>
              <w:spacing w:after="60"/>
              <w:contextualSpacing/>
              <w:rPr>
                <w:rFonts w:ascii="Calibri" w:hAnsi="Calibri" w:cs="Calibri"/>
                <w:sz w:val="22"/>
              </w:rPr>
            </w:pPr>
            <w:r w:rsidRPr="00C02346">
              <w:rPr>
                <w:rFonts w:ascii="Calibri" w:hAnsi="Calibri" w:cs="Calibri"/>
                <w:sz w:val="22"/>
              </w:rPr>
              <w:t>Vanuatu</w:t>
            </w:r>
          </w:p>
        </w:tc>
      </w:tr>
      <w:tr w:rsidR="009C5213" w:rsidRPr="00C02346" w14:paraId="345BF8FA" w14:textId="77777777" w:rsidTr="0020133E">
        <w:trPr>
          <w:cantSplit/>
          <w:trHeight w:val="295"/>
        </w:trPr>
        <w:tc>
          <w:tcPr>
            <w:tcW w:w="2297" w:type="dxa"/>
            <w:shd w:val="clear" w:color="auto" w:fill="auto"/>
          </w:tcPr>
          <w:p w14:paraId="60B1B91F" w14:textId="77777777" w:rsidR="009C5213" w:rsidRPr="00C02346" w:rsidRDefault="009C5213" w:rsidP="0020133E">
            <w:pPr>
              <w:pStyle w:val="Table-normal-text"/>
              <w:spacing w:after="60"/>
              <w:contextualSpacing/>
              <w:rPr>
                <w:rFonts w:ascii="Calibri" w:hAnsi="Calibri" w:cs="Calibri"/>
                <w:sz w:val="22"/>
              </w:rPr>
            </w:pPr>
            <w:r w:rsidRPr="00C02346">
              <w:rPr>
                <w:rFonts w:ascii="Calibri" w:hAnsi="Calibri" w:cs="Calibri"/>
                <w:sz w:val="22"/>
              </w:rPr>
              <w:t>Primary sector</w:t>
            </w:r>
            <w:r w:rsidR="00505C3A" w:rsidRPr="00C02346">
              <w:rPr>
                <w:rFonts w:ascii="Calibri" w:hAnsi="Calibri" w:cs="Calibri"/>
                <w:sz w:val="22"/>
              </w:rPr>
              <w:t>:</w:t>
            </w:r>
          </w:p>
        </w:tc>
        <w:tc>
          <w:tcPr>
            <w:tcW w:w="7201" w:type="dxa"/>
            <w:shd w:val="clear" w:color="auto" w:fill="auto"/>
          </w:tcPr>
          <w:p w14:paraId="1D17C7E2" w14:textId="77777777" w:rsidR="009C5213" w:rsidRPr="00C02346" w:rsidRDefault="00E4381E" w:rsidP="0020133E">
            <w:pPr>
              <w:pStyle w:val="Table-normal-text"/>
              <w:spacing w:after="60"/>
              <w:contextualSpacing/>
              <w:rPr>
                <w:rFonts w:ascii="Calibri" w:hAnsi="Calibri" w:cs="Calibri"/>
                <w:sz w:val="22"/>
              </w:rPr>
            </w:pPr>
            <w:r w:rsidRPr="00C02346">
              <w:rPr>
                <w:rFonts w:ascii="Calibri" w:hAnsi="Calibri" w:cs="Calibri"/>
                <w:sz w:val="22"/>
              </w:rPr>
              <w:t>Recovery</w:t>
            </w:r>
          </w:p>
        </w:tc>
      </w:tr>
      <w:tr w:rsidR="009C5213" w:rsidRPr="00C02346" w14:paraId="1AE6B722" w14:textId="77777777" w:rsidTr="0020133E">
        <w:trPr>
          <w:cantSplit/>
          <w:trHeight w:val="307"/>
        </w:trPr>
        <w:tc>
          <w:tcPr>
            <w:tcW w:w="2297" w:type="dxa"/>
            <w:shd w:val="clear" w:color="auto" w:fill="auto"/>
          </w:tcPr>
          <w:p w14:paraId="476B5A6C" w14:textId="77777777" w:rsidR="009C5213" w:rsidRPr="00C02346" w:rsidRDefault="009C5213" w:rsidP="00EB038C">
            <w:pPr>
              <w:pStyle w:val="Table-normal-text"/>
              <w:spacing w:after="60"/>
              <w:contextualSpacing/>
              <w:rPr>
                <w:rFonts w:ascii="Calibri" w:hAnsi="Calibri" w:cs="Calibri"/>
                <w:sz w:val="22"/>
              </w:rPr>
            </w:pPr>
            <w:r w:rsidRPr="00C02346">
              <w:rPr>
                <w:rFonts w:ascii="Calibri" w:hAnsi="Calibri" w:cs="Calibri"/>
                <w:sz w:val="22"/>
              </w:rPr>
              <w:t xml:space="preserve">Initiative </w:t>
            </w:r>
            <w:r w:rsidR="00EB038C" w:rsidRPr="00C02346">
              <w:rPr>
                <w:rFonts w:ascii="Calibri" w:hAnsi="Calibri" w:cs="Calibri"/>
                <w:sz w:val="22"/>
              </w:rPr>
              <w:t>end of program outcomes</w:t>
            </w:r>
            <w:r w:rsidR="00505C3A" w:rsidRPr="00C02346">
              <w:rPr>
                <w:rFonts w:ascii="Calibri" w:hAnsi="Calibri" w:cs="Calibri"/>
                <w:sz w:val="22"/>
              </w:rPr>
              <w:t>:</w:t>
            </w:r>
          </w:p>
        </w:tc>
        <w:tc>
          <w:tcPr>
            <w:tcW w:w="7201" w:type="dxa"/>
            <w:shd w:val="clear" w:color="auto" w:fill="auto"/>
          </w:tcPr>
          <w:p w14:paraId="7C78C5A3" w14:textId="77777777" w:rsidR="002B4626" w:rsidRPr="00C02346" w:rsidRDefault="002B4626" w:rsidP="002B4626">
            <w:pPr>
              <w:pStyle w:val="ListParagraph"/>
              <w:numPr>
                <w:ilvl w:val="0"/>
                <w:numId w:val="34"/>
              </w:numPr>
              <w:spacing w:before="60" w:after="60" w:line="276" w:lineRule="auto"/>
              <w:rPr>
                <w:rFonts w:ascii="Calibri" w:hAnsi="Calibri" w:cs="Calibri"/>
                <w:bCs/>
                <w:sz w:val="22"/>
                <w:szCs w:val="22"/>
                <w:lang w:val="en-AU" w:eastAsia="en-US"/>
              </w:rPr>
            </w:pPr>
            <w:r w:rsidRPr="00C02346">
              <w:rPr>
                <w:rFonts w:ascii="Calibri" w:hAnsi="Calibri" w:cs="Calibri"/>
                <w:bCs/>
                <w:sz w:val="22"/>
                <w:szCs w:val="22"/>
                <w:lang w:val="en-AU"/>
              </w:rPr>
              <w:t>Improved health and education facilities through restored buildings in select communities</w:t>
            </w:r>
          </w:p>
          <w:p w14:paraId="4042E757" w14:textId="77777777" w:rsidR="002B4626" w:rsidRPr="00C02346" w:rsidRDefault="002B4626" w:rsidP="002B4626">
            <w:pPr>
              <w:pStyle w:val="ListParagraph"/>
              <w:numPr>
                <w:ilvl w:val="0"/>
                <w:numId w:val="34"/>
              </w:numPr>
              <w:spacing w:before="60" w:after="60" w:line="276" w:lineRule="auto"/>
              <w:rPr>
                <w:rFonts w:ascii="Calibri" w:hAnsi="Calibri" w:cs="Calibri"/>
                <w:bCs/>
                <w:sz w:val="22"/>
                <w:szCs w:val="22"/>
                <w:lang w:val="en-AU"/>
              </w:rPr>
            </w:pPr>
            <w:r w:rsidRPr="00C02346">
              <w:rPr>
                <w:rFonts w:ascii="Calibri" w:hAnsi="Calibri" w:cs="Calibri"/>
                <w:bCs/>
                <w:sz w:val="22"/>
                <w:szCs w:val="22"/>
                <w:lang w:val="en-AU"/>
              </w:rPr>
              <w:t>Improved public service delivery through restored buildings in select communities</w:t>
            </w:r>
          </w:p>
          <w:p w14:paraId="61B1C873" w14:textId="77777777" w:rsidR="002B4626" w:rsidRPr="00C02346" w:rsidRDefault="002B4626" w:rsidP="002B4626">
            <w:pPr>
              <w:pStyle w:val="ListParagraph"/>
              <w:numPr>
                <w:ilvl w:val="0"/>
                <w:numId w:val="34"/>
              </w:numPr>
              <w:spacing w:before="60" w:after="60" w:line="276" w:lineRule="auto"/>
              <w:rPr>
                <w:rFonts w:ascii="Calibri" w:hAnsi="Calibri" w:cs="Calibri"/>
                <w:bCs/>
                <w:sz w:val="22"/>
                <w:szCs w:val="22"/>
                <w:lang w:val="en-AU"/>
              </w:rPr>
            </w:pPr>
            <w:r w:rsidRPr="00C02346">
              <w:rPr>
                <w:rFonts w:ascii="Calibri" w:hAnsi="Calibri" w:cs="Calibri"/>
                <w:bCs/>
                <w:sz w:val="22"/>
                <w:szCs w:val="22"/>
                <w:lang w:val="en-AU"/>
              </w:rPr>
              <w:t xml:space="preserve">Improved livelihoods through increased skills and market access opportunities in select communities; and </w:t>
            </w:r>
          </w:p>
          <w:p w14:paraId="7C63C76E" w14:textId="77777777" w:rsidR="00E01732" w:rsidRPr="00C02346" w:rsidRDefault="002B4626" w:rsidP="002B4626">
            <w:pPr>
              <w:pStyle w:val="ListParagraph"/>
              <w:numPr>
                <w:ilvl w:val="0"/>
                <w:numId w:val="34"/>
              </w:numPr>
              <w:spacing w:before="60" w:after="60" w:line="276" w:lineRule="auto"/>
              <w:rPr>
                <w:rFonts w:ascii="Calibri" w:hAnsi="Calibri" w:cs="Calibri"/>
                <w:sz w:val="22"/>
                <w:szCs w:val="22"/>
              </w:rPr>
            </w:pPr>
            <w:r w:rsidRPr="00C02346">
              <w:rPr>
                <w:rFonts w:ascii="Calibri" w:hAnsi="Calibri" w:cs="Calibri"/>
                <w:bCs/>
                <w:sz w:val="22"/>
                <w:szCs w:val="22"/>
                <w:lang w:val="en-AU"/>
              </w:rPr>
              <w:t>Improved disaster preparedness through increased knowledge of protection issues amongst vulnerable groups in select communities.</w:t>
            </w:r>
          </w:p>
        </w:tc>
      </w:tr>
    </w:tbl>
    <w:p w14:paraId="200C43AF" w14:textId="77777777" w:rsidR="0020133E" w:rsidRPr="00C02346" w:rsidRDefault="005F3340" w:rsidP="0020133E">
      <w:pPr>
        <w:pStyle w:val="Heading2"/>
        <w:spacing w:before="120" w:after="120"/>
        <w:contextualSpacing/>
        <w:rPr>
          <w:rFonts w:ascii="Calibri" w:hAnsi="Calibri" w:cs="Calibri"/>
          <w:szCs w:val="24"/>
        </w:rPr>
      </w:pPr>
      <w:r w:rsidRPr="00C02346">
        <w:rPr>
          <w:rFonts w:ascii="Calibri" w:hAnsi="Calibri" w:cs="Calibri"/>
          <w:szCs w:val="24"/>
        </w:rPr>
        <w:t>Review</w:t>
      </w:r>
      <w:r w:rsidR="009C5213" w:rsidRPr="00C02346">
        <w:rPr>
          <w:rFonts w:ascii="Calibri" w:hAnsi="Calibri" w:cs="Calibri"/>
          <w:szCs w:val="24"/>
        </w:rPr>
        <w:t xml:space="preserve"> Summary</w:t>
      </w:r>
    </w:p>
    <w:p w14:paraId="118D4A1F" w14:textId="77777777" w:rsidR="00130CCA" w:rsidRPr="00C02346" w:rsidRDefault="005F3340" w:rsidP="00B24DCC">
      <w:pPr>
        <w:pStyle w:val="Table-normal-text"/>
        <w:spacing w:before="0"/>
        <w:contextualSpacing/>
        <w:rPr>
          <w:rFonts w:ascii="Calibri" w:hAnsi="Calibri" w:cs="Calibri"/>
          <w:bCs/>
          <w:sz w:val="22"/>
          <w:szCs w:val="22"/>
        </w:rPr>
      </w:pPr>
      <w:r w:rsidRPr="00C02346">
        <w:rPr>
          <w:rFonts w:ascii="Calibri" w:hAnsi="Calibri" w:cs="Calibri"/>
          <w:sz w:val="22"/>
          <w:szCs w:val="22"/>
        </w:rPr>
        <w:t xml:space="preserve">The </w:t>
      </w:r>
      <w:r w:rsidR="00B24DCC" w:rsidRPr="00C02346">
        <w:rPr>
          <w:rFonts w:ascii="Calibri" w:hAnsi="Calibri" w:cs="Calibri"/>
          <w:sz w:val="22"/>
          <w:szCs w:val="22"/>
        </w:rPr>
        <w:t xml:space="preserve">purpose </w:t>
      </w:r>
      <w:r w:rsidRPr="00C02346">
        <w:rPr>
          <w:rFonts w:ascii="Calibri" w:hAnsi="Calibri" w:cs="Calibri"/>
          <w:sz w:val="22"/>
          <w:szCs w:val="22"/>
        </w:rPr>
        <w:t xml:space="preserve">of the </w:t>
      </w:r>
      <w:r w:rsidR="00B24DCC" w:rsidRPr="00C02346">
        <w:rPr>
          <w:rFonts w:ascii="Calibri" w:hAnsi="Calibri" w:cs="Calibri"/>
          <w:sz w:val="22"/>
          <w:szCs w:val="22"/>
        </w:rPr>
        <w:t xml:space="preserve">independent evaluation </w:t>
      </w:r>
      <w:r w:rsidRPr="00C02346">
        <w:rPr>
          <w:rFonts w:ascii="Calibri" w:hAnsi="Calibri" w:cs="Calibri"/>
          <w:sz w:val="22"/>
          <w:szCs w:val="22"/>
        </w:rPr>
        <w:t xml:space="preserve">was to </w:t>
      </w:r>
      <w:r w:rsidR="00B24DCC" w:rsidRPr="00C02346">
        <w:rPr>
          <w:rFonts w:ascii="Calibri" w:hAnsi="Calibri" w:cs="Calibri"/>
          <w:bCs/>
          <w:sz w:val="22"/>
          <w:szCs w:val="22"/>
        </w:rPr>
        <w:t xml:space="preserve">assess the performance of the recovery program, </w:t>
      </w:r>
      <w:r w:rsidR="002B4626" w:rsidRPr="00C02346">
        <w:rPr>
          <w:rFonts w:ascii="Calibri" w:hAnsi="Calibri" w:cs="Calibri"/>
          <w:bCs/>
          <w:sz w:val="22"/>
          <w:szCs w:val="22"/>
        </w:rPr>
        <w:t xml:space="preserve">alignment with strategy, use of </w:t>
      </w:r>
      <w:r w:rsidR="00B24DCC" w:rsidRPr="00C02346">
        <w:rPr>
          <w:rFonts w:ascii="Calibri" w:hAnsi="Calibri" w:cs="Calibri"/>
          <w:bCs/>
          <w:sz w:val="22"/>
          <w:szCs w:val="22"/>
        </w:rPr>
        <w:t>Vanuatu systems</w:t>
      </w:r>
      <w:r w:rsidR="002B4626" w:rsidRPr="00C02346">
        <w:rPr>
          <w:rFonts w:ascii="Calibri" w:hAnsi="Calibri" w:cs="Calibri"/>
          <w:bCs/>
          <w:sz w:val="22"/>
          <w:szCs w:val="22"/>
        </w:rPr>
        <w:t>, good practice considerations</w:t>
      </w:r>
      <w:r w:rsidR="00B24DCC" w:rsidRPr="00C02346">
        <w:rPr>
          <w:rFonts w:ascii="Calibri" w:hAnsi="Calibri" w:cs="Calibri"/>
          <w:bCs/>
          <w:sz w:val="22"/>
          <w:szCs w:val="22"/>
        </w:rPr>
        <w:t xml:space="preserve"> and the relationship between Australia and Vanuatu in supporting the recovery effort following Tropical Cyclone Pam. The evaluation would also inform decisions about how future recovery support is programmed and delivered, and generate insights and lessons that could inform implementation of DFAT’s broader humanitarian strategy.</w:t>
      </w:r>
    </w:p>
    <w:p w14:paraId="74614DEB" w14:textId="77777777" w:rsidR="00EB038C" w:rsidRPr="00C02346" w:rsidRDefault="00EB038C" w:rsidP="00B24DCC">
      <w:pPr>
        <w:pStyle w:val="Table-normal-text"/>
        <w:spacing w:before="0"/>
        <w:contextualSpacing/>
        <w:rPr>
          <w:rFonts w:ascii="Calibri" w:hAnsi="Calibri" w:cs="Calibri"/>
          <w:bCs/>
          <w:sz w:val="22"/>
          <w:szCs w:val="22"/>
        </w:rPr>
      </w:pPr>
    </w:p>
    <w:p w14:paraId="53F71539" w14:textId="77777777" w:rsidR="009C5213" w:rsidRPr="00C02346" w:rsidRDefault="009C5213" w:rsidP="005043E7">
      <w:pPr>
        <w:contextualSpacing/>
        <w:rPr>
          <w:rFonts w:ascii="Calibri" w:hAnsi="Calibri" w:cs="Calibri"/>
          <w:b/>
          <w:sz w:val="22"/>
          <w:szCs w:val="22"/>
        </w:rPr>
      </w:pPr>
      <w:r w:rsidRPr="00C02346">
        <w:rPr>
          <w:rFonts w:ascii="Calibri" w:hAnsi="Calibri" w:cs="Calibri"/>
          <w:b/>
          <w:sz w:val="22"/>
          <w:szCs w:val="22"/>
        </w:rPr>
        <w:t xml:space="preserve">Review Team: </w:t>
      </w:r>
    </w:p>
    <w:p w14:paraId="48F6186E" w14:textId="77777777" w:rsidR="005F3340" w:rsidRPr="00C02346" w:rsidRDefault="00E4381E" w:rsidP="005043E7">
      <w:pPr>
        <w:pStyle w:val="Table-normal-text"/>
        <w:numPr>
          <w:ilvl w:val="0"/>
          <w:numId w:val="23"/>
        </w:numPr>
        <w:spacing w:before="0"/>
        <w:contextualSpacing/>
        <w:rPr>
          <w:rFonts w:ascii="Calibri" w:hAnsi="Calibri" w:cs="Calibri"/>
          <w:sz w:val="22"/>
          <w:szCs w:val="22"/>
        </w:rPr>
      </w:pPr>
      <w:r w:rsidRPr="00C02346">
        <w:rPr>
          <w:rFonts w:ascii="Calibri" w:hAnsi="Calibri" w:cs="Calibri"/>
          <w:sz w:val="22"/>
          <w:szCs w:val="22"/>
        </w:rPr>
        <w:t xml:space="preserve">Paul Crawford </w:t>
      </w:r>
      <w:r w:rsidR="005F3340" w:rsidRPr="00C02346">
        <w:rPr>
          <w:rFonts w:ascii="Calibri" w:hAnsi="Calibri" w:cs="Calibri"/>
          <w:sz w:val="22"/>
          <w:szCs w:val="22"/>
        </w:rPr>
        <w:t>(independent consultant and review team leader)</w:t>
      </w:r>
    </w:p>
    <w:p w14:paraId="2413FCF1" w14:textId="77777777" w:rsidR="005F3340" w:rsidRPr="00C02346" w:rsidRDefault="00E4381E" w:rsidP="005043E7">
      <w:pPr>
        <w:pStyle w:val="Table-normal-text"/>
        <w:numPr>
          <w:ilvl w:val="0"/>
          <w:numId w:val="23"/>
        </w:numPr>
        <w:spacing w:before="0"/>
        <w:contextualSpacing/>
        <w:rPr>
          <w:rFonts w:ascii="Calibri" w:hAnsi="Calibri" w:cs="Calibri"/>
          <w:sz w:val="22"/>
          <w:szCs w:val="22"/>
        </w:rPr>
      </w:pPr>
      <w:r w:rsidRPr="00C02346">
        <w:rPr>
          <w:rFonts w:ascii="Calibri" w:hAnsi="Calibri" w:cs="Calibri"/>
          <w:sz w:val="22"/>
          <w:szCs w:val="22"/>
        </w:rPr>
        <w:t>Kirstin Donaldson</w:t>
      </w:r>
      <w:r w:rsidR="005F3340" w:rsidRPr="00C02346">
        <w:rPr>
          <w:rFonts w:ascii="Calibri" w:hAnsi="Calibri" w:cs="Calibri"/>
          <w:sz w:val="22"/>
          <w:szCs w:val="22"/>
        </w:rPr>
        <w:t xml:space="preserve"> (</w:t>
      </w:r>
      <w:r w:rsidRPr="00C02346">
        <w:rPr>
          <w:rFonts w:ascii="Calibri" w:hAnsi="Calibri" w:cs="Calibri"/>
          <w:sz w:val="22"/>
          <w:szCs w:val="22"/>
        </w:rPr>
        <w:t>Vanuatu desk officer, DFAT Canberra</w:t>
      </w:r>
      <w:r w:rsidR="005F3340" w:rsidRPr="00C02346">
        <w:rPr>
          <w:rFonts w:ascii="Calibri" w:hAnsi="Calibri" w:cs="Calibri"/>
          <w:sz w:val="22"/>
          <w:szCs w:val="22"/>
        </w:rPr>
        <w:t>)</w:t>
      </w:r>
    </w:p>
    <w:p w14:paraId="2DDB803F" w14:textId="77777777" w:rsidR="005F3340" w:rsidRPr="00C02346" w:rsidRDefault="00E4381E" w:rsidP="005043E7">
      <w:pPr>
        <w:pStyle w:val="Table-normal-text"/>
        <w:numPr>
          <w:ilvl w:val="0"/>
          <w:numId w:val="23"/>
        </w:numPr>
        <w:spacing w:before="0"/>
        <w:contextualSpacing/>
        <w:rPr>
          <w:rFonts w:ascii="Calibri" w:hAnsi="Calibri" w:cs="Calibri"/>
          <w:sz w:val="22"/>
          <w:szCs w:val="22"/>
        </w:rPr>
      </w:pPr>
      <w:r w:rsidRPr="00C02346">
        <w:rPr>
          <w:rFonts w:ascii="Calibri" w:hAnsi="Calibri" w:cs="Calibri"/>
          <w:sz w:val="22"/>
          <w:szCs w:val="22"/>
        </w:rPr>
        <w:t xml:space="preserve">Liku Jimmy </w:t>
      </w:r>
      <w:r w:rsidR="005F3340" w:rsidRPr="00C02346">
        <w:rPr>
          <w:rFonts w:ascii="Calibri" w:hAnsi="Calibri" w:cs="Calibri"/>
          <w:sz w:val="22"/>
          <w:szCs w:val="22"/>
        </w:rPr>
        <w:t>(</w:t>
      </w:r>
      <w:r w:rsidRPr="00C02346">
        <w:rPr>
          <w:rFonts w:ascii="Calibri" w:hAnsi="Calibri" w:cs="Calibri"/>
          <w:sz w:val="22"/>
          <w:szCs w:val="22"/>
        </w:rPr>
        <w:t>Program Manager, Australian High Commission, Port Vila</w:t>
      </w:r>
      <w:r w:rsidR="005F3340" w:rsidRPr="00C02346">
        <w:rPr>
          <w:rFonts w:ascii="Calibri" w:hAnsi="Calibri" w:cs="Calibri"/>
          <w:sz w:val="22"/>
          <w:szCs w:val="22"/>
        </w:rPr>
        <w:t>)</w:t>
      </w:r>
    </w:p>
    <w:p w14:paraId="58D3AA6E" w14:textId="77777777" w:rsidR="000F6048" w:rsidRPr="00C02346" w:rsidRDefault="000F6048" w:rsidP="000F6048">
      <w:pPr>
        <w:pStyle w:val="Table-normal-text"/>
        <w:spacing w:before="0"/>
        <w:contextualSpacing/>
        <w:rPr>
          <w:rFonts w:ascii="Calibri" w:hAnsi="Calibri" w:cs="Calibri"/>
          <w:sz w:val="22"/>
          <w:szCs w:val="22"/>
        </w:rPr>
      </w:pPr>
    </w:p>
    <w:p w14:paraId="2B03C40A" w14:textId="256F7CC7" w:rsidR="0020133E" w:rsidRPr="00C02346" w:rsidRDefault="00130CCA" w:rsidP="005043E7">
      <w:pPr>
        <w:pStyle w:val="Table-normal-text"/>
        <w:spacing w:before="0"/>
        <w:contextualSpacing/>
        <w:rPr>
          <w:rFonts w:ascii="Calibri" w:hAnsi="Calibri" w:cs="Calibri"/>
          <w:sz w:val="22"/>
          <w:szCs w:val="22"/>
        </w:rPr>
      </w:pPr>
      <w:r w:rsidRPr="00C02346">
        <w:rPr>
          <w:rFonts w:ascii="Calibri" w:hAnsi="Calibri" w:cs="Calibri"/>
          <w:sz w:val="22"/>
          <w:szCs w:val="22"/>
        </w:rPr>
        <w:t xml:space="preserve">The </w:t>
      </w:r>
      <w:r w:rsidR="00B24DCC" w:rsidRPr="00C02346">
        <w:rPr>
          <w:rFonts w:ascii="Calibri" w:hAnsi="Calibri" w:cs="Calibri"/>
          <w:sz w:val="22"/>
          <w:szCs w:val="22"/>
        </w:rPr>
        <w:t xml:space="preserve">evaluation </w:t>
      </w:r>
      <w:r w:rsidR="005F3340" w:rsidRPr="00C02346">
        <w:rPr>
          <w:rFonts w:ascii="Calibri" w:hAnsi="Calibri" w:cs="Calibri"/>
          <w:sz w:val="22"/>
          <w:szCs w:val="22"/>
        </w:rPr>
        <w:t xml:space="preserve">took place </w:t>
      </w:r>
      <w:r w:rsidR="00B24DCC" w:rsidRPr="00C02346">
        <w:rPr>
          <w:rFonts w:ascii="Calibri" w:hAnsi="Calibri" w:cs="Calibri"/>
          <w:sz w:val="22"/>
          <w:szCs w:val="22"/>
        </w:rPr>
        <w:t>between May and July 2018</w:t>
      </w:r>
      <w:r w:rsidR="0020133E" w:rsidRPr="00C02346">
        <w:rPr>
          <w:rFonts w:ascii="Calibri" w:hAnsi="Calibri" w:cs="Calibri"/>
          <w:sz w:val="22"/>
          <w:szCs w:val="22"/>
        </w:rPr>
        <w:t xml:space="preserve">, with the </w:t>
      </w:r>
      <w:r w:rsidRPr="00C02346">
        <w:rPr>
          <w:rFonts w:ascii="Calibri" w:hAnsi="Calibri" w:cs="Calibri"/>
          <w:sz w:val="22"/>
          <w:szCs w:val="22"/>
        </w:rPr>
        <w:t xml:space="preserve">team </w:t>
      </w:r>
      <w:r w:rsidR="005F3340" w:rsidRPr="00C02346">
        <w:rPr>
          <w:rFonts w:ascii="Calibri" w:hAnsi="Calibri" w:cs="Calibri"/>
          <w:sz w:val="22"/>
          <w:szCs w:val="22"/>
        </w:rPr>
        <w:t xml:space="preserve">in Vanuatu from </w:t>
      </w:r>
      <w:r w:rsidR="002A2173" w:rsidRPr="00C02346">
        <w:rPr>
          <w:rFonts w:ascii="Calibri" w:hAnsi="Calibri" w:cs="Calibri"/>
          <w:sz w:val="22"/>
          <w:szCs w:val="22"/>
        </w:rPr>
        <w:t>4-15</w:t>
      </w:r>
      <w:r w:rsidR="005F3340" w:rsidRPr="00C02346">
        <w:rPr>
          <w:rFonts w:ascii="Calibri" w:hAnsi="Calibri" w:cs="Calibri"/>
          <w:sz w:val="22"/>
          <w:szCs w:val="22"/>
        </w:rPr>
        <w:t xml:space="preserve"> </w:t>
      </w:r>
      <w:r w:rsidR="00B24DCC" w:rsidRPr="00C02346">
        <w:rPr>
          <w:rFonts w:ascii="Calibri" w:hAnsi="Calibri" w:cs="Calibri"/>
          <w:sz w:val="22"/>
          <w:szCs w:val="22"/>
        </w:rPr>
        <w:t>June</w:t>
      </w:r>
      <w:r w:rsidR="002A2173" w:rsidRPr="00C02346">
        <w:rPr>
          <w:rFonts w:ascii="Calibri" w:hAnsi="Calibri" w:cs="Calibri"/>
          <w:sz w:val="22"/>
          <w:szCs w:val="22"/>
        </w:rPr>
        <w:t xml:space="preserve"> 2018</w:t>
      </w:r>
      <w:r w:rsidRPr="00C02346">
        <w:rPr>
          <w:rFonts w:ascii="Calibri" w:hAnsi="Calibri" w:cs="Calibri"/>
          <w:sz w:val="22"/>
          <w:szCs w:val="22"/>
        </w:rPr>
        <w:t>.</w:t>
      </w:r>
      <w:r w:rsidR="00B24DCC" w:rsidRPr="00C02346">
        <w:rPr>
          <w:rFonts w:ascii="Calibri" w:hAnsi="Calibri" w:cs="Calibri"/>
          <w:sz w:val="22"/>
          <w:szCs w:val="22"/>
        </w:rPr>
        <w:t xml:space="preserve"> </w:t>
      </w:r>
      <w:r w:rsidRPr="00C02346">
        <w:rPr>
          <w:rFonts w:ascii="Calibri" w:hAnsi="Calibri" w:cs="Calibri"/>
          <w:sz w:val="22"/>
          <w:szCs w:val="22"/>
        </w:rPr>
        <w:t xml:space="preserve">Consultations were conducted in Port Vila and </w:t>
      </w:r>
      <w:r w:rsidR="00B24DCC" w:rsidRPr="00C02346">
        <w:rPr>
          <w:rFonts w:ascii="Calibri" w:hAnsi="Calibri" w:cs="Calibri"/>
          <w:sz w:val="22"/>
          <w:szCs w:val="22"/>
        </w:rPr>
        <w:t>on the island of Tanna</w:t>
      </w:r>
      <w:r w:rsidR="005F3340" w:rsidRPr="00C02346">
        <w:rPr>
          <w:rFonts w:ascii="Calibri" w:hAnsi="Calibri" w:cs="Calibri"/>
          <w:sz w:val="22"/>
          <w:szCs w:val="22"/>
        </w:rPr>
        <w:t>. A</w:t>
      </w:r>
      <w:r w:rsidRPr="00C02346">
        <w:rPr>
          <w:rFonts w:ascii="Calibri" w:hAnsi="Calibri" w:cs="Calibri"/>
          <w:sz w:val="22"/>
          <w:szCs w:val="22"/>
        </w:rPr>
        <w:t xml:space="preserve">n aide memoire was presented to </w:t>
      </w:r>
      <w:r w:rsidR="002A3FE8" w:rsidRPr="00C02346">
        <w:rPr>
          <w:rFonts w:ascii="Calibri" w:hAnsi="Calibri" w:cs="Calibri"/>
          <w:sz w:val="22"/>
          <w:szCs w:val="22"/>
        </w:rPr>
        <w:t xml:space="preserve">the </w:t>
      </w:r>
      <w:r w:rsidR="00B24DCC" w:rsidRPr="00C02346">
        <w:rPr>
          <w:rFonts w:ascii="Calibri" w:hAnsi="Calibri" w:cs="Calibri"/>
          <w:sz w:val="22"/>
          <w:szCs w:val="22"/>
        </w:rPr>
        <w:t xml:space="preserve">Vanuatu Government </w:t>
      </w:r>
      <w:r w:rsidR="0023359C">
        <w:rPr>
          <w:rFonts w:ascii="Calibri" w:hAnsi="Calibri" w:cs="Calibri"/>
          <w:sz w:val="22"/>
          <w:szCs w:val="22"/>
        </w:rPr>
        <w:t xml:space="preserve">(GoV) </w:t>
      </w:r>
      <w:r w:rsidR="00EB038C" w:rsidRPr="00C02346">
        <w:rPr>
          <w:rFonts w:ascii="Calibri" w:hAnsi="Calibri" w:cs="Calibri"/>
          <w:sz w:val="22"/>
          <w:szCs w:val="22"/>
        </w:rPr>
        <w:t>hosted by the Department of Strategic Planning, Policy and Aid Coordination</w:t>
      </w:r>
      <w:r w:rsidR="0023359C">
        <w:rPr>
          <w:rFonts w:ascii="Calibri" w:hAnsi="Calibri" w:cs="Calibri"/>
          <w:sz w:val="22"/>
          <w:szCs w:val="22"/>
        </w:rPr>
        <w:t xml:space="preserve"> (DSPPAC), in the Prime Minister’s Office,</w:t>
      </w:r>
      <w:r w:rsidR="00EB038C" w:rsidRPr="00C02346">
        <w:rPr>
          <w:rFonts w:ascii="Calibri" w:hAnsi="Calibri" w:cs="Calibri"/>
          <w:sz w:val="22"/>
          <w:szCs w:val="22"/>
        </w:rPr>
        <w:t xml:space="preserve"> </w:t>
      </w:r>
      <w:r w:rsidRPr="00C02346">
        <w:rPr>
          <w:rFonts w:ascii="Calibri" w:hAnsi="Calibri" w:cs="Calibri"/>
          <w:sz w:val="22"/>
          <w:szCs w:val="22"/>
        </w:rPr>
        <w:t>at th</w:t>
      </w:r>
      <w:r w:rsidR="00C67CEC" w:rsidRPr="00C02346">
        <w:rPr>
          <w:rFonts w:ascii="Calibri" w:hAnsi="Calibri" w:cs="Calibri"/>
          <w:sz w:val="22"/>
          <w:szCs w:val="22"/>
        </w:rPr>
        <w:t>e conclusion of the field visit.</w:t>
      </w:r>
      <w:r w:rsidR="0020133E" w:rsidRPr="00C02346">
        <w:rPr>
          <w:rFonts w:ascii="Calibri" w:hAnsi="Calibri" w:cs="Calibri"/>
          <w:sz w:val="22"/>
          <w:szCs w:val="22"/>
        </w:rPr>
        <w:t xml:space="preserve"> </w:t>
      </w:r>
    </w:p>
    <w:p w14:paraId="4A8479D7" w14:textId="77777777" w:rsidR="007F69E6" w:rsidRDefault="007F69E6">
      <w:pPr>
        <w:rPr>
          <w:rFonts w:ascii="Calibri" w:hAnsi="Calibri" w:cs="Calibri"/>
          <w:b/>
          <w:sz w:val="22"/>
          <w:szCs w:val="22"/>
        </w:rPr>
      </w:pPr>
      <w:r>
        <w:rPr>
          <w:rFonts w:ascii="Calibri" w:hAnsi="Calibri" w:cs="Calibri"/>
          <w:b/>
          <w:sz w:val="22"/>
          <w:szCs w:val="22"/>
        </w:rPr>
        <w:br w:type="page"/>
      </w:r>
    </w:p>
    <w:p w14:paraId="57430E83" w14:textId="77777777" w:rsidR="009C5213" w:rsidRPr="00C02346" w:rsidRDefault="009C5213" w:rsidP="000F6048">
      <w:pPr>
        <w:rPr>
          <w:rFonts w:ascii="Calibri" w:hAnsi="Calibri" w:cs="Calibri"/>
          <w:b/>
          <w:sz w:val="22"/>
          <w:szCs w:val="22"/>
        </w:rPr>
      </w:pPr>
      <w:r w:rsidRPr="00C02346">
        <w:rPr>
          <w:rFonts w:ascii="Calibri" w:hAnsi="Calibri" w:cs="Calibri"/>
          <w:b/>
          <w:sz w:val="22"/>
          <w:szCs w:val="22"/>
        </w:rPr>
        <w:lastRenderedPageBreak/>
        <w:t>Key messages</w:t>
      </w:r>
      <w:r w:rsidR="00896AE4" w:rsidRPr="00C02346">
        <w:rPr>
          <w:rFonts w:ascii="Calibri" w:hAnsi="Calibri" w:cs="Calibri"/>
          <w:b/>
          <w:sz w:val="22"/>
          <w:szCs w:val="22"/>
        </w:rPr>
        <w:t>:</w:t>
      </w:r>
    </w:p>
    <w:p w14:paraId="42909686" w14:textId="1779F25D" w:rsidR="00F43F24" w:rsidRPr="00C02346" w:rsidRDefault="00F43F24" w:rsidP="005043E7">
      <w:pPr>
        <w:pStyle w:val="Table-normal-text"/>
        <w:numPr>
          <w:ilvl w:val="0"/>
          <w:numId w:val="26"/>
        </w:numPr>
        <w:spacing w:before="0"/>
        <w:contextualSpacing/>
        <w:rPr>
          <w:rFonts w:ascii="Calibri" w:hAnsi="Calibri" w:cs="Calibri"/>
          <w:sz w:val="22"/>
          <w:szCs w:val="22"/>
        </w:rPr>
      </w:pPr>
      <w:r w:rsidRPr="00C02346">
        <w:rPr>
          <w:rFonts w:ascii="Calibri" w:hAnsi="Calibri" w:cs="Calibri"/>
          <w:sz w:val="22"/>
          <w:szCs w:val="22"/>
        </w:rPr>
        <w:t>DFAT adopted a</w:t>
      </w:r>
      <w:r w:rsidR="0023359C">
        <w:rPr>
          <w:rFonts w:ascii="Calibri" w:hAnsi="Calibri" w:cs="Calibri"/>
          <w:sz w:val="22"/>
          <w:szCs w:val="22"/>
        </w:rPr>
        <w:t xml:space="preserve">, largely, </w:t>
      </w:r>
      <w:r w:rsidRPr="00C02346">
        <w:rPr>
          <w:rFonts w:ascii="Calibri" w:hAnsi="Calibri" w:cs="Calibri"/>
          <w:sz w:val="22"/>
          <w:szCs w:val="22"/>
        </w:rPr>
        <w:t xml:space="preserve">untested bilateral aid modality </w:t>
      </w:r>
      <w:r w:rsidR="0023359C">
        <w:rPr>
          <w:rFonts w:ascii="Calibri" w:hAnsi="Calibri" w:cs="Calibri"/>
          <w:sz w:val="22"/>
          <w:szCs w:val="22"/>
        </w:rPr>
        <w:t xml:space="preserve">in Vanuatu </w:t>
      </w:r>
      <w:r w:rsidRPr="00C02346">
        <w:rPr>
          <w:rFonts w:ascii="Calibri" w:hAnsi="Calibri" w:cs="Calibri"/>
          <w:sz w:val="22"/>
          <w:szCs w:val="22"/>
        </w:rPr>
        <w:t>for the TC Pam Recovery Program, which fostered strong ownership by GoV and provided an endorsement of Vanuatu’s autonomy and financial institutions.</w:t>
      </w:r>
    </w:p>
    <w:p w14:paraId="3FEB71D7" w14:textId="77777777" w:rsidR="00F43F24" w:rsidRPr="00C02346" w:rsidRDefault="00F43F24" w:rsidP="005043E7">
      <w:pPr>
        <w:pStyle w:val="Table-normal-text"/>
        <w:numPr>
          <w:ilvl w:val="0"/>
          <w:numId w:val="26"/>
        </w:numPr>
        <w:spacing w:before="0"/>
        <w:contextualSpacing/>
        <w:rPr>
          <w:rFonts w:ascii="Calibri" w:hAnsi="Calibri" w:cs="Calibri"/>
          <w:sz w:val="22"/>
          <w:szCs w:val="22"/>
        </w:rPr>
      </w:pPr>
      <w:r w:rsidRPr="00C02346">
        <w:rPr>
          <w:rFonts w:ascii="Calibri" w:hAnsi="Calibri" w:cs="Calibri"/>
          <w:sz w:val="22"/>
          <w:szCs w:val="22"/>
        </w:rPr>
        <w:t>It provided a clear demonstration of Australia’s commitment to ‘good donorship’ principles.</w:t>
      </w:r>
    </w:p>
    <w:p w14:paraId="467B12CE" w14:textId="77777777" w:rsidR="00F43F24" w:rsidRPr="00C02346" w:rsidRDefault="00F43F24" w:rsidP="00F43F24">
      <w:pPr>
        <w:pStyle w:val="Table-normal-text"/>
        <w:numPr>
          <w:ilvl w:val="0"/>
          <w:numId w:val="26"/>
        </w:numPr>
        <w:spacing w:before="0"/>
        <w:contextualSpacing/>
        <w:rPr>
          <w:rFonts w:ascii="Calibri" w:hAnsi="Calibri" w:cs="Calibri"/>
          <w:sz w:val="22"/>
          <w:szCs w:val="22"/>
        </w:rPr>
      </w:pPr>
      <w:r w:rsidRPr="00C02346">
        <w:rPr>
          <w:rFonts w:ascii="Calibri" w:hAnsi="Calibri" w:cs="Calibri"/>
          <w:sz w:val="22"/>
          <w:szCs w:val="22"/>
        </w:rPr>
        <w:t xml:space="preserve">Use of GoV systems reduced Australia’s control over the program and as such reduced DFAT’s exposure to risk in Vanuatu, but not in Australia. </w:t>
      </w:r>
    </w:p>
    <w:p w14:paraId="7A8D5089" w14:textId="682EB9BB" w:rsidR="00847CF5" w:rsidRPr="00C02346" w:rsidRDefault="00F43F24" w:rsidP="005043E7">
      <w:pPr>
        <w:pStyle w:val="Table-normal-text"/>
        <w:numPr>
          <w:ilvl w:val="0"/>
          <w:numId w:val="26"/>
        </w:numPr>
        <w:spacing w:before="0"/>
        <w:contextualSpacing/>
        <w:rPr>
          <w:rFonts w:ascii="Calibri" w:hAnsi="Calibri" w:cs="Calibri"/>
          <w:sz w:val="22"/>
          <w:szCs w:val="22"/>
        </w:rPr>
      </w:pPr>
      <w:r w:rsidRPr="00C02346">
        <w:rPr>
          <w:rFonts w:ascii="Calibri" w:hAnsi="Calibri" w:cs="Calibri"/>
          <w:sz w:val="22"/>
          <w:szCs w:val="22"/>
        </w:rPr>
        <w:t xml:space="preserve">Although delayed and necessitating a one-year no-cost-extension, </w:t>
      </w:r>
      <w:r w:rsidR="000411F9">
        <w:rPr>
          <w:rFonts w:ascii="Calibri" w:hAnsi="Calibri" w:cs="Calibri"/>
          <w:sz w:val="22"/>
          <w:szCs w:val="22"/>
        </w:rPr>
        <w:t xml:space="preserve">the program </w:t>
      </w:r>
      <w:r w:rsidRPr="00C02346">
        <w:rPr>
          <w:rFonts w:ascii="Calibri" w:hAnsi="Calibri" w:cs="Calibri"/>
          <w:sz w:val="22"/>
          <w:szCs w:val="22"/>
        </w:rPr>
        <w:t>is widely ack</w:t>
      </w:r>
      <w:r w:rsidR="009C5561">
        <w:rPr>
          <w:rFonts w:ascii="Calibri" w:hAnsi="Calibri" w:cs="Calibri"/>
          <w:sz w:val="22"/>
          <w:szCs w:val="22"/>
        </w:rPr>
        <w:t>nowledged to have contributed</w:t>
      </w:r>
      <w:r w:rsidRPr="00C02346">
        <w:rPr>
          <w:rFonts w:ascii="Calibri" w:hAnsi="Calibri" w:cs="Calibri"/>
          <w:sz w:val="22"/>
          <w:szCs w:val="22"/>
        </w:rPr>
        <w:t xml:space="preserve"> significantly </w:t>
      </w:r>
      <w:r w:rsidR="000411F9">
        <w:rPr>
          <w:rFonts w:ascii="Calibri" w:hAnsi="Calibri" w:cs="Calibri"/>
          <w:sz w:val="22"/>
          <w:szCs w:val="22"/>
        </w:rPr>
        <w:t xml:space="preserve">to </w:t>
      </w:r>
      <w:r w:rsidRPr="00C02346">
        <w:rPr>
          <w:rFonts w:ascii="Calibri" w:hAnsi="Calibri" w:cs="Calibri"/>
          <w:sz w:val="22"/>
          <w:szCs w:val="22"/>
        </w:rPr>
        <w:t>alleviating the impact of TC Pam and strengthening the bilateral relationship between Australia and Vanuatu.</w:t>
      </w:r>
    </w:p>
    <w:p w14:paraId="1A578099" w14:textId="77777777" w:rsidR="0020133E" w:rsidRPr="00C02346" w:rsidRDefault="0020133E" w:rsidP="0020133E">
      <w:pPr>
        <w:pStyle w:val="Table-normal-text"/>
        <w:spacing w:before="0"/>
        <w:contextualSpacing/>
        <w:rPr>
          <w:rFonts w:ascii="Calibri" w:hAnsi="Calibri" w:cs="Calibri"/>
          <w:sz w:val="22"/>
          <w:szCs w:val="22"/>
        </w:rPr>
      </w:pPr>
    </w:p>
    <w:p w14:paraId="29ED258E" w14:textId="77777777" w:rsidR="00746DE9" w:rsidRPr="00C02346" w:rsidRDefault="00354933" w:rsidP="0020133E">
      <w:pPr>
        <w:pStyle w:val="Heading2"/>
        <w:spacing w:before="120" w:after="120"/>
        <w:contextualSpacing/>
        <w:rPr>
          <w:rFonts w:ascii="Calibri" w:hAnsi="Calibri" w:cs="Calibri"/>
          <w:szCs w:val="24"/>
        </w:rPr>
      </w:pPr>
      <w:r w:rsidRPr="00C02346">
        <w:rPr>
          <w:rFonts w:ascii="Calibri" w:hAnsi="Calibri" w:cs="Calibri"/>
          <w:szCs w:val="24"/>
        </w:rPr>
        <w:t>Overall r</w:t>
      </w:r>
      <w:r w:rsidR="009C5213" w:rsidRPr="00C02346">
        <w:rPr>
          <w:rFonts w:ascii="Calibri" w:hAnsi="Calibri" w:cs="Calibri"/>
          <w:szCs w:val="24"/>
        </w:rPr>
        <w:t xml:space="preserve">esponse to the </w:t>
      </w:r>
      <w:r w:rsidRPr="00C02346">
        <w:rPr>
          <w:rFonts w:ascii="Calibri" w:hAnsi="Calibri" w:cs="Calibri"/>
          <w:szCs w:val="24"/>
        </w:rPr>
        <w:t>evaluation</w:t>
      </w:r>
    </w:p>
    <w:p w14:paraId="624BCF15" w14:textId="41F843A7" w:rsidR="00C02346" w:rsidRDefault="00746DE9" w:rsidP="003F06E6">
      <w:pPr>
        <w:pStyle w:val="Table-normal-text"/>
        <w:spacing w:before="0"/>
        <w:contextualSpacing/>
        <w:rPr>
          <w:rFonts w:ascii="Calibri" w:hAnsi="Calibri" w:cs="Calibri"/>
          <w:sz w:val="22"/>
        </w:rPr>
        <w:sectPr w:rsidR="00C02346" w:rsidSect="00131E1E">
          <w:headerReference w:type="even" r:id="rId8"/>
          <w:headerReference w:type="default" r:id="rId9"/>
          <w:footerReference w:type="even" r:id="rId10"/>
          <w:footerReference w:type="default" r:id="rId11"/>
          <w:headerReference w:type="first" r:id="rId12"/>
          <w:footerReference w:type="first" r:id="rId13"/>
          <w:pgSz w:w="11906" w:h="16838"/>
          <w:pgMar w:top="1135" w:right="1274" w:bottom="851" w:left="1134" w:header="284" w:footer="302" w:gutter="0"/>
          <w:cols w:space="708"/>
          <w:docGrid w:linePitch="360"/>
        </w:sectPr>
      </w:pPr>
      <w:r w:rsidRPr="002A1F7A">
        <w:rPr>
          <w:rFonts w:ascii="Calibri" w:hAnsi="Calibri" w:cs="Calibri"/>
          <w:sz w:val="22"/>
        </w:rPr>
        <w:t>DFAT we</w:t>
      </w:r>
      <w:r w:rsidR="001B139E" w:rsidRPr="002A1F7A">
        <w:rPr>
          <w:rFonts w:ascii="Calibri" w:hAnsi="Calibri" w:cs="Calibri"/>
          <w:sz w:val="22"/>
        </w:rPr>
        <w:t xml:space="preserve">lcomes the </w:t>
      </w:r>
      <w:r w:rsidR="00FA268D" w:rsidRPr="002A1F7A">
        <w:rPr>
          <w:rFonts w:ascii="Calibri" w:hAnsi="Calibri" w:cs="Calibri"/>
          <w:sz w:val="22"/>
        </w:rPr>
        <w:t xml:space="preserve">evaluation </w:t>
      </w:r>
      <w:r w:rsidR="001B139E" w:rsidRPr="002A1F7A">
        <w:rPr>
          <w:rFonts w:ascii="Calibri" w:hAnsi="Calibri" w:cs="Calibri"/>
          <w:sz w:val="22"/>
        </w:rPr>
        <w:t xml:space="preserve">findings </w:t>
      </w:r>
      <w:r w:rsidRPr="002A1F7A">
        <w:rPr>
          <w:rFonts w:ascii="Calibri" w:hAnsi="Calibri" w:cs="Calibri"/>
          <w:sz w:val="22"/>
        </w:rPr>
        <w:t xml:space="preserve">and acknowledges </w:t>
      </w:r>
      <w:r w:rsidR="00363A28" w:rsidRPr="002A1F7A">
        <w:rPr>
          <w:rFonts w:ascii="Calibri" w:hAnsi="Calibri" w:cs="Calibri"/>
          <w:sz w:val="22"/>
        </w:rPr>
        <w:t xml:space="preserve">the </w:t>
      </w:r>
      <w:r w:rsidR="00E3725B" w:rsidRPr="002A1F7A">
        <w:rPr>
          <w:rFonts w:ascii="Calibri" w:hAnsi="Calibri" w:cs="Calibri"/>
          <w:sz w:val="22"/>
        </w:rPr>
        <w:t>recommendations</w:t>
      </w:r>
      <w:r w:rsidRPr="002A1F7A">
        <w:rPr>
          <w:rFonts w:ascii="Calibri" w:hAnsi="Calibri" w:cs="Calibri"/>
          <w:sz w:val="22"/>
        </w:rPr>
        <w:t xml:space="preserve">. DFAT will </w:t>
      </w:r>
      <w:r w:rsidR="00E3725B" w:rsidRPr="002A1F7A">
        <w:rPr>
          <w:rFonts w:ascii="Calibri" w:hAnsi="Calibri" w:cs="Calibri"/>
          <w:sz w:val="22"/>
        </w:rPr>
        <w:t xml:space="preserve">consider the key </w:t>
      </w:r>
      <w:r w:rsidR="00363A28" w:rsidRPr="002A1F7A">
        <w:rPr>
          <w:rFonts w:ascii="Calibri" w:hAnsi="Calibri" w:cs="Calibri"/>
          <w:sz w:val="22"/>
        </w:rPr>
        <w:t xml:space="preserve">lessons </w:t>
      </w:r>
      <w:r w:rsidR="003F06E6">
        <w:rPr>
          <w:rFonts w:ascii="Calibri" w:hAnsi="Calibri" w:cs="Calibri"/>
          <w:sz w:val="22"/>
        </w:rPr>
        <w:t>learned</w:t>
      </w:r>
      <w:r w:rsidR="00E3725B" w:rsidRPr="002A1F7A">
        <w:rPr>
          <w:rFonts w:ascii="Calibri" w:hAnsi="Calibri" w:cs="Calibri"/>
          <w:sz w:val="22"/>
        </w:rPr>
        <w:t xml:space="preserve"> </w:t>
      </w:r>
      <w:r w:rsidR="00096F76" w:rsidRPr="002A1F7A">
        <w:rPr>
          <w:rFonts w:ascii="Calibri" w:hAnsi="Calibri" w:cs="Calibri"/>
          <w:sz w:val="22"/>
        </w:rPr>
        <w:t xml:space="preserve">in </w:t>
      </w:r>
      <w:r w:rsidR="00363A28" w:rsidRPr="002A1F7A">
        <w:rPr>
          <w:rFonts w:ascii="Calibri" w:hAnsi="Calibri" w:cs="Calibri"/>
          <w:sz w:val="22"/>
        </w:rPr>
        <w:t xml:space="preserve">any </w:t>
      </w:r>
      <w:r w:rsidR="0020133E" w:rsidRPr="002A1F7A">
        <w:rPr>
          <w:rFonts w:ascii="Calibri" w:hAnsi="Calibri" w:cs="Calibri"/>
          <w:sz w:val="22"/>
        </w:rPr>
        <w:t xml:space="preserve">future </w:t>
      </w:r>
      <w:r w:rsidR="00363A28" w:rsidRPr="002A1F7A">
        <w:rPr>
          <w:rFonts w:ascii="Calibri" w:hAnsi="Calibri" w:cs="Calibri"/>
          <w:sz w:val="22"/>
        </w:rPr>
        <w:t>recovery programs</w:t>
      </w:r>
      <w:r w:rsidR="001B139E" w:rsidRPr="002A1F7A">
        <w:rPr>
          <w:rFonts w:ascii="Calibri" w:hAnsi="Calibri" w:cs="Calibri"/>
          <w:sz w:val="22"/>
        </w:rPr>
        <w:t>.</w:t>
      </w:r>
      <w:r w:rsidR="003F06E6">
        <w:rPr>
          <w:rFonts w:ascii="Calibri" w:hAnsi="Calibri" w:cs="Calibri"/>
          <w:sz w:val="22"/>
        </w:rPr>
        <w:t xml:space="preserve"> More detailed responses to each recommendation are included in the table below: </w:t>
      </w:r>
    </w:p>
    <w:p w14:paraId="11544248" w14:textId="77777777" w:rsidR="007F69E6" w:rsidRPr="00C02346" w:rsidRDefault="007F69E6" w:rsidP="007F69E6">
      <w:pPr>
        <w:pStyle w:val="Heading2"/>
        <w:spacing w:before="120" w:after="120"/>
        <w:contextualSpacing/>
        <w:rPr>
          <w:rFonts w:ascii="Calibri" w:hAnsi="Calibri" w:cs="Calibri"/>
          <w:szCs w:val="24"/>
        </w:rPr>
      </w:pPr>
      <w:r w:rsidRPr="00C02346">
        <w:rPr>
          <w:rFonts w:ascii="Calibri" w:hAnsi="Calibri" w:cs="Calibri"/>
          <w:szCs w:val="24"/>
        </w:rPr>
        <w:lastRenderedPageBreak/>
        <w:t>Response to recommendations</w:t>
      </w:r>
    </w:p>
    <w:tbl>
      <w:tblPr>
        <w:tblStyle w:val="ODETable"/>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02"/>
        <w:gridCol w:w="4055"/>
        <w:gridCol w:w="5753"/>
        <w:gridCol w:w="2232"/>
      </w:tblGrid>
      <w:tr w:rsidR="00A50F09" w:rsidRPr="00C02346" w14:paraId="16A3303B" w14:textId="77777777" w:rsidTr="00A50F09">
        <w:trPr>
          <w:cnfStyle w:val="100000000000" w:firstRow="1" w:lastRow="0" w:firstColumn="0" w:lastColumn="0" w:oddVBand="0" w:evenVBand="0" w:oddHBand="0" w:evenHBand="0" w:firstRowFirstColumn="0" w:firstRowLastColumn="0" w:lastRowFirstColumn="0" w:lastRowLastColumn="0"/>
          <w:tblHeader/>
        </w:trPr>
        <w:tc>
          <w:tcPr>
            <w:tcW w:w="944" w:type="pct"/>
            <w:shd w:val="clear" w:color="auto" w:fill="D9D9D9" w:themeFill="background1" w:themeFillShade="D9"/>
          </w:tcPr>
          <w:p w14:paraId="687F7BFA" w14:textId="77777777" w:rsidR="00A50F09" w:rsidRPr="00C02346" w:rsidRDefault="00A50F09" w:rsidP="00477164">
            <w:pPr>
              <w:pStyle w:val="Heading3"/>
              <w:spacing w:before="0"/>
              <w:outlineLvl w:val="2"/>
              <w:rPr>
                <w:rFonts w:ascii="Calibri" w:hAnsi="Calibri" w:cs="Calibri"/>
                <w:color w:val="auto"/>
                <w:szCs w:val="20"/>
              </w:rPr>
            </w:pPr>
            <w:r w:rsidRPr="00C02346">
              <w:rPr>
                <w:rStyle w:val="IntenseReference"/>
                <w:rFonts w:ascii="Calibri" w:hAnsi="Calibri" w:cs="Calibri"/>
                <w:color w:val="auto"/>
              </w:rPr>
              <w:t>Recommendation</w:t>
            </w:r>
          </w:p>
        </w:tc>
        <w:tc>
          <w:tcPr>
            <w:tcW w:w="1366" w:type="pct"/>
            <w:shd w:val="clear" w:color="auto" w:fill="D9D9D9" w:themeFill="background1" w:themeFillShade="D9"/>
          </w:tcPr>
          <w:p w14:paraId="7DC40C05" w14:textId="77777777" w:rsidR="00A50F09" w:rsidRPr="00C02346" w:rsidRDefault="00A50F09" w:rsidP="00F3558C">
            <w:pPr>
              <w:pStyle w:val="Heading3"/>
              <w:spacing w:before="0"/>
              <w:outlineLvl w:val="2"/>
              <w:rPr>
                <w:rStyle w:val="IntenseReference"/>
                <w:rFonts w:ascii="Calibri" w:hAnsi="Calibri" w:cs="Calibri"/>
                <w:color w:val="auto"/>
              </w:rPr>
            </w:pPr>
            <w:r>
              <w:rPr>
                <w:rStyle w:val="IntenseReference"/>
                <w:rFonts w:ascii="Calibri" w:hAnsi="Calibri" w:cs="Calibri"/>
                <w:color w:val="auto"/>
              </w:rPr>
              <w:t xml:space="preserve">Related Key Lessons </w:t>
            </w:r>
          </w:p>
        </w:tc>
        <w:tc>
          <w:tcPr>
            <w:tcW w:w="1938" w:type="pct"/>
            <w:shd w:val="clear" w:color="auto" w:fill="D9D9D9" w:themeFill="background1" w:themeFillShade="D9"/>
          </w:tcPr>
          <w:p w14:paraId="67F14D99" w14:textId="7AB0A045" w:rsidR="00A50F09" w:rsidRPr="00C02346" w:rsidRDefault="00A50F09" w:rsidP="00E70085">
            <w:pPr>
              <w:pStyle w:val="Heading3"/>
              <w:spacing w:before="0"/>
              <w:outlineLvl w:val="2"/>
              <w:rPr>
                <w:rStyle w:val="IntenseReference"/>
                <w:rFonts w:ascii="Calibri" w:hAnsi="Calibri" w:cs="Calibri"/>
                <w:color w:val="auto"/>
              </w:rPr>
            </w:pPr>
            <w:r>
              <w:rPr>
                <w:rStyle w:val="IntenseReference"/>
                <w:rFonts w:ascii="Calibri" w:hAnsi="Calibri" w:cs="Calibri"/>
                <w:color w:val="auto"/>
              </w:rPr>
              <w:t>Response (Agree/Partially Agree/Disagree)</w:t>
            </w:r>
            <w:r w:rsidRPr="00C02346">
              <w:rPr>
                <w:rStyle w:val="IntenseReference"/>
                <w:rFonts w:ascii="Calibri" w:hAnsi="Calibri" w:cs="Calibri"/>
                <w:color w:val="auto"/>
              </w:rPr>
              <w:t xml:space="preserve"> </w:t>
            </w:r>
          </w:p>
        </w:tc>
        <w:tc>
          <w:tcPr>
            <w:tcW w:w="752" w:type="pct"/>
            <w:shd w:val="clear" w:color="auto" w:fill="D9D9D9" w:themeFill="background1" w:themeFillShade="D9"/>
          </w:tcPr>
          <w:p w14:paraId="7EC64071" w14:textId="77777777" w:rsidR="00A50F09" w:rsidRPr="00C02346" w:rsidRDefault="00A50F09" w:rsidP="00477164">
            <w:pPr>
              <w:pStyle w:val="Heading3"/>
              <w:spacing w:before="0"/>
              <w:outlineLvl w:val="2"/>
              <w:rPr>
                <w:rStyle w:val="IntenseReference"/>
                <w:rFonts w:ascii="Calibri" w:hAnsi="Calibri" w:cs="Calibri"/>
                <w:color w:val="auto"/>
              </w:rPr>
            </w:pPr>
            <w:r w:rsidRPr="00C02346">
              <w:rPr>
                <w:rStyle w:val="IntenseReference"/>
                <w:rFonts w:ascii="Calibri" w:hAnsi="Calibri" w:cs="Calibri"/>
                <w:color w:val="auto"/>
              </w:rPr>
              <w:t>If practical, specify timeframe here</w:t>
            </w:r>
          </w:p>
        </w:tc>
      </w:tr>
      <w:tr w:rsidR="00A50F09" w:rsidRPr="003F06E6" w14:paraId="34527A9C" w14:textId="77777777" w:rsidTr="00A50F09">
        <w:tc>
          <w:tcPr>
            <w:tcW w:w="944" w:type="pct"/>
            <w:shd w:val="clear" w:color="auto" w:fill="FFFFFF" w:themeFill="background1"/>
          </w:tcPr>
          <w:p w14:paraId="6DBB0281" w14:textId="357F23DA" w:rsidR="00A50F09" w:rsidRPr="003F06E6" w:rsidRDefault="00A50F09" w:rsidP="00477164">
            <w:pPr>
              <w:autoSpaceDE w:val="0"/>
              <w:autoSpaceDN w:val="0"/>
              <w:adjustRightInd w:val="0"/>
              <w:spacing w:after="60"/>
              <w:rPr>
                <w:rFonts w:ascii="Calibri" w:hAnsi="Calibri" w:cs="Calibri"/>
                <w:color w:val="000000"/>
                <w:sz w:val="22"/>
                <w:szCs w:val="22"/>
              </w:rPr>
            </w:pPr>
            <w:r w:rsidRPr="003F06E6">
              <w:rPr>
                <w:rFonts w:ascii="Calibri" w:hAnsi="Calibri" w:cs="Calibri"/>
                <w:i/>
                <w:sz w:val="22"/>
                <w:szCs w:val="22"/>
                <w:u w:val="single"/>
              </w:rPr>
              <w:t>Recommendation 1</w:t>
            </w:r>
            <w:r w:rsidRPr="003F06E6">
              <w:rPr>
                <w:rFonts w:ascii="Calibri" w:hAnsi="Calibri" w:cs="Calibri"/>
                <w:i/>
                <w:sz w:val="22"/>
                <w:szCs w:val="22"/>
              </w:rPr>
              <w:t>: DFAT should base future recovery programs on planning that considers the merits of different modality options in the country context, including implications for implementation timeframes and management resources.</w:t>
            </w:r>
          </w:p>
        </w:tc>
        <w:tc>
          <w:tcPr>
            <w:tcW w:w="1366" w:type="pct"/>
            <w:shd w:val="clear" w:color="auto" w:fill="auto"/>
          </w:tcPr>
          <w:p w14:paraId="3A5BF990" w14:textId="6047B98C" w:rsidR="00A50F09" w:rsidRPr="003F06E6" w:rsidRDefault="00A50F09" w:rsidP="00477164">
            <w:pPr>
              <w:pStyle w:val="Heading3"/>
              <w:spacing w:before="0" w:after="60"/>
              <w:outlineLvl w:val="2"/>
              <w:rPr>
                <w:rFonts w:asciiTheme="minorHAnsi" w:hAnsiTheme="minorHAnsi" w:cstheme="minorHAnsi"/>
                <w:color w:val="auto"/>
                <w:sz w:val="22"/>
                <w:szCs w:val="22"/>
              </w:rPr>
            </w:pPr>
            <w:r w:rsidRPr="003F06E6">
              <w:rPr>
                <w:rFonts w:asciiTheme="minorHAnsi" w:hAnsiTheme="minorHAnsi" w:cstheme="minorHAnsi"/>
                <w:color w:val="auto"/>
                <w:sz w:val="22"/>
                <w:szCs w:val="22"/>
              </w:rPr>
              <w:t xml:space="preserve">The absence of a clear articulation of the expectations and requirements of each party to the DFA contributed to frustration and delays in programming the funds and commencing implementation. </w:t>
            </w:r>
          </w:p>
          <w:p w14:paraId="7581D5F6" w14:textId="0D53650F" w:rsidR="00A50F09" w:rsidRPr="003F06E6" w:rsidRDefault="00A50F09" w:rsidP="00477164">
            <w:pPr>
              <w:pStyle w:val="Heading3"/>
              <w:spacing w:before="0" w:after="60"/>
              <w:outlineLvl w:val="2"/>
              <w:rPr>
                <w:rFonts w:asciiTheme="minorHAnsi" w:hAnsiTheme="minorHAnsi" w:cstheme="minorHAnsi"/>
                <w:color w:val="auto"/>
                <w:sz w:val="22"/>
                <w:szCs w:val="22"/>
              </w:rPr>
            </w:pPr>
            <w:r w:rsidRPr="003F06E6">
              <w:rPr>
                <w:rFonts w:asciiTheme="minorHAnsi" w:hAnsiTheme="minorHAnsi" w:cstheme="minorHAnsi"/>
                <w:color w:val="auto"/>
                <w:sz w:val="22"/>
                <w:szCs w:val="22"/>
              </w:rPr>
              <w:t>Alternative or blended modalities may have enabled more timely and efficient implementation, while still achieving capacity development benefits.</w:t>
            </w:r>
          </w:p>
          <w:p w14:paraId="5C48BC9D" w14:textId="77777777" w:rsidR="00A50F09" w:rsidRPr="003F06E6" w:rsidRDefault="00A50F09" w:rsidP="00690747">
            <w:pPr>
              <w:pStyle w:val="Heading3"/>
              <w:spacing w:before="0" w:after="60"/>
              <w:outlineLvl w:val="2"/>
              <w:rPr>
                <w:rFonts w:asciiTheme="minorHAnsi" w:hAnsiTheme="minorHAnsi" w:cstheme="minorHAnsi"/>
                <w:color w:val="auto"/>
                <w:sz w:val="22"/>
                <w:szCs w:val="22"/>
              </w:rPr>
            </w:pPr>
            <w:r w:rsidRPr="003F06E6">
              <w:rPr>
                <w:rFonts w:asciiTheme="minorHAnsi" w:hAnsiTheme="minorHAnsi" w:cstheme="minorHAnsi"/>
                <w:color w:val="auto"/>
                <w:sz w:val="22"/>
                <w:szCs w:val="22"/>
              </w:rPr>
              <w:t>The TC Pam modality involved more intensive program management by DFAT than is typical with an outsourced program of this budget.</w:t>
            </w:r>
          </w:p>
          <w:p w14:paraId="7FE6C394" w14:textId="1D0C1ADC" w:rsidR="00A50F09" w:rsidRPr="003F06E6" w:rsidRDefault="00A50F09" w:rsidP="00996051">
            <w:pPr>
              <w:pStyle w:val="Heading3"/>
              <w:spacing w:before="0" w:after="60"/>
              <w:outlineLvl w:val="2"/>
              <w:rPr>
                <w:rFonts w:asciiTheme="minorHAnsi" w:hAnsiTheme="minorHAnsi" w:cstheme="minorHAnsi"/>
                <w:color w:val="auto"/>
                <w:sz w:val="22"/>
                <w:szCs w:val="22"/>
              </w:rPr>
            </w:pPr>
            <w:r w:rsidRPr="003F06E6">
              <w:rPr>
                <w:rFonts w:asciiTheme="minorHAnsi" w:hAnsiTheme="minorHAnsi" w:cstheme="minorHAnsi"/>
                <w:color w:val="auto"/>
                <w:sz w:val="22"/>
                <w:szCs w:val="22"/>
              </w:rPr>
              <w:t>The proliferation of discrete Project Management Units (PMUs) created competition for skills and inefficiency due to duplication of functions across ministries, compared with a modality that pools human resources and centralises procurement and supply chain management.</w:t>
            </w:r>
          </w:p>
          <w:p w14:paraId="10FA379B" w14:textId="5B57CD54" w:rsidR="00A50F09" w:rsidRPr="003F06E6" w:rsidRDefault="00A50F09" w:rsidP="00996051">
            <w:pPr>
              <w:pStyle w:val="Heading3"/>
              <w:spacing w:before="0" w:after="60"/>
              <w:outlineLvl w:val="2"/>
            </w:pPr>
            <w:r w:rsidRPr="003F06E6">
              <w:rPr>
                <w:rFonts w:asciiTheme="minorHAnsi" w:hAnsiTheme="minorHAnsi" w:cstheme="minorHAnsi"/>
                <w:color w:val="auto"/>
                <w:sz w:val="22"/>
                <w:szCs w:val="22"/>
              </w:rPr>
              <w:t>The underlying arguments for PMU-led implementation (greater operational control by GoV, reduced cost and civil service capacity development) were not clearly borne out.</w:t>
            </w:r>
          </w:p>
        </w:tc>
        <w:tc>
          <w:tcPr>
            <w:tcW w:w="1938" w:type="pct"/>
            <w:shd w:val="clear" w:color="auto" w:fill="FFFFFF" w:themeFill="background1"/>
          </w:tcPr>
          <w:p w14:paraId="22EA6B9E" w14:textId="3368B05F" w:rsidR="00C528EB" w:rsidRPr="003F06E6" w:rsidRDefault="003F06E6" w:rsidP="00DB649B">
            <w:pPr>
              <w:pStyle w:val="BodyText"/>
              <w:spacing w:after="60"/>
              <w:rPr>
                <w:rFonts w:ascii="Calibri" w:hAnsi="Calibri" w:cs="Calibri"/>
                <w:sz w:val="22"/>
                <w:szCs w:val="22"/>
              </w:rPr>
            </w:pPr>
            <w:r w:rsidRPr="003F06E6">
              <w:rPr>
                <w:rFonts w:ascii="Calibri" w:hAnsi="Calibri" w:cs="Calibri"/>
                <w:b/>
                <w:sz w:val="22"/>
                <w:szCs w:val="22"/>
              </w:rPr>
              <w:t>Agree</w:t>
            </w:r>
            <w:r>
              <w:rPr>
                <w:rFonts w:ascii="Calibri" w:hAnsi="Calibri" w:cs="Calibri"/>
                <w:sz w:val="22"/>
                <w:szCs w:val="22"/>
              </w:rPr>
              <w:t xml:space="preserve">: </w:t>
            </w:r>
            <w:r w:rsidR="00C528EB" w:rsidRPr="003F06E6">
              <w:rPr>
                <w:rFonts w:ascii="Calibri" w:hAnsi="Calibri" w:cs="Calibri"/>
                <w:sz w:val="22"/>
                <w:szCs w:val="22"/>
              </w:rPr>
              <w:t>Since TC Pam</w:t>
            </w:r>
            <w:r w:rsidR="009C5561">
              <w:rPr>
                <w:rFonts w:ascii="Calibri" w:hAnsi="Calibri" w:cs="Calibri"/>
                <w:sz w:val="22"/>
                <w:szCs w:val="22"/>
              </w:rPr>
              <w:t>,</w:t>
            </w:r>
            <w:r w:rsidR="00C528EB" w:rsidRPr="003F06E6">
              <w:rPr>
                <w:rFonts w:ascii="Calibri" w:hAnsi="Calibri" w:cs="Calibri"/>
                <w:sz w:val="22"/>
                <w:szCs w:val="22"/>
              </w:rPr>
              <w:t xml:space="preserve"> analysis of recovery programs undertaken by DFAT Humanitarian division (HPD) has documented a number of key lessons. </w:t>
            </w:r>
            <w:r w:rsidR="00702409" w:rsidRPr="003F06E6">
              <w:rPr>
                <w:rFonts w:ascii="Calibri" w:hAnsi="Calibri" w:cs="Calibri"/>
                <w:sz w:val="22"/>
                <w:szCs w:val="22"/>
              </w:rPr>
              <w:t>This evaluation validates m</w:t>
            </w:r>
            <w:r w:rsidR="00C528EB" w:rsidRPr="003F06E6">
              <w:rPr>
                <w:rFonts w:ascii="Calibri" w:hAnsi="Calibri" w:cs="Calibri"/>
                <w:sz w:val="22"/>
                <w:szCs w:val="22"/>
              </w:rPr>
              <w:t>any of these.</w:t>
            </w:r>
          </w:p>
          <w:p w14:paraId="4C9E7C9C" w14:textId="55097F36" w:rsidR="00C528EB" w:rsidRPr="003F06E6" w:rsidRDefault="00C528EB" w:rsidP="00DB649B">
            <w:pPr>
              <w:pStyle w:val="BodyText"/>
              <w:spacing w:after="60"/>
              <w:rPr>
                <w:rFonts w:ascii="Calibri" w:hAnsi="Calibri" w:cs="Calibri"/>
                <w:sz w:val="22"/>
                <w:szCs w:val="22"/>
              </w:rPr>
            </w:pPr>
            <w:r w:rsidRPr="003F06E6">
              <w:rPr>
                <w:rFonts w:ascii="Calibri" w:hAnsi="Calibri" w:cs="Calibri"/>
                <w:sz w:val="22"/>
                <w:szCs w:val="22"/>
              </w:rPr>
              <w:t>Lessons include the need for realistic recovery timeframes, the importance of adequate staffing</w:t>
            </w:r>
            <w:r w:rsidR="00702409" w:rsidRPr="003F06E6">
              <w:rPr>
                <w:rFonts w:ascii="Calibri" w:hAnsi="Calibri" w:cs="Calibri"/>
                <w:sz w:val="22"/>
                <w:szCs w:val="22"/>
              </w:rPr>
              <w:t xml:space="preserve"> and the value of having a</w:t>
            </w:r>
            <w:r w:rsidRPr="003F06E6">
              <w:rPr>
                <w:rFonts w:ascii="Calibri" w:hAnsi="Calibri" w:cs="Calibri"/>
                <w:sz w:val="22"/>
                <w:szCs w:val="22"/>
              </w:rPr>
              <w:t>ccess to expertise</w:t>
            </w:r>
            <w:r w:rsidR="00702409" w:rsidRPr="003F06E6">
              <w:rPr>
                <w:rFonts w:ascii="Calibri" w:hAnsi="Calibri" w:cs="Calibri"/>
                <w:sz w:val="22"/>
                <w:szCs w:val="22"/>
              </w:rPr>
              <w:t xml:space="preserve">. In </w:t>
            </w:r>
            <w:r w:rsidR="008B6468" w:rsidRPr="003F06E6">
              <w:rPr>
                <w:rFonts w:ascii="Calibri" w:hAnsi="Calibri" w:cs="Calibri"/>
                <w:sz w:val="22"/>
                <w:szCs w:val="22"/>
              </w:rPr>
              <w:t>addition,</w:t>
            </w:r>
            <w:r w:rsidR="00702409" w:rsidRPr="003F06E6">
              <w:rPr>
                <w:rFonts w:ascii="Calibri" w:hAnsi="Calibri" w:cs="Calibri"/>
                <w:sz w:val="22"/>
                <w:szCs w:val="22"/>
              </w:rPr>
              <w:t xml:space="preserve"> DFAT experience shows the need for </w:t>
            </w:r>
            <w:r w:rsidRPr="003F06E6">
              <w:rPr>
                <w:rFonts w:ascii="Calibri" w:hAnsi="Calibri" w:cs="Calibri"/>
                <w:sz w:val="22"/>
                <w:szCs w:val="22"/>
              </w:rPr>
              <w:t>careful consideration of recovery partners, modalities</w:t>
            </w:r>
            <w:r w:rsidR="00702409" w:rsidRPr="003F06E6">
              <w:rPr>
                <w:rFonts w:ascii="Calibri" w:hAnsi="Calibri" w:cs="Calibri"/>
                <w:sz w:val="22"/>
                <w:szCs w:val="22"/>
              </w:rPr>
              <w:t>,</w:t>
            </w:r>
            <w:r w:rsidRPr="003F06E6">
              <w:rPr>
                <w:rFonts w:ascii="Calibri" w:hAnsi="Calibri" w:cs="Calibri"/>
                <w:sz w:val="22"/>
                <w:szCs w:val="22"/>
              </w:rPr>
              <w:t xml:space="preserve"> sectors</w:t>
            </w:r>
            <w:r w:rsidR="00702409" w:rsidRPr="003F06E6">
              <w:rPr>
                <w:rFonts w:ascii="Calibri" w:hAnsi="Calibri" w:cs="Calibri"/>
                <w:sz w:val="22"/>
                <w:szCs w:val="22"/>
              </w:rPr>
              <w:t xml:space="preserve"> and geographic focus</w:t>
            </w:r>
            <w:r w:rsidRPr="003F06E6">
              <w:rPr>
                <w:rFonts w:ascii="Calibri" w:hAnsi="Calibri" w:cs="Calibri"/>
                <w:sz w:val="22"/>
                <w:szCs w:val="22"/>
              </w:rPr>
              <w:t xml:space="preserve"> vis-à-vis the existing Aid Investment Plan. </w:t>
            </w:r>
          </w:p>
          <w:p w14:paraId="7F6F4852" w14:textId="77777777" w:rsidR="0068632C" w:rsidRPr="003F06E6" w:rsidRDefault="0068632C">
            <w:pPr>
              <w:pStyle w:val="BodyText"/>
              <w:spacing w:after="60"/>
              <w:rPr>
                <w:rFonts w:ascii="Calibri" w:hAnsi="Calibri" w:cs="Calibri"/>
                <w:sz w:val="22"/>
                <w:szCs w:val="22"/>
              </w:rPr>
            </w:pPr>
            <w:r w:rsidRPr="003F06E6">
              <w:rPr>
                <w:rFonts w:ascii="Calibri" w:hAnsi="Calibri" w:cs="Calibri"/>
                <w:sz w:val="22"/>
                <w:szCs w:val="22"/>
              </w:rPr>
              <w:t>For future humanitarian events, involving a significant recovery package HPD will support the Post of the affected nation to develop a short recovery plan in the early stages of the event. The plan will examine, inter alia, programming options, levels and sources of finance, and staffing requirements (including supplementation where required).</w:t>
            </w:r>
          </w:p>
          <w:p w14:paraId="63E0BF6A" w14:textId="745D20EF" w:rsidR="00A50F09" w:rsidRPr="003F06E6" w:rsidRDefault="00702409" w:rsidP="008B6468">
            <w:pPr>
              <w:pStyle w:val="BodyText"/>
              <w:spacing w:after="60"/>
              <w:rPr>
                <w:rFonts w:ascii="Calibri" w:hAnsi="Calibri" w:cs="Calibri"/>
                <w:sz w:val="22"/>
                <w:szCs w:val="22"/>
              </w:rPr>
            </w:pPr>
            <w:r w:rsidRPr="003F06E6">
              <w:rPr>
                <w:rFonts w:ascii="Calibri" w:hAnsi="Calibri" w:cs="Calibri"/>
                <w:sz w:val="22"/>
                <w:szCs w:val="22"/>
              </w:rPr>
              <w:t xml:space="preserve">Humanitarian division will also update its Early Recovery – Humanitarian Strategy Guidance note to reflect these lessons and more clearly articulate what support HPD can provide to Posts. </w:t>
            </w:r>
          </w:p>
        </w:tc>
        <w:tc>
          <w:tcPr>
            <w:tcW w:w="752" w:type="pct"/>
            <w:shd w:val="clear" w:color="auto" w:fill="FFFFFF" w:themeFill="background1"/>
          </w:tcPr>
          <w:p w14:paraId="45914284" w14:textId="0EF437B2" w:rsidR="00702409" w:rsidRPr="003F06E6" w:rsidRDefault="006969A2" w:rsidP="00C02346">
            <w:pPr>
              <w:pStyle w:val="Tablebullets"/>
              <w:numPr>
                <w:ilvl w:val="0"/>
                <w:numId w:val="0"/>
              </w:numPr>
              <w:spacing w:after="60"/>
              <w:rPr>
                <w:rFonts w:ascii="Calibri" w:hAnsi="Calibri" w:cs="Calibri"/>
                <w:sz w:val="22"/>
                <w:szCs w:val="22"/>
              </w:rPr>
            </w:pPr>
            <w:r w:rsidRPr="003F06E6">
              <w:rPr>
                <w:rFonts w:ascii="Calibri" w:hAnsi="Calibri" w:cs="Calibri"/>
                <w:sz w:val="22"/>
                <w:szCs w:val="22"/>
              </w:rPr>
              <w:t>HPD s</w:t>
            </w:r>
            <w:r w:rsidR="00702409" w:rsidRPr="003F06E6">
              <w:rPr>
                <w:rFonts w:ascii="Calibri" w:hAnsi="Calibri" w:cs="Calibri"/>
                <w:sz w:val="22"/>
                <w:szCs w:val="22"/>
              </w:rPr>
              <w:t>upport arrangements for recovery planning to be put into effect as part of the next humanitarian response.</w:t>
            </w:r>
          </w:p>
          <w:p w14:paraId="4A09676E" w14:textId="031F8490" w:rsidR="00C53914" w:rsidRPr="003F06E6" w:rsidRDefault="00C53914" w:rsidP="00C02346">
            <w:pPr>
              <w:pStyle w:val="Tablebullets"/>
              <w:numPr>
                <w:ilvl w:val="0"/>
                <w:numId w:val="0"/>
              </w:numPr>
              <w:spacing w:after="60"/>
              <w:rPr>
                <w:rFonts w:ascii="Calibri" w:hAnsi="Calibri" w:cs="Calibri"/>
                <w:sz w:val="22"/>
                <w:szCs w:val="22"/>
              </w:rPr>
            </w:pPr>
          </w:p>
          <w:p w14:paraId="6B2D2B9A" w14:textId="3F54E2EA" w:rsidR="00C53914" w:rsidRPr="003F06E6" w:rsidRDefault="00C53914" w:rsidP="00C02346">
            <w:pPr>
              <w:pStyle w:val="Tablebullets"/>
              <w:numPr>
                <w:ilvl w:val="0"/>
                <w:numId w:val="0"/>
              </w:numPr>
              <w:spacing w:after="60"/>
              <w:rPr>
                <w:rFonts w:ascii="Calibri" w:hAnsi="Calibri" w:cs="Calibri"/>
                <w:sz w:val="22"/>
                <w:szCs w:val="22"/>
              </w:rPr>
            </w:pPr>
          </w:p>
          <w:p w14:paraId="3692133C" w14:textId="1EE802C6" w:rsidR="00C53914" w:rsidRPr="003F06E6" w:rsidRDefault="00C53914" w:rsidP="00C02346">
            <w:pPr>
              <w:pStyle w:val="Tablebullets"/>
              <w:numPr>
                <w:ilvl w:val="0"/>
                <w:numId w:val="0"/>
              </w:numPr>
              <w:spacing w:after="60"/>
              <w:rPr>
                <w:rFonts w:ascii="Calibri" w:hAnsi="Calibri" w:cs="Calibri"/>
                <w:sz w:val="22"/>
                <w:szCs w:val="22"/>
              </w:rPr>
            </w:pPr>
          </w:p>
          <w:p w14:paraId="45BF19B5" w14:textId="5CAB3B71" w:rsidR="00C53914" w:rsidRPr="003F06E6" w:rsidRDefault="00C53914" w:rsidP="00C02346">
            <w:pPr>
              <w:pStyle w:val="Tablebullets"/>
              <w:numPr>
                <w:ilvl w:val="0"/>
                <w:numId w:val="0"/>
              </w:numPr>
              <w:spacing w:after="60"/>
              <w:rPr>
                <w:rFonts w:ascii="Calibri" w:hAnsi="Calibri" w:cs="Calibri"/>
                <w:sz w:val="22"/>
                <w:szCs w:val="22"/>
              </w:rPr>
            </w:pPr>
          </w:p>
          <w:p w14:paraId="30144215" w14:textId="13B30EA2" w:rsidR="00C53914" w:rsidRPr="003F06E6" w:rsidRDefault="00C53914" w:rsidP="00C02346">
            <w:pPr>
              <w:pStyle w:val="Tablebullets"/>
              <w:numPr>
                <w:ilvl w:val="0"/>
                <w:numId w:val="0"/>
              </w:numPr>
              <w:spacing w:after="60"/>
              <w:rPr>
                <w:rFonts w:ascii="Calibri" w:hAnsi="Calibri" w:cs="Calibri"/>
                <w:sz w:val="22"/>
                <w:szCs w:val="22"/>
              </w:rPr>
            </w:pPr>
          </w:p>
          <w:p w14:paraId="57451605" w14:textId="5F2BFCA6" w:rsidR="00C53914" w:rsidRPr="003F06E6" w:rsidRDefault="00C53914" w:rsidP="00C02346">
            <w:pPr>
              <w:pStyle w:val="Tablebullets"/>
              <w:numPr>
                <w:ilvl w:val="0"/>
                <w:numId w:val="0"/>
              </w:numPr>
              <w:spacing w:after="60"/>
              <w:rPr>
                <w:rFonts w:ascii="Calibri" w:hAnsi="Calibri" w:cs="Calibri"/>
                <w:sz w:val="22"/>
                <w:szCs w:val="22"/>
              </w:rPr>
            </w:pPr>
          </w:p>
          <w:p w14:paraId="35885F52" w14:textId="77777777" w:rsidR="00C53914" w:rsidRPr="003F06E6" w:rsidRDefault="00C53914" w:rsidP="00C02346">
            <w:pPr>
              <w:pStyle w:val="Tablebullets"/>
              <w:numPr>
                <w:ilvl w:val="0"/>
                <w:numId w:val="0"/>
              </w:numPr>
              <w:spacing w:after="60"/>
              <w:rPr>
                <w:rFonts w:ascii="Calibri" w:hAnsi="Calibri" w:cs="Calibri"/>
                <w:sz w:val="22"/>
                <w:szCs w:val="22"/>
              </w:rPr>
            </w:pPr>
          </w:p>
          <w:p w14:paraId="153884FC" w14:textId="08BF784B" w:rsidR="00702409" w:rsidRPr="003F06E6" w:rsidRDefault="00702409" w:rsidP="00C02346">
            <w:pPr>
              <w:pStyle w:val="Tablebullets"/>
              <w:numPr>
                <w:ilvl w:val="0"/>
                <w:numId w:val="0"/>
              </w:numPr>
              <w:spacing w:after="60"/>
              <w:rPr>
                <w:rFonts w:ascii="Calibri" w:hAnsi="Calibri" w:cs="Calibri"/>
                <w:sz w:val="22"/>
                <w:szCs w:val="22"/>
              </w:rPr>
            </w:pPr>
            <w:r w:rsidRPr="003F06E6">
              <w:rPr>
                <w:rFonts w:ascii="Calibri" w:hAnsi="Calibri" w:cs="Calibri"/>
                <w:sz w:val="22"/>
                <w:szCs w:val="22"/>
              </w:rPr>
              <w:t xml:space="preserve">Updated guidance to be completed by </w:t>
            </w:r>
            <w:r w:rsidR="0014153E" w:rsidRPr="003F06E6">
              <w:rPr>
                <w:rFonts w:ascii="Calibri" w:hAnsi="Calibri" w:cs="Calibri"/>
                <w:sz w:val="22"/>
                <w:szCs w:val="22"/>
              </w:rPr>
              <w:t xml:space="preserve">June 2019. </w:t>
            </w:r>
          </w:p>
        </w:tc>
      </w:tr>
      <w:tr w:rsidR="00A50F09" w:rsidRPr="003F06E6" w14:paraId="1E0FE918" w14:textId="77777777" w:rsidTr="00A50F09">
        <w:tc>
          <w:tcPr>
            <w:tcW w:w="944" w:type="pct"/>
            <w:shd w:val="clear" w:color="auto" w:fill="FFFFFF" w:themeFill="background1"/>
          </w:tcPr>
          <w:p w14:paraId="5B367BF3" w14:textId="2B68E748" w:rsidR="00A50F09" w:rsidRPr="003F06E6" w:rsidRDefault="00A50F09" w:rsidP="00477164">
            <w:pPr>
              <w:autoSpaceDE w:val="0"/>
              <w:autoSpaceDN w:val="0"/>
              <w:adjustRightInd w:val="0"/>
              <w:spacing w:after="60"/>
              <w:rPr>
                <w:rFonts w:ascii="Calibri" w:hAnsi="Calibri" w:cs="Calibri"/>
                <w:color w:val="000000"/>
                <w:sz w:val="22"/>
                <w:szCs w:val="22"/>
              </w:rPr>
            </w:pPr>
            <w:r w:rsidRPr="003F06E6">
              <w:rPr>
                <w:rFonts w:ascii="Calibri" w:hAnsi="Calibri" w:cs="Calibri"/>
                <w:i/>
                <w:sz w:val="22"/>
                <w:szCs w:val="22"/>
                <w:u w:val="single"/>
              </w:rPr>
              <w:lastRenderedPageBreak/>
              <w:t>Recommendation 3</w:t>
            </w:r>
            <w:r w:rsidRPr="003F06E6">
              <w:rPr>
                <w:rFonts w:ascii="Calibri" w:hAnsi="Calibri" w:cs="Calibri"/>
                <w:i/>
                <w:sz w:val="22"/>
                <w:szCs w:val="22"/>
              </w:rPr>
              <w:t>: DFAT’s future recovery programming should minimise engagement in sectors in which there is limited prior experience and undeveloped working relationships.</w:t>
            </w:r>
          </w:p>
        </w:tc>
        <w:tc>
          <w:tcPr>
            <w:tcW w:w="1366" w:type="pct"/>
            <w:shd w:val="clear" w:color="auto" w:fill="auto"/>
          </w:tcPr>
          <w:p w14:paraId="543E0BD7" w14:textId="77777777" w:rsidR="00A50F09" w:rsidRPr="003F06E6" w:rsidRDefault="00A50F09" w:rsidP="00477164">
            <w:pPr>
              <w:pStyle w:val="Heading3"/>
              <w:spacing w:before="0" w:after="60"/>
              <w:outlineLvl w:val="2"/>
              <w:rPr>
                <w:rFonts w:asciiTheme="minorHAnsi" w:hAnsiTheme="minorHAnsi" w:cstheme="minorHAnsi"/>
                <w:color w:val="auto"/>
                <w:sz w:val="22"/>
                <w:szCs w:val="22"/>
              </w:rPr>
            </w:pPr>
            <w:r w:rsidRPr="003F06E6">
              <w:rPr>
                <w:rFonts w:asciiTheme="minorHAnsi" w:hAnsiTheme="minorHAnsi" w:cstheme="minorHAnsi"/>
                <w:color w:val="auto"/>
                <w:sz w:val="22"/>
                <w:szCs w:val="22"/>
              </w:rPr>
              <w:t>Implementing projects in new sectors in a recovery program introduced inefficiencies and risks.</w:t>
            </w:r>
          </w:p>
        </w:tc>
        <w:tc>
          <w:tcPr>
            <w:tcW w:w="1938" w:type="pct"/>
            <w:shd w:val="clear" w:color="auto" w:fill="FFFFFF" w:themeFill="background1"/>
          </w:tcPr>
          <w:p w14:paraId="36E7504E" w14:textId="77777777" w:rsidR="00A50F09" w:rsidRPr="003F06E6" w:rsidRDefault="00A50F09" w:rsidP="00477164">
            <w:pPr>
              <w:pStyle w:val="BodyText"/>
              <w:spacing w:after="60"/>
              <w:rPr>
                <w:rFonts w:ascii="Calibri" w:hAnsi="Calibri" w:cs="Calibri"/>
                <w:b/>
                <w:sz w:val="22"/>
                <w:szCs w:val="22"/>
              </w:rPr>
            </w:pPr>
            <w:r w:rsidRPr="003F06E6">
              <w:rPr>
                <w:rFonts w:ascii="Calibri" w:hAnsi="Calibri" w:cs="Calibri"/>
                <w:b/>
                <w:sz w:val="22"/>
                <w:szCs w:val="22"/>
              </w:rPr>
              <w:t>Agree:</w:t>
            </w:r>
          </w:p>
          <w:p w14:paraId="6B6BCE2C" w14:textId="0151DBC1" w:rsidR="00A50F09" w:rsidRPr="003F06E6" w:rsidRDefault="008B6468">
            <w:pPr>
              <w:pStyle w:val="BodyText"/>
              <w:spacing w:after="60"/>
              <w:rPr>
                <w:rFonts w:ascii="Calibri" w:hAnsi="Calibri" w:cs="Calibri"/>
                <w:sz w:val="22"/>
                <w:szCs w:val="22"/>
              </w:rPr>
            </w:pPr>
            <w:r w:rsidRPr="003F06E6">
              <w:rPr>
                <w:rFonts w:ascii="Calibri" w:hAnsi="Calibri" w:cs="Calibri"/>
                <w:sz w:val="22"/>
                <w:szCs w:val="22"/>
              </w:rPr>
              <w:t>In the response to recommendation one, Humanitarian division has undertaken to support the development of event specific recovery plans. Recovery plans will reflect the priorities, sectors and partners outlined in the existing Aid Investment Plan as a priority. Where there are significant unmet needs in a sector or geographic area DFAT may consider an amendment to the AIP. A relevant example of this can be found in Australia’s support to the province of Aceh following the 2004 Indian Ocean Tsunami</w:t>
            </w:r>
            <w:r w:rsidR="009C5561">
              <w:rPr>
                <w:rFonts w:ascii="Calibri" w:hAnsi="Calibri" w:cs="Calibri"/>
                <w:sz w:val="22"/>
                <w:szCs w:val="22"/>
              </w:rPr>
              <w:t>.</w:t>
            </w:r>
            <w:r w:rsidRPr="003F06E6" w:rsidDel="006969A2">
              <w:rPr>
                <w:rFonts w:ascii="Calibri" w:hAnsi="Calibri" w:cs="Calibri"/>
                <w:sz w:val="22"/>
                <w:szCs w:val="22"/>
              </w:rPr>
              <w:t xml:space="preserve"> </w:t>
            </w:r>
          </w:p>
        </w:tc>
        <w:tc>
          <w:tcPr>
            <w:tcW w:w="752" w:type="pct"/>
            <w:shd w:val="clear" w:color="auto" w:fill="FFFFFF" w:themeFill="background1"/>
          </w:tcPr>
          <w:p w14:paraId="2DCC09EC" w14:textId="77777777" w:rsidR="006969A2" w:rsidRPr="003F06E6" w:rsidRDefault="006969A2" w:rsidP="00C02346">
            <w:pPr>
              <w:pStyle w:val="Tablebullets"/>
              <w:numPr>
                <w:ilvl w:val="0"/>
                <w:numId w:val="0"/>
              </w:numPr>
              <w:spacing w:after="60"/>
              <w:rPr>
                <w:rFonts w:ascii="Calibri" w:hAnsi="Calibri" w:cs="Calibri"/>
                <w:sz w:val="22"/>
                <w:szCs w:val="22"/>
              </w:rPr>
            </w:pPr>
          </w:p>
          <w:p w14:paraId="42C1C0A5" w14:textId="6ED99F95" w:rsidR="00A50F09" w:rsidRPr="003F06E6" w:rsidRDefault="006969A2" w:rsidP="00C02346">
            <w:pPr>
              <w:pStyle w:val="Tablebullets"/>
              <w:numPr>
                <w:ilvl w:val="0"/>
                <w:numId w:val="0"/>
              </w:numPr>
              <w:spacing w:after="60"/>
              <w:rPr>
                <w:rFonts w:ascii="Calibri" w:hAnsi="Calibri" w:cs="Calibri"/>
                <w:sz w:val="22"/>
                <w:szCs w:val="22"/>
              </w:rPr>
            </w:pPr>
            <w:r w:rsidRPr="003F06E6">
              <w:rPr>
                <w:rFonts w:ascii="Calibri" w:hAnsi="Calibri" w:cs="Calibri"/>
                <w:sz w:val="22"/>
                <w:szCs w:val="22"/>
              </w:rPr>
              <w:t>HPD support arrangements for recovery planning to be put into effect as part of the next humanitarian response.</w:t>
            </w:r>
          </w:p>
          <w:p w14:paraId="77BCB8F1" w14:textId="441546AB" w:rsidR="006969A2" w:rsidRPr="003F06E6" w:rsidRDefault="006969A2" w:rsidP="00C02346">
            <w:pPr>
              <w:pStyle w:val="Tablebullets"/>
              <w:numPr>
                <w:ilvl w:val="0"/>
                <w:numId w:val="0"/>
              </w:numPr>
              <w:spacing w:after="60"/>
              <w:rPr>
                <w:rFonts w:ascii="Calibri" w:hAnsi="Calibri" w:cs="Calibri"/>
                <w:sz w:val="22"/>
                <w:szCs w:val="22"/>
              </w:rPr>
            </w:pPr>
          </w:p>
        </w:tc>
      </w:tr>
      <w:tr w:rsidR="00A50F09" w:rsidRPr="003F06E6" w14:paraId="0B9A3AB6" w14:textId="77777777" w:rsidTr="00A50F09">
        <w:tc>
          <w:tcPr>
            <w:tcW w:w="944" w:type="pct"/>
            <w:shd w:val="clear" w:color="auto" w:fill="FFFFFF" w:themeFill="background1"/>
          </w:tcPr>
          <w:p w14:paraId="636DF4CA" w14:textId="5D95DF61" w:rsidR="00A50F09" w:rsidRPr="003F06E6" w:rsidRDefault="00A50F09" w:rsidP="00477164">
            <w:pPr>
              <w:autoSpaceDE w:val="0"/>
              <w:autoSpaceDN w:val="0"/>
              <w:adjustRightInd w:val="0"/>
              <w:spacing w:after="60"/>
              <w:rPr>
                <w:rFonts w:ascii="Calibri" w:hAnsi="Calibri" w:cs="Calibri"/>
                <w:color w:val="000000"/>
                <w:sz w:val="22"/>
                <w:szCs w:val="22"/>
              </w:rPr>
            </w:pPr>
            <w:r w:rsidRPr="003F06E6">
              <w:rPr>
                <w:rFonts w:ascii="Calibri" w:hAnsi="Calibri" w:cs="Calibri"/>
                <w:i/>
                <w:sz w:val="22"/>
                <w:szCs w:val="22"/>
                <w:u w:val="single"/>
              </w:rPr>
              <w:t>Recommendation 5</w:t>
            </w:r>
            <w:r w:rsidRPr="003F06E6">
              <w:rPr>
                <w:rFonts w:ascii="Calibri" w:hAnsi="Calibri" w:cs="Calibri"/>
                <w:i/>
                <w:sz w:val="22"/>
                <w:szCs w:val="22"/>
              </w:rPr>
              <w:t>: If the TC Pam recovery modality is employed in the future, DFAT should moderate expectations in relation to Australian aid policy priorities to reflect reduced donor control, in line with the use of general/sector budget support.</w:t>
            </w:r>
          </w:p>
        </w:tc>
        <w:tc>
          <w:tcPr>
            <w:tcW w:w="1366" w:type="pct"/>
            <w:shd w:val="clear" w:color="auto" w:fill="auto"/>
          </w:tcPr>
          <w:p w14:paraId="0C54D6A2" w14:textId="796CCE67" w:rsidR="00A50F09" w:rsidRPr="003F06E6" w:rsidRDefault="00A50F09" w:rsidP="00477164">
            <w:pPr>
              <w:pStyle w:val="Heading3"/>
              <w:spacing w:before="0" w:after="60"/>
              <w:outlineLvl w:val="2"/>
              <w:rPr>
                <w:rFonts w:asciiTheme="minorHAnsi" w:hAnsiTheme="minorHAnsi" w:cstheme="minorHAnsi"/>
                <w:color w:val="auto"/>
                <w:sz w:val="22"/>
                <w:szCs w:val="22"/>
              </w:rPr>
            </w:pPr>
            <w:r w:rsidRPr="003F06E6">
              <w:rPr>
                <w:rFonts w:asciiTheme="minorHAnsi" w:hAnsiTheme="minorHAnsi" w:cstheme="minorHAnsi"/>
                <w:color w:val="auto"/>
                <w:sz w:val="22"/>
                <w:szCs w:val="22"/>
              </w:rPr>
              <w:t>DFAT’s internal design processes and policy priorities were not amended to reflect reduced donor control in line with a partner-led modality.</w:t>
            </w:r>
          </w:p>
          <w:p w14:paraId="60061ABE" w14:textId="2ABDA5C5" w:rsidR="00A50F09" w:rsidRPr="003F06E6" w:rsidRDefault="00A50F09" w:rsidP="000835A9">
            <w:pPr>
              <w:pStyle w:val="Heading3"/>
              <w:spacing w:before="0" w:after="60"/>
              <w:outlineLvl w:val="2"/>
              <w:rPr>
                <w:rFonts w:asciiTheme="minorHAnsi" w:hAnsiTheme="minorHAnsi" w:cstheme="minorHAnsi"/>
                <w:color w:val="auto"/>
                <w:sz w:val="22"/>
                <w:szCs w:val="22"/>
              </w:rPr>
            </w:pPr>
            <w:r w:rsidRPr="003F06E6">
              <w:rPr>
                <w:rFonts w:asciiTheme="minorHAnsi" w:hAnsiTheme="minorHAnsi" w:cstheme="minorHAnsi"/>
                <w:color w:val="auto"/>
                <w:sz w:val="22"/>
                <w:szCs w:val="22"/>
              </w:rPr>
              <w:t>Being absent from the program governance arrangements meant that DFAT’s policy priorities and design processes were not readily addressed—most notably in relation</w:t>
            </w:r>
            <w:r w:rsidR="009C5561">
              <w:rPr>
                <w:rFonts w:asciiTheme="minorHAnsi" w:hAnsiTheme="minorHAnsi" w:cstheme="minorHAnsi"/>
                <w:color w:val="auto"/>
                <w:sz w:val="22"/>
                <w:szCs w:val="22"/>
              </w:rPr>
              <w:t xml:space="preserve"> to</w:t>
            </w:r>
            <w:r w:rsidRPr="003F06E6">
              <w:rPr>
                <w:rFonts w:asciiTheme="minorHAnsi" w:hAnsiTheme="minorHAnsi" w:cstheme="minorHAnsi"/>
                <w:color w:val="auto"/>
                <w:sz w:val="22"/>
                <w:szCs w:val="22"/>
              </w:rPr>
              <w:t xml:space="preserve"> gender equality—but arguably fostered greater GoV ownership of the program.</w:t>
            </w:r>
          </w:p>
          <w:p w14:paraId="2DBAB1E3" w14:textId="385EFF04" w:rsidR="00A50F09" w:rsidRPr="003F06E6" w:rsidRDefault="00A50F09" w:rsidP="00996051">
            <w:pPr>
              <w:pStyle w:val="Heading3"/>
              <w:spacing w:before="0" w:after="60"/>
              <w:outlineLvl w:val="2"/>
            </w:pPr>
            <w:r w:rsidRPr="003F06E6">
              <w:rPr>
                <w:rFonts w:asciiTheme="minorHAnsi" w:hAnsiTheme="minorHAnsi" w:cstheme="minorHAnsi"/>
                <w:color w:val="auto"/>
                <w:sz w:val="22"/>
                <w:szCs w:val="22"/>
              </w:rPr>
              <w:t>Use of GoV systems fostered clear ownership of the program by GoV and reduced DFAT’s risk exposure in Vanuatu, but not in Australia.</w:t>
            </w:r>
          </w:p>
        </w:tc>
        <w:tc>
          <w:tcPr>
            <w:tcW w:w="1938" w:type="pct"/>
            <w:shd w:val="clear" w:color="auto" w:fill="FFFFFF" w:themeFill="background1"/>
          </w:tcPr>
          <w:p w14:paraId="74444E70" w14:textId="67518AD4" w:rsidR="003F06E6" w:rsidRPr="003F06E6" w:rsidRDefault="003F06E6" w:rsidP="003F06E6">
            <w:pPr>
              <w:pStyle w:val="BodyText"/>
              <w:spacing w:after="60"/>
              <w:rPr>
                <w:rFonts w:ascii="Calibri" w:hAnsi="Calibri" w:cs="Calibri"/>
                <w:sz w:val="22"/>
                <w:szCs w:val="22"/>
              </w:rPr>
            </w:pPr>
            <w:r w:rsidRPr="003F06E6">
              <w:rPr>
                <w:rFonts w:ascii="Calibri" w:hAnsi="Calibri" w:cs="Calibri"/>
                <w:b/>
                <w:sz w:val="22"/>
                <w:szCs w:val="22"/>
              </w:rPr>
              <w:t>Partially Agree</w:t>
            </w:r>
            <w:r>
              <w:rPr>
                <w:rFonts w:ascii="Calibri" w:hAnsi="Calibri" w:cs="Calibri"/>
                <w:sz w:val="22"/>
                <w:szCs w:val="22"/>
              </w:rPr>
              <w:t xml:space="preserve">: </w:t>
            </w:r>
            <w:r w:rsidRPr="003F06E6">
              <w:rPr>
                <w:rFonts w:ascii="Calibri" w:hAnsi="Calibri" w:cs="Calibri"/>
                <w:sz w:val="22"/>
                <w:szCs w:val="22"/>
              </w:rPr>
              <w:t>When it comes to investments of any kind involving Australian tax-payer funds on aid, DFAT’s priority is to ensure that our funds are well managed and achieve progress towards key goals.  Our aid management policies are principles-based.  They are applied by investment managers on a case-by-case basis, taking into account risks, investme</w:t>
            </w:r>
            <w:r w:rsidR="009C5561">
              <w:rPr>
                <w:rFonts w:ascii="Calibri" w:hAnsi="Calibri" w:cs="Calibri"/>
                <w:sz w:val="22"/>
                <w:szCs w:val="22"/>
              </w:rPr>
              <w:t>nt value and context.  We have five</w:t>
            </w:r>
            <w:r w:rsidRPr="003F06E6">
              <w:rPr>
                <w:rFonts w:ascii="Calibri" w:hAnsi="Calibri" w:cs="Calibri"/>
                <w:sz w:val="22"/>
                <w:szCs w:val="22"/>
              </w:rPr>
              <w:t xml:space="preserve"> safeguard principles that apply to all aid investments, this includes a principle of working effectively with partners, complying with partner country safeguard laws and policies and where possible, building partners’ capacity.</w:t>
            </w:r>
          </w:p>
          <w:p w14:paraId="3689B83B" w14:textId="66FFE4FF" w:rsidR="00A50F09" w:rsidRPr="003F06E6" w:rsidRDefault="003F06E6" w:rsidP="003F06E6">
            <w:pPr>
              <w:rPr>
                <w:rFonts w:ascii="Corbel" w:hAnsi="Corbel"/>
              </w:rPr>
            </w:pPr>
            <w:r w:rsidRPr="003F06E6">
              <w:rPr>
                <w:rFonts w:ascii="Calibri" w:hAnsi="Calibri" w:cs="Calibri"/>
                <w:sz w:val="22"/>
                <w:szCs w:val="22"/>
              </w:rPr>
              <w:t xml:space="preserve">The key lessons DFAT has identified in budget support programs is to negotiate upfront regarding policy intent, key objectives, any earmarking of DFAT’s funding, performance assessment framework, risk management and quality assurance, with clear governance mechanisms for ongoing decision making and monitoring and evaluation.  We’ve also learned that strategically placed technical assistance is also important particularly in procurement, infrastructure and </w:t>
            </w:r>
            <w:r w:rsidRPr="003F06E6">
              <w:rPr>
                <w:rFonts w:ascii="Calibri" w:hAnsi="Calibri" w:cs="Calibri"/>
                <w:sz w:val="22"/>
                <w:szCs w:val="22"/>
              </w:rPr>
              <w:lastRenderedPageBreak/>
              <w:t>finance to unblock inevitable bottlenecks in implementation, and to promote social inclusion (gender/disability).  DFAT wants to ensure partner governments have full ownership over budget support programs using their systems and DFAT’s ongoing role is in policy dialogue</w:t>
            </w:r>
            <w:r w:rsidR="009C5561">
              <w:rPr>
                <w:rFonts w:ascii="Calibri" w:hAnsi="Calibri" w:cs="Calibri"/>
                <w:sz w:val="22"/>
                <w:szCs w:val="22"/>
              </w:rPr>
              <w:t xml:space="preserve"> around key reforms, flexible technical assistance</w:t>
            </w:r>
            <w:r w:rsidRPr="003F06E6">
              <w:rPr>
                <w:rFonts w:ascii="Calibri" w:hAnsi="Calibri" w:cs="Calibri"/>
                <w:sz w:val="22"/>
                <w:szCs w:val="22"/>
              </w:rPr>
              <w:t xml:space="preserve"> support, while ensuring accountability and a focus on performance and results.</w:t>
            </w:r>
            <w:r>
              <w:rPr>
                <w:rFonts w:ascii="Corbel" w:hAnsi="Corbel"/>
              </w:rPr>
              <w:t> </w:t>
            </w:r>
          </w:p>
        </w:tc>
        <w:tc>
          <w:tcPr>
            <w:tcW w:w="752" w:type="pct"/>
            <w:shd w:val="clear" w:color="auto" w:fill="FFFFFF" w:themeFill="background1"/>
          </w:tcPr>
          <w:p w14:paraId="70691D69" w14:textId="77777777" w:rsidR="00A50F09" w:rsidRPr="003F06E6" w:rsidRDefault="00A50F09" w:rsidP="00C02346">
            <w:pPr>
              <w:pStyle w:val="Tablebullets"/>
              <w:numPr>
                <w:ilvl w:val="0"/>
                <w:numId w:val="0"/>
              </w:numPr>
              <w:spacing w:after="60"/>
              <w:rPr>
                <w:rFonts w:ascii="Calibri" w:hAnsi="Calibri" w:cs="Calibri"/>
                <w:sz w:val="22"/>
                <w:szCs w:val="22"/>
              </w:rPr>
            </w:pPr>
          </w:p>
        </w:tc>
      </w:tr>
      <w:tr w:rsidR="00A50F09" w:rsidRPr="003F06E6" w14:paraId="0F0CAF08" w14:textId="77777777" w:rsidTr="00A50F09">
        <w:tc>
          <w:tcPr>
            <w:tcW w:w="944" w:type="pct"/>
            <w:shd w:val="clear" w:color="auto" w:fill="FFFFFF" w:themeFill="background1"/>
          </w:tcPr>
          <w:p w14:paraId="36CB0B72" w14:textId="36736E14" w:rsidR="00A50F09" w:rsidRPr="003F06E6" w:rsidRDefault="00A50F09" w:rsidP="00477164">
            <w:pPr>
              <w:autoSpaceDE w:val="0"/>
              <w:autoSpaceDN w:val="0"/>
              <w:adjustRightInd w:val="0"/>
              <w:spacing w:after="60"/>
              <w:rPr>
                <w:rFonts w:ascii="Calibri" w:hAnsi="Calibri" w:cs="Calibri"/>
                <w:color w:val="000000"/>
                <w:sz w:val="22"/>
                <w:szCs w:val="22"/>
              </w:rPr>
            </w:pPr>
            <w:r w:rsidRPr="003F06E6">
              <w:rPr>
                <w:rFonts w:ascii="Calibri" w:hAnsi="Calibri" w:cs="Calibri"/>
                <w:i/>
                <w:sz w:val="22"/>
                <w:szCs w:val="22"/>
                <w:u w:val="single"/>
              </w:rPr>
              <w:t>Recommendation 8</w:t>
            </w:r>
            <w:r w:rsidRPr="003F06E6">
              <w:rPr>
                <w:rFonts w:ascii="Calibri" w:hAnsi="Calibri" w:cs="Calibri"/>
                <w:i/>
                <w:sz w:val="22"/>
                <w:szCs w:val="22"/>
              </w:rPr>
              <w:t>: Future recovery programs should define principles such as ‘build back better’ in locally relevant ways and confront the issue of pre-disaster decline.</w:t>
            </w:r>
          </w:p>
        </w:tc>
        <w:tc>
          <w:tcPr>
            <w:tcW w:w="1366" w:type="pct"/>
            <w:shd w:val="clear" w:color="auto" w:fill="auto"/>
          </w:tcPr>
          <w:p w14:paraId="2682D827" w14:textId="6E47C39E" w:rsidR="00A50F09" w:rsidRPr="003F06E6" w:rsidRDefault="00A50F09" w:rsidP="00477164">
            <w:pPr>
              <w:pStyle w:val="Heading3"/>
              <w:spacing w:before="0" w:after="60"/>
              <w:outlineLvl w:val="2"/>
              <w:rPr>
                <w:rFonts w:asciiTheme="minorHAnsi" w:hAnsiTheme="minorHAnsi" w:cstheme="minorHAnsi"/>
                <w:sz w:val="22"/>
                <w:szCs w:val="22"/>
              </w:rPr>
            </w:pPr>
            <w:r w:rsidRPr="003F06E6">
              <w:rPr>
                <w:rFonts w:asciiTheme="minorHAnsi" w:hAnsiTheme="minorHAnsi" w:cstheme="minorHAnsi"/>
                <w:color w:val="auto"/>
                <w:sz w:val="22"/>
                <w:szCs w:val="22"/>
              </w:rPr>
              <w:t>Principles such as ‘Build Back Better’ were not clearly defined in locally relevant ways</w:t>
            </w:r>
            <w:r w:rsidR="009C5561">
              <w:rPr>
                <w:rFonts w:asciiTheme="minorHAnsi" w:hAnsiTheme="minorHAnsi" w:cstheme="minorHAnsi"/>
                <w:color w:val="auto"/>
                <w:sz w:val="22"/>
                <w:szCs w:val="22"/>
              </w:rPr>
              <w:t>.</w:t>
            </w:r>
          </w:p>
        </w:tc>
        <w:tc>
          <w:tcPr>
            <w:tcW w:w="1938" w:type="pct"/>
            <w:shd w:val="clear" w:color="auto" w:fill="FFFFFF" w:themeFill="background1"/>
          </w:tcPr>
          <w:p w14:paraId="2BF85A5C" w14:textId="554A47AB" w:rsidR="008D5F9A" w:rsidRPr="003F06E6" w:rsidRDefault="00A50F09" w:rsidP="003F06E6">
            <w:pPr>
              <w:pStyle w:val="Table-normal-text"/>
              <w:spacing w:before="0"/>
              <w:contextualSpacing/>
              <w:rPr>
                <w:rFonts w:ascii="Calibri" w:hAnsi="Calibri" w:cs="Calibri"/>
                <w:sz w:val="22"/>
                <w:szCs w:val="22"/>
              </w:rPr>
            </w:pPr>
            <w:r w:rsidRPr="003F06E6">
              <w:rPr>
                <w:rFonts w:ascii="Calibri" w:hAnsi="Calibri" w:cs="Calibri"/>
                <w:b/>
                <w:sz w:val="22"/>
                <w:szCs w:val="22"/>
              </w:rPr>
              <w:t>Partially Agree:</w:t>
            </w:r>
            <w:r w:rsidRPr="003F06E6">
              <w:rPr>
                <w:rFonts w:ascii="Calibri" w:hAnsi="Calibri" w:cs="Calibri"/>
                <w:sz w:val="22"/>
                <w:szCs w:val="22"/>
              </w:rPr>
              <w:t xml:space="preserve"> </w:t>
            </w:r>
            <w:r w:rsidR="00544165" w:rsidRPr="003F06E6">
              <w:rPr>
                <w:rFonts w:ascii="Calibri" w:hAnsi="Calibri" w:cs="Calibri"/>
                <w:sz w:val="22"/>
                <w:szCs w:val="22"/>
              </w:rPr>
              <w:t>It is important that stakeholders understand that ‘build back better’ will often be more expensive. However it is unlikely that</w:t>
            </w:r>
            <w:r w:rsidR="003701AC" w:rsidRPr="003F06E6">
              <w:rPr>
                <w:rFonts w:ascii="Calibri" w:hAnsi="Calibri" w:cs="Calibri"/>
                <w:sz w:val="22"/>
                <w:szCs w:val="22"/>
              </w:rPr>
              <w:t xml:space="preserve"> an ex ante definition of ‘build back better’ will lead to fewer trade-offs between co</w:t>
            </w:r>
            <w:r w:rsidR="00EA6236" w:rsidRPr="003F06E6">
              <w:rPr>
                <w:rFonts w:ascii="Calibri" w:hAnsi="Calibri" w:cs="Calibri"/>
                <w:sz w:val="22"/>
                <w:szCs w:val="22"/>
              </w:rPr>
              <w:t>s</w:t>
            </w:r>
            <w:r w:rsidR="003701AC" w:rsidRPr="003F06E6">
              <w:rPr>
                <w:rFonts w:ascii="Calibri" w:hAnsi="Calibri" w:cs="Calibri"/>
                <w:sz w:val="22"/>
                <w:szCs w:val="22"/>
              </w:rPr>
              <w:t xml:space="preserve">t and scope. </w:t>
            </w:r>
            <w:r w:rsidR="00193297" w:rsidRPr="003F06E6">
              <w:rPr>
                <w:rFonts w:ascii="Calibri" w:hAnsi="Calibri" w:cs="Calibri"/>
                <w:sz w:val="22"/>
                <w:szCs w:val="22"/>
              </w:rPr>
              <w:t>Data from damage assessments</w:t>
            </w:r>
            <w:r w:rsidR="008D5F9A" w:rsidRPr="003F06E6">
              <w:rPr>
                <w:rFonts w:ascii="Calibri" w:hAnsi="Calibri" w:cs="Calibri"/>
                <w:sz w:val="22"/>
                <w:szCs w:val="22"/>
              </w:rPr>
              <w:t xml:space="preserve">, engineer’s specifications and construction cost estimates are important inputs to the final shape of a recovery package. </w:t>
            </w:r>
          </w:p>
          <w:p w14:paraId="7F813F0D" w14:textId="6924F5AC" w:rsidR="00A50F09" w:rsidRPr="003F06E6" w:rsidRDefault="00A50F09" w:rsidP="00A50F09">
            <w:pPr>
              <w:pStyle w:val="BodyText"/>
              <w:spacing w:after="60"/>
              <w:rPr>
                <w:rFonts w:ascii="Calibri" w:hAnsi="Calibri" w:cs="Calibri"/>
                <w:sz w:val="22"/>
                <w:szCs w:val="22"/>
              </w:rPr>
            </w:pPr>
          </w:p>
        </w:tc>
        <w:tc>
          <w:tcPr>
            <w:tcW w:w="752" w:type="pct"/>
            <w:shd w:val="clear" w:color="auto" w:fill="FFFFFF" w:themeFill="background1"/>
          </w:tcPr>
          <w:p w14:paraId="2EE129C8" w14:textId="5ED222D2" w:rsidR="00C53914" w:rsidRPr="003F06E6" w:rsidRDefault="00C53914" w:rsidP="00C02346">
            <w:pPr>
              <w:pStyle w:val="Tablebullets"/>
              <w:numPr>
                <w:ilvl w:val="0"/>
                <w:numId w:val="0"/>
              </w:numPr>
              <w:spacing w:after="60"/>
              <w:rPr>
                <w:rFonts w:ascii="Calibri" w:hAnsi="Calibri" w:cs="Calibri"/>
                <w:sz w:val="22"/>
                <w:szCs w:val="22"/>
              </w:rPr>
            </w:pPr>
            <w:r w:rsidRPr="003F06E6">
              <w:rPr>
                <w:rFonts w:ascii="Calibri" w:hAnsi="Calibri" w:cs="Calibri"/>
                <w:sz w:val="22"/>
                <w:szCs w:val="22"/>
              </w:rPr>
              <w:t>Port Vila post will engage with the Vanuatu Government to define a locally appropriate build back better definition by 1 March 2019.</w:t>
            </w:r>
          </w:p>
        </w:tc>
      </w:tr>
      <w:tr w:rsidR="00A50F09" w:rsidRPr="003F06E6" w14:paraId="08F7141F" w14:textId="77777777" w:rsidTr="00A50F09">
        <w:tc>
          <w:tcPr>
            <w:tcW w:w="944" w:type="pct"/>
            <w:shd w:val="clear" w:color="auto" w:fill="FFFFFF" w:themeFill="background1"/>
          </w:tcPr>
          <w:p w14:paraId="4DC5A22B" w14:textId="2432F8BA" w:rsidR="00A50F09" w:rsidRPr="003F06E6" w:rsidRDefault="00A50F09" w:rsidP="00FE4F0A">
            <w:pPr>
              <w:autoSpaceDE w:val="0"/>
              <w:autoSpaceDN w:val="0"/>
              <w:adjustRightInd w:val="0"/>
              <w:spacing w:after="60"/>
              <w:rPr>
                <w:rFonts w:asciiTheme="minorHAnsi" w:hAnsiTheme="minorHAnsi" w:cstheme="minorHAnsi"/>
                <w:color w:val="000000"/>
                <w:sz w:val="22"/>
                <w:szCs w:val="22"/>
              </w:rPr>
            </w:pPr>
            <w:r w:rsidRPr="003F06E6">
              <w:rPr>
                <w:rFonts w:asciiTheme="minorHAnsi" w:hAnsiTheme="minorHAnsi" w:cstheme="minorHAnsi"/>
                <w:i/>
                <w:sz w:val="22"/>
                <w:szCs w:val="22"/>
                <w:u w:val="single"/>
              </w:rPr>
              <w:t>Recommendation 2</w:t>
            </w:r>
            <w:r w:rsidRPr="003F06E6">
              <w:rPr>
                <w:rFonts w:asciiTheme="minorHAnsi" w:hAnsiTheme="minorHAnsi" w:cstheme="minorHAnsi"/>
                <w:i/>
                <w:sz w:val="22"/>
                <w:szCs w:val="22"/>
              </w:rPr>
              <w:t>: The AHC should work with DSPPAC to convene a reflection and review exercise that enables stakeholders to capture lessons for future recovery programs in Vanuatu.</w:t>
            </w:r>
          </w:p>
        </w:tc>
        <w:tc>
          <w:tcPr>
            <w:tcW w:w="1366" w:type="pct"/>
            <w:shd w:val="clear" w:color="auto" w:fill="auto"/>
          </w:tcPr>
          <w:p w14:paraId="31EB25B0" w14:textId="77777777" w:rsidR="00A50F09" w:rsidRPr="003F06E6" w:rsidRDefault="00A50F09" w:rsidP="00477164">
            <w:pPr>
              <w:pStyle w:val="Heading3"/>
              <w:spacing w:before="0" w:after="60"/>
              <w:outlineLvl w:val="2"/>
              <w:rPr>
                <w:rFonts w:asciiTheme="minorHAnsi" w:hAnsiTheme="minorHAnsi" w:cstheme="minorHAnsi"/>
                <w:color w:val="auto"/>
                <w:sz w:val="22"/>
                <w:szCs w:val="22"/>
              </w:rPr>
            </w:pPr>
          </w:p>
        </w:tc>
        <w:tc>
          <w:tcPr>
            <w:tcW w:w="1938" w:type="pct"/>
            <w:shd w:val="clear" w:color="auto" w:fill="FFFFFF" w:themeFill="background1"/>
          </w:tcPr>
          <w:p w14:paraId="2DFA5232" w14:textId="5BC825A9" w:rsidR="00A50F09" w:rsidRPr="003F06E6" w:rsidRDefault="00A50F09" w:rsidP="007F69E6">
            <w:pPr>
              <w:pStyle w:val="BodyText"/>
              <w:spacing w:after="60"/>
              <w:rPr>
                <w:rFonts w:asciiTheme="minorHAnsi" w:hAnsiTheme="minorHAnsi" w:cstheme="minorHAnsi"/>
                <w:sz w:val="22"/>
                <w:szCs w:val="22"/>
              </w:rPr>
            </w:pPr>
            <w:r w:rsidRPr="003F06E6">
              <w:rPr>
                <w:rFonts w:asciiTheme="minorHAnsi" w:hAnsiTheme="minorHAnsi" w:cstheme="minorHAnsi"/>
                <w:b/>
                <w:sz w:val="22"/>
                <w:szCs w:val="22"/>
              </w:rPr>
              <w:t>Agree:</w:t>
            </w:r>
            <w:r w:rsidRPr="003F06E6">
              <w:rPr>
                <w:rFonts w:asciiTheme="minorHAnsi" w:hAnsiTheme="minorHAnsi" w:cstheme="minorHAnsi"/>
                <w:sz w:val="22"/>
                <w:szCs w:val="22"/>
              </w:rPr>
              <w:t xml:space="preserve"> The findings of this evaluation will be shared with the Vanuatu Government’s National Recovery Committee for their consideration. Port Vila post will propose to DSPPAC that a reflection and review exercise is conducted with stakeholders.</w:t>
            </w:r>
          </w:p>
        </w:tc>
        <w:tc>
          <w:tcPr>
            <w:tcW w:w="752" w:type="pct"/>
            <w:shd w:val="clear" w:color="auto" w:fill="FFFFFF" w:themeFill="background1"/>
          </w:tcPr>
          <w:p w14:paraId="0B02E425" w14:textId="77777777" w:rsidR="00A50F09" w:rsidRPr="003F06E6" w:rsidRDefault="00A50F09" w:rsidP="00C02346">
            <w:pPr>
              <w:pStyle w:val="Tablebullets"/>
              <w:numPr>
                <w:ilvl w:val="0"/>
                <w:numId w:val="0"/>
              </w:numPr>
              <w:spacing w:after="60"/>
              <w:rPr>
                <w:rFonts w:asciiTheme="minorHAnsi" w:hAnsiTheme="minorHAnsi" w:cstheme="minorHAnsi"/>
                <w:sz w:val="22"/>
                <w:szCs w:val="22"/>
              </w:rPr>
            </w:pPr>
          </w:p>
        </w:tc>
      </w:tr>
      <w:tr w:rsidR="00A50F09" w:rsidRPr="003F06E6" w14:paraId="17E54EFC" w14:textId="77777777" w:rsidTr="00A50F09">
        <w:tc>
          <w:tcPr>
            <w:tcW w:w="944" w:type="pct"/>
            <w:shd w:val="clear" w:color="auto" w:fill="FFFFFF" w:themeFill="background1"/>
          </w:tcPr>
          <w:p w14:paraId="09CB90FA" w14:textId="5B38A519" w:rsidR="00A50F09" w:rsidRPr="003F06E6" w:rsidRDefault="00A50F09" w:rsidP="00477164">
            <w:pPr>
              <w:autoSpaceDE w:val="0"/>
              <w:autoSpaceDN w:val="0"/>
              <w:adjustRightInd w:val="0"/>
              <w:spacing w:after="60"/>
              <w:rPr>
                <w:rFonts w:asciiTheme="minorHAnsi" w:hAnsiTheme="minorHAnsi" w:cstheme="minorHAnsi"/>
                <w:color w:val="000000"/>
                <w:sz w:val="22"/>
                <w:szCs w:val="22"/>
              </w:rPr>
            </w:pPr>
            <w:r w:rsidRPr="003F06E6">
              <w:rPr>
                <w:rFonts w:asciiTheme="minorHAnsi" w:hAnsiTheme="minorHAnsi" w:cstheme="minorHAnsi"/>
                <w:i/>
                <w:sz w:val="22"/>
                <w:szCs w:val="22"/>
                <w:u w:val="single"/>
              </w:rPr>
              <w:t>Recommendation 4</w:t>
            </w:r>
            <w:r w:rsidRPr="003F06E6">
              <w:rPr>
                <w:rFonts w:asciiTheme="minorHAnsi" w:hAnsiTheme="minorHAnsi" w:cstheme="minorHAnsi"/>
                <w:i/>
                <w:sz w:val="22"/>
                <w:szCs w:val="22"/>
              </w:rPr>
              <w:t>: DFAT should offer technical support to GoV to strengthen the NRC, given its likely role in future recovery efforts.</w:t>
            </w:r>
          </w:p>
        </w:tc>
        <w:tc>
          <w:tcPr>
            <w:tcW w:w="1366" w:type="pct"/>
            <w:shd w:val="clear" w:color="auto" w:fill="auto"/>
          </w:tcPr>
          <w:p w14:paraId="618584A2" w14:textId="77777777" w:rsidR="00A50F09" w:rsidRPr="003F06E6" w:rsidRDefault="00A50F09" w:rsidP="00477164">
            <w:pPr>
              <w:pStyle w:val="Heading3"/>
              <w:spacing w:before="0" w:after="60"/>
              <w:outlineLvl w:val="2"/>
              <w:rPr>
                <w:rFonts w:asciiTheme="minorHAnsi" w:hAnsiTheme="minorHAnsi" w:cstheme="minorHAnsi"/>
                <w:color w:val="auto"/>
                <w:sz w:val="22"/>
                <w:szCs w:val="22"/>
              </w:rPr>
            </w:pPr>
          </w:p>
        </w:tc>
        <w:tc>
          <w:tcPr>
            <w:tcW w:w="1938" w:type="pct"/>
            <w:shd w:val="clear" w:color="auto" w:fill="FFFFFF" w:themeFill="background1"/>
          </w:tcPr>
          <w:p w14:paraId="5F047EF2" w14:textId="77777777" w:rsidR="00A50F09" w:rsidRPr="003F06E6" w:rsidRDefault="00A50F09">
            <w:pPr>
              <w:pStyle w:val="BodyText"/>
              <w:spacing w:after="60"/>
              <w:rPr>
                <w:rFonts w:asciiTheme="minorHAnsi" w:hAnsiTheme="minorHAnsi" w:cstheme="minorHAnsi"/>
                <w:sz w:val="22"/>
                <w:szCs w:val="22"/>
              </w:rPr>
            </w:pPr>
            <w:r w:rsidRPr="003F06E6">
              <w:rPr>
                <w:rFonts w:asciiTheme="minorHAnsi" w:hAnsiTheme="minorHAnsi" w:cstheme="minorHAnsi"/>
                <w:b/>
                <w:sz w:val="22"/>
                <w:szCs w:val="22"/>
              </w:rPr>
              <w:t>Partially Agree:</w:t>
            </w:r>
            <w:r w:rsidRPr="003F06E6">
              <w:rPr>
                <w:rFonts w:asciiTheme="minorHAnsi" w:hAnsiTheme="minorHAnsi" w:cstheme="minorHAnsi"/>
                <w:sz w:val="22"/>
                <w:szCs w:val="22"/>
              </w:rPr>
              <w:t xml:space="preserve"> The PMO has the responsibility to oversee and coordinate recovery work. </w:t>
            </w:r>
          </w:p>
          <w:p w14:paraId="1F94C376" w14:textId="121E2D1E" w:rsidR="00A50F09" w:rsidRPr="003F06E6" w:rsidRDefault="00A50F09">
            <w:pPr>
              <w:pStyle w:val="BodyText"/>
              <w:spacing w:after="60"/>
              <w:rPr>
                <w:rFonts w:asciiTheme="minorHAnsi" w:hAnsiTheme="minorHAnsi" w:cstheme="minorHAnsi"/>
                <w:sz w:val="22"/>
                <w:szCs w:val="22"/>
              </w:rPr>
            </w:pPr>
            <w:r w:rsidRPr="003F06E6">
              <w:rPr>
                <w:rFonts w:asciiTheme="minorHAnsi" w:hAnsiTheme="minorHAnsi" w:cstheme="minorHAnsi"/>
                <w:sz w:val="22"/>
                <w:szCs w:val="22"/>
              </w:rPr>
              <w:t xml:space="preserve">Post provides a range of technical support to the PMO through the Governance for Growth Program (GfG), and will continue </w:t>
            </w:r>
            <w:r w:rsidRPr="003F06E6">
              <w:rPr>
                <w:rFonts w:asciiTheme="minorHAnsi" w:hAnsiTheme="minorHAnsi" w:cstheme="minorHAnsi"/>
                <w:sz w:val="22"/>
                <w:szCs w:val="22"/>
              </w:rPr>
              <w:lastRenderedPageBreak/>
              <w:t xml:space="preserve">to offer support to the PMO and not only the National Recovery Committee. </w:t>
            </w:r>
          </w:p>
          <w:p w14:paraId="291B3B11" w14:textId="65516AB7" w:rsidR="00A50F09" w:rsidRPr="003F06E6" w:rsidRDefault="00A50F09" w:rsidP="0023359C">
            <w:pPr>
              <w:pStyle w:val="BodyText"/>
              <w:spacing w:after="60"/>
              <w:rPr>
                <w:rFonts w:asciiTheme="minorHAnsi" w:hAnsiTheme="minorHAnsi" w:cstheme="minorHAnsi"/>
                <w:sz w:val="22"/>
                <w:szCs w:val="22"/>
              </w:rPr>
            </w:pPr>
            <w:r w:rsidRPr="003F06E6">
              <w:rPr>
                <w:rFonts w:asciiTheme="minorHAnsi" w:hAnsiTheme="minorHAnsi" w:cstheme="minorHAnsi"/>
                <w:sz w:val="22"/>
                <w:szCs w:val="22"/>
              </w:rPr>
              <w:t>DFAT notes that disaster response and recovery are Government-led in Vanuatu and support would be based on mutual agreement around GoV needs</w:t>
            </w:r>
            <w:r w:rsidR="009C5561">
              <w:rPr>
                <w:rFonts w:asciiTheme="minorHAnsi" w:hAnsiTheme="minorHAnsi" w:cstheme="minorHAnsi"/>
                <w:sz w:val="22"/>
                <w:szCs w:val="22"/>
              </w:rPr>
              <w:t>.</w:t>
            </w:r>
            <w:r w:rsidRPr="003F06E6" w:rsidDel="00E70085">
              <w:rPr>
                <w:rFonts w:asciiTheme="minorHAnsi" w:hAnsiTheme="minorHAnsi" w:cstheme="minorHAnsi"/>
                <w:sz w:val="22"/>
                <w:szCs w:val="22"/>
              </w:rPr>
              <w:t xml:space="preserve"> </w:t>
            </w:r>
          </w:p>
        </w:tc>
        <w:tc>
          <w:tcPr>
            <w:tcW w:w="752" w:type="pct"/>
            <w:shd w:val="clear" w:color="auto" w:fill="FFFFFF" w:themeFill="background1"/>
          </w:tcPr>
          <w:p w14:paraId="1E860E75" w14:textId="77777777" w:rsidR="00A50F09" w:rsidRPr="003F06E6" w:rsidRDefault="00A50F09" w:rsidP="00C02346">
            <w:pPr>
              <w:pStyle w:val="Tablebullets"/>
              <w:numPr>
                <w:ilvl w:val="0"/>
                <w:numId w:val="0"/>
              </w:numPr>
              <w:spacing w:after="60"/>
              <w:rPr>
                <w:rFonts w:asciiTheme="minorHAnsi" w:hAnsiTheme="minorHAnsi" w:cstheme="minorHAnsi"/>
                <w:sz w:val="22"/>
                <w:szCs w:val="22"/>
              </w:rPr>
            </w:pPr>
          </w:p>
        </w:tc>
      </w:tr>
      <w:tr w:rsidR="00A50F09" w:rsidRPr="003F06E6" w14:paraId="0A195713" w14:textId="77777777" w:rsidTr="00A50F09">
        <w:tc>
          <w:tcPr>
            <w:tcW w:w="944" w:type="pct"/>
            <w:shd w:val="clear" w:color="auto" w:fill="FFFFFF" w:themeFill="background1"/>
          </w:tcPr>
          <w:p w14:paraId="5313E107" w14:textId="77777777" w:rsidR="00A50F09" w:rsidRPr="003F06E6" w:rsidRDefault="00A50F09" w:rsidP="00477164">
            <w:pPr>
              <w:autoSpaceDE w:val="0"/>
              <w:autoSpaceDN w:val="0"/>
              <w:adjustRightInd w:val="0"/>
              <w:spacing w:after="60"/>
              <w:rPr>
                <w:rFonts w:asciiTheme="minorHAnsi" w:hAnsiTheme="minorHAnsi" w:cstheme="minorHAnsi"/>
                <w:color w:val="000000"/>
                <w:sz w:val="22"/>
                <w:szCs w:val="22"/>
              </w:rPr>
            </w:pPr>
            <w:r w:rsidRPr="003F06E6">
              <w:rPr>
                <w:rFonts w:asciiTheme="minorHAnsi" w:hAnsiTheme="minorHAnsi" w:cstheme="minorHAnsi"/>
                <w:i/>
                <w:sz w:val="22"/>
                <w:szCs w:val="22"/>
                <w:u w:val="single"/>
              </w:rPr>
              <w:t>Recommendation 6</w:t>
            </w:r>
            <w:r w:rsidRPr="003F06E6">
              <w:rPr>
                <w:rFonts w:asciiTheme="minorHAnsi" w:hAnsiTheme="minorHAnsi" w:cstheme="minorHAnsi"/>
                <w:i/>
                <w:sz w:val="22"/>
                <w:szCs w:val="22"/>
              </w:rPr>
              <w:t>: DFAT could support GoV to review recovery program procurement, with a view to developing provisions that enable more efficient tender processes.</w:t>
            </w:r>
          </w:p>
        </w:tc>
        <w:tc>
          <w:tcPr>
            <w:tcW w:w="1366" w:type="pct"/>
            <w:shd w:val="clear" w:color="auto" w:fill="auto"/>
          </w:tcPr>
          <w:p w14:paraId="3CACAE52" w14:textId="141F4F8B" w:rsidR="00A50F09" w:rsidRPr="003F06E6" w:rsidRDefault="00A50F09" w:rsidP="00477164">
            <w:pPr>
              <w:pStyle w:val="Heading3"/>
              <w:spacing w:before="0" w:after="60"/>
              <w:outlineLvl w:val="2"/>
              <w:rPr>
                <w:rFonts w:asciiTheme="minorHAnsi" w:hAnsiTheme="minorHAnsi" w:cstheme="minorHAnsi"/>
                <w:sz w:val="22"/>
                <w:szCs w:val="22"/>
              </w:rPr>
            </w:pPr>
            <w:r w:rsidRPr="003F06E6">
              <w:rPr>
                <w:rFonts w:asciiTheme="minorHAnsi" w:hAnsiTheme="minorHAnsi" w:cstheme="minorHAnsi"/>
                <w:color w:val="auto"/>
                <w:sz w:val="22"/>
                <w:szCs w:val="22"/>
              </w:rPr>
              <w:t>Tendering was a bottleneck in implementation, which suggests the need for additional resources for the Central Tender Board (CTB) and/or provisions that enable more efficient tenders during recovery operations.</w:t>
            </w:r>
          </w:p>
        </w:tc>
        <w:tc>
          <w:tcPr>
            <w:tcW w:w="1938" w:type="pct"/>
            <w:shd w:val="clear" w:color="auto" w:fill="FFFFFF" w:themeFill="background1"/>
          </w:tcPr>
          <w:p w14:paraId="224692DC" w14:textId="2AF7D65F" w:rsidR="00A50F09" w:rsidRPr="003F06E6" w:rsidRDefault="00A50F09" w:rsidP="008B78A9">
            <w:pPr>
              <w:pStyle w:val="BodyText"/>
              <w:spacing w:after="60"/>
              <w:rPr>
                <w:rFonts w:asciiTheme="minorHAnsi" w:hAnsiTheme="minorHAnsi" w:cstheme="minorHAnsi"/>
                <w:sz w:val="22"/>
                <w:szCs w:val="22"/>
              </w:rPr>
            </w:pPr>
            <w:r w:rsidRPr="003F06E6">
              <w:rPr>
                <w:rFonts w:asciiTheme="minorHAnsi" w:hAnsiTheme="minorHAnsi" w:cstheme="minorHAnsi"/>
                <w:b/>
                <w:sz w:val="22"/>
                <w:szCs w:val="22"/>
              </w:rPr>
              <w:t>Partially Agree:</w:t>
            </w:r>
            <w:r w:rsidRPr="003F06E6">
              <w:rPr>
                <w:rFonts w:asciiTheme="minorHAnsi" w:hAnsiTheme="minorHAnsi" w:cstheme="minorHAnsi"/>
                <w:sz w:val="22"/>
                <w:szCs w:val="22"/>
              </w:rPr>
              <w:t xml:space="preserve"> The GoV has established an emergency procurement rule for times of humanitarian crisis but this has not been consistently applied in time of disasters.</w:t>
            </w:r>
            <w:r w:rsidRPr="003F06E6" w:rsidDel="002A1F7A">
              <w:rPr>
                <w:rFonts w:asciiTheme="minorHAnsi" w:hAnsiTheme="minorHAnsi" w:cstheme="minorHAnsi"/>
                <w:sz w:val="22"/>
                <w:szCs w:val="22"/>
              </w:rPr>
              <w:t xml:space="preserve"> </w:t>
            </w:r>
            <w:r w:rsidRPr="003F06E6">
              <w:rPr>
                <w:rFonts w:asciiTheme="minorHAnsi" w:hAnsiTheme="minorHAnsi" w:cstheme="minorHAnsi"/>
                <w:sz w:val="22"/>
                <w:szCs w:val="22"/>
              </w:rPr>
              <w:t xml:space="preserve">The initial focus needs to be on improving the efficiency of the CTB under normal operating conditions, as recommended by the 2018 Assessment of National Systems. Following this, a more informed view of recovery specific needs can be formed, balancing the need for value-for-money and probity that the CTB is designed to underpin. DFAT, through the GfG, has planned support to the CTB, which includes a review of the procurement documentation for further streamlining, as well as updating the database for all tenders. </w:t>
            </w:r>
          </w:p>
        </w:tc>
        <w:tc>
          <w:tcPr>
            <w:tcW w:w="752" w:type="pct"/>
            <w:shd w:val="clear" w:color="auto" w:fill="FFFFFF" w:themeFill="background1"/>
          </w:tcPr>
          <w:p w14:paraId="33FCF394" w14:textId="77777777" w:rsidR="00A50F09" w:rsidRPr="003F06E6" w:rsidRDefault="00A50F09" w:rsidP="00C02346">
            <w:pPr>
              <w:pStyle w:val="Tablebullets"/>
              <w:numPr>
                <w:ilvl w:val="0"/>
                <w:numId w:val="0"/>
              </w:numPr>
              <w:spacing w:after="60"/>
              <w:rPr>
                <w:rFonts w:asciiTheme="minorHAnsi" w:hAnsiTheme="minorHAnsi" w:cstheme="minorHAnsi"/>
                <w:sz w:val="22"/>
                <w:szCs w:val="22"/>
              </w:rPr>
            </w:pPr>
          </w:p>
        </w:tc>
      </w:tr>
      <w:tr w:rsidR="00A50F09" w:rsidRPr="00935A84" w14:paraId="3FB0C96F" w14:textId="77777777" w:rsidTr="00A50F09">
        <w:tc>
          <w:tcPr>
            <w:tcW w:w="944" w:type="pct"/>
            <w:shd w:val="clear" w:color="auto" w:fill="FFFFFF" w:themeFill="background1"/>
          </w:tcPr>
          <w:p w14:paraId="092E335F" w14:textId="77777777" w:rsidR="00A50F09" w:rsidRPr="003F06E6" w:rsidRDefault="00A50F09" w:rsidP="00477164">
            <w:pPr>
              <w:autoSpaceDE w:val="0"/>
              <w:autoSpaceDN w:val="0"/>
              <w:adjustRightInd w:val="0"/>
              <w:spacing w:after="60"/>
              <w:rPr>
                <w:rFonts w:asciiTheme="minorHAnsi" w:hAnsiTheme="minorHAnsi" w:cstheme="minorHAnsi"/>
                <w:color w:val="000000"/>
                <w:sz w:val="22"/>
                <w:szCs w:val="22"/>
              </w:rPr>
            </w:pPr>
            <w:r w:rsidRPr="003F06E6">
              <w:rPr>
                <w:rFonts w:asciiTheme="minorHAnsi" w:hAnsiTheme="minorHAnsi" w:cstheme="minorHAnsi"/>
                <w:i/>
                <w:sz w:val="22"/>
                <w:szCs w:val="22"/>
                <w:u w:val="single"/>
              </w:rPr>
              <w:t>Recommendation 7</w:t>
            </w:r>
            <w:r w:rsidRPr="003F06E6">
              <w:rPr>
                <w:rFonts w:asciiTheme="minorHAnsi" w:hAnsiTheme="minorHAnsi" w:cstheme="minorHAnsi"/>
                <w:i/>
                <w:sz w:val="22"/>
                <w:szCs w:val="22"/>
              </w:rPr>
              <w:t>: AHC-GoV should consider augmenting CTB capacity during future recovery programs involving significant procurement through GoV systems.</w:t>
            </w:r>
          </w:p>
        </w:tc>
        <w:tc>
          <w:tcPr>
            <w:tcW w:w="1366" w:type="pct"/>
            <w:shd w:val="clear" w:color="auto" w:fill="auto"/>
          </w:tcPr>
          <w:p w14:paraId="4C757138" w14:textId="70F76829" w:rsidR="00A50F09" w:rsidRPr="003F06E6" w:rsidRDefault="00A50F09" w:rsidP="00477164">
            <w:pPr>
              <w:pStyle w:val="Heading3"/>
              <w:spacing w:before="0" w:after="60"/>
              <w:outlineLvl w:val="2"/>
              <w:rPr>
                <w:rFonts w:asciiTheme="minorHAnsi" w:hAnsiTheme="minorHAnsi" w:cstheme="minorHAnsi"/>
                <w:sz w:val="22"/>
                <w:szCs w:val="22"/>
              </w:rPr>
            </w:pPr>
            <w:r w:rsidRPr="003F06E6">
              <w:rPr>
                <w:rFonts w:asciiTheme="minorHAnsi" w:hAnsiTheme="minorHAnsi" w:cstheme="minorHAnsi"/>
                <w:color w:val="auto"/>
                <w:sz w:val="22"/>
                <w:szCs w:val="22"/>
              </w:rPr>
              <w:t>Tendering was a bottleneck in implementation, which suggests the need for additional resources for the Central Tender Board (CTB) and/or provisions that enable more efficient tenders during recovery operations.</w:t>
            </w:r>
          </w:p>
        </w:tc>
        <w:tc>
          <w:tcPr>
            <w:tcW w:w="1938" w:type="pct"/>
            <w:shd w:val="clear" w:color="auto" w:fill="FFFFFF" w:themeFill="background1"/>
          </w:tcPr>
          <w:p w14:paraId="237CE8F0" w14:textId="582CCCAE" w:rsidR="00A50F09" w:rsidRPr="00935A84" w:rsidRDefault="00A50F09" w:rsidP="0023359C">
            <w:pPr>
              <w:pStyle w:val="BodyText"/>
              <w:spacing w:after="60"/>
              <w:rPr>
                <w:rFonts w:asciiTheme="minorHAnsi" w:hAnsiTheme="minorHAnsi" w:cstheme="minorHAnsi"/>
                <w:sz w:val="22"/>
                <w:szCs w:val="22"/>
              </w:rPr>
            </w:pPr>
            <w:r w:rsidRPr="003F06E6">
              <w:rPr>
                <w:rFonts w:asciiTheme="minorHAnsi" w:hAnsiTheme="minorHAnsi" w:cstheme="minorHAnsi"/>
                <w:b/>
                <w:sz w:val="22"/>
                <w:szCs w:val="22"/>
              </w:rPr>
              <w:t>Partially Agree:</w:t>
            </w:r>
            <w:r w:rsidRPr="003F06E6">
              <w:rPr>
                <w:rFonts w:asciiTheme="minorHAnsi" w:hAnsiTheme="minorHAnsi" w:cstheme="minorHAnsi"/>
                <w:sz w:val="22"/>
                <w:szCs w:val="22"/>
              </w:rPr>
              <w:t xml:space="preserve"> To be done on a case-by-case only basis depending on the nature and scale of the recovery; noting that in normal times the CTB is under-resourced. Support will need to complement ongoing assistance already provided under recommendation 6 above.</w:t>
            </w:r>
          </w:p>
        </w:tc>
        <w:tc>
          <w:tcPr>
            <w:tcW w:w="752" w:type="pct"/>
            <w:shd w:val="clear" w:color="auto" w:fill="FFFFFF" w:themeFill="background1"/>
          </w:tcPr>
          <w:p w14:paraId="66D976D5" w14:textId="77777777" w:rsidR="00A50F09" w:rsidRPr="00935A84" w:rsidRDefault="00A50F09" w:rsidP="00C02346">
            <w:pPr>
              <w:pStyle w:val="Tablebullets"/>
              <w:numPr>
                <w:ilvl w:val="0"/>
                <w:numId w:val="0"/>
              </w:numPr>
              <w:spacing w:after="60"/>
              <w:rPr>
                <w:rFonts w:asciiTheme="minorHAnsi" w:hAnsiTheme="minorHAnsi" w:cstheme="minorHAnsi"/>
                <w:sz w:val="22"/>
                <w:szCs w:val="22"/>
              </w:rPr>
            </w:pPr>
          </w:p>
        </w:tc>
      </w:tr>
    </w:tbl>
    <w:p w14:paraId="7C2C6B0E" w14:textId="77777777" w:rsidR="000D2440" w:rsidRPr="00C02346" w:rsidRDefault="000D2440" w:rsidP="000D2440">
      <w:pPr>
        <w:pStyle w:val="Table-normal-text"/>
        <w:spacing w:before="0"/>
        <w:contextualSpacing/>
        <w:rPr>
          <w:rFonts w:ascii="Calibri" w:hAnsi="Calibri" w:cs="Calibri"/>
          <w:sz w:val="22"/>
        </w:rPr>
      </w:pPr>
    </w:p>
    <w:sectPr w:rsidR="000D2440" w:rsidRPr="00C02346" w:rsidSect="00C02346">
      <w:pgSz w:w="16838" w:h="11906" w:orient="landscape"/>
      <w:pgMar w:top="1134" w:right="1135" w:bottom="1274" w:left="851" w:header="284"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C9ACC" w14:textId="77777777" w:rsidR="007F4917" w:rsidRDefault="007F4917" w:rsidP="00E2054F">
      <w:r>
        <w:separator/>
      </w:r>
    </w:p>
  </w:endnote>
  <w:endnote w:type="continuationSeparator" w:id="0">
    <w:p w14:paraId="262636AB" w14:textId="77777777" w:rsidR="007F4917" w:rsidRDefault="007F4917" w:rsidP="00E2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96F8F" w14:textId="77777777" w:rsidR="00527245" w:rsidRDefault="005272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528371"/>
      <w:docPartObj>
        <w:docPartGallery w:val="Page Numbers (Bottom of Page)"/>
        <w:docPartUnique/>
      </w:docPartObj>
    </w:sdtPr>
    <w:sdtEndPr>
      <w:rPr>
        <w:rFonts w:asciiTheme="minorHAnsi" w:hAnsiTheme="minorHAnsi" w:cstheme="minorHAnsi"/>
        <w:noProof/>
        <w:sz w:val="20"/>
      </w:rPr>
    </w:sdtEndPr>
    <w:sdtContent>
      <w:p w14:paraId="13605F67" w14:textId="596A640F" w:rsidR="00143F5A" w:rsidRPr="009C5213" w:rsidRDefault="00143F5A">
        <w:pPr>
          <w:pStyle w:val="Footer"/>
          <w:jc w:val="right"/>
          <w:rPr>
            <w:rFonts w:asciiTheme="minorHAnsi" w:hAnsiTheme="minorHAnsi" w:cstheme="minorHAnsi"/>
            <w:sz w:val="20"/>
          </w:rPr>
        </w:pPr>
        <w:r w:rsidRPr="009C5213">
          <w:rPr>
            <w:rFonts w:asciiTheme="minorHAnsi" w:hAnsiTheme="minorHAnsi" w:cstheme="minorHAnsi"/>
            <w:sz w:val="20"/>
          </w:rPr>
          <w:fldChar w:fldCharType="begin"/>
        </w:r>
        <w:r w:rsidRPr="009C5213">
          <w:rPr>
            <w:rFonts w:asciiTheme="minorHAnsi" w:hAnsiTheme="minorHAnsi" w:cstheme="minorHAnsi"/>
            <w:sz w:val="20"/>
          </w:rPr>
          <w:instrText xml:space="preserve"> PAGE   \* MERGEFORMAT </w:instrText>
        </w:r>
        <w:r w:rsidRPr="009C5213">
          <w:rPr>
            <w:rFonts w:asciiTheme="minorHAnsi" w:hAnsiTheme="minorHAnsi" w:cstheme="minorHAnsi"/>
            <w:sz w:val="20"/>
          </w:rPr>
          <w:fldChar w:fldCharType="separate"/>
        </w:r>
        <w:r w:rsidR="00527245">
          <w:rPr>
            <w:rFonts w:asciiTheme="minorHAnsi" w:hAnsiTheme="minorHAnsi" w:cstheme="minorHAnsi"/>
            <w:noProof/>
            <w:sz w:val="20"/>
          </w:rPr>
          <w:t>3</w:t>
        </w:r>
        <w:r w:rsidRPr="009C5213">
          <w:rPr>
            <w:rFonts w:asciiTheme="minorHAnsi" w:hAnsiTheme="minorHAnsi" w:cstheme="minorHAnsi"/>
            <w:noProof/>
            <w:sz w:val="20"/>
          </w:rPr>
          <w:fldChar w:fldCharType="end"/>
        </w:r>
      </w:p>
    </w:sdtContent>
  </w:sdt>
  <w:p w14:paraId="7338B207" w14:textId="77777777" w:rsidR="00143F5A" w:rsidRPr="009C5213" w:rsidRDefault="00143F5A" w:rsidP="009C5213">
    <w:pPr>
      <w:pStyle w:val="Header"/>
      <w:jc w:val="center"/>
      <w:rPr>
        <w:rFonts w:asciiTheme="minorHAnsi" w:hAnsiTheme="minorHAnsi" w:cstheme="minorHAnsi"/>
      </w:rPr>
    </w:pPr>
    <w:r w:rsidRPr="009C5213">
      <w:rPr>
        <w:rFonts w:asciiTheme="minorHAnsi" w:hAnsiTheme="minorHAnsi" w:cstheme="minorHAnsi"/>
        <w:sz w:val="22"/>
      </w:rPr>
      <w:t>UNCLASSIFIED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AE773" w14:textId="77777777" w:rsidR="00527245" w:rsidRDefault="00527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0E2A0" w14:textId="77777777" w:rsidR="007F4917" w:rsidRDefault="007F4917" w:rsidP="00E2054F">
      <w:r>
        <w:separator/>
      </w:r>
    </w:p>
  </w:footnote>
  <w:footnote w:type="continuationSeparator" w:id="0">
    <w:p w14:paraId="4DBBD136" w14:textId="77777777" w:rsidR="007F4917" w:rsidRDefault="007F4917" w:rsidP="00E20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13FB9" w14:textId="77777777" w:rsidR="00527245" w:rsidRDefault="005272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094C9" w14:textId="6E5BF2D7" w:rsidR="00143F5A" w:rsidRPr="009C5213" w:rsidRDefault="00143F5A" w:rsidP="009C5213">
    <w:pPr>
      <w:pStyle w:val="Header"/>
      <w:jc w:val="center"/>
      <w:rPr>
        <w:rFonts w:asciiTheme="minorHAnsi" w:hAnsiTheme="minorHAnsi" w:cstheme="minorHAnsi"/>
        <w:sz w:val="22"/>
      </w:rPr>
    </w:pPr>
    <w:r w:rsidRPr="009C5213">
      <w:rPr>
        <w:rFonts w:asciiTheme="minorHAnsi" w:hAnsiTheme="minorHAnsi" w:cstheme="minorHAnsi"/>
        <w:sz w:val="22"/>
      </w:rPr>
      <w:t>UNCLASSIFIED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A7B17" w14:textId="77777777" w:rsidR="00527245" w:rsidRDefault="005272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E4EB6"/>
    <w:multiLevelType w:val="hybridMultilevel"/>
    <w:tmpl w:val="FA9E25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A12574"/>
    <w:multiLevelType w:val="hybridMultilevel"/>
    <w:tmpl w:val="68142938"/>
    <w:lvl w:ilvl="0" w:tplc="96CA2F14">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A69219D"/>
    <w:multiLevelType w:val="hybridMultilevel"/>
    <w:tmpl w:val="7700BAD0"/>
    <w:lvl w:ilvl="0" w:tplc="A3EE65D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097697"/>
    <w:multiLevelType w:val="hybridMultilevel"/>
    <w:tmpl w:val="47423080"/>
    <w:lvl w:ilvl="0" w:tplc="106099A4">
      <w:start w:val="1"/>
      <w:numFmt w:val="bullet"/>
      <w:pStyle w:val="Bullets"/>
      <w:lvlText w:val=""/>
      <w:lvlJc w:val="left"/>
      <w:pPr>
        <w:tabs>
          <w:tab w:val="num" w:pos="1814"/>
        </w:tabs>
        <w:ind w:left="1814" w:hanging="37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B57D0B"/>
    <w:multiLevelType w:val="hybridMultilevel"/>
    <w:tmpl w:val="E6AE28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587B10"/>
    <w:multiLevelType w:val="hybridMultilevel"/>
    <w:tmpl w:val="EE86536C"/>
    <w:lvl w:ilvl="0" w:tplc="39FE300E">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3B106E"/>
    <w:multiLevelType w:val="multilevel"/>
    <w:tmpl w:val="E63AF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2B1139F"/>
    <w:multiLevelType w:val="hybridMultilevel"/>
    <w:tmpl w:val="BFB61CC0"/>
    <w:lvl w:ilvl="0" w:tplc="538ED9A8">
      <w:start w:val="1"/>
      <w:numFmt w:val="bullet"/>
      <w:lvlText w:val=""/>
      <w:lvlJc w:val="left"/>
      <w:pPr>
        <w:tabs>
          <w:tab w:val="num" w:pos="720"/>
        </w:tabs>
        <w:ind w:left="720" w:hanging="360"/>
      </w:pPr>
      <w:rPr>
        <w:rFonts w:ascii="Wingdings 2" w:hAnsi="Wingdings 2" w:hint="default"/>
      </w:rPr>
    </w:lvl>
    <w:lvl w:ilvl="1" w:tplc="C466FCBC">
      <w:start w:val="1"/>
      <w:numFmt w:val="bullet"/>
      <w:lvlText w:val=""/>
      <w:lvlJc w:val="left"/>
      <w:pPr>
        <w:tabs>
          <w:tab w:val="num" w:pos="1440"/>
        </w:tabs>
        <w:ind w:left="1440" w:hanging="360"/>
      </w:pPr>
      <w:rPr>
        <w:rFonts w:ascii="Wingdings 2" w:hAnsi="Wingdings 2" w:hint="default"/>
      </w:rPr>
    </w:lvl>
    <w:lvl w:ilvl="2" w:tplc="797604FC" w:tentative="1">
      <w:start w:val="1"/>
      <w:numFmt w:val="bullet"/>
      <w:lvlText w:val=""/>
      <w:lvlJc w:val="left"/>
      <w:pPr>
        <w:tabs>
          <w:tab w:val="num" w:pos="2160"/>
        </w:tabs>
        <w:ind w:left="2160" w:hanging="360"/>
      </w:pPr>
      <w:rPr>
        <w:rFonts w:ascii="Wingdings 2" w:hAnsi="Wingdings 2" w:hint="default"/>
      </w:rPr>
    </w:lvl>
    <w:lvl w:ilvl="3" w:tplc="71C07758" w:tentative="1">
      <w:start w:val="1"/>
      <w:numFmt w:val="bullet"/>
      <w:lvlText w:val=""/>
      <w:lvlJc w:val="left"/>
      <w:pPr>
        <w:tabs>
          <w:tab w:val="num" w:pos="2880"/>
        </w:tabs>
        <w:ind w:left="2880" w:hanging="360"/>
      </w:pPr>
      <w:rPr>
        <w:rFonts w:ascii="Wingdings 2" w:hAnsi="Wingdings 2" w:hint="default"/>
      </w:rPr>
    </w:lvl>
    <w:lvl w:ilvl="4" w:tplc="E2A20830" w:tentative="1">
      <w:start w:val="1"/>
      <w:numFmt w:val="bullet"/>
      <w:lvlText w:val=""/>
      <w:lvlJc w:val="left"/>
      <w:pPr>
        <w:tabs>
          <w:tab w:val="num" w:pos="3600"/>
        </w:tabs>
        <w:ind w:left="3600" w:hanging="360"/>
      </w:pPr>
      <w:rPr>
        <w:rFonts w:ascii="Wingdings 2" w:hAnsi="Wingdings 2" w:hint="default"/>
      </w:rPr>
    </w:lvl>
    <w:lvl w:ilvl="5" w:tplc="8A10EB92" w:tentative="1">
      <w:start w:val="1"/>
      <w:numFmt w:val="bullet"/>
      <w:lvlText w:val=""/>
      <w:lvlJc w:val="left"/>
      <w:pPr>
        <w:tabs>
          <w:tab w:val="num" w:pos="4320"/>
        </w:tabs>
        <w:ind w:left="4320" w:hanging="360"/>
      </w:pPr>
      <w:rPr>
        <w:rFonts w:ascii="Wingdings 2" w:hAnsi="Wingdings 2" w:hint="default"/>
      </w:rPr>
    </w:lvl>
    <w:lvl w:ilvl="6" w:tplc="CEBA60EC" w:tentative="1">
      <w:start w:val="1"/>
      <w:numFmt w:val="bullet"/>
      <w:lvlText w:val=""/>
      <w:lvlJc w:val="left"/>
      <w:pPr>
        <w:tabs>
          <w:tab w:val="num" w:pos="5040"/>
        </w:tabs>
        <w:ind w:left="5040" w:hanging="360"/>
      </w:pPr>
      <w:rPr>
        <w:rFonts w:ascii="Wingdings 2" w:hAnsi="Wingdings 2" w:hint="default"/>
      </w:rPr>
    </w:lvl>
    <w:lvl w:ilvl="7" w:tplc="A6D2476E" w:tentative="1">
      <w:start w:val="1"/>
      <w:numFmt w:val="bullet"/>
      <w:lvlText w:val=""/>
      <w:lvlJc w:val="left"/>
      <w:pPr>
        <w:tabs>
          <w:tab w:val="num" w:pos="5760"/>
        </w:tabs>
        <w:ind w:left="5760" w:hanging="360"/>
      </w:pPr>
      <w:rPr>
        <w:rFonts w:ascii="Wingdings 2" w:hAnsi="Wingdings 2" w:hint="default"/>
      </w:rPr>
    </w:lvl>
    <w:lvl w:ilvl="8" w:tplc="C646DD6E"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22D04E29"/>
    <w:multiLevelType w:val="hybridMultilevel"/>
    <w:tmpl w:val="A456E0F6"/>
    <w:lvl w:ilvl="0" w:tplc="0C090001">
      <w:start w:val="1"/>
      <w:numFmt w:val="bullet"/>
      <w:lvlText w:val=""/>
      <w:lvlJc w:val="left"/>
      <w:pPr>
        <w:ind w:left="720" w:hanging="360"/>
      </w:pPr>
      <w:rPr>
        <w:rFonts w:ascii="Symbol" w:hAnsi="Symbol" w:hint="default"/>
        <w:color w:val="CF5D2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442C6D"/>
    <w:multiLevelType w:val="hybridMultilevel"/>
    <w:tmpl w:val="1FD44984"/>
    <w:lvl w:ilvl="0" w:tplc="A53EC748">
      <w:start w:val="7"/>
      <w:numFmt w:val="decimal"/>
      <w:lvlText w:val="%1."/>
      <w:lvlJc w:val="left"/>
      <w:pPr>
        <w:tabs>
          <w:tab w:val="num" w:pos="720"/>
        </w:tabs>
        <w:ind w:left="720" w:hanging="360"/>
      </w:pPr>
    </w:lvl>
    <w:lvl w:ilvl="1" w:tplc="8CE21C3C" w:tentative="1">
      <w:start w:val="1"/>
      <w:numFmt w:val="decimal"/>
      <w:lvlText w:val="%2."/>
      <w:lvlJc w:val="left"/>
      <w:pPr>
        <w:tabs>
          <w:tab w:val="num" w:pos="1440"/>
        </w:tabs>
        <w:ind w:left="1440" w:hanging="360"/>
      </w:pPr>
    </w:lvl>
    <w:lvl w:ilvl="2" w:tplc="6A629AE6" w:tentative="1">
      <w:start w:val="1"/>
      <w:numFmt w:val="decimal"/>
      <w:lvlText w:val="%3."/>
      <w:lvlJc w:val="left"/>
      <w:pPr>
        <w:tabs>
          <w:tab w:val="num" w:pos="2160"/>
        </w:tabs>
        <w:ind w:left="2160" w:hanging="360"/>
      </w:pPr>
    </w:lvl>
    <w:lvl w:ilvl="3" w:tplc="DD0E0DE4" w:tentative="1">
      <w:start w:val="1"/>
      <w:numFmt w:val="decimal"/>
      <w:lvlText w:val="%4."/>
      <w:lvlJc w:val="left"/>
      <w:pPr>
        <w:tabs>
          <w:tab w:val="num" w:pos="2880"/>
        </w:tabs>
        <w:ind w:left="2880" w:hanging="360"/>
      </w:pPr>
    </w:lvl>
    <w:lvl w:ilvl="4" w:tplc="52EA5CBC" w:tentative="1">
      <w:start w:val="1"/>
      <w:numFmt w:val="decimal"/>
      <w:lvlText w:val="%5."/>
      <w:lvlJc w:val="left"/>
      <w:pPr>
        <w:tabs>
          <w:tab w:val="num" w:pos="3600"/>
        </w:tabs>
        <w:ind w:left="3600" w:hanging="360"/>
      </w:pPr>
    </w:lvl>
    <w:lvl w:ilvl="5" w:tplc="F4E23D7C" w:tentative="1">
      <w:start w:val="1"/>
      <w:numFmt w:val="decimal"/>
      <w:lvlText w:val="%6."/>
      <w:lvlJc w:val="left"/>
      <w:pPr>
        <w:tabs>
          <w:tab w:val="num" w:pos="4320"/>
        </w:tabs>
        <w:ind w:left="4320" w:hanging="360"/>
      </w:pPr>
    </w:lvl>
    <w:lvl w:ilvl="6" w:tplc="496E6444" w:tentative="1">
      <w:start w:val="1"/>
      <w:numFmt w:val="decimal"/>
      <w:lvlText w:val="%7."/>
      <w:lvlJc w:val="left"/>
      <w:pPr>
        <w:tabs>
          <w:tab w:val="num" w:pos="5040"/>
        </w:tabs>
        <w:ind w:left="5040" w:hanging="360"/>
      </w:pPr>
    </w:lvl>
    <w:lvl w:ilvl="7" w:tplc="11949E70" w:tentative="1">
      <w:start w:val="1"/>
      <w:numFmt w:val="decimal"/>
      <w:lvlText w:val="%8."/>
      <w:lvlJc w:val="left"/>
      <w:pPr>
        <w:tabs>
          <w:tab w:val="num" w:pos="5760"/>
        </w:tabs>
        <w:ind w:left="5760" w:hanging="360"/>
      </w:pPr>
    </w:lvl>
    <w:lvl w:ilvl="8" w:tplc="ABF2D8EE" w:tentative="1">
      <w:start w:val="1"/>
      <w:numFmt w:val="decimal"/>
      <w:lvlText w:val="%9."/>
      <w:lvlJc w:val="left"/>
      <w:pPr>
        <w:tabs>
          <w:tab w:val="num" w:pos="6480"/>
        </w:tabs>
        <w:ind w:left="6480" w:hanging="360"/>
      </w:pPr>
    </w:lvl>
  </w:abstractNum>
  <w:abstractNum w:abstractNumId="10" w15:restartNumberingAfterBreak="0">
    <w:nsid w:val="3D7A1F35"/>
    <w:multiLevelType w:val="hybridMultilevel"/>
    <w:tmpl w:val="C5CE046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D96632A"/>
    <w:multiLevelType w:val="hybridMultilevel"/>
    <w:tmpl w:val="5E00B7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0A293C"/>
    <w:multiLevelType w:val="hybridMultilevel"/>
    <w:tmpl w:val="7E586AE4"/>
    <w:lvl w:ilvl="0" w:tplc="3B521914">
      <w:start w:val="1"/>
      <w:numFmt w:val="lowerRoman"/>
      <w:lvlText w:val="%1)"/>
      <w:lvlJc w:val="left"/>
      <w:pPr>
        <w:ind w:left="1146" w:hanging="720"/>
      </w:p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0C09000F">
      <w:start w:val="1"/>
      <w:numFmt w:val="decimal"/>
      <w:lvlText w:val="%4."/>
      <w:lvlJc w:val="left"/>
      <w:pPr>
        <w:ind w:left="2946" w:hanging="360"/>
      </w:pPr>
    </w:lvl>
    <w:lvl w:ilvl="4" w:tplc="0C090019">
      <w:start w:val="1"/>
      <w:numFmt w:val="lowerLetter"/>
      <w:lvlText w:val="%5."/>
      <w:lvlJc w:val="left"/>
      <w:pPr>
        <w:ind w:left="3666" w:hanging="360"/>
      </w:pPr>
    </w:lvl>
    <w:lvl w:ilvl="5" w:tplc="0C09001B">
      <w:start w:val="1"/>
      <w:numFmt w:val="lowerRoman"/>
      <w:lvlText w:val="%6."/>
      <w:lvlJc w:val="right"/>
      <w:pPr>
        <w:ind w:left="4386" w:hanging="180"/>
      </w:pPr>
    </w:lvl>
    <w:lvl w:ilvl="6" w:tplc="0C09000F">
      <w:start w:val="1"/>
      <w:numFmt w:val="decimal"/>
      <w:lvlText w:val="%7."/>
      <w:lvlJc w:val="left"/>
      <w:pPr>
        <w:ind w:left="5106" w:hanging="360"/>
      </w:pPr>
    </w:lvl>
    <w:lvl w:ilvl="7" w:tplc="0C090019">
      <w:start w:val="1"/>
      <w:numFmt w:val="lowerLetter"/>
      <w:lvlText w:val="%8."/>
      <w:lvlJc w:val="left"/>
      <w:pPr>
        <w:ind w:left="5826" w:hanging="360"/>
      </w:pPr>
    </w:lvl>
    <w:lvl w:ilvl="8" w:tplc="0C09001B">
      <w:start w:val="1"/>
      <w:numFmt w:val="lowerRoman"/>
      <w:lvlText w:val="%9."/>
      <w:lvlJc w:val="right"/>
      <w:pPr>
        <w:ind w:left="6546" w:hanging="180"/>
      </w:pPr>
    </w:lvl>
  </w:abstractNum>
  <w:abstractNum w:abstractNumId="13" w15:restartNumberingAfterBreak="0">
    <w:nsid w:val="3F0B433B"/>
    <w:multiLevelType w:val="hybridMultilevel"/>
    <w:tmpl w:val="E6AE28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0AA6AD8"/>
    <w:multiLevelType w:val="hybridMultilevel"/>
    <w:tmpl w:val="3D26332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2156456"/>
    <w:multiLevelType w:val="hybridMultilevel"/>
    <w:tmpl w:val="EAEC0A2C"/>
    <w:lvl w:ilvl="0" w:tplc="BBA42190">
      <w:start w:val="5"/>
      <w:numFmt w:val="decimal"/>
      <w:lvlText w:val="%1."/>
      <w:lvlJc w:val="left"/>
      <w:pPr>
        <w:tabs>
          <w:tab w:val="num" w:pos="720"/>
        </w:tabs>
        <w:ind w:left="720" w:hanging="360"/>
      </w:pPr>
    </w:lvl>
    <w:lvl w:ilvl="1" w:tplc="0CAA5430" w:tentative="1">
      <w:start w:val="1"/>
      <w:numFmt w:val="decimal"/>
      <w:lvlText w:val="%2."/>
      <w:lvlJc w:val="left"/>
      <w:pPr>
        <w:tabs>
          <w:tab w:val="num" w:pos="1440"/>
        </w:tabs>
        <w:ind w:left="1440" w:hanging="360"/>
      </w:pPr>
    </w:lvl>
    <w:lvl w:ilvl="2" w:tplc="4C724ABA" w:tentative="1">
      <w:start w:val="1"/>
      <w:numFmt w:val="decimal"/>
      <w:lvlText w:val="%3."/>
      <w:lvlJc w:val="left"/>
      <w:pPr>
        <w:tabs>
          <w:tab w:val="num" w:pos="2160"/>
        </w:tabs>
        <w:ind w:left="2160" w:hanging="360"/>
      </w:pPr>
    </w:lvl>
    <w:lvl w:ilvl="3" w:tplc="15385ACA" w:tentative="1">
      <w:start w:val="1"/>
      <w:numFmt w:val="decimal"/>
      <w:lvlText w:val="%4."/>
      <w:lvlJc w:val="left"/>
      <w:pPr>
        <w:tabs>
          <w:tab w:val="num" w:pos="2880"/>
        </w:tabs>
        <w:ind w:left="2880" w:hanging="360"/>
      </w:pPr>
    </w:lvl>
    <w:lvl w:ilvl="4" w:tplc="89089FF0" w:tentative="1">
      <w:start w:val="1"/>
      <w:numFmt w:val="decimal"/>
      <w:lvlText w:val="%5."/>
      <w:lvlJc w:val="left"/>
      <w:pPr>
        <w:tabs>
          <w:tab w:val="num" w:pos="3600"/>
        </w:tabs>
        <w:ind w:left="3600" w:hanging="360"/>
      </w:pPr>
    </w:lvl>
    <w:lvl w:ilvl="5" w:tplc="6A04A2DA" w:tentative="1">
      <w:start w:val="1"/>
      <w:numFmt w:val="decimal"/>
      <w:lvlText w:val="%6."/>
      <w:lvlJc w:val="left"/>
      <w:pPr>
        <w:tabs>
          <w:tab w:val="num" w:pos="4320"/>
        </w:tabs>
        <w:ind w:left="4320" w:hanging="360"/>
      </w:pPr>
    </w:lvl>
    <w:lvl w:ilvl="6" w:tplc="3248456A" w:tentative="1">
      <w:start w:val="1"/>
      <w:numFmt w:val="decimal"/>
      <w:lvlText w:val="%7."/>
      <w:lvlJc w:val="left"/>
      <w:pPr>
        <w:tabs>
          <w:tab w:val="num" w:pos="5040"/>
        </w:tabs>
        <w:ind w:left="5040" w:hanging="360"/>
      </w:pPr>
    </w:lvl>
    <w:lvl w:ilvl="7" w:tplc="43F2EAC2" w:tentative="1">
      <w:start w:val="1"/>
      <w:numFmt w:val="decimal"/>
      <w:lvlText w:val="%8."/>
      <w:lvlJc w:val="left"/>
      <w:pPr>
        <w:tabs>
          <w:tab w:val="num" w:pos="5760"/>
        </w:tabs>
        <w:ind w:left="5760" w:hanging="360"/>
      </w:pPr>
    </w:lvl>
    <w:lvl w:ilvl="8" w:tplc="CD42EACC" w:tentative="1">
      <w:start w:val="1"/>
      <w:numFmt w:val="decimal"/>
      <w:lvlText w:val="%9."/>
      <w:lvlJc w:val="left"/>
      <w:pPr>
        <w:tabs>
          <w:tab w:val="num" w:pos="6480"/>
        </w:tabs>
        <w:ind w:left="6480" w:hanging="360"/>
      </w:pPr>
    </w:lvl>
  </w:abstractNum>
  <w:abstractNum w:abstractNumId="16" w15:restartNumberingAfterBreak="0">
    <w:nsid w:val="43F01F3B"/>
    <w:multiLevelType w:val="hybridMultilevel"/>
    <w:tmpl w:val="D840CE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61672E6"/>
    <w:multiLevelType w:val="hybridMultilevel"/>
    <w:tmpl w:val="56BE2E74"/>
    <w:lvl w:ilvl="0" w:tplc="89E485AE">
      <w:numFmt w:val="bullet"/>
      <w:lvlText w:val="•"/>
      <w:lvlJc w:val="left"/>
      <w:pPr>
        <w:ind w:left="413" w:hanging="284"/>
      </w:pPr>
      <w:rPr>
        <w:rFonts w:ascii="Cambria" w:eastAsia="Cambria" w:hAnsi="Cambria" w:cs="Cambria" w:hint="default"/>
        <w:w w:val="104"/>
        <w:sz w:val="16"/>
        <w:szCs w:val="16"/>
      </w:rPr>
    </w:lvl>
    <w:lvl w:ilvl="1" w:tplc="DC4045CE">
      <w:numFmt w:val="bullet"/>
      <w:lvlText w:val="•"/>
      <w:lvlJc w:val="left"/>
      <w:pPr>
        <w:ind w:left="950" w:hanging="284"/>
      </w:pPr>
      <w:rPr>
        <w:rFonts w:hint="default"/>
      </w:rPr>
    </w:lvl>
    <w:lvl w:ilvl="2" w:tplc="804A1104">
      <w:numFmt w:val="bullet"/>
      <w:lvlText w:val="•"/>
      <w:lvlJc w:val="left"/>
      <w:pPr>
        <w:ind w:left="1480" w:hanging="284"/>
      </w:pPr>
      <w:rPr>
        <w:rFonts w:hint="default"/>
      </w:rPr>
    </w:lvl>
    <w:lvl w:ilvl="3" w:tplc="31FE522A">
      <w:numFmt w:val="bullet"/>
      <w:lvlText w:val="•"/>
      <w:lvlJc w:val="left"/>
      <w:pPr>
        <w:ind w:left="2011" w:hanging="284"/>
      </w:pPr>
      <w:rPr>
        <w:rFonts w:hint="default"/>
      </w:rPr>
    </w:lvl>
    <w:lvl w:ilvl="4" w:tplc="8FD0BE08">
      <w:numFmt w:val="bullet"/>
      <w:lvlText w:val="•"/>
      <w:lvlJc w:val="left"/>
      <w:pPr>
        <w:ind w:left="2541" w:hanging="284"/>
      </w:pPr>
      <w:rPr>
        <w:rFonts w:hint="default"/>
      </w:rPr>
    </w:lvl>
    <w:lvl w:ilvl="5" w:tplc="D4626CC4">
      <w:numFmt w:val="bullet"/>
      <w:lvlText w:val="•"/>
      <w:lvlJc w:val="left"/>
      <w:pPr>
        <w:ind w:left="3072" w:hanging="284"/>
      </w:pPr>
      <w:rPr>
        <w:rFonts w:hint="default"/>
      </w:rPr>
    </w:lvl>
    <w:lvl w:ilvl="6" w:tplc="2978601E">
      <w:numFmt w:val="bullet"/>
      <w:lvlText w:val="•"/>
      <w:lvlJc w:val="left"/>
      <w:pPr>
        <w:ind w:left="3602" w:hanging="284"/>
      </w:pPr>
      <w:rPr>
        <w:rFonts w:hint="default"/>
      </w:rPr>
    </w:lvl>
    <w:lvl w:ilvl="7" w:tplc="D682EAD8">
      <w:numFmt w:val="bullet"/>
      <w:lvlText w:val="•"/>
      <w:lvlJc w:val="left"/>
      <w:pPr>
        <w:ind w:left="4133" w:hanging="284"/>
      </w:pPr>
      <w:rPr>
        <w:rFonts w:hint="default"/>
      </w:rPr>
    </w:lvl>
    <w:lvl w:ilvl="8" w:tplc="258831AA">
      <w:numFmt w:val="bullet"/>
      <w:lvlText w:val="•"/>
      <w:lvlJc w:val="left"/>
      <w:pPr>
        <w:ind w:left="4663" w:hanging="284"/>
      </w:pPr>
      <w:rPr>
        <w:rFonts w:hint="default"/>
      </w:rPr>
    </w:lvl>
  </w:abstractNum>
  <w:abstractNum w:abstractNumId="18" w15:restartNumberingAfterBreak="0">
    <w:nsid w:val="482A253F"/>
    <w:multiLevelType w:val="hybridMultilevel"/>
    <w:tmpl w:val="14B240D8"/>
    <w:lvl w:ilvl="0" w:tplc="2F6C9104">
      <w:start w:val="1"/>
      <w:numFmt w:val="decimal"/>
      <w:lvlText w:val="%1."/>
      <w:lvlJc w:val="left"/>
      <w:pPr>
        <w:tabs>
          <w:tab w:val="num" w:pos="720"/>
        </w:tabs>
        <w:ind w:left="720" w:hanging="360"/>
      </w:pPr>
    </w:lvl>
    <w:lvl w:ilvl="1" w:tplc="B2E0B26C" w:tentative="1">
      <w:start w:val="1"/>
      <w:numFmt w:val="decimal"/>
      <w:lvlText w:val="%2."/>
      <w:lvlJc w:val="left"/>
      <w:pPr>
        <w:tabs>
          <w:tab w:val="num" w:pos="1440"/>
        </w:tabs>
        <w:ind w:left="1440" w:hanging="360"/>
      </w:pPr>
    </w:lvl>
    <w:lvl w:ilvl="2" w:tplc="738E80DA" w:tentative="1">
      <w:start w:val="1"/>
      <w:numFmt w:val="decimal"/>
      <w:lvlText w:val="%3."/>
      <w:lvlJc w:val="left"/>
      <w:pPr>
        <w:tabs>
          <w:tab w:val="num" w:pos="2160"/>
        </w:tabs>
        <w:ind w:left="2160" w:hanging="360"/>
      </w:pPr>
    </w:lvl>
    <w:lvl w:ilvl="3" w:tplc="A984D412" w:tentative="1">
      <w:start w:val="1"/>
      <w:numFmt w:val="decimal"/>
      <w:lvlText w:val="%4."/>
      <w:lvlJc w:val="left"/>
      <w:pPr>
        <w:tabs>
          <w:tab w:val="num" w:pos="2880"/>
        </w:tabs>
        <w:ind w:left="2880" w:hanging="360"/>
      </w:pPr>
    </w:lvl>
    <w:lvl w:ilvl="4" w:tplc="5D64448E" w:tentative="1">
      <w:start w:val="1"/>
      <w:numFmt w:val="decimal"/>
      <w:lvlText w:val="%5."/>
      <w:lvlJc w:val="left"/>
      <w:pPr>
        <w:tabs>
          <w:tab w:val="num" w:pos="3600"/>
        </w:tabs>
        <w:ind w:left="3600" w:hanging="360"/>
      </w:pPr>
    </w:lvl>
    <w:lvl w:ilvl="5" w:tplc="63D0A8C2" w:tentative="1">
      <w:start w:val="1"/>
      <w:numFmt w:val="decimal"/>
      <w:lvlText w:val="%6."/>
      <w:lvlJc w:val="left"/>
      <w:pPr>
        <w:tabs>
          <w:tab w:val="num" w:pos="4320"/>
        </w:tabs>
        <w:ind w:left="4320" w:hanging="360"/>
      </w:pPr>
    </w:lvl>
    <w:lvl w:ilvl="6" w:tplc="8FE00048" w:tentative="1">
      <w:start w:val="1"/>
      <w:numFmt w:val="decimal"/>
      <w:lvlText w:val="%7."/>
      <w:lvlJc w:val="left"/>
      <w:pPr>
        <w:tabs>
          <w:tab w:val="num" w:pos="5040"/>
        </w:tabs>
        <w:ind w:left="5040" w:hanging="360"/>
      </w:pPr>
    </w:lvl>
    <w:lvl w:ilvl="7" w:tplc="3BFA5F24" w:tentative="1">
      <w:start w:val="1"/>
      <w:numFmt w:val="decimal"/>
      <w:lvlText w:val="%8."/>
      <w:lvlJc w:val="left"/>
      <w:pPr>
        <w:tabs>
          <w:tab w:val="num" w:pos="5760"/>
        </w:tabs>
        <w:ind w:left="5760" w:hanging="360"/>
      </w:pPr>
    </w:lvl>
    <w:lvl w:ilvl="8" w:tplc="71FC7582" w:tentative="1">
      <w:start w:val="1"/>
      <w:numFmt w:val="decimal"/>
      <w:lvlText w:val="%9."/>
      <w:lvlJc w:val="left"/>
      <w:pPr>
        <w:tabs>
          <w:tab w:val="num" w:pos="6480"/>
        </w:tabs>
        <w:ind w:left="6480" w:hanging="360"/>
      </w:pPr>
    </w:lvl>
  </w:abstractNum>
  <w:abstractNum w:abstractNumId="19" w15:restartNumberingAfterBreak="0">
    <w:nsid w:val="4D085FE4"/>
    <w:multiLevelType w:val="hybridMultilevel"/>
    <w:tmpl w:val="E9121D24"/>
    <w:lvl w:ilvl="0" w:tplc="4D4E0DEE">
      <w:start w:val="1"/>
      <w:numFmt w:val="decimal"/>
      <w:lvlText w:val="%1."/>
      <w:lvlJc w:val="left"/>
      <w:pPr>
        <w:tabs>
          <w:tab w:val="num" w:pos="720"/>
        </w:tabs>
        <w:ind w:left="720" w:hanging="360"/>
      </w:pPr>
    </w:lvl>
    <w:lvl w:ilvl="1" w:tplc="BA5C0C6A" w:tentative="1">
      <w:start w:val="1"/>
      <w:numFmt w:val="decimal"/>
      <w:lvlText w:val="%2."/>
      <w:lvlJc w:val="left"/>
      <w:pPr>
        <w:tabs>
          <w:tab w:val="num" w:pos="1440"/>
        </w:tabs>
        <w:ind w:left="1440" w:hanging="360"/>
      </w:pPr>
    </w:lvl>
    <w:lvl w:ilvl="2" w:tplc="90FEDEB6" w:tentative="1">
      <w:start w:val="1"/>
      <w:numFmt w:val="decimal"/>
      <w:lvlText w:val="%3."/>
      <w:lvlJc w:val="left"/>
      <w:pPr>
        <w:tabs>
          <w:tab w:val="num" w:pos="2160"/>
        </w:tabs>
        <w:ind w:left="2160" w:hanging="360"/>
      </w:pPr>
    </w:lvl>
    <w:lvl w:ilvl="3" w:tplc="910A9C98" w:tentative="1">
      <w:start w:val="1"/>
      <w:numFmt w:val="decimal"/>
      <w:lvlText w:val="%4."/>
      <w:lvlJc w:val="left"/>
      <w:pPr>
        <w:tabs>
          <w:tab w:val="num" w:pos="2880"/>
        </w:tabs>
        <w:ind w:left="2880" w:hanging="360"/>
      </w:pPr>
    </w:lvl>
    <w:lvl w:ilvl="4" w:tplc="E81068A2" w:tentative="1">
      <w:start w:val="1"/>
      <w:numFmt w:val="decimal"/>
      <w:lvlText w:val="%5."/>
      <w:lvlJc w:val="left"/>
      <w:pPr>
        <w:tabs>
          <w:tab w:val="num" w:pos="3600"/>
        </w:tabs>
        <w:ind w:left="3600" w:hanging="360"/>
      </w:pPr>
    </w:lvl>
    <w:lvl w:ilvl="5" w:tplc="94445A68" w:tentative="1">
      <w:start w:val="1"/>
      <w:numFmt w:val="decimal"/>
      <w:lvlText w:val="%6."/>
      <w:lvlJc w:val="left"/>
      <w:pPr>
        <w:tabs>
          <w:tab w:val="num" w:pos="4320"/>
        </w:tabs>
        <w:ind w:left="4320" w:hanging="360"/>
      </w:pPr>
    </w:lvl>
    <w:lvl w:ilvl="6" w:tplc="B6764DD0" w:tentative="1">
      <w:start w:val="1"/>
      <w:numFmt w:val="decimal"/>
      <w:lvlText w:val="%7."/>
      <w:lvlJc w:val="left"/>
      <w:pPr>
        <w:tabs>
          <w:tab w:val="num" w:pos="5040"/>
        </w:tabs>
        <w:ind w:left="5040" w:hanging="360"/>
      </w:pPr>
    </w:lvl>
    <w:lvl w:ilvl="7" w:tplc="82A42E22" w:tentative="1">
      <w:start w:val="1"/>
      <w:numFmt w:val="decimal"/>
      <w:lvlText w:val="%8."/>
      <w:lvlJc w:val="left"/>
      <w:pPr>
        <w:tabs>
          <w:tab w:val="num" w:pos="5760"/>
        </w:tabs>
        <w:ind w:left="5760" w:hanging="360"/>
      </w:pPr>
    </w:lvl>
    <w:lvl w:ilvl="8" w:tplc="3D346F3C" w:tentative="1">
      <w:start w:val="1"/>
      <w:numFmt w:val="decimal"/>
      <w:lvlText w:val="%9."/>
      <w:lvlJc w:val="left"/>
      <w:pPr>
        <w:tabs>
          <w:tab w:val="num" w:pos="6480"/>
        </w:tabs>
        <w:ind w:left="6480" w:hanging="360"/>
      </w:pPr>
    </w:lvl>
  </w:abstractNum>
  <w:abstractNum w:abstractNumId="20" w15:restartNumberingAfterBreak="0">
    <w:nsid w:val="54C30FAA"/>
    <w:multiLevelType w:val="hybridMultilevel"/>
    <w:tmpl w:val="D30AD7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7A17430"/>
    <w:multiLevelType w:val="hybridMultilevel"/>
    <w:tmpl w:val="6332FE52"/>
    <w:lvl w:ilvl="0" w:tplc="E410DCE0">
      <w:start w:val="17"/>
      <w:numFmt w:val="bullet"/>
      <w:lvlText w:val="-"/>
      <w:lvlJc w:val="left"/>
      <w:pPr>
        <w:ind w:left="360" w:hanging="360"/>
      </w:pPr>
      <w:rPr>
        <w:rFonts w:ascii="Calibri" w:eastAsia="Times New Roman"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CF15360"/>
    <w:multiLevelType w:val="hybridMultilevel"/>
    <w:tmpl w:val="944A7086"/>
    <w:lvl w:ilvl="0" w:tplc="2EF8325C">
      <w:start w:val="1"/>
      <w:numFmt w:val="decimal"/>
      <w:lvlText w:val="%1."/>
      <w:lvlJc w:val="left"/>
      <w:pPr>
        <w:tabs>
          <w:tab w:val="num" w:pos="720"/>
        </w:tabs>
        <w:ind w:left="720" w:hanging="360"/>
      </w:pPr>
    </w:lvl>
    <w:lvl w:ilvl="1" w:tplc="560EEED6" w:tentative="1">
      <w:start w:val="1"/>
      <w:numFmt w:val="decimal"/>
      <w:lvlText w:val="%2."/>
      <w:lvlJc w:val="left"/>
      <w:pPr>
        <w:tabs>
          <w:tab w:val="num" w:pos="1440"/>
        </w:tabs>
        <w:ind w:left="1440" w:hanging="360"/>
      </w:pPr>
    </w:lvl>
    <w:lvl w:ilvl="2" w:tplc="1D3033DC" w:tentative="1">
      <w:start w:val="1"/>
      <w:numFmt w:val="decimal"/>
      <w:lvlText w:val="%3."/>
      <w:lvlJc w:val="left"/>
      <w:pPr>
        <w:tabs>
          <w:tab w:val="num" w:pos="2160"/>
        </w:tabs>
        <w:ind w:left="2160" w:hanging="360"/>
      </w:pPr>
    </w:lvl>
    <w:lvl w:ilvl="3" w:tplc="F288FA86" w:tentative="1">
      <w:start w:val="1"/>
      <w:numFmt w:val="decimal"/>
      <w:lvlText w:val="%4."/>
      <w:lvlJc w:val="left"/>
      <w:pPr>
        <w:tabs>
          <w:tab w:val="num" w:pos="2880"/>
        </w:tabs>
        <w:ind w:left="2880" w:hanging="360"/>
      </w:pPr>
    </w:lvl>
    <w:lvl w:ilvl="4" w:tplc="69D47D20" w:tentative="1">
      <w:start w:val="1"/>
      <w:numFmt w:val="decimal"/>
      <w:lvlText w:val="%5."/>
      <w:lvlJc w:val="left"/>
      <w:pPr>
        <w:tabs>
          <w:tab w:val="num" w:pos="3600"/>
        </w:tabs>
        <w:ind w:left="3600" w:hanging="360"/>
      </w:pPr>
    </w:lvl>
    <w:lvl w:ilvl="5" w:tplc="CB006616" w:tentative="1">
      <w:start w:val="1"/>
      <w:numFmt w:val="decimal"/>
      <w:lvlText w:val="%6."/>
      <w:lvlJc w:val="left"/>
      <w:pPr>
        <w:tabs>
          <w:tab w:val="num" w:pos="4320"/>
        </w:tabs>
        <w:ind w:left="4320" w:hanging="360"/>
      </w:pPr>
    </w:lvl>
    <w:lvl w:ilvl="6" w:tplc="F06E7018" w:tentative="1">
      <w:start w:val="1"/>
      <w:numFmt w:val="decimal"/>
      <w:lvlText w:val="%7."/>
      <w:lvlJc w:val="left"/>
      <w:pPr>
        <w:tabs>
          <w:tab w:val="num" w:pos="5040"/>
        </w:tabs>
        <w:ind w:left="5040" w:hanging="360"/>
      </w:pPr>
    </w:lvl>
    <w:lvl w:ilvl="7" w:tplc="A89631B4" w:tentative="1">
      <w:start w:val="1"/>
      <w:numFmt w:val="decimal"/>
      <w:lvlText w:val="%8."/>
      <w:lvlJc w:val="left"/>
      <w:pPr>
        <w:tabs>
          <w:tab w:val="num" w:pos="5760"/>
        </w:tabs>
        <w:ind w:left="5760" w:hanging="360"/>
      </w:pPr>
    </w:lvl>
    <w:lvl w:ilvl="8" w:tplc="33884E18" w:tentative="1">
      <w:start w:val="1"/>
      <w:numFmt w:val="decimal"/>
      <w:lvlText w:val="%9."/>
      <w:lvlJc w:val="left"/>
      <w:pPr>
        <w:tabs>
          <w:tab w:val="num" w:pos="6480"/>
        </w:tabs>
        <w:ind w:left="6480" w:hanging="360"/>
      </w:pPr>
    </w:lvl>
  </w:abstractNum>
  <w:abstractNum w:abstractNumId="23" w15:restartNumberingAfterBreak="0">
    <w:nsid w:val="5D56043A"/>
    <w:multiLevelType w:val="multilevel"/>
    <w:tmpl w:val="69AEB596"/>
    <w:numStyleLink w:val="BulletsList"/>
  </w:abstractNum>
  <w:abstractNum w:abstractNumId="24" w15:restartNumberingAfterBreak="0">
    <w:nsid w:val="69B63C42"/>
    <w:multiLevelType w:val="hybridMultilevel"/>
    <w:tmpl w:val="6B38D86A"/>
    <w:lvl w:ilvl="0" w:tplc="181079A2">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6A3DDD"/>
    <w:multiLevelType w:val="hybridMultilevel"/>
    <w:tmpl w:val="D652A5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4F81BD" w:themeColor="accent1"/>
      </w:rPr>
    </w:lvl>
    <w:lvl w:ilvl="1">
      <w:start w:val="1"/>
      <w:numFmt w:val="bullet"/>
      <w:pStyle w:val="Bullet2"/>
      <w:lvlText w:val="–"/>
      <w:lvlJc w:val="left"/>
      <w:pPr>
        <w:tabs>
          <w:tab w:val="num" w:pos="568"/>
        </w:tabs>
        <w:ind w:left="568" w:hanging="284"/>
      </w:pPr>
      <w:rPr>
        <w:rFonts w:ascii="Arial" w:hAnsi="Arial" w:hint="default"/>
        <w:color w:val="4F81BD" w:themeColor="accent1"/>
      </w:rPr>
    </w:lvl>
    <w:lvl w:ilvl="2">
      <w:start w:val="1"/>
      <w:numFmt w:val="bullet"/>
      <w:pStyle w:val="Bullet3"/>
      <w:lvlText w:val="»"/>
      <w:lvlJc w:val="left"/>
      <w:pPr>
        <w:tabs>
          <w:tab w:val="num" w:pos="852"/>
        </w:tabs>
        <w:ind w:left="852" w:hanging="285"/>
      </w:pPr>
      <w:rPr>
        <w:rFonts w:ascii="Arial" w:hAnsi="Arial" w:hint="default"/>
        <w:color w:val="4F81BD"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7" w15:restartNumberingAfterBreak="0">
    <w:nsid w:val="756204B5"/>
    <w:multiLevelType w:val="hybridMultilevel"/>
    <w:tmpl w:val="068C66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5726980"/>
    <w:multiLevelType w:val="hybridMultilevel"/>
    <w:tmpl w:val="24B484AA"/>
    <w:lvl w:ilvl="0" w:tplc="FC0C14CA">
      <w:start w:val="1"/>
      <w:numFmt w:val="bullet"/>
      <w:lvlText w:val=""/>
      <w:lvlJc w:val="left"/>
      <w:pPr>
        <w:tabs>
          <w:tab w:val="num" w:pos="720"/>
        </w:tabs>
        <w:ind w:left="720" w:hanging="360"/>
      </w:pPr>
      <w:rPr>
        <w:rFonts w:ascii="Wingdings" w:hAnsi="Wingdings" w:hint="default"/>
      </w:rPr>
    </w:lvl>
    <w:lvl w:ilvl="1" w:tplc="107EF388" w:tentative="1">
      <w:start w:val="1"/>
      <w:numFmt w:val="bullet"/>
      <w:lvlText w:val=""/>
      <w:lvlJc w:val="left"/>
      <w:pPr>
        <w:tabs>
          <w:tab w:val="num" w:pos="1440"/>
        </w:tabs>
        <w:ind w:left="1440" w:hanging="360"/>
      </w:pPr>
      <w:rPr>
        <w:rFonts w:ascii="Wingdings" w:hAnsi="Wingdings" w:hint="default"/>
      </w:rPr>
    </w:lvl>
    <w:lvl w:ilvl="2" w:tplc="6526FAA2" w:tentative="1">
      <w:start w:val="1"/>
      <w:numFmt w:val="bullet"/>
      <w:lvlText w:val=""/>
      <w:lvlJc w:val="left"/>
      <w:pPr>
        <w:tabs>
          <w:tab w:val="num" w:pos="2160"/>
        </w:tabs>
        <w:ind w:left="2160" w:hanging="360"/>
      </w:pPr>
      <w:rPr>
        <w:rFonts w:ascii="Wingdings" w:hAnsi="Wingdings" w:hint="default"/>
      </w:rPr>
    </w:lvl>
    <w:lvl w:ilvl="3" w:tplc="CA92BADA" w:tentative="1">
      <w:start w:val="1"/>
      <w:numFmt w:val="bullet"/>
      <w:lvlText w:val=""/>
      <w:lvlJc w:val="left"/>
      <w:pPr>
        <w:tabs>
          <w:tab w:val="num" w:pos="2880"/>
        </w:tabs>
        <w:ind w:left="2880" w:hanging="360"/>
      </w:pPr>
      <w:rPr>
        <w:rFonts w:ascii="Wingdings" w:hAnsi="Wingdings" w:hint="default"/>
      </w:rPr>
    </w:lvl>
    <w:lvl w:ilvl="4" w:tplc="B3682546" w:tentative="1">
      <w:start w:val="1"/>
      <w:numFmt w:val="bullet"/>
      <w:lvlText w:val=""/>
      <w:lvlJc w:val="left"/>
      <w:pPr>
        <w:tabs>
          <w:tab w:val="num" w:pos="3600"/>
        </w:tabs>
        <w:ind w:left="3600" w:hanging="360"/>
      </w:pPr>
      <w:rPr>
        <w:rFonts w:ascii="Wingdings" w:hAnsi="Wingdings" w:hint="default"/>
      </w:rPr>
    </w:lvl>
    <w:lvl w:ilvl="5" w:tplc="7A34B9B4" w:tentative="1">
      <w:start w:val="1"/>
      <w:numFmt w:val="bullet"/>
      <w:lvlText w:val=""/>
      <w:lvlJc w:val="left"/>
      <w:pPr>
        <w:tabs>
          <w:tab w:val="num" w:pos="4320"/>
        </w:tabs>
        <w:ind w:left="4320" w:hanging="360"/>
      </w:pPr>
      <w:rPr>
        <w:rFonts w:ascii="Wingdings" w:hAnsi="Wingdings" w:hint="default"/>
      </w:rPr>
    </w:lvl>
    <w:lvl w:ilvl="6" w:tplc="E408C9A6" w:tentative="1">
      <w:start w:val="1"/>
      <w:numFmt w:val="bullet"/>
      <w:lvlText w:val=""/>
      <w:lvlJc w:val="left"/>
      <w:pPr>
        <w:tabs>
          <w:tab w:val="num" w:pos="5040"/>
        </w:tabs>
        <w:ind w:left="5040" w:hanging="360"/>
      </w:pPr>
      <w:rPr>
        <w:rFonts w:ascii="Wingdings" w:hAnsi="Wingdings" w:hint="default"/>
      </w:rPr>
    </w:lvl>
    <w:lvl w:ilvl="7" w:tplc="645228AC" w:tentative="1">
      <w:start w:val="1"/>
      <w:numFmt w:val="bullet"/>
      <w:lvlText w:val=""/>
      <w:lvlJc w:val="left"/>
      <w:pPr>
        <w:tabs>
          <w:tab w:val="num" w:pos="5760"/>
        </w:tabs>
        <w:ind w:left="5760" w:hanging="360"/>
      </w:pPr>
      <w:rPr>
        <w:rFonts w:ascii="Wingdings" w:hAnsi="Wingdings" w:hint="default"/>
      </w:rPr>
    </w:lvl>
    <w:lvl w:ilvl="8" w:tplc="D0A25BA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800B75"/>
    <w:multiLevelType w:val="hybridMultilevel"/>
    <w:tmpl w:val="4C12CD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68E7AAD"/>
    <w:multiLevelType w:val="hybridMultilevel"/>
    <w:tmpl w:val="3D22A268"/>
    <w:lvl w:ilvl="0" w:tplc="0F626960">
      <w:start w:val="1"/>
      <w:numFmt w:val="bullet"/>
      <w:lvlText w:val=""/>
      <w:lvlJc w:val="left"/>
      <w:pPr>
        <w:tabs>
          <w:tab w:val="num" w:pos="720"/>
        </w:tabs>
        <w:ind w:left="720" w:hanging="360"/>
      </w:pPr>
      <w:rPr>
        <w:rFonts w:ascii="Wingdings 2" w:hAnsi="Wingdings 2" w:hint="default"/>
      </w:rPr>
    </w:lvl>
    <w:lvl w:ilvl="1" w:tplc="E604DF0C">
      <w:start w:val="1"/>
      <w:numFmt w:val="bullet"/>
      <w:lvlText w:val=""/>
      <w:lvlJc w:val="left"/>
      <w:pPr>
        <w:tabs>
          <w:tab w:val="num" w:pos="1440"/>
        </w:tabs>
        <w:ind w:left="1440" w:hanging="360"/>
      </w:pPr>
      <w:rPr>
        <w:rFonts w:ascii="Wingdings 2" w:hAnsi="Wingdings 2" w:hint="default"/>
      </w:rPr>
    </w:lvl>
    <w:lvl w:ilvl="2" w:tplc="934A048E" w:tentative="1">
      <w:start w:val="1"/>
      <w:numFmt w:val="bullet"/>
      <w:lvlText w:val=""/>
      <w:lvlJc w:val="left"/>
      <w:pPr>
        <w:tabs>
          <w:tab w:val="num" w:pos="2160"/>
        </w:tabs>
        <w:ind w:left="2160" w:hanging="360"/>
      </w:pPr>
      <w:rPr>
        <w:rFonts w:ascii="Wingdings 2" w:hAnsi="Wingdings 2" w:hint="default"/>
      </w:rPr>
    </w:lvl>
    <w:lvl w:ilvl="3" w:tplc="1E503954" w:tentative="1">
      <w:start w:val="1"/>
      <w:numFmt w:val="bullet"/>
      <w:lvlText w:val=""/>
      <w:lvlJc w:val="left"/>
      <w:pPr>
        <w:tabs>
          <w:tab w:val="num" w:pos="2880"/>
        </w:tabs>
        <w:ind w:left="2880" w:hanging="360"/>
      </w:pPr>
      <w:rPr>
        <w:rFonts w:ascii="Wingdings 2" w:hAnsi="Wingdings 2" w:hint="default"/>
      </w:rPr>
    </w:lvl>
    <w:lvl w:ilvl="4" w:tplc="B1DE3692" w:tentative="1">
      <w:start w:val="1"/>
      <w:numFmt w:val="bullet"/>
      <w:lvlText w:val=""/>
      <w:lvlJc w:val="left"/>
      <w:pPr>
        <w:tabs>
          <w:tab w:val="num" w:pos="3600"/>
        </w:tabs>
        <w:ind w:left="3600" w:hanging="360"/>
      </w:pPr>
      <w:rPr>
        <w:rFonts w:ascii="Wingdings 2" w:hAnsi="Wingdings 2" w:hint="default"/>
      </w:rPr>
    </w:lvl>
    <w:lvl w:ilvl="5" w:tplc="D1BCB70A" w:tentative="1">
      <w:start w:val="1"/>
      <w:numFmt w:val="bullet"/>
      <w:lvlText w:val=""/>
      <w:lvlJc w:val="left"/>
      <w:pPr>
        <w:tabs>
          <w:tab w:val="num" w:pos="4320"/>
        </w:tabs>
        <w:ind w:left="4320" w:hanging="360"/>
      </w:pPr>
      <w:rPr>
        <w:rFonts w:ascii="Wingdings 2" w:hAnsi="Wingdings 2" w:hint="default"/>
      </w:rPr>
    </w:lvl>
    <w:lvl w:ilvl="6" w:tplc="74E4F062" w:tentative="1">
      <w:start w:val="1"/>
      <w:numFmt w:val="bullet"/>
      <w:lvlText w:val=""/>
      <w:lvlJc w:val="left"/>
      <w:pPr>
        <w:tabs>
          <w:tab w:val="num" w:pos="5040"/>
        </w:tabs>
        <w:ind w:left="5040" w:hanging="360"/>
      </w:pPr>
      <w:rPr>
        <w:rFonts w:ascii="Wingdings 2" w:hAnsi="Wingdings 2" w:hint="default"/>
      </w:rPr>
    </w:lvl>
    <w:lvl w:ilvl="7" w:tplc="6B0C062A" w:tentative="1">
      <w:start w:val="1"/>
      <w:numFmt w:val="bullet"/>
      <w:lvlText w:val=""/>
      <w:lvlJc w:val="left"/>
      <w:pPr>
        <w:tabs>
          <w:tab w:val="num" w:pos="5760"/>
        </w:tabs>
        <w:ind w:left="5760" w:hanging="360"/>
      </w:pPr>
      <w:rPr>
        <w:rFonts w:ascii="Wingdings 2" w:hAnsi="Wingdings 2" w:hint="default"/>
      </w:rPr>
    </w:lvl>
    <w:lvl w:ilvl="8" w:tplc="C3A894AC"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771664A9"/>
    <w:multiLevelType w:val="hybridMultilevel"/>
    <w:tmpl w:val="03FAFDD2"/>
    <w:lvl w:ilvl="0" w:tplc="1F1AA386">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DA4EA9"/>
    <w:multiLevelType w:val="hybridMultilevel"/>
    <w:tmpl w:val="360CEE06"/>
    <w:lvl w:ilvl="0" w:tplc="DE2A7B1C">
      <w:start w:val="1"/>
      <w:numFmt w:val="bullet"/>
      <w:pStyle w:val="SDAbulletpoints"/>
      <w:lvlText w:val=""/>
      <w:lvlJc w:val="left"/>
      <w:pPr>
        <w:ind w:left="720" w:hanging="360"/>
      </w:pPr>
      <w:rPr>
        <w:rFonts w:ascii="Symbol" w:hAnsi="Symbol" w:hint="default"/>
        <w:color w:val="CF5D2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E32A19"/>
    <w:multiLevelType w:val="hybridMultilevel"/>
    <w:tmpl w:val="7BC6C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9A1695"/>
    <w:multiLevelType w:val="hybridMultilevel"/>
    <w:tmpl w:val="2D325C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9"/>
  </w:num>
  <w:num w:numId="4">
    <w:abstractNumId w:val="28"/>
  </w:num>
  <w:num w:numId="5">
    <w:abstractNumId w:val="9"/>
  </w:num>
  <w:num w:numId="6">
    <w:abstractNumId w:val="30"/>
  </w:num>
  <w:num w:numId="7">
    <w:abstractNumId w:val="7"/>
  </w:num>
  <w:num w:numId="8">
    <w:abstractNumId w:val="22"/>
  </w:num>
  <w:num w:numId="9">
    <w:abstractNumId w:val="15"/>
  </w:num>
  <w:num w:numId="10">
    <w:abstractNumId w:val="18"/>
  </w:num>
  <w:num w:numId="11">
    <w:abstractNumId w:val="1"/>
  </w:num>
  <w:num w:numId="12">
    <w:abstractNumId w:val="34"/>
  </w:num>
  <w:num w:numId="13">
    <w:abstractNumId w:val="16"/>
  </w:num>
  <w:num w:numId="14">
    <w:abstractNumId w:val="29"/>
  </w:num>
  <w:num w:numId="15">
    <w:abstractNumId w:val="21"/>
  </w:num>
  <w:num w:numId="16">
    <w:abstractNumId w:val="20"/>
  </w:num>
  <w:num w:numId="17">
    <w:abstractNumId w:val="13"/>
  </w:num>
  <w:num w:numId="18">
    <w:abstractNumId w:val="27"/>
  </w:num>
  <w:num w:numId="19">
    <w:abstractNumId w:val="11"/>
  </w:num>
  <w:num w:numId="20">
    <w:abstractNumId w:val="2"/>
  </w:num>
  <w:num w:numId="21">
    <w:abstractNumId w:val="31"/>
  </w:num>
  <w:num w:numId="22">
    <w:abstractNumId w:val="4"/>
  </w:num>
  <w:num w:numId="23">
    <w:abstractNumId w:val="5"/>
  </w:num>
  <w:num w:numId="24">
    <w:abstractNumId w:val="32"/>
  </w:num>
  <w:num w:numId="25">
    <w:abstractNumId w:val="8"/>
  </w:num>
  <w:num w:numId="26">
    <w:abstractNumId w:val="33"/>
  </w:num>
  <w:num w:numId="27">
    <w:abstractNumId w:val="14"/>
  </w:num>
  <w:num w:numId="28">
    <w:abstractNumId w:val="25"/>
  </w:num>
  <w:num w:numId="29">
    <w:abstractNumId w:val="17"/>
  </w:num>
  <w:num w:numId="30">
    <w:abstractNumId w:val="26"/>
  </w:num>
  <w:num w:numId="31">
    <w:abstractNumId w:val="23"/>
  </w:num>
  <w:num w:numId="32">
    <w:abstractNumId w:val="24"/>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3"/>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54F"/>
    <w:rsid w:val="00000668"/>
    <w:rsid w:val="0002728B"/>
    <w:rsid w:val="000411F9"/>
    <w:rsid w:val="0004779C"/>
    <w:rsid w:val="0005523F"/>
    <w:rsid w:val="00057125"/>
    <w:rsid w:val="00064702"/>
    <w:rsid w:val="0006767D"/>
    <w:rsid w:val="000760CE"/>
    <w:rsid w:val="00076BBD"/>
    <w:rsid w:val="000835A9"/>
    <w:rsid w:val="000956F7"/>
    <w:rsid w:val="00096F76"/>
    <w:rsid w:val="000B0D2F"/>
    <w:rsid w:val="000B2A79"/>
    <w:rsid w:val="000B64D8"/>
    <w:rsid w:val="000C398F"/>
    <w:rsid w:val="000D2440"/>
    <w:rsid w:val="000E7AD0"/>
    <w:rsid w:val="000F0D4A"/>
    <w:rsid w:val="000F34FE"/>
    <w:rsid w:val="000F6048"/>
    <w:rsid w:val="00107D7A"/>
    <w:rsid w:val="00116811"/>
    <w:rsid w:val="00126A49"/>
    <w:rsid w:val="00130CCA"/>
    <w:rsid w:val="00131E1E"/>
    <w:rsid w:val="00140F34"/>
    <w:rsid w:val="0014153E"/>
    <w:rsid w:val="00143A3D"/>
    <w:rsid w:val="00143F5A"/>
    <w:rsid w:val="00154A83"/>
    <w:rsid w:val="00170DDD"/>
    <w:rsid w:val="00181F20"/>
    <w:rsid w:val="0018463C"/>
    <w:rsid w:val="00185CF2"/>
    <w:rsid w:val="00192EF2"/>
    <w:rsid w:val="00193297"/>
    <w:rsid w:val="001B139E"/>
    <w:rsid w:val="001B6839"/>
    <w:rsid w:val="001D74BC"/>
    <w:rsid w:val="001D7588"/>
    <w:rsid w:val="001F2158"/>
    <w:rsid w:val="0020133E"/>
    <w:rsid w:val="0020221A"/>
    <w:rsid w:val="0023359C"/>
    <w:rsid w:val="00246023"/>
    <w:rsid w:val="002551F2"/>
    <w:rsid w:val="002617FD"/>
    <w:rsid w:val="002639CD"/>
    <w:rsid w:val="002679C8"/>
    <w:rsid w:val="002A1F7A"/>
    <w:rsid w:val="002A2173"/>
    <w:rsid w:val="002A3D64"/>
    <w:rsid w:val="002A3FE8"/>
    <w:rsid w:val="002B4626"/>
    <w:rsid w:val="002B72B5"/>
    <w:rsid w:val="002C2EBB"/>
    <w:rsid w:val="0031228F"/>
    <w:rsid w:val="00312CB3"/>
    <w:rsid w:val="0034389F"/>
    <w:rsid w:val="00344A74"/>
    <w:rsid w:val="00354933"/>
    <w:rsid w:val="00356268"/>
    <w:rsid w:val="00363A28"/>
    <w:rsid w:val="003679D9"/>
    <w:rsid w:val="003701AC"/>
    <w:rsid w:val="003B54C4"/>
    <w:rsid w:val="003C66E3"/>
    <w:rsid w:val="003C7D2C"/>
    <w:rsid w:val="003E0FD1"/>
    <w:rsid w:val="003E1273"/>
    <w:rsid w:val="003E5BD7"/>
    <w:rsid w:val="003F06E6"/>
    <w:rsid w:val="003F3301"/>
    <w:rsid w:val="003F46E3"/>
    <w:rsid w:val="003F5D1E"/>
    <w:rsid w:val="004157B5"/>
    <w:rsid w:val="004213DA"/>
    <w:rsid w:val="0042565B"/>
    <w:rsid w:val="00441BCB"/>
    <w:rsid w:val="00486381"/>
    <w:rsid w:val="004A0532"/>
    <w:rsid w:val="004A31D7"/>
    <w:rsid w:val="004A3F2F"/>
    <w:rsid w:val="004B1798"/>
    <w:rsid w:val="004B5FBC"/>
    <w:rsid w:val="004C3C51"/>
    <w:rsid w:val="004D0EC0"/>
    <w:rsid w:val="004D2159"/>
    <w:rsid w:val="004E0368"/>
    <w:rsid w:val="004E4CFC"/>
    <w:rsid w:val="004F121D"/>
    <w:rsid w:val="005043E7"/>
    <w:rsid w:val="00505C3A"/>
    <w:rsid w:val="005167B6"/>
    <w:rsid w:val="00520A60"/>
    <w:rsid w:val="00527245"/>
    <w:rsid w:val="005321BB"/>
    <w:rsid w:val="00536998"/>
    <w:rsid w:val="00541004"/>
    <w:rsid w:val="00544165"/>
    <w:rsid w:val="00570E07"/>
    <w:rsid w:val="00572CB0"/>
    <w:rsid w:val="005806F8"/>
    <w:rsid w:val="005C1C00"/>
    <w:rsid w:val="005C3D38"/>
    <w:rsid w:val="005D3B6E"/>
    <w:rsid w:val="005E585D"/>
    <w:rsid w:val="005F3340"/>
    <w:rsid w:val="00601713"/>
    <w:rsid w:val="00613203"/>
    <w:rsid w:val="00614E2E"/>
    <w:rsid w:val="0061597E"/>
    <w:rsid w:val="0061667A"/>
    <w:rsid w:val="006448F0"/>
    <w:rsid w:val="00652ADA"/>
    <w:rsid w:val="00666294"/>
    <w:rsid w:val="00672054"/>
    <w:rsid w:val="00676F85"/>
    <w:rsid w:val="00680C3E"/>
    <w:rsid w:val="006825DC"/>
    <w:rsid w:val="006833B9"/>
    <w:rsid w:val="006834AA"/>
    <w:rsid w:val="0068632C"/>
    <w:rsid w:val="00690747"/>
    <w:rsid w:val="006969A2"/>
    <w:rsid w:val="006A1B06"/>
    <w:rsid w:val="006A7F80"/>
    <w:rsid w:val="006D31FA"/>
    <w:rsid w:val="006E601B"/>
    <w:rsid w:val="006F41CE"/>
    <w:rsid w:val="00702409"/>
    <w:rsid w:val="0070647D"/>
    <w:rsid w:val="00720ABC"/>
    <w:rsid w:val="0072715B"/>
    <w:rsid w:val="00727C7F"/>
    <w:rsid w:val="0073070F"/>
    <w:rsid w:val="00746DE9"/>
    <w:rsid w:val="007638F3"/>
    <w:rsid w:val="007702FA"/>
    <w:rsid w:val="007744C3"/>
    <w:rsid w:val="00791E9E"/>
    <w:rsid w:val="007B10E1"/>
    <w:rsid w:val="007F1387"/>
    <w:rsid w:val="007F4917"/>
    <w:rsid w:val="007F5ADA"/>
    <w:rsid w:val="007F69E6"/>
    <w:rsid w:val="0080708D"/>
    <w:rsid w:val="00813B3F"/>
    <w:rsid w:val="00816C61"/>
    <w:rsid w:val="00824BFB"/>
    <w:rsid w:val="008476B1"/>
    <w:rsid w:val="00847CF5"/>
    <w:rsid w:val="0086449B"/>
    <w:rsid w:val="00867168"/>
    <w:rsid w:val="0087036D"/>
    <w:rsid w:val="0087200F"/>
    <w:rsid w:val="00877167"/>
    <w:rsid w:val="00890533"/>
    <w:rsid w:val="00896AE4"/>
    <w:rsid w:val="008B069A"/>
    <w:rsid w:val="008B6468"/>
    <w:rsid w:val="008B78A9"/>
    <w:rsid w:val="008D3767"/>
    <w:rsid w:val="008D508F"/>
    <w:rsid w:val="008D5F9A"/>
    <w:rsid w:val="008F32B1"/>
    <w:rsid w:val="008F6EED"/>
    <w:rsid w:val="00900F97"/>
    <w:rsid w:val="00911D03"/>
    <w:rsid w:val="00913F38"/>
    <w:rsid w:val="00935A84"/>
    <w:rsid w:val="0094739B"/>
    <w:rsid w:val="00947A67"/>
    <w:rsid w:val="00952ED4"/>
    <w:rsid w:val="0096410B"/>
    <w:rsid w:val="00983E53"/>
    <w:rsid w:val="00996051"/>
    <w:rsid w:val="00997537"/>
    <w:rsid w:val="00997C2A"/>
    <w:rsid w:val="009A0B64"/>
    <w:rsid w:val="009A7D30"/>
    <w:rsid w:val="009B69CB"/>
    <w:rsid w:val="009C5213"/>
    <w:rsid w:val="009C5561"/>
    <w:rsid w:val="009D4261"/>
    <w:rsid w:val="009E1DBB"/>
    <w:rsid w:val="00A14383"/>
    <w:rsid w:val="00A24CD9"/>
    <w:rsid w:val="00A30941"/>
    <w:rsid w:val="00A50F09"/>
    <w:rsid w:val="00A63BFB"/>
    <w:rsid w:val="00A91E23"/>
    <w:rsid w:val="00A97EE1"/>
    <w:rsid w:val="00AD0732"/>
    <w:rsid w:val="00AD7660"/>
    <w:rsid w:val="00AE5CA6"/>
    <w:rsid w:val="00B021AF"/>
    <w:rsid w:val="00B155A0"/>
    <w:rsid w:val="00B24DCC"/>
    <w:rsid w:val="00B25807"/>
    <w:rsid w:val="00B36A1D"/>
    <w:rsid w:val="00B41375"/>
    <w:rsid w:val="00B62778"/>
    <w:rsid w:val="00B90DB1"/>
    <w:rsid w:val="00B96634"/>
    <w:rsid w:val="00BD5E39"/>
    <w:rsid w:val="00BE702C"/>
    <w:rsid w:val="00C02346"/>
    <w:rsid w:val="00C17DEB"/>
    <w:rsid w:val="00C23142"/>
    <w:rsid w:val="00C40AF0"/>
    <w:rsid w:val="00C42DD2"/>
    <w:rsid w:val="00C50BE0"/>
    <w:rsid w:val="00C528EB"/>
    <w:rsid w:val="00C53914"/>
    <w:rsid w:val="00C5592D"/>
    <w:rsid w:val="00C63A5F"/>
    <w:rsid w:val="00C67CEC"/>
    <w:rsid w:val="00D03DA8"/>
    <w:rsid w:val="00D14107"/>
    <w:rsid w:val="00D1768A"/>
    <w:rsid w:val="00D3053A"/>
    <w:rsid w:val="00D32221"/>
    <w:rsid w:val="00D56CB5"/>
    <w:rsid w:val="00D64185"/>
    <w:rsid w:val="00D8069B"/>
    <w:rsid w:val="00DB649B"/>
    <w:rsid w:val="00DF2F6B"/>
    <w:rsid w:val="00DF7DAA"/>
    <w:rsid w:val="00E01732"/>
    <w:rsid w:val="00E06D27"/>
    <w:rsid w:val="00E2054F"/>
    <w:rsid w:val="00E3725B"/>
    <w:rsid w:val="00E4381E"/>
    <w:rsid w:val="00E470B0"/>
    <w:rsid w:val="00E52FF0"/>
    <w:rsid w:val="00E70085"/>
    <w:rsid w:val="00E727EB"/>
    <w:rsid w:val="00E76BB5"/>
    <w:rsid w:val="00E97532"/>
    <w:rsid w:val="00EA6236"/>
    <w:rsid w:val="00EB038C"/>
    <w:rsid w:val="00EC7B79"/>
    <w:rsid w:val="00ED1176"/>
    <w:rsid w:val="00F3558C"/>
    <w:rsid w:val="00F43F24"/>
    <w:rsid w:val="00F46D07"/>
    <w:rsid w:val="00F74E5F"/>
    <w:rsid w:val="00F9570E"/>
    <w:rsid w:val="00FA268D"/>
    <w:rsid w:val="00FB04BD"/>
    <w:rsid w:val="00FD64BB"/>
    <w:rsid w:val="00FE4F0A"/>
    <w:rsid w:val="00FF561E"/>
    <w:rsid w:val="00FF7F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68C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9C52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9C5213"/>
    <w:pPr>
      <w:keepLines w:val="0"/>
      <w:spacing w:before="240" w:after="60"/>
      <w:outlineLvl w:val="1"/>
    </w:pPr>
    <w:rPr>
      <w:rFonts w:ascii="Arial" w:eastAsia="Times New Roman" w:hAnsi="Arial" w:cs="Arial"/>
      <w:bCs w:val="0"/>
      <w:iCs/>
      <w:color w:val="auto"/>
      <w:sz w:val="24"/>
      <w:szCs w:val="22"/>
      <w:lang w:eastAsia="en-AU"/>
    </w:rPr>
  </w:style>
  <w:style w:type="paragraph" w:styleId="Heading3">
    <w:name w:val="heading 3"/>
    <w:basedOn w:val="Normal"/>
    <w:next w:val="Normal"/>
    <w:link w:val="Heading3Char"/>
    <w:unhideWhenUsed/>
    <w:qFormat/>
    <w:rsid w:val="002B462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2054F"/>
    <w:pPr>
      <w:pBdr>
        <w:bottom w:val="single" w:sz="8" w:space="4" w:color="215868" w:themeColor="accent5" w:themeShade="80"/>
      </w:pBdr>
      <w:spacing w:before="120" w:after="300"/>
      <w:contextualSpacing/>
    </w:pPr>
    <w:rPr>
      <w:rFonts w:asciiTheme="majorHAnsi" w:eastAsiaTheme="majorEastAsia" w:hAnsiTheme="majorHAnsi" w:cstheme="majorBidi"/>
      <w:color w:val="0F243E" w:themeColor="text2" w:themeShade="80"/>
      <w:spacing w:val="5"/>
      <w:kern w:val="28"/>
      <w:sz w:val="52"/>
      <w:szCs w:val="52"/>
      <w:lang w:eastAsia="en-AU"/>
    </w:rPr>
  </w:style>
  <w:style w:type="character" w:customStyle="1" w:styleId="TitleChar">
    <w:name w:val="Title Char"/>
    <w:basedOn w:val="DefaultParagraphFont"/>
    <w:link w:val="Title"/>
    <w:uiPriority w:val="10"/>
    <w:rsid w:val="00E2054F"/>
    <w:rPr>
      <w:rFonts w:asciiTheme="majorHAnsi" w:eastAsiaTheme="majorEastAsia" w:hAnsiTheme="majorHAnsi" w:cstheme="majorBidi"/>
      <w:color w:val="0F243E" w:themeColor="text2" w:themeShade="80"/>
      <w:spacing w:val="5"/>
      <w:kern w:val="28"/>
      <w:sz w:val="52"/>
      <w:szCs w:val="52"/>
    </w:rPr>
  </w:style>
  <w:style w:type="character" w:styleId="SubtleEmphasis">
    <w:name w:val="Subtle Emphasis"/>
    <w:basedOn w:val="DefaultParagraphFont"/>
    <w:uiPriority w:val="19"/>
    <w:qFormat/>
    <w:rsid w:val="00E2054F"/>
    <w:rPr>
      <w:i/>
      <w:iCs/>
      <w:color w:val="auto"/>
    </w:rPr>
  </w:style>
  <w:style w:type="character" w:styleId="FootnoteReference">
    <w:name w:val="footnote reference"/>
    <w:basedOn w:val="DefaultParagraphFont"/>
    <w:uiPriority w:val="99"/>
    <w:rsid w:val="00E2054F"/>
    <w:rPr>
      <w:rFonts w:ascii="Times New Roman" w:hAnsi="Times New Roman"/>
      <w:position w:val="6"/>
      <w:sz w:val="18"/>
      <w:vertAlign w:val="baseline"/>
    </w:rPr>
  </w:style>
  <w:style w:type="paragraph" w:styleId="FootnoteText">
    <w:name w:val="footnote text"/>
    <w:basedOn w:val="BodyText"/>
    <w:link w:val="FootnoteTextChar"/>
    <w:uiPriority w:val="99"/>
    <w:rsid w:val="00E2054F"/>
    <w:pPr>
      <w:tabs>
        <w:tab w:val="left" w:pos="284"/>
      </w:tabs>
      <w:spacing w:before="60" w:after="0" w:line="220" w:lineRule="exact"/>
      <w:ind w:left="284" w:hanging="284"/>
    </w:pPr>
    <w:rPr>
      <w:sz w:val="20"/>
      <w:szCs w:val="20"/>
      <w:lang w:eastAsia="en-AU"/>
    </w:rPr>
  </w:style>
  <w:style w:type="character" w:customStyle="1" w:styleId="FootnoteTextChar">
    <w:name w:val="Footnote Text Char"/>
    <w:basedOn w:val="DefaultParagraphFont"/>
    <w:link w:val="FootnoteText"/>
    <w:uiPriority w:val="99"/>
    <w:rsid w:val="00E2054F"/>
  </w:style>
  <w:style w:type="paragraph" w:styleId="List2">
    <w:name w:val="List 2"/>
    <w:basedOn w:val="Normal"/>
    <w:uiPriority w:val="99"/>
    <w:unhideWhenUsed/>
    <w:rsid w:val="00E2054F"/>
    <w:pPr>
      <w:spacing w:before="120" w:line="300" w:lineRule="atLeast"/>
      <w:ind w:left="568" w:hanging="284"/>
    </w:pPr>
    <w:rPr>
      <w:szCs w:val="20"/>
      <w:lang w:eastAsia="en-AU"/>
    </w:rPr>
  </w:style>
  <w:style w:type="paragraph" w:styleId="BodyText">
    <w:name w:val="Body Text"/>
    <w:basedOn w:val="Normal"/>
    <w:link w:val="BodyTextChar"/>
    <w:rsid w:val="00E2054F"/>
    <w:pPr>
      <w:spacing w:after="120"/>
    </w:pPr>
  </w:style>
  <w:style w:type="character" w:customStyle="1" w:styleId="BodyTextChar">
    <w:name w:val="Body Text Char"/>
    <w:basedOn w:val="DefaultParagraphFont"/>
    <w:link w:val="BodyText"/>
    <w:rsid w:val="00E2054F"/>
    <w:rPr>
      <w:sz w:val="24"/>
      <w:szCs w:val="24"/>
      <w:lang w:eastAsia="en-US"/>
    </w:rPr>
  </w:style>
  <w:style w:type="paragraph" w:styleId="List">
    <w:name w:val="List"/>
    <w:basedOn w:val="Normal"/>
    <w:rsid w:val="00877167"/>
    <w:pPr>
      <w:ind w:left="283" w:hanging="283"/>
      <w:contextualSpacing/>
    </w:pPr>
  </w:style>
  <w:style w:type="paragraph" w:styleId="ListParagraph">
    <w:name w:val="List Paragraph"/>
    <w:basedOn w:val="Normal"/>
    <w:uiPriority w:val="34"/>
    <w:qFormat/>
    <w:rsid w:val="002C2EBB"/>
    <w:pPr>
      <w:ind w:left="720"/>
      <w:contextualSpacing/>
    </w:pPr>
    <w:rPr>
      <w:lang w:val="fr-FR" w:eastAsia="fr-FR"/>
    </w:rPr>
  </w:style>
  <w:style w:type="paragraph" w:styleId="Header">
    <w:name w:val="header"/>
    <w:basedOn w:val="Normal"/>
    <w:link w:val="HeaderChar"/>
    <w:rsid w:val="000F0D4A"/>
    <w:pPr>
      <w:tabs>
        <w:tab w:val="center" w:pos="4513"/>
        <w:tab w:val="right" w:pos="9026"/>
      </w:tabs>
    </w:pPr>
  </w:style>
  <w:style w:type="character" w:customStyle="1" w:styleId="HeaderChar">
    <w:name w:val="Header Char"/>
    <w:basedOn w:val="DefaultParagraphFont"/>
    <w:link w:val="Header"/>
    <w:rsid w:val="000F0D4A"/>
    <w:rPr>
      <w:sz w:val="24"/>
      <w:szCs w:val="24"/>
      <w:lang w:eastAsia="en-US"/>
    </w:rPr>
  </w:style>
  <w:style w:type="paragraph" w:styleId="Footer">
    <w:name w:val="footer"/>
    <w:basedOn w:val="Normal"/>
    <w:link w:val="FooterChar"/>
    <w:uiPriority w:val="99"/>
    <w:rsid w:val="000F0D4A"/>
    <w:pPr>
      <w:tabs>
        <w:tab w:val="center" w:pos="4513"/>
        <w:tab w:val="right" w:pos="9026"/>
      </w:tabs>
    </w:pPr>
  </w:style>
  <w:style w:type="character" w:customStyle="1" w:styleId="FooterChar">
    <w:name w:val="Footer Char"/>
    <w:basedOn w:val="DefaultParagraphFont"/>
    <w:link w:val="Footer"/>
    <w:uiPriority w:val="99"/>
    <w:rsid w:val="000F0D4A"/>
    <w:rPr>
      <w:sz w:val="24"/>
      <w:szCs w:val="24"/>
      <w:lang w:eastAsia="en-US"/>
    </w:rPr>
  </w:style>
  <w:style w:type="character" w:styleId="CommentReference">
    <w:name w:val="annotation reference"/>
    <w:basedOn w:val="DefaultParagraphFont"/>
    <w:semiHidden/>
    <w:unhideWhenUsed/>
    <w:rsid w:val="00DF2F6B"/>
    <w:rPr>
      <w:sz w:val="16"/>
      <w:szCs w:val="16"/>
    </w:rPr>
  </w:style>
  <w:style w:type="paragraph" w:styleId="CommentText">
    <w:name w:val="annotation text"/>
    <w:basedOn w:val="Normal"/>
    <w:link w:val="CommentTextChar"/>
    <w:semiHidden/>
    <w:unhideWhenUsed/>
    <w:rsid w:val="00DF2F6B"/>
    <w:rPr>
      <w:sz w:val="20"/>
      <w:szCs w:val="20"/>
    </w:rPr>
  </w:style>
  <w:style w:type="character" w:customStyle="1" w:styleId="CommentTextChar">
    <w:name w:val="Comment Text Char"/>
    <w:basedOn w:val="DefaultParagraphFont"/>
    <w:link w:val="CommentText"/>
    <w:semiHidden/>
    <w:rsid w:val="00DF2F6B"/>
    <w:rPr>
      <w:lang w:eastAsia="en-US"/>
    </w:rPr>
  </w:style>
  <w:style w:type="paragraph" w:styleId="CommentSubject">
    <w:name w:val="annotation subject"/>
    <w:basedOn w:val="CommentText"/>
    <w:next w:val="CommentText"/>
    <w:link w:val="CommentSubjectChar"/>
    <w:semiHidden/>
    <w:unhideWhenUsed/>
    <w:rsid w:val="00DF2F6B"/>
    <w:rPr>
      <w:b/>
      <w:bCs/>
    </w:rPr>
  </w:style>
  <w:style w:type="character" w:customStyle="1" w:styleId="CommentSubjectChar">
    <w:name w:val="Comment Subject Char"/>
    <w:basedOn w:val="CommentTextChar"/>
    <w:link w:val="CommentSubject"/>
    <w:semiHidden/>
    <w:rsid w:val="00DF2F6B"/>
    <w:rPr>
      <w:b/>
      <w:bCs/>
      <w:lang w:eastAsia="en-US"/>
    </w:rPr>
  </w:style>
  <w:style w:type="paragraph" w:styleId="BalloonText">
    <w:name w:val="Balloon Text"/>
    <w:basedOn w:val="Normal"/>
    <w:link w:val="BalloonTextChar"/>
    <w:semiHidden/>
    <w:unhideWhenUsed/>
    <w:rsid w:val="00DF2F6B"/>
    <w:rPr>
      <w:rFonts w:ascii="Segoe UI" w:hAnsi="Segoe UI" w:cs="Segoe UI"/>
      <w:sz w:val="18"/>
      <w:szCs w:val="18"/>
    </w:rPr>
  </w:style>
  <w:style w:type="character" w:customStyle="1" w:styleId="BalloonTextChar">
    <w:name w:val="Balloon Text Char"/>
    <w:basedOn w:val="DefaultParagraphFont"/>
    <w:link w:val="BalloonText"/>
    <w:semiHidden/>
    <w:rsid w:val="00DF2F6B"/>
    <w:rPr>
      <w:rFonts w:ascii="Segoe UI" w:hAnsi="Segoe UI" w:cs="Segoe UI"/>
      <w:sz w:val="18"/>
      <w:szCs w:val="18"/>
      <w:lang w:eastAsia="en-US"/>
    </w:rPr>
  </w:style>
  <w:style w:type="paragraph" w:customStyle="1" w:styleId="DocName">
    <w:name w:val="DocName"/>
    <w:basedOn w:val="Normal"/>
    <w:link w:val="DocNameChar"/>
    <w:rsid w:val="009C5213"/>
    <w:pPr>
      <w:jc w:val="center"/>
    </w:pPr>
    <w:rPr>
      <w:rFonts w:ascii="Arial" w:hAnsi="Arial"/>
      <w:b/>
      <w:bCs/>
      <w:sz w:val="28"/>
    </w:rPr>
  </w:style>
  <w:style w:type="character" w:customStyle="1" w:styleId="DocNameChar">
    <w:name w:val="DocName Char"/>
    <w:link w:val="DocName"/>
    <w:rsid w:val="009C5213"/>
    <w:rPr>
      <w:rFonts w:ascii="Arial" w:hAnsi="Arial"/>
      <w:b/>
      <w:bCs/>
      <w:sz w:val="28"/>
      <w:szCs w:val="24"/>
      <w:lang w:eastAsia="en-US"/>
    </w:rPr>
  </w:style>
  <w:style w:type="character" w:customStyle="1" w:styleId="Heading2Char">
    <w:name w:val="Heading 2 Char"/>
    <w:basedOn w:val="DefaultParagraphFont"/>
    <w:link w:val="Heading2"/>
    <w:rsid w:val="009C5213"/>
    <w:rPr>
      <w:rFonts w:ascii="Arial" w:hAnsi="Arial" w:cs="Arial"/>
      <w:b/>
      <w:iCs/>
      <w:sz w:val="24"/>
      <w:szCs w:val="22"/>
    </w:rPr>
  </w:style>
  <w:style w:type="paragraph" w:customStyle="1" w:styleId="Table-normal-text">
    <w:name w:val="Table-normal-text"/>
    <w:basedOn w:val="Normal"/>
    <w:rsid w:val="009C5213"/>
    <w:pPr>
      <w:spacing w:before="60"/>
    </w:pPr>
    <w:rPr>
      <w:rFonts w:ascii="Arial" w:hAnsi="Arial"/>
      <w:sz w:val="20"/>
    </w:rPr>
  </w:style>
  <w:style w:type="character" w:customStyle="1" w:styleId="Heading1Char">
    <w:name w:val="Heading 1 Char"/>
    <w:basedOn w:val="DefaultParagraphFont"/>
    <w:link w:val="Heading1"/>
    <w:rsid w:val="009C5213"/>
    <w:rPr>
      <w:rFonts w:asciiTheme="majorHAnsi" w:eastAsiaTheme="majorEastAsia" w:hAnsiTheme="majorHAnsi" w:cstheme="majorBidi"/>
      <w:b/>
      <w:bCs/>
      <w:color w:val="365F91" w:themeColor="accent1" w:themeShade="BF"/>
      <w:sz w:val="28"/>
      <w:szCs w:val="28"/>
      <w:lang w:eastAsia="en-US"/>
    </w:rPr>
  </w:style>
  <w:style w:type="character" w:styleId="Hyperlink">
    <w:name w:val="Hyperlink"/>
    <w:basedOn w:val="DefaultParagraphFont"/>
    <w:uiPriority w:val="99"/>
    <w:semiHidden/>
    <w:unhideWhenUsed/>
    <w:rsid w:val="00813B3F"/>
    <w:rPr>
      <w:rFonts w:ascii="Times New Roman" w:hAnsi="Times New Roman" w:cs="Times New Roman" w:hint="default"/>
      <w:color w:val="000000"/>
      <w:u w:val="single"/>
    </w:rPr>
  </w:style>
  <w:style w:type="paragraph" w:customStyle="1" w:styleId="SDAbodytext">
    <w:name w:val="SDA body text"/>
    <w:basedOn w:val="Normal"/>
    <w:link w:val="SDAbodytextChar"/>
    <w:qFormat/>
    <w:rsid w:val="000F34FE"/>
    <w:pPr>
      <w:spacing w:before="120" w:after="120"/>
    </w:pPr>
    <w:rPr>
      <w:rFonts w:asciiTheme="minorHAnsi" w:eastAsiaTheme="minorHAnsi" w:hAnsiTheme="minorHAnsi" w:cstheme="minorBidi"/>
      <w:sz w:val="22"/>
      <w:szCs w:val="22"/>
    </w:rPr>
  </w:style>
  <w:style w:type="character" w:customStyle="1" w:styleId="SDAbodytextChar">
    <w:name w:val="SDA body text Char"/>
    <w:basedOn w:val="DefaultParagraphFont"/>
    <w:link w:val="SDAbodytext"/>
    <w:rsid w:val="000F34FE"/>
    <w:rPr>
      <w:rFonts w:asciiTheme="minorHAnsi" w:eastAsiaTheme="minorHAnsi" w:hAnsiTheme="minorHAnsi" w:cstheme="minorBidi"/>
      <w:sz w:val="22"/>
      <w:szCs w:val="22"/>
      <w:lang w:eastAsia="en-US"/>
    </w:rPr>
  </w:style>
  <w:style w:type="paragraph" w:customStyle="1" w:styleId="SDAbulletpoints">
    <w:name w:val="SDA bullet points"/>
    <w:basedOn w:val="SDAbodytext"/>
    <w:link w:val="SDAbulletpointsChar"/>
    <w:qFormat/>
    <w:rsid w:val="000F34FE"/>
    <w:pPr>
      <w:numPr>
        <w:numId w:val="24"/>
      </w:numPr>
    </w:pPr>
  </w:style>
  <w:style w:type="character" w:customStyle="1" w:styleId="SDAbulletpointsChar">
    <w:name w:val="SDA bullet points Char"/>
    <w:basedOn w:val="SDAbodytextChar"/>
    <w:link w:val="SDAbulletpoints"/>
    <w:rsid w:val="000F34FE"/>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181F20"/>
    <w:rPr>
      <w:b/>
      <w:bCs/>
    </w:rPr>
  </w:style>
  <w:style w:type="paragraph" w:customStyle="1" w:styleId="TableParagraph">
    <w:name w:val="Table Paragraph"/>
    <w:basedOn w:val="Normal"/>
    <w:uiPriority w:val="1"/>
    <w:qFormat/>
    <w:rsid w:val="004A3F2F"/>
    <w:pPr>
      <w:widowControl w:val="0"/>
      <w:autoSpaceDE w:val="0"/>
      <w:autoSpaceDN w:val="0"/>
    </w:pPr>
    <w:rPr>
      <w:rFonts w:ascii="Arial" w:eastAsia="Arial" w:hAnsi="Arial" w:cs="Arial"/>
      <w:sz w:val="22"/>
      <w:szCs w:val="22"/>
      <w:lang w:val="en-US"/>
    </w:rPr>
  </w:style>
  <w:style w:type="paragraph" w:styleId="Revision">
    <w:name w:val="Revision"/>
    <w:hidden/>
    <w:uiPriority w:val="99"/>
    <w:semiHidden/>
    <w:rsid w:val="001B6839"/>
    <w:rPr>
      <w:sz w:val="24"/>
      <w:szCs w:val="24"/>
      <w:lang w:eastAsia="en-US"/>
    </w:rPr>
  </w:style>
  <w:style w:type="paragraph" w:customStyle="1" w:styleId="Bullet1">
    <w:name w:val="Bullet 1"/>
    <w:basedOn w:val="Normal"/>
    <w:qFormat/>
    <w:rsid w:val="00B24DCC"/>
    <w:pPr>
      <w:numPr>
        <w:numId w:val="31"/>
      </w:numPr>
      <w:tabs>
        <w:tab w:val="left" w:pos="567"/>
      </w:tabs>
      <w:suppressAutoHyphens/>
      <w:spacing w:before="60" w:after="60" w:line="260" w:lineRule="atLeast"/>
    </w:pPr>
    <w:rPr>
      <w:rFonts w:asciiTheme="minorHAnsi" w:eastAsiaTheme="minorHAnsi" w:hAnsiTheme="minorHAnsi" w:cstheme="minorBidi"/>
      <w:color w:val="1F497D" w:themeColor="text2"/>
      <w:sz w:val="22"/>
      <w:szCs w:val="22"/>
      <w:lang w:val="en-GB"/>
    </w:rPr>
  </w:style>
  <w:style w:type="paragraph" w:customStyle="1" w:styleId="Bullet2">
    <w:name w:val="Bullet 2"/>
    <w:basedOn w:val="Bullet1"/>
    <w:qFormat/>
    <w:rsid w:val="00B24DCC"/>
    <w:pPr>
      <w:numPr>
        <w:ilvl w:val="1"/>
      </w:numPr>
      <w:tabs>
        <w:tab w:val="clear" w:pos="568"/>
        <w:tab w:val="left" w:pos="851"/>
      </w:tabs>
    </w:pPr>
  </w:style>
  <w:style w:type="paragraph" w:customStyle="1" w:styleId="Bullet3">
    <w:name w:val="Bullet 3"/>
    <w:basedOn w:val="Bullet2"/>
    <w:qFormat/>
    <w:rsid w:val="00B24DCC"/>
    <w:pPr>
      <w:numPr>
        <w:ilvl w:val="2"/>
      </w:numPr>
      <w:tabs>
        <w:tab w:val="clear" w:pos="852"/>
        <w:tab w:val="left" w:pos="1134"/>
      </w:tabs>
    </w:pPr>
  </w:style>
  <w:style w:type="numbering" w:customStyle="1" w:styleId="BulletsList">
    <w:name w:val="Bullets List"/>
    <w:uiPriority w:val="99"/>
    <w:rsid w:val="00B24DCC"/>
    <w:pPr>
      <w:numPr>
        <w:numId w:val="30"/>
      </w:numPr>
    </w:pPr>
  </w:style>
  <w:style w:type="character" w:customStyle="1" w:styleId="Heading3Char">
    <w:name w:val="Heading 3 Char"/>
    <w:basedOn w:val="DefaultParagraphFont"/>
    <w:link w:val="Heading3"/>
    <w:rsid w:val="002B4626"/>
    <w:rPr>
      <w:rFonts w:asciiTheme="majorHAnsi" w:eastAsiaTheme="majorEastAsia" w:hAnsiTheme="majorHAnsi" w:cstheme="majorBidi"/>
      <w:color w:val="243F60" w:themeColor="accent1" w:themeShade="7F"/>
      <w:sz w:val="24"/>
      <w:szCs w:val="24"/>
      <w:lang w:eastAsia="en-US"/>
    </w:rPr>
  </w:style>
  <w:style w:type="character" w:styleId="IntenseReference">
    <w:name w:val="Intense Reference"/>
    <w:basedOn w:val="DefaultParagraphFont"/>
    <w:uiPriority w:val="32"/>
    <w:qFormat/>
    <w:rsid w:val="002B4626"/>
    <w:rPr>
      <w:rFonts w:asciiTheme="minorHAnsi" w:hAnsiTheme="minorHAnsi"/>
      <w:b/>
      <w:bCs/>
      <w:caps w:val="0"/>
      <w:smallCaps/>
      <w:color w:val="F79646" w:themeColor="accent6"/>
      <w:spacing w:val="5"/>
    </w:rPr>
  </w:style>
  <w:style w:type="table" w:customStyle="1" w:styleId="ODETable">
    <w:name w:val="ODE Table"/>
    <w:basedOn w:val="TableNormal"/>
    <w:uiPriority w:val="99"/>
    <w:rsid w:val="002B4626"/>
    <w:rPr>
      <w:rFonts w:ascii="Courier" w:hAnsi="Courie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57" w:type="dxa"/>
        <w:bottom w:w="113" w:type="dxa"/>
        <w:right w:w="57" w:type="dxa"/>
      </w:tblCellMar>
    </w:tblPr>
    <w:tcPr>
      <w:shd w:val="clear" w:color="auto" w:fill="8064A2" w:themeFill="accent4"/>
    </w:tcPr>
    <w:tblStylePr w:type="firstRow">
      <w:tblPr/>
      <w:tcPr>
        <w:shd w:val="clear" w:color="auto" w:fill="C0504D" w:themeFill="accent2"/>
      </w:tcPr>
    </w:tblStylePr>
  </w:style>
  <w:style w:type="paragraph" w:customStyle="1" w:styleId="Tablebullets">
    <w:name w:val="Table bullets"/>
    <w:link w:val="TablebulletsChar"/>
    <w:qFormat/>
    <w:rsid w:val="002B4626"/>
    <w:pPr>
      <w:numPr>
        <w:numId w:val="32"/>
      </w:numPr>
    </w:pPr>
    <w:rPr>
      <w:rFonts w:ascii="Helvetica" w:hAnsi="Helvetica" w:cs="Helvetica"/>
      <w:color w:val="000000" w:themeColor="text1"/>
      <w:sz w:val="24"/>
      <w:szCs w:val="24"/>
      <w:lang w:val="en-GB" w:eastAsia="en-US"/>
    </w:rPr>
  </w:style>
  <w:style w:type="character" w:customStyle="1" w:styleId="TablebulletsChar">
    <w:name w:val="Table bullets Char"/>
    <w:basedOn w:val="BodyTextChar"/>
    <w:link w:val="Tablebullets"/>
    <w:rsid w:val="002B4626"/>
    <w:rPr>
      <w:rFonts w:ascii="Helvetica" w:hAnsi="Helvetica" w:cs="Helvetica"/>
      <w:color w:val="000000" w:themeColor="text1"/>
      <w:sz w:val="24"/>
      <w:szCs w:val="24"/>
      <w:lang w:val="en-GB" w:eastAsia="en-US"/>
    </w:rPr>
  </w:style>
  <w:style w:type="paragraph" w:customStyle="1" w:styleId="Bodytxt">
    <w:name w:val="Bodytxt"/>
    <w:basedOn w:val="Normal"/>
    <w:link w:val="BodytxtChar"/>
    <w:rsid w:val="00363A28"/>
    <w:pPr>
      <w:spacing w:after="120"/>
      <w:ind w:left="720"/>
      <w:jc w:val="both"/>
    </w:pPr>
    <w:rPr>
      <w:rFonts w:ascii="Calibri" w:hAnsi="Calibri"/>
      <w:sz w:val="22"/>
    </w:rPr>
  </w:style>
  <w:style w:type="paragraph" w:customStyle="1" w:styleId="Bullets">
    <w:name w:val="Bullets"/>
    <w:basedOn w:val="Bodytxt"/>
    <w:rsid w:val="00363A28"/>
    <w:pPr>
      <w:numPr>
        <w:numId w:val="35"/>
      </w:numPr>
      <w:tabs>
        <w:tab w:val="clear" w:pos="1814"/>
        <w:tab w:val="num" w:pos="720"/>
      </w:tabs>
      <w:spacing w:after="60"/>
      <w:ind w:left="720" w:hanging="360"/>
    </w:pPr>
    <w:rPr>
      <w:lang w:val="en-GB"/>
    </w:rPr>
  </w:style>
  <w:style w:type="paragraph" w:customStyle="1" w:styleId="Bullets-last">
    <w:name w:val="Bullets - last"/>
    <w:basedOn w:val="Bullets"/>
    <w:next w:val="Bodytxt"/>
    <w:rsid w:val="00363A28"/>
    <w:pPr>
      <w:spacing w:after="120"/>
    </w:pPr>
  </w:style>
  <w:style w:type="character" w:customStyle="1" w:styleId="BodytxtChar">
    <w:name w:val="Bodytxt Char"/>
    <w:link w:val="Bodytxt"/>
    <w:rsid w:val="00363A28"/>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447270">
      <w:bodyDiv w:val="1"/>
      <w:marLeft w:val="0"/>
      <w:marRight w:val="0"/>
      <w:marTop w:val="0"/>
      <w:marBottom w:val="0"/>
      <w:divBdr>
        <w:top w:val="none" w:sz="0" w:space="0" w:color="auto"/>
        <w:left w:val="none" w:sz="0" w:space="0" w:color="auto"/>
        <w:bottom w:val="none" w:sz="0" w:space="0" w:color="auto"/>
        <w:right w:val="none" w:sz="0" w:space="0" w:color="auto"/>
      </w:divBdr>
      <w:divsChild>
        <w:div w:id="530604466">
          <w:marLeft w:val="1008"/>
          <w:marRight w:val="0"/>
          <w:marTop w:val="101"/>
          <w:marBottom w:val="0"/>
          <w:divBdr>
            <w:top w:val="none" w:sz="0" w:space="0" w:color="auto"/>
            <w:left w:val="none" w:sz="0" w:space="0" w:color="auto"/>
            <w:bottom w:val="none" w:sz="0" w:space="0" w:color="auto"/>
            <w:right w:val="none" w:sz="0" w:space="0" w:color="auto"/>
          </w:divBdr>
        </w:div>
        <w:div w:id="1254123615">
          <w:marLeft w:val="1008"/>
          <w:marRight w:val="0"/>
          <w:marTop w:val="101"/>
          <w:marBottom w:val="0"/>
          <w:divBdr>
            <w:top w:val="none" w:sz="0" w:space="0" w:color="auto"/>
            <w:left w:val="none" w:sz="0" w:space="0" w:color="auto"/>
            <w:bottom w:val="none" w:sz="0" w:space="0" w:color="auto"/>
            <w:right w:val="none" w:sz="0" w:space="0" w:color="auto"/>
          </w:divBdr>
        </w:div>
      </w:divsChild>
    </w:div>
    <w:div w:id="283930838">
      <w:bodyDiv w:val="1"/>
      <w:marLeft w:val="0"/>
      <w:marRight w:val="0"/>
      <w:marTop w:val="0"/>
      <w:marBottom w:val="0"/>
      <w:divBdr>
        <w:top w:val="none" w:sz="0" w:space="0" w:color="auto"/>
        <w:left w:val="none" w:sz="0" w:space="0" w:color="auto"/>
        <w:bottom w:val="none" w:sz="0" w:space="0" w:color="auto"/>
        <w:right w:val="none" w:sz="0" w:space="0" w:color="auto"/>
      </w:divBdr>
      <w:divsChild>
        <w:div w:id="663584375">
          <w:marLeft w:val="720"/>
          <w:marRight w:val="0"/>
          <w:marTop w:val="120"/>
          <w:marBottom w:val="0"/>
          <w:divBdr>
            <w:top w:val="none" w:sz="0" w:space="0" w:color="auto"/>
            <w:left w:val="none" w:sz="0" w:space="0" w:color="auto"/>
            <w:bottom w:val="none" w:sz="0" w:space="0" w:color="auto"/>
            <w:right w:val="none" w:sz="0" w:space="0" w:color="auto"/>
          </w:divBdr>
        </w:div>
        <w:div w:id="1617441214">
          <w:marLeft w:val="720"/>
          <w:marRight w:val="0"/>
          <w:marTop w:val="120"/>
          <w:marBottom w:val="0"/>
          <w:divBdr>
            <w:top w:val="none" w:sz="0" w:space="0" w:color="auto"/>
            <w:left w:val="none" w:sz="0" w:space="0" w:color="auto"/>
            <w:bottom w:val="none" w:sz="0" w:space="0" w:color="auto"/>
            <w:right w:val="none" w:sz="0" w:space="0" w:color="auto"/>
          </w:divBdr>
        </w:div>
        <w:div w:id="1621959636">
          <w:marLeft w:val="720"/>
          <w:marRight w:val="0"/>
          <w:marTop w:val="120"/>
          <w:marBottom w:val="0"/>
          <w:divBdr>
            <w:top w:val="none" w:sz="0" w:space="0" w:color="auto"/>
            <w:left w:val="none" w:sz="0" w:space="0" w:color="auto"/>
            <w:bottom w:val="none" w:sz="0" w:space="0" w:color="auto"/>
            <w:right w:val="none" w:sz="0" w:space="0" w:color="auto"/>
          </w:divBdr>
        </w:div>
        <w:div w:id="1720665478">
          <w:marLeft w:val="720"/>
          <w:marRight w:val="0"/>
          <w:marTop w:val="120"/>
          <w:marBottom w:val="0"/>
          <w:divBdr>
            <w:top w:val="none" w:sz="0" w:space="0" w:color="auto"/>
            <w:left w:val="none" w:sz="0" w:space="0" w:color="auto"/>
            <w:bottom w:val="none" w:sz="0" w:space="0" w:color="auto"/>
            <w:right w:val="none" w:sz="0" w:space="0" w:color="auto"/>
          </w:divBdr>
        </w:div>
      </w:divsChild>
    </w:div>
    <w:div w:id="817187854">
      <w:bodyDiv w:val="1"/>
      <w:marLeft w:val="0"/>
      <w:marRight w:val="0"/>
      <w:marTop w:val="0"/>
      <w:marBottom w:val="0"/>
      <w:divBdr>
        <w:top w:val="none" w:sz="0" w:space="0" w:color="auto"/>
        <w:left w:val="none" w:sz="0" w:space="0" w:color="auto"/>
        <w:bottom w:val="none" w:sz="0" w:space="0" w:color="auto"/>
        <w:right w:val="none" w:sz="0" w:space="0" w:color="auto"/>
      </w:divBdr>
    </w:div>
    <w:div w:id="1079601284">
      <w:bodyDiv w:val="1"/>
      <w:marLeft w:val="0"/>
      <w:marRight w:val="0"/>
      <w:marTop w:val="0"/>
      <w:marBottom w:val="0"/>
      <w:divBdr>
        <w:top w:val="none" w:sz="0" w:space="0" w:color="auto"/>
        <w:left w:val="none" w:sz="0" w:space="0" w:color="auto"/>
        <w:bottom w:val="none" w:sz="0" w:space="0" w:color="auto"/>
        <w:right w:val="none" w:sz="0" w:space="0" w:color="auto"/>
      </w:divBdr>
    </w:div>
    <w:div w:id="1114713685">
      <w:bodyDiv w:val="1"/>
      <w:marLeft w:val="0"/>
      <w:marRight w:val="0"/>
      <w:marTop w:val="0"/>
      <w:marBottom w:val="0"/>
      <w:divBdr>
        <w:top w:val="none" w:sz="0" w:space="0" w:color="auto"/>
        <w:left w:val="none" w:sz="0" w:space="0" w:color="auto"/>
        <w:bottom w:val="none" w:sz="0" w:space="0" w:color="auto"/>
        <w:right w:val="none" w:sz="0" w:space="0" w:color="auto"/>
      </w:divBdr>
      <w:divsChild>
        <w:div w:id="12847539">
          <w:marLeft w:val="1008"/>
          <w:marRight w:val="0"/>
          <w:marTop w:val="101"/>
          <w:marBottom w:val="0"/>
          <w:divBdr>
            <w:top w:val="none" w:sz="0" w:space="0" w:color="auto"/>
            <w:left w:val="none" w:sz="0" w:space="0" w:color="auto"/>
            <w:bottom w:val="none" w:sz="0" w:space="0" w:color="auto"/>
            <w:right w:val="none" w:sz="0" w:space="0" w:color="auto"/>
          </w:divBdr>
        </w:div>
        <w:div w:id="440876385">
          <w:marLeft w:val="1008"/>
          <w:marRight w:val="0"/>
          <w:marTop w:val="101"/>
          <w:marBottom w:val="0"/>
          <w:divBdr>
            <w:top w:val="none" w:sz="0" w:space="0" w:color="auto"/>
            <w:left w:val="none" w:sz="0" w:space="0" w:color="auto"/>
            <w:bottom w:val="none" w:sz="0" w:space="0" w:color="auto"/>
            <w:right w:val="none" w:sz="0" w:space="0" w:color="auto"/>
          </w:divBdr>
        </w:div>
        <w:div w:id="562256230">
          <w:marLeft w:val="1008"/>
          <w:marRight w:val="0"/>
          <w:marTop w:val="101"/>
          <w:marBottom w:val="0"/>
          <w:divBdr>
            <w:top w:val="none" w:sz="0" w:space="0" w:color="auto"/>
            <w:left w:val="none" w:sz="0" w:space="0" w:color="auto"/>
            <w:bottom w:val="none" w:sz="0" w:space="0" w:color="auto"/>
            <w:right w:val="none" w:sz="0" w:space="0" w:color="auto"/>
          </w:divBdr>
        </w:div>
        <w:div w:id="1866211362">
          <w:marLeft w:val="1008"/>
          <w:marRight w:val="0"/>
          <w:marTop w:val="101"/>
          <w:marBottom w:val="0"/>
          <w:divBdr>
            <w:top w:val="none" w:sz="0" w:space="0" w:color="auto"/>
            <w:left w:val="none" w:sz="0" w:space="0" w:color="auto"/>
            <w:bottom w:val="none" w:sz="0" w:space="0" w:color="auto"/>
            <w:right w:val="none" w:sz="0" w:space="0" w:color="auto"/>
          </w:divBdr>
        </w:div>
        <w:div w:id="2115392412">
          <w:marLeft w:val="1008"/>
          <w:marRight w:val="0"/>
          <w:marTop w:val="101"/>
          <w:marBottom w:val="0"/>
          <w:divBdr>
            <w:top w:val="none" w:sz="0" w:space="0" w:color="auto"/>
            <w:left w:val="none" w:sz="0" w:space="0" w:color="auto"/>
            <w:bottom w:val="none" w:sz="0" w:space="0" w:color="auto"/>
            <w:right w:val="none" w:sz="0" w:space="0" w:color="auto"/>
          </w:divBdr>
        </w:div>
      </w:divsChild>
    </w:div>
    <w:div w:id="1131631500">
      <w:bodyDiv w:val="1"/>
      <w:marLeft w:val="0"/>
      <w:marRight w:val="0"/>
      <w:marTop w:val="0"/>
      <w:marBottom w:val="0"/>
      <w:divBdr>
        <w:top w:val="none" w:sz="0" w:space="0" w:color="auto"/>
        <w:left w:val="none" w:sz="0" w:space="0" w:color="auto"/>
        <w:bottom w:val="none" w:sz="0" w:space="0" w:color="auto"/>
        <w:right w:val="none" w:sz="0" w:space="0" w:color="auto"/>
      </w:divBdr>
      <w:divsChild>
        <w:div w:id="268664522">
          <w:marLeft w:val="720"/>
          <w:marRight w:val="0"/>
          <w:marTop w:val="120"/>
          <w:marBottom w:val="0"/>
          <w:divBdr>
            <w:top w:val="none" w:sz="0" w:space="0" w:color="auto"/>
            <w:left w:val="none" w:sz="0" w:space="0" w:color="auto"/>
            <w:bottom w:val="none" w:sz="0" w:space="0" w:color="auto"/>
            <w:right w:val="none" w:sz="0" w:space="0" w:color="auto"/>
          </w:divBdr>
        </w:div>
        <w:div w:id="604460832">
          <w:marLeft w:val="720"/>
          <w:marRight w:val="0"/>
          <w:marTop w:val="120"/>
          <w:marBottom w:val="0"/>
          <w:divBdr>
            <w:top w:val="none" w:sz="0" w:space="0" w:color="auto"/>
            <w:left w:val="none" w:sz="0" w:space="0" w:color="auto"/>
            <w:bottom w:val="none" w:sz="0" w:space="0" w:color="auto"/>
            <w:right w:val="none" w:sz="0" w:space="0" w:color="auto"/>
          </w:divBdr>
        </w:div>
        <w:div w:id="782963598">
          <w:marLeft w:val="432"/>
          <w:marRight w:val="0"/>
          <w:marTop w:val="120"/>
          <w:marBottom w:val="0"/>
          <w:divBdr>
            <w:top w:val="none" w:sz="0" w:space="0" w:color="auto"/>
            <w:left w:val="none" w:sz="0" w:space="0" w:color="auto"/>
            <w:bottom w:val="none" w:sz="0" w:space="0" w:color="auto"/>
            <w:right w:val="none" w:sz="0" w:space="0" w:color="auto"/>
          </w:divBdr>
        </w:div>
        <w:div w:id="1103376352">
          <w:marLeft w:val="720"/>
          <w:marRight w:val="0"/>
          <w:marTop w:val="120"/>
          <w:marBottom w:val="0"/>
          <w:divBdr>
            <w:top w:val="none" w:sz="0" w:space="0" w:color="auto"/>
            <w:left w:val="none" w:sz="0" w:space="0" w:color="auto"/>
            <w:bottom w:val="none" w:sz="0" w:space="0" w:color="auto"/>
            <w:right w:val="none" w:sz="0" w:space="0" w:color="auto"/>
          </w:divBdr>
        </w:div>
        <w:div w:id="1328316378">
          <w:marLeft w:val="720"/>
          <w:marRight w:val="0"/>
          <w:marTop w:val="120"/>
          <w:marBottom w:val="0"/>
          <w:divBdr>
            <w:top w:val="none" w:sz="0" w:space="0" w:color="auto"/>
            <w:left w:val="none" w:sz="0" w:space="0" w:color="auto"/>
            <w:bottom w:val="none" w:sz="0" w:space="0" w:color="auto"/>
            <w:right w:val="none" w:sz="0" w:space="0" w:color="auto"/>
          </w:divBdr>
        </w:div>
        <w:div w:id="1337610287">
          <w:marLeft w:val="720"/>
          <w:marRight w:val="0"/>
          <w:marTop w:val="120"/>
          <w:marBottom w:val="0"/>
          <w:divBdr>
            <w:top w:val="none" w:sz="0" w:space="0" w:color="auto"/>
            <w:left w:val="none" w:sz="0" w:space="0" w:color="auto"/>
            <w:bottom w:val="none" w:sz="0" w:space="0" w:color="auto"/>
            <w:right w:val="none" w:sz="0" w:space="0" w:color="auto"/>
          </w:divBdr>
        </w:div>
        <w:div w:id="1769695073">
          <w:marLeft w:val="720"/>
          <w:marRight w:val="0"/>
          <w:marTop w:val="120"/>
          <w:marBottom w:val="0"/>
          <w:divBdr>
            <w:top w:val="none" w:sz="0" w:space="0" w:color="auto"/>
            <w:left w:val="none" w:sz="0" w:space="0" w:color="auto"/>
            <w:bottom w:val="none" w:sz="0" w:space="0" w:color="auto"/>
            <w:right w:val="none" w:sz="0" w:space="0" w:color="auto"/>
          </w:divBdr>
        </w:div>
        <w:div w:id="1786540657">
          <w:marLeft w:val="720"/>
          <w:marRight w:val="0"/>
          <w:marTop w:val="120"/>
          <w:marBottom w:val="0"/>
          <w:divBdr>
            <w:top w:val="none" w:sz="0" w:space="0" w:color="auto"/>
            <w:left w:val="none" w:sz="0" w:space="0" w:color="auto"/>
            <w:bottom w:val="none" w:sz="0" w:space="0" w:color="auto"/>
            <w:right w:val="none" w:sz="0" w:space="0" w:color="auto"/>
          </w:divBdr>
        </w:div>
        <w:div w:id="2009022193">
          <w:marLeft w:val="720"/>
          <w:marRight w:val="0"/>
          <w:marTop w:val="120"/>
          <w:marBottom w:val="0"/>
          <w:divBdr>
            <w:top w:val="none" w:sz="0" w:space="0" w:color="auto"/>
            <w:left w:val="none" w:sz="0" w:space="0" w:color="auto"/>
            <w:bottom w:val="none" w:sz="0" w:space="0" w:color="auto"/>
            <w:right w:val="none" w:sz="0" w:space="0" w:color="auto"/>
          </w:divBdr>
        </w:div>
      </w:divsChild>
    </w:div>
    <w:div w:id="1271162752">
      <w:bodyDiv w:val="1"/>
      <w:marLeft w:val="0"/>
      <w:marRight w:val="0"/>
      <w:marTop w:val="0"/>
      <w:marBottom w:val="0"/>
      <w:divBdr>
        <w:top w:val="none" w:sz="0" w:space="0" w:color="auto"/>
        <w:left w:val="none" w:sz="0" w:space="0" w:color="auto"/>
        <w:bottom w:val="none" w:sz="0" w:space="0" w:color="auto"/>
        <w:right w:val="none" w:sz="0" w:space="0" w:color="auto"/>
      </w:divBdr>
    </w:div>
    <w:div w:id="1425687314">
      <w:bodyDiv w:val="1"/>
      <w:marLeft w:val="0"/>
      <w:marRight w:val="0"/>
      <w:marTop w:val="0"/>
      <w:marBottom w:val="0"/>
      <w:divBdr>
        <w:top w:val="none" w:sz="0" w:space="0" w:color="auto"/>
        <w:left w:val="none" w:sz="0" w:space="0" w:color="auto"/>
        <w:bottom w:val="none" w:sz="0" w:space="0" w:color="auto"/>
        <w:right w:val="none" w:sz="0" w:space="0" w:color="auto"/>
      </w:divBdr>
      <w:divsChild>
        <w:div w:id="375005649">
          <w:marLeft w:val="720"/>
          <w:marRight w:val="0"/>
          <w:marTop w:val="120"/>
          <w:marBottom w:val="0"/>
          <w:divBdr>
            <w:top w:val="none" w:sz="0" w:space="0" w:color="auto"/>
            <w:left w:val="none" w:sz="0" w:space="0" w:color="auto"/>
            <w:bottom w:val="none" w:sz="0" w:space="0" w:color="auto"/>
            <w:right w:val="none" w:sz="0" w:space="0" w:color="auto"/>
          </w:divBdr>
        </w:div>
        <w:div w:id="376052654">
          <w:marLeft w:val="720"/>
          <w:marRight w:val="0"/>
          <w:marTop w:val="120"/>
          <w:marBottom w:val="0"/>
          <w:divBdr>
            <w:top w:val="none" w:sz="0" w:space="0" w:color="auto"/>
            <w:left w:val="none" w:sz="0" w:space="0" w:color="auto"/>
            <w:bottom w:val="none" w:sz="0" w:space="0" w:color="auto"/>
            <w:right w:val="none" w:sz="0" w:space="0" w:color="auto"/>
          </w:divBdr>
        </w:div>
        <w:div w:id="986085009">
          <w:marLeft w:val="720"/>
          <w:marRight w:val="0"/>
          <w:marTop w:val="120"/>
          <w:marBottom w:val="0"/>
          <w:divBdr>
            <w:top w:val="none" w:sz="0" w:space="0" w:color="auto"/>
            <w:left w:val="none" w:sz="0" w:space="0" w:color="auto"/>
            <w:bottom w:val="none" w:sz="0" w:space="0" w:color="auto"/>
            <w:right w:val="none" w:sz="0" w:space="0" w:color="auto"/>
          </w:divBdr>
        </w:div>
        <w:div w:id="1777868559">
          <w:marLeft w:val="720"/>
          <w:marRight w:val="0"/>
          <w:marTop w:val="120"/>
          <w:marBottom w:val="0"/>
          <w:divBdr>
            <w:top w:val="none" w:sz="0" w:space="0" w:color="auto"/>
            <w:left w:val="none" w:sz="0" w:space="0" w:color="auto"/>
            <w:bottom w:val="none" w:sz="0" w:space="0" w:color="auto"/>
            <w:right w:val="none" w:sz="0" w:space="0" w:color="auto"/>
          </w:divBdr>
        </w:div>
      </w:divsChild>
    </w:div>
    <w:div w:id="1830056821">
      <w:bodyDiv w:val="1"/>
      <w:marLeft w:val="0"/>
      <w:marRight w:val="0"/>
      <w:marTop w:val="0"/>
      <w:marBottom w:val="0"/>
      <w:divBdr>
        <w:top w:val="none" w:sz="0" w:space="0" w:color="auto"/>
        <w:left w:val="none" w:sz="0" w:space="0" w:color="auto"/>
        <w:bottom w:val="none" w:sz="0" w:space="0" w:color="auto"/>
        <w:right w:val="none" w:sz="0" w:space="0" w:color="auto"/>
      </w:divBdr>
    </w:div>
    <w:div w:id="1968967519">
      <w:bodyDiv w:val="1"/>
      <w:marLeft w:val="0"/>
      <w:marRight w:val="0"/>
      <w:marTop w:val="0"/>
      <w:marBottom w:val="0"/>
      <w:divBdr>
        <w:top w:val="none" w:sz="0" w:space="0" w:color="auto"/>
        <w:left w:val="none" w:sz="0" w:space="0" w:color="auto"/>
        <w:bottom w:val="none" w:sz="0" w:space="0" w:color="auto"/>
        <w:right w:val="none" w:sz="0" w:space="0" w:color="auto"/>
      </w:divBdr>
    </w:div>
    <w:div w:id="2102292290">
      <w:bodyDiv w:val="1"/>
      <w:marLeft w:val="0"/>
      <w:marRight w:val="0"/>
      <w:marTop w:val="0"/>
      <w:marBottom w:val="0"/>
      <w:divBdr>
        <w:top w:val="none" w:sz="0" w:space="0" w:color="auto"/>
        <w:left w:val="none" w:sz="0" w:space="0" w:color="auto"/>
        <w:bottom w:val="none" w:sz="0" w:space="0" w:color="auto"/>
        <w:right w:val="none" w:sz="0" w:space="0" w:color="auto"/>
      </w:divBdr>
    </w:div>
    <w:div w:id="2136215964">
      <w:bodyDiv w:val="1"/>
      <w:marLeft w:val="0"/>
      <w:marRight w:val="0"/>
      <w:marTop w:val="0"/>
      <w:marBottom w:val="0"/>
      <w:divBdr>
        <w:top w:val="none" w:sz="0" w:space="0" w:color="auto"/>
        <w:left w:val="none" w:sz="0" w:space="0" w:color="auto"/>
        <w:bottom w:val="none" w:sz="0" w:space="0" w:color="auto"/>
        <w:right w:val="none" w:sz="0" w:space="0" w:color="auto"/>
      </w:divBdr>
      <w:divsChild>
        <w:div w:id="82846996">
          <w:marLeft w:val="720"/>
          <w:marRight w:val="0"/>
          <w:marTop w:val="120"/>
          <w:marBottom w:val="0"/>
          <w:divBdr>
            <w:top w:val="none" w:sz="0" w:space="0" w:color="auto"/>
            <w:left w:val="none" w:sz="0" w:space="0" w:color="auto"/>
            <w:bottom w:val="none" w:sz="0" w:space="0" w:color="auto"/>
            <w:right w:val="none" w:sz="0" w:space="0" w:color="auto"/>
          </w:divBdr>
        </w:div>
        <w:div w:id="1047413247">
          <w:marLeft w:val="720"/>
          <w:marRight w:val="0"/>
          <w:marTop w:val="120"/>
          <w:marBottom w:val="0"/>
          <w:divBdr>
            <w:top w:val="none" w:sz="0" w:space="0" w:color="auto"/>
            <w:left w:val="none" w:sz="0" w:space="0" w:color="auto"/>
            <w:bottom w:val="none" w:sz="0" w:space="0" w:color="auto"/>
            <w:right w:val="none" w:sz="0" w:space="0" w:color="auto"/>
          </w:divBdr>
        </w:div>
        <w:div w:id="1471556733">
          <w:marLeft w:val="720"/>
          <w:marRight w:val="0"/>
          <w:marTop w:val="120"/>
          <w:marBottom w:val="0"/>
          <w:divBdr>
            <w:top w:val="none" w:sz="0" w:space="0" w:color="auto"/>
            <w:left w:val="none" w:sz="0" w:space="0" w:color="auto"/>
            <w:bottom w:val="none" w:sz="0" w:space="0" w:color="auto"/>
            <w:right w:val="none" w:sz="0" w:space="0" w:color="auto"/>
          </w:divBdr>
        </w:div>
        <w:div w:id="1730223853">
          <w:marLeft w:val="720"/>
          <w:marRight w:val="0"/>
          <w:marTop w:val="120"/>
          <w:marBottom w:val="0"/>
          <w:divBdr>
            <w:top w:val="none" w:sz="0" w:space="0" w:color="auto"/>
            <w:left w:val="none" w:sz="0" w:space="0" w:color="auto"/>
            <w:bottom w:val="none" w:sz="0" w:space="0" w:color="auto"/>
            <w:right w:val="none" w:sz="0" w:space="0" w:color="auto"/>
          </w:divBdr>
        </w:div>
        <w:div w:id="1906066127">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4BC352-F69F-4F9B-95B9-6F669B2313BC}"/>
</file>

<file path=customXml/itemProps2.xml><?xml version="1.0" encoding="utf-8"?>
<ds:datastoreItem xmlns:ds="http://schemas.openxmlformats.org/officeDocument/2006/customXml" ds:itemID="{DD154120-A955-488D-8EA6-2AAF92D246BD}"/>
</file>

<file path=customXml/itemProps3.xml><?xml version="1.0" encoding="utf-8"?>
<ds:datastoreItem xmlns:ds="http://schemas.openxmlformats.org/officeDocument/2006/customXml" ds:itemID="{1DE6A9B6-7631-463A-AB3E-49809CEA2689}"/>
</file>

<file path=customXml/itemProps4.xml><?xml version="1.0" encoding="utf-8"?>
<ds:datastoreItem xmlns:ds="http://schemas.openxmlformats.org/officeDocument/2006/customXml" ds:itemID="{CF5F6ACE-2383-4E95-91DE-E70F956BF303}"/>
</file>

<file path=docProps/app.xml><?xml version="1.0" encoding="utf-8"?>
<Properties xmlns="http://schemas.openxmlformats.org/officeDocument/2006/extended-properties" xmlns:vt="http://schemas.openxmlformats.org/officeDocument/2006/docPropsVTypes">
  <Template>Normal.dotm</Template>
  <TotalTime>0</TotalTime>
  <Pages>6</Pages>
  <Words>1841</Words>
  <Characters>10497</Characters>
  <Application>Microsoft Office Word</Application>
  <DocSecurity>0</DocSecurity>
  <Lines>87</Lines>
  <Paragraphs>24</Paragraphs>
  <ScaleCrop>false</ScaleCrop>
  <Company/>
  <LinksUpToDate>false</LinksUpToDate>
  <CharactersWithSpaces>12314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2018-12-23T22:39:00Z</dcterms:created>
  <dcterms:modified xsi:type="dcterms:W3CDTF">2018-12-23T22:39:00Z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5f5cc228-7cef-42f9-b895-738d4d99ba52</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1212600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