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17188839" w:displacedByCustomXml="next"/>
    <w:bookmarkStart w:id="1" w:name="_Toc217188658" w:displacedByCustomXml="next"/>
    <w:sdt>
      <w:sdtPr>
        <w:rPr>
          <w:rFonts w:asciiTheme="minorHAnsi" w:hAnsiTheme="minorHAnsi"/>
          <w:b w:val="0"/>
          <w:sz w:val="22"/>
        </w:rPr>
        <w:id w:val="-452780645"/>
        <w:docPartObj>
          <w:docPartGallery w:val="Cover Pages"/>
          <w:docPartUnique/>
        </w:docPartObj>
      </w:sdtPr>
      <w:sdtEndPr/>
      <w:sdtContent>
        <w:p w14:paraId="08212769" w14:textId="77777777" w:rsidR="000239C8" w:rsidRPr="000C4FFD" w:rsidRDefault="000239C8" w:rsidP="007D1D0D">
          <w:pPr>
            <w:pStyle w:val="Coverpagereport"/>
          </w:pPr>
        </w:p>
        <w:p w14:paraId="7AF191A0" w14:textId="77777777" w:rsidR="000239C8" w:rsidRPr="000C4FFD" w:rsidRDefault="000239C8" w:rsidP="007D1D0D">
          <w:pPr>
            <w:pStyle w:val="Coverpagereport"/>
          </w:pPr>
        </w:p>
        <w:p w14:paraId="206CA6F4" w14:textId="77777777" w:rsidR="000239C8" w:rsidRPr="000C4FFD" w:rsidRDefault="000239C8" w:rsidP="007D1D0D">
          <w:pPr>
            <w:pStyle w:val="Coverpagereport"/>
          </w:pPr>
        </w:p>
        <w:p w14:paraId="034DB3FD" w14:textId="77777777" w:rsidR="000239C8" w:rsidRPr="000C4FFD" w:rsidRDefault="000239C8" w:rsidP="007D1D0D">
          <w:pPr>
            <w:pStyle w:val="Coverpagereport"/>
          </w:pPr>
        </w:p>
        <w:p w14:paraId="56FEA01D" w14:textId="77777777" w:rsidR="000239C8" w:rsidRPr="000C4FFD" w:rsidRDefault="000239C8" w:rsidP="007D1D0D">
          <w:pPr>
            <w:pStyle w:val="Coverpagereport"/>
          </w:pPr>
        </w:p>
        <w:p w14:paraId="01516304" w14:textId="77777777" w:rsidR="000239C8" w:rsidRPr="000C4FFD" w:rsidRDefault="000239C8" w:rsidP="007D1D0D">
          <w:pPr>
            <w:pStyle w:val="Coverpagereport"/>
          </w:pPr>
        </w:p>
        <w:p w14:paraId="2A5038D7" w14:textId="77777777" w:rsidR="0097741D" w:rsidRDefault="0097741D" w:rsidP="007D1D0D">
          <w:pPr>
            <w:pStyle w:val="Coverpagereport"/>
          </w:pPr>
          <w:r>
            <w:t>Mid Term Review Report</w:t>
          </w:r>
        </w:p>
        <w:p w14:paraId="62A16646" w14:textId="77777777" w:rsidR="000239C8" w:rsidRPr="000C4FFD" w:rsidRDefault="0004659B" w:rsidP="007D1D0D">
          <w:pPr>
            <w:pStyle w:val="Coverpagereport"/>
          </w:pPr>
          <w:r w:rsidRPr="000C4FFD">
            <w:t xml:space="preserve"> </w:t>
          </w:r>
        </w:p>
        <w:p w14:paraId="64DD6C6C" w14:textId="77777777" w:rsidR="0097741D" w:rsidRPr="00184092" w:rsidRDefault="0097741D" w:rsidP="0097741D">
          <w:pPr>
            <w:rPr>
              <w:rFonts w:ascii="Arial" w:hAnsi="Arial" w:cs="Arial"/>
              <w:sz w:val="32"/>
              <w:szCs w:val="28"/>
            </w:rPr>
          </w:pPr>
          <w:r>
            <w:rPr>
              <w:rFonts w:ascii="Arial" w:hAnsi="Arial" w:cs="Arial"/>
              <w:sz w:val="32"/>
              <w:szCs w:val="28"/>
            </w:rPr>
            <w:t xml:space="preserve">Transformative Agenda for Women, Adolescents and Youth in the Pacific: </w:t>
          </w:r>
          <w:r w:rsidR="00685389">
            <w:rPr>
              <w:rFonts w:ascii="Arial" w:hAnsi="Arial" w:cs="Arial"/>
              <w:sz w:val="32"/>
              <w:szCs w:val="28"/>
            </w:rPr>
            <w:t xml:space="preserve">Towards </w:t>
          </w:r>
          <w:r>
            <w:rPr>
              <w:rFonts w:ascii="Arial" w:hAnsi="Arial" w:cs="Arial"/>
              <w:sz w:val="32"/>
              <w:szCs w:val="28"/>
            </w:rPr>
            <w:t>Zero Unmet Need for Family Planning 2018-2022</w:t>
          </w:r>
        </w:p>
        <w:p w14:paraId="1D955D6D" w14:textId="77777777" w:rsidR="000239C8" w:rsidRPr="007669E5" w:rsidRDefault="00FD01A1" w:rsidP="007D1D0D">
          <w:pPr>
            <w:pStyle w:val="Coverpagereport"/>
            <w:rPr>
              <w:b w:val="0"/>
            </w:rPr>
          </w:pPr>
          <w:r w:rsidRPr="007669E5">
            <w:rPr>
              <w:b w:val="0"/>
            </w:rPr>
            <w:t xml:space="preserve"> </w:t>
          </w:r>
        </w:p>
        <w:p w14:paraId="062DF18C" w14:textId="77777777" w:rsidR="000239C8" w:rsidRPr="007669E5" w:rsidRDefault="00C609BD" w:rsidP="00C609BD">
          <w:pPr>
            <w:pStyle w:val="Coverpagereport"/>
            <w:tabs>
              <w:tab w:val="left" w:pos="1425"/>
            </w:tabs>
            <w:rPr>
              <w:b w:val="0"/>
            </w:rPr>
          </w:pPr>
          <w:r w:rsidRPr="007669E5">
            <w:rPr>
              <w:b w:val="0"/>
            </w:rPr>
            <w:tab/>
          </w:r>
        </w:p>
        <w:p w14:paraId="2B983E42" w14:textId="77777777" w:rsidR="0004659B" w:rsidRPr="007669E5" w:rsidRDefault="0004659B" w:rsidP="007D1D0D">
          <w:pPr>
            <w:pStyle w:val="Coverpagereport"/>
            <w:rPr>
              <w:b w:val="0"/>
            </w:rPr>
          </w:pPr>
        </w:p>
        <w:p w14:paraId="0A993EE0" w14:textId="77777777" w:rsidR="000239C8" w:rsidRPr="0097741D" w:rsidRDefault="000F1126" w:rsidP="007D1D0D">
          <w:pPr>
            <w:pStyle w:val="Coverpagereport"/>
            <w:rPr>
              <w:bCs/>
            </w:rPr>
          </w:pPr>
          <w:r>
            <w:rPr>
              <w:bCs/>
            </w:rPr>
            <w:t>4</w:t>
          </w:r>
          <w:r w:rsidR="00904299">
            <w:rPr>
              <w:bCs/>
            </w:rPr>
            <w:t xml:space="preserve"> </w:t>
          </w:r>
          <w:r>
            <w:rPr>
              <w:bCs/>
            </w:rPr>
            <w:t>December</w:t>
          </w:r>
          <w:r w:rsidR="0097741D" w:rsidRPr="0097741D">
            <w:rPr>
              <w:bCs/>
            </w:rPr>
            <w:t xml:space="preserve"> 2020</w:t>
          </w:r>
        </w:p>
        <w:p w14:paraId="340DC322" w14:textId="77777777" w:rsidR="000239C8" w:rsidRPr="000C4FFD" w:rsidRDefault="000239C8" w:rsidP="007D1D0D">
          <w:pPr>
            <w:pStyle w:val="Coverpagereport"/>
          </w:pPr>
        </w:p>
        <w:p w14:paraId="0F03CC31" w14:textId="77777777" w:rsidR="000239C8" w:rsidRPr="000C4FFD" w:rsidRDefault="000239C8" w:rsidP="007D1D0D">
          <w:pPr>
            <w:pStyle w:val="Coverpagereport"/>
          </w:pPr>
        </w:p>
        <w:p w14:paraId="1FBD294D" w14:textId="77777777" w:rsidR="000239C8" w:rsidRPr="000C4FFD" w:rsidRDefault="000239C8" w:rsidP="007D1D0D">
          <w:pPr>
            <w:pStyle w:val="Coverpagereport"/>
          </w:pPr>
        </w:p>
        <w:p w14:paraId="36E63CF9" w14:textId="77777777" w:rsidR="000239C8" w:rsidRPr="000C4FFD" w:rsidRDefault="000239C8" w:rsidP="007D1D0D">
          <w:r w:rsidRPr="000C4FFD">
            <w:rPr>
              <w:noProof/>
              <w:lang w:eastAsia="en-AU" w:bidi="ar-SA"/>
            </w:rPr>
            <mc:AlternateContent>
              <mc:Choice Requires="wps">
                <w:drawing>
                  <wp:inline distT="0" distB="0" distL="0" distR="0" wp14:anchorId="74DE417D" wp14:editId="04A60EAD">
                    <wp:extent cx="2993390" cy="228600"/>
                    <wp:effectExtent l="0" t="0" r="0" b="0"/>
                    <wp:docPr id="217" name="Text Box 2" descr="The text in this box is strategic input on health to the Australian Govern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28600"/>
                            </a:xfrm>
                            <a:prstGeom prst="rect">
                              <a:avLst/>
                            </a:prstGeom>
                            <a:noFill/>
                            <a:ln w="9525">
                              <a:noFill/>
                              <a:miter lim="800000"/>
                              <a:headEnd/>
                              <a:tailEnd/>
                            </a:ln>
                          </wps:spPr>
                          <wps:txbx>
                            <w:txbxContent>
                              <w:p w14:paraId="0A36E3AB" w14:textId="77777777" w:rsidR="00051F27" w:rsidRPr="002E6F77" w:rsidRDefault="00051F27" w:rsidP="007D1D0D">
                                <w:pPr>
                                  <w:pStyle w:val="Coverpagelogotext"/>
                                  <w:rPr>
                                    <w:sz w:val="28"/>
                                  </w:rPr>
                                </w:pPr>
                                <w:r w:rsidRPr="002E6F77">
                                  <w:t>Strategic input on health to the Australian Government</w:t>
                                </w:r>
                              </w:p>
                            </w:txbxContent>
                          </wps:txbx>
                          <wps:bodyPr rot="0" vert="horz" wrap="square" lIns="91440" tIns="45720" rIns="91440" bIns="45720" anchor="b" anchorCtr="0">
                            <a:noAutofit/>
                          </wps:bodyPr>
                        </wps:wsp>
                      </a:graphicData>
                    </a:graphic>
                  </wp:inline>
                </w:drawing>
              </mc:Choice>
              <mc:Fallback>
                <w:pict>
                  <v:shapetype w14:anchorId="74DE417D" id="_x0000_t202" coordsize="21600,21600" o:spt="202" path="m,l,21600r21600,l21600,xe">
                    <v:stroke joinstyle="miter"/>
                    <v:path gradientshapeok="t" o:connecttype="rect"/>
                  </v:shapetype>
                  <v:shape id="Text Box 2" o:spid="_x0000_s1026" type="#_x0000_t202" alt="The text in this box is strategic input on health to the Australian Government" style="width:235.7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" filled="f" stroked="f">
                    <v:textbox>
                      <w:txbxContent>
                        <w:p w14:paraId="0A36E3AB" w14:textId="77777777" w:rsidR="00051F27" w:rsidRPr="002E6F77" w:rsidRDefault="00051F27" w:rsidP="007D1D0D">
                          <w:pPr>
                            <w:pStyle w:val="Coverpagelogotext"/>
                            <w:rPr>
                              <w:sz w:val="28"/>
                            </w:rPr>
                          </w:pPr>
                          <w:r w:rsidRPr="002E6F77">
                            <w:t>Strategic input on health to the Australian Government</w:t>
                          </w:r>
                        </w:p>
                      </w:txbxContent>
                    </v:textbox>
                    <w10:anchorlock/>
                  </v:shape>
                </w:pict>
              </mc:Fallback>
            </mc:AlternateContent>
          </w:r>
          <w:r w:rsidRPr="000C4FFD">
            <w:rPr>
              <w:noProof/>
              <w:lang w:eastAsia="en-AU" w:bidi="ar-SA"/>
            </w:rPr>
            <w:drawing>
              <wp:inline distT="0" distB="0" distL="0" distR="0" wp14:anchorId="0158E2E4" wp14:editId="675B8002">
                <wp:extent cx="1844040" cy="1473137"/>
                <wp:effectExtent l="0" t="0" r="3810" b="0"/>
                <wp:docPr id="2" name="Picture 2" descr="This is the logo for the DFAT funded Specialist Health Services program that supports DFAT's health investments in Asia and the Pacif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 the logo for the DFAT funded Specialist Health Services program that supports DFAT's health investments in Asia and the Pacific. &#1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44040" cy="1473137"/>
                        </a:xfrm>
                        <a:prstGeom prst="rect">
                          <a:avLst/>
                        </a:prstGeom>
                        <a:noFill/>
                      </pic:spPr>
                    </pic:pic>
                  </a:graphicData>
                </a:graphic>
              </wp:inline>
            </w:drawing>
          </w:r>
        </w:p>
        <w:p w14:paraId="39BDF9AB" w14:textId="77777777" w:rsidR="000239C8" w:rsidRPr="000C4FFD" w:rsidRDefault="000B4E0A" w:rsidP="007D1D0D"/>
      </w:sdtContent>
    </w:sdt>
    <w:p w14:paraId="481FED76" w14:textId="77777777" w:rsidR="000239C8" w:rsidRPr="000C4FFD" w:rsidRDefault="000239C8" w:rsidP="007D1D0D">
      <w:pPr>
        <w:pStyle w:val="Non-numberedLevel1heading"/>
        <w:sectPr w:rsidR="000239C8" w:rsidRPr="000C4FFD" w:rsidSect="004D3DB5">
          <w:footerReference w:type="default" r:id="rId9"/>
          <w:pgSz w:w="11906" w:h="16838" w:code="9"/>
          <w:pgMar w:top="1440" w:right="1440" w:bottom="1440" w:left="1440" w:header="720" w:footer="720" w:gutter="0"/>
          <w:pgNumType w:start="0"/>
          <w:cols w:space="708"/>
          <w:titlePg/>
          <w:docGrid w:linePitch="360"/>
        </w:sectPr>
      </w:pPr>
    </w:p>
    <w:p w14:paraId="0BE5A7A1" w14:textId="77777777" w:rsidR="000239C8" w:rsidRPr="000C4FFD" w:rsidRDefault="000239C8" w:rsidP="007D1D0D"/>
    <w:p w14:paraId="045C8437" w14:textId="77777777" w:rsidR="000239C8" w:rsidRPr="000C4FFD" w:rsidRDefault="000239C8" w:rsidP="007D1D0D"/>
    <w:p w14:paraId="6C48D259" w14:textId="77777777" w:rsidR="000239C8" w:rsidRPr="000C4FFD" w:rsidRDefault="000239C8" w:rsidP="007D1D0D"/>
    <w:p w14:paraId="40BA8C27" w14:textId="77777777" w:rsidR="000239C8" w:rsidRPr="000C4FFD" w:rsidRDefault="000239C8" w:rsidP="007D1D0D"/>
    <w:p w14:paraId="4F9F9CB1" w14:textId="77777777" w:rsidR="000239C8" w:rsidRPr="000C4FFD" w:rsidRDefault="000239C8" w:rsidP="007D1D0D"/>
    <w:p w14:paraId="394B1B0D" w14:textId="77777777" w:rsidR="000239C8" w:rsidRPr="000C4FFD" w:rsidRDefault="000239C8" w:rsidP="007D1D0D"/>
    <w:p w14:paraId="11599904" w14:textId="77777777" w:rsidR="000239C8" w:rsidRPr="000C4FFD" w:rsidRDefault="000239C8" w:rsidP="007D1D0D"/>
    <w:p w14:paraId="354FF962" w14:textId="77777777" w:rsidR="000239C8" w:rsidRPr="000C4FFD" w:rsidRDefault="000239C8" w:rsidP="007D1D0D"/>
    <w:p w14:paraId="581EF0A7" w14:textId="77777777" w:rsidR="000239C8" w:rsidRPr="000C4FFD" w:rsidRDefault="000239C8" w:rsidP="007D1D0D"/>
    <w:p w14:paraId="36031E85" w14:textId="77777777" w:rsidR="000239C8" w:rsidRPr="000C4FFD" w:rsidRDefault="000239C8" w:rsidP="007D1D0D"/>
    <w:p w14:paraId="30B6A4B7" w14:textId="77777777" w:rsidR="000239C8" w:rsidRPr="000C4FFD" w:rsidRDefault="000239C8" w:rsidP="007D1D0D"/>
    <w:p w14:paraId="69D9D67F" w14:textId="77777777" w:rsidR="000239C8" w:rsidRPr="000C4FFD" w:rsidRDefault="000239C8" w:rsidP="007D1D0D"/>
    <w:p w14:paraId="6506B40E" w14:textId="77777777" w:rsidR="000239C8" w:rsidRPr="000C4FFD" w:rsidRDefault="000239C8" w:rsidP="007D1D0D"/>
    <w:p w14:paraId="4D3668D5" w14:textId="77777777" w:rsidR="000239C8" w:rsidRPr="000C4FFD" w:rsidRDefault="000239C8" w:rsidP="007D1D0D"/>
    <w:p w14:paraId="3B6094DC" w14:textId="77777777" w:rsidR="003E57F7" w:rsidRDefault="003E57F7" w:rsidP="007D1D0D"/>
    <w:p w14:paraId="033BA1D4" w14:textId="77777777" w:rsidR="003E57F7" w:rsidRDefault="003E57F7" w:rsidP="007D1D0D"/>
    <w:p w14:paraId="21BBF6B1" w14:textId="77777777" w:rsidR="003E57F7" w:rsidRPr="003E57F7" w:rsidRDefault="003E57F7" w:rsidP="007D1D0D"/>
    <w:p w14:paraId="42F3B261" w14:textId="77777777" w:rsidR="003E57F7" w:rsidRDefault="003E57F7" w:rsidP="007D1D0D">
      <w:r>
        <w:tab/>
      </w:r>
    </w:p>
    <w:p w14:paraId="1A0F080F" w14:textId="77777777" w:rsidR="000239C8" w:rsidRPr="003E57F7" w:rsidRDefault="003E57F7" w:rsidP="007D1D0D">
      <w:pPr>
        <w:sectPr w:rsidR="000239C8" w:rsidRPr="003E57F7" w:rsidSect="004D3DB5">
          <w:headerReference w:type="even" r:id="rId10"/>
          <w:headerReference w:type="default" r:id="rId11"/>
          <w:footerReference w:type="default" r:id="rId12"/>
          <w:headerReference w:type="first" r:id="rId13"/>
          <w:pgSz w:w="11906" w:h="16838" w:code="9"/>
          <w:pgMar w:top="1440" w:right="1440" w:bottom="1440" w:left="1440" w:header="720" w:footer="720" w:gutter="0"/>
          <w:cols w:space="708"/>
          <w:docGrid w:linePitch="360"/>
        </w:sectPr>
      </w:pPr>
      <w:r>
        <w:tab/>
      </w:r>
    </w:p>
    <w:p w14:paraId="4DB4F29A" w14:textId="77777777" w:rsidR="00752060" w:rsidRDefault="00752060" w:rsidP="000B4E0A">
      <w:pPr>
        <w:pStyle w:val="NumberedLevel1heading"/>
        <w:ind w:left="0" w:firstLine="0"/>
        <w:jc w:val="left"/>
        <w:rPr>
          <w:rFonts w:cs="Times New Roman"/>
          <w:szCs w:val="22"/>
          <w:lang w:eastAsia="en-AU" w:bidi="ar-SA"/>
        </w:rPr>
      </w:pPr>
      <w:bookmarkStart w:id="2" w:name="_Toc76630079"/>
      <w:r>
        <w:lastRenderedPageBreak/>
        <w:t>Acknowledgements</w:t>
      </w:r>
      <w:bookmarkEnd w:id="2"/>
      <w:r>
        <w:t xml:space="preserve"> </w:t>
      </w:r>
    </w:p>
    <w:p w14:paraId="75331F67" w14:textId="34C09F66" w:rsidR="00752060" w:rsidRDefault="00752060" w:rsidP="000B4E0A">
      <w:pPr>
        <w:spacing w:after="0" w:line="256" w:lineRule="auto"/>
        <w:ind w:left="10"/>
        <w:jc w:val="center"/>
      </w:pPr>
      <w:r>
        <w:rPr>
          <w:b/>
        </w:rPr>
        <w:t xml:space="preserve"> </w:t>
      </w:r>
    </w:p>
    <w:p w14:paraId="4548AA4E" w14:textId="77777777" w:rsidR="00752060" w:rsidRDefault="00752060" w:rsidP="00AD35B9">
      <w:pPr>
        <w:pStyle w:val="NoSpacing"/>
      </w:pPr>
      <w:r>
        <w:t>The M</w:t>
      </w:r>
      <w:r w:rsidR="009A56D8">
        <w:t xml:space="preserve">id </w:t>
      </w:r>
      <w:r>
        <w:t>T</w:t>
      </w:r>
      <w:r w:rsidR="009A56D8">
        <w:t xml:space="preserve">erm </w:t>
      </w:r>
      <w:r>
        <w:t>R</w:t>
      </w:r>
      <w:r w:rsidR="009A56D8">
        <w:t>eview</w:t>
      </w:r>
      <w:r>
        <w:t xml:space="preserve"> Team would like to thank the many individuals from Government Ministries and civil society organisations </w:t>
      </w:r>
      <w:r w:rsidR="00F214EA">
        <w:t xml:space="preserve">who </w:t>
      </w:r>
      <w:r>
        <w:t xml:space="preserve"> dedicated time to interviews--particularly the DFAT Posts and Ministries. A wide range of additional stakeholders participated, including </w:t>
      </w:r>
      <w:r w:rsidR="00AD35B9">
        <w:t xml:space="preserve">beneficiaries, </w:t>
      </w:r>
      <w:r>
        <w:t xml:space="preserve">youth, development partners and others.  </w:t>
      </w:r>
    </w:p>
    <w:p w14:paraId="0FBA3DCB" w14:textId="77777777" w:rsidR="00752060" w:rsidRDefault="00752060" w:rsidP="00AD35B9">
      <w:pPr>
        <w:pStyle w:val="NoSpacing"/>
      </w:pPr>
      <w:r>
        <w:t xml:space="preserve">  </w:t>
      </w:r>
    </w:p>
    <w:p w14:paraId="76E144D9" w14:textId="77777777" w:rsidR="00752060" w:rsidRDefault="00752060" w:rsidP="00AD35B9">
      <w:pPr>
        <w:pStyle w:val="NoSpacing"/>
      </w:pPr>
      <w:r>
        <w:t xml:space="preserve">The MTR Team acknowledges the significant effort put into scheduling, hosting, and information-sharing on the part of the UNFPA </w:t>
      </w:r>
      <w:r w:rsidR="00685389">
        <w:t>P</w:t>
      </w:r>
      <w:r w:rsidR="009A56D8">
        <w:t xml:space="preserve">acific </w:t>
      </w:r>
      <w:r w:rsidR="00685389">
        <w:t>S</w:t>
      </w:r>
      <w:r w:rsidR="009A56D8">
        <w:t xml:space="preserve">ub </w:t>
      </w:r>
      <w:r w:rsidR="00685389">
        <w:t>R</w:t>
      </w:r>
      <w:r w:rsidR="009A56D8">
        <w:t xml:space="preserve">egional </w:t>
      </w:r>
      <w:r w:rsidR="00685389">
        <w:t>O</w:t>
      </w:r>
      <w:r w:rsidR="009A56D8">
        <w:t>ffice (PSRO)</w:t>
      </w:r>
      <w:r w:rsidR="00F214EA">
        <w:t xml:space="preserve"> staff and </w:t>
      </w:r>
      <w:r>
        <w:t xml:space="preserve">Field Officers.  In particular, the PSRO Suva team provided invaluable support, documentation and answers to questions. They consistently responded to the MTR Team’s consultation requests.  Every individual’s input is very much appreciated.  </w:t>
      </w:r>
    </w:p>
    <w:p w14:paraId="3B1B2A33" w14:textId="77777777" w:rsidR="00752060" w:rsidRDefault="00752060">
      <w:pPr>
        <w:spacing w:after="160" w:line="259" w:lineRule="auto"/>
        <w:rPr>
          <w:rFonts w:cs="Arial"/>
          <w:b/>
          <w:color w:val="404040" w:themeColor="text1" w:themeTint="BF"/>
          <w:spacing w:val="-10"/>
          <w:kern w:val="28"/>
          <w:sz w:val="24"/>
          <w:lang w:val="en-US" w:bidi="ar-SA"/>
        </w:rPr>
      </w:pPr>
      <w:r>
        <w:rPr>
          <w:lang w:val="en-US"/>
        </w:rPr>
        <w:br w:type="page"/>
      </w:r>
    </w:p>
    <w:p w14:paraId="1C2EB9A0" w14:textId="77777777" w:rsidR="000239C8" w:rsidRPr="000C4FFD" w:rsidRDefault="000239C8" w:rsidP="00FF1886">
      <w:pPr>
        <w:pStyle w:val="Title"/>
      </w:pPr>
      <w:bookmarkStart w:id="3" w:name="_Toc479856685"/>
      <w:bookmarkStart w:id="4" w:name="_Toc76630080"/>
      <w:r w:rsidRPr="000C4FFD">
        <w:lastRenderedPageBreak/>
        <w:t>Executive Summary</w:t>
      </w:r>
      <w:bookmarkEnd w:id="3"/>
      <w:bookmarkEnd w:id="4"/>
      <w:r w:rsidR="007C7B5E" w:rsidRPr="000C4FFD">
        <w:t xml:space="preserve"> </w:t>
      </w:r>
    </w:p>
    <w:p w14:paraId="4793F376" w14:textId="77777777" w:rsidR="009C1B51" w:rsidRDefault="005009CB" w:rsidP="009C1B51">
      <w:pPr>
        <w:pStyle w:val="NoSpacing"/>
        <w:rPr>
          <w:shd w:val="clear" w:color="auto" w:fill="FFFFFF"/>
        </w:rPr>
      </w:pPr>
      <w:r>
        <w:rPr>
          <w:lang w:val="en-US"/>
        </w:rPr>
        <w:t>In 2018, t</w:t>
      </w:r>
      <w:r w:rsidRPr="002A2E75">
        <w:rPr>
          <w:lang w:val="en-US"/>
        </w:rPr>
        <w:t xml:space="preserve">he Australian Government committed AUD30 million to the UNFPA </w:t>
      </w:r>
      <w:r w:rsidRPr="005009CB">
        <w:rPr>
          <w:lang w:val="en-US"/>
        </w:rPr>
        <w:t>Transformative Agenda</w:t>
      </w:r>
      <w:r w:rsidRPr="002A2E75">
        <w:rPr>
          <w:lang w:val="en-US"/>
        </w:rPr>
        <w:t xml:space="preserve"> (TA) Program</w:t>
      </w:r>
      <w:r>
        <w:t xml:space="preserve"> </w:t>
      </w:r>
      <w:r>
        <w:rPr>
          <w:lang w:val="en-US"/>
        </w:rPr>
        <w:t xml:space="preserve">in six countries in the Pacific (Fiji, Kiribati, Samoa, Solomon Islands, Tonga and Vanuatu). </w:t>
      </w:r>
      <w:r w:rsidRPr="002A2E75">
        <w:rPr>
          <w:lang w:val="en-US"/>
        </w:rPr>
        <w:t>The TA program is high priority for the Australian Government and its performance is of strong interest to a wide range of stakeholders.</w:t>
      </w:r>
      <w:r w:rsidR="00CA3A5D">
        <w:rPr>
          <w:lang w:val="en-US"/>
        </w:rPr>
        <w:t xml:space="preserve"> </w:t>
      </w:r>
      <w:r w:rsidR="009C1B51">
        <w:rPr>
          <w:shd w:val="clear" w:color="auto" w:fill="FFFFFF"/>
        </w:rPr>
        <w:t>The three objectives of the TA program are: 1) Increased and improved supply of integrated SRH information and services, particularly for family planning (FP); 2) Increased demand for integrated SRH information and services, particularly for FP; and 3) a more conducive and supportive environment for people to access and benefit from quality SRH, especially contraceptive choice.</w:t>
      </w:r>
    </w:p>
    <w:p w14:paraId="11EFC286" w14:textId="77777777" w:rsidR="009C1B51" w:rsidRDefault="009C1B51" w:rsidP="009C1B51">
      <w:pPr>
        <w:pStyle w:val="NoSpacing"/>
        <w:rPr>
          <w:shd w:val="clear" w:color="auto" w:fill="FFFFFF"/>
        </w:rPr>
      </w:pPr>
    </w:p>
    <w:p w14:paraId="36063B30" w14:textId="77777777" w:rsidR="009C1B51" w:rsidRPr="00FA214C" w:rsidRDefault="009C1B51" w:rsidP="009C1B51">
      <w:pPr>
        <w:pStyle w:val="NoSpacing"/>
        <w:rPr>
          <w:lang w:val="en-US"/>
        </w:rPr>
      </w:pPr>
      <w:r>
        <w:rPr>
          <w:lang w:val="en-US"/>
        </w:rPr>
        <w:t xml:space="preserve">The TA program is nested within the broader UNFPA </w:t>
      </w:r>
      <w:r w:rsidRPr="00466308">
        <w:rPr>
          <w:lang w:val="en-US"/>
        </w:rPr>
        <w:t>Pacific Sub Regional Program (</w:t>
      </w:r>
      <w:r>
        <w:rPr>
          <w:lang w:val="en-US"/>
        </w:rPr>
        <w:t xml:space="preserve">PSRO </w:t>
      </w:r>
      <w:r w:rsidRPr="00466308">
        <w:rPr>
          <w:lang w:val="en-US"/>
        </w:rPr>
        <w:t>S</w:t>
      </w:r>
      <w:r>
        <w:rPr>
          <w:lang w:val="en-US"/>
        </w:rPr>
        <w:t>RP</w:t>
      </w:r>
      <w:r w:rsidRPr="00466308">
        <w:rPr>
          <w:lang w:val="en-US"/>
        </w:rPr>
        <w:t>6)</w:t>
      </w:r>
      <w:r>
        <w:rPr>
          <w:lang w:val="en-US"/>
        </w:rPr>
        <w:t xml:space="preserve"> and currently has </w:t>
      </w:r>
      <w:r w:rsidRPr="002E2D7F">
        <w:rPr>
          <w:lang w:val="en-US"/>
        </w:rPr>
        <w:t>46 implementing partners (IP), sub recipients (SR) and regional implementing partners (RIP)</w:t>
      </w:r>
      <w:r>
        <w:rPr>
          <w:lang w:val="en-US"/>
        </w:rPr>
        <w:t xml:space="preserve"> across multiple Ministries, international </w:t>
      </w:r>
      <w:proofErr w:type="spellStart"/>
      <w:r>
        <w:rPr>
          <w:lang w:val="en-US"/>
        </w:rPr>
        <w:t>organisations</w:t>
      </w:r>
      <w:proofErr w:type="spellEnd"/>
      <w:r>
        <w:rPr>
          <w:lang w:val="en-US"/>
        </w:rPr>
        <w:t xml:space="preserve"> (IO) and non-government </w:t>
      </w:r>
      <w:proofErr w:type="spellStart"/>
      <w:r>
        <w:rPr>
          <w:lang w:val="en-US"/>
        </w:rPr>
        <w:t>organisations</w:t>
      </w:r>
      <w:proofErr w:type="spellEnd"/>
      <w:r>
        <w:rPr>
          <w:lang w:val="en-US"/>
        </w:rPr>
        <w:t xml:space="preserve"> (NGO). The interlocking focus of UNFPA Supplies’ work ensures a range of FP commodities are available at all service delivery points (SDPs). </w:t>
      </w:r>
    </w:p>
    <w:p w14:paraId="2819763B" w14:textId="77777777" w:rsidR="009C1B51" w:rsidRDefault="009C1B51" w:rsidP="009C1B51">
      <w:pPr>
        <w:pStyle w:val="NoSpacing"/>
        <w:rPr>
          <w:shd w:val="clear" w:color="auto" w:fill="FFFFFF"/>
        </w:rPr>
      </w:pPr>
    </w:p>
    <w:p w14:paraId="73D98E72" w14:textId="77777777" w:rsidR="009C1B51" w:rsidRDefault="009C1B51" w:rsidP="009C1B51">
      <w:pPr>
        <w:pStyle w:val="NoSpacing"/>
        <w:rPr>
          <w:shd w:val="clear" w:color="auto" w:fill="FFFFFF"/>
        </w:rPr>
      </w:pPr>
      <w:r w:rsidRPr="00EF7C48">
        <w:rPr>
          <w:rFonts w:cstheme="minorHAnsi"/>
        </w:rPr>
        <w:t xml:space="preserve">The </w:t>
      </w:r>
      <w:r>
        <w:rPr>
          <w:rFonts w:cstheme="minorHAnsi"/>
        </w:rPr>
        <w:t>Sexual and Reproductive Health (SRH)</w:t>
      </w:r>
      <w:r w:rsidRPr="00EF7C48">
        <w:rPr>
          <w:rFonts w:cstheme="minorHAnsi"/>
        </w:rPr>
        <w:t xml:space="preserve"> </w:t>
      </w:r>
      <w:r>
        <w:rPr>
          <w:rFonts w:cstheme="minorHAnsi"/>
        </w:rPr>
        <w:t xml:space="preserve">issues addressed </w:t>
      </w:r>
      <w:r w:rsidRPr="00EF7C48">
        <w:rPr>
          <w:rFonts w:cstheme="minorHAnsi"/>
        </w:rPr>
        <w:t xml:space="preserve">in the six countries of focus </w:t>
      </w:r>
      <w:r>
        <w:rPr>
          <w:rFonts w:cstheme="minorHAnsi"/>
        </w:rPr>
        <w:t>are:</w:t>
      </w:r>
      <w:r w:rsidRPr="00EF7C48">
        <w:rPr>
          <w:rFonts w:cstheme="minorHAnsi"/>
        </w:rPr>
        <w:t xml:space="preserve"> increasing fertility and teenage pregnancy rates, low contraceptive prevalence rates, and high unmet need for family planning</w:t>
      </w:r>
      <w:r>
        <w:rPr>
          <w:rFonts w:cstheme="minorHAnsi"/>
        </w:rPr>
        <w:t xml:space="preserve">. </w:t>
      </w:r>
      <w:r>
        <w:rPr>
          <w:shd w:val="clear" w:color="auto" w:fill="FFFFFF"/>
        </w:rPr>
        <w:t xml:space="preserve">Health system challenges contributing to sub-optimal family planning practices include: poor quality and coverage of some Sexual and Reproductive Health (SRH) services, particularly (FP); variable supplies of SRH commodities, limited capacity to implement strategies and plans; </w:t>
      </w:r>
      <w:r w:rsidR="00F214EA">
        <w:t>l</w:t>
      </w:r>
      <w:r>
        <w:t>imited national health budgeting</w:t>
      </w:r>
      <w:r>
        <w:rPr>
          <w:shd w:val="clear" w:color="auto" w:fill="FFFFFF"/>
        </w:rPr>
        <w:t xml:space="preserve">, and insufficient political commitment for FP/SRH. </w:t>
      </w:r>
    </w:p>
    <w:p w14:paraId="7C3AA385" w14:textId="77777777" w:rsidR="005009CB" w:rsidRPr="002A2E75" w:rsidRDefault="005009CB" w:rsidP="005A263B">
      <w:pPr>
        <w:pStyle w:val="NoSpacing"/>
        <w:rPr>
          <w:lang w:val="en-US"/>
        </w:rPr>
      </w:pPr>
    </w:p>
    <w:p w14:paraId="70A02C1C" w14:textId="77777777" w:rsidR="005A263B" w:rsidRDefault="005009CB" w:rsidP="005A263B">
      <w:pPr>
        <w:pStyle w:val="NoSpacing"/>
        <w:rPr>
          <w:lang w:val="en-US"/>
        </w:rPr>
      </w:pPr>
      <w:r w:rsidRPr="00287E77">
        <w:rPr>
          <w:lang w:val="en-US"/>
        </w:rPr>
        <w:t xml:space="preserve">This </w:t>
      </w:r>
      <w:r w:rsidRPr="005009CB">
        <w:rPr>
          <w:lang w:val="en-US"/>
        </w:rPr>
        <w:t>mid-term review</w:t>
      </w:r>
      <w:r w:rsidRPr="00287E77">
        <w:rPr>
          <w:lang w:val="en-US"/>
        </w:rPr>
        <w:t xml:space="preserve"> (MTR) aims to provide </w:t>
      </w:r>
      <w:r>
        <w:t>an independent assessment of how effectively the program is contributing to the targeted results, and whether the progr</w:t>
      </w:r>
      <w:r w:rsidR="00CA3A5D">
        <w:t>am</w:t>
      </w:r>
      <w:r>
        <w:t xml:space="preserve"> is on track to achieve the program’s objectives by 2022.</w:t>
      </w:r>
      <w:r w:rsidRPr="00287E77">
        <w:rPr>
          <w:lang w:val="en-US"/>
        </w:rPr>
        <w:t xml:space="preserve"> </w:t>
      </w:r>
      <w:r w:rsidR="005A263B">
        <w:rPr>
          <w:lang w:val="en-US"/>
        </w:rPr>
        <w:t xml:space="preserve">A team of two international consultants and </w:t>
      </w:r>
      <w:r w:rsidR="00CA3A5D">
        <w:rPr>
          <w:lang w:val="en-US"/>
        </w:rPr>
        <w:t>six n</w:t>
      </w:r>
      <w:r w:rsidR="005A263B">
        <w:rPr>
          <w:lang w:val="en-US"/>
        </w:rPr>
        <w:t>ational consultant</w:t>
      </w:r>
      <w:r w:rsidR="00CA3A5D">
        <w:rPr>
          <w:lang w:val="en-US"/>
        </w:rPr>
        <w:t>s</w:t>
      </w:r>
      <w:r w:rsidR="005A263B">
        <w:rPr>
          <w:lang w:val="en-US"/>
        </w:rPr>
        <w:t xml:space="preserve"> </w:t>
      </w:r>
      <w:r w:rsidR="00CA3A5D">
        <w:rPr>
          <w:lang w:val="en-US"/>
        </w:rPr>
        <w:t xml:space="preserve">(one </w:t>
      </w:r>
      <w:r w:rsidR="005A263B">
        <w:rPr>
          <w:lang w:val="en-US"/>
        </w:rPr>
        <w:t xml:space="preserve">from each </w:t>
      </w:r>
      <w:r w:rsidR="00CA3A5D">
        <w:rPr>
          <w:lang w:val="en-US"/>
        </w:rPr>
        <w:t xml:space="preserve">of the six </w:t>
      </w:r>
      <w:r w:rsidR="005A263B">
        <w:rPr>
          <w:lang w:val="en-US"/>
        </w:rPr>
        <w:t>countr</w:t>
      </w:r>
      <w:r w:rsidR="00CA3A5D">
        <w:rPr>
          <w:lang w:val="en-US"/>
        </w:rPr>
        <w:t>ies)</w:t>
      </w:r>
      <w:r w:rsidR="005A263B">
        <w:rPr>
          <w:lang w:val="en-US"/>
        </w:rPr>
        <w:t xml:space="preserve"> conducted consultations with implementing partners and stakeholders</w:t>
      </w:r>
      <w:r w:rsidR="00456C64">
        <w:rPr>
          <w:lang w:val="en-US"/>
        </w:rPr>
        <w:t>,</w:t>
      </w:r>
      <w:r w:rsidR="005A263B">
        <w:rPr>
          <w:lang w:val="en-US"/>
        </w:rPr>
        <w:t xml:space="preserve"> and reviewed implementation reports to date. </w:t>
      </w:r>
    </w:p>
    <w:p w14:paraId="4BC925AF" w14:textId="77777777" w:rsidR="005A263B" w:rsidRDefault="005A263B" w:rsidP="005A263B">
      <w:pPr>
        <w:pStyle w:val="NoSpacing"/>
        <w:rPr>
          <w:rFonts w:cstheme="minorHAnsi"/>
        </w:rPr>
      </w:pPr>
    </w:p>
    <w:p w14:paraId="7EB7799F" w14:textId="77777777" w:rsidR="00CA3A5D" w:rsidRDefault="004178EE" w:rsidP="005A263B">
      <w:pPr>
        <w:pStyle w:val="NoSpacing"/>
      </w:pPr>
      <w:r w:rsidRPr="004178EE">
        <w:t xml:space="preserve">The high-level questions considered and addressed through the </w:t>
      </w:r>
      <w:r>
        <w:t xml:space="preserve">MTR </w:t>
      </w:r>
      <w:r w:rsidR="00CA3A5D">
        <w:t>are</w:t>
      </w:r>
      <w:r w:rsidR="00D16F65">
        <w:t>:</w:t>
      </w:r>
    </w:p>
    <w:p w14:paraId="5FC1BACD" w14:textId="77777777" w:rsidR="00CA3A5D" w:rsidRDefault="00CA3A5D" w:rsidP="003538C5">
      <w:pPr>
        <w:pStyle w:val="NoSpacing"/>
        <w:numPr>
          <w:ilvl w:val="0"/>
          <w:numId w:val="23"/>
        </w:numPr>
      </w:pPr>
      <w:r>
        <w:t>I</w:t>
      </w:r>
      <w:r w:rsidR="00D16F65">
        <w:t xml:space="preserve">s the program strongly relevant to Pacific development needs and specifically </w:t>
      </w:r>
      <w:r w:rsidR="00D364A0">
        <w:t>reducing the unmet need for FP in each of the six countries</w:t>
      </w:r>
      <w:r w:rsidR="00AE76B1">
        <w:t xml:space="preserve"> (relevance)</w:t>
      </w:r>
      <w:r w:rsidR="00D364A0">
        <w:t xml:space="preserve">; </w:t>
      </w:r>
    </w:p>
    <w:p w14:paraId="262835FF" w14:textId="77777777" w:rsidR="00CA3A5D" w:rsidRDefault="00CA3A5D" w:rsidP="003538C5">
      <w:pPr>
        <w:pStyle w:val="NoSpacing"/>
        <w:numPr>
          <w:ilvl w:val="0"/>
          <w:numId w:val="23"/>
        </w:numPr>
      </w:pPr>
      <w:r>
        <w:t>I</w:t>
      </w:r>
      <w:r w:rsidR="00D364A0">
        <w:t xml:space="preserve">s the program on track to achieve </w:t>
      </w:r>
      <w:r w:rsidR="00AE76B1">
        <w:t xml:space="preserve">its objectives and related program outcomes (effectiveness); </w:t>
      </w:r>
    </w:p>
    <w:p w14:paraId="6FAC4436" w14:textId="77777777" w:rsidR="00CA3A5D" w:rsidRDefault="00CA3A5D" w:rsidP="003538C5">
      <w:pPr>
        <w:pStyle w:val="NoSpacing"/>
        <w:numPr>
          <w:ilvl w:val="0"/>
          <w:numId w:val="23"/>
        </w:numPr>
      </w:pPr>
      <w:r>
        <w:t>I</w:t>
      </w:r>
      <w:r w:rsidR="00AE76B1">
        <w:t xml:space="preserve">s </w:t>
      </w:r>
      <w:r>
        <w:t xml:space="preserve">the program </w:t>
      </w:r>
      <w:r w:rsidR="00AE76B1">
        <w:t>using appropriate, effective and efficient strategies and activities to progress outcomes (efficiency)</w:t>
      </w:r>
      <w:r w:rsidR="00640454">
        <w:t xml:space="preserve">; </w:t>
      </w:r>
      <w:r>
        <w:t>and</w:t>
      </w:r>
    </w:p>
    <w:p w14:paraId="3EC1BDE2" w14:textId="77777777" w:rsidR="001C693B" w:rsidRDefault="00CA3A5D" w:rsidP="003538C5">
      <w:pPr>
        <w:pStyle w:val="NoSpacing"/>
        <w:numPr>
          <w:ilvl w:val="0"/>
          <w:numId w:val="23"/>
        </w:numPr>
      </w:pPr>
      <w:r>
        <w:t>A</w:t>
      </w:r>
      <w:r w:rsidR="00640454">
        <w:t xml:space="preserve">re there adequate systems and processes in place </w:t>
      </w:r>
      <w:r w:rsidR="00D12ED2">
        <w:t>to monitor, capture and report on how outputs are contributing to the achievement of outcomes and impact</w:t>
      </w:r>
      <w:r w:rsidR="001C693B">
        <w:t xml:space="preserve"> (governance, reporting and M&amp;E).</w:t>
      </w:r>
    </w:p>
    <w:p w14:paraId="299E6118" w14:textId="77777777" w:rsidR="000933AE" w:rsidRPr="004178EE" w:rsidRDefault="00AE76B1" w:rsidP="005A263B">
      <w:pPr>
        <w:pStyle w:val="NoSpacing"/>
      </w:pPr>
      <w:r>
        <w:t xml:space="preserve"> </w:t>
      </w:r>
    </w:p>
    <w:p w14:paraId="3BFF8EF7" w14:textId="77777777" w:rsidR="00CA3A5D" w:rsidRDefault="00EB27A1" w:rsidP="00CA3A5D">
      <w:pPr>
        <w:pStyle w:val="NoSpacing"/>
      </w:pPr>
      <w:r w:rsidRPr="00EB27A1">
        <w:rPr>
          <w:b/>
          <w:bCs/>
        </w:rPr>
        <w:t>Relevance:</w:t>
      </w:r>
      <w:r>
        <w:t xml:space="preserve"> </w:t>
      </w:r>
      <w:r w:rsidR="00CA3A5D">
        <w:t xml:space="preserve">The MTR team found that the TA Program is designed to achieve </w:t>
      </w:r>
      <w:r w:rsidR="00CA3A5D" w:rsidRPr="00EB27A1">
        <w:t>relevant</w:t>
      </w:r>
      <w:r w:rsidR="00CA3A5D">
        <w:t xml:space="preserve"> and appropriate outcomes that are in line with the policies and priorities of MOHs in the TA countries and DFAT health, gender and development policies. However, due to implementation delays and challenges, it is uncertain how many of the outcome targets can be achieved within the remaining 20 months of the program. </w:t>
      </w:r>
      <w:r w:rsidR="00CA3A5D" w:rsidRPr="00A536A2">
        <w:rPr>
          <w:lang w:val="en-US"/>
        </w:rPr>
        <w:t>A shift to targeting and</w:t>
      </w:r>
      <w:r w:rsidR="00CA3A5D" w:rsidRPr="00466308">
        <w:rPr>
          <w:lang w:val="en-US"/>
        </w:rPr>
        <w:t xml:space="preserve"> accelerating high impact interventions</w:t>
      </w:r>
      <w:r w:rsidR="00CA3A5D">
        <w:rPr>
          <w:lang w:val="en-US"/>
        </w:rPr>
        <w:t xml:space="preserve"> is necessary, including focusing on</w:t>
      </w:r>
      <w:r w:rsidR="00CA3A5D" w:rsidRPr="00466308">
        <w:rPr>
          <w:lang w:val="en-US"/>
        </w:rPr>
        <w:t xml:space="preserve"> SRH</w:t>
      </w:r>
      <w:r w:rsidR="00CA3A5D">
        <w:rPr>
          <w:lang w:val="en-US"/>
        </w:rPr>
        <w:t>/FP</w:t>
      </w:r>
      <w:r w:rsidR="00CA3A5D" w:rsidRPr="00466308">
        <w:rPr>
          <w:lang w:val="en-US"/>
        </w:rPr>
        <w:t xml:space="preserve"> service delivery; </w:t>
      </w:r>
      <w:r w:rsidR="00FC136C">
        <w:rPr>
          <w:lang w:val="en-US"/>
        </w:rPr>
        <w:t xml:space="preserve">continued </w:t>
      </w:r>
      <w:r w:rsidR="00CA3A5D" w:rsidRPr="00466308">
        <w:rPr>
          <w:lang w:val="en-US"/>
        </w:rPr>
        <w:t xml:space="preserve">program-wide changes to </w:t>
      </w:r>
      <w:r w:rsidR="00CA3A5D">
        <w:rPr>
          <w:lang w:val="en-US"/>
        </w:rPr>
        <w:t xml:space="preserve">funding </w:t>
      </w:r>
      <w:r w:rsidR="00CA3A5D" w:rsidRPr="00466308">
        <w:rPr>
          <w:lang w:val="en-US"/>
        </w:rPr>
        <w:t xml:space="preserve">disbursement processes; </w:t>
      </w:r>
      <w:r w:rsidR="00FC136C">
        <w:rPr>
          <w:lang w:val="en-US"/>
        </w:rPr>
        <w:t xml:space="preserve">ending low value interventions and reprogramming funding; </w:t>
      </w:r>
      <w:r w:rsidR="00CA3A5D" w:rsidRPr="00466308">
        <w:rPr>
          <w:lang w:val="en-US"/>
        </w:rPr>
        <w:t xml:space="preserve">and reorienting </w:t>
      </w:r>
      <w:r w:rsidR="00FC136C">
        <w:rPr>
          <w:lang w:val="en-US"/>
        </w:rPr>
        <w:t xml:space="preserve">continuing </w:t>
      </w:r>
      <w:r w:rsidR="00CA3A5D" w:rsidRPr="00466308">
        <w:rPr>
          <w:lang w:val="en-US"/>
        </w:rPr>
        <w:t xml:space="preserve">interventions to focus on </w:t>
      </w:r>
      <w:r w:rsidR="00CA3A5D">
        <w:rPr>
          <w:lang w:val="en-US"/>
        </w:rPr>
        <w:t>achieving</w:t>
      </w:r>
      <w:r w:rsidR="00CA3A5D" w:rsidRPr="00466308">
        <w:rPr>
          <w:lang w:val="en-US"/>
        </w:rPr>
        <w:t xml:space="preserve"> </w:t>
      </w:r>
      <w:r w:rsidR="00CA3A5D">
        <w:rPr>
          <w:lang w:val="en-US"/>
        </w:rPr>
        <w:t>outcomes</w:t>
      </w:r>
      <w:r w:rsidR="00CA3A5D" w:rsidRPr="00466308">
        <w:rPr>
          <w:lang w:val="en-US"/>
        </w:rPr>
        <w:t>.</w:t>
      </w:r>
      <w:r w:rsidR="00CA3A5D">
        <w:rPr>
          <w:lang w:val="en-US"/>
        </w:rPr>
        <w:t xml:space="preserve"> </w:t>
      </w:r>
    </w:p>
    <w:p w14:paraId="561C6AE0" w14:textId="77777777" w:rsidR="00D7226B" w:rsidRDefault="00D7226B" w:rsidP="005A263B">
      <w:pPr>
        <w:pStyle w:val="NoSpacing"/>
      </w:pPr>
    </w:p>
    <w:p w14:paraId="1B3D08B7" w14:textId="77777777" w:rsidR="00D7226B" w:rsidRDefault="00D7226B" w:rsidP="005A263B">
      <w:pPr>
        <w:pStyle w:val="NoSpacing"/>
        <w:rPr>
          <w:lang w:val="en-US"/>
        </w:rPr>
      </w:pPr>
    </w:p>
    <w:p w14:paraId="0F841931" w14:textId="77777777" w:rsidR="004F7677" w:rsidRPr="00C0799F" w:rsidRDefault="00EB27A1" w:rsidP="004F7677">
      <w:pPr>
        <w:pStyle w:val="NoSpacing"/>
        <w:rPr>
          <w:rFonts w:cstheme="minorHAnsi"/>
        </w:rPr>
      </w:pPr>
      <w:r w:rsidRPr="00EB27A1">
        <w:rPr>
          <w:b/>
          <w:bCs/>
          <w:lang w:val="en-US"/>
        </w:rPr>
        <w:t>Effectiveness:</w:t>
      </w:r>
      <w:r>
        <w:rPr>
          <w:lang w:val="en-US"/>
        </w:rPr>
        <w:t xml:space="preserve"> </w:t>
      </w:r>
      <w:r w:rsidR="004F7677">
        <w:rPr>
          <w:lang w:val="en-US"/>
        </w:rPr>
        <w:t xml:space="preserve">The results of the TA MEF to date show that limited </w:t>
      </w:r>
      <w:r w:rsidR="004F7677" w:rsidRPr="00984173">
        <w:t>results have been achieved</w:t>
      </w:r>
      <w:r w:rsidR="00FC136C">
        <w:t xml:space="preserve"> with respect to program </w:t>
      </w:r>
      <w:r w:rsidR="00F214EA">
        <w:t xml:space="preserve">outputs and </w:t>
      </w:r>
      <w:r w:rsidR="00FC136C">
        <w:t>targets</w:t>
      </w:r>
      <w:r w:rsidR="004F7677">
        <w:t xml:space="preserve">; the program is not on track to deliver its expected outcomes and is not demonstrating progress towards the program goal.  </w:t>
      </w:r>
      <w:r w:rsidR="004F7677" w:rsidRPr="00D7226B">
        <w:rPr>
          <w:lang w:val="en-US"/>
        </w:rPr>
        <w:t>Slow implementation</w:t>
      </w:r>
      <w:r w:rsidR="004F7677">
        <w:rPr>
          <w:lang w:val="en-US"/>
        </w:rPr>
        <w:t xml:space="preserve"> and failure to have an inception period has compromised the effectiveness of the program. An inception period should have established the following: prepared IPs for UNFPA administrative processes; Health Facility Readiness and Service Availability (HFRSA) assessments for baseline data (two out of six still to be completed); </w:t>
      </w:r>
      <w:r w:rsidR="00F214EA">
        <w:rPr>
          <w:lang w:val="en-US"/>
        </w:rPr>
        <w:t xml:space="preserve">and </w:t>
      </w:r>
      <w:r w:rsidR="004F7677">
        <w:rPr>
          <w:lang w:val="en-US"/>
        </w:rPr>
        <w:t xml:space="preserve">final indicators, baselines and targets </w:t>
      </w:r>
      <w:r w:rsidR="0000789C" w:rsidRPr="00894DA4">
        <w:rPr>
          <w:lang w:val="en-US"/>
        </w:rPr>
        <w:t xml:space="preserve">established </w:t>
      </w:r>
      <w:r w:rsidR="004F7677" w:rsidRPr="00894DA4">
        <w:rPr>
          <w:lang w:val="en-US"/>
        </w:rPr>
        <w:t>in</w:t>
      </w:r>
      <w:r w:rsidR="004F7677">
        <w:rPr>
          <w:lang w:val="en-US"/>
        </w:rPr>
        <w:t xml:space="preserve"> the MEF. Additional challenges impacting effectiveness have included: the competing priorities of MOHs, especially in 2020 due to the COVID-19 pandemic, cyclone Harold in Vanuatu, and measles outbreaks in Samoa and Tonga; complex UNFPA administrative processes; crippling past audit findings in a small number of critical partners which affected funding disbursements; slow financial processes of some governments; and </w:t>
      </w:r>
      <w:r w:rsidR="00E779BE" w:rsidRPr="005E50B5">
        <w:rPr>
          <w:rFonts w:eastAsia="Arial" w:cstheme="minorHAnsi"/>
          <w:color w:val="000000"/>
        </w:rPr>
        <w:t>missed opportunities to scale up utilization of existing technical SRHR resources in the country</w:t>
      </w:r>
      <w:r w:rsidR="00E779BE">
        <w:rPr>
          <w:rFonts w:ascii="Arial" w:eastAsia="Arial" w:hAnsi="Arial" w:cs="Arial"/>
          <w:color w:val="000000"/>
        </w:rPr>
        <w:t>.</w:t>
      </w:r>
      <w:r w:rsidR="00E779BE">
        <w:rPr>
          <w:lang w:val="en-US"/>
        </w:rPr>
        <w:t xml:space="preserve"> </w:t>
      </w:r>
      <w:r w:rsidR="004F7677">
        <w:rPr>
          <w:lang w:val="en-US"/>
        </w:rPr>
        <w:t xml:space="preserve"> </w:t>
      </w:r>
    </w:p>
    <w:p w14:paraId="59C735EE" w14:textId="77777777" w:rsidR="00CA3A5D" w:rsidRDefault="00CA3A5D" w:rsidP="004B7E02">
      <w:pPr>
        <w:pStyle w:val="NoSpacing"/>
        <w:rPr>
          <w:lang w:val="en-US"/>
        </w:rPr>
      </w:pPr>
    </w:p>
    <w:p w14:paraId="4A6CD017" w14:textId="77777777" w:rsidR="00D7226B" w:rsidRDefault="00D7226B" w:rsidP="004B7E02">
      <w:pPr>
        <w:pStyle w:val="NoSpacing"/>
        <w:rPr>
          <w:lang w:val="en-US"/>
        </w:rPr>
      </w:pPr>
      <w:r>
        <w:rPr>
          <w:lang w:val="en-US"/>
        </w:rPr>
        <w:t xml:space="preserve">Fund </w:t>
      </w:r>
      <w:proofErr w:type="spellStart"/>
      <w:r>
        <w:rPr>
          <w:lang w:val="en-US"/>
        </w:rPr>
        <w:t>utilisation</w:t>
      </w:r>
      <w:proofErr w:type="spellEnd"/>
      <w:r>
        <w:rPr>
          <w:lang w:val="en-US"/>
        </w:rPr>
        <w:t xml:space="preserve"> </w:t>
      </w:r>
      <w:r w:rsidR="000076DC">
        <w:rPr>
          <w:lang w:val="en-US"/>
        </w:rPr>
        <w:t>by</w:t>
      </w:r>
      <w:r>
        <w:rPr>
          <w:lang w:val="en-US"/>
        </w:rPr>
        <w:t xml:space="preserve"> Ministries is low. Average </w:t>
      </w:r>
      <w:proofErr w:type="spellStart"/>
      <w:r>
        <w:rPr>
          <w:lang w:val="en-US"/>
        </w:rPr>
        <w:t>utilisation</w:t>
      </w:r>
      <w:proofErr w:type="spellEnd"/>
      <w:r>
        <w:rPr>
          <w:lang w:val="en-US"/>
        </w:rPr>
        <w:t xml:space="preserve"> rates </w:t>
      </w:r>
      <w:r w:rsidR="00483C66">
        <w:rPr>
          <w:lang w:val="en-US"/>
        </w:rPr>
        <w:t xml:space="preserve">for </w:t>
      </w:r>
      <w:r>
        <w:rPr>
          <w:lang w:val="en-US"/>
        </w:rPr>
        <w:t>2018-2020 by country are: Fiji 3</w:t>
      </w:r>
      <w:r w:rsidR="00FC136C">
        <w:rPr>
          <w:lang w:val="en-US"/>
        </w:rPr>
        <w:t>4</w:t>
      </w:r>
      <w:r>
        <w:rPr>
          <w:lang w:val="en-US"/>
        </w:rPr>
        <w:t>%; Kiribati 2</w:t>
      </w:r>
      <w:r w:rsidR="00FC136C">
        <w:rPr>
          <w:lang w:val="en-US"/>
        </w:rPr>
        <w:t>5</w:t>
      </w:r>
      <w:r>
        <w:rPr>
          <w:lang w:val="en-US"/>
        </w:rPr>
        <w:t xml:space="preserve">%; Samoa 42%; Solomon Islands </w:t>
      </w:r>
      <w:r w:rsidR="00FC136C">
        <w:rPr>
          <w:lang w:val="en-US"/>
        </w:rPr>
        <w:t>2</w:t>
      </w:r>
      <w:r>
        <w:rPr>
          <w:lang w:val="en-US"/>
        </w:rPr>
        <w:t>9%; Tonga 3</w:t>
      </w:r>
      <w:r w:rsidR="00FC136C">
        <w:rPr>
          <w:lang w:val="en-US"/>
        </w:rPr>
        <w:t>7</w:t>
      </w:r>
      <w:r>
        <w:rPr>
          <w:lang w:val="en-US"/>
        </w:rPr>
        <w:t xml:space="preserve">%; and Vanuatu </w:t>
      </w:r>
      <w:r w:rsidR="00FC136C">
        <w:rPr>
          <w:lang w:val="en-US"/>
        </w:rPr>
        <w:t>26</w:t>
      </w:r>
      <w:r>
        <w:rPr>
          <w:lang w:val="en-US"/>
        </w:rPr>
        <w:t xml:space="preserve">%. The fund </w:t>
      </w:r>
      <w:proofErr w:type="spellStart"/>
      <w:r>
        <w:rPr>
          <w:lang w:val="en-US"/>
        </w:rPr>
        <w:t>utilisation</w:t>
      </w:r>
      <w:proofErr w:type="spellEnd"/>
      <w:r>
        <w:rPr>
          <w:lang w:val="en-US"/>
        </w:rPr>
        <w:t xml:space="preserve"> rate for </w:t>
      </w:r>
      <w:r w:rsidR="00FC136C">
        <w:rPr>
          <w:lang w:val="en-US"/>
        </w:rPr>
        <w:t xml:space="preserve">Regional IPs is 12% </w:t>
      </w:r>
      <w:r w:rsidR="00F214EA">
        <w:rPr>
          <w:lang w:val="en-US"/>
        </w:rPr>
        <w:t xml:space="preserve">(implementation in 2020 only) </w:t>
      </w:r>
      <w:r w:rsidR="00FC136C">
        <w:rPr>
          <w:lang w:val="en-US"/>
        </w:rPr>
        <w:t xml:space="preserve">and for </w:t>
      </w:r>
      <w:r>
        <w:rPr>
          <w:lang w:val="en-US"/>
        </w:rPr>
        <w:t xml:space="preserve">PSRO was </w:t>
      </w:r>
      <w:r w:rsidR="00FC136C">
        <w:rPr>
          <w:lang w:val="en-US"/>
        </w:rPr>
        <w:t xml:space="preserve">48% </w:t>
      </w:r>
      <w:r>
        <w:rPr>
          <w:lang w:val="en-US"/>
        </w:rPr>
        <w:t xml:space="preserve">with more than 50% of this being technical positions in </w:t>
      </w:r>
      <w:r w:rsidR="0075695D">
        <w:rPr>
          <w:lang w:val="en-US"/>
        </w:rPr>
        <w:t xml:space="preserve">2019 </w:t>
      </w:r>
      <w:r w:rsidR="007820C8">
        <w:rPr>
          <w:lang w:val="en-US"/>
        </w:rPr>
        <w:t>(see Table 7)</w:t>
      </w:r>
      <w:r>
        <w:rPr>
          <w:lang w:val="en-US"/>
        </w:rPr>
        <w:t xml:space="preserve">. </w:t>
      </w:r>
    </w:p>
    <w:p w14:paraId="4B77DA05" w14:textId="77777777" w:rsidR="00914313" w:rsidRDefault="00914313" w:rsidP="004B7E02">
      <w:pPr>
        <w:pStyle w:val="NoSpacing"/>
        <w:rPr>
          <w:lang w:val="en-US"/>
        </w:rPr>
      </w:pPr>
    </w:p>
    <w:p w14:paraId="4FF3DF96" w14:textId="77777777" w:rsidR="004F7677" w:rsidRDefault="00626A57" w:rsidP="004F7677">
      <w:pPr>
        <w:pStyle w:val="NoSpacing"/>
        <w:rPr>
          <w:lang w:val="en-US"/>
        </w:rPr>
      </w:pPr>
      <w:r w:rsidRPr="00626A57">
        <w:rPr>
          <w:b/>
          <w:bCs/>
          <w:lang w:val="en-US"/>
        </w:rPr>
        <w:t>Efficiency:</w:t>
      </w:r>
      <w:r>
        <w:rPr>
          <w:lang w:val="en-US"/>
        </w:rPr>
        <w:t xml:space="preserve"> </w:t>
      </w:r>
      <w:r w:rsidR="004F7677">
        <w:rPr>
          <w:lang w:val="en-US"/>
        </w:rPr>
        <w:t xml:space="preserve">A number of factors have impeded the </w:t>
      </w:r>
      <w:r w:rsidR="004F7677" w:rsidRPr="00C3329C">
        <w:rPr>
          <w:lang w:val="en-US"/>
        </w:rPr>
        <w:t>efficiency</w:t>
      </w:r>
      <w:r w:rsidR="004F7677">
        <w:rPr>
          <w:lang w:val="en-US"/>
        </w:rPr>
        <w:t xml:space="preserve"> of the program and </w:t>
      </w:r>
      <w:r w:rsidR="004F7677" w:rsidRPr="00A70C25">
        <w:rPr>
          <w:lang w:val="en-US"/>
        </w:rPr>
        <w:t>achievement of results</w:t>
      </w:r>
      <w:r w:rsidR="004F7677">
        <w:rPr>
          <w:lang w:val="en-US"/>
        </w:rPr>
        <w:t xml:space="preserve">. These include complex and </w:t>
      </w:r>
      <w:r w:rsidR="004F7677" w:rsidRPr="00122071">
        <w:rPr>
          <w:lang w:val="en-US"/>
        </w:rPr>
        <w:t xml:space="preserve">slow </w:t>
      </w:r>
      <w:r w:rsidR="004F7677" w:rsidRPr="00D044A3">
        <w:rPr>
          <w:lang w:val="en-US"/>
        </w:rPr>
        <w:t>recruitment of UNFPA staff and I</w:t>
      </w:r>
      <w:r w:rsidR="004F7677">
        <w:rPr>
          <w:lang w:val="en-US"/>
        </w:rPr>
        <w:t>P</w:t>
      </w:r>
      <w:r w:rsidR="004F7677" w:rsidRPr="00D044A3">
        <w:rPr>
          <w:lang w:val="en-US"/>
        </w:rPr>
        <w:t>s</w:t>
      </w:r>
      <w:r w:rsidR="004F7677">
        <w:rPr>
          <w:lang w:val="en-US"/>
        </w:rPr>
        <w:t xml:space="preserve"> for the TA program</w:t>
      </w:r>
      <w:r w:rsidR="004F7677" w:rsidRPr="00D044A3">
        <w:rPr>
          <w:lang w:val="en-US"/>
        </w:rPr>
        <w:t xml:space="preserve">; slow disbursement of funds </w:t>
      </w:r>
      <w:r w:rsidR="004F7677" w:rsidRPr="005D1BEB">
        <w:rPr>
          <w:lang w:val="en-US"/>
        </w:rPr>
        <w:t>at m</w:t>
      </w:r>
      <w:r w:rsidR="004F7677">
        <w:rPr>
          <w:lang w:val="en-US"/>
        </w:rPr>
        <w:t xml:space="preserve">ultiple </w:t>
      </w:r>
      <w:r w:rsidR="004F7677" w:rsidRPr="005D1BEB">
        <w:rPr>
          <w:lang w:val="en-US"/>
        </w:rPr>
        <w:t>levels</w:t>
      </w:r>
      <w:r w:rsidR="004F7677">
        <w:rPr>
          <w:lang w:val="en-US"/>
        </w:rPr>
        <w:t xml:space="preserve"> all resulting in significant non-</w:t>
      </w:r>
      <w:r w:rsidR="004F7677" w:rsidRPr="00306BEF">
        <w:rPr>
          <w:lang w:val="en-US"/>
        </w:rPr>
        <w:t xml:space="preserve">implementation periods in 2018 and 2019; lack of time for implementation after late receipt of funds; </w:t>
      </w:r>
      <w:r w:rsidR="004F7677" w:rsidRPr="00760D75">
        <w:rPr>
          <w:lang w:val="en-US"/>
        </w:rPr>
        <w:t xml:space="preserve">and the UNFPA policy </w:t>
      </w:r>
      <w:r w:rsidR="004F7677" w:rsidRPr="00D7226B">
        <w:rPr>
          <w:lang w:val="en-US"/>
        </w:rPr>
        <w:t>(until recently)</w:t>
      </w:r>
      <w:r w:rsidR="004F7677">
        <w:rPr>
          <w:lang w:val="en-US"/>
        </w:rPr>
        <w:t xml:space="preserve"> </w:t>
      </w:r>
      <w:r w:rsidR="004F7677" w:rsidRPr="00760D75">
        <w:rPr>
          <w:lang w:val="en-US"/>
        </w:rPr>
        <w:t xml:space="preserve">of requiring unspent funds be returned to UNFPA at the end of the </w:t>
      </w:r>
      <w:r w:rsidR="004F7677" w:rsidRPr="00D7226B">
        <w:rPr>
          <w:lang w:val="en-US"/>
        </w:rPr>
        <w:t>calendar year</w:t>
      </w:r>
      <w:r w:rsidR="004F7677" w:rsidRPr="00306BEF">
        <w:rPr>
          <w:lang w:val="en-US"/>
        </w:rPr>
        <w:t>.</w:t>
      </w:r>
      <w:r w:rsidR="004F7677">
        <w:rPr>
          <w:lang w:val="en-US"/>
        </w:rPr>
        <w:t xml:space="preserve"> </w:t>
      </w:r>
      <w:r w:rsidR="00944132">
        <w:rPr>
          <w:lang w:val="en-US"/>
        </w:rPr>
        <w:t xml:space="preserve">This policy affected IPs from 2018 to 2019 but has since been remedied. </w:t>
      </w:r>
      <w:r w:rsidR="004F7677" w:rsidRPr="00D102C3">
        <w:rPr>
          <w:lang w:val="en-US"/>
        </w:rPr>
        <w:t>R</w:t>
      </w:r>
      <w:r w:rsidR="004F7677">
        <w:rPr>
          <w:lang w:val="en-US"/>
        </w:rPr>
        <w:t>IPs</w:t>
      </w:r>
      <w:r w:rsidR="004F7677" w:rsidRPr="00D102C3">
        <w:rPr>
          <w:lang w:val="en-US"/>
        </w:rPr>
        <w:t xml:space="preserve"> report a long, complex and unsatisfying </w:t>
      </w:r>
      <w:r w:rsidR="004F7677">
        <w:rPr>
          <w:lang w:val="en-US"/>
        </w:rPr>
        <w:t xml:space="preserve">recruitment </w:t>
      </w:r>
      <w:r w:rsidR="004F7677" w:rsidRPr="00D102C3">
        <w:rPr>
          <w:lang w:val="en-US"/>
        </w:rPr>
        <w:t>process</w:t>
      </w:r>
      <w:r w:rsidR="004F7677">
        <w:rPr>
          <w:lang w:val="en-US"/>
        </w:rPr>
        <w:t>,</w:t>
      </w:r>
      <w:r w:rsidR="004F7677" w:rsidRPr="00D102C3">
        <w:rPr>
          <w:lang w:val="en-US"/>
        </w:rPr>
        <w:t xml:space="preserve"> with their proposed activities significantly </w:t>
      </w:r>
      <w:r w:rsidR="0048729A">
        <w:rPr>
          <w:lang w:val="en-US"/>
        </w:rPr>
        <w:t>changed</w:t>
      </w:r>
      <w:r w:rsidR="004F7677" w:rsidRPr="00D102C3">
        <w:rPr>
          <w:lang w:val="en-US"/>
        </w:rPr>
        <w:t xml:space="preserve"> following submission of proposals.</w:t>
      </w:r>
      <w:r w:rsidR="004F7677">
        <w:rPr>
          <w:lang w:val="en-US"/>
        </w:rPr>
        <w:t xml:space="preserve"> </w:t>
      </w:r>
      <w:r w:rsidR="0048729A">
        <w:rPr>
          <w:lang w:val="en-US"/>
        </w:rPr>
        <w:t>These factors have all resulted in slow implementation and limited achievement of outcomes.</w:t>
      </w:r>
      <w:r w:rsidR="004F7677">
        <w:rPr>
          <w:lang w:val="en-US"/>
        </w:rPr>
        <w:t xml:space="preserve"> </w:t>
      </w:r>
    </w:p>
    <w:p w14:paraId="59D55B4D" w14:textId="77777777" w:rsidR="000239C8" w:rsidRPr="000C4FFD" w:rsidRDefault="000239C8" w:rsidP="005A263B">
      <w:pPr>
        <w:pStyle w:val="NoSpacing"/>
      </w:pPr>
    </w:p>
    <w:p w14:paraId="691C82B2" w14:textId="77777777" w:rsidR="004F7677" w:rsidRDefault="00C3329C" w:rsidP="0000789C">
      <w:pPr>
        <w:spacing w:after="0" w:line="240" w:lineRule="auto"/>
        <w:rPr>
          <w:rFonts w:cstheme="minorHAnsi"/>
        </w:rPr>
      </w:pPr>
      <w:r w:rsidRPr="00C3329C">
        <w:rPr>
          <w:b/>
          <w:bCs/>
          <w:lang w:val="en-US"/>
        </w:rPr>
        <w:t xml:space="preserve">Monitoring and Evaluation and Reporting: </w:t>
      </w:r>
      <w:r w:rsidR="004F7677">
        <w:rPr>
          <w:lang w:val="en-US"/>
        </w:rPr>
        <w:t xml:space="preserve">Review of the existing </w:t>
      </w:r>
      <w:r w:rsidR="0000789C" w:rsidRPr="00894DA4">
        <w:rPr>
          <w:lang w:val="en-US"/>
        </w:rPr>
        <w:t>Monitoring and Evaluation Framework (</w:t>
      </w:r>
      <w:r w:rsidR="004F7677" w:rsidRPr="00894DA4">
        <w:rPr>
          <w:lang w:val="en-US"/>
        </w:rPr>
        <w:t>M</w:t>
      </w:r>
      <w:r w:rsidR="004F7677">
        <w:rPr>
          <w:lang w:val="en-US"/>
        </w:rPr>
        <w:t>EF</w:t>
      </w:r>
      <w:r w:rsidR="0000789C">
        <w:rPr>
          <w:lang w:val="en-US"/>
        </w:rPr>
        <w:t>)</w:t>
      </w:r>
      <w:r w:rsidR="004F7677">
        <w:rPr>
          <w:lang w:val="en-US"/>
        </w:rPr>
        <w:t xml:space="preserve"> indicates that it is not fit for purpose with multiple indicators ill-defined and/or </w:t>
      </w:r>
      <w:r w:rsidR="0000789C">
        <w:rPr>
          <w:lang w:val="en-US"/>
        </w:rPr>
        <w:t>unmeasurable</w:t>
      </w:r>
      <w:r w:rsidR="0000789C" w:rsidRPr="003204EA">
        <w:rPr>
          <w:lang w:val="en-US"/>
        </w:rPr>
        <w:t>, and many interventions having no corresponding indicators for measurement of progress or achievement. Of 150 indicator targets (25 indicators x 6 countries), 26 (17%) were found to be achieved or on track; some progress was achieved on 11 (7%); 41 (27%) had little progress; and 72 (48%), were not measurable due to a variety of reasons.</w:t>
      </w:r>
      <w:r w:rsidR="0000789C" w:rsidRPr="003204EA">
        <w:rPr>
          <w:rStyle w:val="FootnoteReference"/>
          <w:lang w:val="en-US"/>
        </w:rPr>
        <w:footnoteReference w:id="1"/>
      </w:r>
      <w:r w:rsidR="0000789C">
        <w:rPr>
          <w:lang w:val="en-US"/>
        </w:rPr>
        <w:t xml:space="preserve"> </w:t>
      </w:r>
      <w:r w:rsidR="004F7677">
        <w:rPr>
          <w:lang w:val="en-US"/>
        </w:rPr>
        <w:t xml:space="preserve">Some baseline data is still not available. </w:t>
      </w:r>
      <w:r w:rsidR="004F7677" w:rsidRPr="007C1090">
        <w:rPr>
          <w:rFonts w:cstheme="minorHAnsi"/>
        </w:rPr>
        <w:t xml:space="preserve">Nine of the sixteen planned interventions </w:t>
      </w:r>
      <w:r w:rsidR="004F7677">
        <w:rPr>
          <w:rFonts w:cstheme="minorHAnsi"/>
        </w:rPr>
        <w:t xml:space="preserve">have not </w:t>
      </w:r>
      <w:r w:rsidR="004F7677" w:rsidRPr="007C1090">
        <w:rPr>
          <w:rFonts w:cstheme="minorHAnsi"/>
        </w:rPr>
        <w:t xml:space="preserve">yet begun or </w:t>
      </w:r>
      <w:r w:rsidR="004F7677">
        <w:rPr>
          <w:rFonts w:cstheme="minorHAnsi"/>
        </w:rPr>
        <w:t xml:space="preserve">have </w:t>
      </w:r>
      <w:r w:rsidR="004F7677" w:rsidRPr="007C1090">
        <w:rPr>
          <w:rFonts w:cstheme="minorHAnsi"/>
        </w:rPr>
        <w:t>no evidence of achievements</w:t>
      </w:r>
      <w:r w:rsidR="004F7677">
        <w:rPr>
          <w:rFonts w:cstheme="minorHAnsi"/>
        </w:rPr>
        <w:t>. While indicator definitions include disaggregation by gender and age, these are not included in reporting. The</w:t>
      </w:r>
      <w:r w:rsidR="00944132">
        <w:rPr>
          <w:rFonts w:cstheme="minorHAnsi"/>
        </w:rPr>
        <w:t xml:space="preserve"> TA Program would benefit from </w:t>
      </w:r>
      <w:r w:rsidR="004F7677">
        <w:rPr>
          <w:rFonts w:cstheme="minorHAnsi"/>
        </w:rPr>
        <w:t xml:space="preserve">indicators </w:t>
      </w:r>
      <w:r w:rsidR="00944132">
        <w:rPr>
          <w:rFonts w:cstheme="minorHAnsi"/>
        </w:rPr>
        <w:t>to monitor</w:t>
      </w:r>
      <w:r w:rsidR="004F7677">
        <w:rPr>
          <w:rFonts w:cstheme="minorHAnsi"/>
        </w:rPr>
        <w:t xml:space="preserve"> </w:t>
      </w:r>
      <w:r w:rsidR="00944132">
        <w:rPr>
          <w:rFonts w:cstheme="minorHAnsi"/>
        </w:rPr>
        <w:t xml:space="preserve">UNFPA’s </w:t>
      </w:r>
      <w:r w:rsidR="004F7677">
        <w:rPr>
          <w:rFonts w:cstheme="minorHAnsi"/>
        </w:rPr>
        <w:t>management of the TA program</w:t>
      </w:r>
      <w:r w:rsidR="00944132">
        <w:rPr>
          <w:rFonts w:cstheme="minorHAnsi"/>
        </w:rPr>
        <w:t xml:space="preserve">. </w:t>
      </w:r>
      <w:r w:rsidR="004F7677">
        <w:rPr>
          <w:rFonts w:cstheme="minorHAnsi"/>
        </w:rPr>
        <w:t xml:space="preserve"> </w:t>
      </w:r>
      <w:r w:rsidR="00944132">
        <w:rPr>
          <w:rFonts w:cstheme="minorHAnsi"/>
        </w:rPr>
        <w:t>T</w:t>
      </w:r>
      <w:r w:rsidR="004F7677">
        <w:rPr>
          <w:rFonts w:cstheme="minorHAnsi"/>
        </w:rPr>
        <w:t xml:space="preserve">he risk management matrix has not been updated since the development of the program design document (PDD). Annual reporting is confusing as activities from PSRO’s SRP6 </w:t>
      </w:r>
      <w:r w:rsidR="00F214EA">
        <w:rPr>
          <w:rFonts w:cstheme="minorHAnsi"/>
        </w:rPr>
        <w:t xml:space="preserve">and RMNCAH </w:t>
      </w:r>
      <w:r w:rsidR="004F7677">
        <w:rPr>
          <w:rFonts w:cstheme="minorHAnsi"/>
        </w:rPr>
        <w:t>program</w:t>
      </w:r>
      <w:r w:rsidR="00F214EA">
        <w:rPr>
          <w:rFonts w:cstheme="minorHAnsi"/>
        </w:rPr>
        <w:t>s</w:t>
      </w:r>
      <w:r w:rsidR="004F7677">
        <w:rPr>
          <w:rFonts w:cstheme="minorHAnsi"/>
        </w:rPr>
        <w:t xml:space="preserve"> are included </w:t>
      </w:r>
      <w:r w:rsidR="0048729A">
        <w:rPr>
          <w:rFonts w:cstheme="minorHAnsi"/>
        </w:rPr>
        <w:t xml:space="preserve">as being implemented by the </w:t>
      </w:r>
      <w:r w:rsidR="004F7677">
        <w:rPr>
          <w:rFonts w:cstheme="minorHAnsi"/>
        </w:rPr>
        <w:t>TA program</w:t>
      </w:r>
      <w:r w:rsidR="0000789C">
        <w:rPr>
          <w:rFonts w:cstheme="minorHAnsi"/>
        </w:rPr>
        <w:t xml:space="preserve">. </w:t>
      </w:r>
    </w:p>
    <w:p w14:paraId="05CECBD2" w14:textId="77777777" w:rsidR="00D10AE0" w:rsidRDefault="00D10AE0" w:rsidP="009C4D86">
      <w:pPr>
        <w:pStyle w:val="NoSpacing"/>
        <w:rPr>
          <w:rFonts w:cstheme="minorHAnsi"/>
        </w:rPr>
      </w:pPr>
    </w:p>
    <w:p w14:paraId="696DF301" w14:textId="77777777" w:rsidR="00717F4D" w:rsidRPr="009137D8" w:rsidRDefault="00D10AE0" w:rsidP="00717F4D">
      <w:pPr>
        <w:pStyle w:val="NoSpacing"/>
      </w:pPr>
      <w:r w:rsidRPr="00D10AE0">
        <w:rPr>
          <w:rFonts w:cstheme="minorHAnsi"/>
          <w:b/>
          <w:bCs/>
        </w:rPr>
        <w:t>Governance</w:t>
      </w:r>
      <w:r w:rsidR="00D96A4A">
        <w:rPr>
          <w:rFonts w:cstheme="minorHAnsi"/>
          <w:b/>
          <w:bCs/>
        </w:rPr>
        <w:t>:</w:t>
      </w:r>
      <w:r w:rsidR="00EA5442">
        <w:rPr>
          <w:rFonts w:cstheme="minorHAnsi"/>
          <w:b/>
          <w:bCs/>
        </w:rPr>
        <w:t xml:space="preserve"> </w:t>
      </w:r>
      <w:r w:rsidR="004F7677" w:rsidRPr="00D96A4A">
        <w:rPr>
          <w:rFonts w:cstheme="minorHAnsi"/>
        </w:rPr>
        <w:t>There has been</w:t>
      </w:r>
      <w:r w:rsidR="004F7677">
        <w:rPr>
          <w:rFonts w:cstheme="minorHAnsi"/>
          <w:b/>
          <w:bCs/>
        </w:rPr>
        <w:t xml:space="preserve"> </w:t>
      </w:r>
      <w:r w:rsidR="004F7677" w:rsidRPr="009137D8">
        <w:t xml:space="preserve">good communication and collaboration between PSRO and DFAT Canberra with </w:t>
      </w:r>
      <w:r w:rsidR="009237DE">
        <w:t>six</w:t>
      </w:r>
      <w:r w:rsidR="004F7677" w:rsidRPr="009137D8">
        <w:t xml:space="preserve"> monthly strategic guidance and progress reviews</w:t>
      </w:r>
      <w:r w:rsidR="004F7677">
        <w:t xml:space="preserve"> through the TA program Steering Committee</w:t>
      </w:r>
      <w:r w:rsidR="004F7677" w:rsidRPr="003204EA">
        <w:t xml:space="preserve">. </w:t>
      </w:r>
      <w:r w:rsidR="0016744D" w:rsidRPr="003204EA">
        <w:t xml:space="preserve">However, there has needed to be some accommodation on both sides </w:t>
      </w:r>
      <w:r w:rsidR="004F7677" w:rsidRPr="003204EA">
        <w:t>as</w:t>
      </w:r>
      <w:r w:rsidR="004F7677">
        <w:t xml:space="preserve"> UNFPA </w:t>
      </w:r>
      <w:r w:rsidR="004F7677">
        <w:lastRenderedPageBreak/>
        <w:t xml:space="preserve">commonly manages core funding for their planned program and </w:t>
      </w:r>
      <w:r w:rsidR="0048729A" w:rsidRPr="0048729A">
        <w:rPr>
          <w:rFonts w:cstheme="minorHAnsi"/>
        </w:rPr>
        <w:t xml:space="preserve">the </w:t>
      </w:r>
      <w:r w:rsidR="00944132">
        <w:rPr>
          <w:rFonts w:cstheme="minorHAnsi"/>
        </w:rPr>
        <w:t xml:space="preserve">management of the </w:t>
      </w:r>
      <w:r w:rsidR="0048729A" w:rsidRPr="00302A0B">
        <w:rPr>
          <w:rFonts w:eastAsia="Arial" w:cstheme="minorHAnsi"/>
          <w:color w:val="000000"/>
        </w:rPr>
        <w:t xml:space="preserve">TA program required </w:t>
      </w:r>
      <w:r w:rsidR="00944132">
        <w:rPr>
          <w:rFonts w:eastAsia="Arial" w:cstheme="minorHAnsi"/>
          <w:color w:val="000000"/>
        </w:rPr>
        <w:t>adherence to the P</w:t>
      </w:r>
      <w:r w:rsidR="00F15D94">
        <w:rPr>
          <w:rFonts w:eastAsia="Arial" w:cstheme="minorHAnsi"/>
          <w:color w:val="000000"/>
        </w:rPr>
        <w:t xml:space="preserve">DD </w:t>
      </w:r>
      <w:r w:rsidR="00944132">
        <w:rPr>
          <w:rFonts w:eastAsia="Arial" w:cstheme="minorHAnsi"/>
          <w:color w:val="000000"/>
        </w:rPr>
        <w:t xml:space="preserve"> and DFAT’s quality assurance processes. </w:t>
      </w:r>
      <w:r w:rsidR="004F7677">
        <w:t xml:space="preserve">Similarly, DFAT has experienced issues with UNFPA’s complex administrative processes which impede progress. </w:t>
      </w:r>
      <w:r w:rsidR="00717F4D">
        <w:t xml:space="preserve">Technical governance through the PDD prescribed </w:t>
      </w:r>
      <w:r w:rsidR="00717F4D" w:rsidRPr="009137D8">
        <w:t xml:space="preserve">TA Technical Team </w:t>
      </w:r>
      <w:r w:rsidR="00717F4D">
        <w:t xml:space="preserve">(TATT) would have benefited </w:t>
      </w:r>
      <w:r w:rsidR="002D7852">
        <w:t xml:space="preserve">from </w:t>
      </w:r>
      <w:r w:rsidR="00717F4D" w:rsidRPr="009137D8">
        <w:t>overs</w:t>
      </w:r>
      <w:r w:rsidR="00717F4D">
        <w:t>ight of</w:t>
      </w:r>
      <w:r w:rsidR="00717F4D" w:rsidRPr="009137D8">
        <w:t xml:space="preserve"> TA technical activities and ensure</w:t>
      </w:r>
      <w:r w:rsidR="00717F4D">
        <w:t>d</w:t>
      </w:r>
      <w:r w:rsidR="00717F4D" w:rsidRPr="009137D8">
        <w:t xml:space="preserve"> regional </w:t>
      </w:r>
      <w:r w:rsidR="00717F4D">
        <w:t xml:space="preserve">and national </w:t>
      </w:r>
      <w:r w:rsidR="00717F4D" w:rsidRPr="009137D8">
        <w:t xml:space="preserve">agencies’ technical capabilities </w:t>
      </w:r>
      <w:r w:rsidR="00717F4D">
        <w:t>were</w:t>
      </w:r>
      <w:r w:rsidR="00717F4D" w:rsidRPr="009137D8">
        <w:t xml:space="preserve"> capitali</w:t>
      </w:r>
      <w:r w:rsidR="00717F4D">
        <w:t>s</w:t>
      </w:r>
      <w:r w:rsidR="00717F4D" w:rsidRPr="009137D8">
        <w:t>ed upon in a coordinated and efficient manner.</w:t>
      </w:r>
      <w:r w:rsidR="00717F4D">
        <w:t xml:space="preserve">  </w:t>
      </w:r>
    </w:p>
    <w:p w14:paraId="3A1064A6" w14:textId="77777777" w:rsidR="00D96A4A" w:rsidRPr="009137D8" w:rsidRDefault="00D96A4A" w:rsidP="00D96A4A">
      <w:pPr>
        <w:pStyle w:val="NoSpacing"/>
      </w:pPr>
    </w:p>
    <w:p w14:paraId="21F214BD" w14:textId="77777777" w:rsidR="009636C5" w:rsidRDefault="001455A4" w:rsidP="00914313">
      <w:pPr>
        <w:pStyle w:val="NoSpacing"/>
      </w:pPr>
      <w:r>
        <w:t xml:space="preserve">In </w:t>
      </w:r>
      <w:r>
        <w:rPr>
          <w:b/>
          <w:bCs/>
        </w:rPr>
        <w:t>conclusion</w:t>
      </w:r>
      <w:r>
        <w:t>, it is uncertain whether the TA outcomes will be achieved by program end, due to the current underachievement of indicator targets; as well as low levels of implementation. It is unclear whether some of the most significant administrative process challenges can be satisfactorily resolved in time to improve the effective implementation of the program. DFAT may want to consider a four (4) month implementation extension to allow for quality one year work plans for both 2021 and 2022; and a further option for a twelve (12) month no-cost extension if the program makes good progress over 2021/2022. Additional time for implementation would also allow for recovery from the impact of COVID-19. Implementation of the MTR recommendations will require immediate action by PSRO and will need to be closely monitored by DFAT before a decision on a possible extension is made. DFAT could consider making this decision in April 2022 following receipt and evaluation of the 2021 Annual Report.</w:t>
      </w:r>
    </w:p>
    <w:p w14:paraId="60225F4D" w14:textId="7EBC0FAF" w:rsidR="00607B47" w:rsidRPr="000B4E0A" w:rsidRDefault="009636C5" w:rsidP="000B4E0A">
      <w:pPr>
        <w:pStyle w:val="NumberedLevel1heading"/>
        <w:ind w:left="0" w:firstLine="0"/>
        <w:jc w:val="left"/>
      </w:pPr>
      <w:bookmarkStart w:id="5" w:name="_Hlk53839390"/>
      <w:bookmarkStart w:id="6" w:name="_Toc76630081"/>
      <w:r>
        <w:t>Recommendations:</w:t>
      </w:r>
      <w:bookmarkStart w:id="7" w:name="_Toc52109897"/>
      <w:bookmarkEnd w:id="6"/>
    </w:p>
    <w:p w14:paraId="21AEFC2B" w14:textId="77777777" w:rsidR="009636C5" w:rsidRPr="00FF1886" w:rsidRDefault="009636C5" w:rsidP="00FF1886">
      <w:pPr>
        <w:rPr>
          <w:b/>
          <w:bCs/>
        </w:rPr>
      </w:pPr>
      <w:r w:rsidRPr="00FF1886">
        <w:rPr>
          <w:b/>
          <w:bCs/>
        </w:rPr>
        <w:t>Effectiveness</w:t>
      </w:r>
      <w:bookmarkEnd w:id="7"/>
    </w:p>
    <w:p w14:paraId="510CC660" w14:textId="77777777" w:rsidR="00CA69CB" w:rsidRDefault="009636C5" w:rsidP="00CA69CB">
      <w:pPr>
        <w:pStyle w:val="NoSpacing"/>
        <w:rPr>
          <w:lang w:val="en-US"/>
        </w:rPr>
      </w:pPr>
      <w:r w:rsidRPr="00D43E81">
        <w:rPr>
          <w:b/>
          <w:bCs/>
          <w:i/>
          <w:iCs/>
        </w:rPr>
        <w:t>Recommendation</w:t>
      </w:r>
      <w:r w:rsidR="007E6BBF">
        <w:rPr>
          <w:b/>
          <w:bCs/>
          <w:i/>
          <w:iCs/>
        </w:rPr>
        <w:t xml:space="preserve"> 1</w:t>
      </w:r>
      <w:r w:rsidRPr="00D43E81">
        <w:rPr>
          <w:b/>
          <w:bCs/>
          <w:i/>
          <w:iCs/>
        </w:rPr>
        <w:t>:</w:t>
      </w:r>
      <w:r>
        <w:rPr>
          <w:b/>
          <w:bCs/>
          <w:i/>
          <w:iCs/>
        </w:rPr>
        <w:t xml:space="preserve"> </w:t>
      </w:r>
      <w:r w:rsidR="00CA69CB">
        <w:t xml:space="preserve">Strengthen and support </w:t>
      </w:r>
      <w:proofErr w:type="spellStart"/>
      <w:r w:rsidR="00CA69CB">
        <w:t>i</w:t>
      </w:r>
      <w:r w:rsidR="00CA69CB">
        <w:rPr>
          <w:lang w:val="en-US"/>
        </w:rPr>
        <w:t>ntersectoral</w:t>
      </w:r>
      <w:proofErr w:type="spellEnd"/>
      <w:r w:rsidR="00CA69CB">
        <w:rPr>
          <w:lang w:val="en-US"/>
        </w:rPr>
        <w:t xml:space="preserve"> N</w:t>
      </w:r>
      <w:r w:rsidR="00CA69CB" w:rsidRPr="0001440E">
        <w:rPr>
          <w:lang w:val="en-US"/>
        </w:rPr>
        <w:t xml:space="preserve">ational </w:t>
      </w:r>
      <w:r w:rsidR="00CA69CB">
        <w:rPr>
          <w:lang w:val="en-US"/>
        </w:rPr>
        <w:t xml:space="preserve">Health Sector Committees, </w:t>
      </w:r>
      <w:r w:rsidR="00CA69CB" w:rsidRPr="0001440E">
        <w:rPr>
          <w:lang w:val="en-US"/>
        </w:rPr>
        <w:t>SRH Committee</w:t>
      </w:r>
      <w:r w:rsidR="00CA69CB">
        <w:rPr>
          <w:lang w:val="en-US"/>
        </w:rPr>
        <w:t>s</w:t>
      </w:r>
      <w:r w:rsidR="00CA69CB" w:rsidRPr="0001440E">
        <w:rPr>
          <w:lang w:val="en-US"/>
        </w:rPr>
        <w:t xml:space="preserve"> or Reproductive, Maternal, Ne</w:t>
      </w:r>
      <w:r w:rsidR="00CA69CB">
        <w:rPr>
          <w:lang w:val="en-US"/>
        </w:rPr>
        <w:t>wborn</w:t>
      </w:r>
      <w:r w:rsidR="00CA69CB" w:rsidRPr="0001440E">
        <w:rPr>
          <w:lang w:val="en-US"/>
        </w:rPr>
        <w:t>, Child, Adolescent Health (RMNCAH) Committee</w:t>
      </w:r>
      <w:r w:rsidR="00CA69CB">
        <w:rPr>
          <w:lang w:val="en-US"/>
        </w:rPr>
        <w:t xml:space="preserve">s to maintain the role of planning and coordination for priority, needs-based FP/SRH activities across sectors. This may require hiring a temporary </w:t>
      </w:r>
      <w:r w:rsidR="0000789C">
        <w:rPr>
          <w:lang w:val="en-US"/>
        </w:rPr>
        <w:t xml:space="preserve">TA </w:t>
      </w:r>
      <w:r w:rsidR="00CA69CB">
        <w:rPr>
          <w:lang w:val="en-US"/>
        </w:rPr>
        <w:t>Program Coordinator</w:t>
      </w:r>
      <w:r w:rsidR="0027216D">
        <w:rPr>
          <w:lang w:val="en-US"/>
        </w:rPr>
        <w:t xml:space="preserve"> or other Support Staff</w:t>
      </w:r>
      <w:r w:rsidR="00CA69CB">
        <w:rPr>
          <w:lang w:val="en-US"/>
        </w:rPr>
        <w:t xml:space="preserve">, contracted through the MOH using TA funds. PSRO should continue the consultations with MOHs in this regard and ensure that MOH planned FP/SRH activities are part of TA workplans. MOHs would be responsible for contracting any SRs, and for data collection and reporting. Proposed </w:t>
      </w:r>
      <w:r w:rsidR="0027216D">
        <w:rPr>
          <w:lang w:val="en-US"/>
        </w:rPr>
        <w:t xml:space="preserve">non-health related </w:t>
      </w:r>
      <w:r w:rsidR="00CA69CB">
        <w:rPr>
          <w:lang w:val="en-US"/>
        </w:rPr>
        <w:t xml:space="preserve">activities in other Ministries </w:t>
      </w:r>
      <w:r w:rsidR="0000789C">
        <w:rPr>
          <w:lang w:val="en-US"/>
        </w:rPr>
        <w:t>(</w:t>
      </w:r>
      <w:proofErr w:type="gramStart"/>
      <w:r w:rsidR="00CA69CB">
        <w:rPr>
          <w:lang w:val="en-US"/>
        </w:rPr>
        <w:t>e.g.</w:t>
      </w:r>
      <w:proofErr w:type="gramEnd"/>
      <w:r w:rsidR="00CA69CB">
        <w:rPr>
          <w:lang w:val="en-US"/>
        </w:rPr>
        <w:t xml:space="preserve"> in the Education, Women and Youth sectors</w:t>
      </w:r>
      <w:r w:rsidR="0000789C">
        <w:rPr>
          <w:lang w:val="en-US"/>
        </w:rPr>
        <w:t>)</w:t>
      </w:r>
      <w:r w:rsidR="00CA69CB">
        <w:rPr>
          <w:lang w:val="en-US"/>
        </w:rPr>
        <w:t xml:space="preserve">, could be included in multisectoral planning but with their own workplans and with disbursement of TA funds through the usual channels </w:t>
      </w:r>
      <w:r w:rsidR="0000789C">
        <w:rPr>
          <w:lang w:val="en-US"/>
        </w:rPr>
        <w:t>(</w:t>
      </w:r>
      <w:r w:rsidR="00302A0B">
        <w:rPr>
          <w:lang w:val="en-US"/>
        </w:rPr>
        <w:t>i</w:t>
      </w:r>
      <w:r w:rsidR="00CA69CB">
        <w:rPr>
          <w:lang w:val="en-US"/>
        </w:rPr>
        <w:t>.e. through government systems</w:t>
      </w:r>
      <w:r w:rsidR="0000789C">
        <w:rPr>
          <w:lang w:val="en-US"/>
        </w:rPr>
        <w:t>)</w:t>
      </w:r>
      <w:r w:rsidR="00CA69CB">
        <w:rPr>
          <w:lang w:val="en-US"/>
        </w:rPr>
        <w:t xml:space="preserve">. </w:t>
      </w:r>
    </w:p>
    <w:p w14:paraId="72233906" w14:textId="77777777" w:rsidR="007E6BBF" w:rsidRDefault="007E6BBF" w:rsidP="009636C5">
      <w:pPr>
        <w:pStyle w:val="NoSpacing"/>
        <w:rPr>
          <w:b/>
          <w:bCs/>
          <w:i/>
          <w:iCs/>
          <w:lang w:val="en-US"/>
        </w:rPr>
      </w:pPr>
    </w:p>
    <w:p w14:paraId="4C4F8773" w14:textId="77777777" w:rsidR="00E25DAD" w:rsidRDefault="009636C5" w:rsidP="00E25DAD">
      <w:pPr>
        <w:pStyle w:val="NoSpacing"/>
        <w:rPr>
          <w:lang w:val="en-US"/>
        </w:rPr>
      </w:pPr>
      <w:r w:rsidRPr="007617B2">
        <w:rPr>
          <w:b/>
          <w:bCs/>
          <w:i/>
          <w:iCs/>
          <w:lang w:val="en-US"/>
        </w:rPr>
        <w:t>Recommendation</w:t>
      </w:r>
      <w:r w:rsidR="007E6BBF">
        <w:rPr>
          <w:b/>
          <w:bCs/>
          <w:i/>
          <w:iCs/>
          <w:lang w:val="en-US"/>
        </w:rPr>
        <w:t xml:space="preserve"> 2</w:t>
      </w:r>
      <w:r w:rsidRPr="007617B2">
        <w:rPr>
          <w:b/>
          <w:bCs/>
          <w:i/>
          <w:iCs/>
          <w:lang w:val="en-US"/>
        </w:rPr>
        <w:t>:</w:t>
      </w:r>
      <w:r>
        <w:rPr>
          <w:lang w:val="en-US"/>
        </w:rPr>
        <w:t xml:space="preserve">  </w:t>
      </w:r>
      <w:r w:rsidR="00E25DAD">
        <w:rPr>
          <w:lang w:val="en-US"/>
        </w:rPr>
        <w:t xml:space="preserve">As part of their TA planning, </w:t>
      </w:r>
      <w:r w:rsidR="00E25DAD" w:rsidRPr="00302A0B">
        <w:rPr>
          <w:lang w:val="en-US"/>
        </w:rPr>
        <w:t>it is recommended that MOHs give consideration</w:t>
      </w:r>
      <w:r w:rsidR="00E25DAD">
        <w:rPr>
          <w:lang w:val="en-US"/>
        </w:rPr>
        <w:t xml:space="preserve"> to contracting existing in-country trainers (such as IPPF Member Associations (MAs), Medical Services Pacific in Fiji, or others) to conduct training on FP methods (particularly </w:t>
      </w:r>
      <w:proofErr w:type="gramStart"/>
      <w:r w:rsidR="00E25DAD">
        <w:rPr>
          <w:lang w:val="en-US"/>
        </w:rPr>
        <w:t>Long Acting</w:t>
      </w:r>
      <w:proofErr w:type="gramEnd"/>
      <w:r w:rsidR="00E25DAD">
        <w:rPr>
          <w:lang w:val="en-US"/>
        </w:rPr>
        <w:t xml:space="preserve"> Reversible Contraceptives (LARCs)</w:t>
      </w:r>
      <w:r w:rsidR="000C138F">
        <w:rPr>
          <w:lang w:val="en-US"/>
        </w:rPr>
        <w:t xml:space="preserve"> and e</w:t>
      </w:r>
      <w:r w:rsidR="00E25DAD">
        <w:rPr>
          <w:lang w:val="en-US"/>
        </w:rPr>
        <w:t>mergency contraception (EC)</w:t>
      </w:r>
      <w:r w:rsidR="000C138F">
        <w:rPr>
          <w:lang w:val="en-US"/>
        </w:rPr>
        <w:t>); and</w:t>
      </w:r>
      <w:r w:rsidR="00E25DAD">
        <w:rPr>
          <w:lang w:val="en-US"/>
        </w:rPr>
        <w:t xml:space="preserve"> integrated SRH (youth-friendly services, Gender-Based Violence (GBV) care, disability inclusiveness) to global best practice standards. The benefit of MOH consideration of using </w:t>
      </w:r>
      <w:r w:rsidR="00E25DAD" w:rsidRPr="00302A0B">
        <w:rPr>
          <w:lang w:val="en-US"/>
        </w:rPr>
        <w:t>contracted service providers is that it would reduce pressure on M</w:t>
      </w:r>
      <w:r w:rsidR="005C4F60">
        <w:rPr>
          <w:lang w:val="en-US"/>
        </w:rPr>
        <w:t>O</w:t>
      </w:r>
      <w:r w:rsidR="00E25DAD" w:rsidRPr="00302A0B">
        <w:rPr>
          <w:lang w:val="en-US"/>
        </w:rPr>
        <w:t>H medical staff for important, but non-critical work.</w:t>
      </w:r>
      <w:r w:rsidR="00E25DAD" w:rsidRPr="00E25DAD">
        <w:rPr>
          <w:lang w:val="en-US"/>
        </w:rPr>
        <w:t xml:space="preserve"> </w:t>
      </w:r>
      <w:r w:rsidR="00E25DAD" w:rsidRPr="00302A0B">
        <w:rPr>
          <w:lang w:val="en-US"/>
        </w:rPr>
        <w:t xml:space="preserve">A model using non-government </w:t>
      </w:r>
      <w:r w:rsidR="0027216D">
        <w:rPr>
          <w:lang w:val="en-US"/>
        </w:rPr>
        <w:t xml:space="preserve">FP trainers </w:t>
      </w:r>
      <w:r w:rsidR="00E25DAD" w:rsidRPr="00302A0B">
        <w:rPr>
          <w:lang w:val="en-US"/>
        </w:rPr>
        <w:t xml:space="preserve">would also allow for follow up work and quality control efforts related to cascade training </w:t>
      </w:r>
      <w:r w:rsidR="00607B47">
        <w:rPr>
          <w:lang w:val="en-US"/>
        </w:rPr>
        <w:t>(</w:t>
      </w:r>
      <w:r w:rsidR="00E25DAD" w:rsidRPr="00302A0B">
        <w:rPr>
          <w:lang w:val="en-US"/>
        </w:rPr>
        <w:t>which has inherent limitations</w:t>
      </w:r>
      <w:r w:rsidR="00607B47">
        <w:rPr>
          <w:lang w:val="en-US"/>
        </w:rPr>
        <w:t>)</w:t>
      </w:r>
      <w:r w:rsidR="00E25DAD" w:rsidRPr="00302A0B">
        <w:rPr>
          <w:lang w:val="en-US"/>
        </w:rPr>
        <w:t xml:space="preserve">, without overburdening government services. This </w:t>
      </w:r>
      <w:r w:rsidR="00607B47">
        <w:rPr>
          <w:lang w:val="en-US"/>
        </w:rPr>
        <w:t>will need to be</w:t>
      </w:r>
      <w:r w:rsidR="00E25DAD" w:rsidRPr="00302A0B">
        <w:rPr>
          <w:lang w:val="en-US"/>
        </w:rPr>
        <w:t xml:space="preserve"> a decision for each government to make based on its circumstances.</w:t>
      </w:r>
    </w:p>
    <w:p w14:paraId="220C32C0" w14:textId="77777777" w:rsidR="009636C5" w:rsidRDefault="009636C5" w:rsidP="009636C5">
      <w:pPr>
        <w:pStyle w:val="NoSpacing"/>
        <w:rPr>
          <w:lang w:val="en-US"/>
        </w:rPr>
      </w:pPr>
    </w:p>
    <w:p w14:paraId="4903BFC6" w14:textId="77777777" w:rsidR="009636C5" w:rsidRDefault="009636C5" w:rsidP="009636C5">
      <w:pPr>
        <w:pStyle w:val="NoSpacing"/>
      </w:pPr>
      <w:r w:rsidRPr="002F26D7">
        <w:rPr>
          <w:b/>
          <w:bCs/>
          <w:i/>
          <w:iCs/>
        </w:rPr>
        <w:t>Recommendation</w:t>
      </w:r>
      <w:r w:rsidR="007E6BBF">
        <w:rPr>
          <w:b/>
          <w:bCs/>
          <w:i/>
          <w:iCs/>
        </w:rPr>
        <w:t xml:space="preserve"> 3</w:t>
      </w:r>
      <w:r w:rsidRPr="002F26D7">
        <w:rPr>
          <w:b/>
          <w:bCs/>
          <w:i/>
          <w:iCs/>
        </w:rPr>
        <w:t>:</w:t>
      </w:r>
      <w:r>
        <w:t xml:space="preserve"> UNFPA negotiate with Nursing </w:t>
      </w:r>
      <w:r w:rsidRPr="00287E77">
        <w:t>Councils and</w:t>
      </w:r>
      <w:r>
        <w:t>/or</w:t>
      </w:r>
      <w:r w:rsidRPr="00287E77">
        <w:t xml:space="preserve"> the South Pacific Board of Educational Qualifications (SPBEQ) to make all efforts towards ensuring that</w:t>
      </w:r>
      <w:r>
        <w:t xml:space="preserve"> in-service FP/SRH training can be registered to enable a recognised certificate (across the Pacific) to be issued </w:t>
      </w:r>
      <w:r w:rsidR="008E4A9C">
        <w:t>up</w:t>
      </w:r>
      <w:r>
        <w:t xml:space="preserve">on completion, as occurred in Solomon Islands for the </w:t>
      </w:r>
      <w:proofErr w:type="spellStart"/>
      <w:r>
        <w:t>Jadelle</w:t>
      </w:r>
      <w:proofErr w:type="spellEnd"/>
      <w:r>
        <w:t xml:space="preserve"> Rollout.</w:t>
      </w:r>
    </w:p>
    <w:p w14:paraId="2FE0E878" w14:textId="77777777" w:rsidR="007E6BBF" w:rsidRDefault="007E6BBF" w:rsidP="009636C5">
      <w:pPr>
        <w:pStyle w:val="NoSpacing"/>
        <w:rPr>
          <w:b/>
          <w:bCs/>
          <w:i/>
          <w:iCs/>
        </w:rPr>
      </w:pPr>
    </w:p>
    <w:p w14:paraId="62431FC1" w14:textId="77777777" w:rsidR="00E25DAD" w:rsidRDefault="009636C5" w:rsidP="00E25DAD">
      <w:pPr>
        <w:pStyle w:val="NoSpacing"/>
      </w:pPr>
      <w:bookmarkStart w:id="8" w:name="_Hlk54941797"/>
      <w:r w:rsidRPr="00992FDA">
        <w:rPr>
          <w:b/>
          <w:bCs/>
          <w:i/>
          <w:iCs/>
        </w:rPr>
        <w:lastRenderedPageBreak/>
        <w:t>Recommendation</w:t>
      </w:r>
      <w:r w:rsidR="007E6BBF">
        <w:rPr>
          <w:b/>
          <w:bCs/>
          <w:i/>
          <w:iCs/>
        </w:rPr>
        <w:t xml:space="preserve"> 4</w:t>
      </w:r>
      <w:r w:rsidRPr="00992FDA">
        <w:rPr>
          <w:b/>
          <w:bCs/>
          <w:i/>
          <w:iCs/>
        </w:rPr>
        <w:t xml:space="preserve">: </w:t>
      </w:r>
      <w:r w:rsidR="00E25DAD">
        <w:t xml:space="preserve">UNFPA work closely with the </w:t>
      </w:r>
      <w:r w:rsidR="00607B47">
        <w:t xml:space="preserve">UNFPA Global </w:t>
      </w:r>
      <w:r w:rsidR="00E25DAD">
        <w:t>Supplies Program to ensure that contraceptives are ‘pushed’ out to SDPs for the duration of the TA program using the ‘</w:t>
      </w:r>
      <w:r w:rsidR="00E25DAD" w:rsidRPr="00607B47">
        <w:t>informed push</w:t>
      </w:r>
      <w:r w:rsidR="00E87883">
        <w:t>’</w:t>
      </w:r>
      <w:r w:rsidR="004266C7">
        <w:t xml:space="preserve"> using relevant data</w:t>
      </w:r>
      <w:r w:rsidR="00E87883">
        <w:t xml:space="preserve"> provided by SDP staff</w:t>
      </w:r>
      <w:r w:rsidR="00E25DAD">
        <w:t xml:space="preserve">  </w:t>
      </w:r>
      <w:r w:rsidR="00E25DAD" w:rsidRPr="00607B47">
        <w:t>to improve access</w:t>
      </w:r>
      <w:r w:rsidR="00E87883">
        <w:t xml:space="preserve">, </w:t>
      </w:r>
      <w:r w:rsidR="00E25DAD" w:rsidRPr="00607B47">
        <w:t>avoid wastage</w:t>
      </w:r>
      <w:r w:rsidR="00E87883">
        <w:t xml:space="preserve"> and ease the workload on SDP staff</w:t>
      </w:r>
      <w:r w:rsidR="00E25DAD">
        <w:t xml:space="preserve">. Efforts should be made to ensure that implants (including both </w:t>
      </w:r>
      <w:proofErr w:type="spellStart"/>
      <w:r w:rsidR="00E25DAD">
        <w:t>Jadelle</w:t>
      </w:r>
      <w:proofErr w:type="spellEnd"/>
      <w:r w:rsidR="00E25DAD">
        <w:t xml:space="preserve"> and </w:t>
      </w:r>
      <w:proofErr w:type="spellStart"/>
      <w:r w:rsidR="00E25DAD">
        <w:t>Implanon</w:t>
      </w:r>
      <w:proofErr w:type="spellEnd"/>
      <w:r w:rsidR="00E25DAD">
        <w:t>), Intra-Uterine Devices (UIDs) and ECs are included in the ‘</w:t>
      </w:r>
      <w:r w:rsidR="00E25DAD" w:rsidRPr="00607B47">
        <w:t>informed</w:t>
      </w:r>
      <w:r w:rsidR="00E25DAD">
        <w:t xml:space="preserve"> push’ effort. </w:t>
      </w:r>
      <w:r w:rsidR="005D1E89">
        <w:t>Consideration could be given to using funds no longer required for low priority interventions to bolster support for commodity availability, particularly for training and capacity building, and for ensuring commodity supply personnel are centrally engaged in MOH TA program steering committee discussions. This may require a contract amendment.</w:t>
      </w:r>
    </w:p>
    <w:p w14:paraId="442618FD" w14:textId="77777777" w:rsidR="004B7225" w:rsidRDefault="004B7225" w:rsidP="00E25DAD">
      <w:pPr>
        <w:pStyle w:val="NoSpacing"/>
      </w:pPr>
    </w:p>
    <w:p w14:paraId="04996EA4" w14:textId="77777777" w:rsidR="004B7225" w:rsidRDefault="004B7225" w:rsidP="004B7225">
      <w:pPr>
        <w:pStyle w:val="NoSpacing"/>
      </w:pPr>
      <w:r w:rsidRPr="00904299">
        <w:rPr>
          <w:b/>
          <w:bCs/>
          <w:i/>
          <w:iCs/>
        </w:rPr>
        <w:t>Recommendation</w:t>
      </w:r>
      <w:r>
        <w:rPr>
          <w:b/>
          <w:bCs/>
          <w:i/>
          <w:iCs/>
        </w:rPr>
        <w:t xml:space="preserve"> 5</w:t>
      </w:r>
      <w:r w:rsidRPr="00904299">
        <w:rPr>
          <w:b/>
          <w:bCs/>
          <w:i/>
          <w:iCs/>
        </w:rPr>
        <w:t>:</w:t>
      </w:r>
      <w:r>
        <w:t xml:space="preserve">  DFAT consider enabling UNFPA to place more people into in-line positions in critical ministries to expand SRH activities quickly.</w:t>
      </w:r>
    </w:p>
    <w:bookmarkEnd w:id="8"/>
    <w:p w14:paraId="0D363D0F" w14:textId="77777777" w:rsidR="00E25DAD" w:rsidRDefault="00E25DAD" w:rsidP="00B718AB">
      <w:pPr>
        <w:pStyle w:val="NoSpacing"/>
      </w:pPr>
    </w:p>
    <w:p w14:paraId="74D113C1" w14:textId="77777777" w:rsidR="009636C5" w:rsidRDefault="009636C5" w:rsidP="00B718AB">
      <w:pPr>
        <w:pStyle w:val="NoSpacing"/>
        <w:rPr>
          <w:b/>
          <w:bCs/>
        </w:rPr>
      </w:pPr>
      <w:bookmarkStart w:id="9" w:name="_Toc52109898"/>
      <w:r w:rsidRPr="00FF1886">
        <w:rPr>
          <w:b/>
          <w:bCs/>
        </w:rPr>
        <w:t>Efficiency</w:t>
      </w:r>
      <w:bookmarkEnd w:id="9"/>
    </w:p>
    <w:p w14:paraId="13EFD2DE" w14:textId="77777777" w:rsidR="00B718AB" w:rsidRPr="00FF1886" w:rsidRDefault="00B718AB" w:rsidP="00B718AB">
      <w:pPr>
        <w:pStyle w:val="NoSpacing"/>
        <w:rPr>
          <w:b/>
          <w:bCs/>
        </w:rPr>
      </w:pPr>
    </w:p>
    <w:p w14:paraId="72795CF2" w14:textId="77777777" w:rsidR="00301920" w:rsidRDefault="00301920" w:rsidP="00B718AB">
      <w:pPr>
        <w:pStyle w:val="NoSpacing"/>
      </w:pPr>
      <w:r>
        <w:rPr>
          <w:b/>
          <w:bCs/>
          <w:i/>
          <w:iCs/>
        </w:rPr>
        <w:t xml:space="preserve">Recommendation </w:t>
      </w:r>
      <w:r w:rsidR="004B7225">
        <w:rPr>
          <w:b/>
          <w:bCs/>
          <w:i/>
          <w:iCs/>
        </w:rPr>
        <w:t>6</w:t>
      </w:r>
      <w:r>
        <w:rPr>
          <w:b/>
          <w:bCs/>
          <w:i/>
          <w:iCs/>
        </w:rPr>
        <w:t xml:space="preserve">: </w:t>
      </w:r>
      <w:r w:rsidRPr="00607B47">
        <w:t xml:space="preserve">The nine Regional IPs </w:t>
      </w:r>
      <w:r>
        <w:t xml:space="preserve">meet as soon as possible, and regularly </w:t>
      </w:r>
      <w:r w:rsidR="00607B47">
        <w:t>thereafter</w:t>
      </w:r>
      <w:r>
        <w:t xml:space="preserve">, to discuss strategies and share data with </w:t>
      </w:r>
      <w:r w:rsidR="00607B47">
        <w:t>a</w:t>
      </w:r>
      <w:r>
        <w:t xml:space="preserve"> view to </w:t>
      </w:r>
      <w:r w:rsidR="000D7D10">
        <w:t xml:space="preserve">improving monitoring of important indicators, preventing data collection duplication, </w:t>
      </w:r>
      <w:r>
        <w:t xml:space="preserve">reducing the impost on MOH time; and improving the </w:t>
      </w:r>
      <w:r w:rsidR="008E4A9C">
        <w:t xml:space="preserve">coordination and </w:t>
      </w:r>
      <w:r>
        <w:t>efficiency of their technical assistance.</w:t>
      </w:r>
    </w:p>
    <w:p w14:paraId="34EFA900" w14:textId="77777777" w:rsidR="00301920" w:rsidRPr="00607B47" w:rsidRDefault="00301920" w:rsidP="00B718AB">
      <w:pPr>
        <w:pStyle w:val="NoSpacing"/>
      </w:pPr>
    </w:p>
    <w:p w14:paraId="69332CDB" w14:textId="77777777" w:rsidR="009636C5" w:rsidRPr="008D29CE" w:rsidRDefault="009636C5" w:rsidP="00B718AB">
      <w:pPr>
        <w:pStyle w:val="NoSpacing"/>
      </w:pPr>
      <w:r w:rsidRPr="00016BF7">
        <w:rPr>
          <w:b/>
          <w:bCs/>
          <w:i/>
          <w:iCs/>
        </w:rPr>
        <w:t>Recommendation</w:t>
      </w:r>
      <w:r w:rsidR="007E6BBF">
        <w:rPr>
          <w:b/>
          <w:bCs/>
          <w:i/>
          <w:iCs/>
        </w:rPr>
        <w:t xml:space="preserve"> </w:t>
      </w:r>
      <w:r w:rsidR="004B7225">
        <w:rPr>
          <w:b/>
          <w:bCs/>
          <w:i/>
          <w:iCs/>
        </w:rPr>
        <w:t>7</w:t>
      </w:r>
      <w:r w:rsidRPr="00016BF7">
        <w:rPr>
          <w:b/>
          <w:bCs/>
          <w:i/>
          <w:iCs/>
        </w:rPr>
        <w:t>:</w:t>
      </w:r>
      <w:r>
        <w:t xml:space="preserve">  </w:t>
      </w:r>
      <w:r w:rsidRPr="003204EA">
        <w:t>By the end of 2020, after careful review and prioritisation of outputs, one regional (PSRO)</w:t>
      </w:r>
      <w:r w:rsidR="008E4A9C" w:rsidRPr="003204EA">
        <w:t xml:space="preserve"> (which includes the RIP plans)</w:t>
      </w:r>
      <w:r w:rsidRPr="003204EA">
        <w:t xml:space="preserve"> and </w:t>
      </w:r>
      <w:r w:rsidR="008E4A9C" w:rsidRPr="003204EA">
        <w:t xml:space="preserve">six </w:t>
      </w:r>
      <w:r w:rsidRPr="003204EA">
        <w:t xml:space="preserve">national </w:t>
      </w:r>
      <w:r w:rsidR="0032767E" w:rsidRPr="003204EA">
        <w:t xml:space="preserve">master </w:t>
      </w:r>
      <w:r w:rsidRPr="003204EA">
        <w:t>workplan</w:t>
      </w:r>
      <w:r w:rsidR="008E4A9C" w:rsidRPr="003204EA">
        <w:t>s</w:t>
      </w:r>
      <w:r w:rsidRPr="003204EA">
        <w:t xml:space="preserve"> (January 2021 – </w:t>
      </w:r>
      <w:r w:rsidR="005D1E89">
        <w:t xml:space="preserve">December </w:t>
      </w:r>
      <w:r w:rsidRPr="003204EA">
        <w:t xml:space="preserve"> 2022</w:t>
      </w:r>
      <w:r w:rsidR="005D1E89">
        <w:t xml:space="preserve"> – or August if DFAT cannot consider a four month implementation extension</w:t>
      </w:r>
      <w:r w:rsidRPr="003204EA">
        <w:t xml:space="preserve">) </w:t>
      </w:r>
      <w:r w:rsidR="008E4A9C" w:rsidRPr="003204EA">
        <w:t xml:space="preserve">(which includes all activities from all partners) </w:t>
      </w:r>
      <w:r w:rsidRPr="003204EA">
        <w:t>be developed for the remainder of the program</w:t>
      </w:r>
      <w:r w:rsidR="005D1E89">
        <w:t>. The TA should also facilitate 24</w:t>
      </w:r>
      <w:r w:rsidR="00111637">
        <w:t>-</w:t>
      </w:r>
      <w:r w:rsidR="005D1E89">
        <w:t xml:space="preserve">month work plans </w:t>
      </w:r>
      <w:r w:rsidRPr="003204EA">
        <w:t>developed by MOHs and other participating Ministries, and</w:t>
      </w:r>
      <w:r>
        <w:t xml:space="preserve"> funds</w:t>
      </w:r>
      <w:r w:rsidRPr="008D29CE">
        <w:t xml:space="preserve"> disbursed </w:t>
      </w:r>
      <w:r w:rsidR="00513EB5">
        <w:t>prior to February</w:t>
      </w:r>
      <w:r w:rsidRPr="008D29CE">
        <w:t xml:space="preserve"> 2021</w:t>
      </w:r>
      <w:r w:rsidR="005D1E89">
        <w:t xml:space="preserve"> and February 2022</w:t>
      </w:r>
      <w:r w:rsidRPr="008D29CE">
        <w:t xml:space="preserve">. In addition, repayment of unspent funds should not be required during the 20-month period. Normal acquittal processes can apply but PSRO finance assistants (where they exist) should be responsible for increased support to IPs. This should be feasible if the number of IPs is reduced. </w:t>
      </w:r>
    </w:p>
    <w:p w14:paraId="6B4CAED0" w14:textId="77777777" w:rsidR="007E6BBF" w:rsidRDefault="007E6BBF" w:rsidP="009636C5">
      <w:pPr>
        <w:pStyle w:val="NoSpacing"/>
        <w:rPr>
          <w:b/>
          <w:bCs/>
          <w:i/>
          <w:iCs/>
        </w:rPr>
      </w:pPr>
    </w:p>
    <w:p w14:paraId="77DB58EC" w14:textId="77777777" w:rsidR="009636C5" w:rsidRPr="008D29CE" w:rsidRDefault="009636C5" w:rsidP="009636C5">
      <w:pPr>
        <w:pStyle w:val="NoSpacing"/>
      </w:pPr>
      <w:r w:rsidRPr="002F26D7">
        <w:rPr>
          <w:b/>
          <w:bCs/>
          <w:i/>
          <w:iCs/>
        </w:rPr>
        <w:t>Recommendation</w:t>
      </w:r>
      <w:r w:rsidR="007E6BBF">
        <w:rPr>
          <w:b/>
          <w:bCs/>
          <w:i/>
          <w:iCs/>
        </w:rPr>
        <w:t xml:space="preserve"> </w:t>
      </w:r>
      <w:r w:rsidR="004B7225">
        <w:rPr>
          <w:b/>
          <w:bCs/>
          <w:i/>
          <w:iCs/>
        </w:rPr>
        <w:t>8</w:t>
      </w:r>
      <w:r w:rsidRPr="002F26D7">
        <w:rPr>
          <w:b/>
          <w:bCs/>
          <w:i/>
          <w:iCs/>
        </w:rPr>
        <w:t>:</w:t>
      </w:r>
      <w:r w:rsidRPr="00912DBA">
        <w:rPr>
          <w:b/>
          <w:bCs/>
        </w:rPr>
        <w:t xml:space="preserve"> </w:t>
      </w:r>
      <w:r w:rsidRPr="00287E77">
        <w:t xml:space="preserve">DFAT and UNFPA assess the roles and responsibilities of the PSRO SRH </w:t>
      </w:r>
      <w:r>
        <w:t>S</w:t>
      </w:r>
      <w:r w:rsidRPr="00287E77">
        <w:t>pecialists in field offices, as well as the RIPs</w:t>
      </w:r>
      <w:r w:rsidR="0012338B">
        <w:t>,</w:t>
      </w:r>
      <w:r w:rsidRPr="00287E77">
        <w:t xml:space="preserve"> given the changed operating environment. For example, an assessment is needed of</w:t>
      </w:r>
      <w:r w:rsidR="0012338B">
        <w:t>:</w:t>
      </w:r>
      <w:r w:rsidRPr="00287E77">
        <w:t xml:space="preserve"> the </w:t>
      </w:r>
      <w:proofErr w:type="spellStart"/>
      <w:r w:rsidRPr="00287E77">
        <w:t>RIPs</w:t>
      </w:r>
      <w:r w:rsidR="008E4A9C">
        <w:t>’</w:t>
      </w:r>
      <w:proofErr w:type="spellEnd"/>
      <w:r w:rsidRPr="00287E77">
        <w:t xml:space="preserve"> progress to date; feasibility of remote work in the COVID</w:t>
      </w:r>
      <w:r>
        <w:t>-19</w:t>
      </w:r>
      <w:r w:rsidRPr="00287E77">
        <w:t xml:space="preserve"> context; </w:t>
      </w:r>
      <w:r w:rsidR="00546976">
        <w:t xml:space="preserve">what in-country resources exist; </w:t>
      </w:r>
      <w:r w:rsidRPr="00287E77">
        <w:t xml:space="preserve">and determining if their work should continue, be paused temporarily, </w:t>
      </w:r>
      <w:r>
        <w:t xml:space="preserve">or </w:t>
      </w:r>
      <w:r w:rsidR="002202DF">
        <w:t xml:space="preserve">strengthen the </w:t>
      </w:r>
      <w:r>
        <w:t xml:space="preserve"> model of </w:t>
      </w:r>
      <w:r w:rsidRPr="00287E77">
        <w:t>capacity building</w:t>
      </w:r>
      <w:r>
        <w:t xml:space="preserve"> and </w:t>
      </w:r>
      <w:r w:rsidRPr="00287E77">
        <w:t>support to national</w:t>
      </w:r>
      <w:r>
        <w:t xml:space="preserve"> partners</w:t>
      </w:r>
      <w:r w:rsidRPr="00287E77">
        <w:t>.</w:t>
      </w:r>
    </w:p>
    <w:p w14:paraId="34EF3D36" w14:textId="77777777" w:rsidR="007E6BBF" w:rsidRDefault="007E6BBF" w:rsidP="009636C5">
      <w:pPr>
        <w:pStyle w:val="NoSpacing"/>
        <w:rPr>
          <w:b/>
          <w:bCs/>
          <w:i/>
          <w:iCs/>
        </w:rPr>
      </w:pPr>
    </w:p>
    <w:p w14:paraId="590C149C" w14:textId="77777777" w:rsidR="00BF183B" w:rsidRDefault="00BF183B" w:rsidP="00BF183B">
      <w:pPr>
        <w:pStyle w:val="NoSpacing"/>
      </w:pPr>
      <w:r w:rsidRPr="00497F38">
        <w:rPr>
          <w:b/>
          <w:bCs/>
          <w:i/>
          <w:iCs/>
        </w:rPr>
        <w:t>Recommendation</w:t>
      </w:r>
      <w:r>
        <w:rPr>
          <w:b/>
          <w:bCs/>
          <w:i/>
          <w:iCs/>
        </w:rPr>
        <w:t xml:space="preserve"> </w:t>
      </w:r>
      <w:r w:rsidR="004B7225">
        <w:rPr>
          <w:b/>
          <w:bCs/>
          <w:i/>
          <w:iCs/>
        </w:rPr>
        <w:t>9</w:t>
      </w:r>
      <w:r w:rsidRPr="00497F38">
        <w:rPr>
          <w:b/>
          <w:bCs/>
          <w:i/>
          <w:iCs/>
        </w:rPr>
        <w:t>:</w:t>
      </w:r>
      <w:r w:rsidRPr="00497F38">
        <w:t xml:space="preserve"> </w:t>
      </w:r>
      <w:r>
        <w:t xml:space="preserve">Due to </w:t>
      </w:r>
      <w:r w:rsidRPr="00497F38">
        <w:t xml:space="preserve">the necessary reliance on in-country skills and resources given COVID-19 travel restrictions, PSRO and IPs </w:t>
      </w:r>
      <w:r>
        <w:t xml:space="preserve">and RIPs </w:t>
      </w:r>
      <w:r w:rsidRPr="00497F38">
        <w:t xml:space="preserve">reconsider </w:t>
      </w:r>
      <w:r>
        <w:t xml:space="preserve">the original approach regarding SRH/FP BCC activity </w:t>
      </w:r>
      <w:r w:rsidRPr="00497F38">
        <w:t>implementation</w:t>
      </w:r>
      <w:r>
        <w:t>. This may require a heavier reliance on using and strengthening existing national capacity and resources, rather than full reliance on external RIPs</w:t>
      </w:r>
      <w:r w:rsidRPr="00497F38">
        <w:t xml:space="preserve">.  HFRSA assessment data provides updates on </w:t>
      </w:r>
      <w:r>
        <w:t xml:space="preserve">MOH </w:t>
      </w:r>
      <w:r w:rsidRPr="00497F38">
        <w:t xml:space="preserve">progress in developing </w:t>
      </w:r>
      <w:r>
        <w:t xml:space="preserve">SRH </w:t>
      </w:r>
      <w:r w:rsidRPr="00497F38">
        <w:t xml:space="preserve">tools and resources. This data should be </w:t>
      </w:r>
      <w:r>
        <w:t xml:space="preserve">used to inform any future </w:t>
      </w:r>
      <w:r w:rsidRPr="00497F38">
        <w:t>activities</w:t>
      </w:r>
      <w:r>
        <w:t xml:space="preserve"> related</w:t>
      </w:r>
      <w:r w:rsidRPr="00497F38">
        <w:t xml:space="preserve"> to </w:t>
      </w:r>
      <w:r>
        <w:t xml:space="preserve">training (which may have been provided) and the </w:t>
      </w:r>
      <w:r w:rsidRPr="00497F38">
        <w:t>develop</w:t>
      </w:r>
      <w:r>
        <w:t>ment of</w:t>
      </w:r>
      <w:r w:rsidRPr="00497F38">
        <w:t xml:space="preserve"> guidelines and policies </w:t>
      </w:r>
      <w:r>
        <w:t>(</w:t>
      </w:r>
      <w:r w:rsidRPr="00497F38">
        <w:t>which may already exist</w:t>
      </w:r>
      <w:r>
        <w:t>)</w:t>
      </w:r>
      <w:r w:rsidRPr="00497F38">
        <w:t xml:space="preserve">. </w:t>
      </w:r>
      <w:r>
        <w:t xml:space="preserve">See </w:t>
      </w:r>
      <w:r w:rsidRPr="00497F38">
        <w:t xml:space="preserve">Annex </w:t>
      </w:r>
      <w:r>
        <w:t>6</w:t>
      </w:r>
      <w:r w:rsidRPr="00497F38">
        <w:t xml:space="preserve"> </w:t>
      </w:r>
      <w:r>
        <w:t>for HFRSA assessment data</w:t>
      </w:r>
      <w:r w:rsidRPr="00497F38">
        <w:t>.</w:t>
      </w:r>
    </w:p>
    <w:p w14:paraId="3F7F9643" w14:textId="77777777" w:rsidR="000B276C" w:rsidRDefault="000B276C" w:rsidP="00BF183B">
      <w:pPr>
        <w:pStyle w:val="NoSpacing"/>
      </w:pPr>
    </w:p>
    <w:p w14:paraId="1CB47045" w14:textId="77777777" w:rsidR="00D27D28" w:rsidRPr="00497F38" w:rsidRDefault="007E6BBF" w:rsidP="00D27D28">
      <w:pPr>
        <w:pStyle w:val="NoSpacing"/>
      </w:pPr>
      <w:r w:rsidRPr="00497F38">
        <w:rPr>
          <w:b/>
          <w:bCs/>
          <w:i/>
          <w:iCs/>
        </w:rPr>
        <w:t>Recommendation</w:t>
      </w:r>
      <w:r>
        <w:rPr>
          <w:b/>
          <w:bCs/>
          <w:i/>
          <w:iCs/>
        </w:rPr>
        <w:t xml:space="preserve"> </w:t>
      </w:r>
      <w:r w:rsidR="004B7225">
        <w:rPr>
          <w:b/>
          <w:bCs/>
          <w:i/>
          <w:iCs/>
        </w:rPr>
        <w:t>10</w:t>
      </w:r>
      <w:r w:rsidRPr="00497F38">
        <w:rPr>
          <w:b/>
          <w:bCs/>
          <w:i/>
          <w:iCs/>
        </w:rPr>
        <w:t>:</w:t>
      </w:r>
      <w:r w:rsidRPr="00497F38">
        <w:t xml:space="preserve">  </w:t>
      </w:r>
      <w:r w:rsidR="00D27D28" w:rsidRPr="00497F38">
        <w:t xml:space="preserve">PSRO in-country staff be tasked with compiling an inventory of </w:t>
      </w:r>
      <w:r w:rsidR="00D27D28">
        <w:t xml:space="preserve">local </w:t>
      </w:r>
      <w:r w:rsidR="00D27D28" w:rsidRPr="00497F38">
        <w:t xml:space="preserve">SRH resources, guidelines, policies and training courses related to FP/SRH </w:t>
      </w:r>
      <w:r w:rsidR="00FB1CDC">
        <w:t xml:space="preserve">that </w:t>
      </w:r>
      <w:r w:rsidR="00D27D28" w:rsidRPr="00497F38">
        <w:t>already exist in the health sector (MOH, MAs</w:t>
      </w:r>
      <w:r w:rsidR="00D27D28">
        <w:t>, CSOs</w:t>
      </w:r>
      <w:r w:rsidR="00D27D28" w:rsidRPr="00497F38">
        <w:t>), as well as in the education, women’s and youth sectors</w:t>
      </w:r>
      <w:r w:rsidR="008A02D5">
        <w:t>; and a</w:t>
      </w:r>
      <w:r w:rsidR="00D27D28">
        <w:t xml:space="preserve">ssess the </w:t>
      </w:r>
      <w:r w:rsidR="00D27D28">
        <w:lastRenderedPageBreak/>
        <w:t xml:space="preserve">extent to which these resources meet international </w:t>
      </w:r>
      <w:proofErr w:type="gramStart"/>
      <w:r w:rsidR="00D27D28">
        <w:t>standards</w:t>
      </w:r>
      <w:r w:rsidR="008E4A9C">
        <w:t>,</w:t>
      </w:r>
      <w:r w:rsidR="00D27D28">
        <w:t xml:space="preserve"> and</w:t>
      </w:r>
      <w:proofErr w:type="gramEnd"/>
      <w:r w:rsidR="00D27D28">
        <w:t xml:space="preserve"> consider </w:t>
      </w:r>
      <w:r w:rsidR="0081778E">
        <w:t xml:space="preserve">the </w:t>
      </w:r>
      <w:r w:rsidR="00D27D28">
        <w:t>feasibility of immediate use.</w:t>
      </w:r>
    </w:p>
    <w:p w14:paraId="5143B812" w14:textId="77777777" w:rsidR="007E6BBF" w:rsidRDefault="007E6BBF" w:rsidP="007E6BBF">
      <w:pPr>
        <w:pStyle w:val="NoSpacing"/>
        <w:rPr>
          <w:b/>
          <w:bCs/>
          <w:i/>
          <w:iCs/>
        </w:rPr>
      </w:pPr>
    </w:p>
    <w:p w14:paraId="2DF95C70" w14:textId="77777777" w:rsidR="00F60CDE" w:rsidRDefault="007E6BBF" w:rsidP="00F60CDE">
      <w:pPr>
        <w:pStyle w:val="NoSpacing"/>
      </w:pPr>
      <w:r w:rsidRPr="00655C16">
        <w:rPr>
          <w:b/>
          <w:bCs/>
          <w:i/>
          <w:iCs/>
        </w:rPr>
        <w:t>Recommendation</w:t>
      </w:r>
      <w:r>
        <w:rPr>
          <w:b/>
          <w:bCs/>
          <w:i/>
          <w:iCs/>
        </w:rPr>
        <w:t xml:space="preserve"> </w:t>
      </w:r>
      <w:r w:rsidR="000B276C">
        <w:rPr>
          <w:b/>
          <w:bCs/>
          <w:i/>
          <w:iCs/>
        </w:rPr>
        <w:t>1</w:t>
      </w:r>
      <w:r w:rsidR="004B7225">
        <w:rPr>
          <w:b/>
          <w:bCs/>
          <w:i/>
          <w:iCs/>
        </w:rPr>
        <w:t>1</w:t>
      </w:r>
      <w:r w:rsidRPr="00655C16">
        <w:rPr>
          <w:b/>
          <w:bCs/>
          <w:i/>
          <w:iCs/>
        </w:rPr>
        <w:t>:</w:t>
      </w:r>
      <w:r w:rsidRPr="00B06681">
        <w:rPr>
          <w:b/>
          <w:bCs/>
        </w:rPr>
        <w:t xml:space="preserve">  </w:t>
      </w:r>
      <w:r w:rsidR="00F60CDE" w:rsidRPr="0050236C">
        <w:t>The TA</w:t>
      </w:r>
      <w:r w:rsidR="00F60CDE">
        <w:t xml:space="preserve"> program</w:t>
      </w:r>
      <w:r w:rsidR="00F60CDE" w:rsidRPr="0050236C">
        <w:t xml:space="preserve"> needs to focus </w:t>
      </w:r>
      <w:r w:rsidR="00F60CDE" w:rsidRPr="00287E77">
        <w:t>predominantly</w:t>
      </w:r>
      <w:r w:rsidR="00F60CDE" w:rsidRPr="0050236C">
        <w:t xml:space="preserve"> on the two outcome areas of </w:t>
      </w:r>
      <w:r w:rsidR="00F60CDE">
        <w:t>FP</w:t>
      </w:r>
      <w:r w:rsidR="00F60CDE" w:rsidRPr="0050236C">
        <w:t xml:space="preserve"> </w:t>
      </w:r>
      <w:r w:rsidR="00F60CDE" w:rsidRPr="0050236C">
        <w:rPr>
          <w:i/>
        </w:rPr>
        <w:t>supply</w:t>
      </w:r>
      <w:r w:rsidR="00F60CDE" w:rsidRPr="0050236C">
        <w:t xml:space="preserve"> and FP </w:t>
      </w:r>
      <w:r w:rsidR="00F60CDE" w:rsidRPr="0050236C">
        <w:rPr>
          <w:i/>
        </w:rPr>
        <w:t>demand</w:t>
      </w:r>
      <w:r w:rsidR="00F60CDE" w:rsidRPr="0050236C">
        <w:t xml:space="preserve"> generation for the remainder of the </w:t>
      </w:r>
      <w:proofErr w:type="gramStart"/>
      <w:r w:rsidR="00F60CDE" w:rsidRPr="0050236C">
        <w:t>program</w:t>
      </w:r>
      <w:r w:rsidR="00F60CDE">
        <w:t xml:space="preserve">, </w:t>
      </w:r>
      <w:r w:rsidR="00F60CDE" w:rsidRPr="0050236C">
        <w:t>and</w:t>
      </w:r>
      <w:proofErr w:type="gramEnd"/>
      <w:r w:rsidR="00F60CDE" w:rsidRPr="0050236C">
        <w:t xml:space="preserve"> </w:t>
      </w:r>
      <w:r w:rsidR="00F60CDE">
        <w:t xml:space="preserve">should </w:t>
      </w:r>
      <w:r w:rsidR="00F60CDE" w:rsidRPr="0050236C">
        <w:t xml:space="preserve">set aside </w:t>
      </w:r>
      <w:r w:rsidR="00F60CDE">
        <w:t xml:space="preserve">some of the </w:t>
      </w:r>
      <w:r w:rsidR="00F60CDE" w:rsidRPr="0050236C">
        <w:t xml:space="preserve">activities </w:t>
      </w:r>
      <w:r w:rsidR="00F60CDE">
        <w:t xml:space="preserve">focused on </w:t>
      </w:r>
      <w:r w:rsidR="00F60CDE" w:rsidRPr="0050236C">
        <w:t xml:space="preserve">strengthening the enabling </w:t>
      </w:r>
      <w:r w:rsidR="00F60CDE" w:rsidRPr="003204EA">
        <w:t>environment</w:t>
      </w:r>
      <w:r w:rsidR="0016744D" w:rsidRPr="003204EA">
        <w:t xml:space="preserve"> (See Annex 9)</w:t>
      </w:r>
      <w:r w:rsidR="00F60CDE" w:rsidRPr="003204EA">
        <w:t>.  All activities</w:t>
      </w:r>
      <w:r w:rsidR="00F60CDE">
        <w:t xml:space="preserve"> should be assessed for their value in contributing to a direct impact on individual FP use.  This will help ensure </w:t>
      </w:r>
      <w:r w:rsidR="00F60CDE" w:rsidRPr="0050236C">
        <w:t>that unmet need for FP decrease</w:t>
      </w:r>
      <w:r w:rsidR="00F60CDE">
        <w:t>s</w:t>
      </w:r>
      <w:r w:rsidR="00F60CDE" w:rsidRPr="0050236C">
        <w:t xml:space="preserve"> by</w:t>
      </w:r>
      <w:r w:rsidR="00F60CDE">
        <w:t xml:space="preserve"> </w:t>
      </w:r>
      <w:r w:rsidR="00F60CDE" w:rsidRPr="0050236C">
        <w:t>program end.</w:t>
      </w:r>
    </w:p>
    <w:p w14:paraId="525BFC9E" w14:textId="77777777" w:rsidR="00730219" w:rsidRDefault="00730219" w:rsidP="00F60CDE">
      <w:pPr>
        <w:pStyle w:val="NoSpacing"/>
      </w:pPr>
    </w:p>
    <w:p w14:paraId="2DF721A0" w14:textId="77777777" w:rsidR="007E6BBF" w:rsidRPr="00FF1886" w:rsidRDefault="007E6BBF" w:rsidP="00FF1886">
      <w:pPr>
        <w:rPr>
          <w:b/>
          <w:bCs/>
        </w:rPr>
      </w:pPr>
      <w:bookmarkStart w:id="10" w:name="_Toc52109899"/>
      <w:r w:rsidRPr="00FF1886">
        <w:rPr>
          <w:b/>
          <w:bCs/>
        </w:rPr>
        <w:t>Monitoring and Evaluation</w:t>
      </w:r>
      <w:bookmarkEnd w:id="10"/>
    </w:p>
    <w:p w14:paraId="7CD1C3FF" w14:textId="77777777" w:rsidR="00FB1CDC" w:rsidRDefault="007E6BBF" w:rsidP="00B718AB">
      <w:pPr>
        <w:pStyle w:val="NoSpacing"/>
      </w:pPr>
      <w:r w:rsidRPr="007E6BBF">
        <w:rPr>
          <w:b/>
          <w:bCs/>
          <w:i/>
          <w:iCs/>
        </w:rPr>
        <w:t>Recommendation</w:t>
      </w:r>
      <w:r>
        <w:rPr>
          <w:b/>
          <w:bCs/>
          <w:i/>
          <w:iCs/>
        </w:rPr>
        <w:t xml:space="preserve"> </w:t>
      </w:r>
      <w:r w:rsidR="00762202">
        <w:rPr>
          <w:b/>
          <w:bCs/>
          <w:i/>
          <w:iCs/>
        </w:rPr>
        <w:t>1</w:t>
      </w:r>
      <w:r w:rsidR="004B7225">
        <w:rPr>
          <w:b/>
          <w:bCs/>
          <w:i/>
          <w:iCs/>
        </w:rPr>
        <w:t>2</w:t>
      </w:r>
      <w:r w:rsidRPr="007E6BBF">
        <w:rPr>
          <w:b/>
          <w:bCs/>
          <w:i/>
          <w:iCs/>
        </w:rPr>
        <w:t>:</w:t>
      </w:r>
      <w:r>
        <w:t xml:space="preserve"> </w:t>
      </w:r>
      <w:r w:rsidR="00FB1CDC">
        <w:t xml:space="preserve">The MEF should be revised and finalised as an urgent priority </w:t>
      </w:r>
      <w:r w:rsidR="00FB1CDC" w:rsidRPr="00420708">
        <w:t xml:space="preserve">to ensure that </w:t>
      </w:r>
      <w:r w:rsidR="00FB1CDC">
        <w:t xml:space="preserve">output, outcome and </w:t>
      </w:r>
      <w:r w:rsidR="00FB1CDC" w:rsidRPr="00420708">
        <w:t>impact</w:t>
      </w:r>
      <w:r w:rsidR="00FB1CDC">
        <w:t xml:space="preserve"> </w:t>
      </w:r>
      <w:r w:rsidR="00FB1CDC" w:rsidRPr="00420708">
        <w:t xml:space="preserve">indicators are </w:t>
      </w:r>
      <w:r w:rsidR="00E25DAD">
        <w:t xml:space="preserve">included and </w:t>
      </w:r>
      <w:r w:rsidR="00FB1CDC" w:rsidRPr="00420708">
        <w:t>measurable</w:t>
      </w:r>
      <w:r w:rsidR="00FB1CDC">
        <w:t>;</w:t>
      </w:r>
      <w:r w:rsidR="00FB1CDC" w:rsidRPr="00420708">
        <w:t xml:space="preserve"> that relevant FP data can be collected </w:t>
      </w:r>
      <w:r w:rsidR="00FB1CDC">
        <w:t xml:space="preserve">and reported </w:t>
      </w:r>
      <w:r w:rsidR="00FB1CDC" w:rsidRPr="00420708">
        <w:t xml:space="preserve">by the MOH </w:t>
      </w:r>
      <w:r w:rsidR="00FB1CDC">
        <w:t>Health Information System</w:t>
      </w:r>
      <w:r w:rsidR="0012338B">
        <w:t>s</w:t>
      </w:r>
      <w:r w:rsidR="00FB1CDC">
        <w:t xml:space="preserve"> (</w:t>
      </w:r>
      <w:r w:rsidR="00FB1CDC" w:rsidRPr="00420708">
        <w:t>H</w:t>
      </w:r>
      <w:r w:rsidR="00FB1CDC">
        <w:t>IS)</w:t>
      </w:r>
      <w:r w:rsidR="00FB1CDC" w:rsidRPr="00420708">
        <w:t xml:space="preserve">; and that the strategic interventions </w:t>
      </w:r>
      <w:r w:rsidR="00FB1CDC">
        <w:t>are</w:t>
      </w:r>
      <w:r w:rsidR="00FB1CDC" w:rsidRPr="00420708">
        <w:t xml:space="preserve"> allocated indicators to ensure advancement of these activities.</w:t>
      </w:r>
      <w:r w:rsidR="00FB1CDC">
        <w:t xml:space="preserve">  Some indicators may require national tailoring to accommodate differences in SRH data currently collected by the country-level HIS.</w:t>
      </w:r>
    </w:p>
    <w:p w14:paraId="16591BC7" w14:textId="77777777" w:rsidR="007E6BBF" w:rsidRDefault="007E6BBF" w:rsidP="00B718AB">
      <w:pPr>
        <w:pStyle w:val="NoSpacing"/>
      </w:pPr>
    </w:p>
    <w:p w14:paraId="738B6ACB" w14:textId="77777777" w:rsidR="007E6BBF" w:rsidRDefault="007E6BBF" w:rsidP="00B718AB">
      <w:pPr>
        <w:pStyle w:val="NoSpacing"/>
      </w:pPr>
      <w:r w:rsidRPr="007E6BBF">
        <w:rPr>
          <w:b/>
          <w:bCs/>
          <w:i/>
          <w:iCs/>
        </w:rPr>
        <w:t>Recommendation 1</w:t>
      </w:r>
      <w:r w:rsidR="004B7225">
        <w:rPr>
          <w:b/>
          <w:bCs/>
          <w:i/>
          <w:iCs/>
        </w:rPr>
        <w:t>3</w:t>
      </w:r>
      <w:r w:rsidRPr="007E6BBF">
        <w:rPr>
          <w:b/>
          <w:bCs/>
          <w:i/>
          <w:iCs/>
        </w:rPr>
        <w:t>:</w:t>
      </w:r>
      <w:r>
        <w:t xml:space="preserve"> PSRO contract a </w:t>
      </w:r>
      <w:r w:rsidR="00915648">
        <w:t>senior</w:t>
      </w:r>
      <w:r>
        <w:t xml:space="preserve"> level </w:t>
      </w:r>
      <w:r w:rsidR="0012338B">
        <w:t>monitoring, evaluation and learning (</w:t>
      </w:r>
      <w:r>
        <w:t>M</w:t>
      </w:r>
      <w:r w:rsidR="00915648">
        <w:t>EL</w:t>
      </w:r>
      <w:r w:rsidR="0012338B">
        <w:t>)</w:t>
      </w:r>
      <w:r>
        <w:t xml:space="preserve"> technical specialist </w:t>
      </w:r>
      <w:r w:rsidR="00E25DAD">
        <w:t xml:space="preserve">as soon as possible </w:t>
      </w:r>
      <w:r>
        <w:t xml:space="preserve">to manage </w:t>
      </w:r>
      <w:r w:rsidR="005D1E89">
        <w:t>TA Program</w:t>
      </w:r>
      <w:r>
        <w:t xml:space="preserve"> MEL and </w:t>
      </w:r>
      <w:r w:rsidR="00FB1CDC">
        <w:t xml:space="preserve">create and enable </w:t>
      </w:r>
      <w:r>
        <w:t xml:space="preserve">a results-oriented </w:t>
      </w:r>
      <w:r w:rsidR="004F3BD3">
        <w:t>MEL</w:t>
      </w:r>
      <w:r>
        <w:t xml:space="preserve"> institutional culture within UNFPA.</w:t>
      </w:r>
    </w:p>
    <w:p w14:paraId="468CF537" w14:textId="77777777" w:rsidR="00B718AB" w:rsidRDefault="00B718AB" w:rsidP="00B718AB">
      <w:pPr>
        <w:pStyle w:val="NoSpacing"/>
        <w:rPr>
          <w:b/>
          <w:bCs/>
        </w:rPr>
      </w:pPr>
      <w:bookmarkStart w:id="11" w:name="_Toc52109900"/>
    </w:p>
    <w:p w14:paraId="28A82868" w14:textId="77777777" w:rsidR="007E6BBF" w:rsidRDefault="007E6BBF" w:rsidP="00B718AB">
      <w:pPr>
        <w:pStyle w:val="NoSpacing"/>
        <w:rPr>
          <w:b/>
          <w:bCs/>
        </w:rPr>
      </w:pPr>
      <w:r w:rsidRPr="00FF1886">
        <w:rPr>
          <w:b/>
          <w:bCs/>
        </w:rPr>
        <w:t>Governance</w:t>
      </w:r>
      <w:bookmarkEnd w:id="11"/>
    </w:p>
    <w:p w14:paraId="5622E70F" w14:textId="77777777" w:rsidR="00B718AB" w:rsidRPr="00FF1886" w:rsidRDefault="00B718AB" w:rsidP="00B718AB">
      <w:pPr>
        <w:pStyle w:val="NoSpacing"/>
        <w:rPr>
          <w:b/>
          <w:bCs/>
        </w:rPr>
      </w:pPr>
    </w:p>
    <w:p w14:paraId="14071D05" w14:textId="77777777" w:rsidR="007E6BBF" w:rsidRDefault="007E6BBF" w:rsidP="00B718AB">
      <w:pPr>
        <w:pStyle w:val="NoSpacing"/>
      </w:pPr>
      <w:r w:rsidRPr="007E6BBF">
        <w:rPr>
          <w:b/>
          <w:bCs/>
          <w:i/>
          <w:iCs/>
        </w:rPr>
        <w:t>Recommendation 1</w:t>
      </w:r>
      <w:r w:rsidR="004B7225">
        <w:rPr>
          <w:b/>
          <w:bCs/>
          <w:i/>
          <w:iCs/>
        </w:rPr>
        <w:t>4</w:t>
      </w:r>
      <w:r w:rsidRPr="007E6BBF">
        <w:rPr>
          <w:b/>
          <w:bCs/>
          <w:i/>
          <w:iCs/>
        </w:rPr>
        <w:t>:</w:t>
      </w:r>
      <w:r>
        <w:rPr>
          <w:b/>
          <w:bCs/>
        </w:rPr>
        <w:t xml:space="preserve"> </w:t>
      </w:r>
      <w:r w:rsidRPr="009137D8">
        <w:t>The TA Technical Team (</w:t>
      </w:r>
      <w:r w:rsidR="002202DF" w:rsidRPr="00FF7B93">
        <w:t>UNFPA Technical Advisers and Programme Specialists</w:t>
      </w:r>
      <w:r w:rsidR="002202DF">
        <w:t xml:space="preserve">, </w:t>
      </w:r>
      <w:r>
        <w:t>DFAT Canberra, DFAT Suva, IPPF, WHO</w:t>
      </w:r>
      <w:r w:rsidR="00943BBD">
        <w:t xml:space="preserve">, </w:t>
      </w:r>
      <w:r w:rsidR="00943BBD" w:rsidRPr="00FF7B93">
        <w:t>UNICEF, C</w:t>
      </w:r>
      <w:r w:rsidR="00943BBD">
        <w:t>ouncil of Regional Organisations - C</w:t>
      </w:r>
      <w:r w:rsidR="00943BBD" w:rsidRPr="00FF7B93">
        <w:t>ROP agencies</w:t>
      </w:r>
      <w:r w:rsidR="00943BBD">
        <w:t xml:space="preserve"> etc.</w:t>
      </w:r>
      <w:r>
        <w:t>), meet every six months to review technical inputs into the final years of the TA program, particularly SDP SRH training, BCC strategies and dissemination</w:t>
      </w:r>
      <w:r w:rsidR="009D1EA3">
        <w:t>,</w:t>
      </w:r>
      <w:r w:rsidR="009D1EA3">
        <w:rPr>
          <w:rStyle w:val="FootnoteReference"/>
        </w:rPr>
        <w:footnoteReference w:id="2"/>
      </w:r>
      <w:r>
        <w:t xml:space="preserve"> and MOH H</w:t>
      </w:r>
      <w:r w:rsidR="009D1EA3">
        <w:t xml:space="preserve">ealth </w:t>
      </w:r>
      <w:r>
        <w:t>I</w:t>
      </w:r>
      <w:r w:rsidR="009D1EA3">
        <w:t xml:space="preserve">nformation </w:t>
      </w:r>
      <w:r>
        <w:t>S</w:t>
      </w:r>
      <w:r w:rsidR="009D1EA3">
        <w:t>ystem (HIS)</w:t>
      </w:r>
      <w:r>
        <w:t xml:space="preserve"> strengthening.</w:t>
      </w:r>
    </w:p>
    <w:p w14:paraId="6FF0F1E0" w14:textId="77777777" w:rsidR="007E6BBF" w:rsidRDefault="007E6BBF" w:rsidP="007E6BBF">
      <w:pPr>
        <w:spacing w:after="160" w:line="254" w:lineRule="auto"/>
        <w:contextualSpacing/>
        <w:rPr>
          <w:b/>
          <w:bCs/>
        </w:rPr>
      </w:pPr>
    </w:p>
    <w:p w14:paraId="097C0CE6" w14:textId="77777777" w:rsidR="00651ADB" w:rsidRPr="00D346A3" w:rsidRDefault="00651ADB" w:rsidP="00651ADB">
      <w:pPr>
        <w:spacing w:after="160" w:line="254" w:lineRule="auto"/>
        <w:contextualSpacing/>
        <w:rPr>
          <w:rFonts w:cstheme="minorBidi"/>
          <w:szCs w:val="22"/>
          <w:lang w:eastAsia="en-US" w:bidi="ar-SA"/>
        </w:rPr>
      </w:pPr>
      <w:r w:rsidRPr="001B1AE2">
        <w:rPr>
          <w:b/>
          <w:bCs/>
          <w:i/>
          <w:iCs/>
        </w:rPr>
        <w:t>Recommendation 1</w:t>
      </w:r>
      <w:r w:rsidR="004B7225">
        <w:rPr>
          <w:b/>
          <w:bCs/>
          <w:i/>
          <w:iCs/>
        </w:rPr>
        <w:t>5</w:t>
      </w:r>
      <w:r w:rsidRPr="001B1AE2">
        <w:rPr>
          <w:b/>
          <w:bCs/>
          <w:i/>
          <w:iCs/>
        </w:rPr>
        <w:t>:</w:t>
      </w:r>
      <w:r>
        <w:t xml:space="preserve"> Given the slow implementation of the TA program in the first </w:t>
      </w:r>
      <w:r w:rsidR="009237DE">
        <w:t>two</w:t>
      </w:r>
      <w:r>
        <w:t xml:space="preserve"> years of implementation, DFAT consider a </w:t>
      </w:r>
      <w:r w:rsidR="005D1E89">
        <w:t xml:space="preserve">four month implementation extension to enable </w:t>
      </w:r>
      <w:r w:rsidR="009237DE">
        <w:t>two</w:t>
      </w:r>
      <w:r w:rsidR="005D1E89">
        <w:t xml:space="preserve"> year work programs and also agree an option for a </w:t>
      </w:r>
      <w:r>
        <w:t>12 month no-cost extension to the program</w:t>
      </w:r>
      <w:r w:rsidR="005D1E89">
        <w:t xml:space="preserve"> for the period January to December 2023</w:t>
      </w:r>
      <w:r>
        <w:t xml:space="preserve">. If a 12 month no-cost extension is granted, funds for workplans for 2023 should be disbursed </w:t>
      </w:r>
      <w:r w:rsidR="005D1E89">
        <w:t>before</w:t>
      </w:r>
      <w:r>
        <w:t xml:space="preserve"> February 2023 and repayment of unspent funds from 2022 should be allowed to be rolled over. </w:t>
      </w:r>
      <w:r w:rsidR="005D1E89">
        <w:t>The trigger for a decision on exercising the 12</w:t>
      </w:r>
      <w:r w:rsidR="00111637">
        <w:t>-</w:t>
      </w:r>
      <w:r w:rsidR="005D1E89">
        <w:t>month extension period would be DFAT</w:t>
      </w:r>
      <w:r w:rsidR="00213821">
        <w:t xml:space="preserve">’s decision based on 2021 and 2022 performance reports and </w:t>
      </w:r>
      <w:r w:rsidR="00111637">
        <w:t xml:space="preserve">should be </w:t>
      </w:r>
      <w:r w:rsidR="00213821">
        <w:t>made no later than 30 April 2022.</w:t>
      </w:r>
    </w:p>
    <w:bookmarkEnd w:id="5"/>
    <w:p w14:paraId="77078408" w14:textId="77777777" w:rsidR="00FF1886" w:rsidRPr="00FF1886" w:rsidRDefault="00FF1886" w:rsidP="00B92A67">
      <w:pPr>
        <w:pStyle w:val="NumberedLevel1heading"/>
        <w:rPr>
          <w:lang w:val="en-US"/>
        </w:rPr>
      </w:pPr>
    </w:p>
    <w:p w14:paraId="766114C0" w14:textId="77777777" w:rsidR="009636C5" w:rsidRDefault="009636C5" w:rsidP="00B92A67">
      <w:pPr>
        <w:pStyle w:val="NumberedLevel1heading"/>
        <w:rPr>
          <w:rFonts w:eastAsiaTheme="minorHAnsi" w:cstheme="minorBidi"/>
          <w:szCs w:val="22"/>
          <w:lang w:eastAsia="en-US" w:bidi="ar-SA"/>
        </w:rPr>
      </w:pPr>
      <w:r>
        <w:br w:type="page"/>
      </w:r>
    </w:p>
    <w:bookmarkStart w:id="12" w:name="_Toc479856687" w:displacedByCustomXml="next"/>
    <w:sdt>
      <w:sdtPr>
        <w:rPr>
          <w:rFonts w:asciiTheme="minorHAnsi" w:eastAsia="Times New Roman" w:hAnsiTheme="minorHAnsi" w:cs="Mangal"/>
          <w:color w:val="auto"/>
          <w:sz w:val="22"/>
          <w:szCs w:val="24"/>
          <w:lang w:val="en-AU" w:eastAsia="ja-JP" w:bidi="hi-IN"/>
        </w:rPr>
        <w:id w:val="-312797742"/>
        <w:docPartObj>
          <w:docPartGallery w:val="Table of Contents"/>
          <w:docPartUnique/>
        </w:docPartObj>
      </w:sdtPr>
      <w:sdtEndPr>
        <w:rPr>
          <w:b/>
          <w:bCs/>
          <w:noProof/>
        </w:rPr>
      </w:sdtEndPr>
      <w:sdtContent>
        <w:p w14:paraId="0565EEAF" w14:textId="77777777" w:rsidR="0028330C" w:rsidRPr="000B4E0A" w:rsidRDefault="0028330C">
          <w:pPr>
            <w:pStyle w:val="TOCHeading"/>
            <w:rPr>
              <w:b/>
              <w:color w:val="auto"/>
            </w:rPr>
          </w:pPr>
          <w:r w:rsidRPr="000B4E0A">
            <w:rPr>
              <w:b/>
              <w:color w:val="auto"/>
            </w:rPr>
            <w:t>Contents</w:t>
          </w:r>
        </w:p>
        <w:p w14:paraId="7A7F7104" w14:textId="37AFAEEC" w:rsidR="000B4E0A" w:rsidRPr="000B4E0A" w:rsidRDefault="00285840">
          <w:pPr>
            <w:pStyle w:val="TOC1"/>
            <w:rPr>
              <w:rFonts w:eastAsiaTheme="minorEastAsia" w:cstheme="minorBidi"/>
              <w:b w:val="0"/>
              <w:color w:val="auto"/>
              <w:szCs w:val="22"/>
              <w:lang w:eastAsia="en-AU" w:bidi="ar-SA"/>
            </w:rPr>
          </w:pPr>
          <w:r w:rsidRPr="000B4E0A">
            <w:rPr>
              <w:color w:val="auto"/>
            </w:rPr>
            <w:fldChar w:fldCharType="begin"/>
          </w:r>
          <w:r w:rsidRPr="000B4E0A">
            <w:rPr>
              <w:color w:val="auto"/>
            </w:rPr>
            <w:instrText xml:space="preserve"> TOC \o "1-3" \h \z \t "Level 2 Heading,3" </w:instrText>
          </w:r>
          <w:r w:rsidRPr="000B4E0A">
            <w:rPr>
              <w:color w:val="auto"/>
            </w:rPr>
            <w:fldChar w:fldCharType="separate"/>
          </w:r>
          <w:hyperlink w:anchor="_Toc76630079" w:history="1">
            <w:r w:rsidR="000B4E0A" w:rsidRPr="000B4E0A">
              <w:rPr>
                <w:rStyle w:val="Hyperlink"/>
                <w:color w:val="auto"/>
              </w:rPr>
              <w:t>Acknowledgements</w:t>
            </w:r>
            <w:r w:rsidR="000B4E0A" w:rsidRPr="000B4E0A">
              <w:rPr>
                <w:webHidden/>
                <w:color w:val="auto"/>
              </w:rPr>
              <w:tab/>
            </w:r>
            <w:r w:rsidR="000B4E0A" w:rsidRPr="000B4E0A">
              <w:rPr>
                <w:webHidden/>
                <w:color w:val="auto"/>
              </w:rPr>
              <w:fldChar w:fldCharType="begin"/>
            </w:r>
            <w:r w:rsidR="000B4E0A" w:rsidRPr="000B4E0A">
              <w:rPr>
                <w:webHidden/>
                <w:color w:val="auto"/>
              </w:rPr>
              <w:instrText xml:space="preserve"> PAGEREF _Toc76630079 \h </w:instrText>
            </w:r>
            <w:r w:rsidR="000B4E0A" w:rsidRPr="000B4E0A">
              <w:rPr>
                <w:webHidden/>
                <w:color w:val="auto"/>
              </w:rPr>
            </w:r>
            <w:r w:rsidR="000B4E0A" w:rsidRPr="000B4E0A">
              <w:rPr>
                <w:webHidden/>
                <w:color w:val="auto"/>
              </w:rPr>
              <w:fldChar w:fldCharType="separate"/>
            </w:r>
            <w:r w:rsidR="000B4E0A" w:rsidRPr="000B4E0A">
              <w:rPr>
                <w:webHidden/>
                <w:color w:val="auto"/>
              </w:rPr>
              <w:t>i</w:t>
            </w:r>
            <w:r w:rsidR="000B4E0A" w:rsidRPr="000B4E0A">
              <w:rPr>
                <w:webHidden/>
                <w:color w:val="auto"/>
              </w:rPr>
              <w:fldChar w:fldCharType="end"/>
            </w:r>
          </w:hyperlink>
        </w:p>
        <w:p w14:paraId="061FA935" w14:textId="1679F0D7" w:rsidR="000B4E0A" w:rsidRPr="000B4E0A" w:rsidRDefault="000B4E0A">
          <w:pPr>
            <w:pStyle w:val="TOC1"/>
            <w:rPr>
              <w:rFonts w:eastAsiaTheme="minorEastAsia" w:cstheme="minorBidi"/>
              <w:b w:val="0"/>
              <w:color w:val="auto"/>
              <w:szCs w:val="22"/>
              <w:lang w:eastAsia="en-AU" w:bidi="ar-SA"/>
            </w:rPr>
          </w:pPr>
          <w:hyperlink w:anchor="_Toc76630080" w:history="1">
            <w:r w:rsidRPr="000B4E0A">
              <w:rPr>
                <w:rStyle w:val="Hyperlink"/>
                <w:color w:val="auto"/>
              </w:rPr>
              <w:t>Executive Summary</w:t>
            </w:r>
            <w:r w:rsidRPr="000B4E0A">
              <w:rPr>
                <w:webHidden/>
                <w:color w:val="auto"/>
              </w:rPr>
              <w:tab/>
            </w:r>
            <w:r w:rsidRPr="000B4E0A">
              <w:rPr>
                <w:webHidden/>
                <w:color w:val="auto"/>
              </w:rPr>
              <w:fldChar w:fldCharType="begin"/>
            </w:r>
            <w:r w:rsidRPr="000B4E0A">
              <w:rPr>
                <w:webHidden/>
                <w:color w:val="auto"/>
              </w:rPr>
              <w:instrText xml:space="preserve"> PAGEREF _Toc76630080 \h </w:instrText>
            </w:r>
            <w:r w:rsidRPr="000B4E0A">
              <w:rPr>
                <w:webHidden/>
                <w:color w:val="auto"/>
              </w:rPr>
            </w:r>
            <w:r w:rsidRPr="000B4E0A">
              <w:rPr>
                <w:webHidden/>
                <w:color w:val="auto"/>
              </w:rPr>
              <w:fldChar w:fldCharType="separate"/>
            </w:r>
            <w:r w:rsidRPr="000B4E0A">
              <w:rPr>
                <w:webHidden/>
                <w:color w:val="auto"/>
              </w:rPr>
              <w:t>ii</w:t>
            </w:r>
            <w:r w:rsidRPr="000B4E0A">
              <w:rPr>
                <w:webHidden/>
                <w:color w:val="auto"/>
              </w:rPr>
              <w:fldChar w:fldCharType="end"/>
            </w:r>
          </w:hyperlink>
        </w:p>
        <w:p w14:paraId="07AB0862" w14:textId="099E4947" w:rsidR="000B4E0A" w:rsidRPr="000B4E0A" w:rsidRDefault="000B4E0A">
          <w:pPr>
            <w:pStyle w:val="TOC1"/>
            <w:rPr>
              <w:rFonts w:eastAsiaTheme="minorEastAsia" w:cstheme="minorBidi"/>
              <w:b w:val="0"/>
              <w:color w:val="auto"/>
              <w:szCs w:val="22"/>
              <w:lang w:eastAsia="en-AU" w:bidi="ar-SA"/>
            </w:rPr>
          </w:pPr>
          <w:hyperlink w:anchor="_Toc76630081" w:history="1">
            <w:r w:rsidRPr="000B4E0A">
              <w:rPr>
                <w:rStyle w:val="Hyperlink"/>
                <w:color w:val="auto"/>
              </w:rPr>
              <w:t>Recommendations:</w:t>
            </w:r>
            <w:r w:rsidRPr="000B4E0A">
              <w:rPr>
                <w:webHidden/>
                <w:color w:val="auto"/>
              </w:rPr>
              <w:tab/>
            </w:r>
            <w:r w:rsidRPr="000B4E0A">
              <w:rPr>
                <w:webHidden/>
                <w:color w:val="auto"/>
              </w:rPr>
              <w:fldChar w:fldCharType="begin"/>
            </w:r>
            <w:r w:rsidRPr="000B4E0A">
              <w:rPr>
                <w:webHidden/>
                <w:color w:val="auto"/>
              </w:rPr>
              <w:instrText xml:space="preserve"> PAGEREF _Toc76630081 \h </w:instrText>
            </w:r>
            <w:r w:rsidRPr="000B4E0A">
              <w:rPr>
                <w:webHidden/>
                <w:color w:val="auto"/>
              </w:rPr>
            </w:r>
            <w:r w:rsidRPr="000B4E0A">
              <w:rPr>
                <w:webHidden/>
                <w:color w:val="auto"/>
              </w:rPr>
              <w:fldChar w:fldCharType="separate"/>
            </w:r>
            <w:r w:rsidRPr="000B4E0A">
              <w:rPr>
                <w:webHidden/>
                <w:color w:val="auto"/>
              </w:rPr>
              <w:t>iv</w:t>
            </w:r>
            <w:r w:rsidRPr="000B4E0A">
              <w:rPr>
                <w:webHidden/>
                <w:color w:val="auto"/>
              </w:rPr>
              <w:fldChar w:fldCharType="end"/>
            </w:r>
          </w:hyperlink>
        </w:p>
        <w:p w14:paraId="476D5EEF" w14:textId="68780FB8" w:rsidR="000B4E0A" w:rsidRPr="000B4E0A" w:rsidRDefault="000B4E0A">
          <w:pPr>
            <w:pStyle w:val="TOC1"/>
            <w:rPr>
              <w:rFonts w:eastAsiaTheme="minorEastAsia" w:cstheme="minorBidi"/>
              <w:b w:val="0"/>
              <w:color w:val="auto"/>
              <w:szCs w:val="22"/>
              <w:lang w:eastAsia="en-AU" w:bidi="ar-SA"/>
            </w:rPr>
          </w:pPr>
          <w:hyperlink w:anchor="_Toc76630082" w:history="1">
            <w:r w:rsidRPr="000B4E0A">
              <w:rPr>
                <w:rStyle w:val="Hyperlink"/>
                <w:color w:val="auto"/>
              </w:rPr>
              <w:t>1.</w:t>
            </w:r>
            <w:r w:rsidRPr="000B4E0A">
              <w:rPr>
                <w:rFonts w:eastAsiaTheme="minorEastAsia" w:cstheme="minorBidi"/>
                <w:b w:val="0"/>
                <w:color w:val="auto"/>
                <w:szCs w:val="22"/>
                <w:lang w:eastAsia="en-AU" w:bidi="ar-SA"/>
              </w:rPr>
              <w:tab/>
            </w:r>
            <w:r w:rsidRPr="000B4E0A">
              <w:rPr>
                <w:rStyle w:val="Hyperlink"/>
                <w:color w:val="auto"/>
              </w:rPr>
              <w:t>Introduction</w:t>
            </w:r>
            <w:r w:rsidRPr="000B4E0A">
              <w:rPr>
                <w:webHidden/>
                <w:color w:val="auto"/>
              </w:rPr>
              <w:tab/>
            </w:r>
            <w:r w:rsidRPr="000B4E0A">
              <w:rPr>
                <w:webHidden/>
                <w:color w:val="auto"/>
              </w:rPr>
              <w:fldChar w:fldCharType="begin"/>
            </w:r>
            <w:r w:rsidRPr="000B4E0A">
              <w:rPr>
                <w:webHidden/>
                <w:color w:val="auto"/>
              </w:rPr>
              <w:instrText xml:space="preserve"> PAGEREF _Toc76630082 \h </w:instrText>
            </w:r>
            <w:r w:rsidRPr="000B4E0A">
              <w:rPr>
                <w:webHidden/>
                <w:color w:val="auto"/>
              </w:rPr>
            </w:r>
            <w:r w:rsidRPr="000B4E0A">
              <w:rPr>
                <w:webHidden/>
                <w:color w:val="auto"/>
              </w:rPr>
              <w:fldChar w:fldCharType="separate"/>
            </w:r>
            <w:r w:rsidRPr="000B4E0A">
              <w:rPr>
                <w:webHidden/>
                <w:color w:val="auto"/>
              </w:rPr>
              <w:t>9</w:t>
            </w:r>
            <w:r w:rsidRPr="000B4E0A">
              <w:rPr>
                <w:webHidden/>
                <w:color w:val="auto"/>
              </w:rPr>
              <w:fldChar w:fldCharType="end"/>
            </w:r>
          </w:hyperlink>
        </w:p>
        <w:p w14:paraId="49DFCDAA" w14:textId="4F2A989A" w:rsidR="000B4E0A" w:rsidRPr="000B4E0A" w:rsidRDefault="000B4E0A">
          <w:pPr>
            <w:pStyle w:val="TOC1"/>
            <w:rPr>
              <w:rFonts w:eastAsiaTheme="minorEastAsia" w:cstheme="minorBidi"/>
              <w:b w:val="0"/>
              <w:color w:val="auto"/>
              <w:szCs w:val="22"/>
              <w:lang w:eastAsia="en-AU" w:bidi="ar-SA"/>
            </w:rPr>
          </w:pPr>
          <w:hyperlink w:anchor="_Toc76630083" w:history="1">
            <w:r w:rsidRPr="000B4E0A">
              <w:rPr>
                <w:rStyle w:val="Hyperlink"/>
                <w:color w:val="auto"/>
              </w:rPr>
              <w:t>2.</w:t>
            </w:r>
            <w:r w:rsidRPr="000B4E0A">
              <w:rPr>
                <w:rFonts w:eastAsiaTheme="minorEastAsia" w:cstheme="minorBidi"/>
                <w:b w:val="0"/>
                <w:color w:val="auto"/>
                <w:szCs w:val="22"/>
                <w:lang w:eastAsia="en-AU" w:bidi="ar-SA"/>
              </w:rPr>
              <w:tab/>
            </w:r>
            <w:r w:rsidRPr="000B4E0A">
              <w:rPr>
                <w:rStyle w:val="Hyperlink"/>
                <w:color w:val="auto"/>
              </w:rPr>
              <w:t>Background</w:t>
            </w:r>
            <w:r w:rsidRPr="000B4E0A">
              <w:rPr>
                <w:webHidden/>
                <w:color w:val="auto"/>
              </w:rPr>
              <w:tab/>
            </w:r>
            <w:r w:rsidRPr="000B4E0A">
              <w:rPr>
                <w:webHidden/>
                <w:color w:val="auto"/>
              </w:rPr>
              <w:fldChar w:fldCharType="begin"/>
            </w:r>
            <w:r w:rsidRPr="000B4E0A">
              <w:rPr>
                <w:webHidden/>
                <w:color w:val="auto"/>
              </w:rPr>
              <w:instrText xml:space="preserve"> PAGEREF _Toc76630083 \h </w:instrText>
            </w:r>
            <w:r w:rsidRPr="000B4E0A">
              <w:rPr>
                <w:webHidden/>
                <w:color w:val="auto"/>
              </w:rPr>
            </w:r>
            <w:r w:rsidRPr="000B4E0A">
              <w:rPr>
                <w:webHidden/>
                <w:color w:val="auto"/>
              </w:rPr>
              <w:fldChar w:fldCharType="separate"/>
            </w:r>
            <w:r w:rsidRPr="000B4E0A">
              <w:rPr>
                <w:webHidden/>
                <w:color w:val="auto"/>
              </w:rPr>
              <w:t>10</w:t>
            </w:r>
            <w:r w:rsidRPr="000B4E0A">
              <w:rPr>
                <w:webHidden/>
                <w:color w:val="auto"/>
              </w:rPr>
              <w:fldChar w:fldCharType="end"/>
            </w:r>
          </w:hyperlink>
        </w:p>
        <w:p w14:paraId="29E1E09B" w14:textId="71CFCDF5" w:rsidR="000B4E0A" w:rsidRPr="000B4E0A" w:rsidRDefault="000B4E0A">
          <w:pPr>
            <w:pStyle w:val="TOC1"/>
            <w:rPr>
              <w:rFonts w:eastAsiaTheme="minorEastAsia" w:cstheme="minorBidi"/>
              <w:b w:val="0"/>
              <w:color w:val="auto"/>
              <w:szCs w:val="22"/>
              <w:lang w:eastAsia="en-AU" w:bidi="ar-SA"/>
            </w:rPr>
          </w:pPr>
          <w:hyperlink w:anchor="_Toc76630084" w:history="1">
            <w:r w:rsidRPr="000B4E0A">
              <w:rPr>
                <w:rStyle w:val="Hyperlink"/>
                <w:color w:val="auto"/>
              </w:rPr>
              <w:t>3.</w:t>
            </w:r>
            <w:r w:rsidRPr="000B4E0A">
              <w:rPr>
                <w:rFonts w:eastAsiaTheme="minorEastAsia" w:cstheme="minorBidi"/>
                <w:b w:val="0"/>
                <w:color w:val="auto"/>
                <w:szCs w:val="22"/>
                <w:lang w:eastAsia="en-AU" w:bidi="ar-SA"/>
              </w:rPr>
              <w:tab/>
            </w:r>
            <w:r w:rsidRPr="000B4E0A">
              <w:rPr>
                <w:rStyle w:val="Hyperlink"/>
                <w:color w:val="auto"/>
                <w:shd w:val="clear" w:color="auto" w:fill="FFFFFF"/>
              </w:rPr>
              <w:t>Purpose, Methodology and Limitations</w:t>
            </w:r>
            <w:r w:rsidRPr="000B4E0A">
              <w:rPr>
                <w:webHidden/>
                <w:color w:val="auto"/>
              </w:rPr>
              <w:tab/>
            </w:r>
            <w:r w:rsidRPr="000B4E0A">
              <w:rPr>
                <w:webHidden/>
                <w:color w:val="auto"/>
              </w:rPr>
              <w:fldChar w:fldCharType="begin"/>
            </w:r>
            <w:r w:rsidRPr="000B4E0A">
              <w:rPr>
                <w:webHidden/>
                <w:color w:val="auto"/>
              </w:rPr>
              <w:instrText xml:space="preserve"> PAGEREF _Toc76630084 \h </w:instrText>
            </w:r>
            <w:r w:rsidRPr="000B4E0A">
              <w:rPr>
                <w:webHidden/>
                <w:color w:val="auto"/>
              </w:rPr>
            </w:r>
            <w:r w:rsidRPr="000B4E0A">
              <w:rPr>
                <w:webHidden/>
                <w:color w:val="auto"/>
              </w:rPr>
              <w:fldChar w:fldCharType="separate"/>
            </w:r>
            <w:r w:rsidRPr="000B4E0A">
              <w:rPr>
                <w:webHidden/>
                <w:color w:val="auto"/>
              </w:rPr>
              <w:t>12</w:t>
            </w:r>
            <w:r w:rsidRPr="000B4E0A">
              <w:rPr>
                <w:webHidden/>
                <w:color w:val="auto"/>
              </w:rPr>
              <w:fldChar w:fldCharType="end"/>
            </w:r>
          </w:hyperlink>
        </w:p>
        <w:p w14:paraId="597258B9" w14:textId="30014E8D" w:rsidR="000B4E0A" w:rsidRPr="000B4E0A" w:rsidRDefault="000B4E0A">
          <w:pPr>
            <w:pStyle w:val="TOC1"/>
            <w:rPr>
              <w:rFonts w:eastAsiaTheme="minorEastAsia" w:cstheme="minorBidi"/>
              <w:b w:val="0"/>
              <w:color w:val="auto"/>
              <w:szCs w:val="22"/>
              <w:lang w:eastAsia="en-AU" w:bidi="ar-SA"/>
            </w:rPr>
          </w:pPr>
          <w:hyperlink w:anchor="_Toc76630085" w:history="1">
            <w:r w:rsidRPr="000B4E0A">
              <w:rPr>
                <w:rStyle w:val="Hyperlink"/>
                <w:color w:val="auto"/>
              </w:rPr>
              <w:t>4.</w:t>
            </w:r>
            <w:r w:rsidRPr="000B4E0A">
              <w:rPr>
                <w:rFonts w:eastAsiaTheme="minorEastAsia" w:cstheme="minorBidi"/>
                <w:b w:val="0"/>
                <w:color w:val="auto"/>
                <w:szCs w:val="22"/>
                <w:lang w:eastAsia="en-AU" w:bidi="ar-SA"/>
              </w:rPr>
              <w:tab/>
            </w:r>
            <w:r w:rsidRPr="000B4E0A">
              <w:rPr>
                <w:rStyle w:val="Hyperlink"/>
                <w:color w:val="auto"/>
              </w:rPr>
              <w:t>Relevance</w:t>
            </w:r>
            <w:r w:rsidRPr="000B4E0A">
              <w:rPr>
                <w:webHidden/>
                <w:color w:val="auto"/>
              </w:rPr>
              <w:tab/>
            </w:r>
            <w:r w:rsidRPr="000B4E0A">
              <w:rPr>
                <w:webHidden/>
                <w:color w:val="auto"/>
              </w:rPr>
              <w:fldChar w:fldCharType="begin"/>
            </w:r>
            <w:r w:rsidRPr="000B4E0A">
              <w:rPr>
                <w:webHidden/>
                <w:color w:val="auto"/>
              </w:rPr>
              <w:instrText xml:space="preserve"> PAGEREF _Toc76630085 \h </w:instrText>
            </w:r>
            <w:r w:rsidRPr="000B4E0A">
              <w:rPr>
                <w:webHidden/>
                <w:color w:val="auto"/>
              </w:rPr>
            </w:r>
            <w:r w:rsidRPr="000B4E0A">
              <w:rPr>
                <w:webHidden/>
                <w:color w:val="auto"/>
              </w:rPr>
              <w:fldChar w:fldCharType="separate"/>
            </w:r>
            <w:r w:rsidRPr="000B4E0A">
              <w:rPr>
                <w:webHidden/>
                <w:color w:val="auto"/>
              </w:rPr>
              <w:t>13</w:t>
            </w:r>
            <w:r w:rsidRPr="000B4E0A">
              <w:rPr>
                <w:webHidden/>
                <w:color w:val="auto"/>
              </w:rPr>
              <w:fldChar w:fldCharType="end"/>
            </w:r>
          </w:hyperlink>
        </w:p>
        <w:p w14:paraId="12C296D0" w14:textId="07CB5277" w:rsidR="000B4E0A" w:rsidRPr="000B4E0A" w:rsidRDefault="000B4E0A">
          <w:pPr>
            <w:pStyle w:val="TOC1"/>
            <w:rPr>
              <w:rFonts w:eastAsiaTheme="minorEastAsia" w:cstheme="minorBidi"/>
              <w:b w:val="0"/>
              <w:color w:val="auto"/>
              <w:szCs w:val="22"/>
              <w:lang w:eastAsia="en-AU" w:bidi="ar-SA"/>
            </w:rPr>
          </w:pPr>
          <w:hyperlink w:anchor="_Toc76630086" w:history="1">
            <w:r w:rsidRPr="000B4E0A">
              <w:rPr>
                <w:rStyle w:val="Hyperlink"/>
                <w:color w:val="auto"/>
              </w:rPr>
              <w:t>5.</w:t>
            </w:r>
            <w:r w:rsidRPr="000B4E0A">
              <w:rPr>
                <w:rFonts w:eastAsiaTheme="minorEastAsia" w:cstheme="minorBidi"/>
                <w:b w:val="0"/>
                <w:color w:val="auto"/>
                <w:szCs w:val="22"/>
                <w:lang w:eastAsia="en-AU" w:bidi="ar-SA"/>
              </w:rPr>
              <w:tab/>
            </w:r>
            <w:r w:rsidRPr="000B4E0A">
              <w:rPr>
                <w:rStyle w:val="Hyperlink"/>
                <w:color w:val="auto"/>
              </w:rPr>
              <w:t>Effectiveness</w:t>
            </w:r>
            <w:r w:rsidRPr="000B4E0A">
              <w:rPr>
                <w:webHidden/>
                <w:color w:val="auto"/>
              </w:rPr>
              <w:tab/>
            </w:r>
            <w:r w:rsidRPr="000B4E0A">
              <w:rPr>
                <w:webHidden/>
                <w:color w:val="auto"/>
              </w:rPr>
              <w:fldChar w:fldCharType="begin"/>
            </w:r>
            <w:r w:rsidRPr="000B4E0A">
              <w:rPr>
                <w:webHidden/>
                <w:color w:val="auto"/>
              </w:rPr>
              <w:instrText xml:space="preserve"> PAGEREF _Toc76630086 \h </w:instrText>
            </w:r>
            <w:r w:rsidRPr="000B4E0A">
              <w:rPr>
                <w:webHidden/>
                <w:color w:val="auto"/>
              </w:rPr>
            </w:r>
            <w:r w:rsidRPr="000B4E0A">
              <w:rPr>
                <w:webHidden/>
                <w:color w:val="auto"/>
              </w:rPr>
              <w:fldChar w:fldCharType="separate"/>
            </w:r>
            <w:r w:rsidRPr="000B4E0A">
              <w:rPr>
                <w:webHidden/>
                <w:color w:val="auto"/>
              </w:rPr>
              <w:t>14</w:t>
            </w:r>
            <w:r w:rsidRPr="000B4E0A">
              <w:rPr>
                <w:webHidden/>
                <w:color w:val="auto"/>
              </w:rPr>
              <w:fldChar w:fldCharType="end"/>
            </w:r>
          </w:hyperlink>
        </w:p>
        <w:p w14:paraId="4E2068BA" w14:textId="0DF09347" w:rsidR="000B4E0A" w:rsidRPr="000B4E0A" w:rsidRDefault="000B4E0A">
          <w:pPr>
            <w:pStyle w:val="TOC3"/>
            <w:rPr>
              <w:rFonts w:eastAsiaTheme="minorEastAsia" w:cstheme="minorBidi"/>
              <w:color w:val="auto"/>
              <w:szCs w:val="22"/>
              <w:lang w:val="en-AU" w:eastAsia="en-AU" w:bidi="ar-SA"/>
            </w:rPr>
          </w:pPr>
          <w:hyperlink w:anchor="_Toc76630087" w:history="1">
            <w:r w:rsidRPr="000B4E0A">
              <w:rPr>
                <w:rStyle w:val="Hyperlink"/>
                <w:color w:val="auto"/>
              </w:rPr>
              <w:t>5.1</w:t>
            </w:r>
            <w:r w:rsidRPr="000B4E0A">
              <w:rPr>
                <w:rFonts w:eastAsiaTheme="minorEastAsia" w:cstheme="minorBidi"/>
                <w:color w:val="auto"/>
                <w:szCs w:val="22"/>
                <w:lang w:val="en-AU" w:eastAsia="en-AU" w:bidi="ar-SA"/>
              </w:rPr>
              <w:tab/>
            </w:r>
            <w:r w:rsidRPr="000B4E0A">
              <w:rPr>
                <w:rStyle w:val="Hyperlink"/>
                <w:color w:val="auto"/>
              </w:rPr>
              <w:t>Results</w:t>
            </w:r>
            <w:r w:rsidRPr="000B4E0A">
              <w:rPr>
                <w:webHidden/>
                <w:color w:val="auto"/>
              </w:rPr>
              <w:tab/>
            </w:r>
            <w:r w:rsidRPr="000B4E0A">
              <w:rPr>
                <w:webHidden/>
                <w:color w:val="auto"/>
              </w:rPr>
              <w:fldChar w:fldCharType="begin"/>
            </w:r>
            <w:r w:rsidRPr="000B4E0A">
              <w:rPr>
                <w:webHidden/>
                <w:color w:val="auto"/>
              </w:rPr>
              <w:instrText xml:space="preserve"> PAGEREF _Toc76630087 \h </w:instrText>
            </w:r>
            <w:r w:rsidRPr="000B4E0A">
              <w:rPr>
                <w:webHidden/>
                <w:color w:val="auto"/>
              </w:rPr>
            </w:r>
            <w:r w:rsidRPr="000B4E0A">
              <w:rPr>
                <w:webHidden/>
                <w:color w:val="auto"/>
              </w:rPr>
              <w:fldChar w:fldCharType="separate"/>
            </w:r>
            <w:r w:rsidRPr="000B4E0A">
              <w:rPr>
                <w:webHidden/>
                <w:color w:val="auto"/>
              </w:rPr>
              <w:t>14</w:t>
            </w:r>
            <w:r w:rsidRPr="000B4E0A">
              <w:rPr>
                <w:webHidden/>
                <w:color w:val="auto"/>
              </w:rPr>
              <w:fldChar w:fldCharType="end"/>
            </w:r>
          </w:hyperlink>
        </w:p>
        <w:p w14:paraId="4C5E8621" w14:textId="1E6DBE45" w:rsidR="000B4E0A" w:rsidRPr="000B4E0A" w:rsidRDefault="000B4E0A">
          <w:pPr>
            <w:pStyle w:val="TOC3"/>
            <w:rPr>
              <w:rFonts w:eastAsiaTheme="minorEastAsia" w:cstheme="minorBidi"/>
              <w:color w:val="auto"/>
              <w:szCs w:val="22"/>
              <w:lang w:val="en-AU" w:eastAsia="en-AU" w:bidi="ar-SA"/>
            </w:rPr>
          </w:pPr>
          <w:hyperlink w:anchor="_Toc76630088" w:history="1">
            <w:r w:rsidRPr="000B4E0A">
              <w:rPr>
                <w:rStyle w:val="Hyperlink"/>
                <w:color w:val="auto"/>
              </w:rPr>
              <w:t>5.2</w:t>
            </w:r>
            <w:r w:rsidRPr="000B4E0A">
              <w:rPr>
                <w:rFonts w:eastAsiaTheme="minorEastAsia" w:cstheme="minorBidi"/>
                <w:color w:val="auto"/>
                <w:szCs w:val="22"/>
                <w:lang w:val="en-AU" w:eastAsia="en-AU" w:bidi="ar-SA"/>
              </w:rPr>
              <w:tab/>
            </w:r>
            <w:r w:rsidRPr="000B4E0A">
              <w:rPr>
                <w:rStyle w:val="Hyperlink"/>
                <w:color w:val="auto"/>
              </w:rPr>
              <w:t>Implementation Rates</w:t>
            </w:r>
            <w:r w:rsidRPr="000B4E0A">
              <w:rPr>
                <w:webHidden/>
                <w:color w:val="auto"/>
              </w:rPr>
              <w:tab/>
            </w:r>
            <w:r w:rsidRPr="000B4E0A">
              <w:rPr>
                <w:webHidden/>
                <w:color w:val="auto"/>
              </w:rPr>
              <w:fldChar w:fldCharType="begin"/>
            </w:r>
            <w:r w:rsidRPr="000B4E0A">
              <w:rPr>
                <w:webHidden/>
                <w:color w:val="auto"/>
              </w:rPr>
              <w:instrText xml:space="preserve"> PAGEREF _Toc76630088 \h </w:instrText>
            </w:r>
            <w:r w:rsidRPr="000B4E0A">
              <w:rPr>
                <w:webHidden/>
                <w:color w:val="auto"/>
              </w:rPr>
            </w:r>
            <w:r w:rsidRPr="000B4E0A">
              <w:rPr>
                <w:webHidden/>
                <w:color w:val="auto"/>
              </w:rPr>
              <w:fldChar w:fldCharType="separate"/>
            </w:r>
            <w:r w:rsidRPr="000B4E0A">
              <w:rPr>
                <w:webHidden/>
                <w:color w:val="auto"/>
              </w:rPr>
              <w:t>16</w:t>
            </w:r>
            <w:r w:rsidRPr="000B4E0A">
              <w:rPr>
                <w:webHidden/>
                <w:color w:val="auto"/>
              </w:rPr>
              <w:fldChar w:fldCharType="end"/>
            </w:r>
          </w:hyperlink>
        </w:p>
        <w:p w14:paraId="614C82AB" w14:textId="0B96B631" w:rsidR="000B4E0A" w:rsidRPr="000B4E0A" w:rsidRDefault="000B4E0A">
          <w:pPr>
            <w:pStyle w:val="TOC3"/>
            <w:rPr>
              <w:rFonts w:eastAsiaTheme="minorEastAsia" w:cstheme="minorBidi"/>
              <w:color w:val="auto"/>
              <w:szCs w:val="22"/>
              <w:lang w:val="en-AU" w:eastAsia="en-AU" w:bidi="ar-SA"/>
            </w:rPr>
          </w:pPr>
          <w:hyperlink w:anchor="_Toc76630089" w:history="1">
            <w:r w:rsidRPr="000B4E0A">
              <w:rPr>
                <w:rStyle w:val="Hyperlink"/>
                <w:color w:val="auto"/>
              </w:rPr>
              <w:t>5.3</w:t>
            </w:r>
            <w:r w:rsidRPr="000B4E0A">
              <w:rPr>
                <w:rFonts w:eastAsiaTheme="minorEastAsia" w:cstheme="minorBidi"/>
                <w:color w:val="auto"/>
                <w:szCs w:val="22"/>
                <w:lang w:val="en-AU" w:eastAsia="en-AU" w:bidi="ar-SA"/>
              </w:rPr>
              <w:tab/>
            </w:r>
            <w:r w:rsidRPr="000B4E0A">
              <w:rPr>
                <w:rStyle w:val="Hyperlink"/>
                <w:color w:val="auto"/>
              </w:rPr>
              <w:t>Family Planning Commodities</w:t>
            </w:r>
            <w:r w:rsidRPr="000B4E0A">
              <w:rPr>
                <w:webHidden/>
                <w:color w:val="auto"/>
              </w:rPr>
              <w:tab/>
            </w:r>
            <w:r w:rsidRPr="000B4E0A">
              <w:rPr>
                <w:webHidden/>
                <w:color w:val="auto"/>
              </w:rPr>
              <w:fldChar w:fldCharType="begin"/>
            </w:r>
            <w:r w:rsidRPr="000B4E0A">
              <w:rPr>
                <w:webHidden/>
                <w:color w:val="auto"/>
              </w:rPr>
              <w:instrText xml:space="preserve"> PAGEREF _Toc76630089 \h </w:instrText>
            </w:r>
            <w:r w:rsidRPr="000B4E0A">
              <w:rPr>
                <w:webHidden/>
                <w:color w:val="auto"/>
              </w:rPr>
            </w:r>
            <w:r w:rsidRPr="000B4E0A">
              <w:rPr>
                <w:webHidden/>
                <w:color w:val="auto"/>
              </w:rPr>
              <w:fldChar w:fldCharType="separate"/>
            </w:r>
            <w:r w:rsidRPr="000B4E0A">
              <w:rPr>
                <w:webHidden/>
                <w:color w:val="auto"/>
              </w:rPr>
              <w:t>18</w:t>
            </w:r>
            <w:r w:rsidRPr="000B4E0A">
              <w:rPr>
                <w:webHidden/>
                <w:color w:val="auto"/>
              </w:rPr>
              <w:fldChar w:fldCharType="end"/>
            </w:r>
          </w:hyperlink>
        </w:p>
        <w:p w14:paraId="4F3DBC6D" w14:textId="7B34926A" w:rsidR="000B4E0A" w:rsidRPr="000B4E0A" w:rsidRDefault="000B4E0A">
          <w:pPr>
            <w:pStyle w:val="TOC3"/>
            <w:rPr>
              <w:rFonts w:eastAsiaTheme="minorEastAsia" w:cstheme="minorBidi"/>
              <w:color w:val="auto"/>
              <w:szCs w:val="22"/>
              <w:lang w:val="en-AU" w:eastAsia="en-AU" w:bidi="ar-SA"/>
            </w:rPr>
          </w:pPr>
          <w:hyperlink w:anchor="_Toc76630090" w:history="1">
            <w:r w:rsidRPr="000B4E0A">
              <w:rPr>
                <w:rStyle w:val="Hyperlink"/>
                <w:color w:val="auto"/>
              </w:rPr>
              <w:t>5.4</w:t>
            </w:r>
            <w:r w:rsidRPr="000B4E0A">
              <w:rPr>
                <w:rFonts w:eastAsiaTheme="minorEastAsia" w:cstheme="minorBidi"/>
                <w:color w:val="auto"/>
                <w:szCs w:val="22"/>
                <w:lang w:val="en-AU" w:eastAsia="en-AU" w:bidi="ar-SA"/>
              </w:rPr>
              <w:tab/>
            </w:r>
            <w:r w:rsidRPr="000B4E0A">
              <w:rPr>
                <w:rStyle w:val="Hyperlink"/>
                <w:color w:val="auto"/>
              </w:rPr>
              <w:t>Technical Assistance</w:t>
            </w:r>
            <w:r w:rsidRPr="000B4E0A">
              <w:rPr>
                <w:webHidden/>
                <w:color w:val="auto"/>
              </w:rPr>
              <w:tab/>
            </w:r>
            <w:r w:rsidRPr="000B4E0A">
              <w:rPr>
                <w:webHidden/>
                <w:color w:val="auto"/>
              </w:rPr>
              <w:fldChar w:fldCharType="begin"/>
            </w:r>
            <w:r w:rsidRPr="000B4E0A">
              <w:rPr>
                <w:webHidden/>
                <w:color w:val="auto"/>
              </w:rPr>
              <w:instrText xml:space="preserve"> PAGEREF _Toc76630090 \h </w:instrText>
            </w:r>
            <w:r w:rsidRPr="000B4E0A">
              <w:rPr>
                <w:webHidden/>
                <w:color w:val="auto"/>
              </w:rPr>
            </w:r>
            <w:r w:rsidRPr="000B4E0A">
              <w:rPr>
                <w:webHidden/>
                <w:color w:val="auto"/>
              </w:rPr>
              <w:fldChar w:fldCharType="separate"/>
            </w:r>
            <w:r w:rsidRPr="000B4E0A">
              <w:rPr>
                <w:webHidden/>
                <w:color w:val="auto"/>
              </w:rPr>
              <w:t>19</w:t>
            </w:r>
            <w:r w:rsidRPr="000B4E0A">
              <w:rPr>
                <w:webHidden/>
                <w:color w:val="auto"/>
              </w:rPr>
              <w:fldChar w:fldCharType="end"/>
            </w:r>
          </w:hyperlink>
        </w:p>
        <w:p w14:paraId="0E72876E" w14:textId="1DAEA299" w:rsidR="000B4E0A" w:rsidRPr="000B4E0A" w:rsidRDefault="000B4E0A">
          <w:pPr>
            <w:pStyle w:val="TOC3"/>
            <w:rPr>
              <w:rFonts w:eastAsiaTheme="minorEastAsia" w:cstheme="minorBidi"/>
              <w:color w:val="auto"/>
              <w:szCs w:val="22"/>
              <w:lang w:val="en-AU" w:eastAsia="en-AU" w:bidi="ar-SA"/>
            </w:rPr>
          </w:pPr>
          <w:hyperlink w:anchor="_Toc76630091" w:history="1">
            <w:r w:rsidRPr="000B4E0A">
              <w:rPr>
                <w:rStyle w:val="Hyperlink"/>
                <w:color w:val="auto"/>
              </w:rPr>
              <w:t>5.5</w:t>
            </w:r>
            <w:r w:rsidRPr="000B4E0A">
              <w:rPr>
                <w:rFonts w:eastAsiaTheme="minorEastAsia" w:cstheme="minorBidi"/>
                <w:color w:val="auto"/>
                <w:szCs w:val="22"/>
                <w:lang w:val="en-AU" w:eastAsia="en-AU" w:bidi="ar-SA"/>
              </w:rPr>
              <w:tab/>
            </w:r>
            <w:r w:rsidRPr="000B4E0A">
              <w:rPr>
                <w:rStyle w:val="Hyperlink"/>
                <w:color w:val="auto"/>
              </w:rPr>
              <w:t>Gender and Social Inclusion</w:t>
            </w:r>
            <w:r w:rsidRPr="000B4E0A">
              <w:rPr>
                <w:webHidden/>
                <w:color w:val="auto"/>
              </w:rPr>
              <w:tab/>
            </w:r>
            <w:r w:rsidRPr="000B4E0A">
              <w:rPr>
                <w:webHidden/>
                <w:color w:val="auto"/>
              </w:rPr>
              <w:fldChar w:fldCharType="begin"/>
            </w:r>
            <w:r w:rsidRPr="000B4E0A">
              <w:rPr>
                <w:webHidden/>
                <w:color w:val="auto"/>
              </w:rPr>
              <w:instrText xml:space="preserve"> PAGEREF _Toc76630091 \h </w:instrText>
            </w:r>
            <w:r w:rsidRPr="000B4E0A">
              <w:rPr>
                <w:webHidden/>
                <w:color w:val="auto"/>
              </w:rPr>
            </w:r>
            <w:r w:rsidRPr="000B4E0A">
              <w:rPr>
                <w:webHidden/>
                <w:color w:val="auto"/>
              </w:rPr>
              <w:fldChar w:fldCharType="separate"/>
            </w:r>
            <w:r w:rsidRPr="000B4E0A">
              <w:rPr>
                <w:webHidden/>
                <w:color w:val="auto"/>
              </w:rPr>
              <w:t>20</w:t>
            </w:r>
            <w:r w:rsidRPr="000B4E0A">
              <w:rPr>
                <w:webHidden/>
                <w:color w:val="auto"/>
              </w:rPr>
              <w:fldChar w:fldCharType="end"/>
            </w:r>
          </w:hyperlink>
        </w:p>
        <w:p w14:paraId="5AC234AA" w14:textId="0B8FCFEF" w:rsidR="000B4E0A" w:rsidRPr="000B4E0A" w:rsidRDefault="000B4E0A">
          <w:pPr>
            <w:pStyle w:val="TOC1"/>
            <w:rPr>
              <w:rFonts w:eastAsiaTheme="minorEastAsia" w:cstheme="minorBidi"/>
              <w:b w:val="0"/>
              <w:color w:val="auto"/>
              <w:szCs w:val="22"/>
              <w:lang w:eastAsia="en-AU" w:bidi="ar-SA"/>
            </w:rPr>
          </w:pPr>
          <w:hyperlink w:anchor="_Toc76630092" w:history="1">
            <w:r w:rsidRPr="000B4E0A">
              <w:rPr>
                <w:rStyle w:val="Hyperlink"/>
                <w:color w:val="auto"/>
              </w:rPr>
              <w:t>6.</w:t>
            </w:r>
            <w:r w:rsidRPr="000B4E0A">
              <w:rPr>
                <w:rFonts w:eastAsiaTheme="minorEastAsia" w:cstheme="minorBidi"/>
                <w:b w:val="0"/>
                <w:color w:val="auto"/>
                <w:szCs w:val="22"/>
                <w:lang w:eastAsia="en-AU" w:bidi="ar-SA"/>
              </w:rPr>
              <w:tab/>
            </w:r>
            <w:r w:rsidRPr="000B4E0A">
              <w:rPr>
                <w:rStyle w:val="Hyperlink"/>
                <w:color w:val="auto"/>
              </w:rPr>
              <w:t>Efficiency</w:t>
            </w:r>
            <w:r w:rsidRPr="000B4E0A">
              <w:rPr>
                <w:webHidden/>
                <w:color w:val="auto"/>
              </w:rPr>
              <w:tab/>
            </w:r>
            <w:r w:rsidRPr="000B4E0A">
              <w:rPr>
                <w:webHidden/>
                <w:color w:val="auto"/>
              </w:rPr>
              <w:fldChar w:fldCharType="begin"/>
            </w:r>
            <w:r w:rsidRPr="000B4E0A">
              <w:rPr>
                <w:webHidden/>
                <w:color w:val="auto"/>
              </w:rPr>
              <w:instrText xml:space="preserve"> PAGEREF _Toc76630092 \h </w:instrText>
            </w:r>
            <w:r w:rsidRPr="000B4E0A">
              <w:rPr>
                <w:webHidden/>
                <w:color w:val="auto"/>
              </w:rPr>
            </w:r>
            <w:r w:rsidRPr="000B4E0A">
              <w:rPr>
                <w:webHidden/>
                <w:color w:val="auto"/>
              </w:rPr>
              <w:fldChar w:fldCharType="separate"/>
            </w:r>
            <w:r w:rsidRPr="000B4E0A">
              <w:rPr>
                <w:webHidden/>
                <w:color w:val="auto"/>
              </w:rPr>
              <w:t>21</w:t>
            </w:r>
            <w:r w:rsidRPr="000B4E0A">
              <w:rPr>
                <w:webHidden/>
                <w:color w:val="auto"/>
              </w:rPr>
              <w:fldChar w:fldCharType="end"/>
            </w:r>
          </w:hyperlink>
        </w:p>
        <w:p w14:paraId="676B5651" w14:textId="10CD9ACF" w:rsidR="000B4E0A" w:rsidRPr="000B4E0A" w:rsidRDefault="000B4E0A">
          <w:pPr>
            <w:pStyle w:val="TOC3"/>
            <w:rPr>
              <w:rFonts w:eastAsiaTheme="minorEastAsia" w:cstheme="minorBidi"/>
              <w:color w:val="auto"/>
              <w:szCs w:val="22"/>
              <w:lang w:val="en-AU" w:eastAsia="en-AU" w:bidi="ar-SA"/>
            </w:rPr>
          </w:pPr>
          <w:hyperlink w:anchor="_Toc76630093" w:history="1">
            <w:r w:rsidRPr="000B4E0A">
              <w:rPr>
                <w:rStyle w:val="Hyperlink"/>
                <w:color w:val="auto"/>
              </w:rPr>
              <w:t>6.1</w:t>
            </w:r>
            <w:r w:rsidRPr="000B4E0A">
              <w:rPr>
                <w:rFonts w:eastAsiaTheme="minorEastAsia" w:cstheme="minorBidi"/>
                <w:color w:val="auto"/>
                <w:szCs w:val="22"/>
                <w:lang w:val="en-AU" w:eastAsia="en-AU" w:bidi="ar-SA"/>
              </w:rPr>
              <w:tab/>
            </w:r>
            <w:r w:rsidRPr="000B4E0A">
              <w:rPr>
                <w:rStyle w:val="Hyperlink"/>
                <w:color w:val="auto"/>
              </w:rPr>
              <w:t>Planning and Disbursement</w:t>
            </w:r>
            <w:r w:rsidRPr="000B4E0A">
              <w:rPr>
                <w:webHidden/>
                <w:color w:val="auto"/>
              </w:rPr>
              <w:tab/>
            </w:r>
            <w:r w:rsidRPr="000B4E0A">
              <w:rPr>
                <w:webHidden/>
                <w:color w:val="auto"/>
              </w:rPr>
              <w:fldChar w:fldCharType="begin"/>
            </w:r>
            <w:r w:rsidRPr="000B4E0A">
              <w:rPr>
                <w:webHidden/>
                <w:color w:val="auto"/>
              </w:rPr>
              <w:instrText xml:space="preserve"> PAGEREF _Toc76630093 \h </w:instrText>
            </w:r>
            <w:r w:rsidRPr="000B4E0A">
              <w:rPr>
                <w:webHidden/>
                <w:color w:val="auto"/>
              </w:rPr>
            </w:r>
            <w:r w:rsidRPr="000B4E0A">
              <w:rPr>
                <w:webHidden/>
                <w:color w:val="auto"/>
              </w:rPr>
              <w:fldChar w:fldCharType="separate"/>
            </w:r>
            <w:r w:rsidRPr="000B4E0A">
              <w:rPr>
                <w:webHidden/>
                <w:color w:val="auto"/>
              </w:rPr>
              <w:t>21</w:t>
            </w:r>
            <w:r w:rsidRPr="000B4E0A">
              <w:rPr>
                <w:webHidden/>
                <w:color w:val="auto"/>
              </w:rPr>
              <w:fldChar w:fldCharType="end"/>
            </w:r>
          </w:hyperlink>
        </w:p>
        <w:p w14:paraId="1BDB453C" w14:textId="1D5CA5E6" w:rsidR="000B4E0A" w:rsidRPr="000B4E0A" w:rsidRDefault="000B4E0A">
          <w:pPr>
            <w:pStyle w:val="TOC3"/>
            <w:rPr>
              <w:rFonts w:eastAsiaTheme="minorEastAsia" w:cstheme="minorBidi"/>
              <w:color w:val="auto"/>
              <w:szCs w:val="22"/>
              <w:lang w:val="en-AU" w:eastAsia="en-AU" w:bidi="ar-SA"/>
            </w:rPr>
          </w:pPr>
          <w:hyperlink w:anchor="_Toc76630094" w:history="1">
            <w:r w:rsidRPr="000B4E0A">
              <w:rPr>
                <w:rStyle w:val="Hyperlink"/>
                <w:color w:val="auto"/>
              </w:rPr>
              <w:t>6.2</w:t>
            </w:r>
            <w:r w:rsidRPr="000B4E0A">
              <w:rPr>
                <w:rFonts w:eastAsiaTheme="minorEastAsia" w:cstheme="minorBidi"/>
                <w:color w:val="auto"/>
                <w:szCs w:val="22"/>
                <w:lang w:val="en-AU" w:eastAsia="en-AU" w:bidi="ar-SA"/>
              </w:rPr>
              <w:tab/>
            </w:r>
            <w:r w:rsidRPr="000B4E0A">
              <w:rPr>
                <w:rStyle w:val="Hyperlink"/>
                <w:color w:val="auto"/>
              </w:rPr>
              <w:t>Coordination</w:t>
            </w:r>
            <w:r w:rsidRPr="000B4E0A">
              <w:rPr>
                <w:webHidden/>
                <w:color w:val="auto"/>
              </w:rPr>
              <w:tab/>
            </w:r>
            <w:r w:rsidRPr="000B4E0A">
              <w:rPr>
                <w:webHidden/>
                <w:color w:val="auto"/>
              </w:rPr>
              <w:fldChar w:fldCharType="begin"/>
            </w:r>
            <w:r w:rsidRPr="000B4E0A">
              <w:rPr>
                <w:webHidden/>
                <w:color w:val="auto"/>
              </w:rPr>
              <w:instrText xml:space="preserve"> PAGEREF _Toc76630094 \h </w:instrText>
            </w:r>
            <w:r w:rsidRPr="000B4E0A">
              <w:rPr>
                <w:webHidden/>
                <w:color w:val="auto"/>
              </w:rPr>
            </w:r>
            <w:r w:rsidRPr="000B4E0A">
              <w:rPr>
                <w:webHidden/>
                <w:color w:val="auto"/>
              </w:rPr>
              <w:fldChar w:fldCharType="separate"/>
            </w:r>
            <w:r w:rsidRPr="000B4E0A">
              <w:rPr>
                <w:webHidden/>
                <w:color w:val="auto"/>
              </w:rPr>
              <w:t>23</w:t>
            </w:r>
            <w:r w:rsidRPr="000B4E0A">
              <w:rPr>
                <w:webHidden/>
                <w:color w:val="auto"/>
              </w:rPr>
              <w:fldChar w:fldCharType="end"/>
            </w:r>
          </w:hyperlink>
        </w:p>
        <w:p w14:paraId="45FBC02D" w14:textId="79106E73" w:rsidR="000B4E0A" w:rsidRPr="000B4E0A" w:rsidRDefault="000B4E0A">
          <w:pPr>
            <w:pStyle w:val="TOC3"/>
            <w:rPr>
              <w:rFonts w:eastAsiaTheme="minorEastAsia" w:cstheme="minorBidi"/>
              <w:color w:val="auto"/>
              <w:szCs w:val="22"/>
              <w:lang w:val="en-AU" w:eastAsia="en-AU" w:bidi="ar-SA"/>
            </w:rPr>
          </w:pPr>
          <w:hyperlink w:anchor="_Toc76630095" w:history="1">
            <w:r w:rsidRPr="000B4E0A">
              <w:rPr>
                <w:rStyle w:val="Hyperlink"/>
                <w:color w:val="auto"/>
              </w:rPr>
              <w:t>6.3</w:t>
            </w:r>
            <w:r w:rsidRPr="000B4E0A">
              <w:rPr>
                <w:rFonts w:eastAsiaTheme="minorEastAsia" w:cstheme="minorBidi"/>
                <w:color w:val="auto"/>
                <w:szCs w:val="22"/>
                <w:lang w:val="en-AU" w:eastAsia="en-AU" w:bidi="ar-SA"/>
              </w:rPr>
              <w:tab/>
            </w:r>
            <w:r w:rsidRPr="000B4E0A">
              <w:rPr>
                <w:rStyle w:val="Hyperlink"/>
                <w:color w:val="auto"/>
              </w:rPr>
              <w:t>Staffing</w:t>
            </w:r>
            <w:r w:rsidRPr="000B4E0A">
              <w:rPr>
                <w:webHidden/>
                <w:color w:val="auto"/>
              </w:rPr>
              <w:tab/>
            </w:r>
            <w:r w:rsidRPr="000B4E0A">
              <w:rPr>
                <w:webHidden/>
                <w:color w:val="auto"/>
              </w:rPr>
              <w:fldChar w:fldCharType="begin"/>
            </w:r>
            <w:r w:rsidRPr="000B4E0A">
              <w:rPr>
                <w:webHidden/>
                <w:color w:val="auto"/>
              </w:rPr>
              <w:instrText xml:space="preserve"> PAGEREF _Toc76630095 \h </w:instrText>
            </w:r>
            <w:r w:rsidRPr="000B4E0A">
              <w:rPr>
                <w:webHidden/>
                <w:color w:val="auto"/>
              </w:rPr>
            </w:r>
            <w:r w:rsidRPr="000B4E0A">
              <w:rPr>
                <w:webHidden/>
                <w:color w:val="auto"/>
              </w:rPr>
              <w:fldChar w:fldCharType="separate"/>
            </w:r>
            <w:r w:rsidRPr="000B4E0A">
              <w:rPr>
                <w:webHidden/>
                <w:color w:val="auto"/>
              </w:rPr>
              <w:t>23</w:t>
            </w:r>
            <w:r w:rsidRPr="000B4E0A">
              <w:rPr>
                <w:webHidden/>
                <w:color w:val="auto"/>
              </w:rPr>
              <w:fldChar w:fldCharType="end"/>
            </w:r>
          </w:hyperlink>
        </w:p>
        <w:p w14:paraId="66084CB8" w14:textId="4D66D1B5" w:rsidR="000B4E0A" w:rsidRPr="000B4E0A" w:rsidRDefault="000B4E0A">
          <w:pPr>
            <w:pStyle w:val="TOC3"/>
            <w:rPr>
              <w:rFonts w:eastAsiaTheme="minorEastAsia" w:cstheme="minorBidi"/>
              <w:color w:val="auto"/>
              <w:szCs w:val="22"/>
              <w:lang w:val="en-AU" w:eastAsia="en-AU" w:bidi="ar-SA"/>
            </w:rPr>
          </w:pPr>
          <w:hyperlink w:anchor="_Toc76630096" w:history="1">
            <w:r w:rsidRPr="000B4E0A">
              <w:rPr>
                <w:rStyle w:val="Hyperlink"/>
                <w:color w:val="auto"/>
              </w:rPr>
              <w:t>6.4</w:t>
            </w:r>
            <w:r w:rsidRPr="000B4E0A">
              <w:rPr>
                <w:rFonts w:eastAsiaTheme="minorEastAsia" w:cstheme="minorBidi"/>
                <w:color w:val="auto"/>
                <w:szCs w:val="22"/>
                <w:lang w:val="en-AU" w:eastAsia="en-AU" w:bidi="ar-SA"/>
              </w:rPr>
              <w:tab/>
            </w:r>
            <w:r w:rsidRPr="000B4E0A">
              <w:rPr>
                <w:rStyle w:val="Hyperlink"/>
                <w:color w:val="auto"/>
              </w:rPr>
              <w:t>Use of Existing In-country Resources</w:t>
            </w:r>
            <w:r w:rsidRPr="000B4E0A">
              <w:rPr>
                <w:webHidden/>
                <w:color w:val="auto"/>
              </w:rPr>
              <w:tab/>
            </w:r>
            <w:r w:rsidRPr="000B4E0A">
              <w:rPr>
                <w:webHidden/>
                <w:color w:val="auto"/>
              </w:rPr>
              <w:fldChar w:fldCharType="begin"/>
            </w:r>
            <w:r w:rsidRPr="000B4E0A">
              <w:rPr>
                <w:webHidden/>
                <w:color w:val="auto"/>
              </w:rPr>
              <w:instrText xml:space="preserve"> PAGEREF _Toc76630096 \h </w:instrText>
            </w:r>
            <w:r w:rsidRPr="000B4E0A">
              <w:rPr>
                <w:webHidden/>
                <w:color w:val="auto"/>
              </w:rPr>
            </w:r>
            <w:r w:rsidRPr="000B4E0A">
              <w:rPr>
                <w:webHidden/>
                <w:color w:val="auto"/>
              </w:rPr>
              <w:fldChar w:fldCharType="separate"/>
            </w:r>
            <w:r w:rsidRPr="000B4E0A">
              <w:rPr>
                <w:webHidden/>
                <w:color w:val="auto"/>
              </w:rPr>
              <w:t>25</w:t>
            </w:r>
            <w:r w:rsidRPr="000B4E0A">
              <w:rPr>
                <w:webHidden/>
                <w:color w:val="auto"/>
              </w:rPr>
              <w:fldChar w:fldCharType="end"/>
            </w:r>
          </w:hyperlink>
        </w:p>
        <w:p w14:paraId="67742EE5" w14:textId="24FD0377" w:rsidR="000B4E0A" w:rsidRPr="000B4E0A" w:rsidRDefault="000B4E0A">
          <w:pPr>
            <w:pStyle w:val="TOC3"/>
            <w:rPr>
              <w:rFonts w:eastAsiaTheme="minorEastAsia" w:cstheme="minorBidi"/>
              <w:color w:val="auto"/>
              <w:szCs w:val="22"/>
              <w:lang w:val="en-AU" w:eastAsia="en-AU" w:bidi="ar-SA"/>
            </w:rPr>
          </w:pPr>
          <w:hyperlink w:anchor="_Toc76630097" w:history="1">
            <w:r w:rsidRPr="000B4E0A">
              <w:rPr>
                <w:rStyle w:val="Hyperlink"/>
                <w:color w:val="auto"/>
              </w:rPr>
              <w:t>6.5</w:t>
            </w:r>
            <w:r w:rsidRPr="000B4E0A">
              <w:rPr>
                <w:rFonts w:eastAsiaTheme="minorEastAsia" w:cstheme="minorBidi"/>
                <w:color w:val="auto"/>
                <w:szCs w:val="22"/>
                <w:lang w:val="en-AU" w:eastAsia="en-AU" w:bidi="ar-SA"/>
              </w:rPr>
              <w:tab/>
            </w:r>
            <w:r w:rsidRPr="000B4E0A">
              <w:rPr>
                <w:rStyle w:val="Hyperlink"/>
                <w:color w:val="auto"/>
              </w:rPr>
              <w:t>Funding Allocations</w:t>
            </w:r>
            <w:r w:rsidRPr="000B4E0A">
              <w:rPr>
                <w:webHidden/>
                <w:color w:val="auto"/>
              </w:rPr>
              <w:tab/>
            </w:r>
            <w:r w:rsidRPr="000B4E0A">
              <w:rPr>
                <w:webHidden/>
                <w:color w:val="auto"/>
              </w:rPr>
              <w:fldChar w:fldCharType="begin"/>
            </w:r>
            <w:r w:rsidRPr="000B4E0A">
              <w:rPr>
                <w:webHidden/>
                <w:color w:val="auto"/>
              </w:rPr>
              <w:instrText xml:space="preserve"> PAGEREF _Toc76630097 \h </w:instrText>
            </w:r>
            <w:r w:rsidRPr="000B4E0A">
              <w:rPr>
                <w:webHidden/>
                <w:color w:val="auto"/>
              </w:rPr>
            </w:r>
            <w:r w:rsidRPr="000B4E0A">
              <w:rPr>
                <w:webHidden/>
                <w:color w:val="auto"/>
              </w:rPr>
              <w:fldChar w:fldCharType="separate"/>
            </w:r>
            <w:r w:rsidRPr="000B4E0A">
              <w:rPr>
                <w:webHidden/>
                <w:color w:val="auto"/>
              </w:rPr>
              <w:t>26</w:t>
            </w:r>
            <w:r w:rsidRPr="000B4E0A">
              <w:rPr>
                <w:webHidden/>
                <w:color w:val="auto"/>
              </w:rPr>
              <w:fldChar w:fldCharType="end"/>
            </w:r>
          </w:hyperlink>
        </w:p>
        <w:p w14:paraId="6F37F14A" w14:textId="00259628" w:rsidR="000B4E0A" w:rsidRPr="000B4E0A" w:rsidRDefault="000B4E0A">
          <w:pPr>
            <w:pStyle w:val="TOC3"/>
            <w:rPr>
              <w:rFonts w:eastAsiaTheme="minorEastAsia" w:cstheme="minorBidi"/>
              <w:color w:val="auto"/>
              <w:szCs w:val="22"/>
              <w:lang w:val="en-AU" w:eastAsia="en-AU" w:bidi="ar-SA"/>
            </w:rPr>
          </w:pPr>
          <w:hyperlink w:anchor="_Toc76630098" w:history="1">
            <w:r w:rsidRPr="000B4E0A">
              <w:rPr>
                <w:rStyle w:val="Hyperlink"/>
                <w:color w:val="auto"/>
              </w:rPr>
              <w:t>6.6</w:t>
            </w:r>
            <w:r w:rsidRPr="000B4E0A">
              <w:rPr>
                <w:rFonts w:eastAsiaTheme="minorEastAsia" w:cstheme="minorBidi"/>
                <w:color w:val="auto"/>
                <w:szCs w:val="22"/>
                <w:lang w:val="en-AU" w:eastAsia="en-AU" w:bidi="ar-SA"/>
              </w:rPr>
              <w:tab/>
            </w:r>
            <w:r w:rsidRPr="000B4E0A">
              <w:rPr>
                <w:rStyle w:val="Hyperlink"/>
                <w:color w:val="auto"/>
              </w:rPr>
              <w:t>Administrative Processes</w:t>
            </w:r>
            <w:r w:rsidRPr="000B4E0A">
              <w:rPr>
                <w:webHidden/>
                <w:color w:val="auto"/>
              </w:rPr>
              <w:tab/>
            </w:r>
            <w:r w:rsidRPr="000B4E0A">
              <w:rPr>
                <w:webHidden/>
                <w:color w:val="auto"/>
              </w:rPr>
              <w:fldChar w:fldCharType="begin"/>
            </w:r>
            <w:r w:rsidRPr="000B4E0A">
              <w:rPr>
                <w:webHidden/>
                <w:color w:val="auto"/>
              </w:rPr>
              <w:instrText xml:space="preserve"> PAGEREF _Toc76630098 \h </w:instrText>
            </w:r>
            <w:r w:rsidRPr="000B4E0A">
              <w:rPr>
                <w:webHidden/>
                <w:color w:val="auto"/>
              </w:rPr>
            </w:r>
            <w:r w:rsidRPr="000B4E0A">
              <w:rPr>
                <w:webHidden/>
                <w:color w:val="auto"/>
              </w:rPr>
              <w:fldChar w:fldCharType="separate"/>
            </w:r>
            <w:r w:rsidRPr="000B4E0A">
              <w:rPr>
                <w:webHidden/>
                <w:color w:val="auto"/>
              </w:rPr>
              <w:t>27</w:t>
            </w:r>
            <w:r w:rsidRPr="000B4E0A">
              <w:rPr>
                <w:webHidden/>
                <w:color w:val="auto"/>
              </w:rPr>
              <w:fldChar w:fldCharType="end"/>
            </w:r>
          </w:hyperlink>
        </w:p>
        <w:p w14:paraId="50308584" w14:textId="348D9C75" w:rsidR="000B4E0A" w:rsidRPr="000B4E0A" w:rsidRDefault="000B4E0A">
          <w:pPr>
            <w:pStyle w:val="TOC1"/>
            <w:rPr>
              <w:rFonts w:eastAsiaTheme="minorEastAsia" w:cstheme="minorBidi"/>
              <w:b w:val="0"/>
              <w:color w:val="auto"/>
              <w:szCs w:val="22"/>
              <w:lang w:eastAsia="en-AU" w:bidi="ar-SA"/>
            </w:rPr>
          </w:pPr>
          <w:hyperlink w:anchor="_Toc76630099" w:history="1">
            <w:r w:rsidRPr="000B4E0A">
              <w:rPr>
                <w:rStyle w:val="Hyperlink"/>
                <w:color w:val="auto"/>
              </w:rPr>
              <w:t>7.</w:t>
            </w:r>
            <w:r w:rsidRPr="000B4E0A">
              <w:rPr>
                <w:rFonts w:eastAsiaTheme="minorEastAsia" w:cstheme="minorBidi"/>
                <w:b w:val="0"/>
                <w:color w:val="auto"/>
                <w:szCs w:val="22"/>
                <w:lang w:eastAsia="en-AU" w:bidi="ar-SA"/>
              </w:rPr>
              <w:tab/>
            </w:r>
            <w:r w:rsidRPr="000B4E0A">
              <w:rPr>
                <w:rStyle w:val="Hyperlink"/>
                <w:color w:val="auto"/>
              </w:rPr>
              <w:t>Monitoring, Evaluation and Reporting</w:t>
            </w:r>
            <w:r w:rsidRPr="000B4E0A">
              <w:rPr>
                <w:webHidden/>
                <w:color w:val="auto"/>
              </w:rPr>
              <w:tab/>
            </w:r>
            <w:r w:rsidRPr="000B4E0A">
              <w:rPr>
                <w:webHidden/>
                <w:color w:val="auto"/>
              </w:rPr>
              <w:fldChar w:fldCharType="begin"/>
            </w:r>
            <w:r w:rsidRPr="000B4E0A">
              <w:rPr>
                <w:webHidden/>
                <w:color w:val="auto"/>
              </w:rPr>
              <w:instrText xml:space="preserve"> PAGEREF _Toc76630099 \h </w:instrText>
            </w:r>
            <w:r w:rsidRPr="000B4E0A">
              <w:rPr>
                <w:webHidden/>
                <w:color w:val="auto"/>
              </w:rPr>
            </w:r>
            <w:r w:rsidRPr="000B4E0A">
              <w:rPr>
                <w:webHidden/>
                <w:color w:val="auto"/>
              </w:rPr>
              <w:fldChar w:fldCharType="separate"/>
            </w:r>
            <w:r w:rsidRPr="000B4E0A">
              <w:rPr>
                <w:webHidden/>
                <w:color w:val="auto"/>
              </w:rPr>
              <w:t>27</w:t>
            </w:r>
            <w:r w:rsidRPr="000B4E0A">
              <w:rPr>
                <w:webHidden/>
                <w:color w:val="auto"/>
              </w:rPr>
              <w:fldChar w:fldCharType="end"/>
            </w:r>
          </w:hyperlink>
        </w:p>
        <w:p w14:paraId="707EE680" w14:textId="0A934429" w:rsidR="000B4E0A" w:rsidRPr="000B4E0A" w:rsidRDefault="000B4E0A">
          <w:pPr>
            <w:pStyle w:val="TOC3"/>
            <w:rPr>
              <w:rFonts w:eastAsiaTheme="minorEastAsia" w:cstheme="minorBidi"/>
              <w:color w:val="auto"/>
              <w:szCs w:val="22"/>
              <w:lang w:val="en-AU" w:eastAsia="en-AU" w:bidi="ar-SA"/>
            </w:rPr>
          </w:pPr>
          <w:hyperlink w:anchor="_Toc76630100" w:history="1">
            <w:r w:rsidRPr="000B4E0A">
              <w:rPr>
                <w:rStyle w:val="Hyperlink"/>
                <w:color w:val="auto"/>
              </w:rPr>
              <w:t>7.1</w:t>
            </w:r>
            <w:r w:rsidRPr="000B4E0A">
              <w:rPr>
                <w:rFonts w:eastAsiaTheme="minorEastAsia" w:cstheme="minorBidi"/>
                <w:color w:val="auto"/>
                <w:szCs w:val="22"/>
                <w:lang w:val="en-AU" w:eastAsia="en-AU" w:bidi="ar-SA"/>
              </w:rPr>
              <w:tab/>
            </w:r>
            <w:r w:rsidRPr="000B4E0A">
              <w:rPr>
                <w:rStyle w:val="Hyperlink"/>
                <w:color w:val="auto"/>
              </w:rPr>
              <w:t>Monitoring and Evaluation Framework</w:t>
            </w:r>
            <w:r w:rsidRPr="000B4E0A">
              <w:rPr>
                <w:webHidden/>
                <w:color w:val="auto"/>
              </w:rPr>
              <w:tab/>
            </w:r>
            <w:r w:rsidRPr="000B4E0A">
              <w:rPr>
                <w:webHidden/>
                <w:color w:val="auto"/>
              </w:rPr>
              <w:fldChar w:fldCharType="begin"/>
            </w:r>
            <w:r w:rsidRPr="000B4E0A">
              <w:rPr>
                <w:webHidden/>
                <w:color w:val="auto"/>
              </w:rPr>
              <w:instrText xml:space="preserve"> PAGEREF _Toc76630100 \h </w:instrText>
            </w:r>
            <w:r w:rsidRPr="000B4E0A">
              <w:rPr>
                <w:webHidden/>
                <w:color w:val="auto"/>
              </w:rPr>
            </w:r>
            <w:r w:rsidRPr="000B4E0A">
              <w:rPr>
                <w:webHidden/>
                <w:color w:val="auto"/>
              </w:rPr>
              <w:fldChar w:fldCharType="separate"/>
            </w:r>
            <w:r w:rsidRPr="000B4E0A">
              <w:rPr>
                <w:webHidden/>
                <w:color w:val="auto"/>
              </w:rPr>
              <w:t>28</w:t>
            </w:r>
            <w:r w:rsidRPr="000B4E0A">
              <w:rPr>
                <w:webHidden/>
                <w:color w:val="auto"/>
              </w:rPr>
              <w:fldChar w:fldCharType="end"/>
            </w:r>
          </w:hyperlink>
        </w:p>
        <w:p w14:paraId="4F5DBCA0" w14:textId="20DD96F2" w:rsidR="000B4E0A" w:rsidRPr="000B4E0A" w:rsidRDefault="000B4E0A">
          <w:pPr>
            <w:pStyle w:val="TOC1"/>
            <w:rPr>
              <w:rFonts w:eastAsiaTheme="minorEastAsia" w:cstheme="minorBidi"/>
              <w:b w:val="0"/>
              <w:color w:val="auto"/>
              <w:szCs w:val="22"/>
              <w:lang w:eastAsia="en-AU" w:bidi="ar-SA"/>
            </w:rPr>
          </w:pPr>
          <w:hyperlink w:anchor="_Toc76630101" w:history="1">
            <w:r w:rsidRPr="000B4E0A">
              <w:rPr>
                <w:rStyle w:val="Hyperlink"/>
                <w:color w:val="auto"/>
              </w:rPr>
              <w:t>8.</w:t>
            </w:r>
            <w:r w:rsidRPr="000B4E0A">
              <w:rPr>
                <w:rFonts w:eastAsiaTheme="minorEastAsia" w:cstheme="minorBidi"/>
                <w:b w:val="0"/>
                <w:color w:val="auto"/>
                <w:szCs w:val="22"/>
                <w:lang w:eastAsia="en-AU" w:bidi="ar-SA"/>
              </w:rPr>
              <w:tab/>
            </w:r>
            <w:r w:rsidRPr="000B4E0A">
              <w:rPr>
                <w:rStyle w:val="Hyperlink"/>
                <w:color w:val="auto"/>
              </w:rPr>
              <w:t>Governance</w:t>
            </w:r>
            <w:r w:rsidRPr="000B4E0A">
              <w:rPr>
                <w:webHidden/>
                <w:color w:val="auto"/>
              </w:rPr>
              <w:tab/>
            </w:r>
            <w:r w:rsidRPr="000B4E0A">
              <w:rPr>
                <w:webHidden/>
                <w:color w:val="auto"/>
              </w:rPr>
              <w:fldChar w:fldCharType="begin"/>
            </w:r>
            <w:r w:rsidRPr="000B4E0A">
              <w:rPr>
                <w:webHidden/>
                <w:color w:val="auto"/>
              </w:rPr>
              <w:instrText xml:space="preserve"> PAGEREF _Toc76630101 \h </w:instrText>
            </w:r>
            <w:r w:rsidRPr="000B4E0A">
              <w:rPr>
                <w:webHidden/>
                <w:color w:val="auto"/>
              </w:rPr>
            </w:r>
            <w:r w:rsidRPr="000B4E0A">
              <w:rPr>
                <w:webHidden/>
                <w:color w:val="auto"/>
              </w:rPr>
              <w:fldChar w:fldCharType="separate"/>
            </w:r>
            <w:r w:rsidRPr="000B4E0A">
              <w:rPr>
                <w:webHidden/>
                <w:color w:val="auto"/>
              </w:rPr>
              <w:t>29</w:t>
            </w:r>
            <w:r w:rsidRPr="000B4E0A">
              <w:rPr>
                <w:webHidden/>
                <w:color w:val="auto"/>
              </w:rPr>
              <w:fldChar w:fldCharType="end"/>
            </w:r>
          </w:hyperlink>
        </w:p>
        <w:p w14:paraId="5A1A3757" w14:textId="6C91A4B1" w:rsidR="000B4E0A" w:rsidRPr="000B4E0A" w:rsidRDefault="000B4E0A">
          <w:pPr>
            <w:pStyle w:val="TOC3"/>
            <w:rPr>
              <w:rFonts w:eastAsiaTheme="minorEastAsia" w:cstheme="minorBidi"/>
              <w:color w:val="auto"/>
              <w:szCs w:val="22"/>
              <w:lang w:val="en-AU" w:eastAsia="en-AU" w:bidi="ar-SA"/>
            </w:rPr>
          </w:pPr>
          <w:hyperlink w:anchor="_Toc76630102" w:history="1">
            <w:r w:rsidRPr="000B4E0A">
              <w:rPr>
                <w:rStyle w:val="Hyperlink"/>
                <w:color w:val="auto"/>
              </w:rPr>
              <w:t>8.1</w:t>
            </w:r>
            <w:r w:rsidRPr="000B4E0A">
              <w:rPr>
                <w:rFonts w:eastAsiaTheme="minorEastAsia" w:cstheme="minorBidi"/>
                <w:color w:val="auto"/>
                <w:szCs w:val="22"/>
                <w:lang w:val="en-AU" w:eastAsia="en-AU" w:bidi="ar-SA"/>
              </w:rPr>
              <w:tab/>
            </w:r>
            <w:r w:rsidRPr="000B4E0A">
              <w:rPr>
                <w:rStyle w:val="Hyperlink"/>
                <w:color w:val="auto"/>
              </w:rPr>
              <w:t>COVID-19 Impact</w:t>
            </w:r>
            <w:r w:rsidRPr="000B4E0A">
              <w:rPr>
                <w:webHidden/>
                <w:color w:val="auto"/>
              </w:rPr>
              <w:tab/>
            </w:r>
            <w:r w:rsidRPr="000B4E0A">
              <w:rPr>
                <w:webHidden/>
                <w:color w:val="auto"/>
              </w:rPr>
              <w:fldChar w:fldCharType="begin"/>
            </w:r>
            <w:r w:rsidRPr="000B4E0A">
              <w:rPr>
                <w:webHidden/>
                <w:color w:val="auto"/>
              </w:rPr>
              <w:instrText xml:space="preserve"> PAGEREF _Toc76630102 \h </w:instrText>
            </w:r>
            <w:r w:rsidRPr="000B4E0A">
              <w:rPr>
                <w:webHidden/>
                <w:color w:val="auto"/>
              </w:rPr>
            </w:r>
            <w:r w:rsidRPr="000B4E0A">
              <w:rPr>
                <w:webHidden/>
                <w:color w:val="auto"/>
              </w:rPr>
              <w:fldChar w:fldCharType="separate"/>
            </w:r>
            <w:r w:rsidRPr="000B4E0A">
              <w:rPr>
                <w:webHidden/>
                <w:color w:val="auto"/>
              </w:rPr>
              <w:t>30</w:t>
            </w:r>
            <w:r w:rsidRPr="000B4E0A">
              <w:rPr>
                <w:webHidden/>
                <w:color w:val="auto"/>
              </w:rPr>
              <w:fldChar w:fldCharType="end"/>
            </w:r>
          </w:hyperlink>
        </w:p>
        <w:p w14:paraId="3AC9F00E" w14:textId="6B99A19D" w:rsidR="000B4E0A" w:rsidRPr="000B4E0A" w:rsidRDefault="000B4E0A">
          <w:pPr>
            <w:pStyle w:val="TOC1"/>
            <w:rPr>
              <w:rFonts w:eastAsiaTheme="minorEastAsia" w:cstheme="minorBidi"/>
              <w:b w:val="0"/>
              <w:color w:val="auto"/>
              <w:szCs w:val="22"/>
              <w:lang w:eastAsia="en-AU" w:bidi="ar-SA"/>
            </w:rPr>
          </w:pPr>
          <w:hyperlink w:anchor="_Toc76630103" w:history="1">
            <w:r w:rsidRPr="000B4E0A">
              <w:rPr>
                <w:rStyle w:val="Hyperlink"/>
                <w:color w:val="auto"/>
              </w:rPr>
              <w:t>9.</w:t>
            </w:r>
            <w:r w:rsidRPr="000B4E0A">
              <w:rPr>
                <w:rFonts w:eastAsiaTheme="minorEastAsia" w:cstheme="minorBidi"/>
                <w:b w:val="0"/>
                <w:color w:val="auto"/>
                <w:szCs w:val="22"/>
                <w:lang w:eastAsia="en-AU" w:bidi="ar-SA"/>
              </w:rPr>
              <w:tab/>
            </w:r>
            <w:r w:rsidRPr="000B4E0A">
              <w:rPr>
                <w:rStyle w:val="Hyperlink"/>
                <w:color w:val="auto"/>
              </w:rPr>
              <w:t>Conclusion</w:t>
            </w:r>
            <w:r w:rsidRPr="000B4E0A">
              <w:rPr>
                <w:webHidden/>
                <w:color w:val="auto"/>
              </w:rPr>
              <w:tab/>
            </w:r>
            <w:r w:rsidRPr="000B4E0A">
              <w:rPr>
                <w:webHidden/>
                <w:color w:val="auto"/>
              </w:rPr>
              <w:fldChar w:fldCharType="begin"/>
            </w:r>
            <w:r w:rsidRPr="000B4E0A">
              <w:rPr>
                <w:webHidden/>
                <w:color w:val="auto"/>
              </w:rPr>
              <w:instrText xml:space="preserve"> PAGEREF _Toc76630103 \h </w:instrText>
            </w:r>
            <w:r w:rsidRPr="000B4E0A">
              <w:rPr>
                <w:webHidden/>
                <w:color w:val="auto"/>
              </w:rPr>
            </w:r>
            <w:r w:rsidRPr="000B4E0A">
              <w:rPr>
                <w:webHidden/>
                <w:color w:val="auto"/>
              </w:rPr>
              <w:fldChar w:fldCharType="separate"/>
            </w:r>
            <w:r w:rsidRPr="000B4E0A">
              <w:rPr>
                <w:webHidden/>
                <w:color w:val="auto"/>
              </w:rPr>
              <w:t>30</w:t>
            </w:r>
            <w:r w:rsidRPr="000B4E0A">
              <w:rPr>
                <w:webHidden/>
                <w:color w:val="auto"/>
              </w:rPr>
              <w:fldChar w:fldCharType="end"/>
            </w:r>
          </w:hyperlink>
        </w:p>
        <w:p w14:paraId="700B0EB1" w14:textId="4F9246A9" w:rsidR="000B4E0A" w:rsidRPr="000B4E0A" w:rsidRDefault="000B4E0A">
          <w:pPr>
            <w:pStyle w:val="TOC1"/>
            <w:rPr>
              <w:rFonts w:eastAsiaTheme="minorEastAsia" w:cstheme="minorBidi"/>
              <w:b w:val="0"/>
              <w:color w:val="auto"/>
              <w:szCs w:val="22"/>
              <w:lang w:eastAsia="en-AU" w:bidi="ar-SA"/>
            </w:rPr>
          </w:pPr>
          <w:hyperlink w:anchor="_Toc76630104" w:history="1">
            <w:r w:rsidRPr="000B4E0A">
              <w:rPr>
                <w:rStyle w:val="Hyperlink"/>
                <w:color w:val="auto"/>
              </w:rPr>
              <w:t>Annex 1: Terms of Reference</w:t>
            </w:r>
            <w:r w:rsidRPr="000B4E0A">
              <w:rPr>
                <w:webHidden/>
                <w:color w:val="auto"/>
              </w:rPr>
              <w:tab/>
            </w:r>
            <w:r w:rsidRPr="000B4E0A">
              <w:rPr>
                <w:webHidden/>
                <w:color w:val="auto"/>
              </w:rPr>
              <w:fldChar w:fldCharType="begin"/>
            </w:r>
            <w:r w:rsidRPr="000B4E0A">
              <w:rPr>
                <w:webHidden/>
                <w:color w:val="auto"/>
              </w:rPr>
              <w:instrText xml:space="preserve"> PAGEREF _Toc76630104 \h </w:instrText>
            </w:r>
            <w:r w:rsidRPr="000B4E0A">
              <w:rPr>
                <w:webHidden/>
                <w:color w:val="auto"/>
              </w:rPr>
            </w:r>
            <w:r w:rsidRPr="000B4E0A">
              <w:rPr>
                <w:webHidden/>
                <w:color w:val="auto"/>
              </w:rPr>
              <w:fldChar w:fldCharType="separate"/>
            </w:r>
            <w:r w:rsidRPr="000B4E0A">
              <w:rPr>
                <w:webHidden/>
                <w:color w:val="auto"/>
              </w:rPr>
              <w:t>32</w:t>
            </w:r>
            <w:r w:rsidRPr="000B4E0A">
              <w:rPr>
                <w:webHidden/>
                <w:color w:val="auto"/>
              </w:rPr>
              <w:fldChar w:fldCharType="end"/>
            </w:r>
          </w:hyperlink>
        </w:p>
        <w:p w14:paraId="733F92AF" w14:textId="16A42772" w:rsidR="000B4E0A" w:rsidRPr="000B4E0A" w:rsidRDefault="000B4E0A">
          <w:pPr>
            <w:pStyle w:val="TOC1"/>
            <w:rPr>
              <w:rFonts w:eastAsiaTheme="minorEastAsia" w:cstheme="minorBidi"/>
              <w:b w:val="0"/>
              <w:color w:val="auto"/>
              <w:szCs w:val="22"/>
              <w:lang w:eastAsia="en-AU" w:bidi="ar-SA"/>
            </w:rPr>
          </w:pPr>
          <w:hyperlink w:anchor="_Toc76630105" w:history="1">
            <w:r w:rsidRPr="000B4E0A">
              <w:rPr>
                <w:rStyle w:val="Hyperlink"/>
                <w:color w:val="auto"/>
              </w:rPr>
              <w:t>Annex 2: Key Informants</w:t>
            </w:r>
            <w:r w:rsidRPr="000B4E0A">
              <w:rPr>
                <w:webHidden/>
                <w:color w:val="auto"/>
              </w:rPr>
              <w:tab/>
            </w:r>
            <w:r w:rsidRPr="000B4E0A">
              <w:rPr>
                <w:webHidden/>
                <w:color w:val="auto"/>
              </w:rPr>
              <w:fldChar w:fldCharType="begin"/>
            </w:r>
            <w:r w:rsidRPr="000B4E0A">
              <w:rPr>
                <w:webHidden/>
                <w:color w:val="auto"/>
              </w:rPr>
              <w:instrText xml:space="preserve"> PAGEREF _Toc76630105 \h </w:instrText>
            </w:r>
            <w:r w:rsidRPr="000B4E0A">
              <w:rPr>
                <w:webHidden/>
                <w:color w:val="auto"/>
              </w:rPr>
            </w:r>
            <w:r w:rsidRPr="000B4E0A">
              <w:rPr>
                <w:webHidden/>
                <w:color w:val="auto"/>
              </w:rPr>
              <w:fldChar w:fldCharType="separate"/>
            </w:r>
            <w:r w:rsidRPr="000B4E0A">
              <w:rPr>
                <w:webHidden/>
                <w:color w:val="auto"/>
              </w:rPr>
              <w:t>40</w:t>
            </w:r>
            <w:r w:rsidRPr="000B4E0A">
              <w:rPr>
                <w:webHidden/>
                <w:color w:val="auto"/>
              </w:rPr>
              <w:fldChar w:fldCharType="end"/>
            </w:r>
          </w:hyperlink>
        </w:p>
        <w:p w14:paraId="68EB437A" w14:textId="2C8BF0D7" w:rsidR="000B4E0A" w:rsidRPr="000B4E0A" w:rsidRDefault="000B4E0A">
          <w:pPr>
            <w:pStyle w:val="TOC1"/>
            <w:rPr>
              <w:rFonts w:eastAsiaTheme="minorEastAsia" w:cstheme="minorBidi"/>
              <w:b w:val="0"/>
              <w:color w:val="auto"/>
              <w:szCs w:val="22"/>
              <w:lang w:eastAsia="en-AU" w:bidi="ar-SA"/>
            </w:rPr>
          </w:pPr>
          <w:hyperlink w:anchor="_Toc76630106" w:history="1">
            <w:r w:rsidRPr="000B4E0A">
              <w:rPr>
                <w:rStyle w:val="Hyperlink"/>
                <w:color w:val="auto"/>
              </w:rPr>
              <w:t>Annex 3: List of TA Program Implementing Partners, Sub Recipients and Regional Implementing Partners</w:t>
            </w:r>
            <w:r w:rsidRPr="000B4E0A">
              <w:rPr>
                <w:webHidden/>
                <w:color w:val="auto"/>
              </w:rPr>
              <w:tab/>
            </w:r>
            <w:r w:rsidRPr="000B4E0A">
              <w:rPr>
                <w:webHidden/>
                <w:color w:val="auto"/>
              </w:rPr>
              <w:fldChar w:fldCharType="begin"/>
            </w:r>
            <w:r w:rsidRPr="000B4E0A">
              <w:rPr>
                <w:webHidden/>
                <w:color w:val="auto"/>
              </w:rPr>
              <w:instrText xml:space="preserve"> PAGEREF _Toc76630106 \h </w:instrText>
            </w:r>
            <w:r w:rsidRPr="000B4E0A">
              <w:rPr>
                <w:webHidden/>
                <w:color w:val="auto"/>
              </w:rPr>
            </w:r>
            <w:r w:rsidRPr="000B4E0A">
              <w:rPr>
                <w:webHidden/>
                <w:color w:val="auto"/>
              </w:rPr>
              <w:fldChar w:fldCharType="separate"/>
            </w:r>
            <w:r w:rsidRPr="000B4E0A">
              <w:rPr>
                <w:webHidden/>
                <w:color w:val="auto"/>
              </w:rPr>
              <w:t>47</w:t>
            </w:r>
            <w:r w:rsidRPr="000B4E0A">
              <w:rPr>
                <w:webHidden/>
                <w:color w:val="auto"/>
              </w:rPr>
              <w:fldChar w:fldCharType="end"/>
            </w:r>
          </w:hyperlink>
        </w:p>
        <w:p w14:paraId="24887B8F" w14:textId="75CF3273" w:rsidR="000B4E0A" w:rsidRPr="000B4E0A" w:rsidRDefault="000B4E0A">
          <w:pPr>
            <w:pStyle w:val="TOC1"/>
            <w:rPr>
              <w:rFonts w:eastAsiaTheme="minorEastAsia" w:cstheme="minorBidi"/>
              <w:b w:val="0"/>
              <w:color w:val="auto"/>
              <w:szCs w:val="22"/>
              <w:lang w:eastAsia="en-AU" w:bidi="ar-SA"/>
            </w:rPr>
          </w:pPr>
          <w:hyperlink w:anchor="_Toc76630107" w:history="1">
            <w:r w:rsidRPr="000B4E0A">
              <w:rPr>
                <w:rStyle w:val="Hyperlink"/>
                <w:color w:val="auto"/>
              </w:rPr>
              <w:t>Annex 4: Synergies with Related Program and Projects</w:t>
            </w:r>
            <w:r w:rsidRPr="000B4E0A">
              <w:rPr>
                <w:webHidden/>
                <w:color w:val="auto"/>
              </w:rPr>
              <w:tab/>
            </w:r>
            <w:r w:rsidRPr="000B4E0A">
              <w:rPr>
                <w:webHidden/>
                <w:color w:val="auto"/>
              </w:rPr>
              <w:fldChar w:fldCharType="begin"/>
            </w:r>
            <w:r w:rsidRPr="000B4E0A">
              <w:rPr>
                <w:webHidden/>
                <w:color w:val="auto"/>
              </w:rPr>
              <w:instrText xml:space="preserve"> PAGEREF _Toc76630107 \h </w:instrText>
            </w:r>
            <w:r w:rsidRPr="000B4E0A">
              <w:rPr>
                <w:webHidden/>
                <w:color w:val="auto"/>
              </w:rPr>
            </w:r>
            <w:r w:rsidRPr="000B4E0A">
              <w:rPr>
                <w:webHidden/>
                <w:color w:val="auto"/>
              </w:rPr>
              <w:fldChar w:fldCharType="separate"/>
            </w:r>
            <w:r w:rsidRPr="000B4E0A">
              <w:rPr>
                <w:webHidden/>
                <w:color w:val="auto"/>
              </w:rPr>
              <w:t>48</w:t>
            </w:r>
            <w:r w:rsidRPr="000B4E0A">
              <w:rPr>
                <w:webHidden/>
                <w:color w:val="auto"/>
              </w:rPr>
              <w:fldChar w:fldCharType="end"/>
            </w:r>
          </w:hyperlink>
        </w:p>
        <w:p w14:paraId="22F8E76E" w14:textId="67CF4685" w:rsidR="000B4E0A" w:rsidRPr="000B4E0A" w:rsidRDefault="000B4E0A">
          <w:pPr>
            <w:pStyle w:val="TOC1"/>
            <w:rPr>
              <w:rFonts w:eastAsiaTheme="minorEastAsia" w:cstheme="minorBidi"/>
              <w:b w:val="0"/>
              <w:color w:val="auto"/>
              <w:szCs w:val="22"/>
              <w:lang w:eastAsia="en-AU" w:bidi="ar-SA"/>
            </w:rPr>
          </w:pPr>
          <w:hyperlink w:anchor="_Toc76630108" w:history="1">
            <w:r w:rsidRPr="000B4E0A">
              <w:rPr>
                <w:rStyle w:val="Hyperlink"/>
                <w:color w:val="auto"/>
              </w:rPr>
              <w:t>Annex 5: Synergies across Related Programs with Shared Implementing Partners</w:t>
            </w:r>
            <w:r w:rsidRPr="000B4E0A">
              <w:rPr>
                <w:webHidden/>
                <w:color w:val="auto"/>
              </w:rPr>
              <w:tab/>
            </w:r>
            <w:r w:rsidRPr="000B4E0A">
              <w:rPr>
                <w:webHidden/>
                <w:color w:val="auto"/>
              </w:rPr>
              <w:fldChar w:fldCharType="begin"/>
            </w:r>
            <w:r w:rsidRPr="000B4E0A">
              <w:rPr>
                <w:webHidden/>
                <w:color w:val="auto"/>
              </w:rPr>
              <w:instrText xml:space="preserve"> PAGEREF _Toc76630108 \h </w:instrText>
            </w:r>
            <w:r w:rsidRPr="000B4E0A">
              <w:rPr>
                <w:webHidden/>
                <w:color w:val="auto"/>
              </w:rPr>
            </w:r>
            <w:r w:rsidRPr="000B4E0A">
              <w:rPr>
                <w:webHidden/>
                <w:color w:val="auto"/>
              </w:rPr>
              <w:fldChar w:fldCharType="separate"/>
            </w:r>
            <w:r w:rsidRPr="000B4E0A">
              <w:rPr>
                <w:webHidden/>
                <w:color w:val="auto"/>
              </w:rPr>
              <w:t>51</w:t>
            </w:r>
            <w:r w:rsidRPr="000B4E0A">
              <w:rPr>
                <w:webHidden/>
                <w:color w:val="auto"/>
              </w:rPr>
              <w:fldChar w:fldCharType="end"/>
            </w:r>
          </w:hyperlink>
        </w:p>
        <w:p w14:paraId="41D32F91" w14:textId="338EC2FC" w:rsidR="000B4E0A" w:rsidRPr="000B4E0A" w:rsidRDefault="000B4E0A">
          <w:pPr>
            <w:pStyle w:val="TOC1"/>
            <w:rPr>
              <w:rFonts w:eastAsiaTheme="minorEastAsia" w:cstheme="minorBidi"/>
              <w:b w:val="0"/>
              <w:color w:val="auto"/>
              <w:szCs w:val="22"/>
              <w:lang w:eastAsia="en-AU" w:bidi="ar-SA"/>
            </w:rPr>
          </w:pPr>
          <w:hyperlink w:anchor="_Toc76630109" w:history="1">
            <w:r w:rsidRPr="000B4E0A">
              <w:rPr>
                <w:rStyle w:val="Hyperlink"/>
                <w:color w:val="auto"/>
              </w:rPr>
              <w:t>Annex 6: Consolidated HFRSA Results</w:t>
            </w:r>
            <w:r w:rsidRPr="000B4E0A">
              <w:rPr>
                <w:webHidden/>
                <w:color w:val="auto"/>
              </w:rPr>
              <w:tab/>
            </w:r>
            <w:r w:rsidRPr="000B4E0A">
              <w:rPr>
                <w:webHidden/>
                <w:color w:val="auto"/>
              </w:rPr>
              <w:fldChar w:fldCharType="begin"/>
            </w:r>
            <w:r w:rsidRPr="000B4E0A">
              <w:rPr>
                <w:webHidden/>
                <w:color w:val="auto"/>
              </w:rPr>
              <w:instrText xml:space="preserve"> PAGEREF _Toc76630109 \h </w:instrText>
            </w:r>
            <w:r w:rsidRPr="000B4E0A">
              <w:rPr>
                <w:webHidden/>
                <w:color w:val="auto"/>
              </w:rPr>
            </w:r>
            <w:r w:rsidRPr="000B4E0A">
              <w:rPr>
                <w:webHidden/>
                <w:color w:val="auto"/>
              </w:rPr>
              <w:fldChar w:fldCharType="separate"/>
            </w:r>
            <w:r w:rsidRPr="000B4E0A">
              <w:rPr>
                <w:webHidden/>
                <w:color w:val="auto"/>
              </w:rPr>
              <w:t>52</w:t>
            </w:r>
            <w:r w:rsidRPr="000B4E0A">
              <w:rPr>
                <w:webHidden/>
                <w:color w:val="auto"/>
              </w:rPr>
              <w:fldChar w:fldCharType="end"/>
            </w:r>
          </w:hyperlink>
        </w:p>
        <w:p w14:paraId="5DD4A7E3" w14:textId="38F72E92" w:rsidR="000B4E0A" w:rsidRPr="000B4E0A" w:rsidRDefault="000B4E0A">
          <w:pPr>
            <w:pStyle w:val="TOC1"/>
            <w:rPr>
              <w:rFonts w:eastAsiaTheme="minorEastAsia" w:cstheme="minorBidi"/>
              <w:b w:val="0"/>
              <w:color w:val="auto"/>
              <w:szCs w:val="22"/>
              <w:lang w:eastAsia="en-AU" w:bidi="ar-SA"/>
            </w:rPr>
          </w:pPr>
          <w:hyperlink w:anchor="_Toc76630110" w:history="1">
            <w:r w:rsidRPr="000B4E0A">
              <w:rPr>
                <w:rStyle w:val="Hyperlink"/>
                <w:color w:val="auto"/>
              </w:rPr>
              <w:t>Annex 7:  Cumulative Data Monitoring and Evaluation Framework</w:t>
            </w:r>
            <w:r w:rsidRPr="000B4E0A">
              <w:rPr>
                <w:webHidden/>
                <w:color w:val="auto"/>
              </w:rPr>
              <w:tab/>
            </w:r>
            <w:r w:rsidRPr="000B4E0A">
              <w:rPr>
                <w:webHidden/>
                <w:color w:val="auto"/>
              </w:rPr>
              <w:fldChar w:fldCharType="begin"/>
            </w:r>
            <w:r w:rsidRPr="000B4E0A">
              <w:rPr>
                <w:webHidden/>
                <w:color w:val="auto"/>
              </w:rPr>
              <w:instrText xml:space="preserve"> PAGEREF _Toc76630110 \h </w:instrText>
            </w:r>
            <w:r w:rsidRPr="000B4E0A">
              <w:rPr>
                <w:webHidden/>
                <w:color w:val="auto"/>
              </w:rPr>
            </w:r>
            <w:r w:rsidRPr="000B4E0A">
              <w:rPr>
                <w:webHidden/>
                <w:color w:val="auto"/>
              </w:rPr>
              <w:fldChar w:fldCharType="separate"/>
            </w:r>
            <w:r w:rsidRPr="000B4E0A">
              <w:rPr>
                <w:webHidden/>
                <w:color w:val="auto"/>
              </w:rPr>
              <w:t>54</w:t>
            </w:r>
            <w:r w:rsidRPr="000B4E0A">
              <w:rPr>
                <w:webHidden/>
                <w:color w:val="auto"/>
              </w:rPr>
              <w:fldChar w:fldCharType="end"/>
            </w:r>
          </w:hyperlink>
        </w:p>
        <w:p w14:paraId="4239A3FB" w14:textId="3F9C9B18" w:rsidR="000B4E0A" w:rsidRPr="000B4E0A" w:rsidRDefault="000B4E0A">
          <w:pPr>
            <w:pStyle w:val="TOC1"/>
            <w:rPr>
              <w:rFonts w:eastAsiaTheme="minorEastAsia" w:cstheme="minorBidi"/>
              <w:b w:val="0"/>
              <w:color w:val="auto"/>
              <w:szCs w:val="22"/>
              <w:lang w:eastAsia="en-AU" w:bidi="ar-SA"/>
            </w:rPr>
          </w:pPr>
          <w:hyperlink w:anchor="_Toc76630111" w:history="1">
            <w:r w:rsidRPr="000B4E0A">
              <w:rPr>
                <w:rStyle w:val="Hyperlink"/>
                <w:color w:val="auto"/>
              </w:rPr>
              <w:t>Indicator Progress Results</w:t>
            </w:r>
            <w:r w:rsidRPr="000B4E0A">
              <w:rPr>
                <w:webHidden/>
                <w:color w:val="auto"/>
              </w:rPr>
              <w:tab/>
            </w:r>
            <w:r w:rsidRPr="000B4E0A">
              <w:rPr>
                <w:webHidden/>
                <w:color w:val="auto"/>
              </w:rPr>
              <w:fldChar w:fldCharType="begin"/>
            </w:r>
            <w:r w:rsidRPr="000B4E0A">
              <w:rPr>
                <w:webHidden/>
                <w:color w:val="auto"/>
              </w:rPr>
              <w:instrText xml:space="preserve"> PAGEREF _Toc76630111 \h </w:instrText>
            </w:r>
            <w:r w:rsidRPr="000B4E0A">
              <w:rPr>
                <w:webHidden/>
                <w:color w:val="auto"/>
              </w:rPr>
            </w:r>
            <w:r w:rsidRPr="000B4E0A">
              <w:rPr>
                <w:webHidden/>
                <w:color w:val="auto"/>
              </w:rPr>
              <w:fldChar w:fldCharType="separate"/>
            </w:r>
            <w:r w:rsidRPr="000B4E0A">
              <w:rPr>
                <w:webHidden/>
                <w:color w:val="auto"/>
              </w:rPr>
              <w:t>77</w:t>
            </w:r>
            <w:r w:rsidRPr="000B4E0A">
              <w:rPr>
                <w:webHidden/>
                <w:color w:val="auto"/>
              </w:rPr>
              <w:fldChar w:fldCharType="end"/>
            </w:r>
          </w:hyperlink>
        </w:p>
        <w:p w14:paraId="385498F8" w14:textId="56263625" w:rsidR="000B4E0A" w:rsidRPr="000B4E0A" w:rsidRDefault="000B4E0A">
          <w:pPr>
            <w:pStyle w:val="TOC1"/>
            <w:rPr>
              <w:rFonts w:eastAsiaTheme="minorEastAsia" w:cstheme="minorBidi"/>
              <w:b w:val="0"/>
              <w:color w:val="auto"/>
              <w:szCs w:val="22"/>
              <w:lang w:eastAsia="en-AU" w:bidi="ar-SA"/>
            </w:rPr>
          </w:pPr>
          <w:hyperlink w:anchor="_Toc76630112" w:history="1">
            <w:r w:rsidRPr="000B4E0A">
              <w:rPr>
                <w:rStyle w:val="Hyperlink"/>
                <w:color w:val="auto"/>
              </w:rPr>
              <w:t>Annex 8: Allocations, Expenditure and Utilisation Rates 2018-2020</w:t>
            </w:r>
            <w:r w:rsidRPr="000B4E0A">
              <w:rPr>
                <w:webHidden/>
                <w:color w:val="auto"/>
              </w:rPr>
              <w:tab/>
            </w:r>
            <w:r w:rsidRPr="000B4E0A">
              <w:rPr>
                <w:webHidden/>
                <w:color w:val="auto"/>
              </w:rPr>
              <w:fldChar w:fldCharType="begin"/>
            </w:r>
            <w:r w:rsidRPr="000B4E0A">
              <w:rPr>
                <w:webHidden/>
                <w:color w:val="auto"/>
              </w:rPr>
              <w:instrText xml:space="preserve"> PAGEREF _Toc76630112 \h </w:instrText>
            </w:r>
            <w:r w:rsidRPr="000B4E0A">
              <w:rPr>
                <w:webHidden/>
                <w:color w:val="auto"/>
              </w:rPr>
            </w:r>
            <w:r w:rsidRPr="000B4E0A">
              <w:rPr>
                <w:webHidden/>
                <w:color w:val="auto"/>
              </w:rPr>
              <w:fldChar w:fldCharType="separate"/>
            </w:r>
            <w:r w:rsidRPr="000B4E0A">
              <w:rPr>
                <w:webHidden/>
                <w:color w:val="auto"/>
              </w:rPr>
              <w:t>79</w:t>
            </w:r>
            <w:r w:rsidRPr="000B4E0A">
              <w:rPr>
                <w:webHidden/>
                <w:color w:val="auto"/>
              </w:rPr>
              <w:fldChar w:fldCharType="end"/>
            </w:r>
          </w:hyperlink>
        </w:p>
        <w:p w14:paraId="207D3232" w14:textId="6EC886CC" w:rsidR="000B4E0A" w:rsidRPr="000B4E0A" w:rsidRDefault="000B4E0A">
          <w:pPr>
            <w:pStyle w:val="TOC1"/>
            <w:rPr>
              <w:rFonts w:eastAsiaTheme="minorEastAsia" w:cstheme="minorBidi"/>
              <w:b w:val="0"/>
              <w:color w:val="auto"/>
              <w:szCs w:val="22"/>
              <w:lang w:eastAsia="en-AU" w:bidi="ar-SA"/>
            </w:rPr>
          </w:pPr>
          <w:hyperlink w:anchor="_Toc76630113" w:history="1">
            <w:r w:rsidRPr="000B4E0A">
              <w:rPr>
                <w:rStyle w:val="Hyperlink"/>
                <w:color w:val="auto"/>
              </w:rPr>
              <w:t>Annex 9: Proposed Priority Interventions</w:t>
            </w:r>
            <w:r w:rsidRPr="000B4E0A">
              <w:rPr>
                <w:webHidden/>
                <w:color w:val="auto"/>
              </w:rPr>
              <w:tab/>
            </w:r>
            <w:r w:rsidRPr="000B4E0A">
              <w:rPr>
                <w:webHidden/>
                <w:color w:val="auto"/>
              </w:rPr>
              <w:fldChar w:fldCharType="begin"/>
            </w:r>
            <w:r w:rsidRPr="000B4E0A">
              <w:rPr>
                <w:webHidden/>
                <w:color w:val="auto"/>
              </w:rPr>
              <w:instrText xml:space="preserve"> PAGEREF _Toc76630113 \h </w:instrText>
            </w:r>
            <w:r w:rsidRPr="000B4E0A">
              <w:rPr>
                <w:webHidden/>
                <w:color w:val="auto"/>
              </w:rPr>
            </w:r>
            <w:r w:rsidRPr="000B4E0A">
              <w:rPr>
                <w:webHidden/>
                <w:color w:val="auto"/>
              </w:rPr>
              <w:fldChar w:fldCharType="separate"/>
            </w:r>
            <w:r w:rsidRPr="000B4E0A">
              <w:rPr>
                <w:webHidden/>
                <w:color w:val="auto"/>
              </w:rPr>
              <w:t>83</w:t>
            </w:r>
            <w:r w:rsidRPr="000B4E0A">
              <w:rPr>
                <w:webHidden/>
                <w:color w:val="auto"/>
              </w:rPr>
              <w:fldChar w:fldCharType="end"/>
            </w:r>
          </w:hyperlink>
        </w:p>
        <w:p w14:paraId="7DFB624E" w14:textId="1B4EEF0F" w:rsidR="000B4E0A" w:rsidRPr="000B4E0A" w:rsidRDefault="000B4E0A">
          <w:pPr>
            <w:pStyle w:val="TOC1"/>
            <w:rPr>
              <w:rFonts w:eastAsiaTheme="minorEastAsia" w:cstheme="minorBidi"/>
              <w:b w:val="0"/>
              <w:color w:val="auto"/>
              <w:szCs w:val="22"/>
              <w:lang w:eastAsia="en-AU" w:bidi="ar-SA"/>
            </w:rPr>
          </w:pPr>
          <w:hyperlink w:anchor="_Toc76630114" w:history="1">
            <w:r w:rsidRPr="000B4E0A">
              <w:rPr>
                <w:rStyle w:val="Hyperlink"/>
                <w:color w:val="auto"/>
              </w:rPr>
              <w:t>Annex 10: Situation Analysis of MOH and IPPF MAs in the Six Countries</w:t>
            </w:r>
            <w:r w:rsidRPr="000B4E0A">
              <w:rPr>
                <w:webHidden/>
                <w:color w:val="auto"/>
              </w:rPr>
              <w:tab/>
            </w:r>
            <w:r w:rsidRPr="000B4E0A">
              <w:rPr>
                <w:webHidden/>
                <w:color w:val="auto"/>
              </w:rPr>
              <w:fldChar w:fldCharType="begin"/>
            </w:r>
            <w:r w:rsidRPr="000B4E0A">
              <w:rPr>
                <w:webHidden/>
                <w:color w:val="auto"/>
              </w:rPr>
              <w:instrText xml:space="preserve"> PAGEREF _Toc76630114 \h </w:instrText>
            </w:r>
            <w:r w:rsidRPr="000B4E0A">
              <w:rPr>
                <w:webHidden/>
                <w:color w:val="auto"/>
              </w:rPr>
            </w:r>
            <w:r w:rsidRPr="000B4E0A">
              <w:rPr>
                <w:webHidden/>
                <w:color w:val="auto"/>
              </w:rPr>
              <w:fldChar w:fldCharType="separate"/>
            </w:r>
            <w:r w:rsidRPr="000B4E0A">
              <w:rPr>
                <w:webHidden/>
                <w:color w:val="auto"/>
              </w:rPr>
              <w:t>89</w:t>
            </w:r>
            <w:r w:rsidRPr="000B4E0A">
              <w:rPr>
                <w:webHidden/>
                <w:color w:val="auto"/>
              </w:rPr>
              <w:fldChar w:fldCharType="end"/>
            </w:r>
          </w:hyperlink>
        </w:p>
        <w:p w14:paraId="2FF748BE" w14:textId="0ACFC24F" w:rsidR="000B4E0A" w:rsidRPr="000B4E0A" w:rsidRDefault="000B4E0A">
          <w:pPr>
            <w:pStyle w:val="TOC1"/>
            <w:rPr>
              <w:rFonts w:eastAsiaTheme="minorEastAsia" w:cstheme="minorBidi"/>
              <w:b w:val="0"/>
              <w:color w:val="auto"/>
              <w:szCs w:val="22"/>
              <w:lang w:eastAsia="en-AU" w:bidi="ar-SA"/>
            </w:rPr>
          </w:pPr>
          <w:hyperlink w:anchor="_Toc76630115" w:history="1">
            <w:r w:rsidRPr="000B4E0A">
              <w:rPr>
                <w:rStyle w:val="Hyperlink"/>
                <w:color w:val="auto"/>
              </w:rPr>
              <w:t>Annex 11: Acronyms</w:t>
            </w:r>
            <w:r w:rsidRPr="000B4E0A">
              <w:rPr>
                <w:webHidden/>
                <w:color w:val="auto"/>
              </w:rPr>
              <w:tab/>
            </w:r>
            <w:r w:rsidRPr="000B4E0A">
              <w:rPr>
                <w:webHidden/>
                <w:color w:val="auto"/>
              </w:rPr>
              <w:fldChar w:fldCharType="begin"/>
            </w:r>
            <w:r w:rsidRPr="000B4E0A">
              <w:rPr>
                <w:webHidden/>
                <w:color w:val="auto"/>
              </w:rPr>
              <w:instrText xml:space="preserve"> PAGEREF _Toc76630115 \h </w:instrText>
            </w:r>
            <w:r w:rsidRPr="000B4E0A">
              <w:rPr>
                <w:webHidden/>
                <w:color w:val="auto"/>
              </w:rPr>
            </w:r>
            <w:r w:rsidRPr="000B4E0A">
              <w:rPr>
                <w:webHidden/>
                <w:color w:val="auto"/>
              </w:rPr>
              <w:fldChar w:fldCharType="separate"/>
            </w:r>
            <w:r w:rsidRPr="000B4E0A">
              <w:rPr>
                <w:webHidden/>
                <w:color w:val="auto"/>
              </w:rPr>
              <w:t>99</w:t>
            </w:r>
            <w:r w:rsidRPr="000B4E0A">
              <w:rPr>
                <w:webHidden/>
                <w:color w:val="auto"/>
              </w:rPr>
              <w:fldChar w:fldCharType="end"/>
            </w:r>
          </w:hyperlink>
        </w:p>
        <w:p w14:paraId="6C9341D2" w14:textId="3CAE64FC" w:rsidR="0028330C" w:rsidRPr="000B4E0A" w:rsidRDefault="00285840">
          <w:r w:rsidRPr="000B4E0A">
            <w:fldChar w:fldCharType="end"/>
          </w:r>
        </w:p>
      </w:sdtContent>
    </w:sdt>
    <w:p w14:paraId="68510FCB" w14:textId="77777777" w:rsidR="007669E5" w:rsidRDefault="007669E5" w:rsidP="007D1D0D">
      <w:pPr>
        <w:pStyle w:val="Non-numberedLevel1heading"/>
      </w:pPr>
      <w:r>
        <w:br w:type="page"/>
      </w:r>
    </w:p>
    <w:bookmarkEnd w:id="12"/>
    <w:p w14:paraId="08D7DE5A" w14:textId="77777777" w:rsidR="000239C8" w:rsidRPr="000C4FFD" w:rsidRDefault="000239C8" w:rsidP="007D1D0D">
      <w:pPr>
        <w:rPr>
          <w:rFonts w:eastAsia="HGｺﾞｼｯｸM"/>
        </w:rPr>
        <w:sectPr w:rsidR="000239C8" w:rsidRPr="000C4FFD" w:rsidSect="004D3DB5">
          <w:headerReference w:type="even" r:id="rId14"/>
          <w:headerReference w:type="default" r:id="rId15"/>
          <w:footerReference w:type="default" r:id="rId16"/>
          <w:headerReference w:type="first" r:id="rId17"/>
          <w:footerReference w:type="first" r:id="rId18"/>
          <w:pgSz w:w="11906" w:h="16838" w:code="9"/>
          <w:pgMar w:top="1440" w:right="1440" w:bottom="1440" w:left="1440" w:header="720" w:footer="720" w:gutter="0"/>
          <w:pgNumType w:fmt="lowerRoman" w:start="1"/>
          <w:cols w:space="720"/>
          <w:docGrid w:linePitch="360"/>
        </w:sectPr>
      </w:pPr>
    </w:p>
    <w:bookmarkEnd w:id="1"/>
    <w:bookmarkEnd w:id="0"/>
    <w:p w14:paraId="5C79E2FB" w14:textId="77777777" w:rsidR="006676AE" w:rsidRPr="00FF1886" w:rsidRDefault="00CA7D57" w:rsidP="00FF1886">
      <w:pPr>
        <w:jc w:val="center"/>
        <w:rPr>
          <w:b/>
          <w:bCs/>
          <w:sz w:val="28"/>
          <w:szCs w:val="28"/>
        </w:rPr>
      </w:pPr>
      <w:r w:rsidRPr="00FF1886">
        <w:rPr>
          <w:b/>
          <w:bCs/>
          <w:sz w:val="28"/>
          <w:szCs w:val="28"/>
        </w:rPr>
        <w:lastRenderedPageBreak/>
        <w:t>Transformative Agenda: Mid Term Review Report</w:t>
      </w:r>
    </w:p>
    <w:p w14:paraId="4B05B18B" w14:textId="77777777" w:rsidR="00C95311" w:rsidRPr="00730D45" w:rsidRDefault="00CA7D57" w:rsidP="003538C5">
      <w:pPr>
        <w:pStyle w:val="NumberedLevel1heading"/>
        <w:numPr>
          <w:ilvl w:val="0"/>
          <w:numId w:val="27"/>
        </w:numPr>
        <w:jc w:val="left"/>
      </w:pPr>
      <w:bookmarkStart w:id="13" w:name="_Toc76630082"/>
      <w:r>
        <w:t>Introduction</w:t>
      </w:r>
      <w:bookmarkEnd w:id="13"/>
    </w:p>
    <w:p w14:paraId="3478ECBA" w14:textId="77777777" w:rsidR="00CA7D57" w:rsidRDefault="00CA7D57" w:rsidP="000375C9">
      <w:pPr>
        <w:pStyle w:val="sourceoffigure"/>
        <w:rPr>
          <w:color w:val="auto"/>
        </w:rPr>
      </w:pPr>
      <w:bookmarkStart w:id="14" w:name="_Toc484781723"/>
      <w:bookmarkStart w:id="15" w:name="_Toc485631014"/>
    </w:p>
    <w:p w14:paraId="1E1E5D23" w14:textId="2F6094E4" w:rsidR="00527F27" w:rsidRDefault="000375C9" w:rsidP="00CA7D57">
      <w:pPr>
        <w:pStyle w:val="sourceoffigure"/>
      </w:pPr>
      <w:r w:rsidRPr="00241DED">
        <w:rPr>
          <w:noProof/>
          <w:color w:val="000000"/>
          <w:sz w:val="22"/>
          <w:lang w:eastAsia="en-AU" w:bidi="ar-SA"/>
        </w:rPr>
        <w:drawing>
          <wp:inline distT="0" distB="0" distL="0" distR="0" wp14:anchorId="3CEA2C2C" wp14:editId="3B56FFA1">
            <wp:extent cx="5732145" cy="3885565"/>
            <wp:effectExtent l="0" t="0" r="1905" b="635"/>
            <wp:docPr id="1" name="Picture 1" descr="This is an image  of the Pacific region with markers indicating which countries in the Pacific are the focus of the UNFPA Transformative Agenda. The countries marked on the map are Fiji, Kiribati, Samoa, Solomon Islands, Tonga and Vanu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the Pacific region with markers indicating which countries in the Pacific are the focus of the UNFPA Transformative Agenda. The countries marked on the map are Fiji, Kiribati, Samoa, Solomon Islands, Tonga and Vanuat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2145" cy="3885565"/>
                    </a:xfrm>
                    <a:prstGeom prst="rect">
                      <a:avLst/>
                    </a:prstGeom>
                    <a:noFill/>
                    <a:ln>
                      <a:noFill/>
                    </a:ln>
                  </pic:spPr>
                </pic:pic>
              </a:graphicData>
            </a:graphic>
          </wp:inline>
        </w:drawing>
      </w:r>
      <w:r w:rsidRPr="000375C9">
        <w:t xml:space="preserve"> </w:t>
      </w:r>
    </w:p>
    <w:p w14:paraId="3E652976" w14:textId="5E676245" w:rsidR="009448C8" w:rsidRPr="009448C8" w:rsidRDefault="009448C8" w:rsidP="00CA7D57">
      <w:pPr>
        <w:pStyle w:val="sourceoffigure"/>
        <w:rPr>
          <w:color w:val="auto"/>
        </w:rPr>
      </w:pPr>
      <w:r>
        <w:rPr>
          <w:color w:val="auto"/>
        </w:rPr>
        <w:t>Figure 1</w:t>
      </w:r>
    </w:p>
    <w:p w14:paraId="0DE7B8B9" w14:textId="0165EDEC" w:rsidR="00CA7D57" w:rsidRPr="00CA7D57" w:rsidRDefault="000375C9" w:rsidP="00CA7D57">
      <w:pPr>
        <w:pStyle w:val="sourceoffigure"/>
      </w:pPr>
      <w:r w:rsidRPr="009448C8">
        <w:rPr>
          <w:color w:val="auto"/>
        </w:rPr>
        <w:t>Source: UNFPA TA Annual Report, 2018</w:t>
      </w:r>
      <w:bookmarkEnd w:id="14"/>
      <w:bookmarkEnd w:id="15"/>
    </w:p>
    <w:p w14:paraId="0DA63CBE" w14:textId="77777777" w:rsidR="00CA7D57" w:rsidRDefault="00CA7D57" w:rsidP="00550A9D">
      <w:pPr>
        <w:pStyle w:val="NoSpacing"/>
        <w:rPr>
          <w:shd w:val="clear" w:color="auto" w:fill="FFFFFF"/>
        </w:rPr>
      </w:pPr>
      <w:r>
        <w:t xml:space="preserve">The Australian Department of Foreign Affairs and Trade (DFAT) has invested AUD 30 million over four years </w:t>
      </w:r>
      <w:r>
        <w:rPr>
          <w:shd w:val="clear" w:color="auto" w:fill="FFFFFF"/>
        </w:rPr>
        <w:t xml:space="preserve">to expand access to quality </w:t>
      </w:r>
      <w:r w:rsidR="0012338B">
        <w:rPr>
          <w:shd w:val="clear" w:color="auto" w:fill="FFFFFF"/>
        </w:rPr>
        <w:t>s</w:t>
      </w:r>
      <w:r w:rsidR="003C26F8">
        <w:rPr>
          <w:shd w:val="clear" w:color="auto" w:fill="FFFFFF"/>
        </w:rPr>
        <w:t xml:space="preserve">exual and reproductive </w:t>
      </w:r>
      <w:r w:rsidR="0012338B">
        <w:rPr>
          <w:shd w:val="clear" w:color="auto" w:fill="FFFFFF"/>
        </w:rPr>
        <w:t>h</w:t>
      </w:r>
      <w:r w:rsidR="003C26F8">
        <w:rPr>
          <w:shd w:val="clear" w:color="auto" w:fill="FFFFFF"/>
        </w:rPr>
        <w:t>ealth (</w:t>
      </w:r>
      <w:r>
        <w:rPr>
          <w:shd w:val="clear" w:color="auto" w:fill="FFFFFF"/>
        </w:rPr>
        <w:t>SRH</w:t>
      </w:r>
      <w:r w:rsidR="003C26F8">
        <w:rPr>
          <w:shd w:val="clear" w:color="auto" w:fill="FFFFFF"/>
        </w:rPr>
        <w:t>)</w:t>
      </w:r>
      <w:r>
        <w:rPr>
          <w:rStyle w:val="FootnoteReference"/>
          <w:rFonts w:cstheme="minorHAnsi"/>
          <w:color w:val="313131"/>
          <w:shd w:val="clear" w:color="auto" w:fill="FFFFFF"/>
        </w:rPr>
        <w:footnoteReference w:id="3"/>
      </w:r>
      <w:r>
        <w:rPr>
          <w:shd w:val="clear" w:color="auto" w:fill="FFFFFF"/>
        </w:rPr>
        <w:t xml:space="preserve"> in six Pacific countries with a focus on reducing unmet need for family planning. The Transformative Agenda for Women, Adolescents and Youth: Towards Unmet Need for Family Planning by 2022 (TA) is implemented in Fiji, Kiribati, Samoa, Solomon Islands, Tonga and Vanuatu. Implementation is managed by UNFPA’s Pacific Sub-regional Office (PSRO) and works with implementing partners (IPs) from both government and civil society. </w:t>
      </w:r>
    </w:p>
    <w:p w14:paraId="3D750CF5" w14:textId="77777777" w:rsidR="003C26F8" w:rsidRDefault="003C26F8" w:rsidP="00550A9D">
      <w:pPr>
        <w:pStyle w:val="NoSpacing"/>
        <w:rPr>
          <w:shd w:val="clear" w:color="auto" w:fill="FFFFFF"/>
        </w:rPr>
      </w:pPr>
    </w:p>
    <w:p w14:paraId="4E7ED4DE" w14:textId="77777777" w:rsidR="003C26F8" w:rsidRDefault="003C26F8" w:rsidP="00550A9D">
      <w:pPr>
        <w:pStyle w:val="NoSpacing"/>
        <w:rPr>
          <w:shd w:val="clear" w:color="auto" w:fill="FFFFFF"/>
        </w:rPr>
      </w:pPr>
      <w:r>
        <w:t>The TA program is DFAT’s single largest investment in sexual and reproductive health</w:t>
      </w:r>
      <w:r w:rsidR="0012338B">
        <w:t>,</w:t>
      </w:r>
      <w:r>
        <w:t xml:space="preserve"> and DFAT’s largest development partnership with UNFPA. It is a high priority for the Australian Government and its performance is of strong interest to a wide range of stakeholders.   </w:t>
      </w:r>
    </w:p>
    <w:p w14:paraId="72B91586" w14:textId="77777777" w:rsidR="00AD0519" w:rsidRDefault="00AD0519" w:rsidP="00550A9D">
      <w:pPr>
        <w:pStyle w:val="NoSpacing"/>
        <w:rPr>
          <w:shd w:val="clear" w:color="auto" w:fill="FFFFFF"/>
        </w:rPr>
      </w:pPr>
    </w:p>
    <w:p w14:paraId="417B9D75" w14:textId="77777777" w:rsidR="00CA7D57" w:rsidRDefault="00CA7D57" w:rsidP="00550A9D">
      <w:pPr>
        <w:pStyle w:val="NoSpacing"/>
        <w:rPr>
          <w:shd w:val="clear" w:color="auto" w:fill="FFFFFF"/>
        </w:rPr>
      </w:pPr>
      <w:r>
        <w:rPr>
          <w:shd w:val="clear" w:color="auto" w:fill="FFFFFF"/>
        </w:rPr>
        <w:t xml:space="preserve">The three intended </w:t>
      </w:r>
      <w:r>
        <w:rPr>
          <w:b/>
          <w:bCs/>
          <w:shd w:val="clear" w:color="auto" w:fill="FFFFFF"/>
        </w:rPr>
        <w:t>outcomes</w:t>
      </w:r>
      <w:r>
        <w:rPr>
          <w:shd w:val="clear" w:color="auto" w:fill="FFFFFF"/>
        </w:rPr>
        <w:t xml:space="preserve"> of the TA Program are:</w:t>
      </w:r>
    </w:p>
    <w:p w14:paraId="3E545B02" w14:textId="77777777" w:rsidR="00CA7D57" w:rsidRDefault="00CA7D57" w:rsidP="003538C5">
      <w:pPr>
        <w:pStyle w:val="NoSpacing"/>
        <w:numPr>
          <w:ilvl w:val="0"/>
          <w:numId w:val="12"/>
        </w:numPr>
        <w:rPr>
          <w:shd w:val="clear" w:color="auto" w:fill="FFFFFF"/>
        </w:rPr>
      </w:pPr>
      <w:bookmarkStart w:id="16" w:name="_Hlk52097954"/>
      <w:r>
        <w:rPr>
          <w:shd w:val="clear" w:color="auto" w:fill="FFFFFF"/>
        </w:rPr>
        <w:t xml:space="preserve">Increased and improved supply of integrated SRH information and services, particularly for </w:t>
      </w:r>
      <w:r w:rsidR="004266C7">
        <w:rPr>
          <w:shd w:val="clear" w:color="auto" w:fill="FFFFFF"/>
        </w:rPr>
        <w:t xml:space="preserve">FP </w:t>
      </w:r>
    </w:p>
    <w:p w14:paraId="45343CD5" w14:textId="77777777" w:rsidR="00CA7D57" w:rsidRDefault="00CA7D57" w:rsidP="003538C5">
      <w:pPr>
        <w:pStyle w:val="NoSpacing"/>
        <w:numPr>
          <w:ilvl w:val="0"/>
          <w:numId w:val="12"/>
        </w:numPr>
        <w:rPr>
          <w:shd w:val="clear" w:color="auto" w:fill="FFFFFF"/>
        </w:rPr>
      </w:pPr>
      <w:r>
        <w:rPr>
          <w:shd w:val="clear" w:color="auto" w:fill="FFFFFF"/>
        </w:rPr>
        <w:t>Increased demand for integrated SRH information and services, particularly for FP</w:t>
      </w:r>
    </w:p>
    <w:p w14:paraId="000EA0CF" w14:textId="77777777" w:rsidR="00CA7D57" w:rsidRDefault="00CA7D57" w:rsidP="003538C5">
      <w:pPr>
        <w:pStyle w:val="NoSpacing"/>
        <w:numPr>
          <w:ilvl w:val="0"/>
          <w:numId w:val="12"/>
        </w:numPr>
        <w:rPr>
          <w:shd w:val="clear" w:color="auto" w:fill="FFFFFF"/>
        </w:rPr>
      </w:pPr>
      <w:r>
        <w:rPr>
          <w:shd w:val="clear" w:color="auto" w:fill="FFFFFF"/>
        </w:rPr>
        <w:lastRenderedPageBreak/>
        <w:t xml:space="preserve">More conducive and supportive environment for people to access and benefit from quality SRH, especially contraceptive </w:t>
      </w:r>
      <w:proofErr w:type="gramStart"/>
      <w:r>
        <w:rPr>
          <w:shd w:val="clear" w:color="auto" w:fill="FFFFFF"/>
        </w:rPr>
        <w:t>choice</w:t>
      </w:r>
      <w:proofErr w:type="gramEnd"/>
    </w:p>
    <w:bookmarkEnd w:id="16"/>
    <w:p w14:paraId="4C3BC81E" w14:textId="77777777" w:rsidR="00752ED0" w:rsidRDefault="00752ED0" w:rsidP="00752ED0">
      <w:pPr>
        <w:pStyle w:val="NoSpacing"/>
        <w:rPr>
          <w:shd w:val="clear" w:color="auto" w:fill="FFFFFF"/>
        </w:rPr>
      </w:pPr>
    </w:p>
    <w:p w14:paraId="2C78F31A" w14:textId="77777777" w:rsidR="00752ED0" w:rsidRPr="00BE1DA0" w:rsidRDefault="00752ED0" w:rsidP="00752ED0">
      <w:pPr>
        <w:pStyle w:val="NoSpacing"/>
      </w:pPr>
      <w:r>
        <w:t>The logic of the TA program is that: i</w:t>
      </w:r>
      <w:r w:rsidRPr="005A263B">
        <w:t xml:space="preserve">f national strategies and operational frameworks on SRH are strengthened; </w:t>
      </w:r>
      <w:r>
        <w:t>i</w:t>
      </w:r>
      <w:r w:rsidRPr="00BE1DA0">
        <w:t xml:space="preserve">f </w:t>
      </w:r>
      <w:r w:rsidR="0012338B">
        <w:t>se</w:t>
      </w:r>
      <w:r w:rsidR="003C26F8">
        <w:t xml:space="preserve">xual and </w:t>
      </w:r>
      <w:r w:rsidR="0012338B">
        <w:t>r</w:t>
      </w:r>
      <w:r w:rsidR="003C26F8">
        <w:t xml:space="preserve">eproductive </w:t>
      </w:r>
      <w:r w:rsidR="0012338B">
        <w:t>h</w:t>
      </w:r>
      <w:r w:rsidR="003C26F8">
        <w:t xml:space="preserve">ealth and </w:t>
      </w:r>
      <w:r w:rsidR="0012338B">
        <w:t>r</w:t>
      </w:r>
      <w:r w:rsidR="003C26F8">
        <w:t>ights (</w:t>
      </w:r>
      <w:r>
        <w:t>SRHR</w:t>
      </w:r>
      <w:r w:rsidR="003C26F8">
        <w:t>)</w:t>
      </w:r>
      <w:r>
        <w:t xml:space="preserve"> </w:t>
      </w:r>
      <w:r w:rsidRPr="00BE1DA0">
        <w:t xml:space="preserve">capacity of health workers is </w:t>
      </w:r>
      <w:r>
        <w:t>increased</w:t>
      </w:r>
      <w:r w:rsidRPr="00BE1DA0">
        <w:t>;</w:t>
      </w:r>
      <w:r>
        <w:t xml:space="preserve"> </w:t>
      </w:r>
      <w:r w:rsidR="0012338B">
        <w:t xml:space="preserve">and </w:t>
      </w:r>
      <w:r>
        <w:t>i</w:t>
      </w:r>
      <w:r w:rsidRPr="00BE1DA0">
        <w:t>f a sustainable and efficient supply of commodities is ensured;</w:t>
      </w:r>
      <w:r>
        <w:t xml:space="preserve"> the</w:t>
      </w:r>
      <w:r w:rsidR="0012338B">
        <w:t>n</w:t>
      </w:r>
      <w:r>
        <w:t xml:space="preserve"> c</w:t>
      </w:r>
      <w:proofErr w:type="spellStart"/>
      <w:r w:rsidRPr="00BE1DA0">
        <w:rPr>
          <w:lang w:val="en-US"/>
        </w:rPr>
        <w:t>ountries</w:t>
      </w:r>
      <w:proofErr w:type="spellEnd"/>
      <w:r w:rsidRPr="00BE1DA0">
        <w:rPr>
          <w:lang w:val="en-US"/>
        </w:rPr>
        <w:t xml:space="preserve"> w</w:t>
      </w:r>
      <w:r w:rsidR="003C26F8">
        <w:rPr>
          <w:lang w:val="en-US"/>
        </w:rPr>
        <w:t>ill</w:t>
      </w:r>
      <w:r w:rsidRPr="00BE1DA0">
        <w:rPr>
          <w:lang w:val="en-US"/>
        </w:rPr>
        <w:t xml:space="preserve"> have </w:t>
      </w:r>
      <w:r>
        <w:rPr>
          <w:lang w:val="en-US"/>
        </w:rPr>
        <w:t xml:space="preserve">improved coverage and </w:t>
      </w:r>
      <w:r w:rsidRPr="00BE1DA0">
        <w:rPr>
          <w:lang w:val="en-US"/>
        </w:rPr>
        <w:t xml:space="preserve">quality </w:t>
      </w:r>
      <w:r>
        <w:rPr>
          <w:lang w:val="en-US"/>
        </w:rPr>
        <w:t xml:space="preserve">of </w:t>
      </w:r>
      <w:r w:rsidRPr="00BE1DA0">
        <w:rPr>
          <w:lang w:val="en-US"/>
        </w:rPr>
        <w:t>SRH services.</w:t>
      </w:r>
      <w:r>
        <w:rPr>
          <w:lang w:val="en-US"/>
        </w:rPr>
        <w:t xml:space="preserve"> </w:t>
      </w:r>
      <w:r w:rsidR="0012338B">
        <w:rPr>
          <w:lang w:val="en-US"/>
        </w:rPr>
        <w:t xml:space="preserve">Additionally, </w:t>
      </w:r>
      <w:proofErr w:type="spellStart"/>
      <w:r w:rsidR="0012338B">
        <w:rPr>
          <w:lang w:val="en-US"/>
        </w:rPr>
        <w:t>i</w:t>
      </w:r>
      <w:proofErr w:type="spellEnd"/>
      <w:r w:rsidRPr="00BE1DA0">
        <w:t xml:space="preserve">f Family Life Education </w:t>
      </w:r>
      <w:r w:rsidR="0012338B">
        <w:t xml:space="preserve">(FLE) </w:t>
      </w:r>
      <w:r w:rsidRPr="00BE1DA0">
        <w:t>programs are integrated into the education system</w:t>
      </w:r>
      <w:r>
        <w:t xml:space="preserve">; if </w:t>
      </w:r>
      <w:r w:rsidRPr="00BE1DA0">
        <w:t>communities are well informed on SRH rights and are motivated;</w:t>
      </w:r>
      <w:r>
        <w:t xml:space="preserve"> </w:t>
      </w:r>
      <w:r w:rsidR="0012338B">
        <w:t xml:space="preserve">and </w:t>
      </w:r>
      <w:r>
        <w:t>i</w:t>
      </w:r>
      <w:r w:rsidRPr="00BE1DA0">
        <w:t>f youth-led initiatives are promoted toward the use of SRH services;</w:t>
      </w:r>
      <w:r>
        <w:t xml:space="preserve"> then c</w:t>
      </w:r>
      <w:proofErr w:type="spellStart"/>
      <w:r w:rsidRPr="00BE1DA0">
        <w:rPr>
          <w:lang w:val="en-US"/>
        </w:rPr>
        <w:t>ommunities</w:t>
      </w:r>
      <w:proofErr w:type="spellEnd"/>
      <w:r w:rsidRPr="00BE1DA0">
        <w:rPr>
          <w:lang w:val="en-US"/>
        </w:rPr>
        <w:t xml:space="preserve"> will be engaged and </w:t>
      </w:r>
      <w:r>
        <w:rPr>
          <w:lang w:val="en-US"/>
        </w:rPr>
        <w:t xml:space="preserve">demand for </w:t>
      </w:r>
      <w:r w:rsidRPr="00BE1DA0">
        <w:rPr>
          <w:lang w:val="en-US"/>
        </w:rPr>
        <w:t>SRH</w:t>
      </w:r>
      <w:r>
        <w:rPr>
          <w:lang w:val="en-US"/>
        </w:rPr>
        <w:t xml:space="preserve"> will increase</w:t>
      </w:r>
      <w:r w:rsidRPr="00BE1DA0">
        <w:rPr>
          <w:lang w:val="en-US"/>
        </w:rPr>
        <w:t>.</w:t>
      </w:r>
      <w:r>
        <w:rPr>
          <w:lang w:val="en-US"/>
        </w:rPr>
        <w:t xml:space="preserve"> </w:t>
      </w:r>
      <w:r w:rsidR="0012338B">
        <w:rPr>
          <w:lang w:val="en-US"/>
        </w:rPr>
        <w:t>Finally, e</w:t>
      </w:r>
      <w:proofErr w:type="spellStart"/>
      <w:r w:rsidRPr="00BE1DA0">
        <w:t>nabling</w:t>
      </w:r>
      <w:proofErr w:type="spellEnd"/>
      <w:r w:rsidRPr="00BE1DA0">
        <w:t xml:space="preserve"> environment strategies </w:t>
      </w:r>
      <w:r w:rsidR="0012338B">
        <w:t xml:space="preserve">that </w:t>
      </w:r>
      <w:r w:rsidRPr="00BE1DA0">
        <w:t xml:space="preserve">strengthen partnerships </w:t>
      </w:r>
      <w:r w:rsidR="0012338B">
        <w:t>will</w:t>
      </w:r>
      <w:r w:rsidRPr="00BE1DA0">
        <w:t xml:space="preserve"> support </w:t>
      </w:r>
      <w:r w:rsidR="0012338B">
        <w:t xml:space="preserve">increased </w:t>
      </w:r>
      <w:r>
        <w:t>supply and demand</w:t>
      </w:r>
      <w:r w:rsidRPr="00BE1DA0">
        <w:t xml:space="preserve">. </w:t>
      </w:r>
    </w:p>
    <w:p w14:paraId="37130982" w14:textId="77777777" w:rsidR="00550A9D" w:rsidRDefault="00550A9D" w:rsidP="00550A9D">
      <w:pPr>
        <w:pStyle w:val="NoSpacing"/>
        <w:rPr>
          <w:bCs/>
          <w:color w:val="211D1E"/>
        </w:rPr>
      </w:pPr>
    </w:p>
    <w:p w14:paraId="70608AA1" w14:textId="77777777" w:rsidR="00CA7D57" w:rsidRPr="00AD0519" w:rsidRDefault="00CA7D57" w:rsidP="00550A9D">
      <w:pPr>
        <w:pStyle w:val="NoSpacing"/>
      </w:pPr>
      <w:r>
        <w:t>The TA progra</w:t>
      </w:r>
      <w:r w:rsidR="003C26F8">
        <w:t>m</w:t>
      </w:r>
      <w:r>
        <w:t xml:space="preserve"> is implemented through partnerships with 46 national and regional entities</w:t>
      </w:r>
      <w:r w:rsidR="00AD0519">
        <w:t>. The primary implementing partners (IPs) in each of the six countries are:</w:t>
      </w:r>
    </w:p>
    <w:p w14:paraId="42B32A7D" w14:textId="77777777" w:rsidR="00CA7D57" w:rsidRDefault="00CA7D57" w:rsidP="00550A9D">
      <w:pPr>
        <w:pStyle w:val="NoSpacing"/>
        <w:rPr>
          <w:rFonts w:cstheme="minorHAnsi"/>
        </w:rPr>
      </w:pPr>
      <w:r>
        <w:rPr>
          <w:rFonts w:cstheme="minorHAnsi"/>
          <w:b/>
        </w:rPr>
        <w:t>Fiji</w:t>
      </w:r>
      <w:r>
        <w:rPr>
          <w:rFonts w:cstheme="minorHAnsi"/>
        </w:rPr>
        <w:t xml:space="preserve">: Ministry of Health and Medical Services; Ministry of Youth and Sports; Ministry of Women, Children and Poverty Alleviation </w:t>
      </w:r>
    </w:p>
    <w:p w14:paraId="6E71DBBE" w14:textId="77777777" w:rsidR="00CA7D57" w:rsidRDefault="00CA7D57" w:rsidP="00550A9D">
      <w:pPr>
        <w:pStyle w:val="NoSpacing"/>
        <w:rPr>
          <w:rFonts w:cstheme="minorHAnsi"/>
        </w:rPr>
      </w:pPr>
      <w:r>
        <w:rPr>
          <w:rFonts w:cstheme="minorHAnsi"/>
          <w:b/>
        </w:rPr>
        <w:t>Kiribati</w:t>
      </w:r>
      <w:r>
        <w:rPr>
          <w:rFonts w:cstheme="minorHAnsi"/>
        </w:rPr>
        <w:t>: Ministry of Health and Medical Services; Ministry of Education; Ministry of Women, Youth and Social Services; Ministry of Finance and Economic Development/National Statistics Office</w:t>
      </w:r>
    </w:p>
    <w:p w14:paraId="2107FC2A" w14:textId="77777777" w:rsidR="00CA7D57" w:rsidRDefault="00CA7D57" w:rsidP="00550A9D">
      <w:pPr>
        <w:pStyle w:val="NoSpacing"/>
        <w:rPr>
          <w:rFonts w:cstheme="minorHAnsi"/>
        </w:rPr>
      </w:pPr>
      <w:r>
        <w:rPr>
          <w:rFonts w:cstheme="minorHAnsi"/>
          <w:b/>
        </w:rPr>
        <w:t xml:space="preserve">Samoa: </w:t>
      </w:r>
      <w:r>
        <w:rPr>
          <w:rFonts w:cstheme="minorHAnsi"/>
        </w:rPr>
        <w:t xml:space="preserve">Ministry of Finance </w:t>
      </w:r>
    </w:p>
    <w:p w14:paraId="4A619FB7" w14:textId="77777777" w:rsidR="00CA7D57" w:rsidRDefault="00CA7D57" w:rsidP="00550A9D">
      <w:pPr>
        <w:pStyle w:val="NoSpacing"/>
        <w:rPr>
          <w:rFonts w:cstheme="minorHAnsi"/>
        </w:rPr>
      </w:pPr>
      <w:r>
        <w:rPr>
          <w:rFonts w:cstheme="minorHAnsi"/>
          <w:b/>
        </w:rPr>
        <w:t xml:space="preserve">Solomon Islands: </w:t>
      </w:r>
      <w:r>
        <w:rPr>
          <w:rFonts w:cstheme="minorHAnsi"/>
        </w:rPr>
        <w:t>Ministry of Development Planning and Aid Coordination, Ministry of Health and Medical Services</w:t>
      </w:r>
    </w:p>
    <w:p w14:paraId="1E38FBC3" w14:textId="77777777" w:rsidR="00CA7D57" w:rsidRDefault="00CA7D57" w:rsidP="00550A9D">
      <w:pPr>
        <w:pStyle w:val="NoSpacing"/>
        <w:rPr>
          <w:rFonts w:cstheme="minorHAnsi"/>
        </w:rPr>
      </w:pPr>
      <w:r>
        <w:rPr>
          <w:rFonts w:cstheme="minorHAnsi"/>
          <w:b/>
        </w:rPr>
        <w:t xml:space="preserve">Tonga: </w:t>
      </w:r>
      <w:r>
        <w:rPr>
          <w:rFonts w:cstheme="minorHAnsi"/>
        </w:rPr>
        <w:t>Ministry of Health</w:t>
      </w:r>
    </w:p>
    <w:p w14:paraId="0B1F17DF" w14:textId="77777777" w:rsidR="00CA7D57" w:rsidRDefault="00CA7D57" w:rsidP="00550A9D">
      <w:pPr>
        <w:pStyle w:val="NoSpacing"/>
        <w:rPr>
          <w:rFonts w:cstheme="minorHAnsi"/>
        </w:rPr>
      </w:pPr>
      <w:r>
        <w:rPr>
          <w:rFonts w:cstheme="minorHAnsi"/>
          <w:b/>
        </w:rPr>
        <w:t xml:space="preserve">Vanuatu: </w:t>
      </w:r>
      <w:r>
        <w:rPr>
          <w:rFonts w:cstheme="minorHAnsi"/>
        </w:rPr>
        <w:t>Ministry of Health and Medical Services; Ministry of Youth and Sports; Ministry of Education and Training; Vanuatu National Statistics Office.</w:t>
      </w:r>
    </w:p>
    <w:p w14:paraId="42E38A0C" w14:textId="77777777" w:rsidR="00607630" w:rsidRDefault="00607630" w:rsidP="00550A9D">
      <w:pPr>
        <w:pStyle w:val="NoSpacing"/>
        <w:rPr>
          <w:shd w:val="clear" w:color="auto" w:fill="FFFFFF"/>
        </w:rPr>
      </w:pPr>
    </w:p>
    <w:p w14:paraId="2E33C581" w14:textId="77777777" w:rsidR="00AD0519" w:rsidRDefault="00AD0519" w:rsidP="00550A9D">
      <w:pPr>
        <w:pStyle w:val="NoSpacing"/>
        <w:rPr>
          <w:rFonts w:cstheme="minorHAnsi"/>
        </w:rPr>
      </w:pPr>
      <w:r>
        <w:rPr>
          <w:shd w:val="clear" w:color="auto" w:fill="FFFFFF"/>
        </w:rPr>
        <w:t>The primary IPs work with a broad range of national sub-recipients (SR) contracted to carry out various aspects of their country program</w:t>
      </w:r>
      <w:r w:rsidR="003C26F8">
        <w:rPr>
          <w:shd w:val="clear" w:color="auto" w:fill="FFFFFF"/>
        </w:rPr>
        <w:t>s</w:t>
      </w:r>
      <w:r>
        <w:rPr>
          <w:shd w:val="clear" w:color="auto" w:fill="FFFFFF"/>
        </w:rPr>
        <w:t xml:space="preserve">.  (See Annex </w:t>
      </w:r>
      <w:r w:rsidR="009E0765">
        <w:rPr>
          <w:shd w:val="clear" w:color="auto" w:fill="FFFFFF"/>
        </w:rPr>
        <w:t>3</w:t>
      </w:r>
      <w:r>
        <w:rPr>
          <w:shd w:val="clear" w:color="auto" w:fill="FFFFFF"/>
        </w:rPr>
        <w:t xml:space="preserve"> </w:t>
      </w:r>
      <w:r>
        <w:t>for a list of all IPs and SRs)</w:t>
      </w:r>
      <w:r>
        <w:rPr>
          <w:shd w:val="clear" w:color="auto" w:fill="FFFFFF"/>
        </w:rPr>
        <w:t>.</w:t>
      </w:r>
    </w:p>
    <w:p w14:paraId="132CA2DC" w14:textId="77777777" w:rsidR="00AD0519" w:rsidRDefault="00AD0519" w:rsidP="00550A9D">
      <w:pPr>
        <w:pStyle w:val="NoSpacing"/>
        <w:rPr>
          <w:rFonts w:cstheme="minorHAnsi"/>
        </w:rPr>
      </w:pPr>
    </w:p>
    <w:p w14:paraId="32707FDB" w14:textId="77777777" w:rsidR="00550A9D" w:rsidRPr="003C26F8" w:rsidRDefault="00CA7D57" w:rsidP="00550A9D">
      <w:pPr>
        <w:pStyle w:val="NoSpacing"/>
        <w:rPr>
          <w:rFonts w:cstheme="minorHAnsi"/>
          <w:shd w:val="clear" w:color="auto" w:fill="FFFFFF"/>
        </w:rPr>
      </w:pPr>
      <w:r>
        <w:rPr>
          <w:rFonts w:cstheme="minorHAnsi"/>
        </w:rPr>
        <w:t xml:space="preserve">Non-government regional implementing partners (RIP) include: </w:t>
      </w:r>
      <w:r w:rsidRPr="003C26F8">
        <w:rPr>
          <w:rFonts w:cstheme="minorHAnsi"/>
          <w:shd w:val="clear" w:color="auto" w:fill="FFFFFF"/>
        </w:rPr>
        <w:t xml:space="preserve">John Snow International (JSI), Australian Broadcasting Corporation (ABC), Burnet, Nossal, Family Planning New South Wales (FPNSW), International Planned Parenthood Federation Sub-regional Office of the Pacific (IPPF SROP), World Vision, CARE and Women Enabled International  (WEI). </w:t>
      </w:r>
      <w:bookmarkStart w:id="17" w:name="_Toc48221008"/>
    </w:p>
    <w:p w14:paraId="20E5B54D" w14:textId="77777777" w:rsidR="00550A9D" w:rsidRPr="003C26F8" w:rsidRDefault="00550A9D" w:rsidP="00550A9D">
      <w:pPr>
        <w:pStyle w:val="NoSpacing"/>
        <w:rPr>
          <w:rFonts w:cstheme="minorHAnsi"/>
          <w:shd w:val="clear" w:color="auto" w:fill="FFFFFF"/>
        </w:rPr>
      </w:pPr>
    </w:p>
    <w:bookmarkEnd w:id="17"/>
    <w:p w14:paraId="2768FC0D" w14:textId="77777777" w:rsidR="00280348" w:rsidRDefault="00AD0519" w:rsidP="00AD0519">
      <w:pPr>
        <w:pStyle w:val="NoSpacing"/>
        <w:rPr>
          <w:shd w:val="clear" w:color="auto" w:fill="FFFFFF"/>
        </w:rPr>
      </w:pPr>
      <w:r w:rsidRPr="003C26F8">
        <w:rPr>
          <w:shd w:val="clear" w:color="auto" w:fill="FFFFFF"/>
        </w:rPr>
        <w:t>The TA program is nested within the UNFPA PSRO Sub Regional Program 6 (SRP6) 2018-2022. The New Zealand Ministry of Foreign Affairs and Trade (MFAT) Pacific Regional SRH Program (PRSRHP) operated in five of the six TA countries from 2014 t</w:t>
      </w:r>
      <w:r w:rsidR="003C26F8">
        <w:rPr>
          <w:shd w:val="clear" w:color="auto" w:fill="FFFFFF"/>
        </w:rPr>
        <w:t>o</w:t>
      </w:r>
      <w:r w:rsidRPr="003C26F8">
        <w:rPr>
          <w:shd w:val="clear" w:color="auto" w:fill="FFFFFF"/>
        </w:rPr>
        <w:t xml:space="preserve"> September 2020.  In 2018 the PRSRHP was revised to closely align with the TA theory of change, and objectives, but with a </w:t>
      </w:r>
      <w:r w:rsidR="003C26F8">
        <w:rPr>
          <w:shd w:val="clear" w:color="auto" w:fill="FFFFFF"/>
        </w:rPr>
        <w:t>specific</w:t>
      </w:r>
      <w:r w:rsidRPr="003C26F8">
        <w:rPr>
          <w:shd w:val="clear" w:color="auto" w:fill="FFFFFF"/>
        </w:rPr>
        <w:t xml:space="preserve"> focus on adolescents and youth.  In addition, the UNFPA </w:t>
      </w:r>
      <w:r w:rsidR="00607B47">
        <w:rPr>
          <w:shd w:val="clear" w:color="auto" w:fill="FFFFFF"/>
        </w:rPr>
        <w:t xml:space="preserve">Global </w:t>
      </w:r>
      <w:r w:rsidRPr="003C26F8">
        <w:rPr>
          <w:shd w:val="clear" w:color="auto" w:fill="FFFFFF"/>
        </w:rPr>
        <w:t xml:space="preserve">Supplies program services all </w:t>
      </w:r>
      <w:r w:rsidR="00607B47">
        <w:rPr>
          <w:shd w:val="clear" w:color="auto" w:fill="FFFFFF"/>
        </w:rPr>
        <w:t xml:space="preserve">six </w:t>
      </w:r>
      <w:r w:rsidRPr="003C26F8">
        <w:rPr>
          <w:shd w:val="clear" w:color="auto" w:fill="FFFFFF"/>
        </w:rPr>
        <w:t>MOH programs in ensuring that FP commodities are available and supply chain system capacity is strengthened.  There are m</w:t>
      </w:r>
      <w:r w:rsidR="003C26F8">
        <w:rPr>
          <w:shd w:val="clear" w:color="auto" w:fill="FFFFFF"/>
        </w:rPr>
        <w:t xml:space="preserve">ultiple </w:t>
      </w:r>
      <w:r w:rsidRPr="003C26F8">
        <w:rPr>
          <w:shd w:val="clear" w:color="auto" w:fill="FFFFFF"/>
        </w:rPr>
        <w:t xml:space="preserve">additional synergies between the TA program and other SRHR-related programs and projects within the six participating countries. Annex </w:t>
      </w:r>
      <w:r w:rsidR="009E0765" w:rsidRPr="003C26F8">
        <w:rPr>
          <w:shd w:val="clear" w:color="auto" w:fill="FFFFFF"/>
        </w:rPr>
        <w:t>4</w:t>
      </w:r>
      <w:r w:rsidRPr="003C26F8">
        <w:rPr>
          <w:shd w:val="clear" w:color="auto" w:fill="FFFFFF"/>
        </w:rPr>
        <w:t xml:space="preserve"> lists and describes these entities and synergies.</w:t>
      </w:r>
      <w:r w:rsidR="00391523" w:rsidRPr="003C26F8">
        <w:rPr>
          <w:shd w:val="clear" w:color="auto" w:fill="FFFFFF"/>
        </w:rPr>
        <w:t xml:space="preserve"> Annex 5 </w:t>
      </w:r>
      <w:r w:rsidR="00FD1CE5">
        <w:rPr>
          <w:shd w:val="clear" w:color="auto" w:fill="FFFFFF"/>
        </w:rPr>
        <w:t>outlines</w:t>
      </w:r>
      <w:r w:rsidR="00391523" w:rsidRPr="003C26F8">
        <w:rPr>
          <w:shd w:val="clear" w:color="auto" w:fill="FFFFFF"/>
        </w:rPr>
        <w:t xml:space="preserve"> </w:t>
      </w:r>
      <w:r w:rsidR="00756B95" w:rsidRPr="003C26F8">
        <w:rPr>
          <w:shd w:val="clear" w:color="auto" w:fill="FFFFFF"/>
        </w:rPr>
        <w:t>synergies across related programs with shared IPs.</w:t>
      </w:r>
    </w:p>
    <w:p w14:paraId="019A5797" w14:textId="77777777" w:rsidR="00CA7D57" w:rsidRPr="00CA7D57" w:rsidRDefault="00CA7D57" w:rsidP="003538C5">
      <w:pPr>
        <w:pStyle w:val="NumberedLevel1heading"/>
        <w:numPr>
          <w:ilvl w:val="0"/>
          <w:numId w:val="27"/>
        </w:numPr>
        <w:jc w:val="left"/>
        <w:rPr>
          <w:rFonts w:cstheme="minorBidi"/>
        </w:rPr>
      </w:pPr>
      <w:bookmarkStart w:id="18" w:name="_Toc76630083"/>
      <w:r w:rsidRPr="00CA7D57">
        <w:t>Background</w:t>
      </w:r>
      <w:bookmarkEnd w:id="18"/>
    </w:p>
    <w:p w14:paraId="191EFFAB" w14:textId="77777777" w:rsidR="00CA7D57" w:rsidRDefault="00CA7D57" w:rsidP="00550A9D">
      <w:pPr>
        <w:pStyle w:val="NoSpacing"/>
      </w:pPr>
      <w:r>
        <w:rPr>
          <w:shd w:val="clear" w:color="auto" w:fill="FFFFFF"/>
        </w:rPr>
        <w:t>Women with unmet need for family planning are those who want to stop or delay childbearing but are not using any method of contraception</w:t>
      </w:r>
      <w:r>
        <w:rPr>
          <w:color w:val="333333"/>
          <w:shd w:val="clear" w:color="auto" w:fill="FFFFFF"/>
        </w:rPr>
        <w:t>. The concept of unmet need points to the gap between women's reproductive intentions and their contraceptive behaviour</w:t>
      </w:r>
      <w:r>
        <w:rPr>
          <w:rStyle w:val="FootnoteReference"/>
          <w:rFonts w:cstheme="minorHAnsi"/>
          <w:color w:val="333333"/>
          <w:shd w:val="clear" w:color="auto" w:fill="FFFFFF"/>
        </w:rPr>
        <w:footnoteReference w:id="4"/>
      </w:r>
      <w:r>
        <w:rPr>
          <w:color w:val="333333"/>
          <w:shd w:val="clear" w:color="auto" w:fill="FFFFFF"/>
        </w:rPr>
        <w:t>.</w:t>
      </w:r>
    </w:p>
    <w:p w14:paraId="5543055C" w14:textId="77777777" w:rsidR="00550A9D" w:rsidRDefault="00550A9D" w:rsidP="00550A9D">
      <w:pPr>
        <w:pStyle w:val="NoSpacing"/>
      </w:pPr>
    </w:p>
    <w:p w14:paraId="07316F48" w14:textId="77777777" w:rsidR="00CA7D57" w:rsidRDefault="00CA7D57" w:rsidP="00550A9D">
      <w:pPr>
        <w:pStyle w:val="NoSpacing"/>
      </w:pPr>
      <w:r>
        <w:t>Access to high-quality, affordable SRH services and information, including a full range of contraceptive methods, is fundamental to reali</w:t>
      </w:r>
      <w:r w:rsidR="00FD1CE5">
        <w:t>s</w:t>
      </w:r>
      <w:r>
        <w:t>ing the rights and well-being of women and girls, men and boys</w:t>
      </w:r>
      <w:r>
        <w:rPr>
          <w:rStyle w:val="FootnoteReference"/>
          <w:rFonts w:cstheme="minorHAnsi"/>
        </w:rPr>
        <w:footnoteReference w:id="5"/>
      </w:r>
      <w:r>
        <w:t xml:space="preserve">. </w:t>
      </w:r>
    </w:p>
    <w:p w14:paraId="0E86D8A7" w14:textId="77777777" w:rsidR="00CA7D57" w:rsidRDefault="00CA7D57" w:rsidP="00550A9D">
      <w:pPr>
        <w:pStyle w:val="NoSpacing"/>
        <w:rPr>
          <w:color w:val="313131"/>
          <w:shd w:val="clear" w:color="auto" w:fill="FFFFFF"/>
        </w:rPr>
      </w:pPr>
    </w:p>
    <w:p w14:paraId="66323AAF" w14:textId="77777777" w:rsidR="00CA7D57" w:rsidRDefault="00CA7D57" w:rsidP="00550A9D">
      <w:pPr>
        <w:pStyle w:val="NoSpacing"/>
        <w:rPr>
          <w:color w:val="313131"/>
          <w:shd w:val="clear" w:color="auto" w:fill="FFFFFF"/>
        </w:rPr>
      </w:pPr>
      <w:r>
        <w:rPr>
          <w:color w:val="313131"/>
          <w:shd w:val="clear" w:color="auto" w:fill="FFFFFF"/>
        </w:rPr>
        <w:lastRenderedPageBreak/>
        <w:t>The reproductive health situation in the six Pacific countries of focus is characterised by increasing fertility and teenage pregnancy rates, low contraceptive prevalence rates, and high unmet need for FP</w:t>
      </w:r>
      <w:r>
        <w:rPr>
          <w:rStyle w:val="FootnoteReference"/>
          <w:rFonts w:cstheme="minorHAnsi"/>
          <w:color w:val="313131"/>
          <w:shd w:val="clear" w:color="auto" w:fill="FFFFFF"/>
        </w:rPr>
        <w:footnoteReference w:id="6"/>
      </w:r>
      <w:r>
        <w:rPr>
          <w:color w:val="313131"/>
          <w:shd w:val="clear" w:color="auto" w:fill="FFFFFF"/>
        </w:rPr>
        <w:t>. Despite the global trend of declining adolescent birth rates (ABR), Pacific countries show an upward trend</w:t>
      </w:r>
      <w:r w:rsidR="0074110D">
        <w:rPr>
          <w:color w:val="313131"/>
          <w:shd w:val="clear" w:color="auto" w:fill="FFFFFF"/>
        </w:rPr>
        <w:t xml:space="preserve"> (except for Samoa)</w:t>
      </w:r>
      <w:r>
        <w:rPr>
          <w:color w:val="313131"/>
          <w:shd w:val="clear" w:color="auto" w:fill="FFFFFF"/>
        </w:rPr>
        <w:t xml:space="preserve">, with Vanuatu and Solomon Islands among the highest rates in the region. A growing proportion of young people in the Pacific report being sexually active, yet contraceptive prevalence rates are negligible among adolescent girls. Unmet need for </w:t>
      </w:r>
      <w:r w:rsidR="0012338B">
        <w:rPr>
          <w:color w:val="313131"/>
          <w:shd w:val="clear" w:color="auto" w:fill="FFFFFF"/>
        </w:rPr>
        <w:t xml:space="preserve">FP for </w:t>
      </w:r>
      <w:r>
        <w:rPr>
          <w:color w:val="313131"/>
          <w:shd w:val="clear" w:color="auto" w:fill="FFFFFF"/>
        </w:rPr>
        <w:t>adolescent girls is significantly higher than for all women of reproductive age.</w:t>
      </w:r>
    </w:p>
    <w:p w14:paraId="3002385F" w14:textId="77777777" w:rsidR="00CA7D57" w:rsidRDefault="00CA7D57" w:rsidP="00CA7D57"/>
    <w:p w14:paraId="60396475" w14:textId="77777777" w:rsidR="00CA7D57" w:rsidRDefault="00CA7D57" w:rsidP="00CA7D57">
      <w:pPr>
        <w:autoSpaceDE w:val="0"/>
        <w:autoSpaceDN w:val="0"/>
        <w:adjustRightInd w:val="0"/>
        <w:spacing w:after="0"/>
        <w:rPr>
          <w:rFonts w:cstheme="minorHAnsi"/>
          <w:b/>
          <w:bCs/>
          <w:color w:val="313131"/>
          <w:shd w:val="clear" w:color="auto" w:fill="FFFFFF"/>
        </w:rPr>
      </w:pPr>
      <w:r>
        <w:rPr>
          <w:rFonts w:cstheme="minorHAnsi"/>
          <w:b/>
          <w:bCs/>
          <w:color w:val="313131"/>
          <w:shd w:val="clear" w:color="auto" w:fill="FFFFFF"/>
        </w:rPr>
        <w:t xml:space="preserve">Table 1:   Adolescent Birth Rates and Unmet Need for Family Planning in Six Pacific Countries </w:t>
      </w:r>
    </w:p>
    <w:p w14:paraId="14CFD571" w14:textId="77777777" w:rsidR="00CA7D57" w:rsidRDefault="00CA7D57" w:rsidP="00CA7D57">
      <w:pPr>
        <w:autoSpaceDE w:val="0"/>
        <w:autoSpaceDN w:val="0"/>
        <w:adjustRightInd w:val="0"/>
        <w:spacing w:after="0"/>
        <w:ind w:firstLine="720"/>
        <w:rPr>
          <w:rFonts w:cstheme="minorHAnsi"/>
          <w:b/>
          <w:bCs/>
          <w:color w:val="313131"/>
          <w:shd w:val="clear" w:color="auto" w:fill="FFFFFF"/>
        </w:rPr>
      </w:pPr>
      <w:r>
        <w:rPr>
          <w:rFonts w:cstheme="minorHAnsi"/>
          <w:b/>
          <w:bCs/>
          <w:color w:val="313131"/>
          <w:shd w:val="clear" w:color="auto" w:fill="FFFFFF"/>
        </w:rPr>
        <w:t>(most recent available year)</w:t>
      </w:r>
    </w:p>
    <w:tbl>
      <w:tblPr>
        <w:tblStyle w:val="TableGrid"/>
        <w:tblW w:w="0" w:type="auto"/>
        <w:tblInd w:w="-5" w:type="dxa"/>
        <w:tblLook w:val="04A0" w:firstRow="1" w:lastRow="0" w:firstColumn="1" w:lastColumn="0" w:noHBand="0" w:noVBand="1"/>
      </w:tblPr>
      <w:tblGrid>
        <w:gridCol w:w="2122"/>
        <w:gridCol w:w="2268"/>
        <w:gridCol w:w="3427"/>
      </w:tblGrid>
      <w:tr w:rsidR="00CA7D57" w14:paraId="2602B6AD" w14:textId="77777777" w:rsidTr="009600D7">
        <w:tc>
          <w:tcPr>
            <w:tcW w:w="2122" w:type="dxa"/>
            <w:tcBorders>
              <w:top w:val="single" w:sz="4" w:space="0" w:color="auto"/>
              <w:left w:val="single" w:sz="4" w:space="0" w:color="auto"/>
              <w:bottom w:val="single" w:sz="4" w:space="0" w:color="auto"/>
              <w:right w:val="single" w:sz="4" w:space="0" w:color="auto"/>
            </w:tcBorders>
            <w:shd w:val="clear" w:color="auto" w:fill="FF0000"/>
            <w:hideMark/>
          </w:tcPr>
          <w:p w14:paraId="043C09F9" w14:textId="77777777" w:rsidR="00CA7D57" w:rsidRPr="009448C8" w:rsidRDefault="00CA7D57" w:rsidP="00550A9D">
            <w:pPr>
              <w:pStyle w:val="NoSpacing"/>
              <w:rPr>
                <w:b/>
              </w:rPr>
            </w:pPr>
            <w:r w:rsidRPr="009448C8">
              <w:rPr>
                <w:b/>
              </w:rPr>
              <w:t>Country</w:t>
            </w:r>
          </w:p>
        </w:tc>
        <w:tc>
          <w:tcPr>
            <w:tcW w:w="2268" w:type="dxa"/>
            <w:tcBorders>
              <w:top w:val="single" w:sz="4" w:space="0" w:color="auto"/>
              <w:left w:val="single" w:sz="4" w:space="0" w:color="auto"/>
              <w:bottom w:val="single" w:sz="4" w:space="0" w:color="auto"/>
              <w:right w:val="single" w:sz="4" w:space="0" w:color="auto"/>
            </w:tcBorders>
            <w:shd w:val="clear" w:color="auto" w:fill="FF0000"/>
            <w:hideMark/>
          </w:tcPr>
          <w:p w14:paraId="0E575899" w14:textId="77777777" w:rsidR="00CA7D57" w:rsidRPr="009448C8" w:rsidRDefault="00CA7D57" w:rsidP="00550A9D">
            <w:pPr>
              <w:pStyle w:val="NoSpacing"/>
              <w:rPr>
                <w:b/>
              </w:rPr>
            </w:pPr>
            <w:r w:rsidRPr="009448C8">
              <w:rPr>
                <w:b/>
              </w:rPr>
              <w:t>Adolescent Birth Rates</w:t>
            </w:r>
          </w:p>
        </w:tc>
        <w:tc>
          <w:tcPr>
            <w:tcW w:w="3427" w:type="dxa"/>
            <w:tcBorders>
              <w:top w:val="single" w:sz="4" w:space="0" w:color="auto"/>
              <w:left w:val="single" w:sz="4" w:space="0" w:color="auto"/>
              <w:bottom w:val="single" w:sz="4" w:space="0" w:color="auto"/>
              <w:right w:val="single" w:sz="4" w:space="0" w:color="auto"/>
            </w:tcBorders>
            <w:shd w:val="clear" w:color="auto" w:fill="FF0000"/>
            <w:hideMark/>
          </w:tcPr>
          <w:p w14:paraId="47EE8F77" w14:textId="77777777" w:rsidR="00CA7D57" w:rsidRPr="009448C8" w:rsidRDefault="00CA7D57" w:rsidP="00550A9D">
            <w:pPr>
              <w:pStyle w:val="NoSpacing"/>
              <w:rPr>
                <w:b/>
              </w:rPr>
            </w:pPr>
            <w:r w:rsidRPr="009448C8">
              <w:rPr>
                <w:b/>
              </w:rPr>
              <w:t>% Women with Unmet Need for Family Planning</w:t>
            </w:r>
          </w:p>
        </w:tc>
      </w:tr>
      <w:tr w:rsidR="00CA7D57" w14:paraId="51B737DE" w14:textId="77777777" w:rsidTr="009600D7">
        <w:tc>
          <w:tcPr>
            <w:tcW w:w="2122" w:type="dxa"/>
            <w:tcBorders>
              <w:top w:val="single" w:sz="4" w:space="0" w:color="auto"/>
              <w:left w:val="single" w:sz="4" w:space="0" w:color="auto"/>
              <w:bottom w:val="single" w:sz="4" w:space="0" w:color="auto"/>
              <w:right w:val="single" w:sz="4" w:space="0" w:color="auto"/>
            </w:tcBorders>
            <w:hideMark/>
          </w:tcPr>
          <w:p w14:paraId="5126DAA5" w14:textId="77777777" w:rsidR="00CA7D57" w:rsidRDefault="00CA7D57" w:rsidP="00550A9D">
            <w:pPr>
              <w:pStyle w:val="NoSpacing"/>
              <w:rPr>
                <w:rFonts w:cstheme="minorHAnsi"/>
                <w:color w:val="313131"/>
                <w:shd w:val="clear" w:color="auto" w:fill="FFFFFF"/>
              </w:rPr>
            </w:pPr>
            <w:r>
              <w:rPr>
                <w:rFonts w:cstheme="minorHAnsi"/>
                <w:color w:val="313131"/>
                <w:shd w:val="clear" w:color="auto" w:fill="FFFFFF"/>
              </w:rPr>
              <w:t>Global</w:t>
            </w:r>
          </w:p>
        </w:tc>
        <w:tc>
          <w:tcPr>
            <w:tcW w:w="2268" w:type="dxa"/>
            <w:tcBorders>
              <w:top w:val="single" w:sz="4" w:space="0" w:color="auto"/>
              <w:left w:val="single" w:sz="4" w:space="0" w:color="auto"/>
              <w:bottom w:val="single" w:sz="4" w:space="0" w:color="auto"/>
              <w:right w:val="single" w:sz="4" w:space="0" w:color="auto"/>
            </w:tcBorders>
            <w:hideMark/>
          </w:tcPr>
          <w:p w14:paraId="5A9ED6F0" w14:textId="77777777" w:rsidR="00CA7D57" w:rsidRDefault="00CA7D57" w:rsidP="00550A9D">
            <w:pPr>
              <w:pStyle w:val="NoSpacing"/>
              <w:rPr>
                <w:rFonts w:cstheme="minorHAnsi"/>
                <w:color w:val="313131"/>
                <w:shd w:val="clear" w:color="auto" w:fill="FFFFFF"/>
              </w:rPr>
            </w:pPr>
            <w:r>
              <w:rPr>
                <w:rFonts w:cstheme="minorHAnsi"/>
                <w:color w:val="313131"/>
                <w:shd w:val="clear" w:color="auto" w:fill="FFFFFF"/>
              </w:rPr>
              <w:t>44</w:t>
            </w:r>
            <w:r>
              <w:rPr>
                <w:rStyle w:val="FootnoteReference"/>
                <w:rFonts w:cstheme="minorHAnsi"/>
                <w:color w:val="313131"/>
                <w:shd w:val="clear" w:color="auto" w:fill="FFFFFF"/>
              </w:rPr>
              <w:footnoteReference w:id="7"/>
            </w:r>
            <w:r>
              <w:rPr>
                <w:rFonts w:cstheme="minorHAnsi"/>
                <w:color w:val="313131"/>
                <w:shd w:val="clear" w:color="auto" w:fill="FFFFFF"/>
              </w:rPr>
              <w:t xml:space="preserve"> (2018)</w:t>
            </w:r>
          </w:p>
        </w:tc>
        <w:tc>
          <w:tcPr>
            <w:tcW w:w="3427" w:type="dxa"/>
            <w:tcBorders>
              <w:top w:val="single" w:sz="4" w:space="0" w:color="auto"/>
              <w:left w:val="single" w:sz="4" w:space="0" w:color="auto"/>
              <w:bottom w:val="single" w:sz="4" w:space="0" w:color="auto"/>
              <w:right w:val="single" w:sz="4" w:space="0" w:color="auto"/>
            </w:tcBorders>
            <w:hideMark/>
          </w:tcPr>
          <w:p w14:paraId="1AA89DB7" w14:textId="77777777" w:rsidR="00CA7D57" w:rsidRDefault="00CA7D57" w:rsidP="00550A9D">
            <w:pPr>
              <w:pStyle w:val="NoSpacing"/>
              <w:rPr>
                <w:rFonts w:cstheme="minorHAnsi"/>
                <w:color w:val="313131"/>
                <w:shd w:val="clear" w:color="auto" w:fill="FFFFFF"/>
              </w:rPr>
            </w:pPr>
            <w:r>
              <w:rPr>
                <w:rFonts w:cstheme="minorHAnsi"/>
                <w:color w:val="313131"/>
                <w:shd w:val="clear" w:color="auto" w:fill="FFFFFF"/>
              </w:rPr>
              <w:t>12% (2015)</w:t>
            </w:r>
          </w:p>
        </w:tc>
      </w:tr>
      <w:tr w:rsidR="00CA7D57" w14:paraId="407EBC26" w14:textId="77777777" w:rsidTr="009600D7">
        <w:tc>
          <w:tcPr>
            <w:tcW w:w="2122" w:type="dxa"/>
            <w:tcBorders>
              <w:top w:val="single" w:sz="4" w:space="0" w:color="auto"/>
              <w:left w:val="single" w:sz="4" w:space="0" w:color="auto"/>
              <w:bottom w:val="single" w:sz="4" w:space="0" w:color="auto"/>
              <w:right w:val="single" w:sz="4" w:space="0" w:color="auto"/>
            </w:tcBorders>
            <w:hideMark/>
          </w:tcPr>
          <w:p w14:paraId="7CE716F0" w14:textId="77777777" w:rsidR="00CA7D57" w:rsidRDefault="00CA7D57" w:rsidP="00550A9D">
            <w:pPr>
              <w:pStyle w:val="NoSpacing"/>
              <w:rPr>
                <w:rFonts w:cstheme="minorHAnsi"/>
                <w:color w:val="313131"/>
                <w:shd w:val="clear" w:color="auto" w:fill="FFFFFF"/>
              </w:rPr>
            </w:pPr>
            <w:r>
              <w:rPr>
                <w:rFonts w:cstheme="minorHAnsi"/>
                <w:color w:val="313131"/>
                <w:shd w:val="clear" w:color="auto" w:fill="FFFFFF"/>
              </w:rPr>
              <w:t xml:space="preserve">Fiji </w:t>
            </w:r>
          </w:p>
        </w:tc>
        <w:tc>
          <w:tcPr>
            <w:tcW w:w="2268" w:type="dxa"/>
            <w:tcBorders>
              <w:top w:val="single" w:sz="4" w:space="0" w:color="auto"/>
              <w:left w:val="single" w:sz="4" w:space="0" w:color="auto"/>
              <w:bottom w:val="single" w:sz="4" w:space="0" w:color="auto"/>
              <w:right w:val="single" w:sz="4" w:space="0" w:color="auto"/>
            </w:tcBorders>
            <w:hideMark/>
          </w:tcPr>
          <w:p w14:paraId="4867E67B" w14:textId="77777777" w:rsidR="00CA7D57" w:rsidRDefault="0074110D" w:rsidP="00550A9D">
            <w:pPr>
              <w:pStyle w:val="NoSpacing"/>
              <w:rPr>
                <w:rFonts w:cstheme="minorHAnsi"/>
                <w:color w:val="313131"/>
                <w:shd w:val="clear" w:color="auto" w:fill="FFFFFF"/>
              </w:rPr>
            </w:pPr>
            <w:r>
              <w:rPr>
                <w:rFonts w:cstheme="minorHAnsi"/>
                <w:color w:val="313131"/>
                <w:shd w:val="clear" w:color="auto" w:fill="FFFFFF"/>
              </w:rPr>
              <w:t>28</w:t>
            </w:r>
            <w:r w:rsidR="00CA7D57">
              <w:rPr>
                <w:rFonts w:cstheme="minorHAnsi"/>
                <w:color w:val="313131"/>
                <w:shd w:val="clear" w:color="auto" w:fill="FFFFFF"/>
              </w:rPr>
              <w:t xml:space="preserve"> (201</w:t>
            </w:r>
            <w:r>
              <w:rPr>
                <w:rFonts w:cstheme="minorHAnsi"/>
                <w:color w:val="313131"/>
                <w:shd w:val="clear" w:color="auto" w:fill="FFFFFF"/>
              </w:rPr>
              <w:t>6</w:t>
            </w:r>
            <w:r w:rsidR="00CA7D57">
              <w:rPr>
                <w:rFonts w:cstheme="minorHAnsi"/>
                <w:color w:val="313131"/>
                <w:shd w:val="clear" w:color="auto" w:fill="FFFFFF"/>
              </w:rPr>
              <w:t>)</w:t>
            </w:r>
          </w:p>
        </w:tc>
        <w:tc>
          <w:tcPr>
            <w:tcW w:w="3427" w:type="dxa"/>
            <w:tcBorders>
              <w:top w:val="single" w:sz="4" w:space="0" w:color="auto"/>
              <w:left w:val="single" w:sz="4" w:space="0" w:color="auto"/>
              <w:bottom w:val="single" w:sz="4" w:space="0" w:color="auto"/>
              <w:right w:val="single" w:sz="4" w:space="0" w:color="auto"/>
            </w:tcBorders>
            <w:hideMark/>
          </w:tcPr>
          <w:p w14:paraId="5501C8BC" w14:textId="77777777" w:rsidR="00CA7D57" w:rsidRDefault="00CA7D57" w:rsidP="00550A9D">
            <w:pPr>
              <w:pStyle w:val="NoSpacing"/>
              <w:rPr>
                <w:rFonts w:cstheme="minorHAnsi"/>
                <w:color w:val="313131"/>
                <w:shd w:val="clear" w:color="auto" w:fill="FFFFFF"/>
              </w:rPr>
            </w:pPr>
            <w:r>
              <w:rPr>
                <w:rFonts w:cstheme="minorHAnsi"/>
                <w:color w:val="313131"/>
                <w:shd w:val="clear" w:color="auto" w:fill="FFFFFF"/>
              </w:rPr>
              <w:t>20% (2000)</w:t>
            </w:r>
          </w:p>
        </w:tc>
      </w:tr>
      <w:tr w:rsidR="00CA7D57" w14:paraId="352DE046" w14:textId="77777777" w:rsidTr="009600D7">
        <w:tc>
          <w:tcPr>
            <w:tcW w:w="2122" w:type="dxa"/>
            <w:tcBorders>
              <w:top w:val="single" w:sz="4" w:space="0" w:color="auto"/>
              <w:left w:val="single" w:sz="4" w:space="0" w:color="auto"/>
              <w:bottom w:val="single" w:sz="4" w:space="0" w:color="auto"/>
              <w:right w:val="single" w:sz="4" w:space="0" w:color="auto"/>
            </w:tcBorders>
            <w:hideMark/>
          </w:tcPr>
          <w:p w14:paraId="5904CE34" w14:textId="77777777" w:rsidR="00CA7D57" w:rsidRDefault="00CA7D57" w:rsidP="00550A9D">
            <w:pPr>
              <w:pStyle w:val="NoSpacing"/>
              <w:rPr>
                <w:rFonts w:cstheme="minorHAnsi"/>
                <w:color w:val="313131"/>
                <w:shd w:val="clear" w:color="auto" w:fill="FFFFFF"/>
              </w:rPr>
            </w:pPr>
            <w:r>
              <w:rPr>
                <w:rFonts w:cstheme="minorHAnsi"/>
                <w:color w:val="313131"/>
                <w:shd w:val="clear" w:color="auto" w:fill="FFFFFF"/>
              </w:rPr>
              <w:t>Kiribati</w:t>
            </w:r>
          </w:p>
        </w:tc>
        <w:tc>
          <w:tcPr>
            <w:tcW w:w="2268" w:type="dxa"/>
            <w:tcBorders>
              <w:top w:val="single" w:sz="4" w:space="0" w:color="auto"/>
              <w:left w:val="single" w:sz="4" w:space="0" w:color="auto"/>
              <w:bottom w:val="single" w:sz="4" w:space="0" w:color="auto"/>
              <w:right w:val="single" w:sz="4" w:space="0" w:color="auto"/>
            </w:tcBorders>
            <w:hideMark/>
          </w:tcPr>
          <w:p w14:paraId="286776E9" w14:textId="77777777" w:rsidR="00CA7D57" w:rsidRDefault="00CA7D57" w:rsidP="00550A9D">
            <w:pPr>
              <w:pStyle w:val="NoSpacing"/>
              <w:rPr>
                <w:rFonts w:cstheme="minorHAnsi"/>
                <w:color w:val="313131"/>
                <w:shd w:val="clear" w:color="auto" w:fill="FFFFFF"/>
              </w:rPr>
            </w:pPr>
            <w:r>
              <w:rPr>
                <w:rFonts w:cstheme="minorHAnsi"/>
                <w:color w:val="313131"/>
                <w:shd w:val="clear" w:color="auto" w:fill="FFFFFF"/>
              </w:rPr>
              <w:t xml:space="preserve"> 51 (2019)</w:t>
            </w:r>
          </w:p>
        </w:tc>
        <w:tc>
          <w:tcPr>
            <w:tcW w:w="3427" w:type="dxa"/>
            <w:tcBorders>
              <w:top w:val="single" w:sz="4" w:space="0" w:color="auto"/>
              <w:left w:val="single" w:sz="4" w:space="0" w:color="auto"/>
              <w:bottom w:val="single" w:sz="4" w:space="0" w:color="auto"/>
              <w:right w:val="single" w:sz="4" w:space="0" w:color="auto"/>
            </w:tcBorders>
            <w:hideMark/>
          </w:tcPr>
          <w:p w14:paraId="24499034" w14:textId="77777777" w:rsidR="00CA7D57" w:rsidRDefault="00CA7D57" w:rsidP="00550A9D">
            <w:pPr>
              <w:pStyle w:val="NoSpacing"/>
              <w:rPr>
                <w:rFonts w:cstheme="minorHAnsi"/>
                <w:color w:val="313131"/>
                <w:shd w:val="clear" w:color="auto" w:fill="FFFFFF"/>
              </w:rPr>
            </w:pPr>
            <w:r>
              <w:rPr>
                <w:rFonts w:cstheme="minorHAnsi"/>
                <w:color w:val="313131"/>
                <w:shd w:val="clear" w:color="auto" w:fill="FFFFFF"/>
              </w:rPr>
              <w:t>17.3% (2019)</w:t>
            </w:r>
          </w:p>
        </w:tc>
      </w:tr>
      <w:tr w:rsidR="00CA7D57" w14:paraId="73AAACA1" w14:textId="77777777" w:rsidTr="009600D7">
        <w:tc>
          <w:tcPr>
            <w:tcW w:w="2122" w:type="dxa"/>
            <w:tcBorders>
              <w:top w:val="single" w:sz="4" w:space="0" w:color="auto"/>
              <w:left w:val="single" w:sz="4" w:space="0" w:color="auto"/>
              <w:bottom w:val="single" w:sz="4" w:space="0" w:color="auto"/>
              <w:right w:val="single" w:sz="4" w:space="0" w:color="auto"/>
            </w:tcBorders>
            <w:hideMark/>
          </w:tcPr>
          <w:p w14:paraId="3C01BEE9" w14:textId="77777777" w:rsidR="00CA7D57" w:rsidRDefault="00CA7D57" w:rsidP="00550A9D">
            <w:pPr>
              <w:pStyle w:val="NoSpacing"/>
              <w:rPr>
                <w:rFonts w:cstheme="minorHAnsi"/>
                <w:color w:val="313131"/>
                <w:shd w:val="clear" w:color="auto" w:fill="FFFFFF"/>
              </w:rPr>
            </w:pPr>
            <w:r>
              <w:rPr>
                <w:rFonts w:cstheme="minorHAnsi"/>
                <w:color w:val="313131"/>
                <w:shd w:val="clear" w:color="auto" w:fill="FFFFFF"/>
              </w:rPr>
              <w:t>Samoa</w:t>
            </w:r>
          </w:p>
        </w:tc>
        <w:tc>
          <w:tcPr>
            <w:tcW w:w="2268" w:type="dxa"/>
            <w:tcBorders>
              <w:top w:val="single" w:sz="4" w:space="0" w:color="auto"/>
              <w:left w:val="single" w:sz="4" w:space="0" w:color="auto"/>
              <w:bottom w:val="single" w:sz="4" w:space="0" w:color="auto"/>
              <w:right w:val="single" w:sz="4" w:space="0" w:color="auto"/>
            </w:tcBorders>
            <w:hideMark/>
          </w:tcPr>
          <w:p w14:paraId="2A05D68C" w14:textId="77777777" w:rsidR="00CA7D57" w:rsidRDefault="00CA7D57" w:rsidP="00550A9D">
            <w:pPr>
              <w:pStyle w:val="NoSpacing"/>
              <w:rPr>
                <w:rFonts w:cstheme="minorHAnsi"/>
                <w:color w:val="313131"/>
                <w:shd w:val="clear" w:color="auto" w:fill="FFFFFF"/>
              </w:rPr>
            </w:pPr>
            <w:r>
              <w:rPr>
                <w:rFonts w:cstheme="minorHAnsi"/>
                <w:color w:val="313131"/>
                <w:shd w:val="clear" w:color="auto" w:fill="FFFFFF"/>
              </w:rPr>
              <w:t xml:space="preserve"> 55 (2019)</w:t>
            </w:r>
          </w:p>
        </w:tc>
        <w:tc>
          <w:tcPr>
            <w:tcW w:w="3427" w:type="dxa"/>
            <w:tcBorders>
              <w:top w:val="single" w:sz="4" w:space="0" w:color="auto"/>
              <w:left w:val="single" w:sz="4" w:space="0" w:color="auto"/>
              <w:bottom w:val="single" w:sz="4" w:space="0" w:color="auto"/>
              <w:right w:val="single" w:sz="4" w:space="0" w:color="auto"/>
            </w:tcBorders>
            <w:hideMark/>
          </w:tcPr>
          <w:p w14:paraId="3D0493E6" w14:textId="77777777" w:rsidR="00CA7D57" w:rsidRDefault="00CA7D57" w:rsidP="00550A9D">
            <w:pPr>
              <w:pStyle w:val="NoSpacing"/>
              <w:rPr>
                <w:rFonts w:cstheme="minorHAnsi"/>
                <w:color w:val="313131"/>
                <w:shd w:val="clear" w:color="auto" w:fill="FFFFFF"/>
              </w:rPr>
            </w:pPr>
            <w:r>
              <w:rPr>
                <w:rFonts w:cstheme="minorHAnsi"/>
                <w:color w:val="313131"/>
                <w:shd w:val="clear" w:color="auto" w:fill="FFFFFF"/>
              </w:rPr>
              <w:t>38.9% (2019)</w:t>
            </w:r>
          </w:p>
        </w:tc>
      </w:tr>
      <w:tr w:rsidR="00CA7D57" w14:paraId="53AAB0FC" w14:textId="77777777" w:rsidTr="009600D7">
        <w:tc>
          <w:tcPr>
            <w:tcW w:w="2122" w:type="dxa"/>
            <w:tcBorders>
              <w:top w:val="single" w:sz="4" w:space="0" w:color="auto"/>
              <w:left w:val="single" w:sz="4" w:space="0" w:color="auto"/>
              <w:bottom w:val="single" w:sz="4" w:space="0" w:color="auto"/>
              <w:right w:val="single" w:sz="4" w:space="0" w:color="auto"/>
            </w:tcBorders>
            <w:hideMark/>
          </w:tcPr>
          <w:p w14:paraId="75AD80AA" w14:textId="77777777" w:rsidR="00CA7D57" w:rsidRDefault="00CA7D57" w:rsidP="00550A9D">
            <w:pPr>
              <w:pStyle w:val="NoSpacing"/>
              <w:rPr>
                <w:rFonts w:cstheme="minorHAnsi"/>
                <w:color w:val="313131"/>
                <w:shd w:val="clear" w:color="auto" w:fill="FFFFFF"/>
              </w:rPr>
            </w:pPr>
            <w:r>
              <w:rPr>
                <w:rFonts w:cstheme="minorHAnsi"/>
                <w:color w:val="313131"/>
                <w:shd w:val="clear" w:color="auto" w:fill="FFFFFF"/>
              </w:rPr>
              <w:t>Solomon Islands</w:t>
            </w:r>
          </w:p>
        </w:tc>
        <w:tc>
          <w:tcPr>
            <w:tcW w:w="2268" w:type="dxa"/>
            <w:tcBorders>
              <w:top w:val="single" w:sz="4" w:space="0" w:color="auto"/>
              <w:left w:val="single" w:sz="4" w:space="0" w:color="auto"/>
              <w:bottom w:val="single" w:sz="4" w:space="0" w:color="auto"/>
              <w:right w:val="single" w:sz="4" w:space="0" w:color="auto"/>
            </w:tcBorders>
            <w:hideMark/>
          </w:tcPr>
          <w:p w14:paraId="1C2DF46B" w14:textId="77777777" w:rsidR="00CA7D57" w:rsidRDefault="00CA7D57" w:rsidP="00550A9D">
            <w:pPr>
              <w:pStyle w:val="NoSpacing"/>
              <w:rPr>
                <w:rFonts w:cstheme="minorHAnsi"/>
                <w:color w:val="313131"/>
                <w:shd w:val="clear" w:color="auto" w:fill="FFFFFF"/>
              </w:rPr>
            </w:pPr>
            <w:r>
              <w:rPr>
                <w:rFonts w:cstheme="minorHAnsi"/>
                <w:color w:val="313131"/>
                <w:shd w:val="clear" w:color="auto" w:fill="FFFFFF"/>
              </w:rPr>
              <w:t>77 (2015)</w:t>
            </w:r>
          </w:p>
        </w:tc>
        <w:tc>
          <w:tcPr>
            <w:tcW w:w="3427" w:type="dxa"/>
            <w:tcBorders>
              <w:top w:val="single" w:sz="4" w:space="0" w:color="auto"/>
              <w:left w:val="single" w:sz="4" w:space="0" w:color="auto"/>
              <w:bottom w:val="single" w:sz="4" w:space="0" w:color="auto"/>
              <w:right w:val="single" w:sz="4" w:space="0" w:color="auto"/>
            </w:tcBorders>
            <w:hideMark/>
          </w:tcPr>
          <w:p w14:paraId="2A066DB0" w14:textId="77777777" w:rsidR="00CA7D57" w:rsidRDefault="00CA7D57" w:rsidP="00550A9D">
            <w:pPr>
              <w:pStyle w:val="NoSpacing"/>
              <w:rPr>
                <w:rFonts w:cstheme="minorHAnsi"/>
                <w:color w:val="313131"/>
                <w:shd w:val="clear" w:color="auto" w:fill="FFFFFF"/>
              </w:rPr>
            </w:pPr>
            <w:r>
              <w:rPr>
                <w:rFonts w:cstheme="minorHAnsi"/>
                <w:color w:val="313131"/>
                <w:shd w:val="clear" w:color="auto" w:fill="FFFFFF"/>
              </w:rPr>
              <w:t>34.7% (2015)</w:t>
            </w:r>
          </w:p>
        </w:tc>
      </w:tr>
      <w:tr w:rsidR="00CA7D57" w14:paraId="609D08BE" w14:textId="77777777" w:rsidTr="009600D7">
        <w:tc>
          <w:tcPr>
            <w:tcW w:w="2122" w:type="dxa"/>
            <w:tcBorders>
              <w:top w:val="single" w:sz="4" w:space="0" w:color="auto"/>
              <w:left w:val="single" w:sz="4" w:space="0" w:color="auto"/>
              <w:bottom w:val="single" w:sz="4" w:space="0" w:color="auto"/>
              <w:right w:val="single" w:sz="4" w:space="0" w:color="auto"/>
            </w:tcBorders>
            <w:hideMark/>
          </w:tcPr>
          <w:p w14:paraId="5654884A" w14:textId="77777777" w:rsidR="00CA7D57" w:rsidRDefault="00CA7D57" w:rsidP="00550A9D">
            <w:pPr>
              <w:pStyle w:val="NoSpacing"/>
              <w:rPr>
                <w:rFonts w:cstheme="minorHAnsi"/>
                <w:color w:val="313131"/>
                <w:shd w:val="clear" w:color="auto" w:fill="FFFFFF"/>
              </w:rPr>
            </w:pPr>
            <w:r>
              <w:rPr>
                <w:rFonts w:cstheme="minorHAnsi"/>
                <w:color w:val="313131"/>
                <w:shd w:val="clear" w:color="auto" w:fill="FFFFFF"/>
              </w:rPr>
              <w:t>Tonga</w:t>
            </w:r>
          </w:p>
        </w:tc>
        <w:tc>
          <w:tcPr>
            <w:tcW w:w="2268" w:type="dxa"/>
            <w:tcBorders>
              <w:top w:val="single" w:sz="4" w:space="0" w:color="auto"/>
              <w:left w:val="single" w:sz="4" w:space="0" w:color="auto"/>
              <w:bottom w:val="single" w:sz="4" w:space="0" w:color="auto"/>
              <w:right w:val="single" w:sz="4" w:space="0" w:color="auto"/>
            </w:tcBorders>
            <w:hideMark/>
          </w:tcPr>
          <w:p w14:paraId="03FD696F" w14:textId="77777777" w:rsidR="00CA7D57" w:rsidRDefault="00CA7D57" w:rsidP="00550A9D">
            <w:pPr>
              <w:pStyle w:val="NoSpacing"/>
              <w:rPr>
                <w:rFonts w:cstheme="minorHAnsi"/>
                <w:color w:val="313131"/>
                <w:shd w:val="clear" w:color="auto" w:fill="FFFFFF"/>
              </w:rPr>
            </w:pPr>
            <w:r>
              <w:rPr>
                <w:rFonts w:cstheme="minorHAnsi"/>
                <w:color w:val="313131"/>
                <w:shd w:val="clear" w:color="auto" w:fill="FFFFFF"/>
              </w:rPr>
              <w:t>32 (2019)</w:t>
            </w:r>
          </w:p>
        </w:tc>
        <w:tc>
          <w:tcPr>
            <w:tcW w:w="3427" w:type="dxa"/>
            <w:tcBorders>
              <w:top w:val="single" w:sz="4" w:space="0" w:color="auto"/>
              <w:left w:val="single" w:sz="4" w:space="0" w:color="auto"/>
              <w:bottom w:val="single" w:sz="4" w:space="0" w:color="auto"/>
              <w:right w:val="single" w:sz="4" w:space="0" w:color="auto"/>
            </w:tcBorders>
            <w:hideMark/>
          </w:tcPr>
          <w:p w14:paraId="2BC2860A" w14:textId="77777777" w:rsidR="00CA7D57" w:rsidRDefault="00CA7D57" w:rsidP="00550A9D">
            <w:pPr>
              <w:pStyle w:val="NoSpacing"/>
              <w:rPr>
                <w:rFonts w:cstheme="minorHAnsi"/>
                <w:color w:val="313131"/>
                <w:shd w:val="clear" w:color="auto" w:fill="FFFFFF"/>
              </w:rPr>
            </w:pPr>
            <w:r>
              <w:rPr>
                <w:rFonts w:cstheme="minorHAnsi"/>
                <w:color w:val="313131"/>
                <w:shd w:val="clear" w:color="auto" w:fill="FFFFFF"/>
              </w:rPr>
              <w:t>22.5% (2019)</w:t>
            </w:r>
          </w:p>
        </w:tc>
      </w:tr>
      <w:tr w:rsidR="00CA7D57" w14:paraId="22D764C2" w14:textId="77777777" w:rsidTr="009600D7">
        <w:tc>
          <w:tcPr>
            <w:tcW w:w="2122" w:type="dxa"/>
            <w:tcBorders>
              <w:top w:val="single" w:sz="4" w:space="0" w:color="auto"/>
              <w:left w:val="single" w:sz="4" w:space="0" w:color="auto"/>
              <w:bottom w:val="single" w:sz="4" w:space="0" w:color="auto"/>
              <w:right w:val="single" w:sz="4" w:space="0" w:color="auto"/>
            </w:tcBorders>
            <w:hideMark/>
          </w:tcPr>
          <w:p w14:paraId="03655C6F" w14:textId="77777777" w:rsidR="00CA7D57" w:rsidRDefault="00CA7D57" w:rsidP="00550A9D">
            <w:pPr>
              <w:pStyle w:val="NoSpacing"/>
              <w:rPr>
                <w:rFonts w:cstheme="minorHAnsi"/>
                <w:color w:val="313131"/>
                <w:shd w:val="clear" w:color="auto" w:fill="FFFFFF"/>
              </w:rPr>
            </w:pPr>
            <w:r>
              <w:rPr>
                <w:rFonts w:cstheme="minorHAnsi"/>
                <w:color w:val="313131"/>
                <w:shd w:val="clear" w:color="auto" w:fill="FFFFFF"/>
              </w:rPr>
              <w:t>Vanuatu</w:t>
            </w:r>
          </w:p>
        </w:tc>
        <w:tc>
          <w:tcPr>
            <w:tcW w:w="2268" w:type="dxa"/>
            <w:tcBorders>
              <w:top w:val="single" w:sz="4" w:space="0" w:color="auto"/>
              <w:left w:val="single" w:sz="4" w:space="0" w:color="auto"/>
              <w:bottom w:val="single" w:sz="4" w:space="0" w:color="auto"/>
              <w:right w:val="single" w:sz="4" w:space="0" w:color="auto"/>
            </w:tcBorders>
            <w:hideMark/>
          </w:tcPr>
          <w:p w14:paraId="6297C804" w14:textId="77777777" w:rsidR="00CA7D57" w:rsidRDefault="00CA7D57" w:rsidP="00550A9D">
            <w:pPr>
              <w:pStyle w:val="NoSpacing"/>
              <w:rPr>
                <w:rFonts w:cstheme="minorHAnsi"/>
                <w:color w:val="313131"/>
                <w:shd w:val="clear" w:color="auto" w:fill="FFFFFF"/>
              </w:rPr>
            </w:pPr>
            <w:r>
              <w:rPr>
                <w:rFonts w:cstheme="minorHAnsi"/>
                <w:color w:val="313131"/>
                <w:shd w:val="clear" w:color="auto" w:fill="FFFFFF"/>
              </w:rPr>
              <w:t>81 (2013)</w:t>
            </w:r>
          </w:p>
        </w:tc>
        <w:tc>
          <w:tcPr>
            <w:tcW w:w="3427" w:type="dxa"/>
            <w:tcBorders>
              <w:top w:val="single" w:sz="4" w:space="0" w:color="auto"/>
              <w:left w:val="single" w:sz="4" w:space="0" w:color="auto"/>
              <w:bottom w:val="single" w:sz="4" w:space="0" w:color="auto"/>
              <w:right w:val="single" w:sz="4" w:space="0" w:color="auto"/>
            </w:tcBorders>
            <w:hideMark/>
          </w:tcPr>
          <w:p w14:paraId="73E13C68" w14:textId="77777777" w:rsidR="00CA7D57" w:rsidRDefault="00CA7D57" w:rsidP="00550A9D">
            <w:pPr>
              <w:pStyle w:val="NoSpacing"/>
              <w:rPr>
                <w:rFonts w:cstheme="minorHAnsi"/>
                <w:color w:val="313131"/>
                <w:shd w:val="clear" w:color="auto" w:fill="FFFFFF"/>
              </w:rPr>
            </w:pPr>
            <w:r>
              <w:rPr>
                <w:rFonts w:cstheme="minorHAnsi"/>
                <w:color w:val="313131"/>
                <w:shd w:val="clear" w:color="auto" w:fill="FFFFFF"/>
              </w:rPr>
              <w:t>24.2% (2013)</w:t>
            </w:r>
          </w:p>
        </w:tc>
      </w:tr>
    </w:tbl>
    <w:p w14:paraId="3C412D6F" w14:textId="77777777" w:rsidR="009600D7" w:rsidRDefault="00CA7D57" w:rsidP="009600D7">
      <w:pPr>
        <w:autoSpaceDE w:val="0"/>
        <w:autoSpaceDN w:val="0"/>
        <w:adjustRightInd w:val="0"/>
        <w:spacing w:after="0"/>
        <w:rPr>
          <w:rFonts w:cstheme="minorHAnsi"/>
          <w:b/>
          <w:bCs/>
          <w:color w:val="313131"/>
          <w:sz w:val="18"/>
          <w:szCs w:val="18"/>
          <w:shd w:val="clear" w:color="auto" w:fill="FFFFFF"/>
        </w:rPr>
      </w:pPr>
      <w:r>
        <w:rPr>
          <w:rFonts w:cstheme="minorHAnsi"/>
          <w:b/>
          <w:bCs/>
          <w:color w:val="313131"/>
          <w:sz w:val="18"/>
          <w:szCs w:val="18"/>
          <w:shd w:val="clear" w:color="auto" w:fill="FFFFFF"/>
        </w:rPr>
        <w:t>Source: National Minimum Development Indicators, in UNFPA Current RMNCAH Workforce in the Pacific Islands, 2019. 2019 figures are from the most recent Demographic Health Surveys (DHS)/Multiple Indicator Cluster Surveys (MICS) in those countries</w:t>
      </w:r>
      <w:r w:rsidR="0074110D">
        <w:rPr>
          <w:rFonts w:cstheme="minorHAnsi"/>
          <w:b/>
          <w:bCs/>
          <w:color w:val="313131"/>
          <w:sz w:val="18"/>
          <w:szCs w:val="18"/>
          <w:shd w:val="clear" w:color="auto" w:fill="FFFFFF"/>
        </w:rPr>
        <w:t>. Fiji data from MOH Health Status Report, 2016.</w:t>
      </w:r>
      <w:r w:rsidR="009600D7">
        <w:rPr>
          <w:rFonts w:cstheme="minorHAnsi"/>
          <w:b/>
          <w:bCs/>
          <w:color w:val="313131"/>
          <w:sz w:val="18"/>
          <w:szCs w:val="18"/>
          <w:shd w:val="clear" w:color="auto" w:fill="FFFFFF"/>
        </w:rPr>
        <w:t xml:space="preserve"> </w:t>
      </w:r>
      <w:r w:rsidR="009C1B51">
        <w:rPr>
          <w:rFonts w:cstheme="minorHAnsi"/>
          <w:b/>
          <w:bCs/>
          <w:color w:val="313131"/>
          <w:sz w:val="18"/>
          <w:szCs w:val="18"/>
          <w:shd w:val="clear" w:color="auto" w:fill="FFFFFF"/>
        </w:rPr>
        <w:t xml:space="preserve">Adolescent birth rate </w:t>
      </w:r>
      <w:r w:rsidR="009C1B51" w:rsidRPr="009C1B51">
        <w:rPr>
          <w:rFonts w:cstheme="minorHAnsi"/>
          <w:b/>
          <w:bCs/>
          <w:color w:val="313131"/>
          <w:sz w:val="18"/>
          <w:szCs w:val="18"/>
          <w:shd w:val="clear" w:color="auto" w:fill="FFFFFF"/>
        </w:rPr>
        <w:t>-</w:t>
      </w:r>
      <w:r w:rsidR="009C1B51" w:rsidRPr="00E87883">
        <w:rPr>
          <w:rFonts w:cstheme="minorHAnsi"/>
          <w:b/>
          <w:bCs/>
          <w:color w:val="313131"/>
          <w:sz w:val="18"/>
          <w:szCs w:val="18"/>
          <w:shd w:val="clear" w:color="auto" w:fill="FFFFFF"/>
        </w:rPr>
        <w:t xml:space="preserve"> </w:t>
      </w:r>
      <w:r w:rsidR="009C1B51" w:rsidRPr="00303081">
        <w:rPr>
          <w:rFonts w:ascii="Calibri" w:hAnsi="Calibri" w:cs="Calibri"/>
          <w:b/>
          <w:bCs/>
          <w:sz w:val="18"/>
          <w:szCs w:val="18"/>
        </w:rPr>
        <w:t>pregnancies per 1,000 girls aged 15-19 years</w:t>
      </w:r>
      <w:r w:rsidR="009600D7" w:rsidRPr="00303081">
        <w:rPr>
          <w:rFonts w:ascii="Calibri" w:hAnsi="Calibri" w:cs="Calibri"/>
          <w:b/>
          <w:bCs/>
          <w:sz w:val="18"/>
          <w:szCs w:val="18"/>
        </w:rPr>
        <w:t>.</w:t>
      </w:r>
      <w:r w:rsidR="009600D7">
        <w:rPr>
          <w:rFonts w:ascii="Calibri" w:hAnsi="Calibri" w:cs="Calibri"/>
          <w:sz w:val="18"/>
          <w:szCs w:val="18"/>
        </w:rPr>
        <w:t xml:space="preserve"> </w:t>
      </w:r>
      <w:r w:rsidR="009C1B51">
        <w:rPr>
          <w:rFonts w:cstheme="minorHAnsi"/>
          <w:b/>
          <w:bCs/>
          <w:color w:val="313131"/>
          <w:sz w:val="18"/>
          <w:szCs w:val="18"/>
          <w:shd w:val="clear" w:color="auto" w:fill="FFFFFF"/>
        </w:rPr>
        <w:t xml:space="preserve">Unmet need for FP - % of women of reproductive age, either married or in a union who have unmet need for </w:t>
      </w:r>
      <w:proofErr w:type="gramStart"/>
      <w:r w:rsidR="009C1B51">
        <w:rPr>
          <w:rFonts w:cstheme="minorHAnsi"/>
          <w:b/>
          <w:bCs/>
          <w:color w:val="313131"/>
          <w:sz w:val="18"/>
          <w:szCs w:val="18"/>
          <w:shd w:val="clear" w:color="auto" w:fill="FFFFFF"/>
        </w:rPr>
        <w:t>FP</w:t>
      </w:r>
      <w:proofErr w:type="gramEnd"/>
    </w:p>
    <w:p w14:paraId="2B78D5B0" w14:textId="77777777" w:rsidR="009600D7" w:rsidRDefault="009600D7" w:rsidP="00550A9D">
      <w:pPr>
        <w:pStyle w:val="NoSpacing"/>
        <w:rPr>
          <w:rFonts w:cstheme="minorHAnsi"/>
          <w:b/>
          <w:bCs/>
          <w:color w:val="313131"/>
          <w:sz w:val="18"/>
          <w:szCs w:val="18"/>
          <w:shd w:val="clear" w:color="auto" w:fill="FFFFFF"/>
        </w:rPr>
      </w:pPr>
    </w:p>
    <w:p w14:paraId="55AA9D06" w14:textId="77777777" w:rsidR="00CA7D57" w:rsidRDefault="009C1B51" w:rsidP="00550A9D">
      <w:pPr>
        <w:pStyle w:val="NoSpacing"/>
        <w:rPr>
          <w:shd w:val="clear" w:color="auto" w:fill="FFFFFF"/>
        </w:rPr>
      </w:pPr>
      <w:r>
        <w:rPr>
          <w:shd w:val="clear" w:color="auto" w:fill="FFFFFF"/>
        </w:rPr>
        <w:t>H</w:t>
      </w:r>
      <w:r w:rsidR="00CA7D57">
        <w:rPr>
          <w:shd w:val="clear" w:color="auto" w:fill="FFFFFF"/>
        </w:rPr>
        <w:t>ealth system challenges contributing to sub-optimal family planning practices include poor quality of SRH services</w:t>
      </w:r>
      <w:r w:rsidR="00FD1CE5">
        <w:rPr>
          <w:shd w:val="clear" w:color="auto" w:fill="FFFFFF"/>
        </w:rPr>
        <w:t>;</w:t>
      </w:r>
      <w:r w:rsidR="00CA7D57">
        <w:rPr>
          <w:shd w:val="clear" w:color="auto" w:fill="FFFFFF"/>
        </w:rPr>
        <w:t xml:space="preserve"> variable supplies of SRH commodities; limited capacity to implement strategies and plans</w:t>
      </w:r>
      <w:r w:rsidR="00FD1CE5">
        <w:rPr>
          <w:shd w:val="clear" w:color="auto" w:fill="FFFFFF"/>
        </w:rPr>
        <w:t>;</w:t>
      </w:r>
      <w:r w:rsidR="00CA7D57">
        <w:rPr>
          <w:shd w:val="clear" w:color="auto" w:fill="FFFFFF"/>
        </w:rPr>
        <w:t xml:space="preserve"> inadequate funding and insufficient political commitment. </w:t>
      </w:r>
    </w:p>
    <w:p w14:paraId="0D56D217" w14:textId="77777777" w:rsidR="00CA7D57" w:rsidRDefault="00CA7D57" w:rsidP="00550A9D">
      <w:pPr>
        <w:pStyle w:val="NoSpacing"/>
        <w:rPr>
          <w:shd w:val="clear" w:color="auto" w:fill="FFFFFF"/>
        </w:rPr>
      </w:pPr>
    </w:p>
    <w:p w14:paraId="56C666D7" w14:textId="77777777" w:rsidR="00CA7D57" w:rsidRDefault="00CA7D57" w:rsidP="00550A9D">
      <w:pPr>
        <w:pStyle w:val="NoSpacing"/>
      </w:pPr>
      <w:r>
        <w:t>Access to essential medicines is critical to achieving universal health coverage (UHC) and is also recogni</w:t>
      </w:r>
      <w:r w:rsidR="00FD1CE5">
        <w:t>s</w:t>
      </w:r>
      <w:r>
        <w:t>ed as a key building block of a strong health system. The UNFPA Supplies Program (2018-2022) aims to strengthen national supply chain systems’ capacity to reduce unmet need for FP in eight Pacific countries, including the six countries of the TA Program.</w:t>
      </w:r>
    </w:p>
    <w:p w14:paraId="14641F93" w14:textId="77777777" w:rsidR="00CA7D57" w:rsidRDefault="00CA7D57" w:rsidP="00550A9D">
      <w:pPr>
        <w:pStyle w:val="NoSpacing"/>
        <w:rPr>
          <w:shd w:val="clear" w:color="auto" w:fill="FFFFFF"/>
        </w:rPr>
      </w:pPr>
    </w:p>
    <w:p w14:paraId="601BF93B" w14:textId="77777777" w:rsidR="00CA7D57" w:rsidRDefault="00CA7D57" w:rsidP="00550A9D">
      <w:pPr>
        <w:pStyle w:val="NoSpacing"/>
        <w:rPr>
          <w:shd w:val="clear" w:color="auto" w:fill="FFFFFF"/>
        </w:rPr>
      </w:pPr>
      <w:r>
        <w:rPr>
          <w:shd w:val="clear" w:color="auto" w:fill="FFFFFF"/>
        </w:rPr>
        <w:t xml:space="preserve">The TA Program is designed to strengthen family planning demand and supply, and promote a conducive environment that supports sustainable, evidence-based family planning interventions. Demographic and target population data, and the number of service delivery points (SDPs) to be strengthened are provided in the following table.   </w:t>
      </w:r>
    </w:p>
    <w:p w14:paraId="2C353A6E" w14:textId="77777777" w:rsidR="00E062EA" w:rsidRDefault="00E062EA" w:rsidP="00CA7D57">
      <w:pPr>
        <w:rPr>
          <w:rFonts w:cstheme="minorHAnsi"/>
          <w:b/>
          <w:bCs/>
          <w:color w:val="333333"/>
          <w:szCs w:val="22"/>
          <w:shd w:val="clear" w:color="auto" w:fill="FFFFFF"/>
        </w:rPr>
      </w:pPr>
    </w:p>
    <w:p w14:paraId="110F5A51" w14:textId="77777777" w:rsidR="00CA7D57" w:rsidRDefault="00CA7D57" w:rsidP="00CA7D57">
      <w:pPr>
        <w:rPr>
          <w:rFonts w:cstheme="minorHAnsi"/>
          <w:b/>
          <w:bCs/>
          <w:color w:val="333333"/>
          <w:szCs w:val="22"/>
          <w:shd w:val="clear" w:color="auto" w:fill="FFFFFF"/>
        </w:rPr>
      </w:pPr>
      <w:r>
        <w:rPr>
          <w:rFonts w:cstheme="minorHAnsi"/>
          <w:b/>
          <w:bCs/>
          <w:color w:val="333333"/>
          <w:szCs w:val="22"/>
          <w:shd w:val="clear" w:color="auto" w:fill="FFFFFF"/>
        </w:rPr>
        <w:t>Table 2:  Selected Demographic Data in Program Countries</w:t>
      </w:r>
    </w:p>
    <w:tbl>
      <w:tblPr>
        <w:tblStyle w:val="GridTable5Dark"/>
        <w:tblW w:w="9630" w:type="dxa"/>
        <w:tblLayout w:type="fixed"/>
        <w:tblLook w:val="0420" w:firstRow="1" w:lastRow="0" w:firstColumn="0" w:lastColumn="0" w:noHBand="0" w:noVBand="1"/>
      </w:tblPr>
      <w:tblGrid>
        <w:gridCol w:w="2830"/>
        <w:gridCol w:w="1134"/>
        <w:gridCol w:w="1134"/>
        <w:gridCol w:w="1134"/>
        <w:gridCol w:w="1134"/>
        <w:gridCol w:w="1130"/>
        <w:gridCol w:w="1134"/>
      </w:tblGrid>
      <w:tr w:rsidR="00CA7D57" w14:paraId="704370BD" w14:textId="77777777" w:rsidTr="00E4259E">
        <w:trPr>
          <w:cnfStyle w:val="100000000000" w:firstRow="1" w:lastRow="0" w:firstColumn="0" w:lastColumn="0" w:oddVBand="0" w:evenVBand="0" w:oddHBand="0" w:evenHBand="0" w:firstRowFirstColumn="0" w:firstRowLastColumn="0" w:lastRowFirstColumn="0" w:lastRowLastColumn="0"/>
        </w:trPr>
        <w:tc>
          <w:tcPr>
            <w:tcW w:w="2830" w:type="dxa"/>
            <w:hideMark/>
          </w:tcPr>
          <w:p w14:paraId="15088C6D" w14:textId="77777777" w:rsidR="00CA7D57" w:rsidRPr="009600D7" w:rsidRDefault="00CA7D57" w:rsidP="00550A9D">
            <w:pPr>
              <w:pStyle w:val="NoSpacing"/>
            </w:pPr>
            <w:r w:rsidRPr="009600D7">
              <w:t>Demographic Data Point</w:t>
            </w:r>
          </w:p>
        </w:tc>
        <w:tc>
          <w:tcPr>
            <w:tcW w:w="1134" w:type="dxa"/>
            <w:hideMark/>
          </w:tcPr>
          <w:p w14:paraId="03FFF184" w14:textId="77777777" w:rsidR="00CA7D57" w:rsidRPr="009600D7" w:rsidRDefault="00CA7D57" w:rsidP="00550A9D">
            <w:pPr>
              <w:pStyle w:val="NoSpacing"/>
            </w:pPr>
            <w:r w:rsidRPr="009600D7">
              <w:t>Fiji</w:t>
            </w:r>
          </w:p>
        </w:tc>
        <w:tc>
          <w:tcPr>
            <w:tcW w:w="1134" w:type="dxa"/>
            <w:hideMark/>
          </w:tcPr>
          <w:p w14:paraId="0CE1061C" w14:textId="77777777" w:rsidR="00CA7D57" w:rsidRPr="009600D7" w:rsidRDefault="00CA7D57" w:rsidP="00550A9D">
            <w:pPr>
              <w:pStyle w:val="NoSpacing"/>
            </w:pPr>
            <w:r w:rsidRPr="009600D7">
              <w:t>Kiribati</w:t>
            </w:r>
          </w:p>
        </w:tc>
        <w:tc>
          <w:tcPr>
            <w:tcW w:w="1134" w:type="dxa"/>
            <w:hideMark/>
          </w:tcPr>
          <w:p w14:paraId="2FB419A5" w14:textId="77777777" w:rsidR="00CA7D57" w:rsidRPr="009600D7" w:rsidRDefault="00CA7D57" w:rsidP="00550A9D">
            <w:pPr>
              <w:pStyle w:val="NoSpacing"/>
            </w:pPr>
            <w:r w:rsidRPr="009600D7">
              <w:t>Samoa</w:t>
            </w:r>
          </w:p>
        </w:tc>
        <w:tc>
          <w:tcPr>
            <w:tcW w:w="1134" w:type="dxa"/>
            <w:hideMark/>
          </w:tcPr>
          <w:p w14:paraId="2B488EA2" w14:textId="77777777" w:rsidR="00CA7D57" w:rsidRPr="009600D7" w:rsidRDefault="00CA7D57" w:rsidP="00550A9D">
            <w:pPr>
              <w:pStyle w:val="NoSpacing"/>
            </w:pPr>
            <w:r w:rsidRPr="009600D7">
              <w:t>Sol</w:t>
            </w:r>
            <w:sdt>
              <w:sdtPr>
                <w:tag w:val="goog_rdk_18"/>
                <w:id w:val="-962260907"/>
              </w:sdtPr>
              <w:sdtEndPr/>
              <w:sdtContent>
                <w:r w:rsidRPr="009600D7">
                  <w:t xml:space="preserve">omon </w:t>
                </w:r>
              </w:sdtContent>
            </w:sdt>
            <w:r w:rsidRPr="009600D7">
              <w:t>Is</w:t>
            </w:r>
            <w:sdt>
              <w:sdtPr>
                <w:tag w:val="goog_rdk_20"/>
                <w:id w:val="2076247975"/>
              </w:sdtPr>
              <w:sdtEndPr/>
              <w:sdtContent>
                <w:r w:rsidRPr="009600D7">
                  <w:t>lands</w:t>
                </w:r>
              </w:sdtContent>
            </w:sdt>
          </w:p>
        </w:tc>
        <w:tc>
          <w:tcPr>
            <w:tcW w:w="1130" w:type="dxa"/>
            <w:hideMark/>
          </w:tcPr>
          <w:p w14:paraId="19949F77" w14:textId="77777777" w:rsidR="00CA7D57" w:rsidRPr="009600D7" w:rsidRDefault="00CA7D57" w:rsidP="00550A9D">
            <w:pPr>
              <w:pStyle w:val="NoSpacing"/>
            </w:pPr>
            <w:r w:rsidRPr="009600D7">
              <w:t>Tonga</w:t>
            </w:r>
          </w:p>
        </w:tc>
        <w:tc>
          <w:tcPr>
            <w:tcW w:w="1134" w:type="dxa"/>
            <w:hideMark/>
          </w:tcPr>
          <w:p w14:paraId="75B65E10" w14:textId="77777777" w:rsidR="00CA7D57" w:rsidRPr="009600D7" w:rsidRDefault="00CA7D57" w:rsidP="00550A9D">
            <w:pPr>
              <w:pStyle w:val="NoSpacing"/>
            </w:pPr>
            <w:r w:rsidRPr="009600D7">
              <w:t>Vanuatu</w:t>
            </w:r>
          </w:p>
        </w:tc>
      </w:tr>
      <w:tr w:rsidR="00CA7D57" w14:paraId="521AE19B" w14:textId="77777777" w:rsidTr="00E4259E">
        <w:trPr>
          <w:cnfStyle w:val="000000100000" w:firstRow="0" w:lastRow="0" w:firstColumn="0" w:lastColumn="0" w:oddVBand="0" w:evenVBand="0" w:oddHBand="1" w:evenHBand="0" w:firstRowFirstColumn="0" w:firstRowLastColumn="0" w:lastRowFirstColumn="0" w:lastRowLastColumn="0"/>
          <w:trHeight w:val="240"/>
        </w:trPr>
        <w:tc>
          <w:tcPr>
            <w:tcW w:w="2830" w:type="dxa"/>
            <w:hideMark/>
          </w:tcPr>
          <w:p w14:paraId="6648F646" w14:textId="77777777" w:rsidR="00CA7D57" w:rsidRDefault="00CA7D57" w:rsidP="00550A9D">
            <w:pPr>
              <w:pStyle w:val="NoSpacing"/>
            </w:pPr>
            <w:r>
              <w:t>Total Population (2016)</w:t>
            </w:r>
            <w:r>
              <w:rPr>
                <w:vertAlign w:val="superscript"/>
              </w:rPr>
              <w:footnoteReference w:id="8"/>
            </w:r>
          </w:p>
        </w:tc>
        <w:tc>
          <w:tcPr>
            <w:tcW w:w="1134" w:type="dxa"/>
            <w:hideMark/>
          </w:tcPr>
          <w:p w14:paraId="181CBFC3" w14:textId="77777777" w:rsidR="00CA7D57" w:rsidRDefault="00CA7D57" w:rsidP="00550A9D">
            <w:pPr>
              <w:pStyle w:val="NoSpacing"/>
            </w:pPr>
            <w:r>
              <w:t>884,887</w:t>
            </w:r>
            <w:r>
              <w:rPr>
                <w:rStyle w:val="FootnoteReference"/>
                <w:rFonts w:eastAsia="Calibri" w:cs="Calibri"/>
                <w:sz w:val="18"/>
                <w:szCs w:val="18"/>
              </w:rPr>
              <w:footnoteReference w:id="9"/>
            </w:r>
          </w:p>
        </w:tc>
        <w:tc>
          <w:tcPr>
            <w:tcW w:w="1134" w:type="dxa"/>
            <w:hideMark/>
          </w:tcPr>
          <w:p w14:paraId="21F557A3" w14:textId="77777777" w:rsidR="00CA7D57" w:rsidRDefault="00CA7D57" w:rsidP="00550A9D">
            <w:pPr>
              <w:pStyle w:val="NoSpacing"/>
            </w:pPr>
            <w:r>
              <w:t>114,388</w:t>
            </w:r>
          </w:p>
        </w:tc>
        <w:tc>
          <w:tcPr>
            <w:tcW w:w="1134" w:type="dxa"/>
            <w:hideMark/>
          </w:tcPr>
          <w:p w14:paraId="5C2FB9BE" w14:textId="77777777" w:rsidR="00CA7D57" w:rsidRDefault="00CA7D57" w:rsidP="00550A9D">
            <w:pPr>
              <w:pStyle w:val="NoSpacing"/>
            </w:pPr>
            <w:r>
              <w:t>195,137</w:t>
            </w:r>
          </w:p>
        </w:tc>
        <w:tc>
          <w:tcPr>
            <w:tcW w:w="1134" w:type="dxa"/>
            <w:hideMark/>
          </w:tcPr>
          <w:p w14:paraId="2DF58A56" w14:textId="77777777" w:rsidR="00CA7D57" w:rsidRDefault="00CA7D57" w:rsidP="00550A9D">
            <w:pPr>
              <w:pStyle w:val="NoSpacing"/>
            </w:pPr>
            <w:r>
              <w:t>553,254</w:t>
            </w:r>
          </w:p>
        </w:tc>
        <w:tc>
          <w:tcPr>
            <w:tcW w:w="1130" w:type="dxa"/>
            <w:hideMark/>
          </w:tcPr>
          <w:p w14:paraId="3FC8D6B1" w14:textId="77777777" w:rsidR="00CA7D57" w:rsidRDefault="00CA7D57" w:rsidP="00550A9D">
            <w:pPr>
              <w:pStyle w:val="NoSpacing"/>
            </w:pPr>
            <w:r>
              <w:t>100,651</w:t>
            </w:r>
          </w:p>
        </w:tc>
        <w:tc>
          <w:tcPr>
            <w:tcW w:w="1134" w:type="dxa"/>
            <w:hideMark/>
          </w:tcPr>
          <w:p w14:paraId="16E108CA" w14:textId="77777777" w:rsidR="00CA7D57" w:rsidRDefault="00CA7D57" w:rsidP="00550A9D">
            <w:pPr>
              <w:pStyle w:val="NoSpacing"/>
            </w:pPr>
            <w:r>
              <w:t>270,405</w:t>
            </w:r>
          </w:p>
        </w:tc>
      </w:tr>
      <w:tr w:rsidR="00CA7D57" w14:paraId="4B2F0BBE" w14:textId="77777777" w:rsidTr="00E4259E">
        <w:tc>
          <w:tcPr>
            <w:tcW w:w="2830" w:type="dxa"/>
            <w:hideMark/>
          </w:tcPr>
          <w:p w14:paraId="6C4DE84C" w14:textId="77777777" w:rsidR="00CA7D57" w:rsidRDefault="00CA7D57" w:rsidP="00550A9D">
            <w:pPr>
              <w:pStyle w:val="NoSpacing"/>
            </w:pPr>
            <w:r>
              <w:t xml:space="preserve">Total Women of Reproductive </w:t>
            </w:r>
            <w:sdt>
              <w:sdtPr>
                <w:tag w:val="goog_rdk_23"/>
                <w:id w:val="-994097252"/>
              </w:sdtPr>
              <w:sdtEndPr/>
              <w:sdtContent/>
            </w:sdt>
            <w:r>
              <w:t>Age (</w:t>
            </w:r>
            <w:r>
              <w:rPr>
                <w:rStyle w:val="FootnoteReference"/>
                <w:rFonts w:ascii="Calibri" w:eastAsia="Calibri" w:hAnsi="Calibri" w:cs="Calibri"/>
                <w:sz w:val="18"/>
                <w:szCs w:val="18"/>
              </w:rPr>
              <w:footnoteReference w:id="10"/>
            </w:r>
            <w:r>
              <w:t>)</w:t>
            </w:r>
          </w:p>
        </w:tc>
        <w:tc>
          <w:tcPr>
            <w:tcW w:w="1134" w:type="dxa"/>
            <w:hideMark/>
          </w:tcPr>
          <w:p w14:paraId="03D5A885" w14:textId="77777777" w:rsidR="00CA7D57" w:rsidRDefault="00CA7D57" w:rsidP="00550A9D">
            <w:pPr>
              <w:pStyle w:val="NoSpacing"/>
            </w:pPr>
            <w:r>
              <w:t>221,590</w:t>
            </w:r>
          </w:p>
        </w:tc>
        <w:tc>
          <w:tcPr>
            <w:tcW w:w="1134" w:type="dxa"/>
            <w:hideMark/>
          </w:tcPr>
          <w:p w14:paraId="36AEA200" w14:textId="77777777" w:rsidR="00CA7D57" w:rsidRDefault="00CA7D57" w:rsidP="00550A9D">
            <w:pPr>
              <w:pStyle w:val="NoSpacing"/>
            </w:pPr>
            <w:r>
              <w:t>29,655</w:t>
            </w:r>
          </w:p>
        </w:tc>
        <w:tc>
          <w:tcPr>
            <w:tcW w:w="1134" w:type="dxa"/>
            <w:hideMark/>
          </w:tcPr>
          <w:p w14:paraId="6489AFDE" w14:textId="77777777" w:rsidR="00CA7D57" w:rsidRDefault="00CA7D57" w:rsidP="00550A9D">
            <w:pPr>
              <w:pStyle w:val="NoSpacing"/>
            </w:pPr>
            <w:r>
              <w:t>43,436</w:t>
            </w:r>
          </w:p>
        </w:tc>
        <w:tc>
          <w:tcPr>
            <w:tcW w:w="1134" w:type="dxa"/>
            <w:hideMark/>
          </w:tcPr>
          <w:p w14:paraId="112CB7A2" w14:textId="77777777" w:rsidR="00CA7D57" w:rsidRDefault="00CA7D57" w:rsidP="00550A9D">
            <w:pPr>
              <w:pStyle w:val="NoSpacing"/>
            </w:pPr>
            <w:r>
              <w:t>148,247</w:t>
            </w:r>
          </w:p>
        </w:tc>
        <w:tc>
          <w:tcPr>
            <w:tcW w:w="1130" w:type="dxa"/>
            <w:hideMark/>
          </w:tcPr>
          <w:p w14:paraId="7B8D8F79" w14:textId="77777777" w:rsidR="00CA7D57" w:rsidRDefault="00CA7D57" w:rsidP="00550A9D">
            <w:pPr>
              <w:pStyle w:val="NoSpacing"/>
            </w:pPr>
            <w:r>
              <w:t>23,384</w:t>
            </w:r>
          </w:p>
        </w:tc>
        <w:tc>
          <w:tcPr>
            <w:tcW w:w="1134" w:type="dxa"/>
            <w:hideMark/>
          </w:tcPr>
          <w:p w14:paraId="00C61C0F" w14:textId="77777777" w:rsidR="00CA7D57" w:rsidRDefault="00CA7D57" w:rsidP="00550A9D">
            <w:pPr>
              <w:pStyle w:val="NoSpacing"/>
            </w:pPr>
            <w:r>
              <w:t>68,006</w:t>
            </w:r>
          </w:p>
        </w:tc>
      </w:tr>
      <w:tr w:rsidR="00CA7D57" w14:paraId="1EAB3ADD" w14:textId="77777777" w:rsidTr="00E4259E">
        <w:trPr>
          <w:cnfStyle w:val="000000100000" w:firstRow="0" w:lastRow="0" w:firstColumn="0" w:lastColumn="0" w:oddVBand="0" w:evenVBand="0" w:oddHBand="1" w:evenHBand="0" w:firstRowFirstColumn="0" w:firstRowLastColumn="0" w:lastRowFirstColumn="0" w:lastRowLastColumn="0"/>
        </w:trPr>
        <w:tc>
          <w:tcPr>
            <w:tcW w:w="2830" w:type="dxa"/>
            <w:hideMark/>
          </w:tcPr>
          <w:p w14:paraId="66E25CE0" w14:textId="77777777" w:rsidR="00CA7D57" w:rsidRDefault="00CA7D57" w:rsidP="00550A9D">
            <w:pPr>
              <w:pStyle w:val="NoSpacing"/>
            </w:pPr>
            <w:r>
              <w:lastRenderedPageBreak/>
              <w:t>Total Adolescents 10-19 (M&amp;</w:t>
            </w:r>
            <w:sdt>
              <w:sdtPr>
                <w:tag w:val="goog_rdk_24"/>
                <w:id w:val="1244684797"/>
              </w:sdtPr>
              <w:sdtEndPr/>
              <w:sdtContent/>
            </w:sdt>
            <w:r>
              <w:t xml:space="preserve">F) </w:t>
            </w:r>
            <w:r>
              <w:rPr>
                <w:sz w:val="16"/>
              </w:rPr>
              <w:t>(</w:t>
            </w:r>
            <w:r>
              <w:rPr>
                <w:sz w:val="16"/>
                <w:szCs w:val="16"/>
              </w:rPr>
              <w:t>7</w:t>
            </w:r>
            <w:r>
              <w:rPr>
                <w:sz w:val="16"/>
              </w:rPr>
              <w:t>)</w:t>
            </w:r>
          </w:p>
        </w:tc>
        <w:tc>
          <w:tcPr>
            <w:tcW w:w="1134" w:type="dxa"/>
            <w:hideMark/>
          </w:tcPr>
          <w:p w14:paraId="1511F56A" w14:textId="77777777" w:rsidR="00CA7D57" w:rsidRDefault="00CA7D57" w:rsidP="00550A9D">
            <w:pPr>
              <w:pStyle w:val="NoSpacing"/>
            </w:pPr>
            <w:r>
              <w:t>153,684</w:t>
            </w:r>
            <w:r>
              <w:rPr>
                <w:rStyle w:val="FootnoteReference"/>
                <w:rFonts w:eastAsia="Calibri" w:cs="Calibri"/>
                <w:sz w:val="18"/>
                <w:szCs w:val="18"/>
              </w:rPr>
              <w:footnoteReference w:id="11"/>
            </w:r>
          </w:p>
        </w:tc>
        <w:tc>
          <w:tcPr>
            <w:tcW w:w="1134" w:type="dxa"/>
            <w:hideMark/>
          </w:tcPr>
          <w:p w14:paraId="6D009688" w14:textId="77777777" w:rsidR="00CA7D57" w:rsidRDefault="00CA7D57" w:rsidP="00550A9D">
            <w:pPr>
              <w:pStyle w:val="NoSpacing"/>
            </w:pPr>
            <w:r>
              <w:t>22,776</w:t>
            </w:r>
          </w:p>
        </w:tc>
        <w:tc>
          <w:tcPr>
            <w:tcW w:w="1134" w:type="dxa"/>
            <w:hideMark/>
          </w:tcPr>
          <w:p w14:paraId="4A9BD3FF" w14:textId="77777777" w:rsidR="00CA7D57" w:rsidRDefault="00CA7D57" w:rsidP="00550A9D">
            <w:pPr>
              <w:pStyle w:val="NoSpacing"/>
            </w:pPr>
            <w:r>
              <w:t>43,679</w:t>
            </w:r>
          </w:p>
        </w:tc>
        <w:tc>
          <w:tcPr>
            <w:tcW w:w="1134" w:type="dxa"/>
            <w:hideMark/>
          </w:tcPr>
          <w:p w14:paraId="5720A963" w14:textId="77777777" w:rsidR="00CA7D57" w:rsidRDefault="00CA7D57" w:rsidP="00550A9D">
            <w:pPr>
              <w:pStyle w:val="NoSpacing"/>
            </w:pPr>
            <w:r>
              <w:t>136,954</w:t>
            </w:r>
          </w:p>
        </w:tc>
        <w:tc>
          <w:tcPr>
            <w:tcW w:w="1130" w:type="dxa"/>
            <w:hideMark/>
          </w:tcPr>
          <w:p w14:paraId="1B0F2D4F" w14:textId="77777777" w:rsidR="00CA7D57" w:rsidRDefault="00CA7D57" w:rsidP="00550A9D">
            <w:pPr>
              <w:pStyle w:val="NoSpacing"/>
            </w:pPr>
            <w:r>
              <w:t>23,439</w:t>
            </w:r>
          </w:p>
        </w:tc>
        <w:tc>
          <w:tcPr>
            <w:tcW w:w="1134" w:type="dxa"/>
            <w:hideMark/>
          </w:tcPr>
          <w:p w14:paraId="3049EA38" w14:textId="77777777" w:rsidR="00CA7D57" w:rsidRDefault="00CA7D57" w:rsidP="00550A9D">
            <w:pPr>
              <w:pStyle w:val="NoSpacing"/>
            </w:pPr>
            <w:r>
              <w:t>55,542</w:t>
            </w:r>
          </w:p>
        </w:tc>
      </w:tr>
      <w:tr w:rsidR="00CA7D57" w14:paraId="76293991" w14:textId="77777777" w:rsidTr="00E4259E">
        <w:tc>
          <w:tcPr>
            <w:tcW w:w="2830" w:type="dxa"/>
            <w:hideMark/>
          </w:tcPr>
          <w:p w14:paraId="29FE05EE" w14:textId="77777777" w:rsidR="00CA7D57" w:rsidRDefault="00CA7D57" w:rsidP="00550A9D">
            <w:pPr>
              <w:pStyle w:val="NoSpacing"/>
            </w:pPr>
            <w:r>
              <w:t>Total Youth ages 15-24</w:t>
            </w:r>
            <w:r>
              <w:rPr>
                <w:vertAlign w:val="superscript"/>
              </w:rPr>
              <w:footnoteReference w:id="12"/>
            </w:r>
          </w:p>
        </w:tc>
        <w:tc>
          <w:tcPr>
            <w:tcW w:w="1134" w:type="dxa"/>
            <w:hideMark/>
          </w:tcPr>
          <w:p w14:paraId="1136468B" w14:textId="77777777" w:rsidR="00CA7D57" w:rsidRPr="00E4259E" w:rsidRDefault="00CA7D57" w:rsidP="00550A9D">
            <w:pPr>
              <w:pStyle w:val="NoSpacing"/>
            </w:pPr>
            <w:r w:rsidRPr="00E4259E">
              <w:t>159,870</w:t>
            </w:r>
          </w:p>
          <w:p w14:paraId="6A3CF61F" w14:textId="77777777" w:rsidR="00CA7D57" w:rsidRPr="00E4259E" w:rsidRDefault="00CA7D57" w:rsidP="00550A9D">
            <w:pPr>
              <w:pStyle w:val="NoSpacing"/>
            </w:pPr>
            <w:r w:rsidRPr="00E4259E">
              <w:t>M: 82,143</w:t>
            </w:r>
          </w:p>
          <w:p w14:paraId="3FBAE2DF" w14:textId="77777777" w:rsidR="00CA7D57" w:rsidRPr="00E4259E" w:rsidRDefault="00CA7D57" w:rsidP="00550A9D">
            <w:pPr>
              <w:pStyle w:val="NoSpacing"/>
              <w:rPr>
                <w:color w:val="000000"/>
                <w:shd w:val="clear" w:color="auto" w:fill="EEEEEE"/>
              </w:rPr>
            </w:pPr>
            <w:r w:rsidRPr="00E4259E">
              <w:t>F: 77,727</w:t>
            </w:r>
          </w:p>
        </w:tc>
        <w:tc>
          <w:tcPr>
            <w:tcW w:w="1134" w:type="dxa"/>
            <w:hideMark/>
          </w:tcPr>
          <w:p w14:paraId="7F9E5628" w14:textId="77777777" w:rsidR="00CA7D57" w:rsidRPr="00E4259E" w:rsidRDefault="00CA7D57" w:rsidP="00550A9D">
            <w:pPr>
              <w:pStyle w:val="NoSpacing"/>
            </w:pPr>
            <w:r w:rsidRPr="00E4259E">
              <w:t>22,679</w:t>
            </w:r>
          </w:p>
          <w:p w14:paraId="785C31DE" w14:textId="77777777" w:rsidR="00CA7D57" w:rsidRPr="00E4259E" w:rsidRDefault="00CA7D57" w:rsidP="00550A9D">
            <w:pPr>
              <w:pStyle w:val="NoSpacing"/>
            </w:pPr>
            <w:r w:rsidRPr="00E4259E">
              <w:t xml:space="preserve">M: 11,213 </w:t>
            </w:r>
          </w:p>
          <w:p w14:paraId="03F1FCE0" w14:textId="77777777" w:rsidR="00CA7D57" w:rsidRPr="00E4259E" w:rsidRDefault="00CA7D57" w:rsidP="00550A9D">
            <w:pPr>
              <w:pStyle w:val="NoSpacing"/>
            </w:pPr>
            <w:r w:rsidRPr="00E4259E">
              <w:t>F: 11,466</w:t>
            </w:r>
          </w:p>
        </w:tc>
        <w:tc>
          <w:tcPr>
            <w:tcW w:w="1134" w:type="dxa"/>
            <w:hideMark/>
          </w:tcPr>
          <w:p w14:paraId="757ECE26" w14:textId="77777777" w:rsidR="00CA7D57" w:rsidRPr="00E4259E" w:rsidRDefault="00CA7D57" w:rsidP="00550A9D">
            <w:pPr>
              <w:pStyle w:val="NoSpacing"/>
            </w:pPr>
            <w:r w:rsidRPr="00E4259E">
              <w:t xml:space="preserve"> 39,770</w:t>
            </w:r>
          </w:p>
          <w:p w14:paraId="1CB79186" w14:textId="77777777" w:rsidR="00CA7D57" w:rsidRPr="00E4259E" w:rsidRDefault="00CA7D57" w:rsidP="00550A9D">
            <w:pPr>
              <w:pStyle w:val="NoSpacing"/>
            </w:pPr>
            <w:r w:rsidRPr="00E4259E">
              <w:t>M: 20,413</w:t>
            </w:r>
          </w:p>
          <w:p w14:paraId="49569620" w14:textId="77777777" w:rsidR="00CA7D57" w:rsidRPr="00E4259E" w:rsidRDefault="00CA7D57" w:rsidP="00550A9D">
            <w:pPr>
              <w:pStyle w:val="NoSpacing"/>
            </w:pPr>
            <w:r w:rsidRPr="00E4259E">
              <w:t xml:space="preserve"> F: 19,357</w:t>
            </w:r>
          </w:p>
        </w:tc>
        <w:tc>
          <w:tcPr>
            <w:tcW w:w="1134" w:type="dxa"/>
            <w:hideMark/>
          </w:tcPr>
          <w:p w14:paraId="19CA184D" w14:textId="77777777" w:rsidR="00CA7D57" w:rsidRPr="00E4259E" w:rsidRDefault="00CA7D57" w:rsidP="00550A9D">
            <w:pPr>
              <w:pStyle w:val="NoSpacing"/>
            </w:pPr>
            <w:r w:rsidRPr="00E4259E">
              <w:t xml:space="preserve">131,719 </w:t>
            </w:r>
          </w:p>
          <w:p w14:paraId="7913112B" w14:textId="77777777" w:rsidR="00CA7D57" w:rsidRPr="00E4259E" w:rsidRDefault="00CA7D57" w:rsidP="00550A9D">
            <w:pPr>
              <w:pStyle w:val="NoSpacing"/>
            </w:pPr>
            <w:r w:rsidRPr="00E4259E">
              <w:t>M: 67,794 F: 63,925</w:t>
            </w:r>
          </w:p>
        </w:tc>
        <w:tc>
          <w:tcPr>
            <w:tcW w:w="1130" w:type="dxa"/>
            <w:hideMark/>
          </w:tcPr>
          <w:p w14:paraId="6B869E99" w14:textId="77777777" w:rsidR="00CA7D57" w:rsidRPr="00E4259E" w:rsidRDefault="00CA7D57" w:rsidP="00550A9D">
            <w:pPr>
              <w:pStyle w:val="NoSpacing"/>
            </w:pPr>
            <w:r w:rsidRPr="00E4259E">
              <w:t xml:space="preserve"> 20,948</w:t>
            </w:r>
          </w:p>
          <w:p w14:paraId="267F36B7" w14:textId="77777777" w:rsidR="00CA7D57" w:rsidRPr="00E4259E" w:rsidRDefault="00CA7D57" w:rsidP="00550A9D">
            <w:pPr>
              <w:pStyle w:val="NoSpacing"/>
            </w:pPr>
            <w:r w:rsidRPr="00E4259E">
              <w:t>M: 10,725 F: 10,223</w:t>
            </w:r>
          </w:p>
        </w:tc>
        <w:tc>
          <w:tcPr>
            <w:tcW w:w="1134" w:type="dxa"/>
            <w:hideMark/>
          </w:tcPr>
          <w:p w14:paraId="7962C9F1" w14:textId="77777777" w:rsidR="00CA7D57" w:rsidRPr="00E4259E" w:rsidRDefault="00CA7D57" w:rsidP="00550A9D">
            <w:pPr>
              <w:pStyle w:val="NoSpacing"/>
            </w:pPr>
            <w:r w:rsidRPr="00E4259E">
              <w:t>57,684</w:t>
            </w:r>
          </w:p>
          <w:p w14:paraId="5DEA1CFB" w14:textId="77777777" w:rsidR="00CA7D57" w:rsidRPr="00E4259E" w:rsidRDefault="00CA7D57" w:rsidP="00550A9D">
            <w:pPr>
              <w:pStyle w:val="NoSpacing"/>
            </w:pPr>
            <w:r w:rsidRPr="00E4259E">
              <w:t>M: 28,631</w:t>
            </w:r>
          </w:p>
          <w:p w14:paraId="7966C1E4" w14:textId="77777777" w:rsidR="00CA7D57" w:rsidRPr="00E4259E" w:rsidRDefault="00CA7D57" w:rsidP="00550A9D">
            <w:pPr>
              <w:pStyle w:val="NoSpacing"/>
            </w:pPr>
            <w:r w:rsidRPr="00E4259E">
              <w:t xml:space="preserve"> F: 29,053</w:t>
            </w:r>
          </w:p>
        </w:tc>
      </w:tr>
      <w:tr w:rsidR="00CA7D57" w14:paraId="3CCECBF6" w14:textId="77777777" w:rsidTr="00E4259E">
        <w:trPr>
          <w:cnfStyle w:val="000000100000" w:firstRow="0" w:lastRow="0" w:firstColumn="0" w:lastColumn="0" w:oddVBand="0" w:evenVBand="0" w:oddHBand="1" w:evenHBand="0" w:firstRowFirstColumn="0" w:firstRowLastColumn="0" w:lastRowFirstColumn="0" w:lastRowLastColumn="0"/>
        </w:trPr>
        <w:tc>
          <w:tcPr>
            <w:tcW w:w="2830" w:type="dxa"/>
            <w:hideMark/>
          </w:tcPr>
          <w:p w14:paraId="269265B1" w14:textId="77777777" w:rsidR="00CA7D57" w:rsidRDefault="00CA7D57" w:rsidP="00550A9D">
            <w:pPr>
              <w:pStyle w:val="NoSpacing"/>
            </w:pPr>
            <w:r>
              <w:t xml:space="preserve">Total Service Delivery Points   </w:t>
            </w:r>
            <w:r>
              <w:rPr>
                <w:sz w:val="16"/>
                <w:szCs w:val="16"/>
              </w:rPr>
              <w:t xml:space="preserve"> including </w:t>
            </w:r>
            <w:r w:rsidR="00A60E09">
              <w:rPr>
                <w:sz w:val="16"/>
                <w:szCs w:val="16"/>
              </w:rPr>
              <w:t>primary,</w:t>
            </w:r>
            <w:r>
              <w:rPr>
                <w:sz w:val="16"/>
                <w:szCs w:val="16"/>
              </w:rPr>
              <w:t xml:space="preserve"> secondary/tertiary SDPs</w:t>
            </w:r>
          </w:p>
        </w:tc>
        <w:tc>
          <w:tcPr>
            <w:tcW w:w="1134" w:type="dxa"/>
            <w:hideMark/>
          </w:tcPr>
          <w:p w14:paraId="5953EE12" w14:textId="77777777" w:rsidR="00CA7D57" w:rsidRPr="000D070E" w:rsidRDefault="00A26290" w:rsidP="00550A9D">
            <w:pPr>
              <w:pStyle w:val="NoSpacing"/>
            </w:pPr>
            <w:r w:rsidRPr="000D070E">
              <w:t>212</w:t>
            </w:r>
          </w:p>
          <w:p w14:paraId="03E12047" w14:textId="77777777" w:rsidR="000D070E" w:rsidRDefault="000D070E" w:rsidP="00550A9D">
            <w:pPr>
              <w:pStyle w:val="NoSpacing"/>
              <w:rPr>
                <w:highlight w:val="yellow"/>
              </w:rPr>
            </w:pPr>
            <w:r w:rsidRPr="000D070E">
              <w:t>14 provinces</w:t>
            </w:r>
          </w:p>
        </w:tc>
        <w:tc>
          <w:tcPr>
            <w:tcW w:w="1134" w:type="dxa"/>
            <w:hideMark/>
          </w:tcPr>
          <w:p w14:paraId="6EA0014E" w14:textId="77777777" w:rsidR="00CA7D57" w:rsidRPr="000D070E" w:rsidRDefault="00A26290" w:rsidP="00550A9D">
            <w:pPr>
              <w:pStyle w:val="NoSpacing"/>
            </w:pPr>
            <w:r w:rsidRPr="000D070E">
              <w:t>112</w:t>
            </w:r>
          </w:p>
          <w:p w14:paraId="0B5F126A" w14:textId="77777777" w:rsidR="000D070E" w:rsidRDefault="000D070E" w:rsidP="00550A9D">
            <w:pPr>
              <w:pStyle w:val="NoSpacing"/>
              <w:rPr>
                <w:highlight w:val="yellow"/>
              </w:rPr>
            </w:pPr>
            <w:r w:rsidRPr="000D070E">
              <w:t>22 atolls</w:t>
            </w:r>
          </w:p>
        </w:tc>
        <w:tc>
          <w:tcPr>
            <w:tcW w:w="1134" w:type="dxa"/>
            <w:hideMark/>
          </w:tcPr>
          <w:p w14:paraId="59521066" w14:textId="77777777" w:rsidR="00CA7D57" w:rsidRPr="000D070E" w:rsidRDefault="00A26290" w:rsidP="00550A9D">
            <w:pPr>
              <w:pStyle w:val="NoSpacing"/>
            </w:pPr>
            <w:r w:rsidRPr="000D070E">
              <w:t>14</w:t>
            </w:r>
          </w:p>
          <w:p w14:paraId="3C4BF31E" w14:textId="77777777" w:rsidR="000D070E" w:rsidRDefault="000D070E" w:rsidP="00550A9D">
            <w:pPr>
              <w:pStyle w:val="NoSpacing"/>
              <w:rPr>
                <w:highlight w:val="yellow"/>
              </w:rPr>
            </w:pPr>
            <w:r w:rsidRPr="000D070E">
              <w:t>11 districts</w:t>
            </w:r>
          </w:p>
        </w:tc>
        <w:tc>
          <w:tcPr>
            <w:tcW w:w="1134" w:type="dxa"/>
            <w:hideMark/>
          </w:tcPr>
          <w:p w14:paraId="48BAAC7A" w14:textId="77777777" w:rsidR="00CA7D57" w:rsidRPr="000D070E" w:rsidRDefault="000D070E" w:rsidP="00550A9D">
            <w:pPr>
              <w:pStyle w:val="NoSpacing"/>
            </w:pPr>
            <w:r w:rsidRPr="000D070E">
              <w:t>301</w:t>
            </w:r>
          </w:p>
          <w:p w14:paraId="3C779159" w14:textId="77777777" w:rsidR="000D070E" w:rsidRDefault="000D070E" w:rsidP="00550A9D">
            <w:pPr>
              <w:pStyle w:val="NoSpacing"/>
              <w:rPr>
                <w:highlight w:val="yellow"/>
              </w:rPr>
            </w:pPr>
            <w:r w:rsidRPr="000D070E">
              <w:t>9 provinces</w:t>
            </w:r>
          </w:p>
        </w:tc>
        <w:tc>
          <w:tcPr>
            <w:tcW w:w="1130" w:type="dxa"/>
            <w:hideMark/>
          </w:tcPr>
          <w:p w14:paraId="520FD2AE" w14:textId="77777777" w:rsidR="00CA7D57" w:rsidRPr="000D070E" w:rsidRDefault="00A26290" w:rsidP="00550A9D">
            <w:pPr>
              <w:pStyle w:val="NoSpacing"/>
            </w:pPr>
            <w:r w:rsidRPr="000D070E">
              <w:t>31</w:t>
            </w:r>
          </w:p>
          <w:p w14:paraId="441244C3" w14:textId="77777777" w:rsidR="000D070E" w:rsidRDefault="000D070E" w:rsidP="00550A9D">
            <w:pPr>
              <w:pStyle w:val="NoSpacing"/>
              <w:rPr>
                <w:highlight w:val="yellow"/>
              </w:rPr>
            </w:pPr>
            <w:r w:rsidRPr="000D070E">
              <w:t>23 districts</w:t>
            </w:r>
          </w:p>
        </w:tc>
        <w:tc>
          <w:tcPr>
            <w:tcW w:w="1134" w:type="dxa"/>
            <w:hideMark/>
          </w:tcPr>
          <w:p w14:paraId="0BE4C7BB" w14:textId="77777777" w:rsidR="00CA7D57" w:rsidRPr="000D070E" w:rsidRDefault="000D070E" w:rsidP="00550A9D">
            <w:pPr>
              <w:pStyle w:val="NoSpacing"/>
            </w:pPr>
            <w:r w:rsidRPr="000D070E">
              <w:t>271</w:t>
            </w:r>
          </w:p>
          <w:p w14:paraId="62CF1112" w14:textId="77777777" w:rsidR="000D070E" w:rsidRDefault="000D070E" w:rsidP="00550A9D">
            <w:pPr>
              <w:pStyle w:val="NoSpacing"/>
              <w:rPr>
                <w:highlight w:val="yellow"/>
              </w:rPr>
            </w:pPr>
            <w:r w:rsidRPr="000D070E">
              <w:t>6 provinces</w:t>
            </w:r>
          </w:p>
        </w:tc>
      </w:tr>
    </w:tbl>
    <w:p w14:paraId="52205166" w14:textId="027A1E0C" w:rsidR="00CA7D57" w:rsidRDefault="00CA7D57" w:rsidP="00CA7D57"/>
    <w:p w14:paraId="21DF7220" w14:textId="70390527" w:rsidR="000A146F" w:rsidRDefault="000A146F" w:rsidP="00CA7D57">
      <w:pPr>
        <w:rPr>
          <w:rFonts w:cstheme="minorHAnsi"/>
          <w:bCs/>
          <w:sz w:val="20"/>
          <w:szCs w:val="20"/>
        </w:rPr>
      </w:pPr>
      <w:r>
        <w:rPr>
          <w:rFonts w:cstheme="minorHAnsi"/>
          <w:bCs/>
          <w:sz w:val="20"/>
          <w:szCs w:val="20"/>
        </w:rPr>
        <w:t>Source: Current RMNCAH Workforce in the Pacific Islands (2019) UNFPA; Fiji Census Report (2017); HFRSA Assessment Results (2018, 2019, 2020) for Fiji, Kiribati, Samoa, Tonga; PDD for Solomon Islands and Tonga</w:t>
      </w:r>
    </w:p>
    <w:p w14:paraId="5687A420" w14:textId="2CB03C50" w:rsidR="000A146F" w:rsidRPr="00CA7D57" w:rsidRDefault="000A146F" w:rsidP="00CA7D57">
      <w:r w:rsidRPr="00A60E09">
        <w:rPr>
          <w:rFonts w:cstheme="minorHAnsi"/>
          <w:sz w:val="20"/>
          <w:szCs w:val="20"/>
        </w:rPr>
        <w:t xml:space="preserve">Note:  </w:t>
      </w:r>
      <w:r w:rsidRPr="00A60E09">
        <w:rPr>
          <w:sz w:val="20"/>
          <w:szCs w:val="20"/>
        </w:rPr>
        <w:t>Adolescents:</w:t>
      </w:r>
      <w:r w:rsidRPr="00A60E09">
        <w:rPr>
          <w:sz w:val="20"/>
          <w:szCs w:val="20"/>
          <w:vertAlign w:val="superscript"/>
        </w:rPr>
        <w:footnoteReference w:id="13"/>
      </w:r>
      <w:r w:rsidRPr="00A60E09">
        <w:rPr>
          <w:sz w:val="20"/>
          <w:szCs w:val="20"/>
        </w:rPr>
        <w:t xml:space="preserve"> ages 10-19; Youth: ages 15-24; Young people: ages 10-24</w:t>
      </w:r>
    </w:p>
    <w:p w14:paraId="3CDFA09A" w14:textId="77777777" w:rsidR="00CA7D57" w:rsidRDefault="00FD1CE5" w:rsidP="003538C5">
      <w:pPr>
        <w:pStyle w:val="NumberedLevel1heading"/>
        <w:numPr>
          <w:ilvl w:val="0"/>
          <w:numId w:val="27"/>
        </w:numPr>
        <w:jc w:val="left"/>
        <w:rPr>
          <w:shd w:val="clear" w:color="auto" w:fill="FFFFFF"/>
        </w:rPr>
      </w:pPr>
      <w:bookmarkStart w:id="19" w:name="_Toc76630084"/>
      <w:r>
        <w:rPr>
          <w:shd w:val="clear" w:color="auto" w:fill="FFFFFF"/>
        </w:rPr>
        <w:t xml:space="preserve">Purpose, </w:t>
      </w:r>
      <w:r w:rsidR="00CA7D57">
        <w:rPr>
          <w:shd w:val="clear" w:color="auto" w:fill="FFFFFF"/>
        </w:rPr>
        <w:t>Methodology and Limitations</w:t>
      </w:r>
      <w:bookmarkEnd w:id="19"/>
    </w:p>
    <w:p w14:paraId="6A211905" w14:textId="77777777" w:rsidR="00AD7DC1" w:rsidRDefault="00AD7DC1" w:rsidP="00550A9D">
      <w:pPr>
        <w:pStyle w:val="NoSpacing"/>
        <w:rPr>
          <w:shd w:val="clear" w:color="auto" w:fill="FFFFFF"/>
        </w:rPr>
      </w:pPr>
    </w:p>
    <w:p w14:paraId="12C9D64C" w14:textId="77777777" w:rsidR="00CA7D57" w:rsidRDefault="00CA7D57" w:rsidP="00550A9D">
      <w:pPr>
        <w:pStyle w:val="NoSpacing"/>
        <w:rPr>
          <w:shd w:val="clear" w:color="auto" w:fill="FFFFFF"/>
        </w:rPr>
      </w:pPr>
      <w:r>
        <w:rPr>
          <w:shd w:val="clear" w:color="auto" w:fill="FFFFFF"/>
        </w:rPr>
        <w:t xml:space="preserve">The </w:t>
      </w:r>
      <w:r>
        <w:rPr>
          <w:b/>
          <w:bCs/>
          <w:shd w:val="clear" w:color="auto" w:fill="FFFFFF"/>
        </w:rPr>
        <w:t xml:space="preserve">purpose </w:t>
      </w:r>
      <w:r>
        <w:rPr>
          <w:shd w:val="clear" w:color="auto" w:fill="FFFFFF"/>
        </w:rPr>
        <w:t xml:space="preserve">of the MTR is to assess the continued relevance, effectiveness and efficiency of the TA program, and the progress made over the first two years of implementation towards achieving its planned objective of </w:t>
      </w:r>
      <w:r>
        <w:t>expanding access to SRHR in the Pacific with a focus on FP</w:t>
      </w:r>
      <w:r>
        <w:rPr>
          <w:shd w:val="clear" w:color="auto" w:fill="FFFFFF"/>
        </w:rPr>
        <w:t xml:space="preserve">. </w:t>
      </w:r>
      <w:r w:rsidR="00FD1CE5">
        <w:rPr>
          <w:shd w:val="clear" w:color="auto" w:fill="FFFFFF"/>
        </w:rPr>
        <w:t xml:space="preserve">(See Terms of Reference at </w:t>
      </w:r>
      <w:r w:rsidR="005D03C7">
        <w:rPr>
          <w:shd w:val="clear" w:color="auto" w:fill="FFFFFF"/>
        </w:rPr>
        <w:t>Annex 1</w:t>
      </w:r>
      <w:r w:rsidR="00FD1CE5">
        <w:rPr>
          <w:shd w:val="clear" w:color="auto" w:fill="FFFFFF"/>
        </w:rPr>
        <w:t>)</w:t>
      </w:r>
      <w:r w:rsidR="005D03C7">
        <w:rPr>
          <w:shd w:val="clear" w:color="auto" w:fill="FFFFFF"/>
        </w:rPr>
        <w:t>.</w:t>
      </w:r>
    </w:p>
    <w:p w14:paraId="642ED04A" w14:textId="77777777" w:rsidR="00550A9D" w:rsidRDefault="00550A9D" w:rsidP="00550A9D">
      <w:pPr>
        <w:pStyle w:val="NoSpacing"/>
      </w:pPr>
    </w:p>
    <w:p w14:paraId="72F986F0" w14:textId="77777777" w:rsidR="00CA7D57" w:rsidRDefault="00CA7D57" w:rsidP="00550A9D">
      <w:pPr>
        <w:pStyle w:val="NoSpacing"/>
      </w:pPr>
      <w:r>
        <w:t xml:space="preserve">The MTR report </w:t>
      </w:r>
      <w:r w:rsidR="00FD1CE5">
        <w:t xml:space="preserve">aims </w:t>
      </w:r>
      <w:r>
        <w:t>to:</w:t>
      </w:r>
    </w:p>
    <w:p w14:paraId="69BAA025" w14:textId="77777777" w:rsidR="00CA7D57" w:rsidRDefault="00CA7D57" w:rsidP="003538C5">
      <w:pPr>
        <w:pStyle w:val="NoSpacing"/>
        <w:numPr>
          <w:ilvl w:val="0"/>
          <w:numId w:val="5"/>
        </w:numPr>
      </w:pPr>
      <w:r>
        <w:t xml:space="preserve">Outline key findings supported by evidence and provide recommendations on any changes, modifications or improvements to implementation approaches and activities required to enable the program to achieve sustainable outcomes and </w:t>
      </w:r>
      <w:proofErr w:type="gramStart"/>
      <w:r>
        <w:t>impacts</w:t>
      </w:r>
      <w:proofErr w:type="gramEnd"/>
    </w:p>
    <w:p w14:paraId="379E8821" w14:textId="77777777" w:rsidR="00CA7D57" w:rsidRDefault="00CA7D57" w:rsidP="003538C5">
      <w:pPr>
        <w:pStyle w:val="NoSpacing"/>
        <w:numPr>
          <w:ilvl w:val="0"/>
          <w:numId w:val="5"/>
        </w:numPr>
      </w:pPr>
      <w:r>
        <w:t xml:space="preserve">Focus on the structure, outcomes, duration and scope of the program within the current funding </w:t>
      </w:r>
      <w:proofErr w:type="gramStart"/>
      <w:r>
        <w:t>envelope</w:t>
      </w:r>
      <w:proofErr w:type="gramEnd"/>
    </w:p>
    <w:p w14:paraId="57D927EA" w14:textId="77777777" w:rsidR="00CA7D57" w:rsidRDefault="00CA7D57" w:rsidP="003538C5">
      <w:pPr>
        <w:pStyle w:val="NoSpacing"/>
        <w:numPr>
          <w:ilvl w:val="0"/>
          <w:numId w:val="5"/>
        </w:numPr>
      </w:pPr>
      <w:r>
        <w:t xml:space="preserve">Identify strongly performing institutions where partnerships could be </w:t>
      </w:r>
      <w:proofErr w:type="gramStart"/>
      <w:r>
        <w:t>expanded</w:t>
      </w:r>
      <w:proofErr w:type="gramEnd"/>
      <w:r>
        <w:t xml:space="preserve"> </w:t>
      </w:r>
    </w:p>
    <w:p w14:paraId="40DD1240" w14:textId="77777777" w:rsidR="00CA7D57" w:rsidRDefault="00CA7D57" w:rsidP="003538C5">
      <w:pPr>
        <w:pStyle w:val="NoSpacing"/>
        <w:numPr>
          <w:ilvl w:val="0"/>
          <w:numId w:val="5"/>
        </w:numPr>
      </w:pPr>
      <w:r>
        <w:t xml:space="preserve">Identify under-performing partners – or partners who perform adequately but have low impact – where partnerships could be scaled </w:t>
      </w:r>
      <w:proofErr w:type="gramStart"/>
      <w:r>
        <w:t>back</w:t>
      </w:r>
      <w:proofErr w:type="gramEnd"/>
    </w:p>
    <w:p w14:paraId="7C11FDB5" w14:textId="77777777" w:rsidR="00550A9D" w:rsidRDefault="00550A9D" w:rsidP="00550A9D">
      <w:pPr>
        <w:pStyle w:val="NoSpacing"/>
      </w:pPr>
    </w:p>
    <w:p w14:paraId="593F0E80" w14:textId="77777777" w:rsidR="00CA7D57" w:rsidRDefault="00CA7D57" w:rsidP="00550A9D">
      <w:pPr>
        <w:pStyle w:val="NoSpacing"/>
      </w:pPr>
      <w:r>
        <w:t xml:space="preserve">The TA </w:t>
      </w:r>
      <w:r w:rsidR="00AD0519">
        <w:t>MTR</w:t>
      </w:r>
      <w:r>
        <w:t xml:space="preserve"> used a summative approach to assess program achievements at this mid- point of implementation. This included data collection and analysis of </w:t>
      </w:r>
      <w:r w:rsidR="00FD1CE5">
        <w:t xml:space="preserve">primarily </w:t>
      </w:r>
      <w:r>
        <w:t xml:space="preserve">the health and education sectors. Cross cutting issues relating to gender responsiveness and human rights were </w:t>
      </w:r>
      <w:r w:rsidR="00FD1CE5">
        <w:t>reviewed</w:t>
      </w:r>
      <w:r>
        <w:t>. The geographical scope included all six Pacific countries a</w:t>
      </w:r>
      <w:r w:rsidR="00AD0519">
        <w:t xml:space="preserve">s well as </w:t>
      </w:r>
      <w:r>
        <w:t>a regional perspective.</w:t>
      </w:r>
    </w:p>
    <w:p w14:paraId="631C272E" w14:textId="77777777" w:rsidR="00FD1CE5" w:rsidRDefault="00FD1CE5" w:rsidP="00550A9D">
      <w:pPr>
        <w:pStyle w:val="NoSpacing"/>
      </w:pPr>
    </w:p>
    <w:p w14:paraId="4A17F204" w14:textId="77777777" w:rsidR="00CA7D57" w:rsidRDefault="00AD0519" w:rsidP="00550A9D">
      <w:pPr>
        <w:pStyle w:val="NoSpacing"/>
      </w:pPr>
      <w:r>
        <w:t xml:space="preserve">Six (6) </w:t>
      </w:r>
      <w:r w:rsidR="00CA7D57">
        <w:t xml:space="preserve">National Consultants </w:t>
      </w:r>
      <w:r>
        <w:t xml:space="preserve">(NCs) </w:t>
      </w:r>
      <w:r w:rsidR="00CA7D57">
        <w:t xml:space="preserve">were identified </w:t>
      </w:r>
      <w:r>
        <w:t>to conduct interviews with key informants in-country. They were</w:t>
      </w:r>
      <w:r w:rsidR="00CA7D57">
        <w:t xml:space="preserve"> contracted by DFAT’s Specialised Health Service (SHS) and supported by the UNFPA PSRO in-country staff and the </w:t>
      </w:r>
      <w:r>
        <w:t>MTR T</w:t>
      </w:r>
      <w:r w:rsidR="00CA7D57">
        <w:t xml:space="preserve">eam </w:t>
      </w:r>
      <w:r>
        <w:t>L</w:t>
      </w:r>
      <w:r w:rsidR="00CA7D57">
        <w:t>eader to conduct interviews with key informants.</w:t>
      </w:r>
      <w:r w:rsidR="00FD1CE5">
        <w:t xml:space="preserve"> </w:t>
      </w:r>
    </w:p>
    <w:p w14:paraId="13AC6949" w14:textId="77777777" w:rsidR="00550A9D" w:rsidRDefault="00550A9D" w:rsidP="00550A9D">
      <w:pPr>
        <w:pStyle w:val="NoSpacing"/>
      </w:pPr>
    </w:p>
    <w:p w14:paraId="584FC33A" w14:textId="77777777" w:rsidR="00CA7D57" w:rsidRDefault="00CA7D57" w:rsidP="00550A9D">
      <w:pPr>
        <w:pStyle w:val="NoSpacing"/>
      </w:pPr>
      <w:r>
        <w:t xml:space="preserve">The four phases of the MTR review </w:t>
      </w:r>
      <w:r w:rsidR="00E87883">
        <w:t xml:space="preserve">were </w:t>
      </w:r>
      <w:r>
        <w:t>:</w:t>
      </w:r>
    </w:p>
    <w:p w14:paraId="07015A45" w14:textId="77777777" w:rsidR="00CA7D57" w:rsidRDefault="00CA7D57" w:rsidP="003538C5">
      <w:pPr>
        <w:pStyle w:val="NoSpacing"/>
        <w:numPr>
          <w:ilvl w:val="0"/>
          <w:numId w:val="6"/>
        </w:numPr>
      </w:pPr>
      <w:r>
        <w:t>Planning Phase (3 August – 14 August)</w:t>
      </w:r>
    </w:p>
    <w:p w14:paraId="59F0C682" w14:textId="77777777" w:rsidR="00CA7D57" w:rsidRDefault="00CA7D57" w:rsidP="003538C5">
      <w:pPr>
        <w:pStyle w:val="NoSpacing"/>
        <w:numPr>
          <w:ilvl w:val="0"/>
          <w:numId w:val="6"/>
        </w:numPr>
      </w:pPr>
      <w:r>
        <w:t>Field Data Collection and Analysis Phase (17 August – 11 September)</w:t>
      </w:r>
    </w:p>
    <w:p w14:paraId="04FC40F9" w14:textId="77777777" w:rsidR="00CA7D57" w:rsidRDefault="00CA7D57" w:rsidP="003538C5">
      <w:pPr>
        <w:pStyle w:val="NoSpacing"/>
        <w:numPr>
          <w:ilvl w:val="0"/>
          <w:numId w:val="6"/>
        </w:numPr>
      </w:pPr>
      <w:r>
        <w:t>Validation and Reporting Phase (7 September – 20 November)</w:t>
      </w:r>
    </w:p>
    <w:p w14:paraId="5C553878" w14:textId="77777777" w:rsidR="00CA7D57" w:rsidRDefault="00CA7D57" w:rsidP="003538C5">
      <w:pPr>
        <w:pStyle w:val="NoSpacing"/>
        <w:numPr>
          <w:ilvl w:val="0"/>
          <w:numId w:val="6"/>
        </w:numPr>
      </w:pPr>
      <w:r>
        <w:t>Dissemination and Follow-up Phase (20 November – 2 December)</w:t>
      </w:r>
    </w:p>
    <w:p w14:paraId="4C642D48" w14:textId="77777777" w:rsidR="00550A9D" w:rsidRDefault="00550A9D" w:rsidP="00550A9D">
      <w:pPr>
        <w:pStyle w:val="NoSpacing"/>
      </w:pPr>
    </w:p>
    <w:p w14:paraId="425E0E66" w14:textId="1F9EDFC0" w:rsidR="001C11DE" w:rsidRDefault="00CA7D57" w:rsidP="00550A9D">
      <w:pPr>
        <w:pStyle w:val="NoSpacing"/>
      </w:pPr>
      <w:r>
        <w:lastRenderedPageBreak/>
        <w:t>Limitations to the MTR process include: the short timeframe for consultations; limited availability of senior Ministry of Health (MOH) staff due to COVID-19 related activities; inability of international consultants to conduct in-country consultations</w:t>
      </w:r>
      <w:r w:rsidR="00E87883">
        <w:t xml:space="preserve"> and observations</w:t>
      </w:r>
      <w:r w:rsidR="00AD0519">
        <w:t xml:space="preserve">; necessity for </w:t>
      </w:r>
      <w:r>
        <w:t xml:space="preserve">the MTR team to work remotely across multiple countries and time zones; and a Monitoring and Evaluation Framework (MEF) with limited and/or unreliable data for </w:t>
      </w:r>
      <w:r w:rsidR="00AD0519">
        <w:t xml:space="preserve">effectively </w:t>
      </w:r>
      <w:r>
        <w:t xml:space="preserve">measuring results to date. </w:t>
      </w:r>
      <w:r w:rsidR="00FD1CE5">
        <w:t>(See Annex 2 for the List of Key Informants).</w:t>
      </w:r>
    </w:p>
    <w:p w14:paraId="2CFA909C" w14:textId="05022FE4" w:rsidR="000B4E0A" w:rsidRDefault="000B4E0A" w:rsidP="00550A9D">
      <w:pPr>
        <w:pStyle w:val="NoSpacing"/>
      </w:pPr>
    </w:p>
    <w:p w14:paraId="659E8961" w14:textId="612235D5" w:rsidR="000B4E0A" w:rsidRDefault="000B4E0A" w:rsidP="000B4E0A">
      <w:pPr>
        <w:pStyle w:val="NoSpacing"/>
      </w:pPr>
      <w:r>
        <w:rPr>
          <w:noProof/>
          <w:lang w:eastAsia="en-AU"/>
        </w:rPr>
        <mc:AlternateContent>
          <mc:Choice Requires="wps">
            <w:drawing>
              <wp:inline distT="0" distB="0" distL="0" distR="0" wp14:anchorId="724CBE2A" wp14:editId="052845ED">
                <wp:extent cx="5524500" cy="1485900"/>
                <wp:effectExtent l="0" t="0" r="1905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85900"/>
                        </a:xfrm>
                        <a:prstGeom prst="rect">
                          <a:avLst/>
                        </a:prstGeom>
                        <a:solidFill>
                          <a:srgbClr val="FFFFFF"/>
                        </a:solidFill>
                        <a:ln w="9525">
                          <a:solidFill>
                            <a:srgbClr val="000000"/>
                          </a:solidFill>
                          <a:miter lim="800000"/>
                          <a:headEnd/>
                          <a:tailEnd/>
                        </a:ln>
                      </wps:spPr>
                      <wps:txbx>
                        <w:txbxContent>
                          <w:p w14:paraId="0A8EA541" w14:textId="77777777" w:rsidR="000B4E0A" w:rsidRPr="00AE1EC4" w:rsidRDefault="000B4E0A" w:rsidP="000B4E0A">
                            <w:r w:rsidRPr="00AE1EC4">
                              <w:t>Does TA remain strongly relevant to Pacific development needs and specifically reducing the level of unmet need in the region for FP in each of the TA countries?</w:t>
                            </w:r>
                          </w:p>
                          <w:p w14:paraId="1D6673ED" w14:textId="77777777" w:rsidR="000B4E0A" w:rsidRPr="00AE1EC4" w:rsidRDefault="000B4E0A" w:rsidP="000B4E0A">
                            <w:r w:rsidRPr="00AE1EC4">
                              <w:t>Is program implementation enhanced by the technical assistance provided; and through consideration of Gender and Social Inclusion (GESI) programming and activities?</w:t>
                            </w:r>
                          </w:p>
                          <w:p w14:paraId="7E79FF3F" w14:textId="77777777" w:rsidR="000B4E0A" w:rsidRPr="00AE1EC4" w:rsidRDefault="000B4E0A" w:rsidP="000B4E0A">
                            <w:r w:rsidRPr="00AE1EC4">
                              <w:t>What is the compatibility, synergies and interlinkages of TA with other interventions in the same context?</w:t>
                            </w:r>
                          </w:p>
                        </w:txbxContent>
                      </wps:txbx>
                      <wps:bodyPr rot="0" vert="horz" wrap="square" lIns="91440" tIns="45720" rIns="91440" bIns="45720" anchor="t" anchorCtr="0">
                        <a:noAutofit/>
                      </wps:bodyPr>
                    </wps:wsp>
                  </a:graphicData>
                </a:graphic>
              </wp:inline>
            </w:drawing>
          </mc:Choice>
          <mc:Fallback>
            <w:pict>
              <v:shape w14:anchorId="724CBE2A" id="_x0000_s1027" type="#_x0000_t202" style="width:43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">
                <v:textbox>
                  <w:txbxContent>
                    <w:p w14:paraId="0A8EA541" w14:textId="77777777" w:rsidR="000B4E0A" w:rsidRPr="00AE1EC4" w:rsidRDefault="000B4E0A" w:rsidP="000B4E0A">
                      <w:r w:rsidRPr="00AE1EC4">
                        <w:t>Does TA remain strongly relevant to Pacific development needs and specifically reducing the level of unmet need in the region for FP in each of the TA countries?</w:t>
                      </w:r>
                    </w:p>
                    <w:p w14:paraId="1D6673ED" w14:textId="77777777" w:rsidR="000B4E0A" w:rsidRPr="00AE1EC4" w:rsidRDefault="000B4E0A" w:rsidP="000B4E0A">
                      <w:r w:rsidRPr="00AE1EC4">
                        <w:t>Is program implementation enhanced by the technical assistance provided; and through consideration of Gender and Social Inclusion (GESI) programming and activities?</w:t>
                      </w:r>
                    </w:p>
                    <w:p w14:paraId="7E79FF3F" w14:textId="77777777" w:rsidR="000B4E0A" w:rsidRPr="00AE1EC4" w:rsidRDefault="000B4E0A" w:rsidP="000B4E0A">
                      <w:r w:rsidRPr="00AE1EC4">
                        <w:t>What is the compatibility, synergies and interlinkages of TA with other interventions in the same context?</w:t>
                      </w:r>
                    </w:p>
                  </w:txbxContent>
                </v:textbox>
                <w10:anchorlock/>
              </v:shape>
            </w:pict>
          </mc:Fallback>
        </mc:AlternateContent>
      </w:r>
    </w:p>
    <w:p w14:paraId="7A4B583E" w14:textId="23BB5AFE" w:rsidR="00CA7D57" w:rsidRDefault="00CA7D57" w:rsidP="003538C5">
      <w:pPr>
        <w:pStyle w:val="NumberedLevel1heading"/>
        <w:numPr>
          <w:ilvl w:val="0"/>
          <w:numId w:val="27"/>
        </w:numPr>
        <w:jc w:val="left"/>
      </w:pPr>
      <w:bookmarkStart w:id="20" w:name="_Toc76630085"/>
      <w:r w:rsidRPr="00E80707">
        <w:t>Relevance</w:t>
      </w:r>
      <w:bookmarkEnd w:id="20"/>
      <w:r>
        <w:t xml:space="preserve"> </w:t>
      </w:r>
    </w:p>
    <w:p w14:paraId="3785365D" w14:textId="77777777" w:rsidR="00AE1EC4" w:rsidRDefault="00AE1EC4" w:rsidP="00550A9D">
      <w:pPr>
        <w:pStyle w:val="NoSpacing"/>
      </w:pPr>
    </w:p>
    <w:p w14:paraId="525652A5" w14:textId="77777777" w:rsidR="00A60E09" w:rsidRDefault="00CA7D57" w:rsidP="00550A9D">
      <w:pPr>
        <w:pStyle w:val="NoSpacing"/>
      </w:pPr>
      <w:r>
        <w:t xml:space="preserve">The TA program remains strongly relevant to Pacific </w:t>
      </w:r>
      <w:r w:rsidR="00AD0519">
        <w:t xml:space="preserve">SRHR and </w:t>
      </w:r>
      <w:r>
        <w:t>development needs. All six countries are characteri</w:t>
      </w:r>
      <w:r w:rsidR="00FD1CE5">
        <w:t>se</w:t>
      </w:r>
      <w:r>
        <w:t>d by high unmet</w:t>
      </w:r>
      <w:r w:rsidR="00AD0519">
        <w:t xml:space="preserve"> need for </w:t>
      </w:r>
      <w:r>
        <w:t xml:space="preserve">FP and persistently high rates of </w:t>
      </w:r>
      <w:r w:rsidR="0012338B">
        <w:t>adolescent births</w:t>
      </w:r>
      <w:r>
        <w:t xml:space="preserve"> (see Table 1). While all six countries have well established </w:t>
      </w:r>
      <w:r w:rsidR="00AD0519">
        <w:t xml:space="preserve">National MOH </w:t>
      </w:r>
      <w:r>
        <w:t xml:space="preserve">FP/SRH </w:t>
      </w:r>
      <w:r w:rsidR="00AD0519">
        <w:t>programs</w:t>
      </w:r>
      <w:r>
        <w:t xml:space="preserve">, reaching young and unmarried people and rural and remote populations is problematic due to </w:t>
      </w:r>
      <w:r w:rsidR="00AD0519">
        <w:t xml:space="preserve">a variety of both cultural and </w:t>
      </w:r>
      <w:r>
        <w:t>geographic</w:t>
      </w:r>
      <w:r w:rsidR="00AD0519">
        <w:t>/logistic</w:t>
      </w:r>
      <w:r>
        <w:t xml:space="preserve"> reasons. </w:t>
      </w:r>
    </w:p>
    <w:p w14:paraId="54AD6A98" w14:textId="77777777" w:rsidR="00550A9D" w:rsidRDefault="00550A9D" w:rsidP="00550A9D">
      <w:pPr>
        <w:pStyle w:val="NoSpacing"/>
      </w:pPr>
    </w:p>
    <w:p w14:paraId="1BDF1D37" w14:textId="77777777" w:rsidR="00A60E09" w:rsidRDefault="00A60E09" w:rsidP="00550A9D">
      <w:pPr>
        <w:pStyle w:val="NoSpacing"/>
        <w:rPr>
          <w:rFonts w:cs="Archer-Book"/>
        </w:rPr>
      </w:pPr>
      <w:r>
        <w:t>Women’s economic empowerment and gender equality are priorities across Australia’s foreign policy and aid program,</w:t>
      </w:r>
      <w:r w:rsidRPr="00E01F96">
        <w:rPr>
          <w:rStyle w:val="FootnoteReference"/>
          <w:rFonts w:cstheme="minorHAnsi"/>
        </w:rPr>
        <w:footnoteReference w:id="14"/>
      </w:r>
      <w:r>
        <w:t xml:space="preserve"> especially in the Pacific. </w:t>
      </w:r>
      <w:r>
        <w:rPr>
          <w:rFonts w:cs="Arial"/>
        </w:rPr>
        <w:t>The Australian Government recognises that: i</w:t>
      </w:r>
      <w:r w:rsidRPr="003F6D45">
        <w:rPr>
          <w:rFonts w:cs="Archer-Book"/>
        </w:rPr>
        <w:t xml:space="preserve">nvesting in </w:t>
      </w:r>
      <w:r>
        <w:rPr>
          <w:rFonts w:cs="Archer-Book"/>
        </w:rPr>
        <w:t xml:space="preserve">women’s, </w:t>
      </w:r>
      <w:r w:rsidRPr="003F6D45">
        <w:rPr>
          <w:rFonts w:cs="Archer-Book"/>
        </w:rPr>
        <w:t>adolescent girls</w:t>
      </w:r>
      <w:r>
        <w:rPr>
          <w:rFonts w:cs="Archer-Book"/>
        </w:rPr>
        <w:t>’</w:t>
      </w:r>
      <w:r w:rsidRPr="003F6D45">
        <w:rPr>
          <w:rFonts w:cs="Archer-Book"/>
        </w:rPr>
        <w:t xml:space="preserve"> and young women’s SRH</w:t>
      </w:r>
      <w:r w:rsidR="00FD1CE5">
        <w:rPr>
          <w:rFonts w:cs="Archer-Book"/>
        </w:rPr>
        <w:t>R</w:t>
      </w:r>
      <w:r w:rsidRPr="003F6D45">
        <w:rPr>
          <w:rFonts w:cs="Archer-Book"/>
        </w:rPr>
        <w:t xml:space="preserve"> will</w:t>
      </w:r>
      <w:r>
        <w:rPr>
          <w:rFonts w:cs="Archer-Book"/>
        </w:rPr>
        <w:t xml:space="preserve"> </w:t>
      </w:r>
      <w:r w:rsidRPr="003F6D45">
        <w:rPr>
          <w:rFonts w:cs="Archer-Book"/>
        </w:rPr>
        <w:t xml:space="preserve">contribute to </w:t>
      </w:r>
      <w:r>
        <w:rPr>
          <w:rFonts w:cs="Archer-Book"/>
        </w:rPr>
        <w:t xml:space="preserve">decreasing </w:t>
      </w:r>
      <w:r w:rsidRPr="003F6D45">
        <w:rPr>
          <w:rFonts w:cs="Archer-Book"/>
        </w:rPr>
        <w:t>teenage pregnancy and sexually transmitted infections including HIV</w:t>
      </w:r>
      <w:r>
        <w:rPr>
          <w:rFonts w:cs="Archer-Book"/>
        </w:rPr>
        <w:t>; and that c</w:t>
      </w:r>
      <w:r w:rsidRPr="003F6D45">
        <w:rPr>
          <w:rFonts w:cs="Archer-Book"/>
        </w:rPr>
        <w:t>hild marriage, coercive sex, and gender</w:t>
      </w:r>
      <w:r>
        <w:rPr>
          <w:rFonts w:cs="Archer-Book"/>
        </w:rPr>
        <w:t xml:space="preserve"> </w:t>
      </w:r>
      <w:r w:rsidRPr="003F6D45">
        <w:rPr>
          <w:rFonts w:cs="Archer-Book"/>
        </w:rPr>
        <w:t>based</w:t>
      </w:r>
      <w:r>
        <w:rPr>
          <w:rFonts w:cs="Archer-Book"/>
        </w:rPr>
        <w:t xml:space="preserve"> </w:t>
      </w:r>
      <w:r w:rsidRPr="003F6D45">
        <w:rPr>
          <w:rFonts w:cs="Archer-Book"/>
        </w:rPr>
        <w:t>violence are often key elements in the context in which</w:t>
      </w:r>
      <w:r>
        <w:rPr>
          <w:rFonts w:cs="Archer-Book"/>
        </w:rPr>
        <w:t xml:space="preserve"> </w:t>
      </w:r>
      <w:r w:rsidRPr="003F6D45">
        <w:rPr>
          <w:rFonts w:cs="Archer-Book"/>
        </w:rPr>
        <w:t xml:space="preserve">a </w:t>
      </w:r>
      <w:r>
        <w:rPr>
          <w:rFonts w:cs="Archer-Book"/>
        </w:rPr>
        <w:t xml:space="preserve">woman or </w:t>
      </w:r>
      <w:r w:rsidRPr="003F6D45">
        <w:rPr>
          <w:rFonts w:cs="Archer-Book"/>
        </w:rPr>
        <w:t>girl becomes pregnant</w:t>
      </w:r>
      <w:r>
        <w:rPr>
          <w:rFonts w:cs="Archer-Book"/>
        </w:rPr>
        <w:t>. A</w:t>
      </w:r>
      <w:r w:rsidRPr="003F6D45">
        <w:rPr>
          <w:rFonts w:cs="Archer-Book"/>
        </w:rPr>
        <w:t>ll are human rights violations,</w:t>
      </w:r>
      <w:r>
        <w:rPr>
          <w:rFonts w:cs="Archer-Book"/>
        </w:rPr>
        <w:t xml:space="preserve"> </w:t>
      </w:r>
      <w:r w:rsidRPr="003F6D45">
        <w:rPr>
          <w:rFonts w:cs="Archer-Book"/>
        </w:rPr>
        <w:t xml:space="preserve">as are denials of access to </w:t>
      </w:r>
      <w:r w:rsidR="00AD0519">
        <w:rPr>
          <w:rFonts w:cs="Archer-Book"/>
        </w:rPr>
        <w:t xml:space="preserve">SRH </w:t>
      </w:r>
      <w:r w:rsidRPr="003F6D45">
        <w:rPr>
          <w:rFonts w:cs="Archer-Book"/>
        </w:rPr>
        <w:t>information and essential services.</w:t>
      </w:r>
      <w:r>
        <w:rPr>
          <w:rFonts w:cs="Archer-Book"/>
        </w:rPr>
        <w:t xml:space="preserve"> Support for transformative change in the lives of women and girls across the region needs to include addressing factors that contribute to the unmet need for FP and ensuring the availability of rights-based SRH services.  </w:t>
      </w:r>
    </w:p>
    <w:p w14:paraId="59709235" w14:textId="77777777" w:rsidR="00550A9D" w:rsidRDefault="00550A9D" w:rsidP="00550A9D">
      <w:pPr>
        <w:pStyle w:val="NoSpacing"/>
      </w:pPr>
    </w:p>
    <w:p w14:paraId="4EA5E32E" w14:textId="77777777" w:rsidR="002E435F" w:rsidRDefault="002E435F" w:rsidP="00550A9D">
      <w:pPr>
        <w:pStyle w:val="NoSpacing"/>
      </w:pPr>
      <w:r>
        <w:t xml:space="preserve">While the TA program is implemented across a range of Ministry IPs and sub-recipients, the goals and objectives </w:t>
      </w:r>
      <w:r w:rsidR="009600D7">
        <w:t>of</w:t>
      </w:r>
      <w:r>
        <w:t xml:space="preserve"> the TA program rest heavily within the health sector. All of the higher-level impact indicators are within the health sector, and all but four of the 25 MEF indicators are health sector based (the other four are related to FP demand generation through Family Life Education </w:t>
      </w:r>
      <w:r w:rsidR="00BE0615">
        <w:t xml:space="preserve">(FLE) </w:t>
      </w:r>
      <w:r>
        <w:t>within the education sector). While inputs from the education, women, and youth sectors are critically important, the</w:t>
      </w:r>
      <w:r w:rsidR="00BE0615">
        <w:t>se Ministries a</w:t>
      </w:r>
      <w:r>
        <w:t>re not the best positioned to drive the overall SRHR effort of the TA</w:t>
      </w:r>
      <w:r w:rsidR="00BE0615">
        <w:t xml:space="preserve"> program</w:t>
      </w:r>
      <w:r>
        <w:t xml:space="preserve">. The two key SRHR health sector providers in each country are currently the MOHs and the International Planned Parenthood Federation (IPPF) Member Associations (MAs). </w:t>
      </w:r>
      <w:r w:rsidR="0012132A" w:rsidRPr="00F12C1D">
        <w:t xml:space="preserve">Annex </w:t>
      </w:r>
      <w:r w:rsidR="0012132A" w:rsidRPr="009600D7">
        <w:t>11</w:t>
      </w:r>
      <w:r w:rsidR="0012132A">
        <w:t xml:space="preserve"> lists the roles and coverage of MOH and MA SRHR services in the six countries.</w:t>
      </w:r>
      <w:r>
        <w:t xml:space="preserve">  </w:t>
      </w:r>
    </w:p>
    <w:p w14:paraId="4D093314" w14:textId="77777777" w:rsidR="00550A9D" w:rsidRDefault="00550A9D" w:rsidP="00550A9D">
      <w:pPr>
        <w:pStyle w:val="NoSpacing"/>
        <w:rPr>
          <w:lang w:val="en-US"/>
        </w:rPr>
      </w:pPr>
    </w:p>
    <w:p w14:paraId="74F95829" w14:textId="77777777" w:rsidR="00BE0615" w:rsidRDefault="00BE0615" w:rsidP="00BE0615">
      <w:pPr>
        <w:pStyle w:val="NoSpacing"/>
      </w:pPr>
      <w:r>
        <w:rPr>
          <w:lang w:val="en-US"/>
        </w:rPr>
        <w:t>Each country’s MOH has SRHR mandates and roles</w:t>
      </w:r>
      <w:r w:rsidR="00CC05A8">
        <w:rPr>
          <w:lang w:val="en-US"/>
        </w:rPr>
        <w:t>,</w:t>
      </w:r>
      <w:r>
        <w:rPr>
          <w:lang w:val="en-US"/>
        </w:rPr>
        <w:t xml:space="preserve"> and the IPPF MAs in each country play a role in supporting MOH SRHR programs. </w:t>
      </w:r>
      <w:r>
        <w:t xml:space="preserve">Annex 4 outlines the synergies with related programs - DFAT Supplies program; SPRINT, Pre-positioning program; </w:t>
      </w:r>
      <w:proofErr w:type="spellStart"/>
      <w:r>
        <w:t>Jadelle</w:t>
      </w:r>
      <w:proofErr w:type="spellEnd"/>
      <w:r>
        <w:t xml:space="preserve"> rollout success in Solomon Islands; MFAT Pacific SRH Program; IPPF S</w:t>
      </w:r>
      <w:r w:rsidR="0012132A">
        <w:t xml:space="preserve">amoa </w:t>
      </w:r>
      <w:r>
        <w:t>F</w:t>
      </w:r>
      <w:r w:rsidR="0012132A">
        <w:t xml:space="preserve">amily </w:t>
      </w:r>
      <w:r>
        <w:t>H</w:t>
      </w:r>
      <w:r w:rsidR="0012132A">
        <w:t xml:space="preserve">ealth </w:t>
      </w:r>
      <w:r>
        <w:t>A</w:t>
      </w:r>
      <w:r w:rsidR="0012132A">
        <w:t xml:space="preserve">ssociation (SFHA) </w:t>
      </w:r>
      <w:r>
        <w:t xml:space="preserve">Impact Project in Samoa; NZFPA projects in Vanuatu &amp; Kiribati; DFAT bilateral programs. All of these programs and projects have lessons to be learned for implementation of the TA program. </w:t>
      </w:r>
    </w:p>
    <w:p w14:paraId="1CB80B31" w14:textId="77777777" w:rsidR="00BE0615" w:rsidRDefault="00BE0615" w:rsidP="00550A9D">
      <w:pPr>
        <w:pStyle w:val="NoSpacing"/>
      </w:pPr>
    </w:p>
    <w:p w14:paraId="5B9218A9" w14:textId="77777777" w:rsidR="00550A9D" w:rsidRPr="009600D7" w:rsidRDefault="002E435F" w:rsidP="00550A9D">
      <w:pPr>
        <w:pStyle w:val="NoSpacing"/>
        <w:rPr>
          <w:b/>
          <w:bCs/>
          <w:lang w:val="en-US"/>
        </w:rPr>
      </w:pPr>
      <w:r>
        <w:t xml:space="preserve">The TA program </w:t>
      </w:r>
      <w:r w:rsidR="00BE0615">
        <w:t xml:space="preserve">has been impacted by </w:t>
      </w:r>
      <w:r>
        <w:t xml:space="preserve">the competing priorities of MOHs, namely Non-Communicable Diseases (NCDs) and the COVID-19 pandemic which will affect implementation and progress for the duration of the program. Ministries will always be more engaged when donor programs are directly aligned with the Ministry’s own priorities </w:t>
      </w:r>
      <w:r>
        <w:lastRenderedPageBreak/>
        <w:t xml:space="preserve">and programs. The timing </w:t>
      </w:r>
      <w:r w:rsidR="00BE0615">
        <w:t xml:space="preserve">of the TA program </w:t>
      </w:r>
      <w:r>
        <w:t xml:space="preserve">does however benefit </w:t>
      </w:r>
      <w:r w:rsidR="00CA7D57">
        <w:rPr>
          <w:lang w:val="en-US"/>
        </w:rPr>
        <w:t xml:space="preserve">MOHs </w:t>
      </w:r>
      <w:r>
        <w:rPr>
          <w:lang w:val="en-US"/>
        </w:rPr>
        <w:t xml:space="preserve">who </w:t>
      </w:r>
      <w:r w:rsidR="00CA7D57">
        <w:rPr>
          <w:lang w:val="en-US"/>
        </w:rPr>
        <w:t xml:space="preserve">are currently developing their role delineation policies and packages of essential services towards Universal Health Coverage (UHC). These essential packages include integrated SRH services. </w:t>
      </w:r>
      <w:r w:rsidR="00CA7D57" w:rsidRPr="00CA69CB">
        <w:rPr>
          <w:lang w:val="en-US"/>
        </w:rPr>
        <w:t xml:space="preserve">If the TA program </w:t>
      </w:r>
      <w:r w:rsidRPr="00CA69CB">
        <w:rPr>
          <w:lang w:val="en-US"/>
        </w:rPr>
        <w:t xml:space="preserve">supported </w:t>
      </w:r>
      <w:r w:rsidR="00CA7D57" w:rsidRPr="00CA69CB">
        <w:rPr>
          <w:lang w:val="en-US"/>
        </w:rPr>
        <w:t xml:space="preserve">these </w:t>
      </w:r>
      <w:r w:rsidRPr="00CA69CB">
        <w:rPr>
          <w:lang w:val="en-US"/>
        </w:rPr>
        <w:t xml:space="preserve">priority </w:t>
      </w:r>
      <w:r w:rsidR="00CA7D57" w:rsidRPr="00CA69CB">
        <w:rPr>
          <w:lang w:val="en-US"/>
        </w:rPr>
        <w:t>MOH activities directly with technical assistance and training of health workers at service delivery points (SDPs), it would significantly improve the relevance of the program. This includes ensuring SRH services are youth-friendly, disability-in</w:t>
      </w:r>
      <w:r w:rsidR="00CA7D57" w:rsidRPr="004D2D92">
        <w:rPr>
          <w:lang w:val="en-US"/>
        </w:rPr>
        <w:t>clusive and provide gender-based violence (GBV) care.</w:t>
      </w:r>
      <w:r w:rsidR="00CA7D57" w:rsidRPr="009600D7">
        <w:rPr>
          <w:b/>
          <w:bCs/>
          <w:lang w:val="en-US"/>
        </w:rPr>
        <w:t xml:space="preserve"> </w:t>
      </w:r>
    </w:p>
    <w:p w14:paraId="0EC8FEA3" w14:textId="77777777" w:rsidR="00550A9D" w:rsidRDefault="00550A9D" w:rsidP="00550A9D">
      <w:pPr>
        <w:pStyle w:val="NoSpacing"/>
        <w:rPr>
          <w:lang w:val="en-US"/>
        </w:rPr>
      </w:pPr>
    </w:p>
    <w:p w14:paraId="4FDD74A0" w14:textId="77777777" w:rsidR="00CA7D57" w:rsidRDefault="00CA7D57" w:rsidP="00550A9D">
      <w:pPr>
        <w:pStyle w:val="NoSpacing"/>
      </w:pPr>
      <w:r>
        <w:rPr>
          <w:lang w:val="en-US"/>
        </w:rPr>
        <w:t xml:space="preserve">Limited progress has been made in training </w:t>
      </w:r>
      <w:r w:rsidR="00BE0615">
        <w:rPr>
          <w:lang w:val="en-US"/>
        </w:rPr>
        <w:t xml:space="preserve">for integrated SRH services </w:t>
      </w:r>
      <w:r>
        <w:rPr>
          <w:lang w:val="en-US"/>
        </w:rPr>
        <w:t xml:space="preserve">in any country through the TA Program, </w:t>
      </w:r>
      <w:r w:rsidR="00BE0615">
        <w:rPr>
          <w:lang w:val="en-US"/>
        </w:rPr>
        <w:t>however</w:t>
      </w:r>
      <w:r>
        <w:rPr>
          <w:lang w:val="en-US"/>
        </w:rPr>
        <w:t xml:space="preserve"> some countries have advanced such training through other SRH programs,</w:t>
      </w:r>
      <w:r w:rsidR="00693E83">
        <w:rPr>
          <w:lang w:val="en-US"/>
        </w:rPr>
        <w:t xml:space="preserve"> </w:t>
      </w:r>
      <w:proofErr w:type="gramStart"/>
      <w:r w:rsidR="00693E83">
        <w:rPr>
          <w:lang w:val="en-US"/>
        </w:rPr>
        <w:t>e.g.</w:t>
      </w:r>
      <w:proofErr w:type="gramEnd"/>
      <w:r w:rsidR="00693E83">
        <w:rPr>
          <w:lang w:val="en-US"/>
        </w:rPr>
        <w:t xml:space="preserve"> the </w:t>
      </w:r>
      <w:r w:rsidR="00213821">
        <w:rPr>
          <w:lang w:val="en-US"/>
        </w:rPr>
        <w:t xml:space="preserve">Joint UNFPA, UNICEF, WHO </w:t>
      </w:r>
      <w:r w:rsidR="00693E83">
        <w:rPr>
          <w:lang w:val="en-US"/>
        </w:rPr>
        <w:t>RMNCAH program; IPPF programs</w:t>
      </w:r>
      <w:r w:rsidR="00213821">
        <w:rPr>
          <w:lang w:val="en-US"/>
        </w:rPr>
        <w:t>;</w:t>
      </w:r>
      <w:r w:rsidR="00693E83">
        <w:rPr>
          <w:lang w:val="en-US"/>
        </w:rPr>
        <w:t xml:space="preserve"> and </w:t>
      </w:r>
      <w:r>
        <w:rPr>
          <w:lang w:val="en-US"/>
        </w:rPr>
        <w:t>those funded by their own governments. For example, in Kiribati the MOH</w:t>
      </w:r>
      <w:r w:rsidR="00213821">
        <w:rPr>
          <w:lang w:val="en-US"/>
        </w:rPr>
        <w:t>/RMNCAH</w:t>
      </w:r>
      <w:r w:rsidR="00686E20">
        <w:rPr>
          <w:lang w:val="en-US"/>
        </w:rPr>
        <w:t xml:space="preserve">, </w:t>
      </w:r>
      <w:r w:rsidR="00693E83">
        <w:rPr>
          <w:lang w:val="en-US"/>
        </w:rPr>
        <w:t>IPPF</w:t>
      </w:r>
      <w:r>
        <w:rPr>
          <w:lang w:val="en-US"/>
        </w:rPr>
        <w:t xml:space="preserve"> </w:t>
      </w:r>
      <w:r w:rsidR="00686E20">
        <w:rPr>
          <w:lang w:val="en-US"/>
        </w:rPr>
        <w:t xml:space="preserve">and New Zealand Family Planning </w:t>
      </w:r>
      <w:r>
        <w:rPr>
          <w:lang w:val="en-US"/>
        </w:rPr>
        <w:t xml:space="preserve">support Kiribati Family Health Association (KFHA) to conduct joint outreach </w:t>
      </w:r>
      <w:r w:rsidR="00213821">
        <w:rPr>
          <w:lang w:val="en-US"/>
        </w:rPr>
        <w:t xml:space="preserve">(clinic, education and supervision services) </w:t>
      </w:r>
      <w:r>
        <w:rPr>
          <w:lang w:val="en-US"/>
        </w:rPr>
        <w:t xml:space="preserve">with MOH staff to outer islands to train SDP staff in FP methods </w:t>
      </w:r>
      <w:r w:rsidR="002C7C70">
        <w:rPr>
          <w:lang w:val="en-US"/>
        </w:rPr>
        <w:t xml:space="preserve">such as </w:t>
      </w:r>
      <w:proofErr w:type="gramStart"/>
      <w:r>
        <w:rPr>
          <w:lang w:val="en-US"/>
        </w:rPr>
        <w:t>Long Acting</w:t>
      </w:r>
      <w:proofErr w:type="gramEnd"/>
      <w:r>
        <w:rPr>
          <w:lang w:val="en-US"/>
        </w:rPr>
        <w:t xml:space="preserve"> Reversible Contraception (LARCs) and Emergency Contraception </w:t>
      </w:r>
      <w:r w:rsidR="002C7C70">
        <w:rPr>
          <w:lang w:val="en-US"/>
        </w:rPr>
        <w:t>(</w:t>
      </w:r>
      <w:r>
        <w:rPr>
          <w:lang w:val="en-US"/>
        </w:rPr>
        <w:t>EC</w:t>
      </w:r>
      <w:r w:rsidR="002C7C70">
        <w:rPr>
          <w:lang w:val="en-US"/>
        </w:rPr>
        <w:t>),</w:t>
      </w:r>
      <w:r>
        <w:rPr>
          <w:lang w:val="en-US"/>
        </w:rPr>
        <w:t xml:space="preserve"> a</w:t>
      </w:r>
      <w:r w:rsidR="002C7C70">
        <w:rPr>
          <w:lang w:val="en-US"/>
        </w:rPr>
        <w:t xml:space="preserve">s well as </w:t>
      </w:r>
      <w:r>
        <w:rPr>
          <w:lang w:val="en-US"/>
        </w:rPr>
        <w:t>conduct community awareness</w:t>
      </w:r>
      <w:r w:rsidR="00693E83">
        <w:rPr>
          <w:lang w:val="en-US"/>
        </w:rPr>
        <w:t xml:space="preserve">, </w:t>
      </w:r>
      <w:r>
        <w:rPr>
          <w:lang w:val="en-US"/>
        </w:rPr>
        <w:t>outreach FP services</w:t>
      </w:r>
      <w:r w:rsidR="00693E83">
        <w:rPr>
          <w:lang w:val="en-US"/>
        </w:rPr>
        <w:t xml:space="preserve"> and supervision of SDP staff</w:t>
      </w:r>
      <w:r>
        <w:rPr>
          <w:lang w:val="en-US"/>
        </w:rPr>
        <w:t xml:space="preserve">. Tonga </w:t>
      </w:r>
      <w:r w:rsidR="00550A9D">
        <w:rPr>
          <w:lang w:val="en-US"/>
        </w:rPr>
        <w:t xml:space="preserve">MOH </w:t>
      </w:r>
      <w:r>
        <w:rPr>
          <w:lang w:val="en-US"/>
        </w:rPr>
        <w:t xml:space="preserve">has trained all doctors in implant insertion and will now train nurses in this method using government funds. </w:t>
      </w:r>
      <w:r>
        <w:t xml:space="preserve">Solomon Islands </w:t>
      </w:r>
      <w:r w:rsidR="0012132A">
        <w:t xml:space="preserve">MHMS </w:t>
      </w:r>
      <w:r>
        <w:t>has trained all medical assistants in GBV care and will now train 150 nurses per year.</w:t>
      </w:r>
    </w:p>
    <w:p w14:paraId="7DD00DEA" w14:textId="77777777" w:rsidR="00213821" w:rsidRDefault="00213821" w:rsidP="00550A9D">
      <w:pPr>
        <w:pStyle w:val="NoSpacing"/>
      </w:pPr>
    </w:p>
    <w:p w14:paraId="31B2CA83" w14:textId="77777777" w:rsidR="00213821" w:rsidRDefault="00213821" w:rsidP="00550A9D">
      <w:pPr>
        <w:pStyle w:val="NoSpacing"/>
      </w:pPr>
      <w:r>
        <w:t xml:space="preserve">This demonstrates that training is not required for all SDPs </w:t>
      </w:r>
      <w:r w:rsidR="00717F4D">
        <w:t xml:space="preserve">as suggested in the MEF, </w:t>
      </w:r>
      <w:r>
        <w:t xml:space="preserve">and that targets may </w:t>
      </w:r>
      <w:r w:rsidR="00111637">
        <w:t xml:space="preserve">need to </w:t>
      </w:r>
      <w:r>
        <w:t xml:space="preserve">be lower. Lack of verification of need at the outset of the program means that many SDPs </w:t>
      </w:r>
      <w:r w:rsidR="00717F4D">
        <w:t xml:space="preserve">already </w:t>
      </w:r>
      <w:r>
        <w:t>have a person trained in FP, disability friendly and rights</w:t>
      </w:r>
      <w:r w:rsidR="004500E6">
        <w:t>-</w:t>
      </w:r>
      <w:r>
        <w:t>based FP services. UNFPA should, as part of the 2021-2022 work plan negotiations, reconfirm with each MOH how many people need to be trained to achieve the target, and agree how many in each year will be trained over the next two years, to WHO standards</w:t>
      </w:r>
      <w:r w:rsidR="004500E6">
        <w:t>.</w:t>
      </w:r>
      <w:r>
        <w:t xml:space="preserve">   </w:t>
      </w:r>
    </w:p>
    <w:p w14:paraId="330FCAD9" w14:textId="77777777" w:rsidR="00550A9D" w:rsidRDefault="00550A9D" w:rsidP="00550A9D">
      <w:pPr>
        <w:pStyle w:val="NoSpacing"/>
      </w:pPr>
    </w:p>
    <w:p w14:paraId="2A9F095C" w14:textId="46EF0940" w:rsidR="00550A9D" w:rsidRDefault="00CA7D57" w:rsidP="00550A9D">
      <w:pPr>
        <w:pStyle w:val="NoSpacing"/>
        <w:rPr>
          <w:lang w:val="en-US"/>
        </w:rPr>
      </w:pPr>
      <w:r>
        <w:t xml:space="preserve">In summary, the TA Program is designed to </w:t>
      </w:r>
      <w:r w:rsidR="00C96B43">
        <w:t xml:space="preserve">achieve </w:t>
      </w:r>
      <w:r w:rsidR="00E80707">
        <w:t xml:space="preserve">relevant and </w:t>
      </w:r>
      <w:r>
        <w:t xml:space="preserve">appropriate </w:t>
      </w:r>
      <w:r w:rsidR="00C96B43">
        <w:t>outcomes in line with MOH policies and priorities and DFAT health, gender and development policies</w:t>
      </w:r>
      <w:r w:rsidR="00BE0615">
        <w:t xml:space="preserve">. However, due to implementation delays and challenges, it is uncertain how many of </w:t>
      </w:r>
      <w:r>
        <w:t xml:space="preserve">the </w:t>
      </w:r>
      <w:r w:rsidR="002C7C70">
        <w:t xml:space="preserve">related TA </w:t>
      </w:r>
      <w:r>
        <w:t>outcome</w:t>
      </w:r>
      <w:r w:rsidR="002C7C70">
        <w:t xml:space="preserve"> target</w:t>
      </w:r>
      <w:r>
        <w:t xml:space="preserve">s can be achieved within the </w:t>
      </w:r>
      <w:r w:rsidR="00BE0615">
        <w:t xml:space="preserve">remaining </w:t>
      </w:r>
      <w:r>
        <w:t xml:space="preserve">20 months of the program.  </w:t>
      </w:r>
    </w:p>
    <w:p w14:paraId="3236CC8A" w14:textId="77777777" w:rsidR="00E80707" w:rsidRDefault="00E80707" w:rsidP="003538C5">
      <w:pPr>
        <w:pStyle w:val="NumberedLevel1heading"/>
        <w:numPr>
          <w:ilvl w:val="0"/>
          <w:numId w:val="27"/>
        </w:numPr>
        <w:jc w:val="left"/>
        <w:rPr>
          <w:rFonts w:cstheme="minorBidi"/>
          <w:lang w:eastAsia="en-US" w:bidi="ar-SA"/>
        </w:rPr>
      </w:pPr>
      <w:bookmarkStart w:id="21" w:name="_Toc76630086"/>
      <w:r>
        <w:t>Effectiveness</w:t>
      </w:r>
      <w:bookmarkEnd w:id="21"/>
    </w:p>
    <w:p w14:paraId="7B5193DC" w14:textId="77777777" w:rsidR="00342689" w:rsidRDefault="005F68D1" w:rsidP="00550A9D">
      <w:pPr>
        <w:pStyle w:val="NoSpacing"/>
      </w:pPr>
      <w:r>
        <w:rPr>
          <w:noProof/>
          <w:lang w:eastAsia="en-AU"/>
        </w:rPr>
        <mc:AlternateContent>
          <mc:Choice Requires="wps">
            <w:drawing>
              <wp:inline distT="0" distB="0" distL="0" distR="0" wp14:anchorId="58AD033A" wp14:editId="32CCC87C">
                <wp:extent cx="5638800" cy="1323975"/>
                <wp:effectExtent l="0" t="0" r="19050"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323975"/>
                        </a:xfrm>
                        <a:prstGeom prst="rect">
                          <a:avLst/>
                        </a:prstGeom>
                        <a:solidFill>
                          <a:srgbClr val="FFFFFF"/>
                        </a:solidFill>
                        <a:ln w="9525">
                          <a:solidFill>
                            <a:srgbClr val="000000"/>
                          </a:solidFill>
                          <a:miter lim="800000"/>
                          <a:headEnd/>
                          <a:tailEnd/>
                        </a:ln>
                      </wps:spPr>
                      <wps:txbx>
                        <w:txbxContent>
                          <w:p w14:paraId="33128F12" w14:textId="77777777" w:rsidR="00051F27" w:rsidRPr="00D63164" w:rsidRDefault="00051F27" w:rsidP="005F68D1">
                            <w:pPr>
                              <w:rPr>
                                <w:rFonts w:cstheme="minorHAnsi"/>
                                <w:sz w:val="18"/>
                                <w:szCs w:val="18"/>
                              </w:rPr>
                            </w:pPr>
                            <w:r w:rsidRPr="00D63164">
                              <w:rPr>
                                <w:rFonts w:cstheme="minorHAnsi"/>
                                <w:sz w:val="18"/>
                                <w:szCs w:val="18"/>
                              </w:rPr>
                              <w:t>What progress is there in completing activities for last year and this year?</w:t>
                            </w:r>
                          </w:p>
                          <w:p w14:paraId="6A076D3E" w14:textId="77777777" w:rsidR="00051F27" w:rsidRPr="00D63164" w:rsidRDefault="00051F27" w:rsidP="005F68D1">
                            <w:pPr>
                              <w:rPr>
                                <w:rFonts w:cstheme="minorHAnsi"/>
                                <w:sz w:val="18"/>
                                <w:szCs w:val="18"/>
                              </w:rPr>
                            </w:pPr>
                            <w:r w:rsidRPr="00D63164">
                              <w:rPr>
                                <w:rFonts w:cstheme="minorHAnsi"/>
                                <w:sz w:val="18"/>
                                <w:szCs w:val="18"/>
                              </w:rPr>
                              <w:t xml:space="preserve">What progress is there is achieving outcomes and objective and what factors influence whether or not you are meeting your output and outcome targets? </w:t>
                            </w:r>
                          </w:p>
                          <w:p w14:paraId="39F6DD35" w14:textId="77777777" w:rsidR="00051F27" w:rsidRPr="00D63164" w:rsidRDefault="00051F27" w:rsidP="005F68D1">
                            <w:pPr>
                              <w:rPr>
                                <w:rFonts w:cstheme="minorHAnsi"/>
                                <w:sz w:val="18"/>
                                <w:szCs w:val="18"/>
                              </w:rPr>
                            </w:pPr>
                            <w:r w:rsidRPr="00D63164">
                              <w:rPr>
                                <w:rFonts w:cstheme="minorHAnsi"/>
                                <w:sz w:val="18"/>
                                <w:szCs w:val="18"/>
                              </w:rPr>
                              <w:t>Are SRH/FP commodities regularly supplied and available at health facilities?</w:t>
                            </w:r>
                          </w:p>
                          <w:p w14:paraId="4E91137E" w14:textId="77777777" w:rsidR="00051F27" w:rsidRPr="00D63164" w:rsidRDefault="00051F27" w:rsidP="005F68D1">
                            <w:pPr>
                              <w:rPr>
                                <w:sz w:val="18"/>
                                <w:szCs w:val="18"/>
                              </w:rPr>
                            </w:pPr>
                            <w:r w:rsidRPr="00D63164">
                              <w:rPr>
                                <w:rFonts w:cstheme="minorHAnsi"/>
                                <w:sz w:val="18"/>
                                <w:szCs w:val="18"/>
                              </w:rPr>
                              <w:t>Is program implementation enhanced by the technical assistance provided; and through consideration of Gender and Social Inclusion (GESI) programming and activities?</w:t>
                            </w:r>
                          </w:p>
                        </w:txbxContent>
                      </wps:txbx>
                      <wps:bodyPr rot="0" vert="horz" wrap="square" lIns="91440" tIns="45720" rIns="91440" bIns="45720" anchor="t" anchorCtr="0">
                        <a:noAutofit/>
                      </wps:bodyPr>
                    </wps:wsp>
                  </a:graphicData>
                </a:graphic>
              </wp:inline>
            </w:drawing>
          </mc:Choice>
          <mc:Fallback>
            <w:pict>
              <v:shape w14:anchorId="58AD033A" id="_x0000_s1028" type="#_x0000_t202" style="width:444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">
                <v:textbox>
                  <w:txbxContent>
                    <w:p w14:paraId="33128F12" w14:textId="77777777" w:rsidR="00051F27" w:rsidRPr="00D63164" w:rsidRDefault="00051F27" w:rsidP="005F68D1">
                      <w:pPr>
                        <w:rPr>
                          <w:rFonts w:cstheme="minorHAnsi"/>
                          <w:sz w:val="18"/>
                          <w:szCs w:val="18"/>
                        </w:rPr>
                      </w:pPr>
                      <w:r w:rsidRPr="00D63164">
                        <w:rPr>
                          <w:rFonts w:cstheme="minorHAnsi"/>
                          <w:sz w:val="18"/>
                          <w:szCs w:val="18"/>
                        </w:rPr>
                        <w:t>What progress is there in completing activities for last year and this year?</w:t>
                      </w:r>
                    </w:p>
                    <w:p w14:paraId="6A076D3E" w14:textId="77777777" w:rsidR="00051F27" w:rsidRPr="00D63164" w:rsidRDefault="00051F27" w:rsidP="005F68D1">
                      <w:pPr>
                        <w:rPr>
                          <w:rFonts w:cstheme="minorHAnsi"/>
                          <w:sz w:val="18"/>
                          <w:szCs w:val="18"/>
                        </w:rPr>
                      </w:pPr>
                      <w:r w:rsidRPr="00D63164">
                        <w:rPr>
                          <w:rFonts w:cstheme="minorHAnsi"/>
                          <w:sz w:val="18"/>
                          <w:szCs w:val="18"/>
                        </w:rPr>
                        <w:t xml:space="preserve">What progress is there is achieving outcomes and objective and what factors influence whether or not you are meeting your output and outcome targets? </w:t>
                      </w:r>
                    </w:p>
                    <w:p w14:paraId="39F6DD35" w14:textId="77777777" w:rsidR="00051F27" w:rsidRPr="00D63164" w:rsidRDefault="00051F27" w:rsidP="005F68D1">
                      <w:pPr>
                        <w:rPr>
                          <w:rFonts w:cstheme="minorHAnsi"/>
                          <w:sz w:val="18"/>
                          <w:szCs w:val="18"/>
                        </w:rPr>
                      </w:pPr>
                      <w:r w:rsidRPr="00D63164">
                        <w:rPr>
                          <w:rFonts w:cstheme="minorHAnsi"/>
                          <w:sz w:val="18"/>
                          <w:szCs w:val="18"/>
                        </w:rPr>
                        <w:t>Are SRH/FP commodities regularly supplied and available at health facilities?</w:t>
                      </w:r>
                    </w:p>
                    <w:p w14:paraId="4E91137E" w14:textId="77777777" w:rsidR="00051F27" w:rsidRPr="00D63164" w:rsidRDefault="00051F27" w:rsidP="005F68D1">
                      <w:pPr>
                        <w:rPr>
                          <w:sz w:val="18"/>
                          <w:szCs w:val="18"/>
                        </w:rPr>
                      </w:pPr>
                      <w:r w:rsidRPr="00D63164">
                        <w:rPr>
                          <w:rFonts w:cstheme="minorHAnsi"/>
                          <w:sz w:val="18"/>
                          <w:szCs w:val="18"/>
                        </w:rPr>
                        <w:t>Is program implementation enhanced by the technical assistance provided; and through consideration of Gender and Social Inclusion (GESI) programming and activities?</w:t>
                      </w:r>
                    </w:p>
                  </w:txbxContent>
                </v:textbox>
                <w10:anchorlock/>
              </v:shape>
            </w:pict>
          </mc:Fallback>
        </mc:AlternateContent>
      </w:r>
    </w:p>
    <w:p w14:paraId="03412FF9" w14:textId="77777777" w:rsidR="005F68D1" w:rsidRDefault="005F68D1" w:rsidP="00550A9D">
      <w:pPr>
        <w:pStyle w:val="NoSpacing"/>
      </w:pPr>
    </w:p>
    <w:p w14:paraId="76DA0C71" w14:textId="77777777" w:rsidR="00C96B43" w:rsidRDefault="00C96B43" w:rsidP="00550A9D">
      <w:pPr>
        <w:pStyle w:val="NoSpacing"/>
      </w:pPr>
      <w:r>
        <w:t xml:space="preserve">The </w:t>
      </w:r>
      <w:r w:rsidR="002C7C70">
        <w:t>TA program</w:t>
      </w:r>
      <w:r>
        <w:t xml:space="preserve"> is designed to contribute to transformative change in the lives of women, adolescents and youth across the six countries through the program objective to move unmet need for family planning in the Pacific towards zero by 2022. It also responds to the under-achievement across the Pacific in making progress towards universal access to SRH</w:t>
      </w:r>
      <w:r w:rsidR="002D4EB5">
        <w:t>R</w:t>
      </w:r>
      <w:r>
        <w:t xml:space="preserve">. </w:t>
      </w:r>
    </w:p>
    <w:p w14:paraId="261C329B" w14:textId="77777777" w:rsidR="00550A9D" w:rsidRDefault="00550A9D" w:rsidP="00550A9D">
      <w:pPr>
        <w:pStyle w:val="NoSpacing"/>
      </w:pPr>
    </w:p>
    <w:p w14:paraId="22CE2FEA" w14:textId="77777777" w:rsidR="00342689" w:rsidRDefault="00342689" w:rsidP="00342689">
      <w:pPr>
        <w:pStyle w:val="NoSpacing"/>
      </w:pPr>
      <w:r>
        <w:t xml:space="preserve">At </w:t>
      </w:r>
      <w:r w:rsidR="0012132A">
        <w:t xml:space="preserve">this </w:t>
      </w:r>
      <w:r>
        <w:t>mid-point</w:t>
      </w:r>
      <w:r w:rsidR="009600D7">
        <w:t xml:space="preserve">, the </w:t>
      </w:r>
      <w:r>
        <w:t xml:space="preserve">TA program is not on track to achieve outcomes by program end due to the current underachievement of indicator targets. In addition, there remain critical administrative bottlenecks that will need to be resolved to avoid continued under-delivery. PSRO initiated some important steps </w:t>
      </w:r>
      <w:r w:rsidR="009600D7">
        <w:t xml:space="preserve">and actions </w:t>
      </w:r>
      <w:r>
        <w:t>in late 2019</w:t>
      </w:r>
      <w:r w:rsidR="009600D7">
        <w:t xml:space="preserve">, however, </w:t>
      </w:r>
      <w:r>
        <w:t>without more process change</w:t>
      </w:r>
      <w:r w:rsidR="0012132A">
        <w:t>s</w:t>
      </w:r>
      <w:r>
        <w:t>, slow mechanisms are likely to continue to undermine performance.</w:t>
      </w:r>
    </w:p>
    <w:p w14:paraId="5B10E20C" w14:textId="77777777" w:rsidR="00342689" w:rsidRDefault="00342689" w:rsidP="00550A9D">
      <w:pPr>
        <w:pStyle w:val="NoSpacing"/>
      </w:pPr>
    </w:p>
    <w:p w14:paraId="31BCCF7C" w14:textId="77777777" w:rsidR="002F7102" w:rsidRDefault="002F7102" w:rsidP="003538C5">
      <w:pPr>
        <w:pStyle w:val="Level2Heading"/>
        <w:numPr>
          <w:ilvl w:val="1"/>
          <w:numId w:val="27"/>
        </w:numPr>
        <w:outlineLvl w:val="1"/>
      </w:pPr>
      <w:bookmarkStart w:id="22" w:name="_Toc76630087"/>
      <w:r>
        <w:t>Results</w:t>
      </w:r>
      <w:bookmarkEnd w:id="22"/>
    </w:p>
    <w:p w14:paraId="33709BD1" w14:textId="77777777" w:rsidR="00BE0A8A" w:rsidRPr="00BE0A8A" w:rsidRDefault="00BE0A8A" w:rsidP="000C076B">
      <w:pPr>
        <w:pStyle w:val="NoSpacing"/>
      </w:pPr>
      <w:r w:rsidRPr="00BE0A8A">
        <w:lastRenderedPageBreak/>
        <w:t>In order to assess program effectiveness and progress toward meeting objectives to date, a review of the Monitoring and Evaluation Framework (MEF) was conducted.  The TA MEF has a total of 25 indicators. Three of these are high-level impact indicators, measured on a national scale every 5 or more years: adolescent birth rate (ABR), need for FP satisfied with modern methods, and modern contraceptive prevalence rate (</w:t>
      </w:r>
      <w:proofErr w:type="spellStart"/>
      <w:r w:rsidRPr="00BE0A8A">
        <w:t>mCPR</w:t>
      </w:r>
      <w:proofErr w:type="spellEnd"/>
      <w:r w:rsidRPr="00BE0A8A">
        <w:t>). Three indicators reflect modern contraceptive use on an annual basis: numbers of unintended pregnancies averted each year, couple years protection (CYP), and new acceptors of modern FP methods. The remaining 19 indicators are more programmatic and represent the three outcome areas of supply, demand, and enabling environment.</w:t>
      </w:r>
    </w:p>
    <w:p w14:paraId="02167D9E" w14:textId="77777777" w:rsidR="000C076B" w:rsidRDefault="000C076B" w:rsidP="000C076B">
      <w:pPr>
        <w:pStyle w:val="NoSpacing"/>
      </w:pPr>
    </w:p>
    <w:p w14:paraId="33DDBDF6" w14:textId="77777777" w:rsidR="00BE0A8A" w:rsidRPr="00BE0A8A" w:rsidRDefault="00BE0A8A" w:rsidP="000C076B">
      <w:pPr>
        <w:pStyle w:val="NoSpacing"/>
      </w:pPr>
      <w:r w:rsidRPr="00BE0A8A">
        <w:t xml:space="preserve">Results from 2018 through Q2 of 2020 were added together to </w:t>
      </w:r>
      <w:r w:rsidR="00BE0615">
        <w:t xml:space="preserve">obtain </w:t>
      </w:r>
      <w:r w:rsidRPr="00BE0A8A">
        <w:t>cumulative results. These were compared to the targets set for that same period (not program-end). Each indicator for each country was then assessed as to its level of progress, for a total of 150 indicator results assessed (25 indicators times 6 countries = 150 indicator results). T</w:t>
      </w:r>
      <w:r w:rsidR="00BE0615">
        <w:t xml:space="preserve">able 3 </w:t>
      </w:r>
      <w:r w:rsidRPr="00BE0A8A">
        <w:t xml:space="preserve">below shows </w:t>
      </w:r>
      <w:r w:rsidR="0012132A">
        <w:t>progress toward targets using</w:t>
      </w:r>
      <w:r w:rsidRPr="00BE0A8A">
        <w:t xml:space="preserve"> “traffic light” color-coding categories.  Green reflects those results deemed achieved/on track; yellow those showing some/limited progress; and red showing very little/no progress. Those in the “grey” category were those that were essentially unable to be evaluated:  either had no data, did not expect results for the time period, were deemed by the evaluators as too problematic to consider, and/or were high-level impact indicators and therefore excluded from mid-term consideration.  </w:t>
      </w:r>
    </w:p>
    <w:p w14:paraId="5CCD5C9C" w14:textId="77777777" w:rsidR="000C076B" w:rsidRDefault="000C076B" w:rsidP="000C076B">
      <w:pPr>
        <w:pStyle w:val="NoSpacing"/>
      </w:pPr>
    </w:p>
    <w:p w14:paraId="4D66C023" w14:textId="77777777" w:rsidR="009600D7" w:rsidRDefault="00BE0A8A" w:rsidP="005F68D1">
      <w:pPr>
        <w:pStyle w:val="NoSpacing"/>
      </w:pPr>
      <w:r w:rsidRPr="00BE0A8A">
        <w:t>T</w:t>
      </w:r>
      <w:r w:rsidR="00224164">
        <w:t xml:space="preserve">able 3 </w:t>
      </w:r>
      <w:r w:rsidR="0012132A">
        <w:t xml:space="preserve">shows </w:t>
      </w:r>
      <w:r w:rsidRPr="00BE0A8A">
        <w:t xml:space="preserve">the results of the 150 indicator results against targets, broken down in two ways:  1) consideration of all 150 results; and 2) </w:t>
      </w:r>
      <w:r w:rsidR="0012132A">
        <w:t xml:space="preserve">consideration of only the 78 results that were most appropriate for evaluation and </w:t>
      </w:r>
      <w:r w:rsidRPr="00BE0A8A">
        <w:t>excluding the “grey” category result</w:t>
      </w:r>
      <w:r w:rsidR="0012132A">
        <w:t>s</w:t>
      </w:r>
      <w:r w:rsidRPr="00BE0A8A">
        <w:t>. When considering</w:t>
      </w:r>
      <w:r w:rsidRPr="00BE0A8A">
        <w:rPr>
          <w:i/>
        </w:rPr>
        <w:t xml:space="preserve"> all</w:t>
      </w:r>
      <w:r w:rsidRPr="00BE0A8A">
        <w:t xml:space="preserve"> results, 17% of targets were met or on track; 7% showed some/limited progress, 27% showed little/no progress, and 48% were excluded. When considering the subset of 78 results that were best able to be evaluated, 33% were on track, 14% showed some/little progress, and 53% were not on track.</w:t>
      </w:r>
    </w:p>
    <w:p w14:paraId="79E5D507" w14:textId="77777777" w:rsidR="005F68D1" w:rsidRPr="005F68D1" w:rsidRDefault="005F68D1" w:rsidP="005F68D1">
      <w:pPr>
        <w:pStyle w:val="NoSpacing"/>
      </w:pPr>
    </w:p>
    <w:p w14:paraId="012A7757" w14:textId="77777777" w:rsidR="000864E6" w:rsidRPr="00A32253" w:rsidRDefault="00224164" w:rsidP="000864E6">
      <w:pPr>
        <w:rPr>
          <w:rFonts w:asciiTheme="majorHAnsi" w:hAnsiTheme="majorHAnsi"/>
          <w:b/>
        </w:rPr>
      </w:pPr>
      <w:r>
        <w:rPr>
          <w:rFonts w:asciiTheme="majorHAnsi" w:hAnsiTheme="majorHAnsi"/>
          <w:b/>
        </w:rPr>
        <w:t xml:space="preserve">Table 3. </w:t>
      </w:r>
      <w:r w:rsidR="000864E6" w:rsidRPr="00A32253">
        <w:rPr>
          <w:rFonts w:asciiTheme="majorHAnsi" w:hAnsiTheme="majorHAnsi"/>
          <w:b/>
        </w:rPr>
        <w:t>TA MEF Indicators:  Status at mid-term</w:t>
      </w:r>
      <w:r w:rsidR="000864E6">
        <w:rPr>
          <w:rFonts w:asciiTheme="majorHAnsi" w:hAnsiTheme="majorHAnsi"/>
          <w:b/>
        </w:rPr>
        <w:t xml:space="preserve"> (2018 through Q2 2020):</w:t>
      </w:r>
    </w:p>
    <w:tbl>
      <w:tblPr>
        <w:tblStyle w:val="GridTable4"/>
        <w:tblW w:w="0" w:type="auto"/>
        <w:tblLook w:val="04A0" w:firstRow="1" w:lastRow="0" w:firstColumn="1" w:lastColumn="0" w:noHBand="0" w:noVBand="1"/>
      </w:tblPr>
      <w:tblGrid>
        <w:gridCol w:w="5939"/>
        <w:gridCol w:w="915"/>
        <w:gridCol w:w="808"/>
        <w:gridCol w:w="2678"/>
      </w:tblGrid>
      <w:tr w:rsidR="000864E6" w:rsidRPr="00570B73" w14:paraId="52E56791" w14:textId="77777777" w:rsidTr="00E4259E">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hideMark/>
          </w:tcPr>
          <w:p w14:paraId="5530F994" w14:textId="77777777" w:rsidR="000864E6" w:rsidRPr="00E4259E" w:rsidRDefault="000864E6" w:rsidP="00DE65E4">
            <w:pPr>
              <w:jc w:val="center"/>
              <w:rPr>
                <w:rFonts w:asciiTheme="majorHAnsi" w:hAnsiTheme="majorHAnsi" w:cs="Times New Roman"/>
                <w:b w:val="0"/>
                <w:bCs w:val="0"/>
                <w:sz w:val="20"/>
                <w:szCs w:val="20"/>
                <w:u w:val="single"/>
                <w:lang w:val="en-US"/>
              </w:rPr>
            </w:pPr>
            <w:r w:rsidRPr="00E4259E">
              <w:rPr>
                <w:rFonts w:asciiTheme="majorHAnsi" w:hAnsiTheme="majorHAnsi" w:cs="Times New Roman"/>
                <w:b w:val="0"/>
                <w:bCs w:val="0"/>
                <w:sz w:val="20"/>
                <w:szCs w:val="20"/>
                <w:u w:val="single"/>
                <w:lang w:val="en-US"/>
              </w:rPr>
              <w:t>Progress Result</w:t>
            </w:r>
          </w:p>
        </w:tc>
        <w:tc>
          <w:tcPr>
            <w:tcW w:w="0" w:type="auto"/>
            <w:noWrap/>
            <w:hideMark/>
          </w:tcPr>
          <w:p w14:paraId="52E38CB7" w14:textId="77777777" w:rsidR="000864E6" w:rsidRPr="00E4259E" w:rsidRDefault="000864E6" w:rsidP="00DE65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bCs w:val="0"/>
                <w:sz w:val="20"/>
                <w:szCs w:val="20"/>
                <w:u w:val="single"/>
                <w:lang w:val="en-US"/>
              </w:rPr>
            </w:pPr>
            <w:r w:rsidRPr="00E4259E">
              <w:rPr>
                <w:rFonts w:asciiTheme="majorHAnsi" w:hAnsiTheme="majorHAnsi" w:cs="Times New Roman"/>
                <w:b w:val="0"/>
                <w:bCs w:val="0"/>
                <w:sz w:val="20"/>
                <w:szCs w:val="20"/>
                <w:u w:val="single"/>
                <w:lang w:val="en-US"/>
              </w:rPr>
              <w:t>Quantity</w:t>
            </w:r>
          </w:p>
        </w:tc>
        <w:tc>
          <w:tcPr>
            <w:tcW w:w="0" w:type="auto"/>
            <w:noWrap/>
            <w:hideMark/>
          </w:tcPr>
          <w:p w14:paraId="7E9A27A3" w14:textId="77777777" w:rsidR="000864E6" w:rsidRPr="00E4259E" w:rsidRDefault="000864E6" w:rsidP="00DE65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bCs w:val="0"/>
                <w:sz w:val="20"/>
                <w:szCs w:val="20"/>
                <w:u w:val="single"/>
                <w:lang w:val="en-US"/>
              </w:rPr>
            </w:pPr>
            <w:r w:rsidRPr="00E4259E">
              <w:rPr>
                <w:rFonts w:asciiTheme="majorHAnsi" w:hAnsiTheme="majorHAnsi" w:cs="Times New Roman"/>
                <w:b w:val="0"/>
                <w:bCs w:val="0"/>
                <w:sz w:val="20"/>
                <w:szCs w:val="20"/>
                <w:u w:val="single"/>
                <w:lang w:val="en-US"/>
              </w:rPr>
              <w:t>% Total</w:t>
            </w:r>
          </w:p>
        </w:tc>
        <w:tc>
          <w:tcPr>
            <w:tcW w:w="0" w:type="auto"/>
            <w:hideMark/>
          </w:tcPr>
          <w:p w14:paraId="7AEF8C47" w14:textId="77777777" w:rsidR="000864E6" w:rsidRPr="00E4259E" w:rsidRDefault="000864E6" w:rsidP="00DE65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bCs w:val="0"/>
                <w:sz w:val="20"/>
                <w:szCs w:val="20"/>
                <w:u w:val="single"/>
                <w:lang w:val="en-US"/>
              </w:rPr>
            </w:pPr>
            <w:r w:rsidRPr="00E4259E">
              <w:rPr>
                <w:rFonts w:asciiTheme="majorHAnsi" w:hAnsiTheme="majorHAnsi" w:cs="Times New Roman"/>
                <w:b w:val="0"/>
                <w:bCs w:val="0"/>
                <w:sz w:val="20"/>
                <w:szCs w:val="20"/>
                <w:u w:val="single"/>
                <w:lang w:val="en-US"/>
              </w:rPr>
              <w:t>% among the 78 that are rated</w:t>
            </w:r>
          </w:p>
        </w:tc>
      </w:tr>
      <w:tr w:rsidR="000864E6" w:rsidRPr="00570B73" w14:paraId="388C5C19" w14:textId="77777777" w:rsidTr="00E4259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hideMark/>
          </w:tcPr>
          <w:p w14:paraId="45C3158B" w14:textId="77777777" w:rsidR="000864E6" w:rsidRPr="00570B73" w:rsidRDefault="000864E6" w:rsidP="00DE65E4">
            <w:pPr>
              <w:rPr>
                <w:rFonts w:asciiTheme="majorHAnsi" w:hAnsiTheme="majorHAnsi" w:cs="Times New Roman"/>
                <w:b w:val="0"/>
                <w:bCs w:val="0"/>
                <w:color w:val="000000"/>
                <w:sz w:val="20"/>
                <w:szCs w:val="20"/>
                <w:lang w:val="en-US"/>
              </w:rPr>
            </w:pPr>
            <w:r>
              <w:rPr>
                <w:rFonts w:asciiTheme="majorHAnsi" w:hAnsiTheme="majorHAnsi" w:cs="Times New Roman"/>
                <w:b w:val="0"/>
                <w:bCs w:val="0"/>
                <w:color w:val="000000"/>
                <w:sz w:val="20"/>
                <w:szCs w:val="20"/>
                <w:lang w:val="en-US"/>
              </w:rPr>
              <w:t>A</w:t>
            </w:r>
            <w:r w:rsidRPr="00570B73">
              <w:rPr>
                <w:rFonts w:asciiTheme="majorHAnsi" w:hAnsiTheme="majorHAnsi" w:cs="Times New Roman"/>
                <w:b w:val="0"/>
                <w:bCs w:val="0"/>
                <w:color w:val="000000"/>
                <w:sz w:val="20"/>
                <w:szCs w:val="20"/>
                <w:lang w:val="en-US"/>
              </w:rPr>
              <w:t>chieved or /on track</w:t>
            </w:r>
          </w:p>
        </w:tc>
        <w:tc>
          <w:tcPr>
            <w:tcW w:w="0" w:type="auto"/>
            <w:noWrap/>
            <w:hideMark/>
          </w:tcPr>
          <w:p w14:paraId="681E569A" w14:textId="77777777" w:rsidR="000864E6" w:rsidRPr="00570B73" w:rsidRDefault="000864E6" w:rsidP="00DE65E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bCs/>
                <w:sz w:val="20"/>
                <w:szCs w:val="20"/>
                <w:lang w:val="en-US"/>
              </w:rPr>
            </w:pPr>
            <w:r w:rsidRPr="00570B73">
              <w:rPr>
                <w:rFonts w:asciiTheme="majorHAnsi" w:hAnsiTheme="majorHAnsi" w:cs="Times New Roman"/>
                <w:b/>
                <w:bCs/>
                <w:sz w:val="20"/>
                <w:szCs w:val="20"/>
                <w:lang w:val="en-US"/>
              </w:rPr>
              <w:t xml:space="preserve"> 26 </w:t>
            </w:r>
          </w:p>
        </w:tc>
        <w:tc>
          <w:tcPr>
            <w:tcW w:w="0" w:type="auto"/>
            <w:noWrap/>
            <w:hideMark/>
          </w:tcPr>
          <w:p w14:paraId="6EED3B5E" w14:textId="77777777" w:rsidR="000864E6" w:rsidRPr="00570B73" w:rsidRDefault="000864E6" w:rsidP="00DE65E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bCs/>
                <w:color w:val="000000"/>
                <w:sz w:val="20"/>
                <w:szCs w:val="20"/>
                <w:lang w:val="en-US"/>
              </w:rPr>
            </w:pPr>
            <w:r w:rsidRPr="00570B73">
              <w:rPr>
                <w:rFonts w:asciiTheme="majorHAnsi" w:hAnsiTheme="majorHAnsi" w:cs="Times New Roman"/>
                <w:b/>
                <w:bCs/>
                <w:color w:val="000000"/>
                <w:sz w:val="20"/>
                <w:szCs w:val="20"/>
                <w:lang w:val="en-US"/>
              </w:rPr>
              <w:t>17%</w:t>
            </w:r>
          </w:p>
        </w:tc>
        <w:tc>
          <w:tcPr>
            <w:tcW w:w="0" w:type="auto"/>
            <w:noWrap/>
            <w:hideMark/>
          </w:tcPr>
          <w:p w14:paraId="1E0B74CB" w14:textId="77777777" w:rsidR="000864E6" w:rsidRPr="00570B73" w:rsidRDefault="000864E6" w:rsidP="00DE65E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bCs/>
                <w:color w:val="000000"/>
                <w:sz w:val="20"/>
                <w:szCs w:val="20"/>
                <w:lang w:val="en-US"/>
              </w:rPr>
            </w:pPr>
            <w:r w:rsidRPr="00570B73">
              <w:rPr>
                <w:rFonts w:asciiTheme="majorHAnsi" w:hAnsiTheme="majorHAnsi" w:cs="Times New Roman"/>
                <w:b/>
                <w:bCs/>
                <w:color w:val="000000"/>
                <w:sz w:val="20"/>
                <w:szCs w:val="20"/>
                <w:lang w:val="en-US"/>
              </w:rPr>
              <w:t>33%</w:t>
            </w:r>
          </w:p>
        </w:tc>
      </w:tr>
      <w:tr w:rsidR="000864E6" w:rsidRPr="00570B73" w14:paraId="35373B9B" w14:textId="77777777" w:rsidTr="00E4259E">
        <w:trPr>
          <w:trHeight w:val="340"/>
        </w:trPr>
        <w:tc>
          <w:tcPr>
            <w:cnfStyle w:val="001000000000" w:firstRow="0" w:lastRow="0" w:firstColumn="1" w:lastColumn="0" w:oddVBand="0" w:evenVBand="0" w:oddHBand="0" w:evenHBand="0" w:firstRowFirstColumn="0" w:firstRowLastColumn="0" w:lastRowFirstColumn="0" w:lastRowLastColumn="0"/>
            <w:tcW w:w="0" w:type="auto"/>
            <w:hideMark/>
          </w:tcPr>
          <w:p w14:paraId="7BB60870" w14:textId="77777777" w:rsidR="000864E6" w:rsidRPr="00570B73" w:rsidRDefault="000864E6" w:rsidP="00DE65E4">
            <w:pPr>
              <w:rPr>
                <w:rFonts w:asciiTheme="majorHAnsi" w:hAnsiTheme="majorHAnsi" w:cs="Times New Roman"/>
                <w:b w:val="0"/>
                <w:bCs w:val="0"/>
                <w:color w:val="000000"/>
                <w:sz w:val="20"/>
                <w:szCs w:val="20"/>
                <w:lang w:val="en-US"/>
              </w:rPr>
            </w:pPr>
            <w:r w:rsidRPr="00570B73">
              <w:rPr>
                <w:rFonts w:asciiTheme="majorHAnsi" w:hAnsiTheme="majorHAnsi" w:cs="Times New Roman"/>
                <w:b w:val="0"/>
                <w:bCs w:val="0"/>
                <w:color w:val="000000"/>
                <w:sz w:val="20"/>
                <w:szCs w:val="20"/>
                <w:lang w:val="en-US"/>
              </w:rPr>
              <w:t>Some/limited progress</w:t>
            </w:r>
          </w:p>
        </w:tc>
        <w:tc>
          <w:tcPr>
            <w:tcW w:w="0" w:type="auto"/>
            <w:noWrap/>
            <w:hideMark/>
          </w:tcPr>
          <w:p w14:paraId="116EBD55" w14:textId="77777777" w:rsidR="000864E6" w:rsidRPr="00570B73" w:rsidRDefault="000864E6" w:rsidP="00DE65E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sz w:val="20"/>
                <w:szCs w:val="20"/>
                <w:lang w:val="en-US"/>
              </w:rPr>
            </w:pPr>
            <w:r w:rsidRPr="00570B73">
              <w:rPr>
                <w:rFonts w:asciiTheme="majorHAnsi" w:hAnsiTheme="majorHAnsi" w:cs="Times New Roman"/>
                <w:b/>
                <w:bCs/>
                <w:sz w:val="20"/>
                <w:szCs w:val="20"/>
                <w:lang w:val="en-US"/>
              </w:rPr>
              <w:t xml:space="preserve"> 11 </w:t>
            </w:r>
          </w:p>
        </w:tc>
        <w:tc>
          <w:tcPr>
            <w:tcW w:w="0" w:type="auto"/>
            <w:noWrap/>
            <w:hideMark/>
          </w:tcPr>
          <w:p w14:paraId="6062171B" w14:textId="77777777" w:rsidR="000864E6" w:rsidRPr="00570B73" w:rsidRDefault="000864E6" w:rsidP="00DE65E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color w:val="000000"/>
                <w:sz w:val="20"/>
                <w:szCs w:val="20"/>
                <w:lang w:val="en-US"/>
              </w:rPr>
            </w:pPr>
            <w:r w:rsidRPr="00570B73">
              <w:rPr>
                <w:rFonts w:asciiTheme="majorHAnsi" w:hAnsiTheme="majorHAnsi" w:cs="Times New Roman"/>
                <w:b/>
                <w:bCs/>
                <w:color w:val="000000"/>
                <w:sz w:val="20"/>
                <w:szCs w:val="20"/>
                <w:lang w:val="en-US"/>
              </w:rPr>
              <w:t>7%</w:t>
            </w:r>
          </w:p>
        </w:tc>
        <w:tc>
          <w:tcPr>
            <w:tcW w:w="0" w:type="auto"/>
            <w:noWrap/>
            <w:hideMark/>
          </w:tcPr>
          <w:p w14:paraId="2E1D4D9D" w14:textId="77777777" w:rsidR="000864E6" w:rsidRPr="00570B73" w:rsidRDefault="000864E6" w:rsidP="00DE65E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color w:val="000000"/>
                <w:sz w:val="20"/>
                <w:szCs w:val="20"/>
                <w:lang w:val="en-US"/>
              </w:rPr>
            </w:pPr>
            <w:r w:rsidRPr="00570B73">
              <w:rPr>
                <w:rFonts w:asciiTheme="majorHAnsi" w:hAnsiTheme="majorHAnsi" w:cs="Times New Roman"/>
                <w:b/>
                <w:bCs/>
                <w:color w:val="000000"/>
                <w:sz w:val="20"/>
                <w:szCs w:val="20"/>
                <w:lang w:val="en-US"/>
              </w:rPr>
              <w:t>14%</w:t>
            </w:r>
          </w:p>
        </w:tc>
      </w:tr>
      <w:tr w:rsidR="000864E6" w:rsidRPr="00570B73" w14:paraId="7C791340" w14:textId="77777777" w:rsidTr="00E4259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hideMark/>
          </w:tcPr>
          <w:p w14:paraId="22F66C4C" w14:textId="77777777" w:rsidR="000864E6" w:rsidRPr="00570B73" w:rsidRDefault="000864E6" w:rsidP="00DE65E4">
            <w:pPr>
              <w:rPr>
                <w:rFonts w:asciiTheme="majorHAnsi" w:hAnsiTheme="majorHAnsi" w:cs="Times New Roman"/>
                <w:b w:val="0"/>
                <w:bCs w:val="0"/>
                <w:color w:val="000000"/>
                <w:sz w:val="20"/>
                <w:szCs w:val="20"/>
                <w:lang w:val="en-US"/>
              </w:rPr>
            </w:pPr>
            <w:r>
              <w:rPr>
                <w:rFonts w:asciiTheme="majorHAnsi" w:hAnsiTheme="majorHAnsi" w:cs="Times New Roman"/>
                <w:b w:val="0"/>
                <w:bCs w:val="0"/>
                <w:color w:val="000000"/>
                <w:sz w:val="20"/>
                <w:szCs w:val="20"/>
                <w:lang w:val="en-US"/>
              </w:rPr>
              <w:t>Little</w:t>
            </w:r>
            <w:r w:rsidRPr="00570B73">
              <w:rPr>
                <w:rFonts w:asciiTheme="majorHAnsi" w:hAnsiTheme="majorHAnsi" w:cs="Times New Roman"/>
                <w:b w:val="0"/>
                <w:bCs w:val="0"/>
                <w:color w:val="000000"/>
                <w:sz w:val="20"/>
                <w:szCs w:val="20"/>
                <w:lang w:val="en-US"/>
              </w:rPr>
              <w:t xml:space="preserve"> progress/not on track</w:t>
            </w:r>
          </w:p>
        </w:tc>
        <w:tc>
          <w:tcPr>
            <w:tcW w:w="0" w:type="auto"/>
            <w:noWrap/>
            <w:hideMark/>
          </w:tcPr>
          <w:p w14:paraId="62A561EB" w14:textId="77777777" w:rsidR="000864E6" w:rsidRPr="00570B73" w:rsidRDefault="000864E6" w:rsidP="00DE65E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bCs/>
                <w:sz w:val="20"/>
                <w:szCs w:val="20"/>
                <w:lang w:val="en-US"/>
              </w:rPr>
            </w:pPr>
            <w:r w:rsidRPr="00570B73">
              <w:rPr>
                <w:rFonts w:asciiTheme="majorHAnsi" w:hAnsiTheme="majorHAnsi" w:cs="Times New Roman"/>
                <w:b/>
                <w:bCs/>
                <w:sz w:val="20"/>
                <w:szCs w:val="20"/>
                <w:lang w:val="en-US"/>
              </w:rPr>
              <w:t xml:space="preserve"> 41 </w:t>
            </w:r>
          </w:p>
        </w:tc>
        <w:tc>
          <w:tcPr>
            <w:tcW w:w="0" w:type="auto"/>
            <w:noWrap/>
            <w:hideMark/>
          </w:tcPr>
          <w:p w14:paraId="7DAA6B0E" w14:textId="77777777" w:rsidR="000864E6" w:rsidRPr="00570B73" w:rsidRDefault="000864E6" w:rsidP="00DE65E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bCs/>
                <w:color w:val="000000"/>
                <w:sz w:val="20"/>
                <w:szCs w:val="20"/>
                <w:lang w:val="en-US"/>
              </w:rPr>
            </w:pPr>
            <w:r w:rsidRPr="00570B73">
              <w:rPr>
                <w:rFonts w:asciiTheme="majorHAnsi" w:hAnsiTheme="majorHAnsi" w:cs="Times New Roman"/>
                <w:b/>
                <w:bCs/>
                <w:color w:val="000000"/>
                <w:sz w:val="20"/>
                <w:szCs w:val="20"/>
                <w:lang w:val="en-US"/>
              </w:rPr>
              <w:t>27%</w:t>
            </w:r>
          </w:p>
        </w:tc>
        <w:tc>
          <w:tcPr>
            <w:tcW w:w="0" w:type="auto"/>
            <w:noWrap/>
            <w:hideMark/>
          </w:tcPr>
          <w:p w14:paraId="0DD9ED81" w14:textId="77777777" w:rsidR="000864E6" w:rsidRPr="00570B73" w:rsidRDefault="000864E6" w:rsidP="00DE65E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bCs/>
                <w:color w:val="000000"/>
                <w:sz w:val="20"/>
                <w:szCs w:val="20"/>
                <w:lang w:val="en-US"/>
              </w:rPr>
            </w:pPr>
            <w:r w:rsidRPr="00570B73">
              <w:rPr>
                <w:rFonts w:asciiTheme="majorHAnsi" w:hAnsiTheme="majorHAnsi" w:cs="Times New Roman"/>
                <w:b/>
                <w:bCs/>
                <w:color w:val="000000"/>
                <w:sz w:val="20"/>
                <w:szCs w:val="20"/>
                <w:lang w:val="en-US"/>
              </w:rPr>
              <w:t>53%</w:t>
            </w:r>
          </w:p>
        </w:tc>
      </w:tr>
      <w:tr w:rsidR="000864E6" w:rsidRPr="00570B73" w14:paraId="299D348B" w14:textId="77777777" w:rsidTr="00E4259E">
        <w:trPr>
          <w:trHeight w:val="540"/>
        </w:trPr>
        <w:tc>
          <w:tcPr>
            <w:cnfStyle w:val="001000000000" w:firstRow="0" w:lastRow="0" w:firstColumn="1" w:lastColumn="0" w:oddVBand="0" w:evenVBand="0" w:oddHBand="0" w:evenHBand="0" w:firstRowFirstColumn="0" w:firstRowLastColumn="0" w:lastRowFirstColumn="0" w:lastRowLastColumn="0"/>
            <w:tcW w:w="0" w:type="auto"/>
            <w:hideMark/>
          </w:tcPr>
          <w:p w14:paraId="4BE47097" w14:textId="77777777" w:rsidR="000864E6" w:rsidRPr="00570B73" w:rsidRDefault="000864E6" w:rsidP="00DE65E4">
            <w:pPr>
              <w:rPr>
                <w:rFonts w:asciiTheme="majorHAnsi" w:hAnsiTheme="majorHAnsi" w:cs="Times New Roman"/>
                <w:b w:val="0"/>
                <w:bCs w:val="0"/>
                <w:color w:val="000000"/>
                <w:sz w:val="20"/>
                <w:szCs w:val="20"/>
                <w:lang w:val="en-US"/>
              </w:rPr>
            </w:pPr>
            <w:r>
              <w:rPr>
                <w:rFonts w:asciiTheme="majorHAnsi" w:hAnsiTheme="majorHAnsi" w:cs="Times New Roman"/>
                <w:b w:val="0"/>
                <w:bCs w:val="0"/>
                <w:color w:val="000000"/>
                <w:sz w:val="20"/>
                <w:szCs w:val="20"/>
                <w:lang w:val="en-US"/>
              </w:rPr>
              <w:t>N</w:t>
            </w:r>
            <w:r w:rsidRPr="00570B73">
              <w:rPr>
                <w:rFonts w:asciiTheme="majorHAnsi" w:hAnsiTheme="majorHAnsi" w:cs="Times New Roman"/>
                <w:b w:val="0"/>
                <w:bCs w:val="0"/>
                <w:color w:val="000000"/>
                <w:sz w:val="20"/>
                <w:szCs w:val="20"/>
                <w:lang w:val="en-US"/>
              </w:rPr>
              <w:t>o data/</w:t>
            </w:r>
            <w:r>
              <w:rPr>
                <w:rFonts w:asciiTheme="majorHAnsi" w:hAnsiTheme="majorHAnsi" w:cs="Times New Roman"/>
                <w:b w:val="0"/>
                <w:bCs w:val="0"/>
                <w:color w:val="000000"/>
                <w:sz w:val="20"/>
                <w:szCs w:val="20"/>
                <w:lang w:val="en-US"/>
              </w:rPr>
              <w:t xml:space="preserve">results </w:t>
            </w:r>
            <w:r w:rsidRPr="00570B73">
              <w:rPr>
                <w:rFonts w:asciiTheme="majorHAnsi" w:hAnsiTheme="majorHAnsi" w:cs="Times New Roman"/>
                <w:b w:val="0"/>
                <w:bCs w:val="0"/>
                <w:color w:val="000000"/>
                <w:sz w:val="20"/>
                <w:szCs w:val="20"/>
                <w:lang w:val="en-US"/>
              </w:rPr>
              <w:t>not</w:t>
            </w:r>
            <w:r>
              <w:rPr>
                <w:rFonts w:asciiTheme="majorHAnsi" w:hAnsiTheme="majorHAnsi" w:cs="Times New Roman"/>
                <w:b w:val="0"/>
                <w:bCs w:val="0"/>
                <w:color w:val="000000"/>
                <w:sz w:val="20"/>
                <w:szCs w:val="20"/>
                <w:lang w:val="en-US"/>
              </w:rPr>
              <w:t xml:space="preserve"> yet</w:t>
            </w:r>
            <w:r w:rsidRPr="00570B73">
              <w:rPr>
                <w:rFonts w:asciiTheme="majorHAnsi" w:hAnsiTheme="majorHAnsi" w:cs="Times New Roman"/>
                <w:b w:val="0"/>
                <w:bCs w:val="0"/>
                <w:color w:val="000000"/>
                <w:sz w:val="20"/>
                <w:szCs w:val="20"/>
                <w:lang w:val="en-US"/>
              </w:rPr>
              <w:t xml:space="preserve"> expected /</w:t>
            </w:r>
            <w:r>
              <w:rPr>
                <w:rFonts w:asciiTheme="majorHAnsi" w:hAnsiTheme="majorHAnsi" w:cs="Times New Roman"/>
                <w:b w:val="0"/>
                <w:bCs w:val="0"/>
                <w:color w:val="000000"/>
                <w:sz w:val="20"/>
                <w:szCs w:val="20"/>
                <w:lang w:val="en-US"/>
              </w:rPr>
              <w:t xml:space="preserve"> </w:t>
            </w:r>
            <w:r w:rsidRPr="00570B73">
              <w:rPr>
                <w:rFonts w:asciiTheme="majorHAnsi" w:hAnsiTheme="majorHAnsi" w:cs="Times New Roman"/>
                <w:b w:val="0"/>
                <w:bCs w:val="0"/>
                <w:color w:val="000000"/>
                <w:sz w:val="20"/>
                <w:szCs w:val="20"/>
                <w:lang w:val="en-US"/>
              </w:rPr>
              <w:t>problem indic</w:t>
            </w:r>
            <w:r>
              <w:rPr>
                <w:rFonts w:asciiTheme="majorHAnsi" w:hAnsiTheme="majorHAnsi" w:cs="Times New Roman"/>
                <w:b w:val="0"/>
                <w:bCs w:val="0"/>
                <w:color w:val="000000"/>
                <w:sz w:val="20"/>
                <w:szCs w:val="20"/>
                <w:lang w:val="en-US"/>
              </w:rPr>
              <w:t xml:space="preserve">ator </w:t>
            </w:r>
            <w:r w:rsidRPr="00570B73">
              <w:rPr>
                <w:rFonts w:asciiTheme="majorHAnsi" w:hAnsiTheme="majorHAnsi" w:cs="Times New Roman"/>
                <w:b w:val="0"/>
                <w:bCs w:val="0"/>
                <w:color w:val="000000"/>
                <w:sz w:val="20"/>
                <w:szCs w:val="20"/>
                <w:lang w:val="en-US"/>
              </w:rPr>
              <w:t>/</w:t>
            </w:r>
            <w:r>
              <w:rPr>
                <w:rFonts w:asciiTheme="majorHAnsi" w:hAnsiTheme="majorHAnsi" w:cs="Times New Roman"/>
                <w:b w:val="0"/>
                <w:bCs w:val="0"/>
                <w:color w:val="000000"/>
                <w:sz w:val="20"/>
                <w:szCs w:val="20"/>
                <w:lang w:val="en-US"/>
              </w:rPr>
              <w:t xml:space="preserve"> impact indicator</w:t>
            </w:r>
          </w:p>
        </w:tc>
        <w:tc>
          <w:tcPr>
            <w:tcW w:w="0" w:type="auto"/>
            <w:noWrap/>
            <w:hideMark/>
          </w:tcPr>
          <w:p w14:paraId="15C031E4" w14:textId="77777777" w:rsidR="000864E6" w:rsidRPr="00570B73" w:rsidRDefault="000864E6" w:rsidP="00DE65E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sz w:val="20"/>
                <w:szCs w:val="20"/>
                <w:lang w:val="en-US"/>
              </w:rPr>
            </w:pPr>
            <w:r w:rsidRPr="00570B73">
              <w:rPr>
                <w:rFonts w:asciiTheme="majorHAnsi" w:hAnsiTheme="majorHAnsi" w:cs="Times New Roman"/>
                <w:b/>
                <w:bCs/>
                <w:sz w:val="20"/>
                <w:szCs w:val="20"/>
                <w:lang w:val="en-US"/>
              </w:rPr>
              <w:t xml:space="preserve"> 72 </w:t>
            </w:r>
          </w:p>
        </w:tc>
        <w:tc>
          <w:tcPr>
            <w:tcW w:w="0" w:type="auto"/>
            <w:noWrap/>
            <w:hideMark/>
          </w:tcPr>
          <w:p w14:paraId="0946B3ED" w14:textId="77777777" w:rsidR="000864E6" w:rsidRPr="00570B73" w:rsidRDefault="000864E6" w:rsidP="00DE65E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color w:val="000000"/>
                <w:sz w:val="20"/>
                <w:szCs w:val="20"/>
                <w:lang w:val="en-US"/>
              </w:rPr>
            </w:pPr>
            <w:r w:rsidRPr="00570B73">
              <w:rPr>
                <w:rFonts w:asciiTheme="majorHAnsi" w:hAnsiTheme="majorHAnsi" w:cs="Times New Roman"/>
                <w:b/>
                <w:bCs/>
                <w:color w:val="000000"/>
                <w:sz w:val="20"/>
                <w:szCs w:val="20"/>
                <w:lang w:val="en-US"/>
              </w:rPr>
              <w:t>48%</w:t>
            </w:r>
          </w:p>
        </w:tc>
        <w:tc>
          <w:tcPr>
            <w:tcW w:w="0" w:type="auto"/>
            <w:noWrap/>
            <w:hideMark/>
          </w:tcPr>
          <w:p w14:paraId="78713222" w14:textId="77777777" w:rsidR="000864E6" w:rsidRPr="00570B73" w:rsidRDefault="000864E6" w:rsidP="00DE65E4">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color w:val="000000"/>
                <w:sz w:val="20"/>
                <w:szCs w:val="20"/>
                <w:lang w:val="en-US"/>
              </w:rPr>
            </w:pPr>
            <w:r w:rsidRPr="00570B73">
              <w:rPr>
                <w:rFonts w:asciiTheme="majorHAnsi" w:hAnsiTheme="majorHAnsi" w:cs="Times New Roman"/>
                <w:b/>
                <w:bCs/>
                <w:color w:val="000000"/>
                <w:sz w:val="20"/>
                <w:szCs w:val="20"/>
                <w:lang w:val="en-US"/>
              </w:rPr>
              <w:t> </w:t>
            </w:r>
          </w:p>
        </w:tc>
      </w:tr>
      <w:tr w:rsidR="000864E6" w:rsidRPr="00570B73" w14:paraId="48A6DAD5" w14:textId="77777777" w:rsidTr="00E4259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hideMark/>
          </w:tcPr>
          <w:p w14:paraId="0EF58B72" w14:textId="77777777" w:rsidR="000864E6" w:rsidRPr="00570B73" w:rsidRDefault="000864E6" w:rsidP="00DE65E4">
            <w:pPr>
              <w:rPr>
                <w:rFonts w:asciiTheme="majorHAnsi" w:hAnsiTheme="majorHAnsi" w:cs="Times New Roman"/>
                <w:b w:val="0"/>
                <w:bCs w:val="0"/>
                <w:color w:val="000000"/>
                <w:sz w:val="20"/>
                <w:szCs w:val="20"/>
                <w:lang w:val="en-US"/>
              </w:rPr>
            </w:pPr>
            <w:r w:rsidRPr="00570B73">
              <w:rPr>
                <w:rFonts w:asciiTheme="majorHAnsi" w:hAnsiTheme="majorHAnsi" w:cs="Times New Roman"/>
                <w:b w:val="0"/>
                <w:bCs w:val="0"/>
                <w:color w:val="000000"/>
                <w:sz w:val="20"/>
                <w:szCs w:val="20"/>
                <w:lang w:val="en-US"/>
              </w:rPr>
              <w:t> Total Indicators:</w:t>
            </w:r>
          </w:p>
        </w:tc>
        <w:tc>
          <w:tcPr>
            <w:tcW w:w="0" w:type="auto"/>
            <w:noWrap/>
            <w:hideMark/>
          </w:tcPr>
          <w:p w14:paraId="7CF34ACF" w14:textId="77777777" w:rsidR="000864E6" w:rsidRPr="00570B73" w:rsidRDefault="000864E6" w:rsidP="00DE65E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bCs/>
                <w:color w:val="000000"/>
                <w:sz w:val="20"/>
                <w:szCs w:val="20"/>
                <w:lang w:val="en-US"/>
              </w:rPr>
            </w:pPr>
            <w:r w:rsidRPr="00570B73">
              <w:rPr>
                <w:rFonts w:asciiTheme="majorHAnsi" w:hAnsiTheme="majorHAnsi" w:cs="Times New Roman"/>
                <w:b/>
                <w:bCs/>
                <w:sz w:val="20"/>
                <w:szCs w:val="20"/>
                <w:lang w:val="en-US"/>
              </w:rPr>
              <w:t>150</w:t>
            </w:r>
          </w:p>
        </w:tc>
        <w:tc>
          <w:tcPr>
            <w:tcW w:w="0" w:type="auto"/>
            <w:noWrap/>
          </w:tcPr>
          <w:p w14:paraId="1C89E275" w14:textId="77777777" w:rsidR="000864E6" w:rsidRPr="00570B73" w:rsidRDefault="000864E6" w:rsidP="00DE65E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bCs/>
                <w:sz w:val="20"/>
                <w:szCs w:val="20"/>
                <w:lang w:val="en-US"/>
              </w:rPr>
            </w:pPr>
          </w:p>
        </w:tc>
        <w:tc>
          <w:tcPr>
            <w:tcW w:w="0" w:type="auto"/>
            <w:noWrap/>
            <w:hideMark/>
          </w:tcPr>
          <w:p w14:paraId="70C174B3" w14:textId="77777777" w:rsidR="000864E6" w:rsidRPr="00570B73" w:rsidRDefault="000864E6" w:rsidP="00DE65E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bCs/>
                <w:color w:val="000000"/>
                <w:sz w:val="20"/>
                <w:szCs w:val="20"/>
                <w:lang w:val="en-US"/>
              </w:rPr>
            </w:pPr>
            <w:r w:rsidRPr="00570B73">
              <w:rPr>
                <w:rFonts w:asciiTheme="majorHAnsi" w:hAnsiTheme="majorHAnsi" w:cs="Times New Roman"/>
                <w:b/>
                <w:bCs/>
                <w:color w:val="000000"/>
                <w:sz w:val="20"/>
                <w:szCs w:val="20"/>
                <w:lang w:val="en-US"/>
              </w:rPr>
              <w:t>78 </w:t>
            </w:r>
          </w:p>
        </w:tc>
      </w:tr>
      <w:tr w:rsidR="000864E6" w:rsidRPr="00570B73" w14:paraId="4984F898" w14:textId="77777777" w:rsidTr="00E4259E">
        <w:trPr>
          <w:trHeight w:val="351"/>
        </w:trPr>
        <w:tc>
          <w:tcPr>
            <w:cnfStyle w:val="001000000000" w:firstRow="0" w:lastRow="0" w:firstColumn="1" w:lastColumn="0" w:oddVBand="0" w:evenVBand="0" w:oddHBand="0" w:evenHBand="0" w:firstRowFirstColumn="0" w:firstRowLastColumn="0" w:lastRowFirstColumn="0" w:lastRowLastColumn="0"/>
            <w:tcW w:w="0" w:type="auto"/>
            <w:hideMark/>
          </w:tcPr>
          <w:p w14:paraId="4425F51F" w14:textId="77777777" w:rsidR="00B6737E" w:rsidRDefault="00B6737E" w:rsidP="00B6737E">
            <w:pPr>
              <w:pStyle w:val="NoSpacing"/>
              <w:rPr>
                <w:lang w:val="en-US"/>
              </w:rPr>
            </w:pPr>
          </w:p>
          <w:p w14:paraId="7F3974A2" w14:textId="77777777" w:rsidR="000864E6" w:rsidRPr="00B6737E" w:rsidRDefault="000864E6" w:rsidP="00B6737E">
            <w:pPr>
              <w:pStyle w:val="NoSpacing"/>
              <w:rPr>
                <w:b w:val="0"/>
                <w:bCs w:val="0"/>
                <w:lang w:val="en-US"/>
              </w:rPr>
            </w:pPr>
            <w:r w:rsidRPr="00570B73">
              <w:rPr>
                <w:lang w:val="en-US"/>
              </w:rPr>
              <w:t> </w:t>
            </w:r>
            <w:r w:rsidRPr="00B6737E">
              <w:rPr>
                <w:b w:val="0"/>
                <w:bCs w:val="0"/>
                <w:lang w:val="en-US"/>
              </w:rPr>
              <w:t># Indicators that are rated:</w:t>
            </w:r>
          </w:p>
        </w:tc>
        <w:tc>
          <w:tcPr>
            <w:tcW w:w="0" w:type="auto"/>
            <w:hideMark/>
          </w:tcPr>
          <w:p w14:paraId="5A3C6AE7" w14:textId="77777777" w:rsidR="000864E6" w:rsidRPr="00B6737E" w:rsidRDefault="000864E6" w:rsidP="00B6737E">
            <w:pPr>
              <w:pStyle w:val="NoSpacing"/>
              <w:jc w:val="center"/>
              <w:cnfStyle w:val="000000000000" w:firstRow="0" w:lastRow="0" w:firstColumn="0" w:lastColumn="0" w:oddVBand="0" w:evenVBand="0" w:oddHBand="0" w:evenHBand="0" w:firstRowFirstColumn="0" w:firstRowLastColumn="0" w:lastRowFirstColumn="0" w:lastRowLastColumn="0"/>
              <w:rPr>
                <w:b/>
                <w:bCs/>
                <w:lang w:val="en-US"/>
              </w:rPr>
            </w:pPr>
            <w:r w:rsidRPr="00B6737E">
              <w:rPr>
                <w:b/>
                <w:bCs/>
                <w:lang w:val="en-US"/>
              </w:rPr>
              <w:t>78</w:t>
            </w:r>
          </w:p>
        </w:tc>
        <w:tc>
          <w:tcPr>
            <w:tcW w:w="0" w:type="auto"/>
            <w:noWrap/>
          </w:tcPr>
          <w:p w14:paraId="5ADE0A17" w14:textId="77777777" w:rsidR="000864E6" w:rsidRPr="00570B73" w:rsidRDefault="000864E6" w:rsidP="00B6737E">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0" w:type="auto"/>
            <w:noWrap/>
            <w:hideMark/>
          </w:tcPr>
          <w:p w14:paraId="1335FCF5" w14:textId="77777777" w:rsidR="000864E6" w:rsidRPr="00570B73" w:rsidRDefault="000864E6" w:rsidP="00B6737E">
            <w:pPr>
              <w:pStyle w:val="NoSpacing"/>
              <w:cnfStyle w:val="000000000000" w:firstRow="0" w:lastRow="0" w:firstColumn="0" w:lastColumn="0" w:oddVBand="0" w:evenVBand="0" w:oddHBand="0" w:evenHBand="0" w:firstRowFirstColumn="0" w:firstRowLastColumn="0" w:lastRowFirstColumn="0" w:lastRowLastColumn="0"/>
              <w:rPr>
                <w:lang w:val="en-US"/>
              </w:rPr>
            </w:pPr>
            <w:r w:rsidRPr="00570B73">
              <w:rPr>
                <w:lang w:val="en-US"/>
              </w:rPr>
              <w:t> </w:t>
            </w:r>
          </w:p>
          <w:p w14:paraId="19360C5D" w14:textId="77777777" w:rsidR="000864E6" w:rsidRPr="00570B73" w:rsidRDefault="000864E6" w:rsidP="00B6737E">
            <w:pPr>
              <w:pStyle w:val="NoSpacing"/>
              <w:cnfStyle w:val="000000000000" w:firstRow="0" w:lastRow="0" w:firstColumn="0" w:lastColumn="0" w:oddVBand="0" w:evenVBand="0" w:oddHBand="0" w:evenHBand="0" w:firstRowFirstColumn="0" w:firstRowLastColumn="0" w:lastRowFirstColumn="0" w:lastRowLastColumn="0"/>
              <w:rPr>
                <w:lang w:val="en-US"/>
              </w:rPr>
            </w:pPr>
            <w:r w:rsidRPr="00570B73">
              <w:rPr>
                <w:lang w:val="en-US"/>
              </w:rPr>
              <w:t> </w:t>
            </w:r>
          </w:p>
        </w:tc>
      </w:tr>
    </w:tbl>
    <w:p w14:paraId="0D41AA86" w14:textId="77777777" w:rsidR="000864E6" w:rsidRDefault="000864E6" w:rsidP="000864E6">
      <w:pPr>
        <w:rPr>
          <w:rFonts w:asciiTheme="majorHAnsi" w:hAnsiTheme="majorHAnsi"/>
        </w:rPr>
      </w:pPr>
    </w:p>
    <w:p w14:paraId="2B379F36" w14:textId="77777777" w:rsidR="00224164" w:rsidRPr="000C076B" w:rsidRDefault="00224164" w:rsidP="00224164">
      <w:pPr>
        <w:pStyle w:val="NoSpacing"/>
      </w:pPr>
      <w:r w:rsidRPr="000C076B">
        <w:t xml:space="preserve">It is important to note that </w:t>
      </w:r>
      <w:r>
        <w:t xml:space="preserve">not being able to evaluate </w:t>
      </w:r>
      <w:r w:rsidRPr="000C076B">
        <w:t xml:space="preserve">48% of indicator results at mid-term is highly problematic. All indicators, with the exception of </w:t>
      </w:r>
      <w:r w:rsidR="0012132A">
        <w:t xml:space="preserve">the three </w:t>
      </w:r>
      <w:r w:rsidRPr="000C076B">
        <w:t>high-level impact indicators, and the few that are not expected to show results before end-of-program, should be fit for purpose at inception, measurable throughout the program, and routinely utili</w:t>
      </w:r>
      <w:r>
        <w:t>s</w:t>
      </w:r>
      <w:r w:rsidRPr="000C076B">
        <w:t xml:space="preserve">ed for monitoring progress. </w:t>
      </w:r>
      <w:r>
        <w:t xml:space="preserve">At mid-point, </w:t>
      </w:r>
      <w:r w:rsidRPr="000C076B">
        <w:t>a program should be 85% - 100% on</w:t>
      </w:r>
      <w:r w:rsidR="0012132A">
        <w:t xml:space="preserve"> track toward midterm targets</w:t>
      </w:r>
      <w:r w:rsidRPr="000C076B">
        <w:t xml:space="preserve">. Given the status of the indicators at mid-point, the TA program is not on track to achieve </w:t>
      </w:r>
      <w:r>
        <w:t xml:space="preserve">targeted </w:t>
      </w:r>
      <w:r w:rsidRPr="000C076B">
        <w:t xml:space="preserve">results by program end. </w:t>
      </w:r>
    </w:p>
    <w:p w14:paraId="0FE3ADDE" w14:textId="77777777" w:rsidR="000C076B" w:rsidRDefault="000C076B" w:rsidP="000C076B">
      <w:pPr>
        <w:pStyle w:val="NoSpacing"/>
      </w:pPr>
    </w:p>
    <w:p w14:paraId="2C91C98F" w14:textId="77777777" w:rsidR="000F7030" w:rsidRDefault="00224164" w:rsidP="000F7030">
      <w:pPr>
        <w:pStyle w:val="NoSpacing"/>
      </w:pPr>
      <w:r w:rsidRPr="000C076B">
        <w:t xml:space="preserve">When analysing total MEF results to date by country, Kiribati has the highest number of results achieved/on track, at </w:t>
      </w:r>
      <w:r w:rsidR="009237DE">
        <w:t>eight</w:t>
      </w:r>
      <w:r w:rsidRPr="000C076B">
        <w:t xml:space="preserve"> out of 25, or 32%. Tonga is next highest, at </w:t>
      </w:r>
      <w:r w:rsidR="009237DE">
        <w:t xml:space="preserve">six </w:t>
      </w:r>
      <w:r w:rsidRPr="000C076B">
        <w:t xml:space="preserve">(24%), </w:t>
      </w:r>
      <w:r>
        <w:t xml:space="preserve">followed by </w:t>
      </w:r>
      <w:r w:rsidRPr="000C076B">
        <w:t xml:space="preserve">Samoa with </w:t>
      </w:r>
      <w:r w:rsidR="009237DE">
        <w:t>five</w:t>
      </w:r>
      <w:r w:rsidRPr="000C076B">
        <w:t xml:space="preserve"> (20%)</w:t>
      </w:r>
      <w:r>
        <w:t xml:space="preserve"> and Fiji with </w:t>
      </w:r>
      <w:r w:rsidR="009237DE">
        <w:t>three</w:t>
      </w:r>
      <w:r>
        <w:t xml:space="preserve"> (12%)</w:t>
      </w:r>
      <w:r w:rsidRPr="000C076B">
        <w:t>.  Vanuatu and Solomon Islands have the fewest</w:t>
      </w:r>
      <w:r>
        <w:t xml:space="preserve"> results</w:t>
      </w:r>
      <w:r w:rsidRPr="000C076B">
        <w:t xml:space="preserve">, at </w:t>
      </w:r>
      <w:r w:rsidR="009237DE">
        <w:t>one</w:t>
      </w:r>
      <w:r w:rsidRPr="000C076B">
        <w:t xml:space="preserve"> and </w:t>
      </w:r>
      <w:proofErr w:type="gramStart"/>
      <w:r w:rsidR="009237DE">
        <w:t>two</w:t>
      </w:r>
      <w:proofErr w:type="gramEnd"/>
      <w:r w:rsidRPr="000C076B">
        <w:t xml:space="preserve"> respectively. It is important to note that, due to the HFRSA not yet being conducted in Vanuatu and Solomon Islands, they have the highest number of grey/unmeasurable results, at 15 and 16, respectively. To date, among the </w:t>
      </w:r>
      <w:r w:rsidR="009237DE">
        <w:t xml:space="preserve">four </w:t>
      </w:r>
      <w:r w:rsidRPr="000C076B">
        <w:t>countries with HFSRA data, it appears that Kiribati is performing the best due to higher achievements and the fewest unmeasurable data points</w:t>
      </w:r>
      <w:r>
        <w:t xml:space="preserve">, </w:t>
      </w:r>
      <w:r>
        <w:lastRenderedPageBreak/>
        <w:t>followed by</w:t>
      </w:r>
      <w:r w:rsidRPr="000C076B">
        <w:t xml:space="preserve"> Tonga</w:t>
      </w:r>
      <w:r>
        <w:t>,</w:t>
      </w:r>
      <w:r w:rsidRPr="000C076B">
        <w:t xml:space="preserve"> Samoa</w:t>
      </w:r>
      <w:r>
        <w:t xml:space="preserve"> then Fiji</w:t>
      </w:r>
      <w:r w:rsidRPr="000C076B">
        <w:t>. None are performing to expectation.</w:t>
      </w:r>
      <w:r w:rsidR="000F7030">
        <w:t xml:space="preserve"> Annex 7 provides the cumulative data table with results to date.</w:t>
      </w:r>
    </w:p>
    <w:p w14:paraId="6FEE375B" w14:textId="77777777" w:rsidR="00BE0A8A" w:rsidRDefault="00BE0A8A" w:rsidP="000C076B">
      <w:pPr>
        <w:pStyle w:val="NoSpacing"/>
        <w:rPr>
          <w:lang w:val="en-US"/>
        </w:rPr>
      </w:pPr>
    </w:p>
    <w:p w14:paraId="20CE980B" w14:textId="77777777" w:rsidR="001A6428" w:rsidRDefault="00224164" w:rsidP="000C076B">
      <w:pPr>
        <w:pStyle w:val="NoSpacing"/>
        <w:rPr>
          <w:lang w:val="en-US"/>
        </w:rPr>
      </w:pPr>
      <w:r>
        <w:rPr>
          <w:lang w:val="en-US"/>
        </w:rPr>
        <w:t xml:space="preserve">The </w:t>
      </w:r>
      <w:r w:rsidR="001A6428">
        <w:rPr>
          <w:lang w:val="en-US"/>
        </w:rPr>
        <w:t xml:space="preserve">factors </w:t>
      </w:r>
      <w:r>
        <w:rPr>
          <w:lang w:val="en-US"/>
        </w:rPr>
        <w:t xml:space="preserve">impacting </w:t>
      </w:r>
      <w:r w:rsidR="001A6428">
        <w:rPr>
          <w:lang w:val="en-US"/>
        </w:rPr>
        <w:t xml:space="preserve">the </w:t>
      </w:r>
      <w:r w:rsidR="001A6428" w:rsidRPr="002E3B74">
        <w:rPr>
          <w:lang w:val="en-US"/>
        </w:rPr>
        <w:t>achievement of results</w:t>
      </w:r>
      <w:r>
        <w:rPr>
          <w:lang w:val="en-US"/>
        </w:rPr>
        <w:t xml:space="preserve"> include</w:t>
      </w:r>
      <w:r w:rsidR="001A6428" w:rsidRPr="002E3B74">
        <w:rPr>
          <w:lang w:val="en-US"/>
        </w:rPr>
        <w:t>:</w:t>
      </w:r>
      <w:r w:rsidR="001A6428">
        <w:rPr>
          <w:lang w:val="en-US"/>
        </w:rPr>
        <w:t xml:space="preserve"> complex and </w:t>
      </w:r>
      <w:r w:rsidR="001A6428" w:rsidRPr="00122071">
        <w:rPr>
          <w:lang w:val="en-US"/>
        </w:rPr>
        <w:t>slow recruitment</w:t>
      </w:r>
      <w:r w:rsidR="001A6428">
        <w:rPr>
          <w:lang w:val="en-US"/>
        </w:rPr>
        <w:t xml:space="preserve"> of </w:t>
      </w:r>
      <w:r w:rsidR="002D4EB5">
        <w:rPr>
          <w:lang w:val="en-US"/>
        </w:rPr>
        <w:t>PSRO regional office and field</w:t>
      </w:r>
      <w:r w:rsidR="001A6428">
        <w:rPr>
          <w:lang w:val="en-US"/>
        </w:rPr>
        <w:t xml:space="preserve"> staff and </w:t>
      </w:r>
      <w:r w:rsidR="00BF223A">
        <w:rPr>
          <w:lang w:val="en-US"/>
        </w:rPr>
        <w:t>R</w:t>
      </w:r>
      <w:r w:rsidR="001A6428">
        <w:rPr>
          <w:lang w:val="en-US"/>
        </w:rPr>
        <w:t>I</w:t>
      </w:r>
      <w:r w:rsidR="002D4EB5">
        <w:rPr>
          <w:lang w:val="en-US"/>
        </w:rPr>
        <w:t>P</w:t>
      </w:r>
      <w:r w:rsidR="00BF223A">
        <w:rPr>
          <w:lang w:val="en-US"/>
        </w:rPr>
        <w:t>s</w:t>
      </w:r>
      <w:r w:rsidR="001A6428">
        <w:rPr>
          <w:lang w:val="en-US"/>
        </w:rPr>
        <w:t>; slow disbursement of funds at many levels (</w:t>
      </w:r>
      <w:r w:rsidR="002D4EB5">
        <w:rPr>
          <w:lang w:val="en-US"/>
        </w:rPr>
        <w:t xml:space="preserve">discussed further </w:t>
      </w:r>
      <w:r w:rsidR="001A6428">
        <w:rPr>
          <w:lang w:val="en-US"/>
        </w:rPr>
        <w:t>below): from UNFPA to IPs,  from governments to IPs, from IPs to SRs - all resulting in significant non-implementation periods in 2018 and 2019; lack of time for implementation after late receipt of funds; and the UNFPA policy</w:t>
      </w:r>
      <w:r w:rsidR="002D4EB5">
        <w:rPr>
          <w:lang w:val="en-US"/>
        </w:rPr>
        <w:t>, until recently,</w:t>
      </w:r>
      <w:r w:rsidR="001A6428">
        <w:rPr>
          <w:lang w:val="en-US"/>
        </w:rPr>
        <w:t xml:space="preserve"> of requiring unspent funds be returned to </w:t>
      </w:r>
      <w:r w:rsidR="001A6428" w:rsidRPr="00287E77">
        <w:rPr>
          <w:lang w:val="en-US"/>
        </w:rPr>
        <w:t>UNFPA</w:t>
      </w:r>
      <w:r w:rsidR="001A6428">
        <w:rPr>
          <w:lang w:val="en-US"/>
        </w:rPr>
        <w:t xml:space="preserve"> at the end of the calendar year (sometimes after only </w:t>
      </w:r>
      <w:r w:rsidR="009237DE">
        <w:rPr>
          <w:lang w:val="en-US"/>
        </w:rPr>
        <w:t>four</w:t>
      </w:r>
      <w:r w:rsidR="001A6428">
        <w:rPr>
          <w:lang w:val="en-US"/>
        </w:rPr>
        <w:t xml:space="preserve"> months of implementation</w:t>
      </w:r>
      <w:r w:rsidR="00686E20">
        <w:rPr>
          <w:lang w:val="en-US"/>
        </w:rPr>
        <w:t xml:space="preserve"> in 2018-2019</w:t>
      </w:r>
      <w:r w:rsidR="001A6428">
        <w:rPr>
          <w:lang w:val="en-US"/>
        </w:rPr>
        <w:t xml:space="preserve">). </w:t>
      </w:r>
      <w:r w:rsidR="004500E6">
        <w:rPr>
          <w:lang w:val="en-US"/>
        </w:rPr>
        <w:t xml:space="preserve">This affected roll over from 2018 and </w:t>
      </w:r>
      <w:proofErr w:type="gramStart"/>
      <w:r w:rsidR="004500E6">
        <w:rPr>
          <w:lang w:val="en-US"/>
        </w:rPr>
        <w:t>2019, but</w:t>
      </w:r>
      <w:proofErr w:type="gramEnd"/>
      <w:r w:rsidR="004500E6">
        <w:rPr>
          <w:lang w:val="en-US"/>
        </w:rPr>
        <w:t xml:space="preserve"> has since been remedied. </w:t>
      </w:r>
      <w:r w:rsidR="001A6428" w:rsidRPr="00D102C3">
        <w:rPr>
          <w:lang w:val="en-US"/>
        </w:rPr>
        <w:t>R</w:t>
      </w:r>
      <w:r w:rsidR="001A6428">
        <w:rPr>
          <w:lang w:val="en-US"/>
        </w:rPr>
        <w:t>IPs</w:t>
      </w:r>
      <w:r w:rsidR="001A6428" w:rsidRPr="00D102C3">
        <w:rPr>
          <w:lang w:val="en-US"/>
        </w:rPr>
        <w:t xml:space="preserve"> report a long, complex and unsatisfying </w:t>
      </w:r>
      <w:r w:rsidR="009237DE">
        <w:rPr>
          <w:lang w:val="en-US"/>
        </w:rPr>
        <w:t>one-and-a-half-year</w:t>
      </w:r>
      <w:r w:rsidR="00BF223A">
        <w:rPr>
          <w:lang w:val="en-US"/>
        </w:rPr>
        <w:t xml:space="preserve"> </w:t>
      </w:r>
      <w:r w:rsidR="001A6428" w:rsidRPr="00D102C3">
        <w:rPr>
          <w:lang w:val="en-US"/>
        </w:rPr>
        <w:t>process by UNFPA to recruit the</w:t>
      </w:r>
      <w:r w:rsidR="001A6428">
        <w:rPr>
          <w:lang w:val="en-US"/>
        </w:rPr>
        <w:t>m,</w:t>
      </w:r>
      <w:r w:rsidR="001A6428" w:rsidRPr="00D102C3">
        <w:rPr>
          <w:lang w:val="en-US"/>
        </w:rPr>
        <w:t xml:space="preserve"> with proposed activities and budgets significantly reduced following submission of proposals. </w:t>
      </w:r>
      <w:r w:rsidR="001A6428">
        <w:rPr>
          <w:lang w:val="en-US"/>
        </w:rPr>
        <w:t xml:space="preserve"> </w:t>
      </w:r>
    </w:p>
    <w:p w14:paraId="30ABACBF" w14:textId="77777777" w:rsidR="00550A9D" w:rsidRDefault="00550A9D" w:rsidP="00550A9D">
      <w:pPr>
        <w:pStyle w:val="NoSpacing"/>
        <w:rPr>
          <w:lang w:val="en-US"/>
        </w:rPr>
      </w:pPr>
    </w:p>
    <w:p w14:paraId="450EF18E" w14:textId="77777777" w:rsidR="00550A9D" w:rsidRDefault="00BF223A" w:rsidP="00550A9D">
      <w:pPr>
        <w:pStyle w:val="NoSpacing"/>
      </w:pPr>
      <w:r w:rsidRPr="00287E77">
        <w:rPr>
          <w:lang w:val="en-US"/>
        </w:rPr>
        <w:t xml:space="preserve">While PSRO financial records </w:t>
      </w:r>
      <w:r>
        <w:rPr>
          <w:lang w:val="en-US"/>
        </w:rPr>
        <w:t xml:space="preserve">are coded to </w:t>
      </w:r>
      <w:r w:rsidRPr="00287E77">
        <w:rPr>
          <w:lang w:val="en-US"/>
        </w:rPr>
        <w:t xml:space="preserve">differentiate between the various program funds </w:t>
      </w:r>
      <w:r>
        <w:rPr>
          <w:lang w:val="en-US"/>
        </w:rPr>
        <w:t xml:space="preserve">budgeted and </w:t>
      </w:r>
      <w:proofErr w:type="spellStart"/>
      <w:r w:rsidRPr="00287E77">
        <w:rPr>
          <w:lang w:val="en-US"/>
        </w:rPr>
        <w:t>utili</w:t>
      </w:r>
      <w:r>
        <w:rPr>
          <w:lang w:val="en-US"/>
        </w:rPr>
        <w:t>s</w:t>
      </w:r>
      <w:r w:rsidRPr="00287E77">
        <w:rPr>
          <w:lang w:val="en-US"/>
        </w:rPr>
        <w:t>ed</w:t>
      </w:r>
      <w:proofErr w:type="spellEnd"/>
      <w:r w:rsidRPr="00287E77">
        <w:rPr>
          <w:lang w:val="en-US"/>
        </w:rPr>
        <w:t xml:space="preserve">, </w:t>
      </w:r>
      <w:r>
        <w:rPr>
          <w:lang w:val="en-US"/>
        </w:rPr>
        <w:t>TA IPs</w:t>
      </w:r>
      <w:r w:rsidRPr="00287E77">
        <w:rPr>
          <w:lang w:val="en-US"/>
        </w:rPr>
        <w:t xml:space="preserve"> have joint workplans </w:t>
      </w:r>
      <w:r>
        <w:rPr>
          <w:lang w:val="en-US"/>
        </w:rPr>
        <w:t xml:space="preserve">with other programs, such as </w:t>
      </w:r>
      <w:r w:rsidRPr="00287E77">
        <w:rPr>
          <w:lang w:val="en-US"/>
        </w:rPr>
        <w:t>the MFAT</w:t>
      </w:r>
      <w:r>
        <w:rPr>
          <w:lang w:val="en-US"/>
        </w:rPr>
        <w:t xml:space="preserve"> </w:t>
      </w:r>
      <w:r w:rsidRPr="00287E77">
        <w:rPr>
          <w:lang w:val="en-US"/>
        </w:rPr>
        <w:t>P</w:t>
      </w:r>
      <w:r>
        <w:rPr>
          <w:lang w:val="en-US"/>
        </w:rPr>
        <w:t>R</w:t>
      </w:r>
      <w:r w:rsidRPr="00287E77">
        <w:rPr>
          <w:lang w:val="en-US"/>
        </w:rPr>
        <w:t>SRHP</w:t>
      </w:r>
      <w:r>
        <w:rPr>
          <w:lang w:val="en-US"/>
        </w:rPr>
        <w:t>,</w:t>
      </w:r>
      <w:r w:rsidRPr="00287E77">
        <w:rPr>
          <w:lang w:val="en-US"/>
        </w:rPr>
        <w:t xml:space="preserve"> </w:t>
      </w:r>
      <w:r>
        <w:rPr>
          <w:lang w:val="en-US"/>
        </w:rPr>
        <w:t xml:space="preserve">and some SRP6 activities that are jointly funded by SRP6 and TA. </w:t>
      </w:r>
      <w:r w:rsidR="00342689">
        <w:rPr>
          <w:lang w:val="en-US"/>
        </w:rPr>
        <w:t xml:space="preserve">This allows Ministries to have a single, consolidated picture of activities planned with UNFPA, which reduces the burden on government partners. </w:t>
      </w:r>
      <w:r w:rsidR="0016640D">
        <w:rPr>
          <w:lang w:val="en-US"/>
        </w:rPr>
        <w:t xml:space="preserve">However, this </w:t>
      </w:r>
      <w:r w:rsidR="00342689">
        <w:rPr>
          <w:lang w:val="en-US"/>
        </w:rPr>
        <w:t xml:space="preserve">can make tracking, checking and approval of workplans complex for DFAT given its accountability for public funds. </w:t>
      </w:r>
      <w:r w:rsidR="00717F4D">
        <w:t>PSRO reporting has not provided program specific tracking, monitoring and reporting after the initial AWP phase.</w:t>
      </w:r>
      <w:r w:rsidR="00717F4D">
        <w:rPr>
          <w:lang w:val="en-US"/>
        </w:rPr>
        <w:t xml:space="preserve"> </w:t>
      </w:r>
      <w:r>
        <w:rPr>
          <w:lang w:val="en-US"/>
        </w:rPr>
        <w:t xml:space="preserve">Annual Reports </w:t>
      </w:r>
      <w:r w:rsidR="004500E6">
        <w:rPr>
          <w:lang w:val="en-US"/>
        </w:rPr>
        <w:t xml:space="preserve">in 2018 and 2019 </w:t>
      </w:r>
      <w:r>
        <w:rPr>
          <w:lang w:val="en-US"/>
        </w:rPr>
        <w:t>generated by PSRO include a blend of achievements from the TA program as well as a range of non-TA programs. Because of this blend, non-TA activities are often reported as TA achievements</w:t>
      </w:r>
      <w:r w:rsidR="00F332B8">
        <w:rPr>
          <w:lang w:val="en-US"/>
        </w:rPr>
        <w:t xml:space="preserve"> </w:t>
      </w:r>
      <w:r w:rsidR="00F332B8" w:rsidRPr="002110C0">
        <w:rPr>
          <w:color w:val="000000"/>
        </w:rPr>
        <w:t>(as in the Draft 2019 Annual Report)</w:t>
      </w:r>
      <w:r>
        <w:rPr>
          <w:lang w:val="en-US"/>
        </w:rPr>
        <w:t xml:space="preserve">, which can be confusing, and which makes attribution of results to programs difficult.  </w:t>
      </w:r>
    </w:p>
    <w:p w14:paraId="6955AA14" w14:textId="77777777" w:rsidR="00342689" w:rsidRDefault="00342689" w:rsidP="00550A9D">
      <w:pPr>
        <w:pStyle w:val="NoSpacing"/>
      </w:pPr>
    </w:p>
    <w:p w14:paraId="166AA4C6" w14:textId="77777777" w:rsidR="009E0765" w:rsidRDefault="002F7102" w:rsidP="00550A9D">
      <w:pPr>
        <w:pStyle w:val="NoSpacing"/>
      </w:pPr>
      <w:r>
        <w:t xml:space="preserve">The main implication </w:t>
      </w:r>
      <w:r w:rsidR="00466F26">
        <w:t xml:space="preserve">of the limited achievement </w:t>
      </w:r>
      <w:r>
        <w:t xml:space="preserve">results is that </w:t>
      </w:r>
      <w:r w:rsidR="00466F26">
        <w:t>outcomes</w:t>
      </w:r>
      <w:r>
        <w:t xml:space="preserve"> for beneficiaries have not yet been realised</w:t>
      </w:r>
      <w:r w:rsidR="000F7030">
        <w:t>,</w:t>
      </w:r>
      <w:r>
        <w:t xml:space="preserve"> as </w:t>
      </w:r>
      <w:r w:rsidR="00913BBF">
        <w:t>activities</w:t>
      </w:r>
      <w:r>
        <w:t xml:space="preserve"> ha</w:t>
      </w:r>
      <w:r w:rsidR="00913BBF">
        <w:t>ve</w:t>
      </w:r>
      <w:r>
        <w:t xml:space="preserve"> not yet reached </w:t>
      </w:r>
      <w:r w:rsidR="00913BBF">
        <w:t xml:space="preserve">SDP staff, </w:t>
      </w:r>
      <w:r>
        <w:t xml:space="preserve">women and young people. </w:t>
      </w:r>
      <w:r w:rsidR="009E0765">
        <w:t xml:space="preserve">The HFRSA assessment reports confirm that all four countries assessed so far have minimum packages of essential SRH services </w:t>
      </w:r>
      <w:r w:rsidR="00AB0DF4">
        <w:t xml:space="preserve">delivered by all levels of the health system to some extent. All have positive features of service delivery and service deficits. It is </w:t>
      </w:r>
      <w:r w:rsidR="004500E6">
        <w:t xml:space="preserve">critical to apply outcomes from the HFRSA assessments to </w:t>
      </w:r>
      <w:r w:rsidR="00466F26">
        <w:t xml:space="preserve">country-level </w:t>
      </w:r>
      <w:r w:rsidR="00AB0DF4">
        <w:t xml:space="preserve">priorities </w:t>
      </w:r>
      <w:r w:rsidR="004500E6">
        <w:t xml:space="preserve">in 2021-2022 work plans </w:t>
      </w:r>
      <w:r w:rsidR="00466F26">
        <w:t>and</w:t>
      </w:r>
      <w:r w:rsidR="00AB0DF4">
        <w:t xml:space="preserve"> maximise efforts to address the deficits. Annex </w:t>
      </w:r>
      <w:r w:rsidR="00AC055B">
        <w:t>6</w:t>
      </w:r>
      <w:r w:rsidR="00AB0DF4">
        <w:t xml:space="preserve"> provides the </w:t>
      </w:r>
      <w:r w:rsidR="000F7030">
        <w:t xml:space="preserve">HFRSA </w:t>
      </w:r>
      <w:r w:rsidR="00AB0DF4">
        <w:t>data on SRH service delivery in Fiji, Kiribati, Samoa and Tonga</w:t>
      </w:r>
      <w:r w:rsidR="00466F26">
        <w:t xml:space="preserve"> (not available for Solomon Islands and Vanuatu as HFRSA assessment reports </w:t>
      </w:r>
      <w:r w:rsidR="0016640D">
        <w:t xml:space="preserve">are </w:t>
      </w:r>
      <w:r w:rsidR="00466F26">
        <w:t>not yet completed).</w:t>
      </w:r>
    </w:p>
    <w:p w14:paraId="143FFBCD" w14:textId="77777777" w:rsidR="009E0765" w:rsidRDefault="009E0765" w:rsidP="00550A9D">
      <w:pPr>
        <w:pStyle w:val="NoSpacing"/>
      </w:pPr>
    </w:p>
    <w:p w14:paraId="75AB9FF7" w14:textId="77777777" w:rsidR="00A60E09" w:rsidRDefault="002F7102" w:rsidP="003538C5">
      <w:pPr>
        <w:pStyle w:val="Level2Heading"/>
        <w:numPr>
          <w:ilvl w:val="1"/>
          <w:numId w:val="27"/>
        </w:numPr>
        <w:outlineLvl w:val="1"/>
      </w:pPr>
      <w:bookmarkStart w:id="23" w:name="_Toc76630088"/>
      <w:r>
        <w:t>Implementation Rate</w:t>
      </w:r>
      <w:r w:rsidR="00672ECE">
        <w:t>s</w:t>
      </w:r>
      <w:bookmarkEnd w:id="23"/>
      <w:r>
        <w:t xml:space="preserve">   </w:t>
      </w:r>
    </w:p>
    <w:p w14:paraId="5424C549" w14:textId="77777777" w:rsidR="00466F26" w:rsidRDefault="002F7102" w:rsidP="00466F26">
      <w:pPr>
        <w:pStyle w:val="NoSpacing"/>
      </w:pPr>
      <w:r>
        <w:t>The l</w:t>
      </w:r>
      <w:r w:rsidR="00BF223A">
        <w:t xml:space="preserve">imited achievement of </w:t>
      </w:r>
      <w:r>
        <w:t xml:space="preserve">results is related to the </w:t>
      </w:r>
      <w:r w:rsidR="00CA1611">
        <w:t xml:space="preserve">long planning and budgeting processes, </w:t>
      </w:r>
      <w:r w:rsidR="00466F26">
        <w:t xml:space="preserve">fund </w:t>
      </w:r>
      <w:r w:rsidR="00CA1611">
        <w:t xml:space="preserve">disbursement delays, </w:t>
      </w:r>
      <w:r>
        <w:t xml:space="preserve">poor </w:t>
      </w:r>
      <w:r w:rsidR="00DD673C">
        <w:t>fund utilisation</w:t>
      </w:r>
      <w:r w:rsidR="00913BBF">
        <w:t>,</w:t>
      </w:r>
      <w:r w:rsidR="00DD673C">
        <w:t xml:space="preserve"> </w:t>
      </w:r>
      <w:r w:rsidR="001D73C2">
        <w:t xml:space="preserve">low </w:t>
      </w:r>
      <w:r>
        <w:t>implementation rate</w:t>
      </w:r>
      <w:r w:rsidR="00DD673C">
        <w:t>s</w:t>
      </w:r>
      <w:r w:rsidR="00913BBF">
        <w:t xml:space="preserve"> and the late contracting of the RIPs</w:t>
      </w:r>
      <w:r>
        <w:t>.</w:t>
      </w:r>
      <w:r w:rsidR="00CA1611">
        <w:t xml:space="preserve"> </w:t>
      </w:r>
      <w:r w:rsidR="001A6428" w:rsidRPr="002E3B74">
        <w:rPr>
          <w:lang w:val="en-US"/>
        </w:rPr>
        <w:t>Slow implementation</w:t>
      </w:r>
      <w:r w:rsidR="001A6428">
        <w:rPr>
          <w:lang w:val="en-US"/>
        </w:rPr>
        <w:t xml:space="preserve"> has been a challenge due to failure to have an inception period </w:t>
      </w:r>
      <w:proofErr w:type="gramStart"/>
      <w:r w:rsidR="001A6428">
        <w:rPr>
          <w:lang w:val="en-US"/>
        </w:rPr>
        <w:t>to:</w:t>
      </w:r>
      <w:proofErr w:type="gramEnd"/>
      <w:r w:rsidR="001A6428">
        <w:rPr>
          <w:lang w:val="en-US"/>
        </w:rPr>
        <w:t xml:space="preserve"> consult and prepare IPs for UNFPA administrative processes</w:t>
      </w:r>
      <w:r w:rsidR="00E062EA">
        <w:rPr>
          <w:lang w:val="en-US"/>
        </w:rPr>
        <w:t xml:space="preserve">; </w:t>
      </w:r>
      <w:proofErr w:type="spellStart"/>
      <w:r w:rsidR="00E062EA">
        <w:rPr>
          <w:lang w:val="en-US"/>
        </w:rPr>
        <w:t>finalise</w:t>
      </w:r>
      <w:proofErr w:type="spellEnd"/>
      <w:r w:rsidR="00E062EA">
        <w:rPr>
          <w:lang w:val="en-US"/>
        </w:rPr>
        <w:t xml:space="preserve"> an implementation plan</w:t>
      </w:r>
      <w:r w:rsidR="00BC393D">
        <w:rPr>
          <w:lang w:val="en-US"/>
        </w:rPr>
        <w:t xml:space="preserve"> in collaboration with key stakeholders in each country</w:t>
      </w:r>
      <w:r w:rsidR="001A6428">
        <w:rPr>
          <w:lang w:val="en-US"/>
        </w:rPr>
        <w:t xml:space="preserve">; undertake time consuming and resource intensive HFRSA assessments for baseline data (two still to be completed); and to </w:t>
      </w:r>
      <w:proofErr w:type="spellStart"/>
      <w:r w:rsidR="001A6428">
        <w:rPr>
          <w:lang w:val="en-US"/>
        </w:rPr>
        <w:t>finalise</w:t>
      </w:r>
      <w:proofErr w:type="spellEnd"/>
      <w:r w:rsidR="001A6428">
        <w:rPr>
          <w:lang w:val="en-US"/>
        </w:rPr>
        <w:t xml:space="preserve"> the indicators, baselines and targets in the MEF. </w:t>
      </w:r>
      <w:r w:rsidR="00466F26">
        <w:t xml:space="preserve">Key issues and challenges impacting implementation </w:t>
      </w:r>
      <w:r w:rsidR="000F7030">
        <w:t xml:space="preserve">also </w:t>
      </w:r>
      <w:r w:rsidR="00466F26">
        <w:t xml:space="preserve">include: </w:t>
      </w:r>
    </w:p>
    <w:p w14:paraId="21B1536B" w14:textId="77777777" w:rsidR="00466F26" w:rsidRDefault="00466F26" w:rsidP="003538C5">
      <w:pPr>
        <w:pStyle w:val="NoSpacing"/>
        <w:numPr>
          <w:ilvl w:val="0"/>
          <w:numId w:val="24"/>
        </w:numPr>
        <w:rPr>
          <w:lang w:val="en-US"/>
        </w:rPr>
      </w:pPr>
      <w:r>
        <w:rPr>
          <w:lang w:val="en-US"/>
        </w:rPr>
        <w:t>Competing priorities of MOHs, especially in 2020 due to the COVID-19 pandemic, cyclone Harold in Vanuatu and measles outbreaks in Samoa and Tonga</w:t>
      </w:r>
    </w:p>
    <w:p w14:paraId="2AD9F7CE" w14:textId="77777777" w:rsidR="00466F26" w:rsidRDefault="00466F26" w:rsidP="003538C5">
      <w:pPr>
        <w:pStyle w:val="NoSpacing"/>
        <w:numPr>
          <w:ilvl w:val="0"/>
          <w:numId w:val="24"/>
        </w:numPr>
        <w:rPr>
          <w:lang w:val="en-US"/>
        </w:rPr>
      </w:pPr>
      <w:r>
        <w:rPr>
          <w:lang w:val="en-US"/>
        </w:rPr>
        <w:t xml:space="preserve">Complex routine UNFPA administrative processes, crippling past audit findings in a small number of critical partners which affected disbursements and slow financial processes of some </w:t>
      </w:r>
      <w:proofErr w:type="gramStart"/>
      <w:r>
        <w:rPr>
          <w:lang w:val="en-US"/>
        </w:rPr>
        <w:t>governments</w:t>
      </w:r>
      <w:proofErr w:type="gramEnd"/>
    </w:p>
    <w:p w14:paraId="07045BB4" w14:textId="77777777" w:rsidR="00466F26" w:rsidRDefault="00466F26" w:rsidP="003538C5">
      <w:pPr>
        <w:pStyle w:val="NoSpacing"/>
        <w:numPr>
          <w:ilvl w:val="0"/>
          <w:numId w:val="24"/>
        </w:numPr>
        <w:rPr>
          <w:lang w:val="en-US"/>
        </w:rPr>
      </w:pPr>
      <w:r>
        <w:rPr>
          <w:lang w:val="en-US"/>
        </w:rPr>
        <w:t xml:space="preserve">Missed opportunities to </w:t>
      </w:r>
      <w:r w:rsidR="00F332B8" w:rsidRPr="0016640D">
        <w:rPr>
          <w:rFonts w:eastAsia="Arial" w:cstheme="minorHAnsi"/>
          <w:color w:val="000000"/>
        </w:rPr>
        <w:t>bring to scale</w:t>
      </w:r>
      <w:r w:rsidR="00F332B8">
        <w:rPr>
          <w:lang w:val="en-US"/>
        </w:rPr>
        <w:t xml:space="preserve"> </w:t>
      </w:r>
      <w:r>
        <w:rPr>
          <w:lang w:val="en-US"/>
        </w:rPr>
        <w:t>existing technical SRHR resources in-country.</w:t>
      </w:r>
    </w:p>
    <w:p w14:paraId="4D3EAEE7" w14:textId="77777777" w:rsidR="00550A9D" w:rsidRDefault="00550A9D" w:rsidP="00550A9D">
      <w:pPr>
        <w:pStyle w:val="NoSpacing"/>
        <w:rPr>
          <w:lang w:val="en-US"/>
        </w:rPr>
      </w:pPr>
    </w:p>
    <w:p w14:paraId="78C8BBB1" w14:textId="77777777" w:rsidR="00F332B8" w:rsidRDefault="00F332B8" w:rsidP="00550A9D">
      <w:pPr>
        <w:pStyle w:val="NoSpacing"/>
      </w:pPr>
      <w:r w:rsidRPr="00332D4C">
        <w:rPr>
          <w:color w:val="000000"/>
        </w:rPr>
        <w:t>Financial management and disbursement have improved in 2019 and 2020.  For example</w:t>
      </w:r>
      <w:r>
        <w:rPr>
          <w:color w:val="000000"/>
        </w:rPr>
        <w:t>,</w:t>
      </w:r>
      <w:r w:rsidRPr="00332D4C">
        <w:rPr>
          <w:color w:val="000000"/>
        </w:rPr>
        <w:t xml:space="preserve"> </w:t>
      </w:r>
      <w:r>
        <w:rPr>
          <w:color w:val="000000"/>
        </w:rPr>
        <w:t>i</w:t>
      </w:r>
      <w:r w:rsidRPr="00332D4C">
        <w:rPr>
          <w:color w:val="000000"/>
        </w:rPr>
        <w:t xml:space="preserve">n 2019 UNFPA </w:t>
      </w:r>
      <w:r>
        <w:rPr>
          <w:color w:val="000000"/>
        </w:rPr>
        <w:t xml:space="preserve">allowed </w:t>
      </w:r>
      <w:r w:rsidRPr="00332D4C">
        <w:rPr>
          <w:color w:val="000000"/>
        </w:rPr>
        <w:t>IPs to roll over unspent funds at the end of the year</w:t>
      </w:r>
      <w:r>
        <w:rPr>
          <w:color w:val="000000"/>
        </w:rPr>
        <w:t>;</w:t>
      </w:r>
      <w:r w:rsidRPr="00332D4C">
        <w:rPr>
          <w:color w:val="000000"/>
        </w:rPr>
        <w:t xml:space="preserve"> </w:t>
      </w:r>
      <w:r>
        <w:rPr>
          <w:color w:val="000000"/>
        </w:rPr>
        <w:t xml:space="preserve">and </w:t>
      </w:r>
      <w:r w:rsidRPr="00332D4C">
        <w:rPr>
          <w:color w:val="000000"/>
        </w:rPr>
        <w:t xml:space="preserve">10 out of 14 IPs chose to </w:t>
      </w:r>
      <w:r>
        <w:rPr>
          <w:color w:val="000000"/>
        </w:rPr>
        <w:t>do so</w:t>
      </w:r>
      <w:r w:rsidR="000F7030">
        <w:rPr>
          <w:color w:val="000000"/>
        </w:rPr>
        <w:t>,</w:t>
      </w:r>
      <w:r w:rsidRPr="00332D4C">
        <w:rPr>
          <w:color w:val="000000"/>
        </w:rPr>
        <w:t xml:space="preserve"> ensur</w:t>
      </w:r>
      <w:r>
        <w:rPr>
          <w:color w:val="000000"/>
        </w:rPr>
        <w:t>ing</w:t>
      </w:r>
      <w:r w:rsidRPr="00332D4C">
        <w:rPr>
          <w:color w:val="000000"/>
        </w:rPr>
        <w:t xml:space="preserve"> continuity of programming, while the remaining 4 opted to return the funds. The processing time for FACE forms </w:t>
      </w:r>
      <w:r>
        <w:rPr>
          <w:color w:val="000000"/>
        </w:rPr>
        <w:t>was improved; a</w:t>
      </w:r>
      <w:r w:rsidRPr="00332D4C">
        <w:rPr>
          <w:color w:val="000000"/>
        </w:rPr>
        <w:t>udit issue</w:t>
      </w:r>
      <w:r w:rsidR="000F7030">
        <w:rPr>
          <w:color w:val="000000"/>
        </w:rPr>
        <w:t>s</w:t>
      </w:r>
      <w:r w:rsidRPr="00332D4C">
        <w:rPr>
          <w:color w:val="000000"/>
        </w:rPr>
        <w:t xml:space="preserve"> were resolved for MHMS Solomon Islands, which is now receiving fund disbursements again</w:t>
      </w:r>
      <w:r>
        <w:rPr>
          <w:color w:val="000000"/>
        </w:rPr>
        <w:t>; and a</w:t>
      </w:r>
      <w:r w:rsidRPr="00332D4C">
        <w:rPr>
          <w:color w:val="000000"/>
        </w:rPr>
        <w:t>ll other IPs except for one are receiving fund transfers for IP implementation</w:t>
      </w:r>
      <w:r>
        <w:rPr>
          <w:color w:val="000000"/>
        </w:rPr>
        <w:t>.</w:t>
      </w:r>
    </w:p>
    <w:p w14:paraId="47D56518" w14:textId="77777777" w:rsidR="00F332B8" w:rsidRDefault="00F332B8" w:rsidP="00550A9D">
      <w:pPr>
        <w:pStyle w:val="NoSpacing"/>
      </w:pPr>
    </w:p>
    <w:p w14:paraId="609423DB" w14:textId="77777777" w:rsidR="00047056" w:rsidRDefault="00F332B8" w:rsidP="00550A9D">
      <w:pPr>
        <w:pStyle w:val="NoSpacing"/>
      </w:pPr>
      <w:r>
        <w:lastRenderedPageBreak/>
        <w:t>Although d</w:t>
      </w:r>
      <w:r w:rsidR="00047056" w:rsidRPr="002E3B74">
        <w:t>isbursement delays</w:t>
      </w:r>
      <w:r w:rsidR="00047056">
        <w:t xml:space="preserve"> have improved in 2020</w:t>
      </w:r>
      <w:r>
        <w:t xml:space="preserve">, </w:t>
      </w:r>
      <w:r w:rsidR="00047056">
        <w:t xml:space="preserve">the </w:t>
      </w:r>
      <w:r w:rsidR="00466F26">
        <w:t>mismatched</w:t>
      </w:r>
      <w:r w:rsidR="00047056">
        <w:t xml:space="preserve"> financial years </w:t>
      </w:r>
      <w:r w:rsidR="00074289">
        <w:t>impacted</w:t>
      </w:r>
      <w:r w:rsidR="00BC393D">
        <w:t xml:space="preserve"> planning and </w:t>
      </w:r>
      <w:r w:rsidR="00047056">
        <w:t>implementation</w:t>
      </w:r>
      <w:r w:rsidR="00BC393D">
        <w:t xml:space="preserve">. </w:t>
      </w:r>
      <w:r w:rsidR="00047056">
        <w:t xml:space="preserve"> </w:t>
      </w:r>
      <w:r w:rsidR="00BC393D">
        <w:t>G</w:t>
      </w:r>
      <w:r w:rsidR="00047056">
        <w:t>overnment accounts clos</w:t>
      </w:r>
      <w:r w:rsidR="00BC393D">
        <w:t>e</w:t>
      </w:r>
      <w:r w:rsidR="00047056">
        <w:t xml:space="preserve"> </w:t>
      </w:r>
      <w:r w:rsidR="000F7030">
        <w:t xml:space="preserve">in </w:t>
      </w:r>
      <w:r w:rsidR="00047056">
        <w:t xml:space="preserve">July/August </w:t>
      </w:r>
      <w:r w:rsidR="007E7360">
        <w:t>and government planning occurs in September for the new financial year. Previously</w:t>
      </w:r>
      <w:r w:rsidR="00074289">
        <w:t>, TA program tranches were disbursed after government accounts closed which resulted in limited implementation in the second half of the year. UNFPA now ensure</w:t>
      </w:r>
      <w:r w:rsidR="0068124F">
        <w:t>s</w:t>
      </w:r>
      <w:r w:rsidR="00074289">
        <w:t xml:space="preserve"> that two tranches are disbursed prior to the July/August close of accounts. </w:t>
      </w:r>
      <w:r w:rsidR="00BC393D">
        <w:t xml:space="preserve">This situation </w:t>
      </w:r>
      <w:r w:rsidR="00074289">
        <w:t xml:space="preserve">could be further improved </w:t>
      </w:r>
      <w:r w:rsidR="00BC393D">
        <w:t xml:space="preserve">with the development </w:t>
      </w:r>
      <w:r w:rsidR="00074289">
        <w:t xml:space="preserve">and finalisation </w:t>
      </w:r>
      <w:r w:rsidR="00BC393D">
        <w:t xml:space="preserve">of annual workplans and tranches before February. </w:t>
      </w:r>
    </w:p>
    <w:p w14:paraId="2E30761B" w14:textId="77777777" w:rsidR="00497F38" w:rsidRDefault="00497F38" w:rsidP="00550A9D">
      <w:pPr>
        <w:pStyle w:val="NoSpacing"/>
      </w:pPr>
    </w:p>
    <w:p w14:paraId="142FB2B8" w14:textId="77777777" w:rsidR="00466F26" w:rsidRDefault="00466F26" w:rsidP="00466F26">
      <w:pPr>
        <w:pStyle w:val="NoSpacing"/>
      </w:pPr>
      <w:r>
        <w:t xml:space="preserve">Given that results will occur on the basis of activities led and implemented primarily by MOHs, the MOH IP </w:t>
      </w:r>
      <w:r w:rsidRPr="002F26D7">
        <w:t>implementation rates</w:t>
      </w:r>
      <w:r>
        <w:t xml:space="preserve"> are</w:t>
      </w:r>
      <w:r w:rsidR="000F7030">
        <w:t xml:space="preserve"> critical. However, MOH implementation rates are </w:t>
      </w:r>
      <w:r>
        <w:t>low for Solomon Islands (4%), and Fiji (37%). Some countries did not enter the TA program until late (Vanuatu 2019) and some deferred activities until 2019 (</w:t>
      </w:r>
      <w:proofErr w:type="gramStart"/>
      <w:r>
        <w:t>e.g.</w:t>
      </w:r>
      <w:proofErr w:type="gramEnd"/>
      <w:r>
        <w:t xml:space="preserve"> Fiji, Solomon Islands). In most countries, </w:t>
      </w:r>
      <w:r w:rsidR="006342ED">
        <w:t xml:space="preserve">the largest </w:t>
      </w:r>
      <w:r>
        <w:t xml:space="preserve">allocations to MOHs </w:t>
      </w:r>
      <w:r w:rsidR="00F332B8">
        <w:t xml:space="preserve">to date have been </w:t>
      </w:r>
      <w:r>
        <w:t>for the HFRSA assessments</w:t>
      </w:r>
      <w:r w:rsidR="006342ED">
        <w:rPr>
          <w:rStyle w:val="FootnoteReference"/>
        </w:rPr>
        <w:footnoteReference w:id="15"/>
      </w:r>
      <w:r>
        <w:t xml:space="preserve"> whereby all SDPs</w:t>
      </w:r>
      <w:r>
        <w:rPr>
          <w:rStyle w:val="FootnoteReference"/>
        </w:rPr>
        <w:footnoteReference w:id="16"/>
      </w:r>
      <w:r>
        <w:t xml:space="preserve"> were surveyed for the level of integrated SRH services provided, availability of FP commodities and frequency of stockouts. This was a useful exercise to set baselines on which to measure results</w:t>
      </w:r>
      <w:r w:rsidR="000F7030">
        <w:t>,</w:t>
      </w:r>
      <w:r>
        <w:t xml:space="preserve"> but occurred late in the program, with two countries (Solomon Islands and Vanuatu) yet to conduct their assessments. It is also valuable data on which to build the MOH Packages of Essential SRH Services</w:t>
      </w:r>
      <w:r w:rsidR="000A7F9C">
        <w:t>, and on which to plan for FP and integrated SRH training</w:t>
      </w:r>
      <w:r>
        <w:t xml:space="preserve">. </w:t>
      </w:r>
    </w:p>
    <w:p w14:paraId="04E7E635" w14:textId="77777777" w:rsidR="00466F26" w:rsidRDefault="00466F26" w:rsidP="00466F26">
      <w:pPr>
        <w:pStyle w:val="NoSpacing"/>
      </w:pPr>
    </w:p>
    <w:p w14:paraId="4F773CEB" w14:textId="77777777" w:rsidR="00466F26" w:rsidRDefault="00466F26" w:rsidP="00466F26">
      <w:pPr>
        <w:pStyle w:val="NoSpacing"/>
        <w:rPr>
          <w:lang w:val="en-US"/>
        </w:rPr>
      </w:pPr>
      <w:r w:rsidRPr="00496A49">
        <w:t xml:space="preserve">Annex </w:t>
      </w:r>
      <w:r>
        <w:t>8 provides fund allocations, expenditure</w:t>
      </w:r>
      <w:r w:rsidR="000F7030">
        <w:t>,</w:t>
      </w:r>
      <w:r>
        <w:t xml:space="preserve"> and utilisation rates by country and year; and the utilisation rates by MOHs 2018-2020. These tables show that a</w:t>
      </w:r>
      <w:proofErr w:type="spellStart"/>
      <w:r>
        <w:rPr>
          <w:lang w:val="en-US"/>
        </w:rPr>
        <w:t>verage</w:t>
      </w:r>
      <w:proofErr w:type="spellEnd"/>
      <w:r>
        <w:rPr>
          <w:lang w:val="en-US"/>
        </w:rPr>
        <w:t xml:space="preserve"> fund </w:t>
      </w:r>
      <w:proofErr w:type="spellStart"/>
      <w:r>
        <w:rPr>
          <w:lang w:val="en-US"/>
        </w:rPr>
        <w:t>utilisation</w:t>
      </w:r>
      <w:proofErr w:type="spellEnd"/>
      <w:r>
        <w:rPr>
          <w:lang w:val="en-US"/>
        </w:rPr>
        <w:t xml:space="preserve"> rates 2018-2020 (as of 3 August 2020)</w:t>
      </w:r>
      <w:r>
        <w:rPr>
          <w:rStyle w:val="FootnoteReference"/>
          <w:lang w:val="en-US"/>
        </w:rPr>
        <w:footnoteReference w:id="17"/>
      </w:r>
      <w:r>
        <w:rPr>
          <w:lang w:val="en-US"/>
        </w:rPr>
        <w:t xml:space="preserve"> by country are: Fiji 3</w:t>
      </w:r>
      <w:r w:rsidR="00D5363B">
        <w:rPr>
          <w:lang w:val="en-US"/>
        </w:rPr>
        <w:t>4</w:t>
      </w:r>
      <w:r>
        <w:rPr>
          <w:lang w:val="en-US"/>
        </w:rPr>
        <w:t>%; Kiribati 2</w:t>
      </w:r>
      <w:r w:rsidR="00D5363B">
        <w:rPr>
          <w:lang w:val="en-US"/>
        </w:rPr>
        <w:t>5</w:t>
      </w:r>
      <w:r>
        <w:rPr>
          <w:lang w:val="en-US"/>
        </w:rPr>
        <w:t xml:space="preserve">%; Samoa 42%; Solomon Islands </w:t>
      </w:r>
      <w:r w:rsidR="00D5363B">
        <w:rPr>
          <w:lang w:val="en-US"/>
        </w:rPr>
        <w:t>2</w:t>
      </w:r>
      <w:r>
        <w:rPr>
          <w:lang w:val="en-US"/>
        </w:rPr>
        <w:t>9%; Tonga 3</w:t>
      </w:r>
      <w:r w:rsidR="00D5363B">
        <w:rPr>
          <w:lang w:val="en-US"/>
        </w:rPr>
        <w:t>7</w:t>
      </w:r>
      <w:r>
        <w:rPr>
          <w:lang w:val="en-US"/>
        </w:rPr>
        <w:t xml:space="preserve">%; and Vanuatu </w:t>
      </w:r>
      <w:r w:rsidR="00D5363B">
        <w:rPr>
          <w:lang w:val="en-US"/>
        </w:rPr>
        <w:t>26</w:t>
      </w:r>
      <w:r>
        <w:rPr>
          <w:lang w:val="en-US"/>
        </w:rPr>
        <w:t xml:space="preserve">%. </w:t>
      </w:r>
    </w:p>
    <w:p w14:paraId="2C68F005" w14:textId="77777777" w:rsidR="00466F26" w:rsidRDefault="00466F26" w:rsidP="00550A9D">
      <w:pPr>
        <w:pStyle w:val="NoSpacing"/>
      </w:pPr>
    </w:p>
    <w:p w14:paraId="50CCB1D4" w14:textId="77777777" w:rsidR="007617B2" w:rsidRDefault="00A94387" w:rsidP="005828DC">
      <w:pPr>
        <w:pStyle w:val="NoSpacing"/>
        <w:rPr>
          <w:lang w:val="en-US"/>
        </w:rPr>
      </w:pPr>
      <w:r>
        <w:rPr>
          <w:lang w:val="en-US"/>
        </w:rPr>
        <w:t>T</w:t>
      </w:r>
      <w:r w:rsidR="00D43E81" w:rsidRPr="0001440E">
        <w:rPr>
          <w:lang w:val="en-US"/>
        </w:rPr>
        <w:t xml:space="preserve">he </w:t>
      </w:r>
      <w:r w:rsidR="00D43E81">
        <w:rPr>
          <w:lang w:val="en-US"/>
        </w:rPr>
        <w:t>TA program is primarily a health program, with multi-sectoral support</w:t>
      </w:r>
      <w:r w:rsidR="000314D2">
        <w:rPr>
          <w:lang w:val="en-US"/>
        </w:rPr>
        <w:t>. T</w:t>
      </w:r>
      <w:r w:rsidR="00D43E81">
        <w:rPr>
          <w:lang w:val="en-US"/>
        </w:rPr>
        <w:t xml:space="preserve">he delivery of FP/SRH commodities and services is the responsibility of the </w:t>
      </w:r>
      <w:r w:rsidR="00D43E81" w:rsidRPr="0001440E">
        <w:rPr>
          <w:lang w:val="en-US"/>
        </w:rPr>
        <w:t>MOH</w:t>
      </w:r>
      <w:r w:rsidR="00C02DE1">
        <w:rPr>
          <w:lang w:val="en-US"/>
        </w:rPr>
        <w:t xml:space="preserve">. </w:t>
      </w:r>
      <w:proofErr w:type="spellStart"/>
      <w:r w:rsidR="00C02DE1">
        <w:rPr>
          <w:lang w:val="en-US"/>
        </w:rPr>
        <w:t>Recognising</w:t>
      </w:r>
      <w:proofErr w:type="spellEnd"/>
      <w:r w:rsidR="00C02DE1">
        <w:rPr>
          <w:lang w:val="en-US"/>
        </w:rPr>
        <w:t xml:space="preserve"> this, </w:t>
      </w:r>
      <w:r w:rsidR="00D43E81">
        <w:rPr>
          <w:lang w:val="en-US"/>
        </w:rPr>
        <w:t>the MOH</w:t>
      </w:r>
      <w:r w:rsidR="00D43E81" w:rsidRPr="0001440E">
        <w:rPr>
          <w:lang w:val="en-US"/>
        </w:rPr>
        <w:t xml:space="preserve"> </w:t>
      </w:r>
      <w:r w:rsidR="00D43E81">
        <w:rPr>
          <w:lang w:val="en-US"/>
        </w:rPr>
        <w:t xml:space="preserve">must lead and be the primary focal point for the TA program. </w:t>
      </w:r>
      <w:r w:rsidR="007617B2" w:rsidRPr="003650AA">
        <w:rPr>
          <w:lang w:val="en-US"/>
        </w:rPr>
        <w:t xml:space="preserve">A more nationally tailored approach to planning, based on the countries’ </w:t>
      </w:r>
      <w:r w:rsidR="00DC00E0">
        <w:rPr>
          <w:lang w:val="en-US"/>
        </w:rPr>
        <w:t xml:space="preserve">specific SRH </w:t>
      </w:r>
      <w:r w:rsidR="007617B2" w:rsidRPr="003650AA">
        <w:rPr>
          <w:lang w:val="en-US"/>
        </w:rPr>
        <w:t xml:space="preserve">needs and existing resources, would increase engagement by MOHs, improve alignment of activities with national plans, promote ownership of TA program implementation and </w:t>
      </w:r>
      <w:proofErr w:type="spellStart"/>
      <w:r w:rsidR="007617B2" w:rsidRPr="003650AA">
        <w:rPr>
          <w:lang w:val="en-US"/>
        </w:rPr>
        <w:t>maximise</w:t>
      </w:r>
      <w:proofErr w:type="spellEnd"/>
      <w:r w:rsidR="007617B2" w:rsidRPr="003650AA">
        <w:rPr>
          <w:lang w:val="en-US"/>
        </w:rPr>
        <w:t xml:space="preserve"> synergies with other programs. </w:t>
      </w:r>
    </w:p>
    <w:p w14:paraId="57CEECD4" w14:textId="77777777" w:rsidR="007617B2" w:rsidRDefault="007617B2" w:rsidP="005828DC">
      <w:pPr>
        <w:pStyle w:val="NoSpacing"/>
        <w:rPr>
          <w:lang w:val="en-US"/>
        </w:rPr>
      </w:pPr>
    </w:p>
    <w:p w14:paraId="3860608D" w14:textId="77777777" w:rsidR="00464224" w:rsidRDefault="00464224" w:rsidP="002D4A31">
      <w:pPr>
        <w:pStyle w:val="NoSpacing"/>
        <w:rPr>
          <w:lang w:val="en-US"/>
        </w:rPr>
      </w:pPr>
      <w:r>
        <w:rPr>
          <w:lang w:val="en-US"/>
        </w:rPr>
        <w:t>Therefore, p</w:t>
      </w:r>
      <w:r w:rsidR="007617B2" w:rsidRPr="004E78FE">
        <w:rPr>
          <w:lang w:val="en-US"/>
        </w:rPr>
        <w:t xml:space="preserve">riority </w:t>
      </w:r>
      <w:r>
        <w:rPr>
          <w:lang w:val="en-US"/>
        </w:rPr>
        <w:t xml:space="preserve">health related </w:t>
      </w:r>
      <w:r w:rsidR="007617B2" w:rsidRPr="004E78FE">
        <w:rPr>
          <w:lang w:val="en-US"/>
        </w:rPr>
        <w:t>activities must include:</w:t>
      </w:r>
    </w:p>
    <w:p w14:paraId="6464CB66" w14:textId="77777777" w:rsidR="00464224" w:rsidRDefault="007617B2" w:rsidP="003538C5">
      <w:pPr>
        <w:pStyle w:val="NoSpacing"/>
        <w:numPr>
          <w:ilvl w:val="0"/>
          <w:numId w:val="25"/>
        </w:numPr>
        <w:rPr>
          <w:lang w:val="en-US"/>
        </w:rPr>
      </w:pPr>
      <w:r w:rsidRPr="004E78FE">
        <w:rPr>
          <w:lang w:val="en-US"/>
        </w:rPr>
        <w:t>SDP in-service training on integrated service delivery for rights-based</w:t>
      </w:r>
      <w:r w:rsidR="00464224">
        <w:rPr>
          <w:lang w:val="en-US"/>
        </w:rPr>
        <w:t xml:space="preserve"> </w:t>
      </w:r>
      <w:r w:rsidRPr="004E78FE">
        <w:rPr>
          <w:lang w:val="en-US"/>
        </w:rPr>
        <w:t>SRH to international standards</w:t>
      </w:r>
      <w:r w:rsidR="00464224">
        <w:rPr>
          <w:lang w:val="en-US"/>
        </w:rPr>
        <w:t>;</w:t>
      </w:r>
      <w:r w:rsidRPr="004E78FE">
        <w:rPr>
          <w:lang w:val="en-US"/>
        </w:rPr>
        <w:t xml:space="preserve"> </w:t>
      </w:r>
    </w:p>
    <w:p w14:paraId="09DC0184" w14:textId="77777777" w:rsidR="000F7030" w:rsidRDefault="000F7030" w:rsidP="000F7030">
      <w:pPr>
        <w:pStyle w:val="NoSpacing"/>
        <w:numPr>
          <w:ilvl w:val="0"/>
          <w:numId w:val="25"/>
        </w:numPr>
        <w:rPr>
          <w:lang w:val="en-US"/>
        </w:rPr>
      </w:pPr>
      <w:r>
        <w:rPr>
          <w:lang w:val="en-US"/>
        </w:rPr>
        <w:t>SDP in-service training on LARCS, EC, and FP counseling</w:t>
      </w:r>
    </w:p>
    <w:p w14:paraId="5832E949" w14:textId="77777777" w:rsidR="00464224" w:rsidRDefault="001D73C2" w:rsidP="003538C5">
      <w:pPr>
        <w:pStyle w:val="NoSpacing"/>
        <w:numPr>
          <w:ilvl w:val="0"/>
          <w:numId w:val="25"/>
        </w:numPr>
        <w:rPr>
          <w:lang w:val="en-US"/>
        </w:rPr>
      </w:pPr>
      <w:r w:rsidRPr="00464224">
        <w:rPr>
          <w:lang w:val="en-US"/>
        </w:rPr>
        <w:t>FP method mix</w:t>
      </w:r>
      <w:r w:rsidR="00464224" w:rsidRPr="00464224">
        <w:rPr>
          <w:lang w:val="en-US"/>
        </w:rPr>
        <w:t xml:space="preserve"> and </w:t>
      </w:r>
      <w:r w:rsidR="00464224">
        <w:rPr>
          <w:lang w:val="en-US"/>
        </w:rPr>
        <w:t>r</w:t>
      </w:r>
      <w:r w:rsidR="007617B2" w:rsidRPr="00464224">
        <w:rPr>
          <w:lang w:val="en-US"/>
        </w:rPr>
        <w:t>eliable FP commodity supply to SDPs, including LARCs and EC;</w:t>
      </w:r>
    </w:p>
    <w:p w14:paraId="342C8889" w14:textId="77777777" w:rsidR="00464224" w:rsidRDefault="000F7030" w:rsidP="003538C5">
      <w:pPr>
        <w:pStyle w:val="NoSpacing"/>
        <w:numPr>
          <w:ilvl w:val="0"/>
          <w:numId w:val="25"/>
        </w:numPr>
        <w:rPr>
          <w:lang w:val="en-US"/>
        </w:rPr>
      </w:pPr>
      <w:r>
        <w:rPr>
          <w:lang w:val="en-US"/>
        </w:rPr>
        <w:t>SDP in-service training on</w:t>
      </w:r>
      <w:r w:rsidR="00464224">
        <w:rPr>
          <w:lang w:val="en-US"/>
        </w:rPr>
        <w:t xml:space="preserve"> </w:t>
      </w:r>
      <w:r>
        <w:rPr>
          <w:lang w:val="en-US"/>
        </w:rPr>
        <w:t>y</w:t>
      </w:r>
      <w:r w:rsidR="007617B2" w:rsidRPr="00464224">
        <w:rPr>
          <w:lang w:val="en-US"/>
        </w:rPr>
        <w:t>outh-friendly service provision;</w:t>
      </w:r>
      <w:r w:rsidR="00464224">
        <w:rPr>
          <w:lang w:val="en-US"/>
        </w:rPr>
        <w:t xml:space="preserve"> GBV care and disability inclusive services; </w:t>
      </w:r>
    </w:p>
    <w:p w14:paraId="2B7EC2A4" w14:textId="77777777" w:rsidR="00464224" w:rsidRDefault="00464224" w:rsidP="003538C5">
      <w:pPr>
        <w:pStyle w:val="NoSpacing"/>
        <w:numPr>
          <w:ilvl w:val="0"/>
          <w:numId w:val="25"/>
        </w:numPr>
        <w:rPr>
          <w:lang w:val="en-US"/>
        </w:rPr>
      </w:pPr>
      <w:r>
        <w:rPr>
          <w:lang w:val="en-US"/>
        </w:rPr>
        <w:t>E</w:t>
      </w:r>
      <w:r w:rsidR="007617B2" w:rsidRPr="00464224">
        <w:rPr>
          <w:lang w:val="en-US"/>
        </w:rPr>
        <w:t xml:space="preserve">ffective </w:t>
      </w:r>
      <w:r w:rsidR="00CF7240" w:rsidRPr="00464224">
        <w:rPr>
          <w:lang w:val="en-US"/>
        </w:rPr>
        <w:t xml:space="preserve">FP </w:t>
      </w:r>
      <w:r w:rsidR="007617B2" w:rsidRPr="00464224">
        <w:rPr>
          <w:lang w:val="en-US"/>
        </w:rPr>
        <w:t>BCC on a national scale</w:t>
      </w:r>
      <w:r w:rsidR="00BC59B0">
        <w:rPr>
          <w:lang w:val="en-US"/>
        </w:rPr>
        <w:t xml:space="preserve"> which is culturally appropriate for each country</w:t>
      </w:r>
      <w:r w:rsidR="007617B2" w:rsidRPr="00464224">
        <w:rPr>
          <w:lang w:val="en-US"/>
        </w:rPr>
        <w:t>;</w:t>
      </w:r>
    </w:p>
    <w:p w14:paraId="38FDE35F" w14:textId="77777777" w:rsidR="00464224" w:rsidRDefault="00464224" w:rsidP="003538C5">
      <w:pPr>
        <w:pStyle w:val="NoSpacing"/>
        <w:numPr>
          <w:ilvl w:val="0"/>
          <w:numId w:val="25"/>
        </w:numPr>
        <w:rPr>
          <w:lang w:val="en-US"/>
        </w:rPr>
      </w:pPr>
      <w:r>
        <w:rPr>
          <w:lang w:val="en-US"/>
        </w:rPr>
        <w:t>S</w:t>
      </w:r>
      <w:r w:rsidR="007617B2" w:rsidRPr="00464224">
        <w:rPr>
          <w:lang w:val="en-US"/>
        </w:rPr>
        <w:t>trengthening the MOH HIS</w:t>
      </w:r>
      <w:r w:rsidR="000F7030">
        <w:rPr>
          <w:lang w:val="en-US"/>
        </w:rPr>
        <w:t xml:space="preserve">, especially to track FP/SRH service </w:t>
      </w:r>
      <w:proofErr w:type="spellStart"/>
      <w:r w:rsidR="000F7030">
        <w:rPr>
          <w:lang w:val="en-US"/>
        </w:rPr>
        <w:t>utilisation</w:t>
      </w:r>
      <w:proofErr w:type="spellEnd"/>
      <w:r w:rsidR="007617B2" w:rsidRPr="00464224">
        <w:rPr>
          <w:lang w:val="en-US"/>
        </w:rPr>
        <w:t>;</w:t>
      </w:r>
    </w:p>
    <w:p w14:paraId="7F088C86" w14:textId="77777777" w:rsidR="00464224" w:rsidRDefault="007617B2" w:rsidP="003538C5">
      <w:pPr>
        <w:pStyle w:val="NoSpacing"/>
        <w:numPr>
          <w:ilvl w:val="0"/>
          <w:numId w:val="25"/>
        </w:numPr>
        <w:rPr>
          <w:lang w:val="en-US"/>
        </w:rPr>
      </w:pPr>
      <w:r w:rsidRPr="00464224">
        <w:rPr>
          <w:lang w:val="en-US"/>
        </w:rPr>
        <w:t>Comprehensive Sexuality Education (CSE) and information/awareness for out of school youth;</w:t>
      </w:r>
      <w:r w:rsidR="00464224">
        <w:rPr>
          <w:lang w:val="en-US"/>
        </w:rPr>
        <w:t xml:space="preserve"> and</w:t>
      </w:r>
    </w:p>
    <w:p w14:paraId="0603E8CB" w14:textId="77777777" w:rsidR="00464224" w:rsidRDefault="007617B2" w:rsidP="003538C5">
      <w:pPr>
        <w:pStyle w:val="NoSpacing"/>
        <w:numPr>
          <w:ilvl w:val="0"/>
          <w:numId w:val="25"/>
        </w:numPr>
        <w:rPr>
          <w:lang w:val="en-US"/>
        </w:rPr>
      </w:pPr>
      <w:r w:rsidRPr="00464224">
        <w:rPr>
          <w:lang w:val="en-US"/>
        </w:rPr>
        <w:t>Family Life Education (FLE) for in-school students</w:t>
      </w:r>
      <w:r w:rsidR="00464224">
        <w:rPr>
          <w:lang w:val="en-US"/>
        </w:rPr>
        <w:t>.</w:t>
      </w:r>
    </w:p>
    <w:p w14:paraId="5F066DD0" w14:textId="77777777" w:rsidR="00464224" w:rsidRDefault="00464224" w:rsidP="00464224">
      <w:pPr>
        <w:pStyle w:val="NoSpacing"/>
        <w:rPr>
          <w:lang w:val="en-US"/>
        </w:rPr>
      </w:pPr>
    </w:p>
    <w:p w14:paraId="14AFBC00" w14:textId="77777777" w:rsidR="001162BD" w:rsidRDefault="00410C3B" w:rsidP="00464224">
      <w:pPr>
        <w:pStyle w:val="NoSpacing"/>
        <w:rPr>
          <w:lang w:val="en-US"/>
        </w:rPr>
      </w:pPr>
      <w:r>
        <w:rPr>
          <w:lang w:val="en-US"/>
        </w:rPr>
        <w:t xml:space="preserve">The </w:t>
      </w:r>
      <w:r w:rsidR="000F7030">
        <w:rPr>
          <w:lang w:val="en-US"/>
        </w:rPr>
        <w:t xml:space="preserve">TA </w:t>
      </w:r>
      <w:r w:rsidR="0068124F">
        <w:rPr>
          <w:lang w:val="en-US"/>
        </w:rPr>
        <w:t xml:space="preserve">PDD </w:t>
      </w:r>
      <w:r>
        <w:rPr>
          <w:lang w:val="en-US"/>
        </w:rPr>
        <w:t>provides for collaboration with partners supporting the MOH HIS to ensure that FP/SRH data is collected</w:t>
      </w:r>
      <w:r w:rsidR="0016640D">
        <w:rPr>
          <w:lang w:val="en-US"/>
        </w:rPr>
        <w:t xml:space="preserve"> and</w:t>
      </w:r>
      <w:r>
        <w:rPr>
          <w:lang w:val="en-US"/>
        </w:rPr>
        <w:t xml:space="preserve"> disaggregated by gender, age, sub-national level and disability. Initial HIS assessments should have established what data is already collected by the respective HIS in the development of the M</w:t>
      </w:r>
      <w:r w:rsidR="000F7030">
        <w:rPr>
          <w:lang w:val="en-US"/>
        </w:rPr>
        <w:t>EF</w:t>
      </w:r>
      <w:r>
        <w:rPr>
          <w:lang w:val="en-US"/>
        </w:rPr>
        <w:t xml:space="preserve">; and to strengthen the capacity of health workers at all levels to collect, report, </w:t>
      </w:r>
      <w:proofErr w:type="spellStart"/>
      <w:r>
        <w:rPr>
          <w:lang w:val="en-US"/>
        </w:rPr>
        <w:t>analyse</w:t>
      </w:r>
      <w:proofErr w:type="spellEnd"/>
      <w:r>
        <w:rPr>
          <w:lang w:val="en-US"/>
        </w:rPr>
        <w:t xml:space="preserve"> and use data to track FP/SRH progress. Close </w:t>
      </w:r>
      <w:r w:rsidR="0016640D">
        <w:rPr>
          <w:lang w:val="en-US"/>
        </w:rPr>
        <w:t xml:space="preserve">collaboration and coordination </w:t>
      </w:r>
      <w:r w:rsidR="0068124F">
        <w:rPr>
          <w:lang w:val="en-US"/>
        </w:rPr>
        <w:t xml:space="preserve">is needed </w:t>
      </w:r>
      <w:r>
        <w:rPr>
          <w:lang w:val="en-US"/>
        </w:rPr>
        <w:t xml:space="preserve">with </w:t>
      </w:r>
      <w:r w:rsidR="000F7030">
        <w:rPr>
          <w:lang w:val="en-US"/>
        </w:rPr>
        <w:t xml:space="preserve">the World Health </w:t>
      </w:r>
      <w:proofErr w:type="spellStart"/>
      <w:r w:rsidR="000F7030">
        <w:rPr>
          <w:lang w:val="en-US"/>
        </w:rPr>
        <w:t>Organisation</w:t>
      </w:r>
      <w:proofErr w:type="spellEnd"/>
      <w:r w:rsidR="000F7030">
        <w:rPr>
          <w:lang w:val="en-US"/>
        </w:rPr>
        <w:t xml:space="preserve"> (</w:t>
      </w:r>
      <w:r>
        <w:rPr>
          <w:lang w:val="en-US"/>
        </w:rPr>
        <w:t>WHO</w:t>
      </w:r>
      <w:r w:rsidR="000F7030">
        <w:rPr>
          <w:lang w:val="en-US"/>
        </w:rPr>
        <w:t>)</w:t>
      </w:r>
      <w:r w:rsidR="00291D46">
        <w:rPr>
          <w:lang w:val="en-US"/>
        </w:rPr>
        <w:t>,</w:t>
      </w:r>
      <w:r>
        <w:rPr>
          <w:lang w:val="en-US"/>
        </w:rPr>
        <w:t xml:space="preserve"> </w:t>
      </w:r>
      <w:r w:rsidR="0016640D">
        <w:rPr>
          <w:lang w:val="en-US"/>
        </w:rPr>
        <w:t>w</w:t>
      </w:r>
      <w:r w:rsidR="00291D46">
        <w:rPr>
          <w:lang w:val="en-US"/>
        </w:rPr>
        <w:t xml:space="preserve">hich is active in supporting </w:t>
      </w:r>
      <w:r>
        <w:rPr>
          <w:lang w:val="en-US"/>
        </w:rPr>
        <w:t xml:space="preserve">the MOH HIS in the six </w:t>
      </w:r>
      <w:r w:rsidR="00D61CD6">
        <w:rPr>
          <w:lang w:val="en-US"/>
        </w:rPr>
        <w:t xml:space="preserve">TA </w:t>
      </w:r>
      <w:r>
        <w:rPr>
          <w:lang w:val="en-US"/>
        </w:rPr>
        <w:t>countries (often through the DFAT bilateral health programs)</w:t>
      </w:r>
      <w:r w:rsidR="0016640D">
        <w:rPr>
          <w:lang w:val="en-US"/>
        </w:rPr>
        <w:t xml:space="preserve">. </w:t>
      </w:r>
      <w:r>
        <w:rPr>
          <w:lang w:val="en-US"/>
        </w:rPr>
        <w:t xml:space="preserve">  </w:t>
      </w:r>
    </w:p>
    <w:p w14:paraId="34CC1402" w14:textId="77777777" w:rsidR="001162BD" w:rsidRDefault="001162BD" w:rsidP="00464224">
      <w:pPr>
        <w:pStyle w:val="NoSpacing"/>
        <w:rPr>
          <w:lang w:val="en-US"/>
        </w:rPr>
      </w:pPr>
    </w:p>
    <w:p w14:paraId="1428598F" w14:textId="77777777" w:rsidR="00C4787B" w:rsidRPr="00464224" w:rsidRDefault="00291D46" w:rsidP="00464224">
      <w:pPr>
        <w:pStyle w:val="NoSpacing"/>
        <w:rPr>
          <w:lang w:val="en-US"/>
        </w:rPr>
      </w:pPr>
      <w:r>
        <w:rPr>
          <w:lang w:val="en-US"/>
        </w:rPr>
        <w:t>Enabling environment work, such as a</w:t>
      </w:r>
      <w:r w:rsidR="007617B2" w:rsidRPr="00464224">
        <w:rPr>
          <w:lang w:val="en-US"/>
        </w:rPr>
        <w:t xml:space="preserve">dvocacy </w:t>
      </w:r>
      <w:r w:rsidR="00C4787B" w:rsidRPr="00464224">
        <w:rPr>
          <w:lang w:val="en-US"/>
        </w:rPr>
        <w:t xml:space="preserve">to promote FP/SRH as a vital women’s health issue, and to ease restrictions on various contraceptive methods such as ECs, should continue.  Policy work, (such as cervical cancer </w:t>
      </w:r>
      <w:r w:rsidR="00C4787B" w:rsidRPr="00464224">
        <w:rPr>
          <w:lang w:val="en-US"/>
        </w:rPr>
        <w:lastRenderedPageBreak/>
        <w:t>policy development where this has not yet been done), and the development of new strategies and protocols, should only be considered if requested by MOH and if the investment will clearly and directly contribute to improved SRHR/FP.  An inventory of existing SRH guidelines, tools</w:t>
      </w:r>
      <w:r>
        <w:rPr>
          <w:lang w:val="en-US"/>
        </w:rPr>
        <w:t xml:space="preserve"> and</w:t>
      </w:r>
      <w:r w:rsidR="00C4787B" w:rsidRPr="00464224">
        <w:rPr>
          <w:lang w:val="en-US"/>
        </w:rPr>
        <w:t xml:space="preserve"> training manuals</w:t>
      </w:r>
      <w:r>
        <w:rPr>
          <w:lang w:val="en-US"/>
        </w:rPr>
        <w:t xml:space="preserve"> is needed. A</w:t>
      </w:r>
      <w:r w:rsidR="0034605A" w:rsidRPr="00464224">
        <w:rPr>
          <w:lang w:val="en-US"/>
        </w:rPr>
        <w:t>n</w:t>
      </w:r>
      <w:r w:rsidR="00C4787B" w:rsidRPr="00464224">
        <w:rPr>
          <w:lang w:val="en-US"/>
        </w:rPr>
        <w:t xml:space="preserve"> acceleration strategy is needed to ensure a ‘supply’ of integrated FP/SRH services</w:t>
      </w:r>
      <w:r>
        <w:rPr>
          <w:lang w:val="en-US"/>
        </w:rPr>
        <w:t xml:space="preserve"> </w:t>
      </w:r>
      <w:r w:rsidR="00C4787B" w:rsidRPr="00464224">
        <w:rPr>
          <w:lang w:val="en-US"/>
        </w:rPr>
        <w:t>and needs to be carefully planned in conjunction with the demand generation</w:t>
      </w:r>
      <w:r>
        <w:rPr>
          <w:lang w:val="en-US"/>
        </w:rPr>
        <w:t xml:space="preserve"> and </w:t>
      </w:r>
      <w:r w:rsidR="00C4787B" w:rsidRPr="00464224">
        <w:rPr>
          <w:lang w:val="en-US"/>
        </w:rPr>
        <w:t xml:space="preserve">promotion of FP/SRH services. </w:t>
      </w:r>
      <w:r w:rsidR="006933CF">
        <w:rPr>
          <w:lang w:val="en-US"/>
        </w:rPr>
        <w:t>FP commodities personnel and program staff must be included in national steering committee planning.</w:t>
      </w:r>
      <w:r w:rsidR="00C4787B" w:rsidRPr="00464224">
        <w:rPr>
          <w:lang w:val="en-US"/>
        </w:rPr>
        <w:t xml:space="preserve"> </w:t>
      </w:r>
    </w:p>
    <w:p w14:paraId="6B008BB4" w14:textId="77777777" w:rsidR="005828DC" w:rsidRDefault="005828DC" w:rsidP="005828DC">
      <w:pPr>
        <w:pStyle w:val="NoSpacing"/>
      </w:pPr>
    </w:p>
    <w:p w14:paraId="0EFC608B" w14:textId="77777777" w:rsidR="00126B38" w:rsidRDefault="00D43E81" w:rsidP="002F26D7">
      <w:pPr>
        <w:pStyle w:val="NoSpacing"/>
        <w:rPr>
          <w:lang w:val="en-US"/>
        </w:rPr>
      </w:pPr>
      <w:r w:rsidRPr="00D43E81">
        <w:rPr>
          <w:b/>
          <w:bCs/>
          <w:i/>
          <w:iCs/>
        </w:rPr>
        <w:t>Recommendation</w:t>
      </w:r>
      <w:r w:rsidR="007C04A0">
        <w:rPr>
          <w:b/>
          <w:bCs/>
          <w:i/>
          <w:iCs/>
        </w:rPr>
        <w:t xml:space="preserve"> 1</w:t>
      </w:r>
      <w:r w:rsidRPr="00D43E81">
        <w:rPr>
          <w:b/>
          <w:bCs/>
          <w:i/>
          <w:iCs/>
        </w:rPr>
        <w:t>:</w:t>
      </w:r>
      <w:r>
        <w:rPr>
          <w:b/>
          <w:bCs/>
          <w:i/>
          <w:iCs/>
        </w:rPr>
        <w:t xml:space="preserve"> </w:t>
      </w:r>
      <w:r w:rsidR="007338E0">
        <w:t xml:space="preserve">Strengthen and support </w:t>
      </w:r>
      <w:proofErr w:type="spellStart"/>
      <w:r w:rsidR="007338E0">
        <w:t>i</w:t>
      </w:r>
      <w:r>
        <w:rPr>
          <w:lang w:val="en-US"/>
        </w:rPr>
        <w:t>ntersectoral</w:t>
      </w:r>
      <w:proofErr w:type="spellEnd"/>
      <w:r>
        <w:rPr>
          <w:lang w:val="en-US"/>
        </w:rPr>
        <w:t xml:space="preserve"> N</w:t>
      </w:r>
      <w:r w:rsidRPr="0001440E">
        <w:rPr>
          <w:lang w:val="en-US"/>
        </w:rPr>
        <w:t xml:space="preserve">ational </w:t>
      </w:r>
      <w:r>
        <w:rPr>
          <w:lang w:val="en-US"/>
        </w:rPr>
        <w:t xml:space="preserve">Health Sector Committees, </w:t>
      </w:r>
      <w:r w:rsidRPr="0001440E">
        <w:rPr>
          <w:lang w:val="en-US"/>
        </w:rPr>
        <w:t>SRH Committee</w:t>
      </w:r>
      <w:r>
        <w:rPr>
          <w:lang w:val="en-US"/>
        </w:rPr>
        <w:t>s</w:t>
      </w:r>
      <w:r w:rsidRPr="0001440E">
        <w:rPr>
          <w:lang w:val="en-US"/>
        </w:rPr>
        <w:t xml:space="preserve"> or Reproductive, Maternal, Ne</w:t>
      </w:r>
      <w:r>
        <w:rPr>
          <w:lang w:val="en-US"/>
        </w:rPr>
        <w:t>wborn</w:t>
      </w:r>
      <w:r w:rsidRPr="0001440E">
        <w:rPr>
          <w:lang w:val="en-US"/>
        </w:rPr>
        <w:t>, Child, Adolescent Health (RMNCAH) Committee</w:t>
      </w:r>
      <w:r>
        <w:rPr>
          <w:lang w:val="en-US"/>
        </w:rPr>
        <w:t>s to maintain the role of planning and coordination for priority, needs-based FP/SRH activities across sectors</w:t>
      </w:r>
      <w:r w:rsidR="00464224">
        <w:rPr>
          <w:lang w:val="en-US"/>
        </w:rPr>
        <w:t xml:space="preserve"> (as outlined above)</w:t>
      </w:r>
      <w:r>
        <w:rPr>
          <w:lang w:val="en-US"/>
        </w:rPr>
        <w:t xml:space="preserve">. This may require hiring a temporary </w:t>
      </w:r>
      <w:r w:rsidR="00291D46">
        <w:rPr>
          <w:lang w:val="en-US"/>
        </w:rPr>
        <w:t xml:space="preserve">TA </w:t>
      </w:r>
      <w:r>
        <w:rPr>
          <w:lang w:val="en-US"/>
        </w:rPr>
        <w:t>Program Coordinator,</w:t>
      </w:r>
      <w:r w:rsidR="0068124F">
        <w:rPr>
          <w:lang w:val="en-US"/>
        </w:rPr>
        <w:t xml:space="preserve"> or other Support Staff, </w:t>
      </w:r>
      <w:r>
        <w:rPr>
          <w:lang w:val="en-US"/>
        </w:rPr>
        <w:t xml:space="preserve">contracted through the MOH using TA funds. PSRO should continue the consultations with MOHs in this regard and ensure that </w:t>
      </w:r>
      <w:r w:rsidR="007617B2">
        <w:rPr>
          <w:lang w:val="en-US"/>
        </w:rPr>
        <w:t xml:space="preserve">MOH </w:t>
      </w:r>
      <w:r>
        <w:rPr>
          <w:lang w:val="en-US"/>
        </w:rPr>
        <w:t xml:space="preserve">planned FP/SRH activities are part of </w:t>
      </w:r>
      <w:r w:rsidR="007617B2">
        <w:rPr>
          <w:lang w:val="en-US"/>
        </w:rPr>
        <w:t xml:space="preserve">TA </w:t>
      </w:r>
      <w:r>
        <w:rPr>
          <w:lang w:val="en-US"/>
        </w:rPr>
        <w:t>workplans. MOHs would be responsible for contracting any SRs</w:t>
      </w:r>
      <w:r w:rsidR="007617B2">
        <w:rPr>
          <w:lang w:val="en-US"/>
        </w:rPr>
        <w:t>,</w:t>
      </w:r>
      <w:r>
        <w:rPr>
          <w:lang w:val="en-US"/>
        </w:rPr>
        <w:t xml:space="preserve"> and for data collection</w:t>
      </w:r>
      <w:r w:rsidR="007338E0">
        <w:rPr>
          <w:lang w:val="en-US"/>
        </w:rPr>
        <w:t xml:space="preserve"> and reporting</w:t>
      </w:r>
      <w:r>
        <w:rPr>
          <w:lang w:val="en-US"/>
        </w:rPr>
        <w:t xml:space="preserve">. </w:t>
      </w:r>
      <w:r w:rsidR="00CA69CB">
        <w:rPr>
          <w:lang w:val="en-US"/>
        </w:rPr>
        <w:t xml:space="preserve">Proposed </w:t>
      </w:r>
      <w:r w:rsidR="0068124F">
        <w:rPr>
          <w:lang w:val="en-US"/>
        </w:rPr>
        <w:t xml:space="preserve">non-health </w:t>
      </w:r>
      <w:r w:rsidR="00CA69CB">
        <w:rPr>
          <w:lang w:val="en-US"/>
        </w:rPr>
        <w:t>activities of o</w:t>
      </w:r>
      <w:r>
        <w:rPr>
          <w:lang w:val="en-US"/>
        </w:rPr>
        <w:t xml:space="preserve">ther Ministries </w:t>
      </w:r>
      <w:proofErr w:type="gramStart"/>
      <w:r>
        <w:rPr>
          <w:lang w:val="en-US"/>
        </w:rPr>
        <w:t>e.g.</w:t>
      </w:r>
      <w:proofErr w:type="gramEnd"/>
      <w:r>
        <w:rPr>
          <w:lang w:val="en-US"/>
        </w:rPr>
        <w:t xml:space="preserve"> </w:t>
      </w:r>
      <w:r w:rsidR="000C138F">
        <w:rPr>
          <w:lang w:val="en-US"/>
        </w:rPr>
        <w:t xml:space="preserve">in the </w:t>
      </w:r>
      <w:r>
        <w:rPr>
          <w:lang w:val="en-US"/>
        </w:rPr>
        <w:t>Education, Women</w:t>
      </w:r>
      <w:r w:rsidR="000C138F">
        <w:rPr>
          <w:lang w:val="en-US"/>
        </w:rPr>
        <w:t>’s</w:t>
      </w:r>
      <w:r>
        <w:rPr>
          <w:lang w:val="en-US"/>
        </w:rPr>
        <w:t xml:space="preserve"> and Youth </w:t>
      </w:r>
      <w:r w:rsidR="000C138F">
        <w:rPr>
          <w:lang w:val="en-US"/>
        </w:rPr>
        <w:t xml:space="preserve">sectors </w:t>
      </w:r>
      <w:r>
        <w:rPr>
          <w:lang w:val="en-US"/>
        </w:rPr>
        <w:t xml:space="preserve">could be included in </w:t>
      </w:r>
      <w:r w:rsidR="00CA69CB">
        <w:rPr>
          <w:lang w:val="en-US"/>
        </w:rPr>
        <w:t>multisectoral planning but with their own workplans and</w:t>
      </w:r>
      <w:r w:rsidR="00D61CD6">
        <w:rPr>
          <w:lang w:val="en-US"/>
        </w:rPr>
        <w:t xml:space="preserve"> </w:t>
      </w:r>
      <w:r>
        <w:rPr>
          <w:lang w:val="en-US"/>
        </w:rPr>
        <w:t xml:space="preserve">with disbursement of TA funds through </w:t>
      </w:r>
      <w:r w:rsidR="00EF466A">
        <w:rPr>
          <w:lang w:val="en-US"/>
        </w:rPr>
        <w:t>the usual channels</w:t>
      </w:r>
      <w:r w:rsidR="00291D46">
        <w:rPr>
          <w:lang w:val="en-US"/>
        </w:rPr>
        <w:t xml:space="preserve"> (</w:t>
      </w:r>
      <w:r w:rsidR="00CA69CB">
        <w:rPr>
          <w:lang w:val="en-US"/>
        </w:rPr>
        <w:t>I.e. through government systems</w:t>
      </w:r>
      <w:r w:rsidR="00291D46">
        <w:rPr>
          <w:lang w:val="en-US"/>
        </w:rPr>
        <w:t>)</w:t>
      </w:r>
      <w:r>
        <w:rPr>
          <w:lang w:val="en-US"/>
        </w:rPr>
        <w:t xml:space="preserve">. </w:t>
      </w:r>
      <w:bookmarkStart w:id="24" w:name="_Hlk51684800"/>
    </w:p>
    <w:p w14:paraId="03107A8F" w14:textId="77777777" w:rsidR="00A435C8" w:rsidRDefault="00A435C8" w:rsidP="002F26D7">
      <w:pPr>
        <w:pStyle w:val="NoSpacing"/>
        <w:rPr>
          <w:lang w:val="en-US"/>
        </w:rPr>
      </w:pPr>
    </w:p>
    <w:p w14:paraId="2A3A6D0F" w14:textId="77777777" w:rsidR="00DE7523" w:rsidRDefault="00DE7523" w:rsidP="00DE7523">
      <w:pPr>
        <w:pStyle w:val="NoSpacing"/>
        <w:rPr>
          <w:lang w:val="en-US"/>
        </w:rPr>
      </w:pPr>
      <w:r w:rsidRPr="00DE7523">
        <w:rPr>
          <w:b/>
          <w:bCs/>
          <w:i/>
          <w:iCs/>
          <w:lang w:val="en-US"/>
        </w:rPr>
        <w:t>Recommendation</w:t>
      </w:r>
      <w:r w:rsidR="000E2432">
        <w:rPr>
          <w:b/>
          <w:bCs/>
          <w:i/>
          <w:iCs/>
          <w:lang w:val="en-US"/>
        </w:rPr>
        <w:t xml:space="preserve"> </w:t>
      </w:r>
      <w:r w:rsidR="004B7225">
        <w:rPr>
          <w:b/>
          <w:bCs/>
          <w:i/>
          <w:iCs/>
          <w:lang w:val="en-US"/>
        </w:rPr>
        <w:t>10</w:t>
      </w:r>
      <w:r w:rsidRPr="00DE7523">
        <w:rPr>
          <w:b/>
          <w:bCs/>
          <w:i/>
          <w:iCs/>
          <w:lang w:val="en-US"/>
        </w:rPr>
        <w:t>:</w:t>
      </w:r>
      <w:r w:rsidRPr="00DE7523">
        <w:rPr>
          <w:b/>
          <w:bCs/>
          <w:lang w:val="en-US"/>
        </w:rPr>
        <w:t xml:space="preserve"> </w:t>
      </w:r>
      <w:r w:rsidR="000E2432">
        <w:t>PSRO in-country staff be tasked with c</w:t>
      </w:r>
      <w:r>
        <w:t>ompil</w:t>
      </w:r>
      <w:r w:rsidR="000E2432">
        <w:t>ing</w:t>
      </w:r>
      <w:r>
        <w:t xml:space="preserve"> </w:t>
      </w:r>
      <w:r w:rsidRPr="00497F38">
        <w:t xml:space="preserve">an inventory of </w:t>
      </w:r>
      <w:r>
        <w:t xml:space="preserve">local </w:t>
      </w:r>
      <w:r w:rsidRPr="00497F38">
        <w:t xml:space="preserve">SRH resources, guidelines, policies and training courses related to FP/SRH </w:t>
      </w:r>
      <w:r w:rsidR="008A02D5">
        <w:t xml:space="preserve">that </w:t>
      </w:r>
      <w:r w:rsidRPr="00497F38">
        <w:t>already exist in the health sector (MOH, MAs</w:t>
      </w:r>
      <w:r>
        <w:t>, CSOs</w:t>
      </w:r>
      <w:r w:rsidRPr="00497F38">
        <w:t>), as well as in the education, women’s and youth sectors</w:t>
      </w:r>
      <w:r w:rsidR="008A02D5">
        <w:t xml:space="preserve">; </w:t>
      </w:r>
      <w:r w:rsidR="00D61CD6">
        <w:t xml:space="preserve">and </w:t>
      </w:r>
      <w:r w:rsidR="008A02D5">
        <w:t>a</w:t>
      </w:r>
      <w:r>
        <w:t>ssess the extent to which these resources meet international standards and consider the feasibility of immediate use.</w:t>
      </w:r>
    </w:p>
    <w:p w14:paraId="1E769944" w14:textId="77777777" w:rsidR="00A435C8" w:rsidRDefault="00A435C8" w:rsidP="002F26D7">
      <w:pPr>
        <w:pStyle w:val="NoSpacing"/>
        <w:rPr>
          <w:lang w:val="en-US"/>
        </w:rPr>
      </w:pPr>
    </w:p>
    <w:p w14:paraId="46E294C1" w14:textId="77777777" w:rsidR="007338E0" w:rsidRDefault="007338E0" w:rsidP="003538C5">
      <w:pPr>
        <w:pStyle w:val="Level2Heading"/>
        <w:numPr>
          <w:ilvl w:val="1"/>
          <w:numId w:val="27"/>
        </w:numPr>
        <w:outlineLvl w:val="1"/>
        <w:rPr>
          <w:lang w:val="en-US"/>
        </w:rPr>
      </w:pPr>
      <w:bookmarkStart w:id="25" w:name="_Toc76630089"/>
      <w:r>
        <w:rPr>
          <w:lang w:val="en-US"/>
        </w:rPr>
        <w:t>Family Planning Commodities</w:t>
      </w:r>
      <w:bookmarkEnd w:id="25"/>
    </w:p>
    <w:p w14:paraId="7D717BCA" w14:textId="77777777" w:rsidR="00531327" w:rsidRDefault="00047056" w:rsidP="002F26D7">
      <w:pPr>
        <w:pStyle w:val="NoSpacing"/>
        <w:rPr>
          <w:lang w:val="en-US"/>
        </w:rPr>
      </w:pPr>
      <w:r>
        <w:rPr>
          <w:lang w:val="en-US"/>
        </w:rPr>
        <w:t xml:space="preserve">The HFRSA assessments </w:t>
      </w:r>
      <w:r w:rsidR="000259BE">
        <w:rPr>
          <w:lang w:val="en-US"/>
        </w:rPr>
        <w:t>and analysis of the results of the Supplies Program</w:t>
      </w:r>
      <w:r w:rsidR="00366D05">
        <w:rPr>
          <w:lang w:val="en-US"/>
        </w:rPr>
        <w:t>,</w:t>
      </w:r>
      <w:r w:rsidR="000259BE">
        <w:rPr>
          <w:lang w:val="en-US"/>
        </w:rPr>
        <w:t xml:space="preserve"> </w:t>
      </w:r>
      <w:r>
        <w:rPr>
          <w:lang w:val="en-US"/>
        </w:rPr>
        <w:t xml:space="preserve">highlight the problem of stockouts of </w:t>
      </w:r>
      <w:r w:rsidRPr="007338E0">
        <w:rPr>
          <w:lang w:val="en-US"/>
        </w:rPr>
        <w:t>FP commodities</w:t>
      </w:r>
      <w:r>
        <w:rPr>
          <w:lang w:val="en-US"/>
        </w:rPr>
        <w:t xml:space="preserve"> with </w:t>
      </w:r>
      <w:r w:rsidR="00531327">
        <w:rPr>
          <w:lang w:val="en-US"/>
        </w:rPr>
        <w:t>36</w:t>
      </w:r>
      <w:r>
        <w:rPr>
          <w:lang w:val="en-US"/>
        </w:rPr>
        <w:t>-80% of SDPs experiencing stockouts in the 6 months</w:t>
      </w:r>
      <w:r w:rsidR="00531327">
        <w:rPr>
          <w:lang w:val="en-US"/>
        </w:rPr>
        <w:t xml:space="preserve"> prior to the survey</w:t>
      </w:r>
      <w:r w:rsidR="00531327">
        <w:rPr>
          <w:rStyle w:val="FootnoteReference"/>
          <w:lang w:val="en-US"/>
        </w:rPr>
        <w:footnoteReference w:id="18"/>
      </w:r>
      <w:r>
        <w:rPr>
          <w:lang w:val="en-US"/>
        </w:rPr>
        <w:t xml:space="preserve">. These were caused by problems with reliable/timely delivery </w:t>
      </w:r>
      <w:r w:rsidR="000A7F9C">
        <w:rPr>
          <w:lang w:val="en-US"/>
        </w:rPr>
        <w:t>by</w:t>
      </w:r>
      <w:r>
        <w:rPr>
          <w:lang w:val="en-US"/>
        </w:rPr>
        <w:t xml:space="preserve"> suppliers (particularly during the COVID-19 pandemic); difficulties getting supplies down to the SDP level; and failure of SDP staff to complete order forms in a regular/timely manner. Some countries currently use a ‘pull’ model for maintaining supplies whereby national storehouses rely on orders from the service level. This should be changed to a</w:t>
      </w:r>
      <w:r w:rsidR="0058299E">
        <w:rPr>
          <w:lang w:val="en-US"/>
        </w:rPr>
        <w:t>n informed</w:t>
      </w:r>
      <w:r>
        <w:rPr>
          <w:lang w:val="en-US"/>
        </w:rPr>
        <w:t xml:space="preserve"> ‘push’ model </w:t>
      </w:r>
      <w:r w:rsidR="00DE7305">
        <w:rPr>
          <w:lang w:val="en-US"/>
        </w:rPr>
        <w:t xml:space="preserve">(based on the use of relevant data from SDP </w:t>
      </w:r>
      <w:proofErr w:type="gramStart"/>
      <w:r w:rsidR="00DE7305">
        <w:rPr>
          <w:lang w:val="en-US"/>
        </w:rPr>
        <w:t xml:space="preserve">staff) </w:t>
      </w:r>
      <w:r>
        <w:rPr>
          <w:lang w:val="en-US"/>
        </w:rPr>
        <w:t xml:space="preserve"> </w:t>
      </w:r>
      <w:r w:rsidRPr="00D102C3">
        <w:rPr>
          <w:lang w:val="en-US"/>
        </w:rPr>
        <w:t>by</w:t>
      </w:r>
      <w:proofErr w:type="gramEnd"/>
      <w:r w:rsidRPr="00D102C3">
        <w:rPr>
          <w:lang w:val="en-US"/>
        </w:rPr>
        <w:t xml:space="preserve"> </w:t>
      </w:r>
      <w:r w:rsidRPr="00287E77">
        <w:rPr>
          <w:lang w:val="en-US"/>
        </w:rPr>
        <w:t>all</w:t>
      </w:r>
      <w:r>
        <w:rPr>
          <w:lang w:val="en-US"/>
        </w:rPr>
        <w:t xml:space="preserve"> </w:t>
      </w:r>
      <w:r w:rsidRPr="00D102C3">
        <w:rPr>
          <w:lang w:val="en-US"/>
        </w:rPr>
        <w:t>MOH</w:t>
      </w:r>
      <w:r>
        <w:rPr>
          <w:lang w:val="en-US"/>
        </w:rPr>
        <w:t>s</w:t>
      </w:r>
      <w:r w:rsidRPr="00D102C3">
        <w:rPr>
          <w:lang w:val="en-US"/>
        </w:rPr>
        <w:t xml:space="preserve"> </w:t>
      </w:r>
      <w:r w:rsidR="0058299E">
        <w:rPr>
          <w:lang w:val="en-US"/>
        </w:rPr>
        <w:t xml:space="preserve">(which do not already have this) </w:t>
      </w:r>
      <w:r w:rsidRPr="00D102C3">
        <w:rPr>
          <w:lang w:val="en-US"/>
        </w:rPr>
        <w:t>for the remaining period of the TA program to ensure supply when demand increases</w:t>
      </w:r>
      <w:r w:rsidR="00DE7305">
        <w:rPr>
          <w:lang w:val="en-US"/>
        </w:rPr>
        <w:t xml:space="preserve"> and to ease SDP staff workload</w:t>
      </w:r>
      <w:r w:rsidRPr="00D102C3">
        <w:rPr>
          <w:lang w:val="en-US"/>
        </w:rPr>
        <w:t xml:space="preserve">. </w:t>
      </w:r>
    </w:p>
    <w:p w14:paraId="05A6DFC2" w14:textId="77777777" w:rsidR="00531327" w:rsidRDefault="00531327" w:rsidP="002F26D7">
      <w:pPr>
        <w:pStyle w:val="NoSpacing"/>
        <w:rPr>
          <w:lang w:val="en-US"/>
        </w:rPr>
      </w:pPr>
    </w:p>
    <w:p w14:paraId="6DE2D430" w14:textId="77777777" w:rsidR="00047056" w:rsidRDefault="00047056" w:rsidP="002F26D7">
      <w:pPr>
        <w:pStyle w:val="NoSpacing"/>
        <w:rPr>
          <w:lang w:val="en-US"/>
        </w:rPr>
      </w:pPr>
      <w:proofErr w:type="spellStart"/>
      <w:r w:rsidRPr="00D102C3">
        <w:rPr>
          <w:lang w:val="en-US"/>
        </w:rPr>
        <w:t>Implanon</w:t>
      </w:r>
      <w:proofErr w:type="spellEnd"/>
      <w:r w:rsidRPr="00D102C3">
        <w:rPr>
          <w:lang w:val="en-US"/>
        </w:rPr>
        <w:t xml:space="preserve"> implant (</w:t>
      </w:r>
      <w:r w:rsidR="009237DE">
        <w:rPr>
          <w:lang w:val="en-US"/>
        </w:rPr>
        <w:t>one</w:t>
      </w:r>
      <w:r w:rsidRPr="00D102C3">
        <w:rPr>
          <w:lang w:val="en-US"/>
        </w:rPr>
        <w:t xml:space="preserve"> rod, lasts </w:t>
      </w:r>
      <w:r w:rsidR="009237DE">
        <w:rPr>
          <w:lang w:val="en-US"/>
        </w:rPr>
        <w:t>three</w:t>
      </w:r>
      <w:r w:rsidRPr="00D102C3">
        <w:rPr>
          <w:lang w:val="en-US"/>
        </w:rPr>
        <w:t xml:space="preserve"> years) and </w:t>
      </w:r>
      <w:proofErr w:type="spellStart"/>
      <w:r w:rsidRPr="00D102C3">
        <w:rPr>
          <w:lang w:val="en-US"/>
        </w:rPr>
        <w:t>Jadelle</w:t>
      </w:r>
      <w:proofErr w:type="spellEnd"/>
      <w:r w:rsidRPr="00D102C3">
        <w:rPr>
          <w:lang w:val="en-US"/>
        </w:rPr>
        <w:t xml:space="preserve"> (</w:t>
      </w:r>
      <w:r w:rsidR="009237DE">
        <w:rPr>
          <w:lang w:val="en-US"/>
        </w:rPr>
        <w:t>two</w:t>
      </w:r>
      <w:r w:rsidRPr="00D102C3">
        <w:rPr>
          <w:lang w:val="en-US"/>
        </w:rPr>
        <w:t xml:space="preserve"> rods, lasts </w:t>
      </w:r>
      <w:r w:rsidR="009237DE">
        <w:rPr>
          <w:lang w:val="en-US"/>
        </w:rPr>
        <w:t>five</w:t>
      </w:r>
      <w:r w:rsidRPr="00D102C3">
        <w:rPr>
          <w:lang w:val="en-US"/>
        </w:rPr>
        <w:t xml:space="preserve"> years) must both be provided to ensure women can choose an implant method </w:t>
      </w:r>
      <w:r w:rsidR="00D650F5">
        <w:rPr>
          <w:lang w:val="en-US"/>
        </w:rPr>
        <w:t>of their choice</w:t>
      </w:r>
      <w:r w:rsidRPr="00D102C3">
        <w:rPr>
          <w:lang w:val="en-US"/>
        </w:rPr>
        <w:t xml:space="preserve">. </w:t>
      </w:r>
      <w:r>
        <w:rPr>
          <w:lang w:val="en-US"/>
        </w:rPr>
        <w:t xml:space="preserve">MOHs report that </w:t>
      </w:r>
      <w:r w:rsidR="008D59A4">
        <w:rPr>
          <w:lang w:val="en-US"/>
        </w:rPr>
        <w:t xml:space="preserve">since COVID-19 restrictions </w:t>
      </w:r>
      <w:r>
        <w:rPr>
          <w:lang w:val="en-US"/>
        </w:rPr>
        <w:t xml:space="preserve">they </w:t>
      </w:r>
      <w:r w:rsidR="008D59A4">
        <w:rPr>
          <w:lang w:val="en-US"/>
        </w:rPr>
        <w:t xml:space="preserve">have been unable to access </w:t>
      </w:r>
      <w:proofErr w:type="spellStart"/>
      <w:r>
        <w:rPr>
          <w:lang w:val="en-US"/>
        </w:rPr>
        <w:t>Implanon</w:t>
      </w:r>
      <w:proofErr w:type="spellEnd"/>
      <w:r>
        <w:rPr>
          <w:lang w:val="en-US"/>
        </w:rPr>
        <w:t xml:space="preserve"> from UNFPA;</w:t>
      </w:r>
      <w:r w:rsidR="00531327">
        <w:rPr>
          <w:lang w:val="en-US"/>
        </w:rPr>
        <w:t xml:space="preserve"> and strict regulations are in force by the </w:t>
      </w:r>
      <w:proofErr w:type="spellStart"/>
      <w:r w:rsidR="00531327">
        <w:rPr>
          <w:lang w:val="en-US"/>
        </w:rPr>
        <w:t>Implanon</w:t>
      </w:r>
      <w:proofErr w:type="spellEnd"/>
      <w:r w:rsidR="00531327">
        <w:rPr>
          <w:lang w:val="en-US"/>
        </w:rPr>
        <w:t xml:space="preserve"> suppliers to ensure that service providers are trained before the product can be ordered/purchased.</w:t>
      </w:r>
      <w:r>
        <w:rPr>
          <w:lang w:val="en-US"/>
        </w:rPr>
        <w:t xml:space="preserve"> </w:t>
      </w:r>
      <w:r w:rsidR="00DE7305">
        <w:rPr>
          <w:lang w:val="en-US"/>
        </w:rPr>
        <w:t xml:space="preserve">IPPF MAs in Tonga and Vanuatu </w:t>
      </w:r>
      <w:r w:rsidR="00531327">
        <w:rPr>
          <w:lang w:val="en-US"/>
        </w:rPr>
        <w:t xml:space="preserve">have </w:t>
      </w:r>
      <w:proofErr w:type="spellStart"/>
      <w:r w:rsidR="00531327">
        <w:rPr>
          <w:lang w:val="en-US"/>
        </w:rPr>
        <w:t>Implanon</w:t>
      </w:r>
      <w:proofErr w:type="spellEnd"/>
      <w:r w:rsidR="00531327">
        <w:rPr>
          <w:lang w:val="en-US"/>
        </w:rPr>
        <w:t>-trained staff and</w:t>
      </w:r>
      <w:r>
        <w:rPr>
          <w:lang w:val="en-US"/>
        </w:rPr>
        <w:t xml:space="preserve"> procure </w:t>
      </w:r>
      <w:proofErr w:type="spellStart"/>
      <w:r w:rsidR="00531327">
        <w:rPr>
          <w:lang w:val="en-US"/>
        </w:rPr>
        <w:t>Implanon</w:t>
      </w:r>
      <w:proofErr w:type="spellEnd"/>
      <w:r>
        <w:rPr>
          <w:lang w:val="en-US"/>
        </w:rPr>
        <w:t xml:space="preserve"> through IPPF</w:t>
      </w:r>
      <w:r w:rsidR="00C54592">
        <w:rPr>
          <w:lang w:val="en-US"/>
        </w:rPr>
        <w:t xml:space="preserve"> for Samoa</w:t>
      </w:r>
      <w:r w:rsidR="008D59A4">
        <w:rPr>
          <w:lang w:val="en-US"/>
        </w:rPr>
        <w:t xml:space="preserve"> and</w:t>
      </w:r>
      <w:r w:rsidR="00DE7305">
        <w:rPr>
          <w:lang w:val="en-US"/>
        </w:rPr>
        <w:t xml:space="preserve"> </w:t>
      </w:r>
      <w:r w:rsidR="00C54592">
        <w:rPr>
          <w:lang w:val="en-US"/>
        </w:rPr>
        <w:t xml:space="preserve">Vanuatu and </w:t>
      </w:r>
      <w:r w:rsidR="008D59A4">
        <w:rPr>
          <w:lang w:val="en-US"/>
        </w:rPr>
        <w:t xml:space="preserve">this is </w:t>
      </w:r>
      <w:r w:rsidR="00C54592">
        <w:rPr>
          <w:lang w:val="en-US"/>
        </w:rPr>
        <w:t>in progress in Tonga</w:t>
      </w:r>
      <w:r w:rsidR="0031711C">
        <w:rPr>
          <w:rStyle w:val="FootnoteReference"/>
          <w:lang w:val="en-US"/>
        </w:rPr>
        <w:footnoteReference w:id="19"/>
      </w:r>
      <w:r>
        <w:rPr>
          <w:lang w:val="en-US"/>
        </w:rPr>
        <w:t xml:space="preserve">. </w:t>
      </w:r>
      <w:r w:rsidRPr="00D102C3">
        <w:rPr>
          <w:lang w:val="en-US"/>
        </w:rPr>
        <w:t>Pregnancy testing kits</w:t>
      </w:r>
      <w:r>
        <w:rPr>
          <w:lang w:val="en-US"/>
        </w:rPr>
        <w:t>, as well as EC,</w:t>
      </w:r>
      <w:r w:rsidRPr="00D102C3">
        <w:rPr>
          <w:lang w:val="en-US"/>
        </w:rPr>
        <w:t xml:space="preserve"> are essential for all </w:t>
      </w:r>
      <w:r>
        <w:rPr>
          <w:lang w:val="en-US"/>
        </w:rPr>
        <w:t>SDPs.</w:t>
      </w:r>
      <w:bookmarkEnd w:id="24"/>
      <w:r>
        <w:rPr>
          <w:lang w:val="en-US"/>
        </w:rPr>
        <w:t xml:space="preserve"> </w:t>
      </w:r>
      <w:r w:rsidR="00941203" w:rsidRPr="008D59A4">
        <w:t>Depo Provera Sub Cutaneous</w:t>
      </w:r>
      <w:r w:rsidR="00941203">
        <w:t xml:space="preserve"> (DPSC) also promises to be an innovation in FP for women and SDP staff, as it is self-injecting and does not require </w:t>
      </w:r>
      <w:r w:rsidR="008D59A4">
        <w:t xml:space="preserve">cold chain </w:t>
      </w:r>
      <w:r w:rsidR="00941203">
        <w:t xml:space="preserve">storage. </w:t>
      </w:r>
      <w:r w:rsidR="00531327" w:rsidRPr="00941203">
        <w:rPr>
          <w:lang w:val="en-US"/>
        </w:rPr>
        <w:t xml:space="preserve">Distribution </w:t>
      </w:r>
      <w:r w:rsidR="00531327">
        <w:rPr>
          <w:lang w:val="en-US"/>
        </w:rPr>
        <w:t xml:space="preserve">of these products to SDPs </w:t>
      </w:r>
      <w:r w:rsidR="008D59A4">
        <w:rPr>
          <w:lang w:val="en-US"/>
        </w:rPr>
        <w:t>should</w:t>
      </w:r>
      <w:r w:rsidR="00531327">
        <w:rPr>
          <w:lang w:val="en-US"/>
        </w:rPr>
        <w:t xml:space="preserve"> be a priority as soon as </w:t>
      </w:r>
      <w:proofErr w:type="spellStart"/>
      <w:r w:rsidR="00531327">
        <w:rPr>
          <w:lang w:val="en-US"/>
        </w:rPr>
        <w:t>Implanon</w:t>
      </w:r>
      <w:proofErr w:type="spellEnd"/>
      <w:r w:rsidR="00531327">
        <w:rPr>
          <w:lang w:val="en-US"/>
        </w:rPr>
        <w:t xml:space="preserve"> </w:t>
      </w:r>
      <w:r w:rsidR="00941203">
        <w:rPr>
          <w:lang w:val="en-US"/>
        </w:rPr>
        <w:t xml:space="preserve">and DPSC </w:t>
      </w:r>
      <w:r w:rsidR="00531327">
        <w:rPr>
          <w:lang w:val="en-US"/>
        </w:rPr>
        <w:t xml:space="preserve">can be imported into the Pacific, and staff trained in </w:t>
      </w:r>
      <w:r w:rsidR="00941203">
        <w:rPr>
          <w:lang w:val="en-US"/>
        </w:rPr>
        <w:t>their use</w:t>
      </w:r>
      <w:r w:rsidR="00531327">
        <w:rPr>
          <w:lang w:val="en-US"/>
        </w:rPr>
        <w:t>.</w:t>
      </w:r>
      <w:r>
        <w:rPr>
          <w:lang w:val="en-US"/>
        </w:rPr>
        <w:t xml:space="preserve">  </w:t>
      </w:r>
    </w:p>
    <w:p w14:paraId="31F336EA" w14:textId="77777777" w:rsidR="00DE7305" w:rsidRDefault="00DE7305" w:rsidP="002F26D7">
      <w:pPr>
        <w:pStyle w:val="NoSpacing"/>
        <w:rPr>
          <w:lang w:val="en-US"/>
        </w:rPr>
      </w:pPr>
    </w:p>
    <w:p w14:paraId="5A8E840D" w14:textId="77777777" w:rsidR="00193F72" w:rsidRDefault="00020733" w:rsidP="00F335D8">
      <w:pPr>
        <w:pStyle w:val="NoSpacing"/>
      </w:pPr>
      <w:r w:rsidRPr="00992FDA">
        <w:rPr>
          <w:b/>
          <w:bCs/>
          <w:i/>
          <w:iCs/>
        </w:rPr>
        <w:t>Recommendation</w:t>
      </w:r>
      <w:r>
        <w:rPr>
          <w:b/>
          <w:bCs/>
          <w:i/>
          <w:iCs/>
        </w:rPr>
        <w:t xml:space="preserve"> 4</w:t>
      </w:r>
      <w:r w:rsidRPr="00992FDA">
        <w:rPr>
          <w:b/>
          <w:bCs/>
          <w:i/>
          <w:iCs/>
        </w:rPr>
        <w:t xml:space="preserve">: </w:t>
      </w:r>
      <w:r>
        <w:t>UNFPA work closely with the UNFPA Global Supplies Program to ensure that contraceptives are ‘pushed’ out to SDPs for the duration of the TA program using the ‘</w:t>
      </w:r>
      <w:r w:rsidRPr="00607B47">
        <w:t>informed push’</w:t>
      </w:r>
      <w:r>
        <w:t xml:space="preserve"> model</w:t>
      </w:r>
      <w:r w:rsidR="00DE7305">
        <w:t xml:space="preserve"> using relevant data provided by SDP staff  </w:t>
      </w:r>
      <w:r w:rsidR="00DE7305" w:rsidRPr="00607B47">
        <w:t>to improve access</w:t>
      </w:r>
      <w:r w:rsidR="00DE7305">
        <w:t xml:space="preserve">, </w:t>
      </w:r>
      <w:r w:rsidR="00DE7305" w:rsidRPr="00607B47">
        <w:t xml:space="preserve"> avoid wastage</w:t>
      </w:r>
      <w:r w:rsidR="00DE7305">
        <w:t xml:space="preserve"> and ease the workload on SDP staff. </w:t>
      </w:r>
      <w:r w:rsidRPr="00607B47">
        <w:t xml:space="preserve">to improve access but </w:t>
      </w:r>
      <w:r w:rsidRPr="00607B47">
        <w:lastRenderedPageBreak/>
        <w:t>avoid wastage</w:t>
      </w:r>
      <w:r>
        <w:t xml:space="preserve">. Efforts should be made to ensure that implants (including both </w:t>
      </w:r>
      <w:proofErr w:type="spellStart"/>
      <w:r>
        <w:t>Jadelle</w:t>
      </w:r>
      <w:proofErr w:type="spellEnd"/>
      <w:r>
        <w:t xml:space="preserve"> and </w:t>
      </w:r>
      <w:proofErr w:type="spellStart"/>
      <w:r>
        <w:t>Implanon</w:t>
      </w:r>
      <w:proofErr w:type="spellEnd"/>
      <w:r>
        <w:t>), Intra-Uterine Devices (UIDs) and ECs are included in the ‘</w:t>
      </w:r>
      <w:r w:rsidRPr="00607B47">
        <w:t>informed</w:t>
      </w:r>
      <w:r>
        <w:t xml:space="preserve"> push’ effort. Consideration could be given to using funds no longer required for low priority interventions to bolster support for commodity availability, particularly for training and capacity building, and for ensuring commodity supply personnel are centrally engaged in MOH TA program steering committee discussions. This may require a contract amendment.</w:t>
      </w:r>
    </w:p>
    <w:p w14:paraId="286CC6C8" w14:textId="77777777" w:rsidR="00EC783F" w:rsidRDefault="00EC783F" w:rsidP="003538C5">
      <w:pPr>
        <w:pStyle w:val="Level2Heading"/>
        <w:numPr>
          <w:ilvl w:val="1"/>
          <w:numId w:val="27"/>
        </w:numPr>
        <w:outlineLvl w:val="1"/>
      </w:pPr>
      <w:bookmarkStart w:id="26" w:name="_Toc76630090"/>
      <w:r>
        <w:t>Technical Assistance</w:t>
      </w:r>
      <w:bookmarkEnd w:id="26"/>
    </w:p>
    <w:p w14:paraId="7012BB3F" w14:textId="77777777" w:rsidR="00A03FA9" w:rsidRDefault="00913BBF" w:rsidP="00497F38">
      <w:pPr>
        <w:pStyle w:val="NoSpacing"/>
      </w:pPr>
      <w:r w:rsidRPr="002F26D7">
        <w:t>Technical assistance</w:t>
      </w:r>
      <w:r>
        <w:t xml:space="preserve"> to support planning and implementation is provided through </w:t>
      </w:r>
      <w:r w:rsidR="00291D46">
        <w:t xml:space="preserve">several </w:t>
      </w:r>
      <w:r>
        <w:t>PSRO Suva</w:t>
      </w:r>
      <w:r w:rsidR="00A03FA9">
        <w:t>-based</w:t>
      </w:r>
      <w:r>
        <w:t xml:space="preserve"> </w:t>
      </w:r>
      <w:r w:rsidR="00291D46">
        <w:t>T</w:t>
      </w:r>
      <w:r>
        <w:t xml:space="preserve">echnical </w:t>
      </w:r>
      <w:r w:rsidR="00291D46">
        <w:t>S</w:t>
      </w:r>
      <w:r>
        <w:t xml:space="preserve">pecialists plus </w:t>
      </w:r>
      <w:r w:rsidR="0031711C">
        <w:t>four</w:t>
      </w:r>
      <w:r>
        <w:t xml:space="preserve"> in-country SRH Specialists (</w:t>
      </w:r>
      <w:r w:rsidR="0031711C">
        <w:t>Kiribati</w:t>
      </w:r>
      <w:r w:rsidR="0031711C">
        <w:rPr>
          <w:rStyle w:val="FootnoteReference"/>
        </w:rPr>
        <w:footnoteReference w:id="20"/>
      </w:r>
      <w:r w:rsidR="0031711C">
        <w:t xml:space="preserve">, </w:t>
      </w:r>
      <w:r>
        <w:t xml:space="preserve">Solomon Islands, Vanuatu and Samoa). </w:t>
      </w:r>
      <w:r w:rsidR="00096FBD">
        <w:t xml:space="preserve">TA Program Finance Assistants have also been placed in Fiji, Vanuatu, Kiribati and Tonga to assist Ministries with finances and acquittals. </w:t>
      </w:r>
      <w:r w:rsidR="00711113">
        <w:t xml:space="preserve">Fifteen </w:t>
      </w:r>
      <w:r w:rsidR="00096FBD">
        <w:t xml:space="preserve">staff have been recruited for the TA Program with </w:t>
      </w:r>
      <w:r w:rsidR="002F0A2D">
        <w:t>staffing accounting for</w:t>
      </w:r>
      <w:r w:rsidR="000A7F9C">
        <w:t xml:space="preserve"> </w:t>
      </w:r>
      <w:r w:rsidR="00711113">
        <w:t>36% of expenditure in 2019 and 26% in 2020 to date (see Table 7)</w:t>
      </w:r>
      <w:r w:rsidR="00096FBD">
        <w:t xml:space="preserve">. </w:t>
      </w:r>
    </w:p>
    <w:p w14:paraId="19A662DD" w14:textId="77777777" w:rsidR="00497F38" w:rsidRDefault="00497F38" w:rsidP="00497F38">
      <w:pPr>
        <w:pStyle w:val="NoSpacing"/>
        <w:rPr>
          <w:lang w:val="en-US"/>
        </w:rPr>
      </w:pPr>
    </w:p>
    <w:p w14:paraId="1F2B7F3F" w14:textId="77777777" w:rsidR="000A7F9C" w:rsidRDefault="00B53F82" w:rsidP="00497F38">
      <w:pPr>
        <w:pStyle w:val="NoSpacing"/>
      </w:pPr>
      <w:r w:rsidRPr="005D1BEB">
        <w:rPr>
          <w:lang w:val="en-US"/>
        </w:rPr>
        <w:t xml:space="preserve">The roles and responsibilities of </w:t>
      </w:r>
      <w:r w:rsidRPr="00B53F82">
        <w:rPr>
          <w:lang w:val="en-US"/>
        </w:rPr>
        <w:t xml:space="preserve">the </w:t>
      </w:r>
      <w:r w:rsidRPr="00D61CD6">
        <w:rPr>
          <w:lang w:val="en-US"/>
        </w:rPr>
        <w:t xml:space="preserve">SRH </w:t>
      </w:r>
      <w:r w:rsidR="00291D46">
        <w:rPr>
          <w:lang w:val="en-US"/>
        </w:rPr>
        <w:t>S</w:t>
      </w:r>
      <w:r w:rsidRPr="00D61CD6">
        <w:rPr>
          <w:lang w:val="en-US"/>
        </w:rPr>
        <w:t>pecialists</w:t>
      </w:r>
      <w:r w:rsidRPr="005D1BEB">
        <w:rPr>
          <w:lang w:val="en-US"/>
        </w:rPr>
        <w:t xml:space="preserve"> in PSRO field offices need to be reviewed to ensure optimal use of these </w:t>
      </w:r>
      <w:r w:rsidRPr="005D1BEB">
        <w:t>resources.</w:t>
      </w:r>
      <w:r>
        <w:t xml:space="preserve"> </w:t>
      </w:r>
      <w:r>
        <w:rPr>
          <w:lang w:val="en-US"/>
        </w:rPr>
        <w:t xml:space="preserve">Their technical roles </w:t>
      </w:r>
      <w:r w:rsidR="00D53888">
        <w:rPr>
          <w:lang w:val="en-US"/>
        </w:rPr>
        <w:t xml:space="preserve">currently </w:t>
      </w:r>
      <w:r>
        <w:rPr>
          <w:lang w:val="en-US"/>
        </w:rPr>
        <w:t>include m</w:t>
      </w:r>
      <w:proofErr w:type="spellStart"/>
      <w:r>
        <w:rPr>
          <w:color w:val="000000"/>
        </w:rPr>
        <w:t>anagement</w:t>
      </w:r>
      <w:proofErr w:type="spellEnd"/>
      <w:r>
        <w:rPr>
          <w:color w:val="000000"/>
        </w:rPr>
        <w:t xml:space="preserve"> decisions at country level on what activities can or cannot be included in TA work plans, and what compliance measures need to be in place. </w:t>
      </w:r>
      <w:r w:rsidR="00D53888">
        <w:rPr>
          <w:color w:val="000000"/>
        </w:rPr>
        <w:t xml:space="preserve">This role should be transferred to the MOH multisectoral committees. </w:t>
      </w:r>
      <w:r>
        <w:t xml:space="preserve">Key issues to consider </w:t>
      </w:r>
      <w:r w:rsidR="00D53888">
        <w:t xml:space="preserve">in the reviewed roles </w:t>
      </w:r>
      <w:r>
        <w:t>include</w:t>
      </w:r>
      <w:r w:rsidRPr="00287E77">
        <w:t xml:space="preserve"> reducing the administrative burden</w:t>
      </w:r>
      <w:r>
        <w:t xml:space="preserve"> for IPs</w:t>
      </w:r>
      <w:r w:rsidRPr="00287E77">
        <w:t xml:space="preserve"> </w:t>
      </w:r>
      <w:r w:rsidRPr="006E7066">
        <w:t>and making sure the SRH specialists have a revised</w:t>
      </w:r>
      <w:r>
        <w:t xml:space="preserve"> and more focused</w:t>
      </w:r>
      <w:r w:rsidRPr="006E7066">
        <w:t xml:space="preserve"> set of key performance and impact indicators to routinely monitor</w:t>
      </w:r>
      <w:r>
        <w:t>.</w:t>
      </w:r>
    </w:p>
    <w:p w14:paraId="62BD47E3" w14:textId="77777777" w:rsidR="001B0C17" w:rsidRDefault="001B0C17" w:rsidP="00497F38">
      <w:pPr>
        <w:pStyle w:val="NoSpacing"/>
      </w:pPr>
    </w:p>
    <w:p w14:paraId="127BAB8E" w14:textId="77777777" w:rsidR="001B0C17" w:rsidRDefault="005348DD" w:rsidP="00D61CD6">
      <w:pPr>
        <w:pStyle w:val="NoSpacing"/>
      </w:pPr>
      <w:r w:rsidRPr="00287E77">
        <w:t>Similarly</w:t>
      </w:r>
      <w:r>
        <w:t>,</w:t>
      </w:r>
      <w:r w:rsidRPr="00287E77">
        <w:t xml:space="preserve"> </w:t>
      </w:r>
      <w:r w:rsidR="001B0C17">
        <w:t>nine (9) international RIPs have been contracted to provide multiple technical inputs</w:t>
      </w:r>
      <w:r w:rsidR="00291D46">
        <w:t xml:space="preserve"> including: </w:t>
      </w:r>
      <w:r w:rsidR="001B0C17" w:rsidRPr="00E4517F">
        <w:t xml:space="preserve">Community training; </w:t>
      </w:r>
      <w:r w:rsidR="001B0C17">
        <w:t>development of C</w:t>
      </w:r>
      <w:r w:rsidR="001B0C17" w:rsidRPr="00E4517F">
        <w:t>SE resources, GBV training, advocacy for GBV, training health workers, VAWG disability guidelines, MISP training, SRH in emergencies module, SRH training</w:t>
      </w:r>
      <w:r w:rsidR="001B0C17">
        <w:t xml:space="preserve">; </w:t>
      </w:r>
      <w:r w:rsidR="001B0C17" w:rsidRPr="00E4517F">
        <w:t>National FLE curriculum development, Cervical Cancer Policy development, SRH guidelines, In-service FP training</w:t>
      </w:r>
      <w:r w:rsidR="00F50086">
        <w:t>;</w:t>
      </w:r>
      <w:r w:rsidR="001B0C17" w:rsidRPr="00E4517F">
        <w:t xml:space="preserve"> </w:t>
      </w:r>
      <w:r w:rsidR="00F50086">
        <w:t>D</w:t>
      </w:r>
      <w:r w:rsidR="001B0C17" w:rsidRPr="00E4517F">
        <w:t>ata use, Build Supply Chain LMIS capacity</w:t>
      </w:r>
      <w:r w:rsidR="001B0C17">
        <w:t xml:space="preserve">; </w:t>
      </w:r>
      <w:r w:rsidR="001B0C17" w:rsidRPr="00E4517F">
        <w:t>Disability needs assessment, HFRSA material reviews, Development of SRH/VAWG guidelines</w:t>
      </w:r>
      <w:r w:rsidR="001B0C17">
        <w:t xml:space="preserve">; </w:t>
      </w:r>
      <w:r w:rsidR="001B0C17" w:rsidRPr="00E4517F">
        <w:t>BCC community engagement, BCC strategy, Data for policy makers, VAWG awareness messages</w:t>
      </w:r>
      <w:r w:rsidR="001B0C17">
        <w:t xml:space="preserve">; </w:t>
      </w:r>
      <w:r w:rsidR="001B0C17" w:rsidRPr="00E4517F">
        <w:t>HMIS strengthening, M&amp;E support, Strengthen midwifery curriculum</w:t>
      </w:r>
      <w:r w:rsidR="001B0C17">
        <w:t xml:space="preserve">; </w:t>
      </w:r>
      <w:r w:rsidR="001B0C17" w:rsidRPr="00E4517F">
        <w:t>BCC Strategy implementation</w:t>
      </w:r>
      <w:r w:rsidR="001B0C17">
        <w:t xml:space="preserve">; </w:t>
      </w:r>
      <w:r w:rsidR="001B0C17" w:rsidRPr="00E4517F">
        <w:t>Implement</w:t>
      </w:r>
      <w:r w:rsidR="001B0C17">
        <w:t xml:space="preserve">ation of </w:t>
      </w:r>
      <w:r w:rsidR="001B0C17" w:rsidRPr="00E4517F">
        <w:t>community-based CSE</w:t>
      </w:r>
      <w:r w:rsidR="001B0C17">
        <w:t>; and</w:t>
      </w:r>
      <w:r w:rsidR="000D6870">
        <w:t xml:space="preserve"> p</w:t>
      </w:r>
      <w:r w:rsidR="001B0C17" w:rsidRPr="00E4517F">
        <w:t>roduce and distribute IEC materials</w:t>
      </w:r>
      <w:r w:rsidR="001B0C17">
        <w:t xml:space="preserve">. See Table 8 for a list of RIPs and their respective roles. </w:t>
      </w:r>
    </w:p>
    <w:p w14:paraId="2D712321" w14:textId="77777777" w:rsidR="001B0C17" w:rsidRDefault="001B0C17" w:rsidP="00497F38">
      <w:pPr>
        <w:pStyle w:val="NoSpacing"/>
      </w:pPr>
    </w:p>
    <w:p w14:paraId="685D79D5" w14:textId="77777777" w:rsidR="005348DD" w:rsidRDefault="001B0C17" w:rsidP="00497F38">
      <w:pPr>
        <w:pStyle w:val="NoSpacing"/>
        <w:rPr>
          <w:lang w:val="en-US"/>
        </w:rPr>
      </w:pPr>
      <w:r>
        <w:t>T</w:t>
      </w:r>
      <w:r w:rsidR="005348DD" w:rsidRPr="00287E77">
        <w:t xml:space="preserve">he </w:t>
      </w:r>
      <w:proofErr w:type="spellStart"/>
      <w:r w:rsidR="005348DD" w:rsidRPr="002F26D7">
        <w:t>RIPs’</w:t>
      </w:r>
      <w:proofErr w:type="spellEnd"/>
      <w:r w:rsidR="005348DD">
        <w:rPr>
          <w:b/>
          <w:bCs/>
        </w:rPr>
        <w:t xml:space="preserve"> </w:t>
      </w:r>
      <w:r w:rsidR="005348DD">
        <w:t xml:space="preserve">roles </w:t>
      </w:r>
      <w:r w:rsidR="00D53888">
        <w:t xml:space="preserve">began in </w:t>
      </w:r>
      <w:r>
        <w:t xml:space="preserve">2020 </w:t>
      </w:r>
      <w:r w:rsidR="005348DD">
        <w:t>and</w:t>
      </w:r>
      <w:r w:rsidR="005348DD" w:rsidRPr="00287E77">
        <w:t xml:space="preserve"> the feasibility of </w:t>
      </w:r>
      <w:r w:rsidR="005348DD">
        <w:t>them</w:t>
      </w:r>
      <w:r w:rsidR="005348DD" w:rsidRPr="00287E77">
        <w:rPr>
          <w:lang w:val="en-US"/>
        </w:rPr>
        <w:t xml:space="preserve"> being able to engage in-country IPs remotely</w:t>
      </w:r>
      <w:r w:rsidR="005348DD">
        <w:rPr>
          <w:lang w:val="en-US"/>
        </w:rPr>
        <w:t>,</w:t>
      </w:r>
      <w:r w:rsidR="005348DD" w:rsidRPr="00287E77">
        <w:rPr>
          <w:lang w:val="en-US"/>
        </w:rPr>
        <w:t xml:space="preserve"> and deliver country-specific products </w:t>
      </w:r>
      <w:r w:rsidR="0031711C">
        <w:rPr>
          <w:lang w:val="en-US"/>
        </w:rPr>
        <w:t xml:space="preserve">as originally planned </w:t>
      </w:r>
      <w:r w:rsidR="00A238B0">
        <w:rPr>
          <w:lang w:val="en-US"/>
        </w:rPr>
        <w:t xml:space="preserve">by program-end </w:t>
      </w:r>
      <w:r w:rsidR="005348DD" w:rsidRPr="00287E77">
        <w:rPr>
          <w:lang w:val="en-US"/>
        </w:rPr>
        <w:t xml:space="preserve">is </w:t>
      </w:r>
      <w:r w:rsidR="005348DD">
        <w:rPr>
          <w:lang w:val="en-US"/>
        </w:rPr>
        <w:t>doubtful</w:t>
      </w:r>
      <w:r w:rsidR="005348DD" w:rsidRPr="00287E77">
        <w:rPr>
          <w:lang w:val="en-US"/>
        </w:rPr>
        <w:t xml:space="preserve">, </w:t>
      </w:r>
      <w:r w:rsidR="005348DD">
        <w:rPr>
          <w:lang w:val="en-US"/>
        </w:rPr>
        <w:t>particularly</w:t>
      </w:r>
      <w:r w:rsidR="005348DD" w:rsidRPr="00287E77">
        <w:rPr>
          <w:lang w:val="en-US"/>
        </w:rPr>
        <w:t xml:space="preserve"> with COVID-19 travel restrictions expected to </w:t>
      </w:r>
      <w:r w:rsidR="005348DD">
        <w:rPr>
          <w:lang w:val="en-US"/>
        </w:rPr>
        <w:t xml:space="preserve">continue </w:t>
      </w:r>
      <w:r w:rsidR="005348DD" w:rsidRPr="00287E77">
        <w:rPr>
          <w:lang w:val="en-US"/>
        </w:rPr>
        <w:t>for a considerable time.</w:t>
      </w:r>
      <w:r w:rsidR="005348DD">
        <w:rPr>
          <w:lang w:val="en-US"/>
        </w:rPr>
        <w:t xml:space="preserve">     </w:t>
      </w:r>
    </w:p>
    <w:p w14:paraId="6517E034" w14:textId="77777777" w:rsidR="00497F38" w:rsidRDefault="00497F38" w:rsidP="00497F38">
      <w:pPr>
        <w:pStyle w:val="NoSpacing"/>
      </w:pPr>
    </w:p>
    <w:p w14:paraId="60012672" w14:textId="77777777" w:rsidR="00D650F5" w:rsidRDefault="000D6870" w:rsidP="00D650F5">
      <w:pPr>
        <w:pStyle w:val="NoSpacing"/>
      </w:pPr>
      <w:r>
        <w:t xml:space="preserve">One of the RIP roles is to </w:t>
      </w:r>
      <w:r w:rsidR="00F335D8" w:rsidRPr="003204EA">
        <w:t xml:space="preserve">train trainers to conduct in-service </w:t>
      </w:r>
      <w:r w:rsidR="00B55617" w:rsidRPr="003204EA">
        <w:t xml:space="preserve">FP training </w:t>
      </w:r>
      <w:r w:rsidR="00F335D8" w:rsidRPr="003204EA">
        <w:t xml:space="preserve"> for SDP staff</w:t>
      </w:r>
      <w:r w:rsidR="00F335D8">
        <w:t xml:space="preserve"> </w:t>
      </w:r>
      <w:r w:rsidR="00B55617">
        <w:t xml:space="preserve">to increase method mix </w:t>
      </w:r>
      <w:r>
        <w:t xml:space="preserve">but this </w:t>
      </w:r>
      <w:r w:rsidR="00B55617">
        <w:t>has yet to be systematically conducted, particularly for LARCS and EC. P</w:t>
      </w:r>
      <w:r w:rsidR="00CF1B44">
        <w:t>lanning for this included training of ‘champions’ (high level MOH and MA service providers who are trained in insertion and removal of LARCs and EC, who will lead teams of master trainers in-country once training of trainers in LARCs and other FP methods has been implemented. The master trainers cascade the training down to SDP levels.</w:t>
      </w:r>
      <w:r w:rsidR="00D650F5">
        <w:t xml:space="preserve"> This </w:t>
      </w:r>
      <w:r w:rsidR="00CF1B44">
        <w:t xml:space="preserve">new model may face challenges if </w:t>
      </w:r>
      <w:r w:rsidR="00D650F5">
        <w:t xml:space="preserve">MOH senior staff are </w:t>
      </w:r>
      <w:r w:rsidR="00395D3E">
        <w:t xml:space="preserve">already </w:t>
      </w:r>
      <w:r w:rsidR="00D650F5">
        <w:t xml:space="preserve">overloaded and have competing priorities.  </w:t>
      </w:r>
    </w:p>
    <w:p w14:paraId="272CD169" w14:textId="77777777" w:rsidR="00914313" w:rsidRDefault="00914313" w:rsidP="00497F38">
      <w:pPr>
        <w:pStyle w:val="NoSpacing"/>
        <w:rPr>
          <w:lang w:val="en-US"/>
        </w:rPr>
      </w:pPr>
    </w:p>
    <w:p w14:paraId="7D6A757E" w14:textId="77777777" w:rsidR="00004577" w:rsidRDefault="00B53F82" w:rsidP="00395D3E">
      <w:pPr>
        <w:spacing w:after="0" w:line="240" w:lineRule="auto"/>
        <w:rPr>
          <w:lang w:val="en-US"/>
        </w:rPr>
      </w:pPr>
      <w:r>
        <w:rPr>
          <w:lang w:val="en-US"/>
        </w:rPr>
        <w:t>For these reasons, government</w:t>
      </w:r>
      <w:r w:rsidR="00395D3E">
        <w:rPr>
          <w:lang w:val="en-US"/>
        </w:rPr>
        <w:t>s in TA countries</w:t>
      </w:r>
      <w:r>
        <w:rPr>
          <w:lang w:val="en-US"/>
        </w:rPr>
        <w:t xml:space="preserve"> may wish to consider using</w:t>
      </w:r>
      <w:r>
        <w:rPr>
          <w:rFonts w:ascii="Times New Roman" w:eastAsiaTheme="minorHAnsi" w:hAnsi="Times New Roman" w:cs="Times New Roman"/>
          <w:sz w:val="24"/>
          <w:lang w:eastAsia="en-AU" w:bidi="ar-SA"/>
        </w:rPr>
        <w:t xml:space="preserve"> </w:t>
      </w:r>
      <w:r w:rsidR="00004577">
        <w:rPr>
          <w:lang w:val="en-US"/>
        </w:rPr>
        <w:t xml:space="preserve">IPPF MAs </w:t>
      </w:r>
      <w:r w:rsidR="00CF1B44">
        <w:rPr>
          <w:lang w:val="en-US"/>
        </w:rPr>
        <w:t xml:space="preserve">or other SRH service providers </w:t>
      </w:r>
      <w:r>
        <w:rPr>
          <w:lang w:val="en-US"/>
        </w:rPr>
        <w:t>as</w:t>
      </w:r>
      <w:r w:rsidR="00004577">
        <w:rPr>
          <w:lang w:val="en-US"/>
        </w:rPr>
        <w:t xml:space="preserve"> a valuable existing resource for some technical assistance components of the TA.  Current</w:t>
      </w:r>
      <w:r w:rsidR="00004577" w:rsidRPr="002F26D7">
        <w:rPr>
          <w:lang w:val="en-US"/>
        </w:rPr>
        <w:t xml:space="preserve"> </w:t>
      </w:r>
      <w:r w:rsidR="00395D3E">
        <w:rPr>
          <w:lang w:val="en-US"/>
        </w:rPr>
        <w:t xml:space="preserve">IPPF MA </w:t>
      </w:r>
      <w:r w:rsidR="00004577" w:rsidRPr="002F26D7">
        <w:rPr>
          <w:lang w:val="en-US"/>
        </w:rPr>
        <w:t>SRH</w:t>
      </w:r>
      <w:r w:rsidR="00004577">
        <w:rPr>
          <w:lang w:val="en-US"/>
        </w:rPr>
        <w:t>R</w:t>
      </w:r>
      <w:r w:rsidR="00004577" w:rsidRPr="002F26D7">
        <w:rPr>
          <w:lang w:val="en-US"/>
        </w:rPr>
        <w:t xml:space="preserve"> expertise and service provision </w:t>
      </w:r>
      <w:r w:rsidR="00004577">
        <w:rPr>
          <w:lang w:val="en-US"/>
        </w:rPr>
        <w:t>in all six countries include</w:t>
      </w:r>
      <w:r w:rsidR="00395D3E">
        <w:rPr>
          <w:lang w:val="en-US"/>
        </w:rPr>
        <w:t>s</w:t>
      </w:r>
      <w:r w:rsidR="00004577">
        <w:rPr>
          <w:lang w:val="en-US"/>
        </w:rPr>
        <w:t>: clinic staff</w:t>
      </w:r>
      <w:r w:rsidR="00004577">
        <w:rPr>
          <w:rStyle w:val="FootnoteReference"/>
          <w:lang w:val="en-US"/>
        </w:rPr>
        <w:footnoteReference w:id="21"/>
      </w:r>
      <w:r w:rsidR="00004577">
        <w:rPr>
          <w:lang w:val="en-US"/>
        </w:rPr>
        <w:t xml:space="preserve"> trained by IPPF to be providers of integrated SRHR services (including youth-friendly, disability-inclusive, and GBV care); expertise in FP methods (choice/method mix) including implants, IUDs and EC; the addition of new FP methods such as non-scalpel vasectomy offered by some MAs (e.g. KFHA); MAs are already trainers of MOH SDP staff, especially </w:t>
      </w:r>
      <w:r w:rsidR="00D650F5">
        <w:rPr>
          <w:lang w:val="en-US"/>
        </w:rPr>
        <w:t xml:space="preserve">for </w:t>
      </w:r>
      <w:r w:rsidR="00004577">
        <w:rPr>
          <w:lang w:val="en-US"/>
        </w:rPr>
        <w:t xml:space="preserve">outreach to rural and remote areas; and </w:t>
      </w:r>
      <w:r w:rsidR="00004577">
        <w:rPr>
          <w:lang w:val="en-US"/>
        </w:rPr>
        <w:lastRenderedPageBreak/>
        <w:t xml:space="preserve">MAs host MOH nurses on rotation through MA clinics (e.g. Samoa). MAs have Memoranda of Understanding with MOHs (except in Samoa), and provide service data to them. </w:t>
      </w:r>
    </w:p>
    <w:p w14:paraId="782A667F" w14:textId="77777777" w:rsidR="00004577" w:rsidRDefault="00004577" w:rsidP="00004577">
      <w:pPr>
        <w:pStyle w:val="NoSpacing"/>
        <w:rPr>
          <w:lang w:val="en-US"/>
        </w:rPr>
      </w:pPr>
    </w:p>
    <w:p w14:paraId="0DAAFC91" w14:textId="77777777" w:rsidR="007F438E" w:rsidRDefault="007F438E" w:rsidP="007F438E">
      <w:pPr>
        <w:pStyle w:val="NoSpacing"/>
        <w:rPr>
          <w:lang w:val="en-US"/>
        </w:rPr>
      </w:pPr>
      <w:r>
        <w:rPr>
          <w:lang w:val="en-US"/>
        </w:rPr>
        <w:t xml:space="preserve">Given the current workloads of MOH staff, particularly </w:t>
      </w:r>
      <w:r w:rsidR="00DE7CF2">
        <w:rPr>
          <w:lang w:val="en-US"/>
        </w:rPr>
        <w:t xml:space="preserve">due to </w:t>
      </w:r>
      <w:r>
        <w:rPr>
          <w:lang w:val="en-US"/>
        </w:rPr>
        <w:t xml:space="preserve">COVID-19, MAs could be </w:t>
      </w:r>
      <w:proofErr w:type="spellStart"/>
      <w:r>
        <w:rPr>
          <w:lang w:val="en-US"/>
        </w:rPr>
        <w:t>utilised</w:t>
      </w:r>
      <w:proofErr w:type="spellEnd"/>
      <w:r>
        <w:rPr>
          <w:lang w:val="en-US"/>
        </w:rPr>
        <w:t xml:space="preserve"> to provide face-to-face and on the job training without delay. </w:t>
      </w:r>
      <w:r w:rsidRPr="0033269B">
        <w:rPr>
          <w:lang w:val="en-US"/>
        </w:rPr>
        <w:t>MAs have indicated</w:t>
      </w:r>
      <w:r>
        <w:rPr>
          <w:lang w:val="en-US"/>
        </w:rPr>
        <w:t xml:space="preserve"> they have capacity to do this with extra funds, including to gap-fill clinic staff </w:t>
      </w:r>
      <w:r w:rsidR="00DE7CF2">
        <w:rPr>
          <w:lang w:val="en-US"/>
        </w:rPr>
        <w:t xml:space="preserve">from existing pools of retired nurses </w:t>
      </w:r>
      <w:r>
        <w:rPr>
          <w:lang w:val="en-US"/>
        </w:rPr>
        <w:t xml:space="preserve">while they conduct training. </w:t>
      </w:r>
      <w:r w:rsidR="00D650F5">
        <w:rPr>
          <w:lang w:val="en-US"/>
        </w:rPr>
        <w:t xml:space="preserve">During consultations, </w:t>
      </w:r>
      <w:r>
        <w:rPr>
          <w:lang w:val="en-US"/>
        </w:rPr>
        <w:t xml:space="preserve">MOHs reported that this </w:t>
      </w:r>
      <w:r w:rsidR="0033680D">
        <w:rPr>
          <w:lang w:val="en-US"/>
        </w:rPr>
        <w:t>was</w:t>
      </w:r>
      <w:r>
        <w:rPr>
          <w:lang w:val="en-US"/>
        </w:rPr>
        <w:t xml:space="preserve"> happening on a small scale--usually in association with outreach to rural and remote areas--in Fiji, Kiribati, Tonga, Samoa, Solomon Islands and Vanuatu (prior to COVID-19). </w:t>
      </w:r>
      <w:r w:rsidR="00D53888">
        <w:rPr>
          <w:lang w:val="en-US"/>
        </w:rPr>
        <w:t xml:space="preserve">Some MAs are sub-recipients of TA funds already (through MOHs) but this could be expanded to FP training roles where appropriate. </w:t>
      </w:r>
    </w:p>
    <w:p w14:paraId="73A805D6" w14:textId="77777777" w:rsidR="00497F38" w:rsidRDefault="00497F38" w:rsidP="00497F38">
      <w:pPr>
        <w:pStyle w:val="NoSpacing"/>
        <w:rPr>
          <w:lang w:val="en-US"/>
        </w:rPr>
      </w:pPr>
    </w:p>
    <w:p w14:paraId="0FF4E7AB" w14:textId="77777777" w:rsidR="0097741D" w:rsidRDefault="0097741D" w:rsidP="00497F38">
      <w:pPr>
        <w:pStyle w:val="NoSpacing"/>
        <w:rPr>
          <w:lang w:val="en-US"/>
        </w:rPr>
      </w:pPr>
      <w:r>
        <w:rPr>
          <w:lang w:val="en-US"/>
        </w:rPr>
        <w:t xml:space="preserve">Changing the delivery modality for SDP </w:t>
      </w:r>
      <w:r w:rsidR="002477A3">
        <w:rPr>
          <w:lang w:val="en-US"/>
        </w:rPr>
        <w:t>in-</w:t>
      </w:r>
      <w:r>
        <w:rPr>
          <w:lang w:val="en-US"/>
        </w:rPr>
        <w:t xml:space="preserve">service training to IPPF </w:t>
      </w:r>
      <w:r w:rsidR="00A47B06">
        <w:rPr>
          <w:lang w:val="en-US"/>
        </w:rPr>
        <w:t>M</w:t>
      </w:r>
      <w:r w:rsidR="002477A3">
        <w:rPr>
          <w:lang w:val="en-US"/>
        </w:rPr>
        <w:t>As</w:t>
      </w:r>
      <w:r w:rsidR="00A47B06">
        <w:rPr>
          <w:lang w:val="en-US"/>
        </w:rPr>
        <w:t xml:space="preserve"> </w:t>
      </w:r>
      <w:r w:rsidR="00152456">
        <w:rPr>
          <w:lang w:val="en-US"/>
        </w:rPr>
        <w:t>and/</w:t>
      </w:r>
      <w:r w:rsidR="00CF1B44">
        <w:rPr>
          <w:lang w:val="en-US"/>
        </w:rPr>
        <w:t xml:space="preserve">or other service providers, </w:t>
      </w:r>
      <w:r w:rsidR="00C30D8F">
        <w:rPr>
          <w:lang w:val="en-US"/>
        </w:rPr>
        <w:t>has the potential to</w:t>
      </w:r>
      <w:r w:rsidR="00443AA1">
        <w:rPr>
          <w:lang w:val="en-US"/>
        </w:rPr>
        <w:t xml:space="preserve"> </w:t>
      </w:r>
      <w:proofErr w:type="spellStart"/>
      <w:r>
        <w:rPr>
          <w:lang w:val="en-US"/>
        </w:rPr>
        <w:t>maximise</w:t>
      </w:r>
      <w:proofErr w:type="spellEnd"/>
      <w:r>
        <w:rPr>
          <w:lang w:val="en-US"/>
        </w:rPr>
        <w:t xml:space="preserve"> the chances of </w:t>
      </w:r>
      <w:r w:rsidR="00861AB7">
        <w:rPr>
          <w:lang w:val="en-US"/>
        </w:rPr>
        <w:t xml:space="preserve">rapid, </w:t>
      </w:r>
      <w:r>
        <w:rPr>
          <w:lang w:val="en-US"/>
        </w:rPr>
        <w:t xml:space="preserve">quality </w:t>
      </w:r>
      <w:proofErr w:type="gramStart"/>
      <w:r>
        <w:rPr>
          <w:lang w:val="en-US"/>
        </w:rPr>
        <w:t xml:space="preserve">training  </w:t>
      </w:r>
      <w:r w:rsidR="00CF1B44">
        <w:rPr>
          <w:lang w:val="en-US"/>
        </w:rPr>
        <w:t>as</w:t>
      </w:r>
      <w:proofErr w:type="gramEnd"/>
      <w:r w:rsidR="00CF1B44">
        <w:rPr>
          <w:lang w:val="en-US"/>
        </w:rPr>
        <w:t xml:space="preserve"> a service provider </w:t>
      </w:r>
      <w:r>
        <w:rPr>
          <w:lang w:val="en-US"/>
        </w:rPr>
        <w:t>to governments)</w:t>
      </w:r>
      <w:r w:rsidR="00443AA1">
        <w:rPr>
          <w:lang w:val="en-US"/>
        </w:rPr>
        <w:t xml:space="preserve"> especially in reaching hard to reach populations and locations</w:t>
      </w:r>
      <w:r w:rsidR="00CF1B44">
        <w:rPr>
          <w:lang w:val="en-US"/>
        </w:rPr>
        <w:t xml:space="preserve"> (as </w:t>
      </w:r>
      <w:r w:rsidR="0056459E">
        <w:rPr>
          <w:lang w:val="en-US"/>
        </w:rPr>
        <w:t>included in the PDD)</w:t>
      </w:r>
      <w:r w:rsidR="0056459E">
        <w:rPr>
          <w:rStyle w:val="FootnoteReference"/>
          <w:lang w:val="en-US"/>
        </w:rPr>
        <w:footnoteReference w:id="22"/>
      </w:r>
      <w:r>
        <w:rPr>
          <w:lang w:val="en-US"/>
        </w:rPr>
        <w:t>. Using existing in-country resources is also an efficiency measure.</w:t>
      </w:r>
      <w:r w:rsidR="002E3B74">
        <w:rPr>
          <w:lang w:val="en-US"/>
        </w:rPr>
        <w:t xml:space="preserve"> </w:t>
      </w:r>
    </w:p>
    <w:p w14:paraId="41684797" w14:textId="77777777" w:rsidR="00497F38" w:rsidRDefault="00497F38" w:rsidP="00126B38">
      <w:pPr>
        <w:pStyle w:val="NoSpacing"/>
        <w:rPr>
          <w:b/>
          <w:bCs/>
          <w:i/>
          <w:iCs/>
          <w:lang w:val="en-US"/>
        </w:rPr>
      </w:pPr>
    </w:p>
    <w:p w14:paraId="588F35BC" w14:textId="77777777" w:rsidR="00126B38" w:rsidRDefault="00126B38" w:rsidP="00126B38">
      <w:pPr>
        <w:pStyle w:val="NoSpacing"/>
        <w:rPr>
          <w:lang w:val="en-US"/>
        </w:rPr>
      </w:pPr>
      <w:r w:rsidRPr="007617B2">
        <w:rPr>
          <w:b/>
          <w:bCs/>
          <w:i/>
          <w:iCs/>
          <w:lang w:val="en-US"/>
        </w:rPr>
        <w:t>Recommendation</w:t>
      </w:r>
      <w:r w:rsidR="003A271B">
        <w:rPr>
          <w:b/>
          <w:bCs/>
          <w:i/>
          <w:iCs/>
          <w:lang w:val="en-US"/>
        </w:rPr>
        <w:t xml:space="preserve"> 2</w:t>
      </w:r>
      <w:r w:rsidRPr="007617B2">
        <w:rPr>
          <w:b/>
          <w:bCs/>
          <w:i/>
          <w:iCs/>
          <w:lang w:val="en-US"/>
        </w:rPr>
        <w:t>:</w:t>
      </w:r>
      <w:r>
        <w:rPr>
          <w:lang w:val="en-US"/>
        </w:rPr>
        <w:t xml:space="preserve"> </w:t>
      </w:r>
      <w:bookmarkStart w:id="27" w:name="_Hlk52094787"/>
      <w:r w:rsidR="005348DD">
        <w:rPr>
          <w:lang w:val="en-US"/>
        </w:rPr>
        <w:t xml:space="preserve">As part of their TA planning, </w:t>
      </w:r>
      <w:r w:rsidR="000C138F">
        <w:rPr>
          <w:lang w:val="en-US"/>
        </w:rPr>
        <w:t xml:space="preserve">it is recommended that </w:t>
      </w:r>
      <w:r w:rsidRPr="004E78FE">
        <w:rPr>
          <w:lang w:val="en-US"/>
        </w:rPr>
        <w:t>MOH</w:t>
      </w:r>
      <w:r w:rsidR="005348DD">
        <w:rPr>
          <w:lang w:val="en-US"/>
        </w:rPr>
        <w:t>s</w:t>
      </w:r>
      <w:r w:rsidRPr="004E78FE">
        <w:rPr>
          <w:lang w:val="en-US"/>
        </w:rPr>
        <w:t xml:space="preserve"> </w:t>
      </w:r>
      <w:proofErr w:type="gramStart"/>
      <w:r w:rsidR="000C138F">
        <w:rPr>
          <w:lang w:val="en-US"/>
        </w:rPr>
        <w:t>give consideration to</w:t>
      </w:r>
      <w:proofErr w:type="gramEnd"/>
      <w:r w:rsidR="000C138F">
        <w:rPr>
          <w:lang w:val="en-US"/>
        </w:rPr>
        <w:t xml:space="preserve"> </w:t>
      </w:r>
      <w:r w:rsidRPr="004E78FE">
        <w:rPr>
          <w:lang w:val="en-US"/>
        </w:rPr>
        <w:t>contract</w:t>
      </w:r>
      <w:r w:rsidR="00443AA1">
        <w:rPr>
          <w:lang w:val="en-US"/>
        </w:rPr>
        <w:t>ing</w:t>
      </w:r>
      <w:r w:rsidRPr="004E78FE">
        <w:rPr>
          <w:lang w:val="en-US"/>
        </w:rPr>
        <w:t xml:space="preserve"> </w:t>
      </w:r>
      <w:r>
        <w:rPr>
          <w:lang w:val="en-US"/>
        </w:rPr>
        <w:t xml:space="preserve">existing in-country </w:t>
      </w:r>
      <w:r w:rsidRPr="004E78FE">
        <w:rPr>
          <w:lang w:val="en-US"/>
        </w:rPr>
        <w:t>trainers (such as IPPF MA</w:t>
      </w:r>
      <w:r>
        <w:rPr>
          <w:lang w:val="en-US"/>
        </w:rPr>
        <w:t>s,</w:t>
      </w:r>
      <w:r w:rsidRPr="004E78FE">
        <w:rPr>
          <w:lang w:val="en-US"/>
        </w:rPr>
        <w:t xml:space="preserve"> Medical Services Pacific in Fiji, or others) to conduct training on FP methods</w:t>
      </w:r>
      <w:r>
        <w:rPr>
          <w:lang w:val="en-US"/>
        </w:rPr>
        <w:t xml:space="preserve"> </w:t>
      </w:r>
      <w:r w:rsidRPr="004E78FE">
        <w:rPr>
          <w:lang w:val="en-US"/>
        </w:rPr>
        <w:t>(particularly LARCs and EC)</w:t>
      </w:r>
      <w:r w:rsidR="000C138F">
        <w:rPr>
          <w:lang w:val="en-US"/>
        </w:rPr>
        <w:t>;</w:t>
      </w:r>
      <w:r w:rsidRPr="004E78FE">
        <w:rPr>
          <w:lang w:val="en-US"/>
        </w:rPr>
        <w:t xml:space="preserve"> and integrated SRH (youth-friendly service</w:t>
      </w:r>
      <w:r>
        <w:rPr>
          <w:lang w:val="en-US"/>
        </w:rPr>
        <w:t>s</w:t>
      </w:r>
      <w:r w:rsidRPr="004E78FE">
        <w:rPr>
          <w:lang w:val="en-US"/>
        </w:rPr>
        <w:t xml:space="preserve">, GBV care, disability inclusiveness) to global best practice standards. </w:t>
      </w:r>
      <w:r w:rsidR="000C138F">
        <w:rPr>
          <w:lang w:val="en-US"/>
        </w:rPr>
        <w:t xml:space="preserve">The benefit of MOH consideration of using </w:t>
      </w:r>
      <w:r w:rsidR="000C138F" w:rsidRPr="00E43BE5">
        <w:rPr>
          <w:lang w:val="en-US"/>
        </w:rPr>
        <w:t>contracted service providers is that it would reduce pressure on M</w:t>
      </w:r>
      <w:r w:rsidR="00F50086">
        <w:rPr>
          <w:lang w:val="en-US"/>
        </w:rPr>
        <w:t>O</w:t>
      </w:r>
      <w:r w:rsidR="000C138F" w:rsidRPr="00E43BE5">
        <w:rPr>
          <w:lang w:val="en-US"/>
        </w:rPr>
        <w:t>H medical staff for important, but non-critical work.</w:t>
      </w:r>
      <w:r w:rsidR="000C138F" w:rsidRPr="00E25DAD">
        <w:rPr>
          <w:lang w:val="en-US"/>
        </w:rPr>
        <w:t xml:space="preserve"> </w:t>
      </w:r>
      <w:r w:rsidR="000C138F" w:rsidRPr="00E43BE5">
        <w:rPr>
          <w:lang w:val="en-US"/>
        </w:rPr>
        <w:t xml:space="preserve">A model using non-government </w:t>
      </w:r>
      <w:r w:rsidR="00D53888">
        <w:rPr>
          <w:lang w:val="en-US"/>
        </w:rPr>
        <w:t xml:space="preserve">trainers </w:t>
      </w:r>
      <w:r w:rsidR="000C138F" w:rsidRPr="00E43BE5">
        <w:rPr>
          <w:lang w:val="en-US"/>
        </w:rPr>
        <w:t xml:space="preserve">would also allow for follow up work and quality control efforts related to cascade training </w:t>
      </w:r>
      <w:r w:rsidR="00313C52">
        <w:rPr>
          <w:lang w:val="en-US"/>
        </w:rPr>
        <w:t>(</w:t>
      </w:r>
      <w:r w:rsidR="000C138F" w:rsidRPr="00E43BE5">
        <w:rPr>
          <w:lang w:val="en-US"/>
        </w:rPr>
        <w:t>which has inherent limitations</w:t>
      </w:r>
      <w:r w:rsidR="00313C52">
        <w:rPr>
          <w:lang w:val="en-US"/>
        </w:rPr>
        <w:t>)</w:t>
      </w:r>
      <w:r w:rsidR="000C138F" w:rsidRPr="00E43BE5">
        <w:rPr>
          <w:lang w:val="en-US"/>
        </w:rPr>
        <w:t xml:space="preserve"> without overburdening government services. This</w:t>
      </w:r>
      <w:r w:rsidR="00313C52">
        <w:rPr>
          <w:lang w:val="en-US"/>
        </w:rPr>
        <w:t xml:space="preserve"> will need to be </w:t>
      </w:r>
      <w:r w:rsidR="000C138F" w:rsidRPr="00E43BE5">
        <w:rPr>
          <w:lang w:val="en-US"/>
        </w:rPr>
        <w:t xml:space="preserve">a decision for each government to make based on its </w:t>
      </w:r>
      <w:r w:rsidR="000C138F" w:rsidRPr="00313C52">
        <w:rPr>
          <w:lang w:val="en-US"/>
        </w:rPr>
        <w:t>circumstances.</w:t>
      </w:r>
      <w:r w:rsidR="000C138F">
        <w:rPr>
          <w:lang w:val="en-US"/>
        </w:rPr>
        <w:t xml:space="preserve"> </w:t>
      </w:r>
    </w:p>
    <w:bookmarkEnd w:id="27"/>
    <w:p w14:paraId="090D4AE3" w14:textId="77777777" w:rsidR="002F26D7" w:rsidRDefault="002F26D7" w:rsidP="00126B38">
      <w:pPr>
        <w:pStyle w:val="NoSpacing"/>
        <w:rPr>
          <w:lang w:val="en-US"/>
        </w:rPr>
      </w:pPr>
    </w:p>
    <w:p w14:paraId="5DFE94EB" w14:textId="77777777" w:rsidR="002F26D7" w:rsidRDefault="002F26D7" w:rsidP="00497F38">
      <w:pPr>
        <w:pStyle w:val="NoSpacing"/>
      </w:pPr>
      <w:r w:rsidRPr="002F26D7">
        <w:rPr>
          <w:b/>
          <w:bCs/>
          <w:i/>
          <w:iCs/>
        </w:rPr>
        <w:t>Recommendation</w:t>
      </w:r>
      <w:r w:rsidR="00F01FF5">
        <w:rPr>
          <w:b/>
          <w:bCs/>
          <w:i/>
          <w:iCs/>
        </w:rPr>
        <w:t xml:space="preserve"> 3</w:t>
      </w:r>
      <w:r w:rsidRPr="002F26D7">
        <w:rPr>
          <w:b/>
          <w:bCs/>
          <w:i/>
          <w:iCs/>
        </w:rPr>
        <w:t>:</w:t>
      </w:r>
      <w:r>
        <w:t xml:space="preserve"> UNFPA negotiate with Nursing </w:t>
      </w:r>
      <w:r w:rsidRPr="00287E77">
        <w:t>Councils and</w:t>
      </w:r>
      <w:r>
        <w:t>/or</w:t>
      </w:r>
      <w:r w:rsidRPr="00287E77">
        <w:t xml:space="preserve"> the South Pacific Board of Educational Qualifications (SPBEQ) to make all efforts towards ensuring that</w:t>
      </w:r>
      <w:r>
        <w:t xml:space="preserve"> in-service FP/SRH training can be registered to enable a recognised certificate (across the Pacific) to be issued on completion, as occurred in Solomon Islands for the </w:t>
      </w:r>
      <w:proofErr w:type="spellStart"/>
      <w:r>
        <w:t>Jadelle</w:t>
      </w:r>
      <w:proofErr w:type="spellEnd"/>
      <w:r>
        <w:t xml:space="preserve"> Rollout.</w:t>
      </w:r>
    </w:p>
    <w:p w14:paraId="0AA3ECE4" w14:textId="77777777" w:rsidR="00126B38" w:rsidRDefault="00126B38" w:rsidP="00497F38">
      <w:pPr>
        <w:pStyle w:val="NoSpacing"/>
      </w:pPr>
    </w:p>
    <w:p w14:paraId="4DC3A16C" w14:textId="77777777" w:rsidR="00EC783F" w:rsidRDefault="00EC783F" w:rsidP="003538C5">
      <w:pPr>
        <w:pStyle w:val="Level2Heading"/>
        <w:numPr>
          <w:ilvl w:val="1"/>
          <w:numId w:val="27"/>
        </w:numPr>
        <w:outlineLvl w:val="1"/>
      </w:pPr>
      <w:bookmarkStart w:id="28" w:name="_Toc76630091"/>
      <w:r>
        <w:t>Gender and Social Inclusion</w:t>
      </w:r>
      <w:bookmarkEnd w:id="28"/>
    </w:p>
    <w:p w14:paraId="651487B8" w14:textId="77777777" w:rsidR="00E80707" w:rsidRDefault="00A03FA9" w:rsidP="00497F38">
      <w:pPr>
        <w:pStyle w:val="NoSpacing"/>
      </w:pPr>
      <w:r w:rsidRPr="002F26D7">
        <w:t xml:space="preserve">Gender </w:t>
      </w:r>
      <w:r w:rsidR="00F042E5">
        <w:t xml:space="preserve">Equality </w:t>
      </w:r>
      <w:r w:rsidRPr="002F26D7">
        <w:t>and Social Inclusion</w:t>
      </w:r>
      <w:r>
        <w:t xml:space="preserve"> (GESI) </w:t>
      </w:r>
      <w:r w:rsidR="0033680D">
        <w:t xml:space="preserve">has been effectively integrated into </w:t>
      </w:r>
      <w:r>
        <w:t xml:space="preserve">the </w:t>
      </w:r>
      <w:r w:rsidR="0033680D">
        <w:t xml:space="preserve">TA </w:t>
      </w:r>
      <w:r>
        <w:t>program through consideration of the GBV care needed by survivors of sexual violence</w:t>
      </w:r>
      <w:r w:rsidR="00A47B06">
        <w:t>;</w:t>
      </w:r>
      <w:r>
        <w:t xml:space="preserve"> the SRHR needs </w:t>
      </w:r>
      <w:r w:rsidR="00DD5EA3">
        <w:t xml:space="preserve">and rights </w:t>
      </w:r>
      <w:r>
        <w:t>of persons with disabilities</w:t>
      </w:r>
      <w:r w:rsidR="00A47B06">
        <w:t>;</w:t>
      </w:r>
      <w:r w:rsidR="00DD5EA3">
        <w:t xml:space="preserve"> the rights of young people to </w:t>
      </w:r>
      <w:r w:rsidR="005060F4">
        <w:t xml:space="preserve">adolescent </w:t>
      </w:r>
      <w:r w:rsidR="00DD5EA3">
        <w:t>youth-friendly SRH services (</w:t>
      </w:r>
      <w:r w:rsidR="005060F4">
        <w:t>A</w:t>
      </w:r>
      <w:r w:rsidR="00DD5EA3">
        <w:t>YFS)</w:t>
      </w:r>
      <w:r w:rsidR="00A47B06">
        <w:t>;</w:t>
      </w:r>
      <w:r>
        <w:t xml:space="preserve"> and</w:t>
      </w:r>
      <w:r w:rsidR="00DD5EA3">
        <w:t xml:space="preserve"> through ensuring that men are targeted in behaviour change communication (BCC) strategies and IEC resources promoting FP/SRH. </w:t>
      </w:r>
      <w:r>
        <w:t xml:space="preserve"> </w:t>
      </w:r>
      <w:r w:rsidR="00DD5EA3">
        <w:t xml:space="preserve">While some training for aspects of GBV care and </w:t>
      </w:r>
      <w:r w:rsidR="005060F4">
        <w:t>A</w:t>
      </w:r>
      <w:r w:rsidR="00DD5EA3">
        <w:t xml:space="preserve">YFS </w:t>
      </w:r>
      <w:r w:rsidR="0033680D">
        <w:t xml:space="preserve">for SDP staff </w:t>
      </w:r>
      <w:r w:rsidR="00DD5EA3">
        <w:t xml:space="preserve">has begun (some through </w:t>
      </w:r>
      <w:r w:rsidR="0031711C">
        <w:t xml:space="preserve">TA program, </w:t>
      </w:r>
      <w:r w:rsidR="00DD5EA3">
        <w:t>government funded initiatives</w:t>
      </w:r>
      <w:r w:rsidR="00E50C1E">
        <w:t>, and through the MFAT-funded PRSRHP)</w:t>
      </w:r>
      <w:r w:rsidR="006F689E">
        <w:t>,</w:t>
      </w:r>
      <w:r w:rsidR="00DD5EA3">
        <w:t xml:space="preserve"> these activities will be implemented late in the </w:t>
      </w:r>
      <w:r w:rsidR="006D7AC6">
        <w:t xml:space="preserve">TA </w:t>
      </w:r>
      <w:r w:rsidR="00DD5EA3">
        <w:t xml:space="preserve">program due to the late recruitment of RIPs and the impact of COVID-19 on the program.  </w:t>
      </w:r>
      <w:r w:rsidR="00E80707">
        <w:t xml:space="preserve">    </w:t>
      </w:r>
    </w:p>
    <w:p w14:paraId="5FA795BA" w14:textId="77777777" w:rsidR="00497F38" w:rsidRDefault="00497F38" w:rsidP="00497F38">
      <w:pPr>
        <w:pStyle w:val="NoSpacing"/>
      </w:pPr>
    </w:p>
    <w:p w14:paraId="3B27F263" w14:textId="77777777" w:rsidR="00152456" w:rsidRDefault="005348DD" w:rsidP="00497F38">
      <w:pPr>
        <w:pStyle w:val="NoSpacing"/>
        <w:rPr>
          <w:lang w:val="en-US"/>
        </w:rPr>
      </w:pPr>
      <w:r>
        <w:t xml:space="preserve">In summary, </w:t>
      </w:r>
      <w:r w:rsidRPr="00F01FF5">
        <w:t>effectiveness</w:t>
      </w:r>
      <w:r>
        <w:t xml:space="preserve"> of the program c</w:t>
      </w:r>
      <w:r w:rsidR="0033680D">
        <w:t>ould</w:t>
      </w:r>
      <w:r>
        <w:t xml:space="preserve"> be improved through a </w:t>
      </w:r>
      <w:r w:rsidRPr="00A536A2">
        <w:rPr>
          <w:lang w:val="en-US"/>
        </w:rPr>
        <w:t>shift to targeting and</w:t>
      </w:r>
      <w:r w:rsidRPr="00466308">
        <w:rPr>
          <w:lang w:val="en-US"/>
        </w:rPr>
        <w:t xml:space="preserve"> accelerating high impact interventions</w:t>
      </w:r>
      <w:r>
        <w:rPr>
          <w:lang w:val="en-US"/>
        </w:rPr>
        <w:t>, such as focusing on</w:t>
      </w:r>
      <w:r w:rsidRPr="00466308">
        <w:rPr>
          <w:lang w:val="en-US"/>
        </w:rPr>
        <w:t xml:space="preserve"> SRH</w:t>
      </w:r>
      <w:r>
        <w:rPr>
          <w:lang w:val="en-US"/>
        </w:rPr>
        <w:t>/FP</w:t>
      </w:r>
      <w:r w:rsidRPr="00466308">
        <w:rPr>
          <w:lang w:val="en-US"/>
        </w:rPr>
        <w:t xml:space="preserve"> service delivery; making program-wide changes to </w:t>
      </w:r>
      <w:r>
        <w:rPr>
          <w:lang w:val="en-US"/>
        </w:rPr>
        <w:t xml:space="preserve">speed up </w:t>
      </w:r>
      <w:r w:rsidR="00F50086">
        <w:rPr>
          <w:lang w:val="en-US"/>
        </w:rPr>
        <w:t xml:space="preserve">fund </w:t>
      </w:r>
      <w:r w:rsidRPr="00466308">
        <w:rPr>
          <w:lang w:val="en-US"/>
        </w:rPr>
        <w:t xml:space="preserve">disbursement </w:t>
      </w:r>
      <w:r w:rsidR="009134C6">
        <w:rPr>
          <w:lang w:val="en-US"/>
        </w:rPr>
        <w:t xml:space="preserve">and improve </w:t>
      </w:r>
      <w:proofErr w:type="spellStart"/>
      <w:r w:rsidR="009134C6">
        <w:rPr>
          <w:lang w:val="en-US"/>
        </w:rPr>
        <w:t>utili</w:t>
      </w:r>
      <w:r w:rsidR="0033680D">
        <w:rPr>
          <w:lang w:val="en-US"/>
        </w:rPr>
        <w:t>s</w:t>
      </w:r>
      <w:r w:rsidR="009134C6">
        <w:rPr>
          <w:lang w:val="en-US"/>
        </w:rPr>
        <w:t>ation</w:t>
      </w:r>
      <w:proofErr w:type="spellEnd"/>
      <w:r w:rsidR="009134C6">
        <w:rPr>
          <w:lang w:val="en-US"/>
        </w:rPr>
        <w:t xml:space="preserve"> rates</w:t>
      </w:r>
      <w:r w:rsidRPr="00466308">
        <w:rPr>
          <w:lang w:val="en-US"/>
        </w:rPr>
        <w:t xml:space="preserve">; and reorienting interventions to focus on </w:t>
      </w:r>
      <w:r>
        <w:rPr>
          <w:lang w:val="en-US"/>
        </w:rPr>
        <w:t>achieving</w:t>
      </w:r>
      <w:r w:rsidRPr="00466308">
        <w:rPr>
          <w:lang w:val="en-US"/>
        </w:rPr>
        <w:t xml:space="preserve"> </w:t>
      </w:r>
      <w:r w:rsidR="00E52748">
        <w:rPr>
          <w:lang w:val="en-US"/>
        </w:rPr>
        <w:t xml:space="preserve">FP </w:t>
      </w:r>
      <w:r>
        <w:rPr>
          <w:lang w:val="en-US"/>
        </w:rPr>
        <w:t>outcomes</w:t>
      </w:r>
      <w:r w:rsidRPr="00466308">
        <w:rPr>
          <w:lang w:val="en-US"/>
        </w:rPr>
        <w:t xml:space="preserve">. Effective use of existing SRH </w:t>
      </w:r>
      <w:r>
        <w:rPr>
          <w:lang w:val="en-US"/>
        </w:rPr>
        <w:t xml:space="preserve">services and </w:t>
      </w:r>
      <w:r w:rsidR="0059232A">
        <w:rPr>
          <w:lang w:val="en-US"/>
        </w:rPr>
        <w:t xml:space="preserve">BCC </w:t>
      </w:r>
      <w:r>
        <w:rPr>
          <w:lang w:val="en-US"/>
        </w:rPr>
        <w:t xml:space="preserve">resources </w:t>
      </w:r>
      <w:r w:rsidRPr="00466308">
        <w:rPr>
          <w:lang w:val="en-US"/>
        </w:rPr>
        <w:t xml:space="preserve">in-country </w:t>
      </w:r>
      <w:r>
        <w:rPr>
          <w:lang w:val="en-US"/>
        </w:rPr>
        <w:t xml:space="preserve">should be considered, particularly given </w:t>
      </w:r>
      <w:r w:rsidRPr="00466308">
        <w:rPr>
          <w:lang w:val="en-US"/>
        </w:rPr>
        <w:t xml:space="preserve">the unforeseen impact of COVID-19 </w:t>
      </w:r>
      <w:r>
        <w:rPr>
          <w:lang w:val="en-US"/>
        </w:rPr>
        <w:t>limiting the travel and effective use of RIPs.</w:t>
      </w:r>
    </w:p>
    <w:p w14:paraId="59B3A66A" w14:textId="5B42BE54" w:rsidR="004D0470" w:rsidRDefault="004D0470" w:rsidP="00497F38">
      <w:pPr>
        <w:pStyle w:val="NoSpacing"/>
        <w:rPr>
          <w:lang w:val="en-US"/>
        </w:rPr>
      </w:pPr>
    </w:p>
    <w:p w14:paraId="2A8C93CE" w14:textId="6E0EFFE7" w:rsidR="000B4E0A" w:rsidRDefault="000B4E0A" w:rsidP="00497F38">
      <w:pPr>
        <w:pStyle w:val="NoSpacing"/>
        <w:rPr>
          <w:lang w:val="en-US"/>
        </w:rPr>
      </w:pPr>
    </w:p>
    <w:p w14:paraId="507C385A" w14:textId="76B3E543" w:rsidR="000B4E0A" w:rsidRDefault="000B4E0A" w:rsidP="00497F38">
      <w:pPr>
        <w:pStyle w:val="NoSpacing"/>
        <w:rPr>
          <w:lang w:val="en-US"/>
        </w:rPr>
      </w:pPr>
    </w:p>
    <w:p w14:paraId="6E6F243D" w14:textId="77777777" w:rsidR="000B4E0A" w:rsidRPr="005F68D1" w:rsidRDefault="000B4E0A" w:rsidP="00497F38">
      <w:pPr>
        <w:pStyle w:val="NoSpacing"/>
        <w:rPr>
          <w:lang w:val="en-US"/>
        </w:rPr>
      </w:pPr>
    </w:p>
    <w:p w14:paraId="5C040EC4" w14:textId="77777777" w:rsidR="00CA7D57" w:rsidRDefault="005348DD" w:rsidP="003538C5">
      <w:pPr>
        <w:pStyle w:val="NumberedLevel1heading"/>
        <w:numPr>
          <w:ilvl w:val="0"/>
          <w:numId w:val="27"/>
        </w:numPr>
        <w:jc w:val="left"/>
      </w:pPr>
      <w:bookmarkStart w:id="29" w:name="_Toc76630092"/>
      <w:r>
        <w:lastRenderedPageBreak/>
        <w:t>Efficiency</w:t>
      </w:r>
      <w:bookmarkEnd w:id="29"/>
    </w:p>
    <w:p w14:paraId="22B76260" w14:textId="77777777" w:rsidR="00AE1EC4" w:rsidRDefault="00AE1EC4" w:rsidP="00497F38">
      <w:pPr>
        <w:pStyle w:val="NoSpacing"/>
      </w:pPr>
    </w:p>
    <w:p w14:paraId="7045C94D" w14:textId="77777777" w:rsidR="00AE1EC4" w:rsidRDefault="005F68D1" w:rsidP="00497F38">
      <w:pPr>
        <w:pStyle w:val="NoSpacing"/>
      </w:pPr>
      <w:r>
        <w:rPr>
          <w:noProof/>
          <w:lang w:eastAsia="en-AU"/>
        </w:rPr>
        <mc:AlternateContent>
          <mc:Choice Requires="wps">
            <w:drawing>
              <wp:inline distT="0" distB="0" distL="0" distR="0" wp14:anchorId="3EA3E143" wp14:editId="5EC3CBE2">
                <wp:extent cx="5715000" cy="1466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66850"/>
                        </a:xfrm>
                        <a:prstGeom prst="rect">
                          <a:avLst/>
                        </a:prstGeom>
                        <a:solidFill>
                          <a:srgbClr val="FFFFFF"/>
                        </a:solidFill>
                        <a:ln w="9525">
                          <a:solidFill>
                            <a:srgbClr val="000000"/>
                          </a:solidFill>
                          <a:miter lim="800000"/>
                          <a:headEnd/>
                          <a:tailEnd/>
                        </a:ln>
                      </wps:spPr>
                      <wps:txbx>
                        <w:txbxContent>
                          <w:p w14:paraId="2547BC98" w14:textId="77777777" w:rsidR="00051F27" w:rsidRPr="00D63164" w:rsidRDefault="00051F27" w:rsidP="00AE1EC4">
                            <w:pPr>
                              <w:rPr>
                                <w:rFonts w:cstheme="minorHAnsi"/>
                                <w:sz w:val="18"/>
                                <w:szCs w:val="18"/>
                              </w:rPr>
                            </w:pPr>
                            <w:r w:rsidRPr="00D63164">
                              <w:rPr>
                                <w:rFonts w:cstheme="minorHAnsi"/>
                                <w:sz w:val="18"/>
                                <w:szCs w:val="18"/>
                              </w:rPr>
                              <w:t>Is the TA being implemented in an efficient way (time, personnel, budgets and resources) and using an appropriate modality?</w:t>
                            </w:r>
                          </w:p>
                          <w:p w14:paraId="4C1ADE72" w14:textId="77777777" w:rsidR="00051F27" w:rsidRPr="00D63164" w:rsidRDefault="00051F27" w:rsidP="00D63164">
                            <w:pPr>
                              <w:rPr>
                                <w:rFonts w:cstheme="minorHAnsi"/>
                                <w:sz w:val="18"/>
                                <w:szCs w:val="18"/>
                              </w:rPr>
                            </w:pPr>
                            <w:r w:rsidRPr="00D63164">
                              <w:rPr>
                                <w:rFonts w:cstheme="minorHAnsi"/>
                                <w:sz w:val="18"/>
                                <w:szCs w:val="18"/>
                              </w:rPr>
                              <w:t>Is the TA using appropriate, effective and efficient strategies and activities to progress outcomes; coordinated across IPs; and does the AWP ensure quality interventions?</w:t>
                            </w:r>
                          </w:p>
                          <w:p w14:paraId="3DD4A357" w14:textId="77777777" w:rsidR="00051F27" w:rsidRPr="00D63164" w:rsidRDefault="00051F27">
                            <w:pPr>
                              <w:rPr>
                                <w:rFonts w:cstheme="minorHAnsi"/>
                                <w:sz w:val="18"/>
                                <w:szCs w:val="18"/>
                              </w:rPr>
                            </w:pPr>
                            <w:r w:rsidRPr="00D63164">
                              <w:rPr>
                                <w:rFonts w:cstheme="minorHAnsi"/>
                                <w:sz w:val="18"/>
                                <w:szCs w:val="18"/>
                              </w:rPr>
                              <w:t>Is the level and balance of funding to each country and its allocation between activities and outcomes commensurate with desired outcomes and the overall program objective?</w:t>
                            </w:r>
                          </w:p>
                          <w:p w14:paraId="218B17F9" w14:textId="77777777" w:rsidR="00051F27" w:rsidRPr="00D63164" w:rsidRDefault="00051F27">
                            <w:pPr>
                              <w:rPr>
                                <w:sz w:val="18"/>
                                <w:szCs w:val="18"/>
                              </w:rPr>
                            </w:pPr>
                            <w:r w:rsidRPr="00D63164">
                              <w:rPr>
                                <w:rFonts w:cstheme="minorHAnsi"/>
                                <w:sz w:val="18"/>
                                <w:szCs w:val="18"/>
                              </w:rPr>
                              <w:t>Are the opportunities and bottlenecks being addressed by the program?</w:t>
                            </w:r>
                          </w:p>
                        </w:txbxContent>
                      </wps:txbx>
                      <wps:bodyPr rot="0" vert="horz" wrap="square" lIns="91440" tIns="45720" rIns="91440" bIns="45720" anchor="t" anchorCtr="0">
                        <a:noAutofit/>
                      </wps:bodyPr>
                    </wps:wsp>
                  </a:graphicData>
                </a:graphic>
              </wp:inline>
            </w:drawing>
          </mc:Choice>
          <mc:Fallback>
            <w:pict>
              <v:shape w14:anchorId="3EA3E143" id="_x0000_s1029" type="#_x0000_t202" style="width:450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">
                <v:textbox>
                  <w:txbxContent>
                    <w:p w14:paraId="2547BC98" w14:textId="77777777" w:rsidR="00051F27" w:rsidRPr="00D63164" w:rsidRDefault="00051F27" w:rsidP="00AE1EC4">
                      <w:pPr>
                        <w:rPr>
                          <w:rFonts w:cstheme="minorHAnsi"/>
                          <w:sz w:val="18"/>
                          <w:szCs w:val="18"/>
                        </w:rPr>
                      </w:pPr>
                      <w:r w:rsidRPr="00D63164">
                        <w:rPr>
                          <w:rFonts w:cstheme="minorHAnsi"/>
                          <w:sz w:val="18"/>
                          <w:szCs w:val="18"/>
                        </w:rPr>
                        <w:t>Is the TA being implemented in an efficient way (time, personnel, budgets and resources) and using an appropriate modality?</w:t>
                      </w:r>
                    </w:p>
                    <w:p w14:paraId="4C1ADE72" w14:textId="77777777" w:rsidR="00051F27" w:rsidRPr="00D63164" w:rsidRDefault="00051F27" w:rsidP="00D63164">
                      <w:pPr>
                        <w:rPr>
                          <w:rFonts w:cstheme="minorHAnsi"/>
                          <w:sz w:val="18"/>
                          <w:szCs w:val="18"/>
                        </w:rPr>
                      </w:pPr>
                      <w:r w:rsidRPr="00D63164">
                        <w:rPr>
                          <w:rFonts w:cstheme="minorHAnsi"/>
                          <w:sz w:val="18"/>
                          <w:szCs w:val="18"/>
                        </w:rPr>
                        <w:t>Is the TA using appropriate, effective and efficient strategies and activities to progress outcomes; coordinated across IPs; and does the AWP ensure quality interventions?</w:t>
                      </w:r>
                    </w:p>
                    <w:p w14:paraId="3DD4A357" w14:textId="77777777" w:rsidR="00051F27" w:rsidRPr="00D63164" w:rsidRDefault="00051F27">
                      <w:pPr>
                        <w:rPr>
                          <w:rFonts w:cstheme="minorHAnsi"/>
                          <w:sz w:val="18"/>
                          <w:szCs w:val="18"/>
                        </w:rPr>
                      </w:pPr>
                      <w:r w:rsidRPr="00D63164">
                        <w:rPr>
                          <w:rFonts w:cstheme="minorHAnsi"/>
                          <w:sz w:val="18"/>
                          <w:szCs w:val="18"/>
                        </w:rPr>
                        <w:t>Is the level and balance of funding to each country and its allocation between activities and outcomes commensurate with desired outcomes and the overall program objective?</w:t>
                      </w:r>
                    </w:p>
                    <w:p w14:paraId="218B17F9" w14:textId="77777777" w:rsidR="00051F27" w:rsidRPr="00D63164" w:rsidRDefault="00051F27">
                      <w:pPr>
                        <w:rPr>
                          <w:sz w:val="18"/>
                          <w:szCs w:val="18"/>
                        </w:rPr>
                      </w:pPr>
                      <w:r w:rsidRPr="00D63164">
                        <w:rPr>
                          <w:rFonts w:cstheme="minorHAnsi"/>
                          <w:sz w:val="18"/>
                          <w:szCs w:val="18"/>
                        </w:rPr>
                        <w:t>Are the opportunities and bottlenecks being addressed by the program?</w:t>
                      </w:r>
                    </w:p>
                  </w:txbxContent>
                </v:textbox>
                <w10:anchorlock/>
              </v:shape>
            </w:pict>
          </mc:Fallback>
        </mc:AlternateContent>
      </w:r>
    </w:p>
    <w:p w14:paraId="323187DB" w14:textId="77777777" w:rsidR="008A02D5" w:rsidRDefault="008A02D5" w:rsidP="0033680D">
      <w:pPr>
        <w:pStyle w:val="NoSpacing"/>
      </w:pPr>
    </w:p>
    <w:p w14:paraId="3135BA98" w14:textId="77777777" w:rsidR="0033680D" w:rsidRDefault="0033680D" w:rsidP="0033680D">
      <w:pPr>
        <w:pStyle w:val="NoSpacing"/>
      </w:pPr>
      <w:r>
        <w:t xml:space="preserve">Consultations and analysis of key documents identified inefficiencies in planning, disbursement, coordination, staffing, management and resource utilisation.  </w:t>
      </w:r>
    </w:p>
    <w:p w14:paraId="7544317B" w14:textId="77777777" w:rsidR="00BE2C66" w:rsidRDefault="00BE2C66" w:rsidP="00BE2C66">
      <w:pPr>
        <w:pStyle w:val="NoSpacing"/>
      </w:pPr>
    </w:p>
    <w:p w14:paraId="542B3AD6" w14:textId="77777777" w:rsidR="00337406" w:rsidRDefault="00337406" w:rsidP="003538C5">
      <w:pPr>
        <w:pStyle w:val="Level2Heading"/>
        <w:numPr>
          <w:ilvl w:val="1"/>
          <w:numId w:val="27"/>
        </w:numPr>
        <w:outlineLvl w:val="1"/>
      </w:pPr>
      <w:bookmarkStart w:id="30" w:name="_Toc76630093"/>
      <w:r>
        <w:t>P</w:t>
      </w:r>
      <w:r w:rsidR="00FF3E32">
        <w:t>lanning and Disbursement</w:t>
      </w:r>
      <w:bookmarkEnd w:id="30"/>
    </w:p>
    <w:p w14:paraId="197D0706" w14:textId="77777777" w:rsidR="00B53F82" w:rsidRDefault="00C016D4" w:rsidP="00B53F82">
      <w:pPr>
        <w:pStyle w:val="NoSpacing"/>
      </w:pPr>
      <w:r>
        <w:t xml:space="preserve">While UNFPA is to be congratulated for ensuring that all IPs and SRs are held accountable for Australian taxpayer funds through rigorous financial controls, the </w:t>
      </w:r>
      <w:r w:rsidR="0033680D">
        <w:t xml:space="preserve">current </w:t>
      </w:r>
      <w:r>
        <w:t xml:space="preserve">processes associated with planning, preparation of AWPs and budgets, approval of plans, and disbursement of funds </w:t>
      </w:r>
      <w:r w:rsidR="0031711C">
        <w:t xml:space="preserve">(as per UNFPA global guidelines) </w:t>
      </w:r>
      <w:r>
        <w:t xml:space="preserve">are inefficient. The vast majority of </w:t>
      </w:r>
      <w:r w:rsidR="0033680D">
        <w:t>stakeholders consulted were</w:t>
      </w:r>
      <w:r>
        <w:t xml:space="preserve"> dissatisfied with the disbursement processes, delays, mismatched financial years, and complex, inflexible administrative procedures. </w:t>
      </w:r>
      <w:r w:rsidR="00B53F82" w:rsidRPr="00313C52">
        <w:t>There was l</w:t>
      </w:r>
      <w:r w:rsidR="00313C52" w:rsidRPr="00313C52">
        <w:t>imited</w:t>
      </w:r>
      <w:r w:rsidR="00B53F82" w:rsidRPr="00313C52">
        <w:t xml:space="preserve"> recognition of the steps taken by UNFPA this year to reduce the burden of these processes. It will be useful for UNFPA to understand the cumulative impact of these problems across years and that it will take sustained attention, innovation and improved responsiveness to ensure program transactions are made </w:t>
      </w:r>
      <w:r w:rsidR="00F50086">
        <w:t xml:space="preserve">more </w:t>
      </w:r>
      <w:r w:rsidR="00B53F82" w:rsidRPr="00313C52">
        <w:t xml:space="preserve">efficient and partners </w:t>
      </w:r>
      <w:r w:rsidR="00F50086">
        <w:t>feel</w:t>
      </w:r>
      <w:r w:rsidR="00313C52">
        <w:t xml:space="preserve"> better</w:t>
      </w:r>
      <w:r w:rsidR="00B53F82" w:rsidRPr="00313C52">
        <w:t xml:space="preserve"> supported.</w:t>
      </w:r>
    </w:p>
    <w:p w14:paraId="6C833E81" w14:textId="77777777" w:rsidR="00C016D4" w:rsidRDefault="00C016D4" w:rsidP="00C016D4">
      <w:pPr>
        <w:pStyle w:val="NoSpacing"/>
      </w:pPr>
      <w:r>
        <w:t xml:space="preserve"> </w:t>
      </w:r>
    </w:p>
    <w:p w14:paraId="0201C617" w14:textId="77777777" w:rsidR="00313C52" w:rsidRDefault="00843E5E" w:rsidP="00EE1FEF">
      <w:pPr>
        <w:pStyle w:val="NoSpacing"/>
      </w:pPr>
      <w:r>
        <w:t xml:space="preserve">The TA program provides AUD </w:t>
      </w:r>
      <w:r w:rsidR="00443AA1">
        <w:t>7.5</w:t>
      </w:r>
      <w:r>
        <w:t xml:space="preserve"> million per year for implementing activities across </w:t>
      </w:r>
      <w:r w:rsidR="00697D94">
        <w:t>six</w:t>
      </w:r>
      <w:r>
        <w:t xml:space="preserve"> countries, </w:t>
      </w:r>
      <w:r w:rsidR="003C2551">
        <w:t xml:space="preserve">through </w:t>
      </w:r>
      <w:r>
        <w:t xml:space="preserve">46 Ministries, Sub Recipients and Regional IPs. </w:t>
      </w:r>
      <w:r w:rsidR="002477A3">
        <w:t>Despite the large number of IPs, t</w:t>
      </w:r>
      <w:r>
        <w:t xml:space="preserve">he following table demonstrates </w:t>
      </w:r>
      <w:r w:rsidR="00FF3E32">
        <w:t>the low fund utilisation rate</w:t>
      </w:r>
      <w:r w:rsidR="00A36D2E">
        <w:t>.</w:t>
      </w:r>
    </w:p>
    <w:p w14:paraId="19191123" w14:textId="77777777" w:rsidR="00313C52" w:rsidRDefault="00313C52" w:rsidP="00EE1FEF">
      <w:pPr>
        <w:pStyle w:val="NoSpacing"/>
      </w:pPr>
    </w:p>
    <w:p w14:paraId="71B328B5" w14:textId="77777777" w:rsidR="00EE1FEF" w:rsidRDefault="00EE1FEF" w:rsidP="00EE1FEF">
      <w:pPr>
        <w:pStyle w:val="NoSpacing"/>
      </w:pPr>
      <w:r>
        <w:t xml:space="preserve">Table 4 </w:t>
      </w:r>
      <w:r w:rsidR="00313C52">
        <w:t>outlines</w:t>
      </w:r>
      <w:r>
        <w:t xml:space="preserve"> expenditure to date.</w:t>
      </w:r>
      <w:r w:rsidR="00313C52">
        <w:t xml:space="preserve"> Total funding is USD 22,765,737 (AUD 30 million).</w:t>
      </w:r>
      <w:r>
        <w:t xml:space="preserve"> </w:t>
      </w:r>
      <w:r w:rsidR="00443AA1">
        <w:t xml:space="preserve">To </w:t>
      </w:r>
      <w:r w:rsidR="00A36D2E">
        <w:t>August 2020</w:t>
      </w:r>
      <w:r w:rsidR="00443AA1">
        <w:t xml:space="preserve">, </w:t>
      </w:r>
      <w:r>
        <w:t xml:space="preserve">only </w:t>
      </w:r>
      <w:r w:rsidR="00F50086">
        <w:t xml:space="preserve">33% </w:t>
      </w:r>
      <w:r>
        <w:t xml:space="preserve">of the total funding has been utilised. </w:t>
      </w:r>
      <w:r w:rsidR="00A36D2E">
        <w:t xml:space="preserve">Expenditure is expected to increase significantly by the end of 2020. </w:t>
      </w:r>
    </w:p>
    <w:p w14:paraId="012D930E" w14:textId="77777777" w:rsidR="003204EA" w:rsidRDefault="003204EA" w:rsidP="00EE1FEF">
      <w:pPr>
        <w:pStyle w:val="NoSpacing"/>
      </w:pPr>
    </w:p>
    <w:p w14:paraId="4C6F37C2" w14:textId="77777777" w:rsidR="00EE1FEF" w:rsidRPr="00E04F3E" w:rsidRDefault="00EE1FEF" w:rsidP="005F68D1">
      <w:pPr>
        <w:pStyle w:val="NoSpacing"/>
        <w:rPr>
          <w:b/>
          <w:bCs/>
        </w:rPr>
      </w:pPr>
      <w:r w:rsidRPr="00E04F3E">
        <w:rPr>
          <w:b/>
          <w:bCs/>
        </w:rPr>
        <w:t xml:space="preserve">Table </w:t>
      </w:r>
      <w:r>
        <w:rPr>
          <w:b/>
          <w:bCs/>
        </w:rPr>
        <w:t>4</w:t>
      </w:r>
      <w:r w:rsidRPr="00E04F3E">
        <w:rPr>
          <w:b/>
          <w:bCs/>
        </w:rPr>
        <w:t>:  Expenditure to Date (August</w:t>
      </w:r>
      <w:r w:rsidR="00C27A48">
        <w:rPr>
          <w:b/>
          <w:bCs/>
        </w:rPr>
        <w:t xml:space="preserve"> </w:t>
      </w:r>
      <w:r w:rsidR="00443AA1">
        <w:rPr>
          <w:b/>
          <w:bCs/>
        </w:rPr>
        <w:t>2018 - August</w:t>
      </w:r>
      <w:r w:rsidRPr="00E04F3E">
        <w:rPr>
          <w:b/>
          <w:bCs/>
        </w:rPr>
        <w:t xml:space="preserve"> 2020)</w:t>
      </w:r>
    </w:p>
    <w:tbl>
      <w:tblPr>
        <w:tblStyle w:val="TableGrid"/>
        <w:tblW w:w="0" w:type="auto"/>
        <w:tblInd w:w="-5" w:type="dxa"/>
        <w:tblLook w:val="04A0" w:firstRow="1" w:lastRow="0" w:firstColumn="1" w:lastColumn="0" w:noHBand="0" w:noVBand="1"/>
      </w:tblPr>
      <w:tblGrid>
        <w:gridCol w:w="1838"/>
        <w:gridCol w:w="2410"/>
        <w:gridCol w:w="1276"/>
      </w:tblGrid>
      <w:tr w:rsidR="00EE1FEF" w:rsidRPr="00D15CC7" w14:paraId="5A20BD32" w14:textId="77777777" w:rsidTr="005F68D1">
        <w:tc>
          <w:tcPr>
            <w:tcW w:w="1838" w:type="dxa"/>
            <w:shd w:val="clear" w:color="auto" w:fill="FF0000"/>
          </w:tcPr>
          <w:p w14:paraId="61BAE5BE" w14:textId="77777777" w:rsidR="00EE1FEF" w:rsidRPr="009448C8" w:rsidRDefault="00EE1FEF" w:rsidP="00B92A67">
            <w:pPr>
              <w:pStyle w:val="NoSpacing"/>
              <w:jc w:val="center"/>
              <w:rPr>
                <w:b/>
                <w:bCs/>
              </w:rPr>
            </w:pPr>
            <w:r w:rsidRPr="009448C8">
              <w:rPr>
                <w:b/>
                <w:bCs/>
              </w:rPr>
              <w:t>Year</w:t>
            </w:r>
          </w:p>
        </w:tc>
        <w:tc>
          <w:tcPr>
            <w:tcW w:w="2410" w:type="dxa"/>
            <w:shd w:val="clear" w:color="auto" w:fill="FF0000"/>
          </w:tcPr>
          <w:p w14:paraId="5A0C8E47" w14:textId="77777777" w:rsidR="00EE1FEF" w:rsidRPr="009448C8" w:rsidRDefault="00EE1FEF" w:rsidP="00B92A67">
            <w:pPr>
              <w:pStyle w:val="NoSpacing"/>
              <w:jc w:val="center"/>
              <w:rPr>
                <w:b/>
                <w:bCs/>
              </w:rPr>
            </w:pPr>
            <w:r w:rsidRPr="009448C8">
              <w:rPr>
                <w:b/>
                <w:bCs/>
              </w:rPr>
              <w:t>Expenditure (USD)</w:t>
            </w:r>
          </w:p>
        </w:tc>
        <w:tc>
          <w:tcPr>
            <w:tcW w:w="1276" w:type="dxa"/>
            <w:shd w:val="clear" w:color="auto" w:fill="FF0000"/>
          </w:tcPr>
          <w:p w14:paraId="2EBB14FB" w14:textId="77777777" w:rsidR="00EE1FEF" w:rsidRPr="009448C8" w:rsidRDefault="00EE1FEF" w:rsidP="00B92A67">
            <w:pPr>
              <w:pStyle w:val="NoSpacing"/>
              <w:jc w:val="center"/>
              <w:rPr>
                <w:b/>
                <w:bCs/>
              </w:rPr>
            </w:pPr>
            <w:r w:rsidRPr="009448C8">
              <w:rPr>
                <w:b/>
                <w:bCs/>
              </w:rPr>
              <w:t>% of total</w:t>
            </w:r>
          </w:p>
        </w:tc>
      </w:tr>
      <w:tr w:rsidR="00EE1FEF" w:rsidRPr="00D15CC7" w14:paraId="1444CE4D" w14:textId="77777777" w:rsidTr="005F68D1">
        <w:tc>
          <w:tcPr>
            <w:tcW w:w="1838" w:type="dxa"/>
          </w:tcPr>
          <w:p w14:paraId="3507031A" w14:textId="77777777" w:rsidR="00EE1FEF" w:rsidRPr="00D15CC7" w:rsidRDefault="00EE1FEF" w:rsidP="00B92A67">
            <w:pPr>
              <w:pStyle w:val="NoSpacing"/>
            </w:pPr>
            <w:r w:rsidRPr="00D15CC7">
              <w:t>2018</w:t>
            </w:r>
            <w:r w:rsidR="00443AA1">
              <w:t xml:space="preserve"> (Aug – Dec)</w:t>
            </w:r>
          </w:p>
        </w:tc>
        <w:tc>
          <w:tcPr>
            <w:tcW w:w="2410" w:type="dxa"/>
          </w:tcPr>
          <w:p w14:paraId="690ED169" w14:textId="77777777" w:rsidR="00EE1FEF" w:rsidRPr="00D15CC7" w:rsidRDefault="00C27A48" w:rsidP="00B92A67">
            <w:pPr>
              <w:pStyle w:val="NoSpacing"/>
            </w:pPr>
            <w:r>
              <w:t>936,737</w:t>
            </w:r>
            <w:r w:rsidR="00941203">
              <w:rPr>
                <w:rStyle w:val="FootnoteReference"/>
              </w:rPr>
              <w:footnoteReference w:id="23"/>
            </w:r>
            <w:r>
              <w:t xml:space="preserve"> </w:t>
            </w:r>
          </w:p>
        </w:tc>
        <w:tc>
          <w:tcPr>
            <w:tcW w:w="1276" w:type="dxa"/>
          </w:tcPr>
          <w:p w14:paraId="7884A898" w14:textId="77777777" w:rsidR="00EE1FEF" w:rsidRPr="00D15CC7" w:rsidRDefault="00C27A48" w:rsidP="00B92A67">
            <w:pPr>
              <w:pStyle w:val="NoSpacing"/>
            </w:pPr>
            <w:r>
              <w:t>4</w:t>
            </w:r>
            <w:r w:rsidR="00EE1FEF">
              <w:t>%</w:t>
            </w:r>
          </w:p>
        </w:tc>
      </w:tr>
      <w:tr w:rsidR="00EE1FEF" w:rsidRPr="00D15CC7" w14:paraId="3C097B69" w14:textId="77777777" w:rsidTr="005F68D1">
        <w:tc>
          <w:tcPr>
            <w:tcW w:w="1838" w:type="dxa"/>
          </w:tcPr>
          <w:p w14:paraId="2EAB15D9" w14:textId="77777777" w:rsidR="00EE1FEF" w:rsidRPr="00D15CC7" w:rsidRDefault="00EE1FEF" w:rsidP="00B92A67">
            <w:pPr>
              <w:pStyle w:val="NoSpacing"/>
            </w:pPr>
            <w:r w:rsidRPr="00D15CC7">
              <w:t>2019</w:t>
            </w:r>
            <w:r w:rsidR="00443AA1">
              <w:t xml:space="preserve"> (Jan – Dec)</w:t>
            </w:r>
          </w:p>
        </w:tc>
        <w:tc>
          <w:tcPr>
            <w:tcW w:w="2410" w:type="dxa"/>
          </w:tcPr>
          <w:p w14:paraId="7471F04F" w14:textId="77777777" w:rsidR="00EE1FEF" w:rsidRPr="00D15CC7" w:rsidRDefault="00C27A48" w:rsidP="00B92A67">
            <w:pPr>
              <w:pStyle w:val="NoSpacing"/>
            </w:pPr>
            <w:r>
              <w:t xml:space="preserve">3,070,430 </w:t>
            </w:r>
          </w:p>
        </w:tc>
        <w:tc>
          <w:tcPr>
            <w:tcW w:w="1276" w:type="dxa"/>
          </w:tcPr>
          <w:p w14:paraId="521CF5AB" w14:textId="77777777" w:rsidR="00EE1FEF" w:rsidRPr="00D15CC7" w:rsidRDefault="00A36D2E" w:rsidP="00B92A67">
            <w:pPr>
              <w:pStyle w:val="NoSpacing"/>
            </w:pPr>
            <w:r>
              <w:t>14</w:t>
            </w:r>
            <w:r w:rsidR="00EE1FEF">
              <w:t>%</w:t>
            </w:r>
          </w:p>
        </w:tc>
      </w:tr>
      <w:tr w:rsidR="00EE1FEF" w:rsidRPr="00D15CC7" w14:paraId="060FB7C0" w14:textId="77777777" w:rsidTr="005F68D1">
        <w:tc>
          <w:tcPr>
            <w:tcW w:w="1838" w:type="dxa"/>
          </w:tcPr>
          <w:p w14:paraId="52D04043" w14:textId="77777777" w:rsidR="00EE1FEF" w:rsidRPr="00D15CC7" w:rsidRDefault="00EE1FEF" w:rsidP="00B92A67">
            <w:pPr>
              <w:pStyle w:val="NoSpacing"/>
            </w:pPr>
            <w:r w:rsidRPr="00D15CC7">
              <w:t>2020 (</w:t>
            </w:r>
            <w:r w:rsidR="00443AA1">
              <w:t>Jan -</w:t>
            </w:r>
            <w:r w:rsidRPr="00D15CC7">
              <w:t>August)</w:t>
            </w:r>
          </w:p>
        </w:tc>
        <w:tc>
          <w:tcPr>
            <w:tcW w:w="2410" w:type="dxa"/>
          </w:tcPr>
          <w:p w14:paraId="1A3E315E" w14:textId="77777777" w:rsidR="00EE1FEF" w:rsidRPr="00D15CC7" w:rsidRDefault="00C27A48" w:rsidP="00B92A67">
            <w:pPr>
              <w:pStyle w:val="NoSpacing"/>
            </w:pPr>
            <w:r>
              <w:t xml:space="preserve">3,482,759 </w:t>
            </w:r>
          </w:p>
        </w:tc>
        <w:tc>
          <w:tcPr>
            <w:tcW w:w="1276" w:type="dxa"/>
          </w:tcPr>
          <w:p w14:paraId="5EF8B39F" w14:textId="77777777" w:rsidR="00EE1FEF" w:rsidRPr="00D15CC7" w:rsidRDefault="00A36D2E" w:rsidP="00B92A67">
            <w:pPr>
              <w:pStyle w:val="NoSpacing"/>
            </w:pPr>
            <w:r>
              <w:t>15</w:t>
            </w:r>
            <w:r w:rsidR="00EE1FEF">
              <w:t>%</w:t>
            </w:r>
          </w:p>
        </w:tc>
      </w:tr>
      <w:tr w:rsidR="00EE1FEF" w:rsidRPr="00D15CC7" w14:paraId="3DFA39A5" w14:textId="77777777" w:rsidTr="005F68D1">
        <w:tc>
          <w:tcPr>
            <w:tcW w:w="1838" w:type="dxa"/>
          </w:tcPr>
          <w:p w14:paraId="24090430" w14:textId="77777777" w:rsidR="00EE1FEF" w:rsidRPr="0043249C" w:rsidRDefault="00EE1FEF" w:rsidP="00B92A67">
            <w:pPr>
              <w:pStyle w:val="NoSpacing"/>
              <w:rPr>
                <w:b/>
                <w:bCs/>
              </w:rPr>
            </w:pPr>
            <w:r w:rsidRPr="0043249C">
              <w:rPr>
                <w:b/>
                <w:bCs/>
              </w:rPr>
              <w:t>Total:</w:t>
            </w:r>
          </w:p>
        </w:tc>
        <w:tc>
          <w:tcPr>
            <w:tcW w:w="2410" w:type="dxa"/>
          </w:tcPr>
          <w:p w14:paraId="08F26B33" w14:textId="77777777" w:rsidR="00C27A48" w:rsidRDefault="00C27A48" w:rsidP="00C27A48">
            <w:pPr>
              <w:spacing w:after="0" w:line="240" w:lineRule="auto"/>
              <w:rPr>
                <w:rFonts w:ascii="Calibri" w:hAnsi="Calibri" w:cs="Calibri"/>
                <w:b/>
                <w:bCs/>
                <w:color w:val="000000"/>
                <w:szCs w:val="22"/>
                <w:lang w:eastAsia="en-AU" w:bidi="ar-SA"/>
              </w:rPr>
            </w:pPr>
            <w:r>
              <w:rPr>
                <w:rFonts w:ascii="Calibri" w:hAnsi="Calibri" w:cs="Calibri"/>
                <w:b/>
                <w:bCs/>
                <w:color w:val="000000"/>
                <w:szCs w:val="22"/>
              </w:rPr>
              <w:t>7,489,926</w:t>
            </w:r>
          </w:p>
          <w:p w14:paraId="57073B20" w14:textId="77777777" w:rsidR="00EE1FEF" w:rsidRPr="0043249C" w:rsidRDefault="00EE1FEF" w:rsidP="00B92A67">
            <w:pPr>
              <w:pStyle w:val="NoSpacing"/>
              <w:rPr>
                <w:b/>
                <w:bCs/>
              </w:rPr>
            </w:pPr>
          </w:p>
        </w:tc>
        <w:tc>
          <w:tcPr>
            <w:tcW w:w="1276" w:type="dxa"/>
          </w:tcPr>
          <w:p w14:paraId="4B740BEC" w14:textId="77777777" w:rsidR="00EE1FEF" w:rsidRPr="0043249C" w:rsidRDefault="00A36D2E" w:rsidP="00B92A67">
            <w:pPr>
              <w:pStyle w:val="NoSpacing"/>
              <w:rPr>
                <w:b/>
                <w:bCs/>
              </w:rPr>
            </w:pPr>
            <w:r>
              <w:rPr>
                <w:b/>
                <w:bCs/>
              </w:rPr>
              <w:t>33</w:t>
            </w:r>
            <w:r w:rsidR="00EE1FEF" w:rsidRPr="0043249C">
              <w:rPr>
                <w:b/>
                <w:bCs/>
              </w:rPr>
              <w:t>%</w:t>
            </w:r>
          </w:p>
        </w:tc>
      </w:tr>
    </w:tbl>
    <w:p w14:paraId="438251C6" w14:textId="77777777" w:rsidR="00941203" w:rsidRPr="00051B34" w:rsidRDefault="00EE1FEF" w:rsidP="00EE1FEF">
      <w:pPr>
        <w:pStyle w:val="NoSpacing"/>
        <w:rPr>
          <w:b/>
          <w:bCs/>
          <w:sz w:val="18"/>
          <w:szCs w:val="18"/>
        </w:rPr>
      </w:pPr>
      <w:r>
        <w:t xml:space="preserve">   </w:t>
      </w:r>
      <w:r w:rsidRPr="00051B34">
        <w:rPr>
          <w:b/>
          <w:bCs/>
          <w:sz w:val="18"/>
          <w:szCs w:val="18"/>
        </w:rPr>
        <w:t xml:space="preserve">Source: </w:t>
      </w:r>
      <w:r w:rsidR="00A36D2E">
        <w:rPr>
          <w:b/>
          <w:bCs/>
          <w:sz w:val="18"/>
          <w:szCs w:val="18"/>
        </w:rPr>
        <w:t>Data provided by UNFPA PSRO</w:t>
      </w:r>
    </w:p>
    <w:p w14:paraId="7987E2CE" w14:textId="77777777" w:rsidR="00152456" w:rsidRDefault="00152456" w:rsidP="007D1D0D">
      <w:pPr>
        <w:rPr>
          <w:b/>
          <w:bCs/>
        </w:rPr>
      </w:pPr>
    </w:p>
    <w:p w14:paraId="01620635" w14:textId="19C68A29" w:rsidR="003E54A2" w:rsidRPr="009448C8" w:rsidRDefault="00EE1FEF" w:rsidP="007D1D0D">
      <w:r w:rsidRPr="00EE1FEF">
        <w:t xml:space="preserve">Table 5 </w:t>
      </w:r>
      <w:r>
        <w:t>d</w:t>
      </w:r>
      <w:r w:rsidR="002347A9">
        <w:t xml:space="preserve">etails </w:t>
      </w:r>
      <w:r>
        <w:t xml:space="preserve">expenditure from funds allocated </w:t>
      </w:r>
      <w:r w:rsidR="00313C52">
        <w:t xml:space="preserve">from August </w:t>
      </w:r>
      <w:r>
        <w:t>2018 to August 2020.</w:t>
      </w:r>
      <w:r w:rsidR="00E0676A">
        <w:t xml:space="preserve"> Implementation rates are expected by PSRO to significantly increase from now on</w:t>
      </w:r>
      <w:r w:rsidR="002347A9">
        <w:t>wards</w:t>
      </w:r>
      <w:r w:rsidR="00E0676A">
        <w:t xml:space="preserve">. </w:t>
      </w:r>
    </w:p>
    <w:p w14:paraId="2894DCB2" w14:textId="77777777" w:rsidR="00B95B02" w:rsidRPr="00B95B02" w:rsidRDefault="00EE1FEF" w:rsidP="007D1D0D">
      <w:pPr>
        <w:rPr>
          <w:b/>
          <w:bCs/>
        </w:rPr>
      </w:pPr>
      <w:r>
        <w:rPr>
          <w:b/>
          <w:bCs/>
        </w:rPr>
        <w:t>T</w:t>
      </w:r>
      <w:r w:rsidR="00B95B02" w:rsidRPr="00B95B02">
        <w:rPr>
          <w:b/>
          <w:bCs/>
        </w:rPr>
        <w:t xml:space="preserve">able </w:t>
      </w:r>
      <w:r>
        <w:rPr>
          <w:b/>
          <w:bCs/>
        </w:rPr>
        <w:t>5</w:t>
      </w:r>
      <w:r w:rsidR="00B95B02" w:rsidRPr="00B95B02">
        <w:rPr>
          <w:b/>
          <w:bCs/>
        </w:rPr>
        <w:t xml:space="preserve">:  TA Program Allocations and Expenditure 2018-2020 </w:t>
      </w:r>
      <w:r w:rsidR="00B95B02">
        <w:rPr>
          <w:b/>
          <w:bCs/>
        </w:rPr>
        <w:t>(USD)</w:t>
      </w:r>
    </w:p>
    <w:tbl>
      <w:tblPr>
        <w:tblStyle w:val="TableGrid"/>
        <w:tblW w:w="0" w:type="auto"/>
        <w:tblInd w:w="-147" w:type="dxa"/>
        <w:tblLook w:val="04A0" w:firstRow="1" w:lastRow="0" w:firstColumn="1" w:lastColumn="0" w:noHBand="0" w:noVBand="1"/>
      </w:tblPr>
      <w:tblGrid>
        <w:gridCol w:w="1863"/>
        <w:gridCol w:w="1908"/>
        <w:gridCol w:w="1941"/>
        <w:gridCol w:w="1567"/>
        <w:gridCol w:w="1885"/>
      </w:tblGrid>
      <w:tr w:rsidR="00BB7CC6" w14:paraId="3999AC5E" w14:textId="77777777" w:rsidTr="00A36D2E">
        <w:tc>
          <w:tcPr>
            <w:tcW w:w="1863" w:type="dxa"/>
            <w:shd w:val="clear" w:color="auto" w:fill="FF0000"/>
          </w:tcPr>
          <w:p w14:paraId="71E37067" w14:textId="77777777" w:rsidR="00B95B02" w:rsidRPr="009448C8" w:rsidRDefault="00B95B02" w:rsidP="00497F38">
            <w:pPr>
              <w:pStyle w:val="NoSpacing"/>
              <w:rPr>
                <w:b/>
              </w:rPr>
            </w:pPr>
            <w:r w:rsidRPr="009448C8">
              <w:rPr>
                <w:b/>
              </w:rPr>
              <w:lastRenderedPageBreak/>
              <w:t>Year</w:t>
            </w:r>
          </w:p>
        </w:tc>
        <w:tc>
          <w:tcPr>
            <w:tcW w:w="1908" w:type="dxa"/>
            <w:shd w:val="clear" w:color="auto" w:fill="FF0000"/>
          </w:tcPr>
          <w:p w14:paraId="3D5C1FA9" w14:textId="77777777" w:rsidR="00B95B02" w:rsidRPr="009448C8" w:rsidRDefault="00BB7CC6" w:rsidP="00497F38">
            <w:pPr>
              <w:pStyle w:val="NoSpacing"/>
              <w:rPr>
                <w:b/>
              </w:rPr>
            </w:pPr>
            <w:r w:rsidRPr="009448C8">
              <w:rPr>
                <w:b/>
              </w:rPr>
              <w:t xml:space="preserve">Funds available </w:t>
            </w:r>
          </w:p>
        </w:tc>
        <w:tc>
          <w:tcPr>
            <w:tcW w:w="1941" w:type="dxa"/>
            <w:shd w:val="clear" w:color="auto" w:fill="FF0000"/>
          </w:tcPr>
          <w:p w14:paraId="12375869" w14:textId="77777777" w:rsidR="00B95B02" w:rsidRPr="009448C8" w:rsidRDefault="00B95B02" w:rsidP="00497F38">
            <w:pPr>
              <w:pStyle w:val="NoSpacing"/>
              <w:rPr>
                <w:b/>
              </w:rPr>
            </w:pPr>
            <w:r w:rsidRPr="009448C8">
              <w:rPr>
                <w:b/>
              </w:rPr>
              <w:t>Expenditure</w:t>
            </w:r>
          </w:p>
        </w:tc>
        <w:tc>
          <w:tcPr>
            <w:tcW w:w="1567" w:type="dxa"/>
            <w:shd w:val="clear" w:color="auto" w:fill="FF0000"/>
          </w:tcPr>
          <w:p w14:paraId="70476897" w14:textId="77777777" w:rsidR="00B95B02" w:rsidRPr="009448C8" w:rsidRDefault="00B95B02" w:rsidP="00497F38">
            <w:pPr>
              <w:pStyle w:val="NoSpacing"/>
              <w:rPr>
                <w:b/>
              </w:rPr>
            </w:pPr>
            <w:r w:rsidRPr="009448C8">
              <w:rPr>
                <w:b/>
              </w:rPr>
              <w:t>Amount Rolled Over</w:t>
            </w:r>
          </w:p>
        </w:tc>
        <w:tc>
          <w:tcPr>
            <w:tcW w:w="1885" w:type="dxa"/>
            <w:shd w:val="clear" w:color="auto" w:fill="FF0000"/>
          </w:tcPr>
          <w:p w14:paraId="7E846EC0" w14:textId="77777777" w:rsidR="00B95B02" w:rsidRPr="009448C8" w:rsidRDefault="008E3C4F" w:rsidP="00497F38">
            <w:pPr>
              <w:pStyle w:val="NoSpacing"/>
              <w:rPr>
                <w:b/>
              </w:rPr>
            </w:pPr>
            <w:r w:rsidRPr="009448C8">
              <w:rPr>
                <w:b/>
              </w:rPr>
              <w:t xml:space="preserve">Implementation Rate </w:t>
            </w:r>
          </w:p>
        </w:tc>
      </w:tr>
      <w:tr w:rsidR="00BB7CC6" w14:paraId="00212FBF" w14:textId="77777777" w:rsidTr="00A36D2E">
        <w:tc>
          <w:tcPr>
            <w:tcW w:w="1863" w:type="dxa"/>
          </w:tcPr>
          <w:p w14:paraId="57766C49" w14:textId="77777777" w:rsidR="00B95B02" w:rsidRDefault="00B95B02" w:rsidP="00497F38">
            <w:pPr>
              <w:pStyle w:val="NoSpacing"/>
            </w:pPr>
            <w:r>
              <w:t>2018</w:t>
            </w:r>
            <w:r w:rsidR="00A36D2E">
              <w:t xml:space="preserve"> (Aug – Dec)</w:t>
            </w:r>
          </w:p>
        </w:tc>
        <w:tc>
          <w:tcPr>
            <w:tcW w:w="1908" w:type="dxa"/>
          </w:tcPr>
          <w:p w14:paraId="75251A10" w14:textId="77777777" w:rsidR="00B95B02" w:rsidRDefault="00B95B02" w:rsidP="00497F38">
            <w:pPr>
              <w:pStyle w:val="NoSpacing"/>
            </w:pPr>
            <w:r>
              <w:t>5,668,934</w:t>
            </w:r>
          </w:p>
        </w:tc>
        <w:tc>
          <w:tcPr>
            <w:tcW w:w="1941" w:type="dxa"/>
          </w:tcPr>
          <w:p w14:paraId="2B65C715" w14:textId="77777777" w:rsidR="00B95B02" w:rsidRDefault="00BB7CC6" w:rsidP="00497F38">
            <w:pPr>
              <w:pStyle w:val="NoSpacing"/>
            </w:pPr>
            <w:r>
              <w:t xml:space="preserve">936,737 </w:t>
            </w:r>
          </w:p>
        </w:tc>
        <w:tc>
          <w:tcPr>
            <w:tcW w:w="1567" w:type="dxa"/>
          </w:tcPr>
          <w:p w14:paraId="7A93406D" w14:textId="77777777" w:rsidR="00B95B02" w:rsidRDefault="00BB7CC6" w:rsidP="00497F38">
            <w:pPr>
              <w:pStyle w:val="NoSpacing"/>
            </w:pPr>
            <w:r>
              <w:t xml:space="preserve">4,732,197 </w:t>
            </w:r>
          </w:p>
        </w:tc>
        <w:tc>
          <w:tcPr>
            <w:tcW w:w="1885" w:type="dxa"/>
          </w:tcPr>
          <w:p w14:paraId="7E1B8097" w14:textId="77777777" w:rsidR="00B95B02" w:rsidRDefault="008E3C4F" w:rsidP="00497F38">
            <w:pPr>
              <w:pStyle w:val="NoSpacing"/>
            </w:pPr>
            <w:r>
              <w:t>16</w:t>
            </w:r>
            <w:r w:rsidR="00862147">
              <w:t>%</w:t>
            </w:r>
            <w:r>
              <w:t xml:space="preserve"> </w:t>
            </w:r>
            <w:r w:rsidR="00BB7CC6">
              <w:t>utilised from</w:t>
            </w:r>
            <w:r>
              <w:t xml:space="preserve"> </w:t>
            </w:r>
            <w:r w:rsidR="00BB7CC6">
              <w:t>funds available</w:t>
            </w:r>
          </w:p>
        </w:tc>
      </w:tr>
      <w:tr w:rsidR="00BB7CC6" w14:paraId="32FA813F" w14:textId="77777777" w:rsidTr="00A36D2E">
        <w:tc>
          <w:tcPr>
            <w:tcW w:w="1863" w:type="dxa"/>
          </w:tcPr>
          <w:p w14:paraId="143174DA" w14:textId="77777777" w:rsidR="00B95B02" w:rsidRDefault="00B95B02" w:rsidP="00497F38">
            <w:pPr>
              <w:pStyle w:val="NoSpacing"/>
            </w:pPr>
            <w:r>
              <w:t>2019</w:t>
            </w:r>
            <w:r w:rsidR="00A36D2E">
              <w:t xml:space="preserve"> (Jan – Dec)</w:t>
            </w:r>
          </w:p>
        </w:tc>
        <w:tc>
          <w:tcPr>
            <w:tcW w:w="1908" w:type="dxa"/>
          </w:tcPr>
          <w:p w14:paraId="485C8718" w14:textId="77777777" w:rsidR="00B95B02" w:rsidRDefault="00B95B02" w:rsidP="00497F38">
            <w:pPr>
              <w:pStyle w:val="NoSpacing"/>
            </w:pPr>
            <w:r>
              <w:t>5,292,613</w:t>
            </w:r>
            <w:r w:rsidR="00BB7CC6">
              <w:t xml:space="preserve"> (plus </w:t>
            </w:r>
            <w:r w:rsidR="00B520EB">
              <w:t xml:space="preserve">2018 </w:t>
            </w:r>
            <w:r w:rsidR="00BB7CC6">
              <w:t>rollover</w:t>
            </w:r>
            <w:r w:rsidR="00B520EB">
              <w:t>,</w:t>
            </w:r>
            <w:r w:rsidR="00BB7CC6">
              <w:t xml:space="preserve"> 4,732,197</w:t>
            </w:r>
            <w:r w:rsidR="00B520EB">
              <w:t xml:space="preserve"> = 10,024,810</w:t>
            </w:r>
          </w:p>
        </w:tc>
        <w:tc>
          <w:tcPr>
            <w:tcW w:w="1941" w:type="dxa"/>
          </w:tcPr>
          <w:p w14:paraId="20B778E5" w14:textId="77777777" w:rsidR="00B95B02" w:rsidRDefault="00BB7CC6" w:rsidP="00497F38">
            <w:pPr>
              <w:pStyle w:val="NoSpacing"/>
            </w:pPr>
            <w:r>
              <w:t xml:space="preserve">3,070,431 </w:t>
            </w:r>
          </w:p>
        </w:tc>
        <w:tc>
          <w:tcPr>
            <w:tcW w:w="1567" w:type="dxa"/>
          </w:tcPr>
          <w:p w14:paraId="39A5B8B1" w14:textId="77777777" w:rsidR="00B95B02" w:rsidRDefault="00BB7CC6" w:rsidP="00497F38">
            <w:pPr>
              <w:pStyle w:val="NoSpacing"/>
            </w:pPr>
            <w:r>
              <w:t xml:space="preserve">6,954,379 </w:t>
            </w:r>
          </w:p>
        </w:tc>
        <w:tc>
          <w:tcPr>
            <w:tcW w:w="1885" w:type="dxa"/>
          </w:tcPr>
          <w:p w14:paraId="25AB2D6D" w14:textId="77777777" w:rsidR="00B95B02" w:rsidRDefault="008E3C4F" w:rsidP="00497F38">
            <w:pPr>
              <w:pStyle w:val="NoSpacing"/>
            </w:pPr>
            <w:r>
              <w:t>30</w:t>
            </w:r>
            <w:r w:rsidR="00862147">
              <w:t>%</w:t>
            </w:r>
            <w:r>
              <w:t xml:space="preserve"> </w:t>
            </w:r>
            <w:r w:rsidR="00BB7CC6">
              <w:t>utilised from</w:t>
            </w:r>
            <w:r>
              <w:t xml:space="preserve"> </w:t>
            </w:r>
            <w:r w:rsidR="00BB7CC6">
              <w:t>funds available</w:t>
            </w:r>
          </w:p>
        </w:tc>
      </w:tr>
      <w:tr w:rsidR="00BB7CC6" w14:paraId="2F8D4C5B" w14:textId="77777777" w:rsidTr="00A36D2E">
        <w:tc>
          <w:tcPr>
            <w:tcW w:w="1863" w:type="dxa"/>
          </w:tcPr>
          <w:p w14:paraId="4F3D0EC6" w14:textId="77777777" w:rsidR="00862147" w:rsidRDefault="00862147" w:rsidP="00497F38">
            <w:pPr>
              <w:pStyle w:val="NoSpacing"/>
            </w:pPr>
            <w:r>
              <w:t>2020</w:t>
            </w:r>
            <w:r w:rsidR="000845DC">
              <w:t xml:space="preserve"> (</w:t>
            </w:r>
            <w:r w:rsidR="00A36D2E">
              <w:t>Jan - Aug</w:t>
            </w:r>
            <w:r w:rsidR="000845DC">
              <w:t>)</w:t>
            </w:r>
          </w:p>
        </w:tc>
        <w:tc>
          <w:tcPr>
            <w:tcW w:w="1908" w:type="dxa"/>
          </w:tcPr>
          <w:p w14:paraId="746CA74E" w14:textId="77777777" w:rsidR="00862147" w:rsidRDefault="00BB7CC6" w:rsidP="00497F38">
            <w:pPr>
              <w:pStyle w:val="NoSpacing"/>
            </w:pPr>
            <w:r>
              <w:t xml:space="preserve">Rollover from 2019 = 6,594,379 </w:t>
            </w:r>
          </w:p>
        </w:tc>
        <w:tc>
          <w:tcPr>
            <w:tcW w:w="1941" w:type="dxa"/>
          </w:tcPr>
          <w:p w14:paraId="075B5253" w14:textId="77777777" w:rsidR="00862147" w:rsidRDefault="00BB7CC6" w:rsidP="00497F38">
            <w:pPr>
              <w:pStyle w:val="NoSpacing"/>
            </w:pPr>
            <w:r>
              <w:t xml:space="preserve">3,482,759 </w:t>
            </w:r>
            <w:r w:rsidR="00862147">
              <w:t xml:space="preserve"> </w:t>
            </w:r>
          </w:p>
        </w:tc>
        <w:tc>
          <w:tcPr>
            <w:tcW w:w="1567" w:type="dxa"/>
          </w:tcPr>
          <w:p w14:paraId="5571FEB6" w14:textId="77777777" w:rsidR="00862147" w:rsidRDefault="00862147" w:rsidP="00497F38">
            <w:pPr>
              <w:pStyle w:val="NoSpacing"/>
            </w:pPr>
          </w:p>
        </w:tc>
        <w:tc>
          <w:tcPr>
            <w:tcW w:w="1885" w:type="dxa"/>
          </w:tcPr>
          <w:p w14:paraId="11456DAD" w14:textId="77777777" w:rsidR="00862147" w:rsidRDefault="008E3C4F" w:rsidP="00497F38">
            <w:pPr>
              <w:pStyle w:val="NoSpacing"/>
            </w:pPr>
            <w:r>
              <w:t>5</w:t>
            </w:r>
            <w:r w:rsidR="00BB7CC6">
              <w:t>2</w:t>
            </w:r>
            <w:r w:rsidR="00862147">
              <w:t xml:space="preserve">% </w:t>
            </w:r>
            <w:r w:rsidR="00BB7CC6">
              <w:t>utilised from funds available</w:t>
            </w:r>
          </w:p>
        </w:tc>
      </w:tr>
      <w:tr w:rsidR="00BB7CC6" w14:paraId="46B968ED" w14:textId="77777777" w:rsidTr="00A36D2E">
        <w:tc>
          <w:tcPr>
            <w:tcW w:w="1863" w:type="dxa"/>
          </w:tcPr>
          <w:p w14:paraId="5AB715F9" w14:textId="77777777" w:rsidR="00907583" w:rsidRPr="00E062EA" w:rsidRDefault="00907583" w:rsidP="00497F38">
            <w:pPr>
              <w:pStyle w:val="NoSpacing"/>
              <w:rPr>
                <w:b/>
                <w:bCs/>
              </w:rPr>
            </w:pPr>
            <w:r w:rsidRPr="00E062EA">
              <w:rPr>
                <w:b/>
                <w:bCs/>
              </w:rPr>
              <w:t>Total</w:t>
            </w:r>
          </w:p>
        </w:tc>
        <w:tc>
          <w:tcPr>
            <w:tcW w:w="1908" w:type="dxa"/>
          </w:tcPr>
          <w:p w14:paraId="3CD2E645" w14:textId="77777777" w:rsidR="00907583" w:rsidRPr="00E062EA" w:rsidRDefault="008E3C4F" w:rsidP="00497F38">
            <w:pPr>
              <w:pStyle w:val="NoSpacing"/>
              <w:rPr>
                <w:b/>
                <w:bCs/>
              </w:rPr>
            </w:pPr>
            <w:r>
              <w:rPr>
                <w:b/>
                <w:bCs/>
              </w:rPr>
              <w:t>10,961,547</w:t>
            </w:r>
            <w:r w:rsidR="00BB7CC6">
              <w:rPr>
                <w:b/>
                <w:bCs/>
              </w:rPr>
              <w:t xml:space="preserve"> </w:t>
            </w:r>
          </w:p>
        </w:tc>
        <w:tc>
          <w:tcPr>
            <w:tcW w:w="1941" w:type="dxa"/>
          </w:tcPr>
          <w:p w14:paraId="01D8C5BA" w14:textId="77777777" w:rsidR="008E3C4F" w:rsidRDefault="008E3C4F" w:rsidP="008E3C4F">
            <w:pPr>
              <w:spacing w:after="0" w:line="240" w:lineRule="auto"/>
              <w:rPr>
                <w:rFonts w:ascii="Calibri" w:hAnsi="Calibri" w:cs="Calibri"/>
                <w:b/>
                <w:bCs/>
                <w:color w:val="000000"/>
                <w:szCs w:val="22"/>
                <w:lang w:eastAsia="en-AU" w:bidi="ar-SA"/>
              </w:rPr>
            </w:pPr>
            <w:r>
              <w:rPr>
                <w:rFonts w:ascii="Calibri" w:hAnsi="Calibri" w:cs="Calibri"/>
                <w:b/>
                <w:bCs/>
                <w:color w:val="000000"/>
                <w:szCs w:val="22"/>
              </w:rPr>
              <w:t>7,489,927</w:t>
            </w:r>
          </w:p>
          <w:p w14:paraId="7426302E" w14:textId="77777777" w:rsidR="00907583" w:rsidRPr="00E062EA" w:rsidRDefault="00907583" w:rsidP="00497F38">
            <w:pPr>
              <w:pStyle w:val="NoSpacing"/>
              <w:rPr>
                <w:b/>
                <w:bCs/>
              </w:rPr>
            </w:pPr>
          </w:p>
        </w:tc>
        <w:tc>
          <w:tcPr>
            <w:tcW w:w="1567" w:type="dxa"/>
          </w:tcPr>
          <w:p w14:paraId="78135D14" w14:textId="77777777" w:rsidR="00907583" w:rsidRPr="00EE70E6" w:rsidRDefault="00907583" w:rsidP="00497F38">
            <w:pPr>
              <w:pStyle w:val="NoSpacing"/>
            </w:pPr>
          </w:p>
        </w:tc>
        <w:tc>
          <w:tcPr>
            <w:tcW w:w="1885" w:type="dxa"/>
          </w:tcPr>
          <w:p w14:paraId="19E6CFAA" w14:textId="77777777" w:rsidR="00907583" w:rsidRPr="00FF069F" w:rsidRDefault="00BB7CC6" w:rsidP="00497F38">
            <w:pPr>
              <w:pStyle w:val="NoSpacing"/>
              <w:rPr>
                <w:b/>
                <w:bCs/>
              </w:rPr>
            </w:pPr>
            <w:r>
              <w:rPr>
                <w:b/>
                <w:bCs/>
              </w:rPr>
              <w:t xml:space="preserve">68 </w:t>
            </w:r>
            <w:r w:rsidR="00FF069F" w:rsidRPr="00FF069F">
              <w:rPr>
                <w:b/>
                <w:bCs/>
              </w:rPr>
              <w:t>%</w:t>
            </w:r>
            <w:r w:rsidR="008E3C4F">
              <w:rPr>
                <w:b/>
                <w:bCs/>
              </w:rPr>
              <w:t xml:space="preserve"> </w:t>
            </w:r>
            <w:r>
              <w:rPr>
                <w:b/>
                <w:bCs/>
              </w:rPr>
              <w:t>utilised from</w:t>
            </w:r>
            <w:r w:rsidR="008E3C4F">
              <w:rPr>
                <w:b/>
                <w:bCs/>
              </w:rPr>
              <w:t xml:space="preserve"> </w:t>
            </w:r>
            <w:r>
              <w:rPr>
                <w:b/>
                <w:bCs/>
              </w:rPr>
              <w:t>funds available</w:t>
            </w:r>
          </w:p>
        </w:tc>
      </w:tr>
    </w:tbl>
    <w:p w14:paraId="51FB2077" w14:textId="77777777" w:rsidR="00B95B02" w:rsidRPr="00152456" w:rsidRDefault="00E23982" w:rsidP="007D1D0D">
      <w:pPr>
        <w:rPr>
          <w:b/>
          <w:bCs/>
          <w:sz w:val="18"/>
          <w:szCs w:val="18"/>
        </w:rPr>
      </w:pPr>
      <w:r w:rsidRPr="00152456">
        <w:rPr>
          <w:b/>
          <w:bCs/>
          <w:sz w:val="18"/>
          <w:szCs w:val="18"/>
        </w:rPr>
        <w:t>Source: Data provided by UNFPA PSRO</w:t>
      </w:r>
    </w:p>
    <w:p w14:paraId="2A19634D" w14:textId="77777777" w:rsidR="0033680D" w:rsidRDefault="0033680D" w:rsidP="0033680D">
      <w:pPr>
        <w:pStyle w:val="NoSpacing"/>
      </w:pPr>
      <w:r>
        <w:t xml:space="preserve">For multiple reasons capacity and time to implement is often limited. UNFPA processes for planning and preparation of AWPs are cumbersome and time consuming and AWPs are submitted to DFAT for final approval. Key Informants reported that inevitably further revisions to the AWPs and budgets </w:t>
      </w:r>
      <w:r w:rsidR="00B520EB">
        <w:t>are</w:t>
      </w:r>
      <w:r>
        <w:t xml:space="preserve"> required. Coupled with the late disbursement of funds, implementation occurs much later than anticipated. The table below presents the timing of the receipt of funds, with allocated funds often arriving late in the quarter and even into the next quarters. </w:t>
      </w:r>
    </w:p>
    <w:p w14:paraId="2B03544B" w14:textId="77777777" w:rsidR="0033680D" w:rsidRDefault="0033680D" w:rsidP="0033680D">
      <w:pPr>
        <w:pStyle w:val="NoSpacing"/>
      </w:pPr>
    </w:p>
    <w:p w14:paraId="39C59A7D" w14:textId="77777777" w:rsidR="0033680D" w:rsidRDefault="0033680D" w:rsidP="0033680D">
      <w:pPr>
        <w:pStyle w:val="NoSpacing"/>
      </w:pPr>
      <w:r>
        <w:t xml:space="preserve">Examples of this include: Fiji MOH submitted </w:t>
      </w:r>
      <w:r w:rsidR="00406A0C">
        <w:t>FACE form</w:t>
      </w:r>
      <w:r>
        <w:t xml:space="preserve"> December 2018 for Q4 funds (Oct – Dec 2018); MOF Samoa </w:t>
      </w:r>
      <w:r w:rsidRPr="003204EA">
        <w:t xml:space="preserve">submitted </w:t>
      </w:r>
      <w:r w:rsidR="00F335D8" w:rsidRPr="003204EA">
        <w:t xml:space="preserve">a FACE form </w:t>
      </w:r>
      <w:r w:rsidRPr="003204EA">
        <w:t xml:space="preserve">28 Nov 2018 for Q3 2018 funds; and MOH Tonga submitted </w:t>
      </w:r>
      <w:r w:rsidR="00F335D8" w:rsidRPr="003204EA">
        <w:t xml:space="preserve">a FACE form </w:t>
      </w:r>
      <w:r w:rsidRPr="003204EA">
        <w:t>AWP 11 June 2019 for Q1 2019.  This situation continued in 2019 with MOH Tonga submitting a</w:t>
      </w:r>
      <w:r w:rsidR="00F335D8" w:rsidRPr="003204EA">
        <w:t xml:space="preserve"> FACE form </w:t>
      </w:r>
      <w:r w:rsidRPr="003204EA">
        <w:t>in December 2019 which took 31 days to process (Jan 2020) for Q3 2019 funds.</w:t>
      </w:r>
      <w:r>
        <w:t xml:space="preserve"> The situation improved in 2020 when PSRO disbursed funds for six months instead of one quarter. </w:t>
      </w:r>
    </w:p>
    <w:p w14:paraId="6CC46DB2" w14:textId="77777777" w:rsidR="003D748A" w:rsidRDefault="003D748A" w:rsidP="0033680D">
      <w:pPr>
        <w:pStyle w:val="NoSpacing"/>
      </w:pPr>
    </w:p>
    <w:p w14:paraId="46B14006" w14:textId="77777777" w:rsidR="003D748A" w:rsidRDefault="003D748A" w:rsidP="003D748A">
      <w:pPr>
        <w:spacing w:after="0" w:line="240" w:lineRule="auto"/>
        <w:rPr>
          <w:rFonts w:ascii="Times New Roman" w:eastAsiaTheme="minorHAnsi" w:hAnsi="Times New Roman" w:cs="Times New Roman"/>
          <w:sz w:val="24"/>
          <w:lang w:eastAsia="en-AU" w:bidi="ar-SA"/>
        </w:rPr>
      </w:pPr>
      <w:r>
        <w:t>The table below presents the timing of the receipt of funds, after they are requested.</w:t>
      </w:r>
      <w:r>
        <w:rPr>
          <w:rFonts w:ascii="Times New Roman" w:eastAsiaTheme="minorHAnsi" w:hAnsi="Times New Roman" w:cs="Times New Roman"/>
          <w:sz w:val="24"/>
          <w:lang w:eastAsia="en-AU" w:bidi="ar-SA"/>
        </w:rPr>
        <w:t xml:space="preserve"> </w:t>
      </w:r>
      <w:r>
        <w:t>The time to process FACE forms has decreased between 2018 and 2020. This demonstrates greater IP capacity to submit a quality FACE form that requires less back and forth revisions between UNFPA and the IP and also a speed up internally of UNFPA processing of FACE forms due to increased internal staff capacity.</w:t>
      </w:r>
    </w:p>
    <w:p w14:paraId="18F1F17C" w14:textId="77777777" w:rsidR="003D748A" w:rsidRDefault="003D748A" w:rsidP="0033680D">
      <w:pPr>
        <w:pStyle w:val="NoSpacing"/>
      </w:pPr>
    </w:p>
    <w:p w14:paraId="76A49A3A" w14:textId="3CF6D477" w:rsidR="000A146F" w:rsidRDefault="00717A63" w:rsidP="007D1D0D">
      <w:pPr>
        <w:rPr>
          <w:b/>
          <w:bCs/>
        </w:rPr>
      </w:pPr>
      <w:r w:rsidRPr="00717A63">
        <w:rPr>
          <w:b/>
          <w:bCs/>
        </w:rPr>
        <w:t xml:space="preserve">Table </w:t>
      </w:r>
      <w:r w:rsidR="002E5996">
        <w:rPr>
          <w:b/>
          <w:bCs/>
        </w:rPr>
        <w:t>6</w:t>
      </w:r>
      <w:r w:rsidRPr="00717A63">
        <w:rPr>
          <w:b/>
          <w:bCs/>
        </w:rPr>
        <w:t xml:space="preserve">:  Number of days taken from Submission of Approved </w:t>
      </w:r>
      <w:r w:rsidR="00406A0C">
        <w:rPr>
          <w:b/>
          <w:bCs/>
        </w:rPr>
        <w:t>FACE Form</w:t>
      </w:r>
      <w:r w:rsidRPr="00717A63">
        <w:rPr>
          <w:b/>
          <w:bCs/>
        </w:rPr>
        <w:t xml:space="preserve"> to Receipt of Funds by IP </w:t>
      </w:r>
    </w:p>
    <w:tbl>
      <w:tblPr>
        <w:tblStyle w:val="TableGrid"/>
        <w:tblW w:w="0" w:type="auto"/>
        <w:tblLook w:val="04A0" w:firstRow="1" w:lastRow="0" w:firstColumn="1" w:lastColumn="0" w:noHBand="0" w:noVBand="1"/>
      </w:tblPr>
      <w:tblGrid>
        <w:gridCol w:w="1161"/>
        <w:gridCol w:w="961"/>
        <w:gridCol w:w="1134"/>
        <w:gridCol w:w="1391"/>
        <w:gridCol w:w="1162"/>
        <w:gridCol w:w="1162"/>
        <w:gridCol w:w="1162"/>
        <w:gridCol w:w="1162"/>
        <w:gridCol w:w="1162"/>
      </w:tblGrid>
      <w:tr w:rsidR="0055251E" w14:paraId="227EBB25" w14:textId="77777777" w:rsidTr="0055251E">
        <w:tc>
          <w:tcPr>
            <w:tcW w:w="11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C8C90C" w14:textId="36B1E70B" w:rsidR="000A146F" w:rsidRPr="000A146F" w:rsidRDefault="000A146F" w:rsidP="007D1D0D">
            <w:pPr>
              <w:rPr>
                <w:b/>
                <w:bCs/>
              </w:rPr>
            </w:pPr>
            <w:r w:rsidRPr="000A146F">
              <w:rPr>
                <w:b/>
                <w:bCs/>
              </w:rPr>
              <w:t>Country</w:t>
            </w:r>
          </w:p>
        </w:tc>
        <w:tc>
          <w:tcPr>
            <w:tcW w:w="961" w:type="dxa"/>
            <w:tcBorders>
              <w:top w:val="single" w:sz="4" w:space="0" w:color="auto"/>
              <w:left w:val="single" w:sz="4" w:space="0" w:color="auto"/>
              <w:bottom w:val="single" w:sz="4" w:space="0" w:color="auto"/>
              <w:right w:val="nil"/>
            </w:tcBorders>
            <w:shd w:val="clear" w:color="auto" w:fill="BFBFBF" w:themeFill="background1" w:themeFillShade="BF"/>
          </w:tcPr>
          <w:p w14:paraId="06D5ACC7" w14:textId="4D1373F9" w:rsidR="000A146F" w:rsidRPr="000A146F" w:rsidRDefault="000A146F" w:rsidP="007D1D0D">
            <w:pPr>
              <w:rPr>
                <w:b/>
                <w:bCs/>
              </w:rPr>
            </w:pPr>
            <w:r w:rsidRPr="000A146F">
              <w:rPr>
                <w:b/>
                <w:bCs/>
              </w:rPr>
              <w:t>2018</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tcPr>
          <w:p w14:paraId="4E51F27C" w14:textId="15BA681A" w:rsidR="000A146F" w:rsidRPr="000A146F" w:rsidRDefault="000A146F" w:rsidP="007D1D0D">
            <w:pPr>
              <w:rPr>
                <w:b/>
                <w:bCs/>
              </w:rPr>
            </w:pPr>
          </w:p>
        </w:tc>
        <w:tc>
          <w:tcPr>
            <w:tcW w:w="1391" w:type="dxa"/>
            <w:tcBorders>
              <w:top w:val="single" w:sz="4" w:space="0" w:color="auto"/>
              <w:left w:val="single" w:sz="4" w:space="0" w:color="auto"/>
              <w:bottom w:val="single" w:sz="4" w:space="0" w:color="auto"/>
              <w:right w:val="nil"/>
            </w:tcBorders>
            <w:shd w:val="clear" w:color="auto" w:fill="BFBFBF" w:themeFill="background1" w:themeFillShade="BF"/>
          </w:tcPr>
          <w:p w14:paraId="38D04E9F" w14:textId="6FBA3414" w:rsidR="000A146F" w:rsidRPr="000A146F" w:rsidRDefault="000A146F" w:rsidP="007D1D0D">
            <w:pPr>
              <w:rPr>
                <w:b/>
                <w:bCs/>
              </w:rPr>
            </w:pPr>
            <w:r w:rsidRPr="000A146F">
              <w:rPr>
                <w:b/>
                <w:bCs/>
              </w:rPr>
              <w:t>2019</w:t>
            </w:r>
          </w:p>
        </w:tc>
        <w:tc>
          <w:tcPr>
            <w:tcW w:w="1162" w:type="dxa"/>
            <w:tcBorders>
              <w:top w:val="single" w:sz="4" w:space="0" w:color="auto"/>
              <w:left w:val="nil"/>
              <w:bottom w:val="single" w:sz="4" w:space="0" w:color="auto"/>
              <w:right w:val="nil"/>
            </w:tcBorders>
            <w:shd w:val="clear" w:color="auto" w:fill="BFBFBF" w:themeFill="background1" w:themeFillShade="BF"/>
          </w:tcPr>
          <w:p w14:paraId="2A64FFDB" w14:textId="77777777" w:rsidR="000A146F" w:rsidRPr="000A146F" w:rsidRDefault="000A146F" w:rsidP="007D1D0D">
            <w:pPr>
              <w:rPr>
                <w:b/>
                <w:bCs/>
              </w:rPr>
            </w:pPr>
          </w:p>
        </w:tc>
        <w:tc>
          <w:tcPr>
            <w:tcW w:w="1162" w:type="dxa"/>
            <w:tcBorders>
              <w:top w:val="single" w:sz="4" w:space="0" w:color="auto"/>
              <w:left w:val="nil"/>
              <w:bottom w:val="single" w:sz="4" w:space="0" w:color="auto"/>
              <w:right w:val="nil"/>
            </w:tcBorders>
            <w:shd w:val="clear" w:color="auto" w:fill="BFBFBF" w:themeFill="background1" w:themeFillShade="BF"/>
          </w:tcPr>
          <w:p w14:paraId="7FB84314" w14:textId="77777777" w:rsidR="000A146F" w:rsidRPr="000A146F" w:rsidRDefault="000A146F" w:rsidP="007D1D0D">
            <w:pPr>
              <w:rPr>
                <w:b/>
                <w:bCs/>
              </w:rPr>
            </w:pPr>
          </w:p>
        </w:tc>
        <w:tc>
          <w:tcPr>
            <w:tcW w:w="1162" w:type="dxa"/>
            <w:tcBorders>
              <w:top w:val="single" w:sz="4" w:space="0" w:color="auto"/>
              <w:left w:val="nil"/>
              <w:bottom w:val="single" w:sz="4" w:space="0" w:color="auto"/>
              <w:right w:val="single" w:sz="4" w:space="0" w:color="auto"/>
            </w:tcBorders>
            <w:shd w:val="clear" w:color="auto" w:fill="BFBFBF" w:themeFill="background1" w:themeFillShade="BF"/>
          </w:tcPr>
          <w:p w14:paraId="5AF26441" w14:textId="77777777" w:rsidR="000A146F" w:rsidRPr="000A146F" w:rsidRDefault="000A146F" w:rsidP="007D1D0D">
            <w:pPr>
              <w:rPr>
                <w:b/>
                <w:bCs/>
              </w:rPr>
            </w:pPr>
          </w:p>
        </w:tc>
        <w:tc>
          <w:tcPr>
            <w:tcW w:w="1162" w:type="dxa"/>
            <w:tcBorders>
              <w:top w:val="single" w:sz="4" w:space="0" w:color="auto"/>
              <w:left w:val="single" w:sz="4" w:space="0" w:color="auto"/>
              <w:bottom w:val="single" w:sz="4" w:space="0" w:color="auto"/>
              <w:right w:val="nil"/>
            </w:tcBorders>
            <w:shd w:val="clear" w:color="auto" w:fill="BFBFBF" w:themeFill="background1" w:themeFillShade="BF"/>
          </w:tcPr>
          <w:p w14:paraId="1FFCF38C" w14:textId="37BF911F" w:rsidR="000A146F" w:rsidRPr="000A146F" w:rsidRDefault="000A146F" w:rsidP="007D1D0D">
            <w:pPr>
              <w:rPr>
                <w:b/>
                <w:bCs/>
              </w:rPr>
            </w:pPr>
            <w:r w:rsidRPr="000A146F">
              <w:rPr>
                <w:b/>
                <w:bCs/>
              </w:rPr>
              <w:t>2020</w:t>
            </w:r>
          </w:p>
        </w:tc>
        <w:tc>
          <w:tcPr>
            <w:tcW w:w="1162" w:type="dxa"/>
            <w:tcBorders>
              <w:top w:val="single" w:sz="4" w:space="0" w:color="auto"/>
              <w:left w:val="nil"/>
              <w:bottom w:val="single" w:sz="4" w:space="0" w:color="auto"/>
              <w:right w:val="single" w:sz="4" w:space="0" w:color="auto"/>
            </w:tcBorders>
            <w:shd w:val="clear" w:color="auto" w:fill="BFBFBF" w:themeFill="background1" w:themeFillShade="BF"/>
          </w:tcPr>
          <w:p w14:paraId="461804D8" w14:textId="77777777" w:rsidR="000A146F" w:rsidRPr="000A146F" w:rsidRDefault="000A146F" w:rsidP="007D1D0D">
            <w:pPr>
              <w:rPr>
                <w:b/>
                <w:bCs/>
              </w:rPr>
            </w:pPr>
          </w:p>
        </w:tc>
      </w:tr>
      <w:tr w:rsidR="000A146F" w14:paraId="2EC29FF3" w14:textId="77777777" w:rsidTr="0055251E">
        <w:tc>
          <w:tcPr>
            <w:tcW w:w="11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DE4AC3" w14:textId="77777777" w:rsidR="000A146F" w:rsidRDefault="000A146F" w:rsidP="007D1D0D">
            <w:pPr>
              <w:rPr>
                <w:b/>
                <w:bCs/>
              </w:rPr>
            </w:pPr>
          </w:p>
        </w:tc>
        <w:tc>
          <w:tcPr>
            <w:tcW w:w="961" w:type="dxa"/>
            <w:tcBorders>
              <w:top w:val="single" w:sz="4" w:space="0" w:color="auto"/>
              <w:left w:val="single" w:sz="4" w:space="0" w:color="auto"/>
            </w:tcBorders>
            <w:shd w:val="clear" w:color="auto" w:fill="BFBFBF" w:themeFill="background1" w:themeFillShade="BF"/>
          </w:tcPr>
          <w:p w14:paraId="54E71040" w14:textId="6A1AE5DE" w:rsidR="000A146F" w:rsidRDefault="000A146F" w:rsidP="007D1D0D">
            <w:pPr>
              <w:rPr>
                <w:b/>
                <w:bCs/>
              </w:rPr>
            </w:pPr>
            <w:r>
              <w:rPr>
                <w:b/>
                <w:bCs/>
              </w:rPr>
              <w:t>Q3</w:t>
            </w:r>
          </w:p>
        </w:tc>
        <w:tc>
          <w:tcPr>
            <w:tcW w:w="1134" w:type="dxa"/>
            <w:tcBorders>
              <w:top w:val="single" w:sz="4" w:space="0" w:color="auto"/>
            </w:tcBorders>
            <w:shd w:val="clear" w:color="auto" w:fill="BFBFBF" w:themeFill="background1" w:themeFillShade="BF"/>
          </w:tcPr>
          <w:p w14:paraId="3F67595E" w14:textId="5BC1FAB5" w:rsidR="000A146F" w:rsidRDefault="000A146F" w:rsidP="007D1D0D">
            <w:pPr>
              <w:rPr>
                <w:b/>
                <w:bCs/>
              </w:rPr>
            </w:pPr>
            <w:r>
              <w:rPr>
                <w:b/>
                <w:bCs/>
              </w:rPr>
              <w:t>Q4</w:t>
            </w:r>
          </w:p>
        </w:tc>
        <w:tc>
          <w:tcPr>
            <w:tcW w:w="1391" w:type="dxa"/>
            <w:tcBorders>
              <w:top w:val="single" w:sz="4" w:space="0" w:color="auto"/>
            </w:tcBorders>
            <w:shd w:val="clear" w:color="auto" w:fill="BFBFBF" w:themeFill="background1" w:themeFillShade="BF"/>
          </w:tcPr>
          <w:p w14:paraId="7ADC371F" w14:textId="2E2AFBA4" w:rsidR="000A146F" w:rsidRDefault="000A146F" w:rsidP="007D1D0D">
            <w:pPr>
              <w:rPr>
                <w:b/>
                <w:bCs/>
              </w:rPr>
            </w:pPr>
            <w:r>
              <w:rPr>
                <w:b/>
                <w:bCs/>
              </w:rPr>
              <w:t>Q1</w:t>
            </w:r>
          </w:p>
        </w:tc>
        <w:tc>
          <w:tcPr>
            <w:tcW w:w="1162" w:type="dxa"/>
            <w:tcBorders>
              <w:top w:val="single" w:sz="4" w:space="0" w:color="auto"/>
            </w:tcBorders>
            <w:shd w:val="clear" w:color="auto" w:fill="BFBFBF" w:themeFill="background1" w:themeFillShade="BF"/>
          </w:tcPr>
          <w:p w14:paraId="6D3BA781" w14:textId="4689DFB0" w:rsidR="000A146F" w:rsidRDefault="000A146F" w:rsidP="007D1D0D">
            <w:pPr>
              <w:rPr>
                <w:b/>
                <w:bCs/>
              </w:rPr>
            </w:pPr>
            <w:r>
              <w:rPr>
                <w:b/>
                <w:bCs/>
              </w:rPr>
              <w:t>Q2</w:t>
            </w:r>
          </w:p>
        </w:tc>
        <w:tc>
          <w:tcPr>
            <w:tcW w:w="1162" w:type="dxa"/>
            <w:tcBorders>
              <w:top w:val="single" w:sz="4" w:space="0" w:color="auto"/>
            </w:tcBorders>
            <w:shd w:val="clear" w:color="auto" w:fill="BFBFBF" w:themeFill="background1" w:themeFillShade="BF"/>
          </w:tcPr>
          <w:p w14:paraId="2495FAD3" w14:textId="59757C6F" w:rsidR="000A146F" w:rsidRDefault="000A146F" w:rsidP="007D1D0D">
            <w:pPr>
              <w:rPr>
                <w:b/>
                <w:bCs/>
              </w:rPr>
            </w:pPr>
            <w:r>
              <w:rPr>
                <w:b/>
                <w:bCs/>
              </w:rPr>
              <w:t>Q3</w:t>
            </w:r>
          </w:p>
        </w:tc>
        <w:tc>
          <w:tcPr>
            <w:tcW w:w="1162" w:type="dxa"/>
            <w:tcBorders>
              <w:top w:val="single" w:sz="4" w:space="0" w:color="auto"/>
            </w:tcBorders>
            <w:shd w:val="clear" w:color="auto" w:fill="BFBFBF" w:themeFill="background1" w:themeFillShade="BF"/>
          </w:tcPr>
          <w:p w14:paraId="28C426FA" w14:textId="5765321A" w:rsidR="000A146F" w:rsidRDefault="000A146F" w:rsidP="007D1D0D">
            <w:pPr>
              <w:rPr>
                <w:b/>
                <w:bCs/>
              </w:rPr>
            </w:pPr>
            <w:r>
              <w:rPr>
                <w:b/>
                <w:bCs/>
              </w:rPr>
              <w:t>Q4</w:t>
            </w:r>
          </w:p>
        </w:tc>
        <w:tc>
          <w:tcPr>
            <w:tcW w:w="1162" w:type="dxa"/>
            <w:tcBorders>
              <w:top w:val="single" w:sz="4" w:space="0" w:color="auto"/>
            </w:tcBorders>
            <w:shd w:val="clear" w:color="auto" w:fill="BFBFBF" w:themeFill="background1" w:themeFillShade="BF"/>
          </w:tcPr>
          <w:p w14:paraId="081812C0" w14:textId="1354D41C" w:rsidR="000A146F" w:rsidRDefault="000A146F" w:rsidP="007D1D0D">
            <w:pPr>
              <w:rPr>
                <w:b/>
                <w:bCs/>
              </w:rPr>
            </w:pPr>
            <w:r>
              <w:rPr>
                <w:b/>
                <w:bCs/>
              </w:rPr>
              <w:t>Q1</w:t>
            </w:r>
          </w:p>
        </w:tc>
        <w:tc>
          <w:tcPr>
            <w:tcW w:w="1162" w:type="dxa"/>
            <w:tcBorders>
              <w:top w:val="single" w:sz="4" w:space="0" w:color="auto"/>
            </w:tcBorders>
            <w:shd w:val="clear" w:color="auto" w:fill="BFBFBF" w:themeFill="background1" w:themeFillShade="BF"/>
          </w:tcPr>
          <w:p w14:paraId="1E93FFA2" w14:textId="6F98921E" w:rsidR="000A146F" w:rsidRDefault="000A146F" w:rsidP="007D1D0D">
            <w:pPr>
              <w:rPr>
                <w:b/>
                <w:bCs/>
              </w:rPr>
            </w:pPr>
            <w:r>
              <w:rPr>
                <w:b/>
                <w:bCs/>
              </w:rPr>
              <w:t>Q2</w:t>
            </w:r>
          </w:p>
        </w:tc>
      </w:tr>
      <w:tr w:rsidR="0055251E" w14:paraId="17B1B982" w14:textId="77777777" w:rsidTr="0055251E">
        <w:tc>
          <w:tcPr>
            <w:tcW w:w="1161" w:type="dxa"/>
            <w:tcBorders>
              <w:top w:val="single" w:sz="4" w:space="0" w:color="auto"/>
            </w:tcBorders>
          </w:tcPr>
          <w:p w14:paraId="7B7F0CA8" w14:textId="63E20565" w:rsidR="0055251E" w:rsidRDefault="0055251E" w:rsidP="0055251E">
            <w:pPr>
              <w:rPr>
                <w:b/>
                <w:bCs/>
              </w:rPr>
            </w:pPr>
            <w:r>
              <w:rPr>
                <w:b/>
                <w:bCs/>
              </w:rPr>
              <w:t>Fiji</w:t>
            </w:r>
          </w:p>
        </w:tc>
        <w:tc>
          <w:tcPr>
            <w:tcW w:w="961" w:type="dxa"/>
          </w:tcPr>
          <w:p w14:paraId="54159200" w14:textId="4326F7C2" w:rsidR="0055251E" w:rsidRDefault="0055251E" w:rsidP="0055251E">
            <w:pPr>
              <w:rPr>
                <w:b/>
                <w:bCs/>
              </w:rPr>
            </w:pPr>
            <w:r>
              <w:t>-</w:t>
            </w:r>
          </w:p>
        </w:tc>
        <w:tc>
          <w:tcPr>
            <w:tcW w:w="1134" w:type="dxa"/>
          </w:tcPr>
          <w:p w14:paraId="5A8EE556" w14:textId="48FBA18C" w:rsidR="0055251E" w:rsidRDefault="0055251E" w:rsidP="0055251E">
            <w:pPr>
              <w:rPr>
                <w:b/>
                <w:bCs/>
              </w:rPr>
            </w:pPr>
            <w:r>
              <w:t>9</w:t>
            </w:r>
          </w:p>
        </w:tc>
        <w:tc>
          <w:tcPr>
            <w:tcW w:w="1391" w:type="dxa"/>
          </w:tcPr>
          <w:p w14:paraId="3700FE31" w14:textId="78714A0D" w:rsidR="0055251E" w:rsidRDefault="0055251E" w:rsidP="0055251E">
            <w:pPr>
              <w:rPr>
                <w:b/>
                <w:bCs/>
              </w:rPr>
            </w:pPr>
            <w:r>
              <w:t>25</w:t>
            </w:r>
          </w:p>
        </w:tc>
        <w:tc>
          <w:tcPr>
            <w:tcW w:w="1162" w:type="dxa"/>
          </w:tcPr>
          <w:p w14:paraId="3C24717F" w14:textId="2D32DEE4" w:rsidR="0055251E" w:rsidRDefault="0055251E" w:rsidP="0055251E">
            <w:pPr>
              <w:rPr>
                <w:b/>
                <w:bCs/>
              </w:rPr>
            </w:pPr>
            <w:r>
              <w:t>2.5</w:t>
            </w:r>
          </w:p>
        </w:tc>
        <w:tc>
          <w:tcPr>
            <w:tcW w:w="1162" w:type="dxa"/>
          </w:tcPr>
          <w:p w14:paraId="5D22EADA" w14:textId="139DA892" w:rsidR="0055251E" w:rsidRDefault="0055251E" w:rsidP="0055251E">
            <w:pPr>
              <w:rPr>
                <w:b/>
                <w:bCs/>
              </w:rPr>
            </w:pPr>
            <w:r>
              <w:t>8</w:t>
            </w:r>
          </w:p>
        </w:tc>
        <w:tc>
          <w:tcPr>
            <w:tcW w:w="1162" w:type="dxa"/>
          </w:tcPr>
          <w:p w14:paraId="1F98A59B" w14:textId="2258B76B" w:rsidR="0055251E" w:rsidRDefault="0055251E" w:rsidP="0055251E">
            <w:pPr>
              <w:rPr>
                <w:b/>
                <w:bCs/>
              </w:rPr>
            </w:pPr>
            <w:r>
              <w:t>3.67</w:t>
            </w:r>
          </w:p>
        </w:tc>
        <w:tc>
          <w:tcPr>
            <w:tcW w:w="1162" w:type="dxa"/>
          </w:tcPr>
          <w:p w14:paraId="3E16012D" w14:textId="40813733" w:rsidR="0055251E" w:rsidRDefault="0055251E" w:rsidP="0055251E">
            <w:pPr>
              <w:rPr>
                <w:b/>
                <w:bCs/>
              </w:rPr>
            </w:pPr>
            <w:r>
              <w:t>-</w:t>
            </w:r>
          </w:p>
        </w:tc>
        <w:tc>
          <w:tcPr>
            <w:tcW w:w="1162" w:type="dxa"/>
          </w:tcPr>
          <w:p w14:paraId="6D37FB54" w14:textId="382F6343" w:rsidR="0055251E" w:rsidRDefault="0055251E" w:rsidP="0055251E">
            <w:pPr>
              <w:rPr>
                <w:b/>
                <w:bCs/>
              </w:rPr>
            </w:pPr>
            <w:r>
              <w:t>2</w:t>
            </w:r>
          </w:p>
        </w:tc>
      </w:tr>
      <w:tr w:rsidR="0055251E" w14:paraId="4AC95F4E" w14:textId="77777777" w:rsidTr="0055251E">
        <w:tc>
          <w:tcPr>
            <w:tcW w:w="1161" w:type="dxa"/>
          </w:tcPr>
          <w:p w14:paraId="18266A99" w14:textId="571D3EC0" w:rsidR="0055251E" w:rsidRDefault="0055251E" w:rsidP="0055251E">
            <w:pPr>
              <w:rPr>
                <w:b/>
                <w:bCs/>
              </w:rPr>
            </w:pPr>
            <w:r>
              <w:rPr>
                <w:b/>
                <w:bCs/>
              </w:rPr>
              <w:t>Kiribati</w:t>
            </w:r>
          </w:p>
        </w:tc>
        <w:tc>
          <w:tcPr>
            <w:tcW w:w="961" w:type="dxa"/>
          </w:tcPr>
          <w:p w14:paraId="14D4362B" w14:textId="0CFFE2FA" w:rsidR="0055251E" w:rsidRDefault="0055251E" w:rsidP="0055251E">
            <w:pPr>
              <w:rPr>
                <w:b/>
                <w:bCs/>
              </w:rPr>
            </w:pPr>
            <w:r>
              <w:t>-</w:t>
            </w:r>
          </w:p>
        </w:tc>
        <w:tc>
          <w:tcPr>
            <w:tcW w:w="1134" w:type="dxa"/>
          </w:tcPr>
          <w:p w14:paraId="2C2EC725" w14:textId="4FB337EF" w:rsidR="0055251E" w:rsidRDefault="0055251E" w:rsidP="0055251E">
            <w:pPr>
              <w:rPr>
                <w:b/>
                <w:bCs/>
              </w:rPr>
            </w:pPr>
            <w:r>
              <w:t>-</w:t>
            </w:r>
          </w:p>
        </w:tc>
        <w:tc>
          <w:tcPr>
            <w:tcW w:w="1391" w:type="dxa"/>
          </w:tcPr>
          <w:p w14:paraId="199AA0C6" w14:textId="29759E9F" w:rsidR="0055251E" w:rsidRDefault="0055251E" w:rsidP="0055251E">
            <w:pPr>
              <w:rPr>
                <w:b/>
                <w:bCs/>
              </w:rPr>
            </w:pPr>
            <w:r>
              <w:t>3.5</w:t>
            </w:r>
          </w:p>
        </w:tc>
        <w:tc>
          <w:tcPr>
            <w:tcW w:w="1162" w:type="dxa"/>
          </w:tcPr>
          <w:p w14:paraId="5C168699" w14:textId="20530897" w:rsidR="0055251E" w:rsidRDefault="0055251E" w:rsidP="0055251E">
            <w:pPr>
              <w:rPr>
                <w:b/>
                <w:bCs/>
              </w:rPr>
            </w:pPr>
            <w:r>
              <w:t>49.25</w:t>
            </w:r>
          </w:p>
        </w:tc>
        <w:tc>
          <w:tcPr>
            <w:tcW w:w="1162" w:type="dxa"/>
          </w:tcPr>
          <w:p w14:paraId="67367E09" w14:textId="2C7D3FA1" w:rsidR="0055251E" w:rsidRDefault="0055251E" w:rsidP="0055251E">
            <w:pPr>
              <w:rPr>
                <w:b/>
                <w:bCs/>
              </w:rPr>
            </w:pPr>
            <w:r>
              <w:t>49</w:t>
            </w:r>
          </w:p>
        </w:tc>
        <w:tc>
          <w:tcPr>
            <w:tcW w:w="1162" w:type="dxa"/>
          </w:tcPr>
          <w:p w14:paraId="308E1309" w14:textId="5BFED4DC" w:rsidR="0055251E" w:rsidRDefault="0055251E" w:rsidP="0055251E">
            <w:pPr>
              <w:rPr>
                <w:b/>
                <w:bCs/>
              </w:rPr>
            </w:pPr>
            <w:r>
              <w:t>3.5</w:t>
            </w:r>
          </w:p>
        </w:tc>
        <w:tc>
          <w:tcPr>
            <w:tcW w:w="1162" w:type="dxa"/>
          </w:tcPr>
          <w:p w14:paraId="557D0C19" w14:textId="5A38DFCD" w:rsidR="0055251E" w:rsidRDefault="0055251E" w:rsidP="0055251E">
            <w:pPr>
              <w:rPr>
                <w:b/>
                <w:bCs/>
              </w:rPr>
            </w:pPr>
            <w:r>
              <w:t>10.33</w:t>
            </w:r>
          </w:p>
        </w:tc>
        <w:tc>
          <w:tcPr>
            <w:tcW w:w="1162" w:type="dxa"/>
          </w:tcPr>
          <w:p w14:paraId="3945EE07" w14:textId="52EE9A2E" w:rsidR="0055251E" w:rsidRDefault="0055251E" w:rsidP="0055251E">
            <w:pPr>
              <w:rPr>
                <w:b/>
                <w:bCs/>
              </w:rPr>
            </w:pPr>
            <w:r>
              <w:t>9.67</w:t>
            </w:r>
          </w:p>
        </w:tc>
      </w:tr>
      <w:tr w:rsidR="0055251E" w14:paraId="7B370E08" w14:textId="77777777" w:rsidTr="0055251E">
        <w:tc>
          <w:tcPr>
            <w:tcW w:w="1161" w:type="dxa"/>
          </w:tcPr>
          <w:p w14:paraId="2A5A083B" w14:textId="0C5DD965" w:rsidR="0055251E" w:rsidRDefault="0055251E" w:rsidP="0055251E">
            <w:pPr>
              <w:rPr>
                <w:b/>
                <w:bCs/>
              </w:rPr>
            </w:pPr>
            <w:r>
              <w:rPr>
                <w:b/>
                <w:bCs/>
              </w:rPr>
              <w:t>Samoa</w:t>
            </w:r>
          </w:p>
        </w:tc>
        <w:tc>
          <w:tcPr>
            <w:tcW w:w="961" w:type="dxa"/>
          </w:tcPr>
          <w:p w14:paraId="5AFA918E" w14:textId="269DC754" w:rsidR="0055251E" w:rsidRDefault="0055251E" w:rsidP="0055251E">
            <w:pPr>
              <w:rPr>
                <w:b/>
                <w:bCs/>
              </w:rPr>
            </w:pPr>
            <w:r>
              <w:t>5</w:t>
            </w:r>
          </w:p>
        </w:tc>
        <w:tc>
          <w:tcPr>
            <w:tcW w:w="1134" w:type="dxa"/>
          </w:tcPr>
          <w:p w14:paraId="59AED16C" w14:textId="0DF4BB95" w:rsidR="0055251E" w:rsidRDefault="0055251E" w:rsidP="0055251E">
            <w:pPr>
              <w:rPr>
                <w:b/>
                <w:bCs/>
              </w:rPr>
            </w:pPr>
            <w:r>
              <w:t>20</w:t>
            </w:r>
          </w:p>
        </w:tc>
        <w:tc>
          <w:tcPr>
            <w:tcW w:w="1391" w:type="dxa"/>
          </w:tcPr>
          <w:p w14:paraId="22A4F819" w14:textId="00CD0359" w:rsidR="0055251E" w:rsidRDefault="0055251E" w:rsidP="0055251E">
            <w:pPr>
              <w:rPr>
                <w:b/>
                <w:bCs/>
              </w:rPr>
            </w:pPr>
            <w:r>
              <w:t>5</w:t>
            </w:r>
          </w:p>
        </w:tc>
        <w:tc>
          <w:tcPr>
            <w:tcW w:w="1162" w:type="dxa"/>
          </w:tcPr>
          <w:p w14:paraId="2DCEA515" w14:textId="540613FE" w:rsidR="0055251E" w:rsidRDefault="0055251E" w:rsidP="0055251E">
            <w:pPr>
              <w:rPr>
                <w:b/>
                <w:bCs/>
              </w:rPr>
            </w:pPr>
            <w:r>
              <w:t>67</w:t>
            </w:r>
          </w:p>
        </w:tc>
        <w:tc>
          <w:tcPr>
            <w:tcW w:w="1162" w:type="dxa"/>
          </w:tcPr>
          <w:p w14:paraId="6B9FF3D6" w14:textId="0839ECFE" w:rsidR="0055251E" w:rsidRDefault="0055251E" w:rsidP="0055251E">
            <w:pPr>
              <w:rPr>
                <w:b/>
                <w:bCs/>
              </w:rPr>
            </w:pPr>
            <w:r>
              <w:t>3</w:t>
            </w:r>
          </w:p>
        </w:tc>
        <w:tc>
          <w:tcPr>
            <w:tcW w:w="1162" w:type="dxa"/>
          </w:tcPr>
          <w:p w14:paraId="725A5771" w14:textId="31457290" w:rsidR="0055251E" w:rsidRDefault="0055251E" w:rsidP="0055251E">
            <w:pPr>
              <w:rPr>
                <w:b/>
                <w:bCs/>
              </w:rPr>
            </w:pPr>
            <w:r>
              <w:t>2</w:t>
            </w:r>
          </w:p>
        </w:tc>
        <w:tc>
          <w:tcPr>
            <w:tcW w:w="1162" w:type="dxa"/>
          </w:tcPr>
          <w:p w14:paraId="0ED99040" w14:textId="5048D12F" w:rsidR="0055251E" w:rsidRDefault="0055251E" w:rsidP="0055251E">
            <w:pPr>
              <w:rPr>
                <w:b/>
                <w:bCs/>
              </w:rPr>
            </w:pPr>
            <w:r>
              <w:t>29</w:t>
            </w:r>
          </w:p>
        </w:tc>
        <w:tc>
          <w:tcPr>
            <w:tcW w:w="1162" w:type="dxa"/>
          </w:tcPr>
          <w:p w14:paraId="4B7FA703" w14:textId="148DCDDF" w:rsidR="0055251E" w:rsidRDefault="0055251E" w:rsidP="0055251E">
            <w:pPr>
              <w:rPr>
                <w:b/>
                <w:bCs/>
              </w:rPr>
            </w:pPr>
            <w:r>
              <w:t>6</w:t>
            </w:r>
          </w:p>
        </w:tc>
      </w:tr>
      <w:tr w:rsidR="0055251E" w14:paraId="455E9E32" w14:textId="77777777" w:rsidTr="0055251E">
        <w:tc>
          <w:tcPr>
            <w:tcW w:w="1161" w:type="dxa"/>
          </w:tcPr>
          <w:p w14:paraId="7FE89E08" w14:textId="500CB5FC" w:rsidR="0055251E" w:rsidRDefault="0055251E" w:rsidP="0055251E">
            <w:pPr>
              <w:rPr>
                <w:b/>
                <w:bCs/>
              </w:rPr>
            </w:pPr>
            <w:r>
              <w:rPr>
                <w:b/>
                <w:bCs/>
              </w:rPr>
              <w:t>Solomon Islands</w:t>
            </w:r>
          </w:p>
        </w:tc>
        <w:tc>
          <w:tcPr>
            <w:tcW w:w="961" w:type="dxa"/>
          </w:tcPr>
          <w:p w14:paraId="1A0390DE" w14:textId="1F1F96AA" w:rsidR="0055251E" w:rsidRDefault="0055251E" w:rsidP="0055251E">
            <w:pPr>
              <w:rPr>
                <w:b/>
                <w:bCs/>
              </w:rPr>
            </w:pPr>
            <w:r>
              <w:t>1</w:t>
            </w:r>
          </w:p>
        </w:tc>
        <w:tc>
          <w:tcPr>
            <w:tcW w:w="1134" w:type="dxa"/>
          </w:tcPr>
          <w:p w14:paraId="15D96726" w14:textId="19E3C982" w:rsidR="0055251E" w:rsidRDefault="0055251E" w:rsidP="0055251E">
            <w:pPr>
              <w:rPr>
                <w:b/>
                <w:bCs/>
              </w:rPr>
            </w:pPr>
            <w:r>
              <w:t>4</w:t>
            </w:r>
          </w:p>
        </w:tc>
        <w:tc>
          <w:tcPr>
            <w:tcW w:w="1391" w:type="dxa"/>
          </w:tcPr>
          <w:p w14:paraId="5056CFC1" w14:textId="52B63A38" w:rsidR="0055251E" w:rsidRDefault="0055251E" w:rsidP="0055251E">
            <w:pPr>
              <w:rPr>
                <w:b/>
                <w:bCs/>
              </w:rPr>
            </w:pPr>
            <w:r>
              <w:t>-</w:t>
            </w:r>
          </w:p>
        </w:tc>
        <w:tc>
          <w:tcPr>
            <w:tcW w:w="1162" w:type="dxa"/>
          </w:tcPr>
          <w:p w14:paraId="2D6D0CBC" w14:textId="33E466D0" w:rsidR="0055251E" w:rsidRDefault="0055251E" w:rsidP="0055251E">
            <w:pPr>
              <w:rPr>
                <w:b/>
                <w:bCs/>
              </w:rPr>
            </w:pPr>
            <w:r>
              <w:t>-</w:t>
            </w:r>
          </w:p>
        </w:tc>
        <w:tc>
          <w:tcPr>
            <w:tcW w:w="1162" w:type="dxa"/>
          </w:tcPr>
          <w:p w14:paraId="4B8E582C" w14:textId="5C4905B0" w:rsidR="0055251E" w:rsidRDefault="0055251E" w:rsidP="0055251E">
            <w:pPr>
              <w:rPr>
                <w:b/>
                <w:bCs/>
              </w:rPr>
            </w:pPr>
            <w:r>
              <w:t>28.5</w:t>
            </w:r>
          </w:p>
        </w:tc>
        <w:tc>
          <w:tcPr>
            <w:tcW w:w="1162" w:type="dxa"/>
          </w:tcPr>
          <w:p w14:paraId="2ED95B97" w14:textId="786C1FC1" w:rsidR="0055251E" w:rsidRDefault="0055251E" w:rsidP="0055251E">
            <w:pPr>
              <w:rPr>
                <w:b/>
                <w:bCs/>
              </w:rPr>
            </w:pPr>
            <w:r>
              <w:t>1</w:t>
            </w:r>
          </w:p>
        </w:tc>
        <w:tc>
          <w:tcPr>
            <w:tcW w:w="1162" w:type="dxa"/>
          </w:tcPr>
          <w:p w14:paraId="639B6DE5" w14:textId="670B21C0" w:rsidR="0055251E" w:rsidRDefault="0055251E" w:rsidP="0055251E">
            <w:pPr>
              <w:rPr>
                <w:b/>
                <w:bCs/>
              </w:rPr>
            </w:pPr>
            <w:r>
              <w:t>12</w:t>
            </w:r>
          </w:p>
        </w:tc>
        <w:tc>
          <w:tcPr>
            <w:tcW w:w="1162" w:type="dxa"/>
          </w:tcPr>
          <w:p w14:paraId="5CD3D350" w14:textId="311ABFA8" w:rsidR="0055251E" w:rsidRDefault="0055251E" w:rsidP="0055251E">
            <w:pPr>
              <w:rPr>
                <w:b/>
                <w:bCs/>
              </w:rPr>
            </w:pPr>
            <w:r>
              <w:t>5</w:t>
            </w:r>
          </w:p>
        </w:tc>
      </w:tr>
      <w:tr w:rsidR="0055251E" w14:paraId="7A949807" w14:textId="77777777" w:rsidTr="0055251E">
        <w:tc>
          <w:tcPr>
            <w:tcW w:w="1161" w:type="dxa"/>
          </w:tcPr>
          <w:p w14:paraId="51C8771F" w14:textId="5DBD54C3" w:rsidR="0055251E" w:rsidRDefault="0055251E" w:rsidP="0055251E">
            <w:pPr>
              <w:rPr>
                <w:b/>
                <w:bCs/>
              </w:rPr>
            </w:pPr>
            <w:r>
              <w:rPr>
                <w:b/>
                <w:bCs/>
              </w:rPr>
              <w:t>Tonga</w:t>
            </w:r>
          </w:p>
        </w:tc>
        <w:tc>
          <w:tcPr>
            <w:tcW w:w="961" w:type="dxa"/>
          </w:tcPr>
          <w:p w14:paraId="128EB2B0" w14:textId="6A376200" w:rsidR="0055251E" w:rsidRDefault="0055251E" w:rsidP="0055251E">
            <w:pPr>
              <w:rPr>
                <w:b/>
                <w:bCs/>
              </w:rPr>
            </w:pPr>
            <w:r>
              <w:t>-</w:t>
            </w:r>
          </w:p>
        </w:tc>
        <w:tc>
          <w:tcPr>
            <w:tcW w:w="1134" w:type="dxa"/>
          </w:tcPr>
          <w:p w14:paraId="0769B5ED" w14:textId="69B78F43" w:rsidR="0055251E" w:rsidRDefault="0055251E" w:rsidP="0055251E">
            <w:pPr>
              <w:rPr>
                <w:b/>
                <w:bCs/>
              </w:rPr>
            </w:pPr>
            <w:r>
              <w:t>-</w:t>
            </w:r>
          </w:p>
        </w:tc>
        <w:tc>
          <w:tcPr>
            <w:tcW w:w="1391" w:type="dxa"/>
          </w:tcPr>
          <w:p w14:paraId="7D74EA1C" w14:textId="41FFE172" w:rsidR="0055251E" w:rsidRDefault="0055251E" w:rsidP="0055251E">
            <w:pPr>
              <w:rPr>
                <w:b/>
                <w:bCs/>
              </w:rPr>
            </w:pPr>
            <w:r>
              <w:t>2</w:t>
            </w:r>
          </w:p>
        </w:tc>
        <w:tc>
          <w:tcPr>
            <w:tcW w:w="1162" w:type="dxa"/>
          </w:tcPr>
          <w:p w14:paraId="09462A0A" w14:textId="10789FAB" w:rsidR="0055251E" w:rsidRDefault="0055251E" w:rsidP="0055251E">
            <w:pPr>
              <w:rPr>
                <w:b/>
                <w:bCs/>
              </w:rPr>
            </w:pPr>
            <w:r>
              <w:t>1</w:t>
            </w:r>
          </w:p>
        </w:tc>
        <w:tc>
          <w:tcPr>
            <w:tcW w:w="1162" w:type="dxa"/>
          </w:tcPr>
          <w:p w14:paraId="63C76A78" w14:textId="7E922102" w:rsidR="0055251E" w:rsidRDefault="0055251E" w:rsidP="0055251E">
            <w:pPr>
              <w:rPr>
                <w:b/>
                <w:bCs/>
              </w:rPr>
            </w:pPr>
            <w:r>
              <w:t>31</w:t>
            </w:r>
          </w:p>
        </w:tc>
        <w:tc>
          <w:tcPr>
            <w:tcW w:w="1162" w:type="dxa"/>
          </w:tcPr>
          <w:p w14:paraId="744C5735" w14:textId="47094B47" w:rsidR="0055251E" w:rsidRDefault="0055251E" w:rsidP="0055251E">
            <w:pPr>
              <w:rPr>
                <w:b/>
                <w:bCs/>
              </w:rPr>
            </w:pPr>
            <w:r>
              <w:t>0</w:t>
            </w:r>
          </w:p>
        </w:tc>
        <w:tc>
          <w:tcPr>
            <w:tcW w:w="1162" w:type="dxa"/>
          </w:tcPr>
          <w:p w14:paraId="2FBA6F63" w14:textId="4A99BEE1" w:rsidR="0055251E" w:rsidRDefault="0055251E" w:rsidP="0055251E">
            <w:pPr>
              <w:rPr>
                <w:b/>
                <w:bCs/>
              </w:rPr>
            </w:pPr>
            <w:r>
              <w:t>5</w:t>
            </w:r>
          </w:p>
        </w:tc>
        <w:tc>
          <w:tcPr>
            <w:tcW w:w="1162" w:type="dxa"/>
          </w:tcPr>
          <w:p w14:paraId="1E4FE86E" w14:textId="073CA0A6" w:rsidR="0055251E" w:rsidRDefault="0055251E" w:rsidP="0055251E">
            <w:pPr>
              <w:rPr>
                <w:b/>
                <w:bCs/>
              </w:rPr>
            </w:pPr>
            <w:r>
              <w:t>1</w:t>
            </w:r>
          </w:p>
        </w:tc>
      </w:tr>
      <w:tr w:rsidR="0055251E" w14:paraId="0A459026" w14:textId="77777777" w:rsidTr="0055251E">
        <w:tc>
          <w:tcPr>
            <w:tcW w:w="1161" w:type="dxa"/>
          </w:tcPr>
          <w:p w14:paraId="185258F0" w14:textId="4F2C854E" w:rsidR="0055251E" w:rsidRDefault="0055251E" w:rsidP="0055251E">
            <w:pPr>
              <w:rPr>
                <w:b/>
                <w:bCs/>
              </w:rPr>
            </w:pPr>
            <w:r>
              <w:rPr>
                <w:b/>
                <w:bCs/>
              </w:rPr>
              <w:t>Vanuatu</w:t>
            </w:r>
          </w:p>
        </w:tc>
        <w:tc>
          <w:tcPr>
            <w:tcW w:w="961" w:type="dxa"/>
          </w:tcPr>
          <w:p w14:paraId="2A2AB71F" w14:textId="3BEBAACA" w:rsidR="0055251E" w:rsidRDefault="0055251E" w:rsidP="0055251E">
            <w:pPr>
              <w:rPr>
                <w:b/>
                <w:bCs/>
              </w:rPr>
            </w:pPr>
            <w:r>
              <w:t>-</w:t>
            </w:r>
          </w:p>
        </w:tc>
        <w:tc>
          <w:tcPr>
            <w:tcW w:w="1134" w:type="dxa"/>
          </w:tcPr>
          <w:p w14:paraId="43BFE220" w14:textId="5B03E0D9" w:rsidR="0055251E" w:rsidRDefault="0055251E" w:rsidP="0055251E">
            <w:pPr>
              <w:rPr>
                <w:b/>
                <w:bCs/>
              </w:rPr>
            </w:pPr>
            <w:r>
              <w:t>41</w:t>
            </w:r>
          </w:p>
        </w:tc>
        <w:tc>
          <w:tcPr>
            <w:tcW w:w="1391" w:type="dxa"/>
          </w:tcPr>
          <w:p w14:paraId="3352B281" w14:textId="3ED5BA07" w:rsidR="0055251E" w:rsidRDefault="0055251E" w:rsidP="0055251E">
            <w:pPr>
              <w:rPr>
                <w:b/>
                <w:bCs/>
              </w:rPr>
            </w:pPr>
            <w:r>
              <w:t>-</w:t>
            </w:r>
          </w:p>
        </w:tc>
        <w:tc>
          <w:tcPr>
            <w:tcW w:w="1162" w:type="dxa"/>
          </w:tcPr>
          <w:p w14:paraId="0696C048" w14:textId="284E662D" w:rsidR="0055251E" w:rsidRDefault="0055251E" w:rsidP="0055251E">
            <w:pPr>
              <w:rPr>
                <w:b/>
                <w:bCs/>
              </w:rPr>
            </w:pPr>
            <w:r>
              <w:t>2.5</w:t>
            </w:r>
          </w:p>
        </w:tc>
        <w:tc>
          <w:tcPr>
            <w:tcW w:w="1162" w:type="dxa"/>
          </w:tcPr>
          <w:p w14:paraId="605B2D39" w14:textId="62B298B3" w:rsidR="0055251E" w:rsidRDefault="0055251E" w:rsidP="0055251E">
            <w:pPr>
              <w:rPr>
                <w:b/>
                <w:bCs/>
              </w:rPr>
            </w:pPr>
            <w:r>
              <w:t>7.5</w:t>
            </w:r>
          </w:p>
        </w:tc>
        <w:tc>
          <w:tcPr>
            <w:tcW w:w="1162" w:type="dxa"/>
          </w:tcPr>
          <w:p w14:paraId="24E2BDD9" w14:textId="7898E863" w:rsidR="0055251E" w:rsidRDefault="0055251E" w:rsidP="0055251E">
            <w:pPr>
              <w:rPr>
                <w:b/>
                <w:bCs/>
              </w:rPr>
            </w:pPr>
            <w:r>
              <w:t>1</w:t>
            </w:r>
          </w:p>
        </w:tc>
        <w:tc>
          <w:tcPr>
            <w:tcW w:w="1162" w:type="dxa"/>
          </w:tcPr>
          <w:p w14:paraId="2999F504" w14:textId="1D18043F" w:rsidR="0055251E" w:rsidRDefault="0055251E" w:rsidP="0055251E">
            <w:pPr>
              <w:rPr>
                <w:b/>
                <w:bCs/>
              </w:rPr>
            </w:pPr>
            <w:r>
              <w:t>-</w:t>
            </w:r>
          </w:p>
        </w:tc>
        <w:tc>
          <w:tcPr>
            <w:tcW w:w="1162" w:type="dxa"/>
          </w:tcPr>
          <w:p w14:paraId="1259635D" w14:textId="3D67961D" w:rsidR="0055251E" w:rsidRDefault="0055251E" w:rsidP="0055251E">
            <w:pPr>
              <w:rPr>
                <w:b/>
                <w:bCs/>
              </w:rPr>
            </w:pPr>
            <w:r>
              <w:t>1.17</w:t>
            </w:r>
          </w:p>
        </w:tc>
      </w:tr>
    </w:tbl>
    <w:p w14:paraId="19CA6E2D" w14:textId="77777777" w:rsidR="0055251E" w:rsidRDefault="0055251E" w:rsidP="0055251E">
      <w:pPr>
        <w:rPr>
          <w:rFonts w:cstheme="minorBidi"/>
          <w:b/>
          <w:bCs/>
          <w:sz w:val="18"/>
          <w:szCs w:val="18"/>
          <w:lang w:eastAsia="en-US"/>
        </w:rPr>
      </w:pPr>
      <w:r>
        <w:rPr>
          <w:b/>
          <w:bCs/>
          <w:sz w:val="18"/>
          <w:szCs w:val="18"/>
        </w:rPr>
        <w:t>Source:  PSRO FACE Forms for TA Funds - AUA97</w:t>
      </w:r>
    </w:p>
    <w:p w14:paraId="6441ACA0" w14:textId="46885655" w:rsidR="000A146F" w:rsidRPr="000A146F" w:rsidRDefault="000A146F" w:rsidP="007D1D0D">
      <w:pPr>
        <w:rPr>
          <w:b/>
          <w:bCs/>
        </w:rPr>
      </w:pPr>
    </w:p>
    <w:p w14:paraId="7764DD68" w14:textId="77777777" w:rsidR="000A146F" w:rsidRPr="000A146F" w:rsidRDefault="000A146F" w:rsidP="007D1D0D">
      <w:pPr>
        <w:rPr>
          <w:b/>
          <w:bCs/>
        </w:rPr>
      </w:pPr>
    </w:p>
    <w:p w14:paraId="6FB74AE6" w14:textId="77777777" w:rsidR="00B53F82" w:rsidRDefault="0033680D" w:rsidP="00B53F82">
      <w:pPr>
        <w:pStyle w:val="NoSpacing"/>
      </w:pPr>
      <w:r>
        <w:lastRenderedPageBreak/>
        <w:t>There are also delays when funds are transferred from IPs to SRs. Government processes extend the waiting time for funds to be transferred from MOF or other Ministry to Ministries or SRs. The PRSRH program evaluation provided an insight into this process with M</w:t>
      </w:r>
      <w:r w:rsidR="00DF0B79">
        <w:t>WYSA</w:t>
      </w:r>
      <w:r w:rsidR="00DF0B79">
        <w:rPr>
          <w:rStyle w:val="FootnoteReference"/>
        </w:rPr>
        <w:footnoteReference w:id="24"/>
      </w:r>
      <w:r w:rsidR="00DF0B79">
        <w:t xml:space="preserve"> </w:t>
      </w:r>
      <w:r>
        <w:t xml:space="preserve"> in Kiribati waiting 11-14 days; SI MOH funds to SRs taking 11-159 days; and Tonga MOH taking 53-83 days </w:t>
      </w:r>
      <w:r w:rsidR="00B520EB">
        <w:t>before SRs received their funds</w:t>
      </w:r>
      <w:r>
        <w:t xml:space="preserve">. These ongoing delays need to be addressed in the interests of accelerating implementation. </w:t>
      </w:r>
      <w:r w:rsidR="00B53F82" w:rsidRPr="002347A9">
        <w:t>In addition to these issues, there are other ‘leakages’ of implementation time from each year.  UNFPA need</w:t>
      </w:r>
      <w:r w:rsidR="00B520EB">
        <w:t>s</w:t>
      </w:r>
      <w:r w:rsidR="00B53F82" w:rsidRPr="002347A9">
        <w:t xml:space="preserve"> to invest additional time to identify and prevent any other such leakages for the program to work more efficiently.</w:t>
      </w:r>
      <w:r w:rsidR="00B53F82">
        <w:t xml:space="preserve"> </w:t>
      </w:r>
    </w:p>
    <w:p w14:paraId="65C14599" w14:textId="77777777" w:rsidR="00497F38" w:rsidRDefault="00497F38" w:rsidP="00497F38">
      <w:pPr>
        <w:pStyle w:val="NoSpacing"/>
      </w:pPr>
    </w:p>
    <w:p w14:paraId="4297FC16" w14:textId="77777777" w:rsidR="00020733" w:rsidRPr="008D29CE" w:rsidRDefault="00020733" w:rsidP="00020733">
      <w:pPr>
        <w:pStyle w:val="NoSpacing"/>
      </w:pPr>
      <w:r w:rsidRPr="00016BF7">
        <w:rPr>
          <w:b/>
          <w:bCs/>
          <w:i/>
          <w:iCs/>
        </w:rPr>
        <w:t>Recommendation</w:t>
      </w:r>
      <w:r>
        <w:rPr>
          <w:b/>
          <w:bCs/>
          <w:i/>
          <w:iCs/>
        </w:rPr>
        <w:t xml:space="preserve"> </w:t>
      </w:r>
      <w:r w:rsidR="004B7225">
        <w:rPr>
          <w:b/>
          <w:bCs/>
          <w:i/>
          <w:iCs/>
        </w:rPr>
        <w:t>7</w:t>
      </w:r>
      <w:r w:rsidRPr="00016BF7">
        <w:rPr>
          <w:b/>
          <w:bCs/>
          <w:i/>
          <w:iCs/>
        </w:rPr>
        <w:t>:</w:t>
      </w:r>
      <w:r>
        <w:t xml:space="preserve">  </w:t>
      </w:r>
      <w:r w:rsidRPr="003204EA">
        <w:t xml:space="preserve">By the end of 2020, after careful review and prioritisation of outputs, one regional (PSRO) (which includes the RIP plans) and six national master workplans (January 2021 – </w:t>
      </w:r>
      <w:r>
        <w:t xml:space="preserve">December </w:t>
      </w:r>
      <w:r w:rsidRPr="003204EA">
        <w:t xml:space="preserve"> 2022</w:t>
      </w:r>
      <w:r>
        <w:t xml:space="preserve"> – or August if DFAT cannot consider a four month implementation extension</w:t>
      </w:r>
      <w:r w:rsidRPr="003204EA">
        <w:t xml:space="preserve">) </w:t>
      </w:r>
      <w:r w:rsidR="00152456">
        <w:t xml:space="preserve">that </w:t>
      </w:r>
      <w:r w:rsidRPr="003204EA">
        <w:t>includes all activities from all partners be developed for the remainder of the program</w:t>
      </w:r>
      <w:r>
        <w:t>. The TA should also facilitate 24</w:t>
      </w:r>
      <w:r w:rsidR="00697D94">
        <w:t>-</w:t>
      </w:r>
      <w:r>
        <w:t>month work plans</w:t>
      </w:r>
      <w:r w:rsidRPr="003204EA">
        <w:t xml:space="preserve"> developed by MOHs and other participating Ministries, and</w:t>
      </w:r>
      <w:r>
        <w:t xml:space="preserve"> funds</w:t>
      </w:r>
      <w:r w:rsidRPr="008D29CE">
        <w:t xml:space="preserve"> disbursed </w:t>
      </w:r>
      <w:r>
        <w:t>prior to February</w:t>
      </w:r>
      <w:r w:rsidRPr="008D29CE">
        <w:t xml:space="preserve"> 2021</w:t>
      </w:r>
      <w:r>
        <w:t xml:space="preserve"> and February 2022</w:t>
      </w:r>
      <w:r w:rsidRPr="008D29CE">
        <w:t xml:space="preserve">. In addition, repayment of unspent funds should not be required during the 20-month period. Normal acquittal processes can apply but PSRO finance assistants (where they exist) should be responsible for increased support to IPs. This should be feasible if the number of IPs is reduced. </w:t>
      </w:r>
    </w:p>
    <w:p w14:paraId="5BAEBB59" w14:textId="77777777" w:rsidR="008E4A9C" w:rsidRDefault="008E4A9C" w:rsidP="008E4A9C">
      <w:pPr>
        <w:pStyle w:val="NoSpacing"/>
        <w:rPr>
          <w:b/>
          <w:bCs/>
          <w:i/>
          <w:iCs/>
        </w:rPr>
      </w:pPr>
    </w:p>
    <w:p w14:paraId="595619A0" w14:textId="77777777" w:rsidR="00843E5E" w:rsidRDefault="00016BF7" w:rsidP="003538C5">
      <w:pPr>
        <w:pStyle w:val="Level2Heading"/>
        <w:numPr>
          <w:ilvl w:val="1"/>
          <w:numId w:val="27"/>
        </w:numPr>
        <w:outlineLvl w:val="1"/>
      </w:pPr>
      <w:r>
        <w:t xml:space="preserve"> </w:t>
      </w:r>
      <w:bookmarkStart w:id="31" w:name="_Toc76630094"/>
      <w:r w:rsidR="00515CE9">
        <w:t>Coordination</w:t>
      </w:r>
      <w:bookmarkEnd w:id="31"/>
    </w:p>
    <w:p w14:paraId="5721F63A" w14:textId="77777777" w:rsidR="00DE01CA" w:rsidRDefault="00515CE9" w:rsidP="00497F38">
      <w:pPr>
        <w:pStyle w:val="NoSpacing"/>
      </w:pPr>
      <w:r>
        <w:t xml:space="preserve">In October 2019, a meeting was convened by PSRO where all </w:t>
      </w:r>
      <w:r w:rsidR="00646CAF">
        <w:t xml:space="preserve">potential </w:t>
      </w:r>
      <w:r>
        <w:t xml:space="preserve">IPs gathered to discuss the program and plan for implementation. This included the RIPs. This was late in the program and </w:t>
      </w:r>
      <w:r w:rsidR="00406A0C">
        <w:t>contribute</w:t>
      </w:r>
      <w:r w:rsidR="002347A9">
        <w:t>d</w:t>
      </w:r>
      <w:r w:rsidR="00406A0C">
        <w:t xml:space="preserve"> to </w:t>
      </w:r>
      <w:r>
        <w:t xml:space="preserve">limited implementation in 2018 and 2019.  </w:t>
      </w:r>
      <w:r w:rsidR="00480524">
        <w:t xml:space="preserve">PSRO hosts annual meetings with IPs; and prior to COVID-19 travel restrictions, PSRO TA visits </w:t>
      </w:r>
      <w:r w:rsidR="002347A9">
        <w:t xml:space="preserve">were conducted </w:t>
      </w:r>
      <w:r w:rsidR="00480524">
        <w:t xml:space="preserve">on a regular basis. </w:t>
      </w:r>
      <w:r>
        <w:t xml:space="preserve">Considering the large number of IPs, coordination </w:t>
      </w:r>
      <w:r w:rsidR="00DE01CA">
        <w:t>is vital but difficult across m</w:t>
      </w:r>
      <w:r w:rsidR="00646CAF">
        <w:t>ultiple</w:t>
      </w:r>
      <w:r w:rsidR="00DE01CA">
        <w:t xml:space="preserve"> Ministries, SRs and RIPs. In addition, PSRO is managing implementation of related programs implemented by largely the same IPs (Supplies Program, SRP6 activities). The main coordination point is the PSRO </w:t>
      </w:r>
      <w:r w:rsidR="00B520EB">
        <w:t>DFAT Program Coordinator followed by in-country PSRO staff (SRH Specialists, Program Analysts, and Finance Assistants)</w:t>
      </w:r>
      <w:r w:rsidR="00DE01CA">
        <w:t xml:space="preserve">. Ordinarily IPs would be informed about the program through the Annual Reports but </w:t>
      </w:r>
      <w:r w:rsidR="00E708BB" w:rsidRPr="002347A9">
        <w:t xml:space="preserve">so far, only one annual report has been finalised (for the 2018 calendar year) </w:t>
      </w:r>
      <w:r w:rsidR="00406A0C">
        <w:t>and not provided to many IPs</w:t>
      </w:r>
      <w:r w:rsidR="00DE01CA">
        <w:t>.</w:t>
      </w:r>
    </w:p>
    <w:p w14:paraId="4CEFE683" w14:textId="77777777" w:rsidR="00E708BB" w:rsidRDefault="00E708BB" w:rsidP="00497F38">
      <w:pPr>
        <w:pStyle w:val="NoSpacing"/>
      </w:pPr>
    </w:p>
    <w:p w14:paraId="2A6B0875" w14:textId="77777777" w:rsidR="00646CAF" w:rsidRDefault="00646CAF" w:rsidP="00646CAF">
      <w:pPr>
        <w:pStyle w:val="NoSpacing"/>
      </w:pPr>
      <w:r>
        <w:t>Some stakeholders consulted reported that they did not have a copy of the PDD; did not know about the program beyond their own activities, and some could not say how their activities related to FP/SRH. Reducing the number of IPs, conducting national planning through MOHs, and focusing on FP/SRH service delivery through MOHs should strengthen coordination.</w:t>
      </w:r>
    </w:p>
    <w:p w14:paraId="67303450" w14:textId="77777777" w:rsidR="00A62A44" w:rsidRDefault="00A62A44" w:rsidP="00497F38">
      <w:pPr>
        <w:pStyle w:val="NoSpacing"/>
      </w:pPr>
    </w:p>
    <w:p w14:paraId="3F53C9AA" w14:textId="77777777" w:rsidR="004F5805" w:rsidRDefault="004F5805" w:rsidP="00497F38">
      <w:pPr>
        <w:pStyle w:val="NoSpacing"/>
      </w:pPr>
      <w:r>
        <w:t xml:space="preserve">Regional IPs have </w:t>
      </w:r>
      <w:r w:rsidR="008442A8">
        <w:t xml:space="preserve">the </w:t>
      </w:r>
      <w:r>
        <w:t xml:space="preserve">difficult tasks </w:t>
      </w:r>
      <w:r w:rsidR="008442A8">
        <w:t>of</w:t>
      </w:r>
      <w:r>
        <w:t xml:space="preserve"> obtaining data remotely for their respective roles. They admit that MOHs are struggling to manage requests from nine RIPs and their representatives. Effectiveness could be improved by having regular coordination meetings with RIPs so that information can be shared, strategies discussed and synergies maximised.</w:t>
      </w:r>
    </w:p>
    <w:p w14:paraId="0C6C481E" w14:textId="77777777" w:rsidR="004F5805" w:rsidRDefault="004F5805" w:rsidP="00497F38">
      <w:pPr>
        <w:pStyle w:val="NoSpacing"/>
      </w:pPr>
    </w:p>
    <w:p w14:paraId="311753B5" w14:textId="77777777" w:rsidR="0054317D" w:rsidRPr="008442A8" w:rsidRDefault="004F5805" w:rsidP="00497F38">
      <w:pPr>
        <w:pStyle w:val="NoSpacing"/>
        <w:rPr>
          <w:b/>
          <w:bCs/>
          <w:i/>
          <w:iCs/>
        </w:rPr>
      </w:pPr>
      <w:r w:rsidRPr="008442A8">
        <w:rPr>
          <w:b/>
          <w:bCs/>
          <w:i/>
          <w:iCs/>
        </w:rPr>
        <w:t>Recommendation</w:t>
      </w:r>
      <w:r w:rsidR="00301920">
        <w:rPr>
          <w:b/>
          <w:bCs/>
          <w:i/>
          <w:iCs/>
        </w:rPr>
        <w:t xml:space="preserve"> </w:t>
      </w:r>
      <w:r w:rsidR="004B7225">
        <w:rPr>
          <w:b/>
          <w:bCs/>
          <w:i/>
          <w:iCs/>
        </w:rPr>
        <w:t>6</w:t>
      </w:r>
      <w:r w:rsidRPr="008442A8">
        <w:rPr>
          <w:b/>
          <w:bCs/>
          <w:i/>
          <w:iCs/>
        </w:rPr>
        <w:t xml:space="preserve">: </w:t>
      </w:r>
      <w:r w:rsidRPr="008442A8">
        <w:t>The nine Regional IPs meet</w:t>
      </w:r>
      <w:r w:rsidRPr="008442A8">
        <w:rPr>
          <w:b/>
          <w:bCs/>
          <w:i/>
          <w:iCs/>
        </w:rPr>
        <w:t xml:space="preserve"> </w:t>
      </w:r>
      <w:r>
        <w:t xml:space="preserve">as soon as possible, and regularly after that, to discuss strategies and share data with the view to </w:t>
      </w:r>
      <w:r w:rsidR="000D7D10">
        <w:t xml:space="preserve">improving monitoring of important indicators, preventing data collection duplication, </w:t>
      </w:r>
      <w:r>
        <w:t xml:space="preserve">reducing </w:t>
      </w:r>
      <w:r w:rsidR="000B276C">
        <w:t>the</w:t>
      </w:r>
      <w:r>
        <w:t xml:space="preserve"> impost on MOH time; and improving the eff</w:t>
      </w:r>
      <w:r w:rsidR="000B276C">
        <w:t xml:space="preserve">iciency </w:t>
      </w:r>
      <w:r>
        <w:t>of their technical assistance.</w:t>
      </w:r>
      <w:r w:rsidRPr="008442A8">
        <w:rPr>
          <w:b/>
          <w:bCs/>
          <w:i/>
          <w:iCs/>
        </w:rPr>
        <w:t xml:space="preserve">   </w:t>
      </w:r>
    </w:p>
    <w:p w14:paraId="66F3120E" w14:textId="77777777" w:rsidR="00A62A44" w:rsidRDefault="00A62A44" w:rsidP="00497F38">
      <w:pPr>
        <w:pStyle w:val="NoSpacing"/>
      </w:pPr>
    </w:p>
    <w:p w14:paraId="160891FC" w14:textId="77777777" w:rsidR="00B138A7" w:rsidRDefault="00B138A7" w:rsidP="003538C5">
      <w:pPr>
        <w:pStyle w:val="Level2Heading"/>
        <w:numPr>
          <w:ilvl w:val="1"/>
          <w:numId w:val="27"/>
        </w:numPr>
        <w:outlineLvl w:val="1"/>
      </w:pPr>
      <w:bookmarkStart w:id="32" w:name="_Toc76630095"/>
      <w:r>
        <w:t>Staffing</w:t>
      </w:r>
      <w:bookmarkEnd w:id="32"/>
      <w:r w:rsidR="00406A0C">
        <w:t xml:space="preserve"> </w:t>
      </w:r>
    </w:p>
    <w:p w14:paraId="61D51D6D" w14:textId="77777777" w:rsidR="008442A8" w:rsidRPr="000147FB" w:rsidRDefault="00F14EE2" w:rsidP="000147FB">
      <w:pPr>
        <w:pStyle w:val="NoSpacing"/>
      </w:pPr>
      <w:r>
        <w:t xml:space="preserve">Fifteen </w:t>
      </w:r>
      <w:r w:rsidR="009E679E">
        <w:t>(1</w:t>
      </w:r>
      <w:r>
        <w:t>5</w:t>
      </w:r>
      <w:r w:rsidR="009E679E">
        <w:t xml:space="preserve">) </w:t>
      </w:r>
      <w:r w:rsidR="00FF321A">
        <w:t xml:space="preserve">UNFPA </w:t>
      </w:r>
      <w:r w:rsidR="009E679E">
        <w:t xml:space="preserve">technical staff were recruited to support the TA program both in PSRO </w:t>
      </w:r>
      <w:r w:rsidR="00B520EB">
        <w:t xml:space="preserve">Suva </w:t>
      </w:r>
      <w:r w:rsidR="009E679E">
        <w:t xml:space="preserve">and in-country. These included: key specialist positions in PSRO including a DFAT </w:t>
      </w:r>
      <w:r w:rsidR="00E37C25">
        <w:t>TA</w:t>
      </w:r>
      <w:r w:rsidR="009E679E">
        <w:t xml:space="preserve"> Coordinator, four </w:t>
      </w:r>
      <w:r w:rsidR="00E37C25">
        <w:t xml:space="preserve">in-country </w:t>
      </w:r>
      <w:r w:rsidR="009E679E">
        <w:t>SRH Specialist</w:t>
      </w:r>
      <w:r w:rsidR="00646CAF">
        <w:t>s</w:t>
      </w:r>
      <w:r w:rsidR="009E679E">
        <w:t xml:space="preserve"> (Tonga, Vanuatu, Solomon Islands, and one has since left Kiribati), </w:t>
      </w:r>
      <w:r w:rsidR="00E37C25">
        <w:t xml:space="preserve">and four in-country </w:t>
      </w:r>
      <w:r w:rsidR="009E679E">
        <w:t xml:space="preserve">Finance Assistants (Fiji, Vanuatu, Kiribati and Tonga). </w:t>
      </w:r>
      <w:r w:rsidR="00FF321A">
        <w:t xml:space="preserve">See list in footnote below. </w:t>
      </w:r>
      <w:r w:rsidR="009E679E">
        <w:t xml:space="preserve">The in-country PSRO staff </w:t>
      </w:r>
      <w:r w:rsidR="00EE0A8C">
        <w:t>(</w:t>
      </w:r>
      <w:r w:rsidR="00AC10E4">
        <w:t xml:space="preserve">SRH Specialists, </w:t>
      </w:r>
      <w:r w:rsidR="00EE0A8C">
        <w:t>Program Analysts</w:t>
      </w:r>
      <w:r w:rsidR="00AC10E4">
        <w:t xml:space="preserve"> and Finance Assistants</w:t>
      </w:r>
      <w:r w:rsidR="00EE0A8C">
        <w:t>) have been essential</w:t>
      </w:r>
      <w:r w:rsidR="009E679E">
        <w:t xml:space="preserve"> </w:t>
      </w:r>
      <w:r w:rsidR="00EE0A8C">
        <w:t>with COVID</w:t>
      </w:r>
      <w:r w:rsidR="00E37C25">
        <w:t>-19</w:t>
      </w:r>
      <w:r w:rsidR="00EE0A8C">
        <w:t xml:space="preserve"> travel restrictions preventing travel by PSRO Suva staff to </w:t>
      </w:r>
      <w:r w:rsidR="00EE0A8C">
        <w:lastRenderedPageBreak/>
        <w:t>monitor and support</w:t>
      </w:r>
      <w:r w:rsidR="00646CAF">
        <w:t xml:space="preserve"> implementation</w:t>
      </w:r>
      <w:r w:rsidR="00EE0A8C">
        <w:t xml:space="preserve">. </w:t>
      </w:r>
      <w:r w:rsidR="00C21F09" w:rsidRPr="003204EA">
        <w:t>Table 7 shows that</w:t>
      </w:r>
      <w:r w:rsidR="00C21F09">
        <w:t xml:space="preserve"> expenditure on staffing 2018-2020 is 27% of expenditure to date.</w:t>
      </w:r>
    </w:p>
    <w:p w14:paraId="47D6D73B" w14:textId="77777777" w:rsidR="000147FB" w:rsidRDefault="000147FB" w:rsidP="007D1D0D">
      <w:pPr>
        <w:rPr>
          <w:b/>
          <w:bCs/>
        </w:rPr>
      </w:pPr>
    </w:p>
    <w:p w14:paraId="180BDD36" w14:textId="77777777" w:rsidR="00EE70E6" w:rsidRPr="00AD737B" w:rsidRDefault="00EE70E6" w:rsidP="007D1D0D">
      <w:pPr>
        <w:rPr>
          <w:b/>
          <w:bCs/>
        </w:rPr>
      </w:pPr>
      <w:r w:rsidRPr="00AD737B">
        <w:rPr>
          <w:b/>
          <w:bCs/>
        </w:rPr>
        <w:t xml:space="preserve">Table </w:t>
      </w:r>
      <w:r w:rsidR="002E5996">
        <w:rPr>
          <w:b/>
          <w:bCs/>
        </w:rPr>
        <w:t>7</w:t>
      </w:r>
      <w:r w:rsidRPr="00AD737B">
        <w:rPr>
          <w:b/>
          <w:bCs/>
        </w:rPr>
        <w:t>:  Expenditure on PSRO Operations and Staffing</w:t>
      </w:r>
      <w:r w:rsidR="00461C5D">
        <w:rPr>
          <w:b/>
          <w:bCs/>
        </w:rPr>
        <w:t xml:space="preserve"> (USD)</w:t>
      </w:r>
    </w:p>
    <w:tbl>
      <w:tblPr>
        <w:tblStyle w:val="TableGrid"/>
        <w:tblW w:w="0" w:type="auto"/>
        <w:tblLook w:val="04A0" w:firstRow="1" w:lastRow="0" w:firstColumn="1" w:lastColumn="0" w:noHBand="0" w:noVBand="1"/>
      </w:tblPr>
      <w:tblGrid>
        <w:gridCol w:w="1831"/>
        <w:gridCol w:w="1824"/>
        <w:gridCol w:w="1592"/>
        <w:gridCol w:w="2392"/>
        <w:gridCol w:w="2818"/>
      </w:tblGrid>
      <w:tr w:rsidR="00A935EE" w14:paraId="2BA27DFE" w14:textId="77777777" w:rsidTr="00A935EE">
        <w:tc>
          <w:tcPr>
            <w:tcW w:w="1831" w:type="dxa"/>
            <w:shd w:val="clear" w:color="auto" w:fill="FF0000"/>
          </w:tcPr>
          <w:p w14:paraId="1A320DE0" w14:textId="77777777" w:rsidR="00A935EE" w:rsidRPr="009448C8" w:rsidRDefault="00A935EE" w:rsidP="00E4517F">
            <w:pPr>
              <w:pStyle w:val="NoSpacing"/>
              <w:rPr>
                <w:b/>
              </w:rPr>
            </w:pPr>
            <w:bookmarkStart w:id="33" w:name="_Hlk53675599"/>
            <w:bookmarkStart w:id="34" w:name="_Hlk53736849"/>
            <w:r w:rsidRPr="009448C8">
              <w:rPr>
                <w:b/>
              </w:rPr>
              <w:t>Year</w:t>
            </w:r>
          </w:p>
        </w:tc>
        <w:tc>
          <w:tcPr>
            <w:tcW w:w="1824" w:type="dxa"/>
            <w:shd w:val="clear" w:color="auto" w:fill="FF0000"/>
          </w:tcPr>
          <w:p w14:paraId="0D4B1921" w14:textId="77777777" w:rsidR="00A935EE" w:rsidRPr="009448C8" w:rsidRDefault="00A935EE" w:rsidP="00E4517F">
            <w:pPr>
              <w:pStyle w:val="NoSpacing"/>
              <w:rPr>
                <w:b/>
              </w:rPr>
            </w:pPr>
            <w:r w:rsidRPr="009448C8">
              <w:rPr>
                <w:b/>
              </w:rPr>
              <w:t xml:space="preserve">Expenditure PSRO HR/Operations </w:t>
            </w:r>
          </w:p>
        </w:tc>
        <w:tc>
          <w:tcPr>
            <w:tcW w:w="1592" w:type="dxa"/>
            <w:shd w:val="clear" w:color="auto" w:fill="FF0000"/>
          </w:tcPr>
          <w:p w14:paraId="150FB6CC" w14:textId="77777777" w:rsidR="00A935EE" w:rsidRPr="009448C8" w:rsidRDefault="00A935EE" w:rsidP="00E4517F">
            <w:pPr>
              <w:pStyle w:val="NoSpacing"/>
              <w:rPr>
                <w:b/>
              </w:rPr>
            </w:pPr>
            <w:r w:rsidRPr="009448C8">
              <w:rPr>
                <w:b/>
              </w:rPr>
              <w:t>Expenditure Staffing</w:t>
            </w:r>
            <w:r w:rsidRPr="009448C8">
              <w:rPr>
                <w:rStyle w:val="FootnoteReference"/>
                <w:b/>
                <w:bCs/>
              </w:rPr>
              <w:footnoteReference w:id="25"/>
            </w:r>
            <w:r w:rsidRPr="009448C8">
              <w:rPr>
                <w:b/>
              </w:rPr>
              <w:t xml:space="preserve"> </w:t>
            </w:r>
          </w:p>
        </w:tc>
        <w:tc>
          <w:tcPr>
            <w:tcW w:w="2392" w:type="dxa"/>
            <w:shd w:val="clear" w:color="auto" w:fill="FF0000"/>
          </w:tcPr>
          <w:p w14:paraId="16E45F3E" w14:textId="77777777" w:rsidR="00A935EE" w:rsidRPr="009448C8" w:rsidRDefault="00A935EE" w:rsidP="00AA5674">
            <w:pPr>
              <w:spacing w:after="0" w:line="240" w:lineRule="auto"/>
              <w:rPr>
                <w:rFonts w:ascii="Calibri" w:hAnsi="Calibri" w:cs="Calibri"/>
                <w:b/>
                <w:szCs w:val="22"/>
              </w:rPr>
            </w:pPr>
            <w:r w:rsidRPr="009448C8">
              <w:rPr>
                <w:rFonts w:ascii="Calibri" w:hAnsi="Calibri" w:cs="Calibri"/>
                <w:b/>
                <w:szCs w:val="22"/>
              </w:rPr>
              <w:t xml:space="preserve">Expenditure/year </w:t>
            </w:r>
          </w:p>
        </w:tc>
        <w:tc>
          <w:tcPr>
            <w:tcW w:w="2818" w:type="dxa"/>
            <w:shd w:val="clear" w:color="auto" w:fill="FF0000"/>
          </w:tcPr>
          <w:p w14:paraId="52268AAA" w14:textId="77777777" w:rsidR="00A935EE" w:rsidRPr="009448C8" w:rsidRDefault="00A935EE" w:rsidP="00AA5674">
            <w:pPr>
              <w:spacing w:after="0" w:line="240" w:lineRule="auto"/>
              <w:rPr>
                <w:rFonts w:ascii="Calibri" w:hAnsi="Calibri" w:cs="Calibri"/>
                <w:b/>
                <w:szCs w:val="22"/>
                <w:lang w:eastAsia="en-AU" w:bidi="ar-SA"/>
              </w:rPr>
            </w:pPr>
            <w:r w:rsidRPr="009448C8">
              <w:rPr>
                <w:rFonts w:ascii="Calibri" w:hAnsi="Calibri" w:cs="Calibri"/>
                <w:b/>
                <w:szCs w:val="22"/>
              </w:rPr>
              <w:t>% of UNFPA Expenditure on staffing as a function of total Expenditure/year</w:t>
            </w:r>
          </w:p>
        </w:tc>
      </w:tr>
      <w:tr w:rsidR="00A935EE" w14:paraId="4F405DC8" w14:textId="77777777" w:rsidTr="00A935EE">
        <w:tc>
          <w:tcPr>
            <w:tcW w:w="1831" w:type="dxa"/>
          </w:tcPr>
          <w:p w14:paraId="13C831C6" w14:textId="77777777" w:rsidR="00A935EE" w:rsidRDefault="00A935EE" w:rsidP="00E4517F">
            <w:pPr>
              <w:pStyle w:val="NoSpacing"/>
            </w:pPr>
            <w:r>
              <w:t>2018 (Aug-Dec)</w:t>
            </w:r>
          </w:p>
        </w:tc>
        <w:tc>
          <w:tcPr>
            <w:tcW w:w="1824" w:type="dxa"/>
          </w:tcPr>
          <w:p w14:paraId="022A2AC3" w14:textId="77777777" w:rsidR="00A935EE" w:rsidRDefault="00A935EE" w:rsidP="00E4517F">
            <w:pPr>
              <w:pStyle w:val="NoSpacing"/>
            </w:pPr>
            <w:r>
              <w:t>6,190</w:t>
            </w:r>
          </w:p>
        </w:tc>
        <w:tc>
          <w:tcPr>
            <w:tcW w:w="1592" w:type="dxa"/>
          </w:tcPr>
          <w:p w14:paraId="26B7264D" w14:textId="77777777" w:rsidR="00A935EE" w:rsidRDefault="00A935EE" w:rsidP="00E4517F">
            <w:pPr>
              <w:pStyle w:val="NoSpacing"/>
            </w:pPr>
            <w:r>
              <w:t>6,190</w:t>
            </w:r>
          </w:p>
        </w:tc>
        <w:tc>
          <w:tcPr>
            <w:tcW w:w="2392" w:type="dxa"/>
          </w:tcPr>
          <w:p w14:paraId="5B4518F0" w14:textId="77777777" w:rsidR="00A935EE" w:rsidRDefault="00A935EE" w:rsidP="00E4517F">
            <w:pPr>
              <w:pStyle w:val="NoSpacing"/>
            </w:pPr>
            <w:r>
              <w:t>936,737</w:t>
            </w:r>
          </w:p>
        </w:tc>
        <w:tc>
          <w:tcPr>
            <w:tcW w:w="2818" w:type="dxa"/>
          </w:tcPr>
          <w:p w14:paraId="04DA8C2D" w14:textId="77777777" w:rsidR="00A935EE" w:rsidRDefault="00A935EE" w:rsidP="00E4517F">
            <w:pPr>
              <w:pStyle w:val="NoSpacing"/>
            </w:pPr>
            <w:r>
              <w:t>1%</w:t>
            </w:r>
          </w:p>
        </w:tc>
      </w:tr>
      <w:tr w:rsidR="00A935EE" w14:paraId="1817FD0D" w14:textId="77777777" w:rsidTr="00A935EE">
        <w:tc>
          <w:tcPr>
            <w:tcW w:w="1831" w:type="dxa"/>
          </w:tcPr>
          <w:p w14:paraId="735AADC6" w14:textId="77777777" w:rsidR="00A935EE" w:rsidRDefault="00A935EE" w:rsidP="00E4517F">
            <w:pPr>
              <w:pStyle w:val="NoSpacing"/>
            </w:pPr>
            <w:r>
              <w:t>2019 (Jan-Dec)</w:t>
            </w:r>
          </w:p>
        </w:tc>
        <w:tc>
          <w:tcPr>
            <w:tcW w:w="1824" w:type="dxa"/>
          </w:tcPr>
          <w:p w14:paraId="78C98940" w14:textId="77777777" w:rsidR="00A935EE" w:rsidRDefault="00A935EE" w:rsidP="00E4517F">
            <w:pPr>
              <w:pStyle w:val="NoSpacing"/>
            </w:pPr>
            <w:r>
              <w:t>1,203, 915</w:t>
            </w:r>
          </w:p>
        </w:tc>
        <w:tc>
          <w:tcPr>
            <w:tcW w:w="1592" w:type="dxa"/>
          </w:tcPr>
          <w:p w14:paraId="66A3540F" w14:textId="77777777" w:rsidR="00A935EE" w:rsidRDefault="00A935EE" w:rsidP="00E4517F">
            <w:pPr>
              <w:pStyle w:val="NoSpacing"/>
            </w:pPr>
            <w:r>
              <w:t>1,115,058</w:t>
            </w:r>
          </w:p>
        </w:tc>
        <w:tc>
          <w:tcPr>
            <w:tcW w:w="2392" w:type="dxa"/>
          </w:tcPr>
          <w:p w14:paraId="22DCAE60" w14:textId="77777777" w:rsidR="00A935EE" w:rsidRDefault="00A935EE" w:rsidP="00E4517F">
            <w:pPr>
              <w:pStyle w:val="NoSpacing"/>
            </w:pPr>
            <w:r>
              <w:t>3,070,431</w:t>
            </w:r>
          </w:p>
        </w:tc>
        <w:tc>
          <w:tcPr>
            <w:tcW w:w="2818" w:type="dxa"/>
          </w:tcPr>
          <w:p w14:paraId="071A5412" w14:textId="77777777" w:rsidR="00A935EE" w:rsidRDefault="00A935EE" w:rsidP="00E4517F">
            <w:pPr>
              <w:pStyle w:val="NoSpacing"/>
            </w:pPr>
            <w:r>
              <w:t>36%</w:t>
            </w:r>
          </w:p>
        </w:tc>
      </w:tr>
      <w:tr w:rsidR="00A935EE" w14:paraId="488983F6" w14:textId="77777777" w:rsidTr="00A935EE">
        <w:tc>
          <w:tcPr>
            <w:tcW w:w="1831" w:type="dxa"/>
          </w:tcPr>
          <w:p w14:paraId="6B538C46" w14:textId="77777777" w:rsidR="00A935EE" w:rsidRDefault="00A935EE" w:rsidP="00E4517F">
            <w:pPr>
              <w:pStyle w:val="NoSpacing"/>
            </w:pPr>
            <w:r>
              <w:t>2020 (Jan-August)</w:t>
            </w:r>
          </w:p>
        </w:tc>
        <w:tc>
          <w:tcPr>
            <w:tcW w:w="1824" w:type="dxa"/>
          </w:tcPr>
          <w:p w14:paraId="7F394E3D" w14:textId="77777777" w:rsidR="00A935EE" w:rsidRDefault="00A935EE" w:rsidP="00E4517F">
            <w:pPr>
              <w:pStyle w:val="NoSpacing"/>
            </w:pPr>
            <w:r>
              <w:t>995,859</w:t>
            </w:r>
          </w:p>
        </w:tc>
        <w:tc>
          <w:tcPr>
            <w:tcW w:w="1592" w:type="dxa"/>
          </w:tcPr>
          <w:p w14:paraId="547B8141" w14:textId="77777777" w:rsidR="00A935EE" w:rsidRDefault="00A935EE" w:rsidP="00E4517F">
            <w:pPr>
              <w:pStyle w:val="NoSpacing"/>
            </w:pPr>
            <w:r>
              <w:t>917,843</w:t>
            </w:r>
          </w:p>
        </w:tc>
        <w:tc>
          <w:tcPr>
            <w:tcW w:w="2392" w:type="dxa"/>
          </w:tcPr>
          <w:p w14:paraId="211A87A3" w14:textId="77777777" w:rsidR="00A935EE" w:rsidRDefault="00A935EE" w:rsidP="00E4517F">
            <w:pPr>
              <w:pStyle w:val="NoSpacing"/>
            </w:pPr>
            <w:r>
              <w:t>3,482,759</w:t>
            </w:r>
          </w:p>
        </w:tc>
        <w:tc>
          <w:tcPr>
            <w:tcW w:w="2818" w:type="dxa"/>
          </w:tcPr>
          <w:p w14:paraId="11D236B5" w14:textId="77777777" w:rsidR="00A935EE" w:rsidRDefault="00A935EE" w:rsidP="00E4517F">
            <w:pPr>
              <w:pStyle w:val="NoSpacing"/>
            </w:pPr>
            <w:r>
              <w:t>26%</w:t>
            </w:r>
          </w:p>
        </w:tc>
      </w:tr>
      <w:tr w:rsidR="00A935EE" w14:paraId="772C8D90" w14:textId="77777777" w:rsidTr="00A935EE">
        <w:tc>
          <w:tcPr>
            <w:tcW w:w="1831" w:type="dxa"/>
          </w:tcPr>
          <w:p w14:paraId="5E9855C6" w14:textId="77777777" w:rsidR="00A935EE" w:rsidRPr="00182DA9" w:rsidRDefault="00A935EE" w:rsidP="00E4517F">
            <w:pPr>
              <w:pStyle w:val="NoSpacing"/>
              <w:rPr>
                <w:b/>
                <w:bCs/>
              </w:rPr>
            </w:pPr>
            <w:r w:rsidRPr="00182DA9">
              <w:rPr>
                <w:b/>
                <w:bCs/>
              </w:rPr>
              <w:t>Total</w:t>
            </w:r>
          </w:p>
        </w:tc>
        <w:tc>
          <w:tcPr>
            <w:tcW w:w="1824" w:type="dxa"/>
          </w:tcPr>
          <w:p w14:paraId="151F6BDE" w14:textId="77777777" w:rsidR="00A935EE" w:rsidRPr="00182DA9" w:rsidRDefault="00A935EE" w:rsidP="00E4517F">
            <w:pPr>
              <w:pStyle w:val="NoSpacing"/>
              <w:rPr>
                <w:b/>
                <w:bCs/>
              </w:rPr>
            </w:pPr>
            <w:r>
              <w:rPr>
                <w:b/>
                <w:bCs/>
              </w:rPr>
              <w:t>2,205,964</w:t>
            </w:r>
          </w:p>
        </w:tc>
        <w:tc>
          <w:tcPr>
            <w:tcW w:w="1592" w:type="dxa"/>
          </w:tcPr>
          <w:p w14:paraId="7179DC71" w14:textId="77777777" w:rsidR="00A935EE" w:rsidRPr="00182DA9" w:rsidRDefault="00A935EE" w:rsidP="00E4517F">
            <w:pPr>
              <w:pStyle w:val="NoSpacing"/>
              <w:rPr>
                <w:b/>
                <w:bCs/>
              </w:rPr>
            </w:pPr>
            <w:r>
              <w:rPr>
                <w:b/>
                <w:bCs/>
              </w:rPr>
              <w:t>2,039,091</w:t>
            </w:r>
          </w:p>
        </w:tc>
        <w:tc>
          <w:tcPr>
            <w:tcW w:w="2392" w:type="dxa"/>
          </w:tcPr>
          <w:p w14:paraId="6B0ACF1D" w14:textId="77777777" w:rsidR="00A935EE" w:rsidRPr="00182DA9" w:rsidRDefault="00A935EE" w:rsidP="00E4517F">
            <w:pPr>
              <w:pStyle w:val="NoSpacing"/>
              <w:rPr>
                <w:b/>
                <w:bCs/>
              </w:rPr>
            </w:pPr>
            <w:r>
              <w:rPr>
                <w:b/>
                <w:bCs/>
              </w:rPr>
              <w:t>7,489,927</w:t>
            </w:r>
          </w:p>
        </w:tc>
        <w:tc>
          <w:tcPr>
            <w:tcW w:w="2818" w:type="dxa"/>
          </w:tcPr>
          <w:p w14:paraId="18B87350" w14:textId="77777777" w:rsidR="00A935EE" w:rsidRPr="00182DA9" w:rsidRDefault="00A935EE" w:rsidP="00E4517F">
            <w:pPr>
              <w:pStyle w:val="NoSpacing"/>
              <w:rPr>
                <w:b/>
                <w:bCs/>
              </w:rPr>
            </w:pPr>
            <w:r>
              <w:rPr>
                <w:b/>
                <w:bCs/>
              </w:rPr>
              <w:t>27%</w:t>
            </w:r>
          </w:p>
        </w:tc>
      </w:tr>
    </w:tbl>
    <w:bookmarkEnd w:id="33"/>
    <w:p w14:paraId="033FD4C9" w14:textId="77777777" w:rsidR="00843E5E" w:rsidRPr="00EE70E6" w:rsidRDefault="00DE01CA" w:rsidP="007D1D0D">
      <w:pPr>
        <w:rPr>
          <w:b/>
          <w:bCs/>
          <w:sz w:val="18"/>
          <w:szCs w:val="18"/>
        </w:rPr>
      </w:pPr>
      <w:r>
        <w:t xml:space="preserve">  </w:t>
      </w:r>
      <w:r w:rsidR="00EE70E6" w:rsidRPr="00EE70E6">
        <w:rPr>
          <w:b/>
          <w:bCs/>
          <w:sz w:val="18"/>
          <w:szCs w:val="18"/>
        </w:rPr>
        <w:t xml:space="preserve">Source:  </w:t>
      </w:r>
      <w:r w:rsidR="00532BD9">
        <w:rPr>
          <w:b/>
          <w:bCs/>
          <w:sz w:val="18"/>
          <w:szCs w:val="18"/>
        </w:rPr>
        <w:t xml:space="preserve"> Data provided by</w:t>
      </w:r>
      <w:r w:rsidR="00461C5D">
        <w:rPr>
          <w:b/>
          <w:bCs/>
          <w:sz w:val="18"/>
          <w:szCs w:val="18"/>
        </w:rPr>
        <w:t xml:space="preserve"> </w:t>
      </w:r>
      <w:r w:rsidR="00532BD9">
        <w:rPr>
          <w:b/>
          <w:bCs/>
          <w:sz w:val="18"/>
          <w:szCs w:val="18"/>
        </w:rPr>
        <w:t>UNFPA PSRO</w:t>
      </w:r>
    </w:p>
    <w:bookmarkEnd w:id="34"/>
    <w:p w14:paraId="42D2E615" w14:textId="77777777" w:rsidR="00F14EE2" w:rsidRDefault="00F14EE2" w:rsidP="008C2945">
      <w:pPr>
        <w:pStyle w:val="NoSpacing"/>
      </w:pPr>
      <w:r>
        <w:t xml:space="preserve">Total amount expended on </w:t>
      </w:r>
      <w:r w:rsidR="003475A1">
        <w:t xml:space="preserve">all </w:t>
      </w:r>
      <w:r>
        <w:t xml:space="preserve">human resources </w:t>
      </w:r>
      <w:r w:rsidR="003475A1">
        <w:t xml:space="preserve">(UNFPA staff, government staff, technical consultants and Regional IPs, </w:t>
      </w:r>
      <w:r>
        <w:t>was calculated to be</w:t>
      </w:r>
      <w:r w:rsidR="003475A1">
        <w:t xml:space="preserve"> USD 2,603,037 or 35% of total expenditure to date.</w:t>
      </w:r>
      <w:r>
        <w:t xml:space="preserve">  </w:t>
      </w:r>
    </w:p>
    <w:p w14:paraId="2FD17CEA" w14:textId="77777777" w:rsidR="00F14EE2" w:rsidRDefault="00F14EE2" w:rsidP="008C2945">
      <w:pPr>
        <w:pStyle w:val="NoSpacing"/>
      </w:pPr>
    </w:p>
    <w:p w14:paraId="12B1D9DA" w14:textId="77777777" w:rsidR="003475A1" w:rsidRPr="003475A1" w:rsidRDefault="003475A1" w:rsidP="008C2945">
      <w:pPr>
        <w:pStyle w:val="NoSpacing"/>
      </w:pPr>
      <w:r w:rsidRPr="003475A1">
        <w:rPr>
          <w:b/>
          <w:bCs/>
        </w:rPr>
        <w:t xml:space="preserve">Table 8: Total Expenditure on all Human Resources for TA Program 2018-Aug 2020 (USD) </w:t>
      </w:r>
    </w:p>
    <w:tbl>
      <w:tblPr>
        <w:tblStyle w:val="TableGrid"/>
        <w:tblW w:w="0" w:type="auto"/>
        <w:tblLook w:val="04A0" w:firstRow="1" w:lastRow="0" w:firstColumn="1" w:lastColumn="0" w:noHBand="0" w:noVBand="1"/>
      </w:tblPr>
      <w:tblGrid>
        <w:gridCol w:w="1129"/>
        <w:gridCol w:w="1985"/>
        <w:gridCol w:w="1984"/>
        <w:gridCol w:w="1873"/>
        <w:gridCol w:w="1743"/>
        <w:gridCol w:w="1743"/>
      </w:tblGrid>
      <w:tr w:rsidR="003475A1" w14:paraId="0283FAF8" w14:textId="77777777" w:rsidTr="003475A1">
        <w:tc>
          <w:tcPr>
            <w:tcW w:w="1129" w:type="dxa"/>
            <w:shd w:val="clear" w:color="auto" w:fill="FF0000"/>
          </w:tcPr>
          <w:p w14:paraId="4BFF468D" w14:textId="77777777" w:rsidR="003475A1" w:rsidRPr="009448C8" w:rsidRDefault="003475A1" w:rsidP="008C2945">
            <w:pPr>
              <w:pStyle w:val="NoSpacing"/>
              <w:rPr>
                <w:b/>
                <w:bCs/>
              </w:rPr>
            </w:pPr>
            <w:r w:rsidRPr="009448C8">
              <w:rPr>
                <w:b/>
                <w:bCs/>
              </w:rPr>
              <w:t>Year</w:t>
            </w:r>
          </w:p>
        </w:tc>
        <w:tc>
          <w:tcPr>
            <w:tcW w:w="1985" w:type="dxa"/>
            <w:shd w:val="clear" w:color="auto" w:fill="FF0000"/>
          </w:tcPr>
          <w:p w14:paraId="1B427E92" w14:textId="77777777" w:rsidR="003475A1" w:rsidRPr="009448C8" w:rsidRDefault="003475A1" w:rsidP="008C2945">
            <w:pPr>
              <w:pStyle w:val="NoSpacing"/>
              <w:rPr>
                <w:b/>
                <w:bCs/>
              </w:rPr>
            </w:pPr>
            <w:r w:rsidRPr="009448C8">
              <w:rPr>
                <w:b/>
                <w:bCs/>
              </w:rPr>
              <w:t>Expenditure on UNFPA staff</w:t>
            </w:r>
          </w:p>
        </w:tc>
        <w:tc>
          <w:tcPr>
            <w:tcW w:w="1984" w:type="dxa"/>
            <w:shd w:val="clear" w:color="auto" w:fill="FF0000"/>
          </w:tcPr>
          <w:p w14:paraId="60FE575E" w14:textId="77777777" w:rsidR="003475A1" w:rsidRPr="009448C8" w:rsidRDefault="003475A1" w:rsidP="008C2945">
            <w:pPr>
              <w:pStyle w:val="NoSpacing"/>
              <w:rPr>
                <w:b/>
                <w:bCs/>
              </w:rPr>
            </w:pPr>
            <w:r w:rsidRPr="009448C8">
              <w:rPr>
                <w:b/>
                <w:bCs/>
              </w:rPr>
              <w:t>Expenditure on government staff supported by TA program</w:t>
            </w:r>
          </w:p>
        </w:tc>
        <w:tc>
          <w:tcPr>
            <w:tcW w:w="1873" w:type="dxa"/>
            <w:shd w:val="clear" w:color="auto" w:fill="FF0000"/>
          </w:tcPr>
          <w:p w14:paraId="186A910F" w14:textId="77777777" w:rsidR="003475A1" w:rsidRPr="009448C8" w:rsidRDefault="003475A1" w:rsidP="008C2945">
            <w:pPr>
              <w:pStyle w:val="NoSpacing"/>
              <w:rPr>
                <w:b/>
                <w:bCs/>
              </w:rPr>
            </w:pPr>
            <w:r w:rsidRPr="009448C8">
              <w:rPr>
                <w:b/>
                <w:bCs/>
              </w:rPr>
              <w:t>Expenditure on technical consultants contracted by UNFPA to deliver on TA outcomes</w:t>
            </w:r>
          </w:p>
        </w:tc>
        <w:tc>
          <w:tcPr>
            <w:tcW w:w="1743" w:type="dxa"/>
            <w:shd w:val="clear" w:color="auto" w:fill="FF0000"/>
          </w:tcPr>
          <w:p w14:paraId="4B4BB31B" w14:textId="77777777" w:rsidR="003475A1" w:rsidRPr="009448C8" w:rsidRDefault="003475A1" w:rsidP="008C2945">
            <w:pPr>
              <w:pStyle w:val="NoSpacing"/>
              <w:rPr>
                <w:b/>
                <w:bCs/>
              </w:rPr>
            </w:pPr>
            <w:r w:rsidRPr="009448C8">
              <w:rPr>
                <w:b/>
                <w:bCs/>
              </w:rPr>
              <w:t xml:space="preserve">Expenditure on RIPs and consultants to deliver on TA outcomes </w:t>
            </w:r>
          </w:p>
        </w:tc>
        <w:tc>
          <w:tcPr>
            <w:tcW w:w="1743" w:type="dxa"/>
            <w:shd w:val="clear" w:color="auto" w:fill="FF0000"/>
          </w:tcPr>
          <w:p w14:paraId="3222F7AA" w14:textId="77777777" w:rsidR="003475A1" w:rsidRPr="009448C8" w:rsidRDefault="003475A1" w:rsidP="008C2945">
            <w:pPr>
              <w:pStyle w:val="NoSpacing"/>
              <w:rPr>
                <w:b/>
                <w:bCs/>
              </w:rPr>
            </w:pPr>
            <w:r w:rsidRPr="009448C8">
              <w:rPr>
                <w:b/>
                <w:bCs/>
              </w:rPr>
              <w:t>Total</w:t>
            </w:r>
          </w:p>
        </w:tc>
      </w:tr>
      <w:tr w:rsidR="003475A1" w14:paraId="3D9DFA63" w14:textId="77777777" w:rsidTr="00F50086">
        <w:tc>
          <w:tcPr>
            <w:tcW w:w="1129" w:type="dxa"/>
          </w:tcPr>
          <w:p w14:paraId="1C3FB724" w14:textId="77777777" w:rsidR="003475A1" w:rsidRDefault="003475A1" w:rsidP="003475A1">
            <w:pPr>
              <w:pStyle w:val="NoSpacing"/>
            </w:pPr>
            <w:r>
              <w:t>2018 (Aug-Dec)</w:t>
            </w:r>
          </w:p>
        </w:tc>
        <w:tc>
          <w:tcPr>
            <w:tcW w:w="1985" w:type="dxa"/>
            <w:vAlign w:val="bottom"/>
          </w:tcPr>
          <w:p w14:paraId="536198A7" w14:textId="77777777" w:rsidR="003475A1" w:rsidRDefault="003475A1" w:rsidP="003475A1">
            <w:pPr>
              <w:pStyle w:val="NoSpacing"/>
            </w:pPr>
            <w:r w:rsidRPr="00F14EE2">
              <w:rPr>
                <w:rFonts w:ascii="Calibri" w:hAnsi="Calibri" w:cs="Calibri"/>
                <w:color w:val="000000"/>
                <w:lang w:eastAsia="en-AU"/>
              </w:rPr>
              <w:t xml:space="preserve">                                    6,190 </w:t>
            </w:r>
          </w:p>
        </w:tc>
        <w:tc>
          <w:tcPr>
            <w:tcW w:w="1984" w:type="dxa"/>
            <w:vAlign w:val="bottom"/>
          </w:tcPr>
          <w:p w14:paraId="622A0E77" w14:textId="77777777" w:rsidR="003475A1" w:rsidRDefault="003475A1" w:rsidP="003475A1">
            <w:pPr>
              <w:pStyle w:val="NoSpacing"/>
            </w:pPr>
            <w:r w:rsidRPr="00F14EE2">
              <w:rPr>
                <w:rFonts w:ascii="Calibri" w:hAnsi="Calibri" w:cs="Calibri"/>
                <w:color w:val="000000"/>
                <w:lang w:eastAsia="en-AU"/>
              </w:rPr>
              <w:t xml:space="preserve">                                 4,604 </w:t>
            </w:r>
          </w:p>
        </w:tc>
        <w:tc>
          <w:tcPr>
            <w:tcW w:w="1873" w:type="dxa"/>
            <w:vAlign w:val="bottom"/>
          </w:tcPr>
          <w:p w14:paraId="0279D63B" w14:textId="77777777" w:rsidR="003475A1" w:rsidRDefault="003475A1" w:rsidP="003475A1">
            <w:pPr>
              <w:pStyle w:val="NoSpacing"/>
            </w:pPr>
            <w:r w:rsidRPr="00F14EE2">
              <w:rPr>
                <w:rFonts w:ascii="Calibri" w:hAnsi="Calibri" w:cs="Calibri"/>
                <w:color w:val="000000"/>
                <w:lang w:eastAsia="en-AU"/>
              </w:rPr>
              <w:t xml:space="preserve">                                  25,686 </w:t>
            </w:r>
          </w:p>
        </w:tc>
        <w:tc>
          <w:tcPr>
            <w:tcW w:w="1743" w:type="dxa"/>
            <w:vAlign w:val="bottom"/>
          </w:tcPr>
          <w:p w14:paraId="171C5799" w14:textId="77777777" w:rsidR="003475A1" w:rsidRDefault="003475A1" w:rsidP="003475A1">
            <w:pPr>
              <w:pStyle w:val="NoSpacing"/>
            </w:pPr>
            <w:r w:rsidRPr="00F14EE2">
              <w:rPr>
                <w:rFonts w:ascii="Calibri" w:hAnsi="Calibri" w:cs="Calibri"/>
                <w:color w:val="000000"/>
                <w:lang w:eastAsia="en-AU"/>
              </w:rPr>
              <w:t xml:space="preserve">                           31,227 </w:t>
            </w:r>
          </w:p>
        </w:tc>
        <w:tc>
          <w:tcPr>
            <w:tcW w:w="1743" w:type="dxa"/>
            <w:vAlign w:val="bottom"/>
          </w:tcPr>
          <w:p w14:paraId="35594AF9" w14:textId="77777777" w:rsidR="003475A1" w:rsidRDefault="003475A1" w:rsidP="003475A1">
            <w:pPr>
              <w:pStyle w:val="NoSpacing"/>
            </w:pPr>
            <w:r w:rsidRPr="00F14EE2">
              <w:rPr>
                <w:rFonts w:ascii="Calibri" w:hAnsi="Calibri" w:cs="Calibri"/>
                <w:b/>
                <w:bCs/>
                <w:color w:val="000000"/>
                <w:lang w:eastAsia="en-AU"/>
              </w:rPr>
              <w:t xml:space="preserve">                         67,707 </w:t>
            </w:r>
          </w:p>
        </w:tc>
      </w:tr>
      <w:tr w:rsidR="003475A1" w14:paraId="554E9C5A" w14:textId="77777777" w:rsidTr="00F50086">
        <w:tc>
          <w:tcPr>
            <w:tcW w:w="1129" w:type="dxa"/>
          </w:tcPr>
          <w:p w14:paraId="709B9030" w14:textId="77777777" w:rsidR="003475A1" w:rsidRDefault="003475A1" w:rsidP="003475A1">
            <w:pPr>
              <w:pStyle w:val="NoSpacing"/>
            </w:pPr>
            <w:r>
              <w:t>2019</w:t>
            </w:r>
          </w:p>
          <w:p w14:paraId="1AF774AE" w14:textId="77777777" w:rsidR="003475A1" w:rsidRDefault="003475A1" w:rsidP="003475A1">
            <w:pPr>
              <w:pStyle w:val="NoSpacing"/>
            </w:pPr>
            <w:r>
              <w:t>(Jan-Dec)</w:t>
            </w:r>
          </w:p>
        </w:tc>
        <w:tc>
          <w:tcPr>
            <w:tcW w:w="1985" w:type="dxa"/>
            <w:vAlign w:val="bottom"/>
          </w:tcPr>
          <w:p w14:paraId="2243F8C6" w14:textId="77777777" w:rsidR="003475A1" w:rsidRDefault="003475A1" w:rsidP="003475A1">
            <w:pPr>
              <w:pStyle w:val="NoSpacing"/>
            </w:pPr>
            <w:r w:rsidRPr="00F14EE2">
              <w:rPr>
                <w:rFonts w:ascii="Calibri" w:hAnsi="Calibri" w:cs="Calibri"/>
                <w:color w:val="000000"/>
                <w:lang w:eastAsia="en-AU"/>
              </w:rPr>
              <w:t xml:space="preserve">                            1,115,058 </w:t>
            </w:r>
          </w:p>
        </w:tc>
        <w:tc>
          <w:tcPr>
            <w:tcW w:w="1984" w:type="dxa"/>
            <w:vAlign w:val="bottom"/>
          </w:tcPr>
          <w:p w14:paraId="24AB9B4C" w14:textId="77777777" w:rsidR="003475A1" w:rsidRDefault="003475A1" w:rsidP="003475A1">
            <w:pPr>
              <w:pStyle w:val="NoSpacing"/>
            </w:pPr>
            <w:r w:rsidRPr="00F14EE2">
              <w:rPr>
                <w:rFonts w:ascii="Calibri" w:hAnsi="Calibri" w:cs="Calibri"/>
                <w:color w:val="000000"/>
                <w:lang w:eastAsia="en-AU"/>
              </w:rPr>
              <w:t xml:space="preserve">                               78,105 </w:t>
            </w:r>
          </w:p>
        </w:tc>
        <w:tc>
          <w:tcPr>
            <w:tcW w:w="1873" w:type="dxa"/>
            <w:vAlign w:val="bottom"/>
          </w:tcPr>
          <w:p w14:paraId="66718481" w14:textId="77777777" w:rsidR="003475A1" w:rsidRDefault="003475A1" w:rsidP="003475A1">
            <w:pPr>
              <w:pStyle w:val="NoSpacing"/>
            </w:pPr>
            <w:r w:rsidRPr="00F14EE2">
              <w:rPr>
                <w:rFonts w:ascii="Calibri" w:hAnsi="Calibri" w:cs="Calibri"/>
                <w:color w:val="000000"/>
                <w:lang w:eastAsia="en-AU"/>
              </w:rPr>
              <w:t xml:space="preserve">                                  37,231 </w:t>
            </w:r>
          </w:p>
        </w:tc>
        <w:tc>
          <w:tcPr>
            <w:tcW w:w="1743" w:type="dxa"/>
            <w:vAlign w:val="bottom"/>
          </w:tcPr>
          <w:p w14:paraId="2BF53729" w14:textId="77777777" w:rsidR="003475A1" w:rsidRDefault="003475A1" w:rsidP="003475A1">
            <w:pPr>
              <w:pStyle w:val="NoSpacing"/>
            </w:pPr>
            <w:r w:rsidRPr="00F14EE2">
              <w:rPr>
                <w:rFonts w:ascii="Calibri" w:hAnsi="Calibri" w:cs="Calibri"/>
                <w:color w:val="000000"/>
                <w:lang w:eastAsia="en-AU"/>
              </w:rPr>
              <w:t xml:space="preserve">                                     -   </w:t>
            </w:r>
          </w:p>
        </w:tc>
        <w:tc>
          <w:tcPr>
            <w:tcW w:w="1743" w:type="dxa"/>
            <w:vAlign w:val="bottom"/>
          </w:tcPr>
          <w:p w14:paraId="7951E1C1" w14:textId="77777777" w:rsidR="003475A1" w:rsidRDefault="003475A1" w:rsidP="003475A1">
            <w:pPr>
              <w:pStyle w:val="NoSpacing"/>
            </w:pPr>
            <w:r w:rsidRPr="00F14EE2">
              <w:rPr>
                <w:rFonts w:ascii="Calibri" w:hAnsi="Calibri" w:cs="Calibri"/>
                <w:b/>
                <w:bCs/>
                <w:color w:val="000000"/>
                <w:lang w:eastAsia="en-AU"/>
              </w:rPr>
              <w:t xml:space="preserve">                   1,230,394 </w:t>
            </w:r>
          </w:p>
        </w:tc>
      </w:tr>
      <w:tr w:rsidR="003475A1" w14:paraId="3EE0A730" w14:textId="77777777" w:rsidTr="00F50086">
        <w:tc>
          <w:tcPr>
            <w:tcW w:w="1129" w:type="dxa"/>
          </w:tcPr>
          <w:p w14:paraId="43D1109F" w14:textId="77777777" w:rsidR="003475A1" w:rsidRDefault="003475A1" w:rsidP="003475A1">
            <w:pPr>
              <w:pStyle w:val="NoSpacing"/>
            </w:pPr>
            <w:r>
              <w:t>2020</w:t>
            </w:r>
          </w:p>
          <w:p w14:paraId="46777B21" w14:textId="77777777" w:rsidR="003475A1" w:rsidRDefault="003475A1" w:rsidP="003475A1">
            <w:pPr>
              <w:pStyle w:val="NoSpacing"/>
            </w:pPr>
            <w:r>
              <w:t>(Jan-Aug)</w:t>
            </w:r>
          </w:p>
        </w:tc>
        <w:tc>
          <w:tcPr>
            <w:tcW w:w="1985" w:type="dxa"/>
            <w:vAlign w:val="bottom"/>
          </w:tcPr>
          <w:p w14:paraId="70BB72E2" w14:textId="77777777" w:rsidR="003475A1" w:rsidRDefault="003475A1" w:rsidP="003475A1">
            <w:pPr>
              <w:pStyle w:val="NoSpacing"/>
            </w:pPr>
            <w:r w:rsidRPr="00F14EE2">
              <w:rPr>
                <w:rFonts w:ascii="Calibri" w:hAnsi="Calibri" w:cs="Calibri"/>
                <w:color w:val="000000"/>
                <w:lang w:eastAsia="en-AU"/>
              </w:rPr>
              <w:t xml:space="preserve"> 917,843 </w:t>
            </w:r>
          </w:p>
        </w:tc>
        <w:tc>
          <w:tcPr>
            <w:tcW w:w="1984" w:type="dxa"/>
            <w:vAlign w:val="bottom"/>
          </w:tcPr>
          <w:p w14:paraId="62333665" w14:textId="77777777" w:rsidR="003475A1" w:rsidRDefault="003475A1" w:rsidP="003475A1">
            <w:pPr>
              <w:pStyle w:val="NoSpacing"/>
            </w:pPr>
            <w:r w:rsidRPr="00F14EE2">
              <w:rPr>
                <w:rFonts w:ascii="Calibri" w:hAnsi="Calibri" w:cs="Calibri"/>
                <w:color w:val="000000"/>
                <w:lang w:eastAsia="en-AU"/>
              </w:rPr>
              <w:t xml:space="preserve"> **8,681 </w:t>
            </w:r>
          </w:p>
        </w:tc>
        <w:tc>
          <w:tcPr>
            <w:tcW w:w="1873" w:type="dxa"/>
            <w:vAlign w:val="bottom"/>
          </w:tcPr>
          <w:p w14:paraId="61BAA8EA" w14:textId="77777777" w:rsidR="003475A1" w:rsidRDefault="003475A1" w:rsidP="003475A1">
            <w:pPr>
              <w:pStyle w:val="NoSpacing"/>
            </w:pPr>
            <w:r w:rsidRPr="00F14EE2">
              <w:rPr>
                <w:rFonts w:ascii="Calibri" w:hAnsi="Calibri" w:cs="Calibri"/>
                <w:color w:val="000000"/>
                <w:lang w:eastAsia="en-AU"/>
              </w:rPr>
              <w:t xml:space="preserve"> *50,172 </w:t>
            </w:r>
          </w:p>
        </w:tc>
        <w:tc>
          <w:tcPr>
            <w:tcW w:w="1743" w:type="dxa"/>
            <w:vAlign w:val="bottom"/>
          </w:tcPr>
          <w:p w14:paraId="50EF0C3F" w14:textId="77777777" w:rsidR="003475A1" w:rsidRDefault="003475A1" w:rsidP="003475A1">
            <w:pPr>
              <w:pStyle w:val="NoSpacing"/>
            </w:pPr>
            <w:r w:rsidRPr="00F14EE2">
              <w:rPr>
                <w:rFonts w:ascii="Calibri" w:hAnsi="Calibri" w:cs="Calibri"/>
                <w:color w:val="000000"/>
                <w:lang w:eastAsia="en-AU"/>
              </w:rPr>
              <w:t xml:space="preserve"> **383,623 </w:t>
            </w:r>
          </w:p>
        </w:tc>
        <w:tc>
          <w:tcPr>
            <w:tcW w:w="1743" w:type="dxa"/>
            <w:vAlign w:val="bottom"/>
          </w:tcPr>
          <w:p w14:paraId="7DB5B4A9" w14:textId="77777777" w:rsidR="003475A1" w:rsidRDefault="003475A1" w:rsidP="003475A1">
            <w:pPr>
              <w:pStyle w:val="NoSpacing"/>
            </w:pPr>
            <w:r w:rsidRPr="00F14EE2">
              <w:rPr>
                <w:rFonts w:ascii="Calibri" w:hAnsi="Calibri" w:cs="Calibri"/>
                <w:b/>
                <w:bCs/>
                <w:color w:val="000000"/>
                <w:lang w:eastAsia="en-AU"/>
              </w:rPr>
              <w:t xml:space="preserve">                   1,304,937 </w:t>
            </w:r>
          </w:p>
        </w:tc>
      </w:tr>
      <w:tr w:rsidR="003475A1" w14:paraId="17FFBDED" w14:textId="77777777" w:rsidTr="00F50086">
        <w:tc>
          <w:tcPr>
            <w:tcW w:w="1129" w:type="dxa"/>
          </w:tcPr>
          <w:p w14:paraId="4B7AB693" w14:textId="77777777" w:rsidR="003475A1" w:rsidRDefault="003475A1" w:rsidP="003475A1">
            <w:pPr>
              <w:pStyle w:val="NoSpacing"/>
            </w:pPr>
          </w:p>
          <w:p w14:paraId="3DBB12F3" w14:textId="77777777" w:rsidR="003475A1" w:rsidRPr="00FF321A" w:rsidRDefault="003475A1" w:rsidP="003475A1">
            <w:pPr>
              <w:pStyle w:val="NoSpacing"/>
              <w:rPr>
                <w:b/>
                <w:bCs/>
              </w:rPr>
            </w:pPr>
            <w:r w:rsidRPr="00FF321A">
              <w:rPr>
                <w:b/>
                <w:bCs/>
              </w:rPr>
              <w:t>Total</w:t>
            </w:r>
          </w:p>
        </w:tc>
        <w:tc>
          <w:tcPr>
            <w:tcW w:w="1985" w:type="dxa"/>
            <w:vAlign w:val="bottom"/>
          </w:tcPr>
          <w:p w14:paraId="4CD2BD2F" w14:textId="77777777" w:rsidR="003475A1" w:rsidRDefault="003475A1" w:rsidP="003475A1">
            <w:pPr>
              <w:pStyle w:val="NoSpacing"/>
            </w:pPr>
            <w:r w:rsidRPr="00F14EE2">
              <w:rPr>
                <w:rFonts w:ascii="Calibri" w:hAnsi="Calibri" w:cs="Calibri"/>
                <w:b/>
                <w:bCs/>
                <w:color w:val="000000"/>
                <w:lang w:eastAsia="en-AU"/>
              </w:rPr>
              <w:t xml:space="preserve">                            2,039,091 </w:t>
            </w:r>
          </w:p>
        </w:tc>
        <w:tc>
          <w:tcPr>
            <w:tcW w:w="1984" w:type="dxa"/>
            <w:vAlign w:val="bottom"/>
          </w:tcPr>
          <w:p w14:paraId="4BB083CC" w14:textId="77777777" w:rsidR="003475A1" w:rsidRDefault="003475A1" w:rsidP="003475A1">
            <w:pPr>
              <w:pStyle w:val="NoSpacing"/>
            </w:pPr>
            <w:r w:rsidRPr="00F14EE2">
              <w:rPr>
                <w:rFonts w:ascii="Calibri" w:hAnsi="Calibri" w:cs="Calibri"/>
                <w:b/>
                <w:bCs/>
                <w:color w:val="000000"/>
                <w:lang w:eastAsia="en-AU"/>
              </w:rPr>
              <w:t xml:space="preserve">                               91,391 </w:t>
            </w:r>
          </w:p>
        </w:tc>
        <w:tc>
          <w:tcPr>
            <w:tcW w:w="1873" w:type="dxa"/>
            <w:vAlign w:val="bottom"/>
          </w:tcPr>
          <w:p w14:paraId="4DBD0D23" w14:textId="77777777" w:rsidR="003475A1" w:rsidRDefault="003475A1" w:rsidP="003475A1">
            <w:pPr>
              <w:pStyle w:val="NoSpacing"/>
            </w:pPr>
            <w:r w:rsidRPr="00F14EE2">
              <w:rPr>
                <w:rFonts w:ascii="Calibri" w:hAnsi="Calibri" w:cs="Calibri"/>
                <w:b/>
                <w:bCs/>
                <w:color w:val="000000"/>
                <w:lang w:eastAsia="en-AU"/>
              </w:rPr>
              <w:t xml:space="preserve">                               113,090 </w:t>
            </w:r>
          </w:p>
        </w:tc>
        <w:tc>
          <w:tcPr>
            <w:tcW w:w="1743" w:type="dxa"/>
            <w:vAlign w:val="bottom"/>
          </w:tcPr>
          <w:p w14:paraId="68ADE45C" w14:textId="77777777" w:rsidR="003475A1" w:rsidRDefault="003475A1" w:rsidP="003475A1">
            <w:pPr>
              <w:pStyle w:val="NoSpacing"/>
            </w:pPr>
            <w:r w:rsidRPr="00F14EE2">
              <w:rPr>
                <w:rFonts w:ascii="Calibri" w:hAnsi="Calibri" w:cs="Calibri"/>
                <w:b/>
                <w:bCs/>
                <w:color w:val="000000"/>
                <w:lang w:eastAsia="en-AU"/>
              </w:rPr>
              <w:t xml:space="preserve">                         419,455 </w:t>
            </w:r>
          </w:p>
        </w:tc>
        <w:tc>
          <w:tcPr>
            <w:tcW w:w="1743" w:type="dxa"/>
            <w:vAlign w:val="bottom"/>
          </w:tcPr>
          <w:p w14:paraId="721E85CB" w14:textId="77777777" w:rsidR="003475A1" w:rsidRDefault="003475A1" w:rsidP="003475A1">
            <w:pPr>
              <w:pStyle w:val="NoSpacing"/>
            </w:pPr>
            <w:r w:rsidRPr="00F14EE2">
              <w:rPr>
                <w:rFonts w:ascii="Calibri" w:hAnsi="Calibri" w:cs="Calibri"/>
                <w:b/>
                <w:bCs/>
                <w:color w:val="000000"/>
                <w:lang w:eastAsia="en-AU"/>
              </w:rPr>
              <w:t xml:space="preserve">                   2,603,037 </w:t>
            </w:r>
          </w:p>
        </w:tc>
      </w:tr>
      <w:tr w:rsidR="003475A1" w14:paraId="71857256" w14:textId="77777777" w:rsidTr="003475A1">
        <w:tc>
          <w:tcPr>
            <w:tcW w:w="1129" w:type="dxa"/>
          </w:tcPr>
          <w:p w14:paraId="4925E645" w14:textId="77777777" w:rsidR="003475A1" w:rsidRPr="00FF321A" w:rsidRDefault="003475A1" w:rsidP="003475A1">
            <w:pPr>
              <w:pStyle w:val="NoSpacing"/>
              <w:rPr>
                <w:b/>
                <w:bCs/>
                <w:sz w:val="18"/>
                <w:szCs w:val="18"/>
              </w:rPr>
            </w:pPr>
            <w:r w:rsidRPr="00FF321A">
              <w:rPr>
                <w:b/>
                <w:bCs/>
                <w:sz w:val="18"/>
                <w:szCs w:val="18"/>
              </w:rPr>
              <w:t>% of expenditure</w:t>
            </w:r>
            <w:r w:rsidR="00FF321A" w:rsidRPr="00FF321A">
              <w:rPr>
                <w:b/>
                <w:bCs/>
                <w:sz w:val="18"/>
                <w:szCs w:val="18"/>
              </w:rPr>
              <w:t xml:space="preserve"> to date</w:t>
            </w:r>
            <w:r w:rsidRPr="00FF321A">
              <w:rPr>
                <w:b/>
                <w:bCs/>
                <w:sz w:val="18"/>
                <w:szCs w:val="18"/>
              </w:rPr>
              <w:t xml:space="preserve"> </w:t>
            </w:r>
          </w:p>
        </w:tc>
        <w:tc>
          <w:tcPr>
            <w:tcW w:w="1985" w:type="dxa"/>
          </w:tcPr>
          <w:p w14:paraId="4DFFAF3F" w14:textId="77777777" w:rsidR="003475A1" w:rsidRPr="00FF321A" w:rsidRDefault="00FF321A" w:rsidP="003475A1">
            <w:pPr>
              <w:pStyle w:val="NoSpacing"/>
              <w:rPr>
                <w:b/>
                <w:bCs/>
              </w:rPr>
            </w:pPr>
            <w:r w:rsidRPr="00FF321A">
              <w:rPr>
                <w:b/>
                <w:bCs/>
              </w:rPr>
              <w:t>27%</w:t>
            </w:r>
          </w:p>
        </w:tc>
        <w:tc>
          <w:tcPr>
            <w:tcW w:w="1984" w:type="dxa"/>
          </w:tcPr>
          <w:p w14:paraId="64F2D6FB" w14:textId="77777777" w:rsidR="003475A1" w:rsidRPr="00FF321A" w:rsidRDefault="00FF321A" w:rsidP="003475A1">
            <w:pPr>
              <w:pStyle w:val="NoSpacing"/>
              <w:rPr>
                <w:b/>
                <w:bCs/>
              </w:rPr>
            </w:pPr>
            <w:r w:rsidRPr="00FF321A">
              <w:rPr>
                <w:b/>
                <w:bCs/>
              </w:rPr>
              <w:t>1%</w:t>
            </w:r>
          </w:p>
        </w:tc>
        <w:tc>
          <w:tcPr>
            <w:tcW w:w="1873" w:type="dxa"/>
          </w:tcPr>
          <w:p w14:paraId="532E45E1" w14:textId="77777777" w:rsidR="003475A1" w:rsidRPr="00FF321A" w:rsidRDefault="00FF321A" w:rsidP="003475A1">
            <w:pPr>
              <w:pStyle w:val="NoSpacing"/>
              <w:rPr>
                <w:b/>
                <w:bCs/>
              </w:rPr>
            </w:pPr>
            <w:r w:rsidRPr="00FF321A">
              <w:rPr>
                <w:b/>
                <w:bCs/>
              </w:rPr>
              <w:t>2%</w:t>
            </w:r>
          </w:p>
        </w:tc>
        <w:tc>
          <w:tcPr>
            <w:tcW w:w="1743" w:type="dxa"/>
          </w:tcPr>
          <w:p w14:paraId="313BBBC1" w14:textId="77777777" w:rsidR="003475A1" w:rsidRPr="00FF321A" w:rsidRDefault="00FF321A" w:rsidP="003475A1">
            <w:pPr>
              <w:pStyle w:val="NoSpacing"/>
              <w:rPr>
                <w:b/>
                <w:bCs/>
              </w:rPr>
            </w:pPr>
            <w:r w:rsidRPr="00FF321A">
              <w:rPr>
                <w:b/>
                <w:bCs/>
              </w:rPr>
              <w:t>6%</w:t>
            </w:r>
          </w:p>
        </w:tc>
        <w:tc>
          <w:tcPr>
            <w:tcW w:w="1743" w:type="dxa"/>
          </w:tcPr>
          <w:p w14:paraId="5B9EADFC" w14:textId="77777777" w:rsidR="003475A1" w:rsidRPr="00FF321A" w:rsidRDefault="00FF321A" w:rsidP="003475A1">
            <w:pPr>
              <w:pStyle w:val="NoSpacing"/>
              <w:rPr>
                <w:b/>
                <w:bCs/>
              </w:rPr>
            </w:pPr>
            <w:r w:rsidRPr="00FF321A">
              <w:rPr>
                <w:b/>
                <w:bCs/>
              </w:rPr>
              <w:t>35%</w:t>
            </w:r>
          </w:p>
        </w:tc>
      </w:tr>
    </w:tbl>
    <w:p w14:paraId="27804C9F" w14:textId="77777777" w:rsidR="00F14EE2" w:rsidRPr="00FF321A" w:rsidRDefault="00FF321A" w:rsidP="008C2945">
      <w:pPr>
        <w:pStyle w:val="NoSpacing"/>
        <w:rPr>
          <w:sz w:val="18"/>
          <w:szCs w:val="18"/>
        </w:rPr>
      </w:pPr>
      <w:r w:rsidRPr="00FF321A">
        <w:rPr>
          <w:sz w:val="18"/>
          <w:szCs w:val="18"/>
        </w:rPr>
        <w:t xml:space="preserve">*Actual spent as of 4 </w:t>
      </w:r>
      <w:proofErr w:type="gramStart"/>
      <w:r w:rsidRPr="00FF321A">
        <w:rPr>
          <w:sz w:val="18"/>
          <w:szCs w:val="18"/>
        </w:rPr>
        <w:t>August</w:t>
      </w:r>
      <w:proofErr w:type="gramEnd"/>
    </w:p>
    <w:p w14:paraId="00084183" w14:textId="77777777" w:rsidR="00FF321A" w:rsidRPr="00FF321A" w:rsidRDefault="00FF321A" w:rsidP="008C2945">
      <w:pPr>
        <w:pStyle w:val="NoSpacing"/>
        <w:rPr>
          <w:sz w:val="18"/>
          <w:szCs w:val="18"/>
        </w:rPr>
      </w:pPr>
      <w:r w:rsidRPr="00FF321A">
        <w:rPr>
          <w:sz w:val="18"/>
          <w:szCs w:val="18"/>
        </w:rPr>
        <w:t>**Quarters 1 &amp; 2 (partial Q3)</w:t>
      </w:r>
    </w:p>
    <w:p w14:paraId="57C5F895" w14:textId="77777777" w:rsidR="00FF321A" w:rsidRDefault="00FF321A" w:rsidP="008C2945">
      <w:pPr>
        <w:pStyle w:val="NoSpacing"/>
      </w:pPr>
    </w:p>
    <w:p w14:paraId="60DE5C99" w14:textId="77777777" w:rsidR="00981F48" w:rsidRDefault="00981F48" w:rsidP="008C2945">
      <w:pPr>
        <w:pStyle w:val="NoSpacing"/>
      </w:pPr>
      <w:r>
        <w:t xml:space="preserve">Prior reference to low Government spending and bottlenecks due to disbursement issues is exacerbated by the low capacity of Ministries, particularly MOHs dealing with COVID-19 preparations. In the interests of accelerating implementation, extra staff could be provided for the duration of the program.  </w:t>
      </w:r>
    </w:p>
    <w:p w14:paraId="4D933358" w14:textId="77777777" w:rsidR="00981F48" w:rsidRDefault="00981F48" w:rsidP="008C2945">
      <w:pPr>
        <w:pStyle w:val="NoSpacing"/>
      </w:pPr>
    </w:p>
    <w:p w14:paraId="2325A80A" w14:textId="77777777" w:rsidR="00981F48" w:rsidRDefault="00981F48" w:rsidP="008C2945">
      <w:pPr>
        <w:pStyle w:val="NoSpacing"/>
      </w:pPr>
      <w:r w:rsidRPr="00904299">
        <w:rPr>
          <w:b/>
          <w:bCs/>
          <w:i/>
          <w:iCs/>
        </w:rPr>
        <w:t>Recommendation</w:t>
      </w:r>
      <w:r w:rsidR="004B7225" w:rsidRPr="00904299">
        <w:rPr>
          <w:b/>
          <w:bCs/>
          <w:i/>
          <w:iCs/>
        </w:rPr>
        <w:t xml:space="preserve"> 5</w:t>
      </w:r>
      <w:r w:rsidRPr="00904299">
        <w:rPr>
          <w:b/>
          <w:bCs/>
          <w:i/>
          <w:iCs/>
        </w:rPr>
        <w:t>:</w:t>
      </w:r>
      <w:r>
        <w:t xml:space="preserve">  DFAT consider enabling UNFPA to place more people into in-line positions in critical ministries to expand SRH activities quickly.</w:t>
      </w:r>
    </w:p>
    <w:p w14:paraId="76AC3EC7" w14:textId="77777777" w:rsidR="00981F48" w:rsidRDefault="00981F48" w:rsidP="008C2945">
      <w:pPr>
        <w:pStyle w:val="NoSpacing"/>
      </w:pPr>
    </w:p>
    <w:p w14:paraId="6C10E693" w14:textId="77777777" w:rsidR="002E5996" w:rsidRDefault="00AD737B" w:rsidP="008C2945">
      <w:pPr>
        <w:pStyle w:val="NoSpacing"/>
      </w:pPr>
      <w:r>
        <w:t xml:space="preserve">UNFPA </w:t>
      </w:r>
      <w:r w:rsidR="005D17EC">
        <w:t>has budgeted</w:t>
      </w:r>
      <w:r>
        <w:t xml:space="preserve"> USD 5.3 million</w:t>
      </w:r>
      <w:r w:rsidR="00182DA9">
        <w:rPr>
          <w:rStyle w:val="FootnoteReference"/>
        </w:rPr>
        <w:footnoteReference w:id="26"/>
      </w:r>
      <w:r>
        <w:t xml:space="preserve"> </w:t>
      </w:r>
      <w:r w:rsidR="008C2945">
        <w:t xml:space="preserve">for </w:t>
      </w:r>
      <w:r w:rsidR="00E37C25">
        <w:t xml:space="preserve">implementation by </w:t>
      </w:r>
      <w:r w:rsidR="008C2945">
        <w:t xml:space="preserve">the </w:t>
      </w:r>
      <w:r w:rsidR="00E37C25">
        <w:t>nine RIPs</w:t>
      </w:r>
      <w:r w:rsidR="005C4F60">
        <w:t xml:space="preserve">. </w:t>
      </w:r>
      <w:r w:rsidR="00E37C25">
        <w:t xml:space="preserve">Their activities and funding allocations </w:t>
      </w:r>
      <w:r w:rsidR="005C4F60">
        <w:t xml:space="preserve">to date </w:t>
      </w:r>
      <w:r w:rsidR="00E37C25">
        <w:t>are</w:t>
      </w:r>
      <w:r w:rsidR="005F68D1">
        <w:t xml:space="preserve"> detailed in Table 8 below</w:t>
      </w:r>
      <w:r w:rsidR="008C2945">
        <w:t xml:space="preserve">. </w:t>
      </w:r>
    </w:p>
    <w:p w14:paraId="5F6A7CF4" w14:textId="77777777" w:rsidR="00E37C25" w:rsidRDefault="00E37C25" w:rsidP="008C2945">
      <w:pPr>
        <w:pStyle w:val="NoSpacing"/>
      </w:pPr>
    </w:p>
    <w:p w14:paraId="134877AE" w14:textId="77777777" w:rsidR="001672E0" w:rsidRPr="001672E0" w:rsidRDefault="00CB3D58" w:rsidP="007D1D0D">
      <w:pPr>
        <w:rPr>
          <w:b/>
          <w:bCs/>
        </w:rPr>
      </w:pPr>
      <w:r>
        <w:rPr>
          <w:b/>
          <w:bCs/>
        </w:rPr>
        <w:t>T</w:t>
      </w:r>
      <w:r w:rsidR="001672E0" w:rsidRPr="001672E0">
        <w:rPr>
          <w:b/>
          <w:bCs/>
        </w:rPr>
        <w:t xml:space="preserve">able </w:t>
      </w:r>
      <w:r w:rsidR="00FF321A">
        <w:rPr>
          <w:b/>
          <w:bCs/>
        </w:rPr>
        <w:t>9</w:t>
      </w:r>
      <w:r w:rsidR="001672E0" w:rsidRPr="001672E0">
        <w:rPr>
          <w:b/>
          <w:bCs/>
        </w:rPr>
        <w:t xml:space="preserve">:  Role </w:t>
      </w:r>
      <w:r w:rsidR="001672E0">
        <w:rPr>
          <w:b/>
          <w:bCs/>
        </w:rPr>
        <w:t xml:space="preserve">of RIPs </w:t>
      </w:r>
      <w:r w:rsidR="001672E0" w:rsidRPr="001672E0">
        <w:rPr>
          <w:b/>
          <w:bCs/>
        </w:rPr>
        <w:t xml:space="preserve">and Funds </w:t>
      </w:r>
      <w:r w:rsidR="001672E0">
        <w:rPr>
          <w:b/>
          <w:bCs/>
        </w:rPr>
        <w:t>Allocated</w:t>
      </w:r>
      <w:r w:rsidR="005D17EC">
        <w:rPr>
          <w:b/>
          <w:bCs/>
        </w:rPr>
        <w:t xml:space="preserve"> to date</w:t>
      </w:r>
    </w:p>
    <w:tbl>
      <w:tblPr>
        <w:tblStyle w:val="TableGrid"/>
        <w:tblW w:w="0" w:type="auto"/>
        <w:tblLook w:val="04A0" w:firstRow="1" w:lastRow="0" w:firstColumn="1" w:lastColumn="0" w:noHBand="0" w:noVBand="1"/>
      </w:tblPr>
      <w:tblGrid>
        <w:gridCol w:w="1652"/>
        <w:gridCol w:w="5147"/>
        <w:gridCol w:w="1657"/>
      </w:tblGrid>
      <w:tr w:rsidR="006540BF" w:rsidRPr="00E4517F" w14:paraId="0515FC06" w14:textId="77777777" w:rsidTr="0055251E">
        <w:trPr>
          <w:tblHeader/>
        </w:trPr>
        <w:tc>
          <w:tcPr>
            <w:tcW w:w="1652" w:type="dxa"/>
            <w:shd w:val="clear" w:color="auto" w:fill="BFBFBF" w:themeFill="background1" w:themeFillShade="BF"/>
          </w:tcPr>
          <w:p w14:paraId="5E241C49" w14:textId="77777777" w:rsidR="006540BF" w:rsidRPr="009448C8" w:rsidRDefault="006540BF" w:rsidP="00E4517F">
            <w:pPr>
              <w:pStyle w:val="NoSpacing"/>
              <w:rPr>
                <w:b/>
              </w:rPr>
            </w:pPr>
            <w:r w:rsidRPr="009448C8">
              <w:rPr>
                <w:b/>
              </w:rPr>
              <w:t>RIP</w:t>
            </w:r>
          </w:p>
        </w:tc>
        <w:tc>
          <w:tcPr>
            <w:tcW w:w="5147" w:type="dxa"/>
            <w:shd w:val="clear" w:color="auto" w:fill="BFBFBF" w:themeFill="background1" w:themeFillShade="BF"/>
          </w:tcPr>
          <w:p w14:paraId="2A5E00B3" w14:textId="77777777" w:rsidR="006540BF" w:rsidRPr="009448C8" w:rsidRDefault="006540BF" w:rsidP="00E4517F">
            <w:pPr>
              <w:pStyle w:val="NoSpacing"/>
              <w:rPr>
                <w:b/>
              </w:rPr>
            </w:pPr>
            <w:r w:rsidRPr="009448C8">
              <w:rPr>
                <w:b/>
              </w:rPr>
              <w:t>Role in TA Program</w:t>
            </w:r>
          </w:p>
        </w:tc>
        <w:tc>
          <w:tcPr>
            <w:tcW w:w="1657" w:type="dxa"/>
            <w:shd w:val="clear" w:color="auto" w:fill="BFBFBF" w:themeFill="background1" w:themeFillShade="BF"/>
          </w:tcPr>
          <w:p w14:paraId="734DA73E" w14:textId="77777777" w:rsidR="006540BF" w:rsidRPr="009448C8" w:rsidRDefault="006540BF" w:rsidP="00E4517F">
            <w:pPr>
              <w:pStyle w:val="NoSpacing"/>
              <w:rPr>
                <w:b/>
              </w:rPr>
            </w:pPr>
            <w:r w:rsidRPr="009448C8">
              <w:rPr>
                <w:b/>
              </w:rPr>
              <w:t>Funding allocated</w:t>
            </w:r>
            <w:r w:rsidR="00FF321A" w:rsidRPr="009448C8">
              <w:rPr>
                <w:b/>
              </w:rPr>
              <w:t xml:space="preserve"> to date</w:t>
            </w:r>
            <w:r w:rsidRPr="009448C8">
              <w:rPr>
                <w:b/>
              </w:rPr>
              <w:t xml:space="preserve"> (USD)</w:t>
            </w:r>
          </w:p>
        </w:tc>
      </w:tr>
      <w:tr w:rsidR="006540BF" w:rsidRPr="00E4517F" w14:paraId="5172BCBF" w14:textId="77777777" w:rsidTr="00497F38">
        <w:tc>
          <w:tcPr>
            <w:tcW w:w="1652" w:type="dxa"/>
          </w:tcPr>
          <w:p w14:paraId="37722774" w14:textId="77777777" w:rsidR="006540BF" w:rsidRPr="00E4517F" w:rsidRDefault="006540BF" w:rsidP="00E4517F">
            <w:pPr>
              <w:pStyle w:val="NoSpacing"/>
            </w:pPr>
            <w:bookmarkStart w:id="35" w:name="_Hlk53667007"/>
            <w:r w:rsidRPr="00E4517F">
              <w:t>IPPF/SROP/MAs</w:t>
            </w:r>
          </w:p>
        </w:tc>
        <w:tc>
          <w:tcPr>
            <w:tcW w:w="5147" w:type="dxa"/>
          </w:tcPr>
          <w:p w14:paraId="31606C9A" w14:textId="77777777" w:rsidR="006540BF" w:rsidRPr="00E4517F" w:rsidRDefault="006540BF" w:rsidP="00E4517F">
            <w:pPr>
              <w:pStyle w:val="NoSpacing"/>
            </w:pPr>
            <w:r w:rsidRPr="00E4517F">
              <w:t>Community training; CSE resources, GBV training, advocacy for GBV, training health workers, VAWG disability guidelines, MISP training, SRH in emergencies module, SRH training</w:t>
            </w:r>
          </w:p>
        </w:tc>
        <w:tc>
          <w:tcPr>
            <w:tcW w:w="1657" w:type="dxa"/>
          </w:tcPr>
          <w:p w14:paraId="5B331328" w14:textId="77777777" w:rsidR="006540BF" w:rsidRPr="00E4517F" w:rsidRDefault="006540BF" w:rsidP="00E4517F">
            <w:pPr>
              <w:pStyle w:val="NoSpacing"/>
            </w:pPr>
            <w:r w:rsidRPr="00E4517F">
              <w:t>628,000</w:t>
            </w:r>
          </w:p>
        </w:tc>
      </w:tr>
      <w:tr w:rsidR="006540BF" w:rsidRPr="00E4517F" w14:paraId="65645257" w14:textId="77777777" w:rsidTr="00497F38">
        <w:tc>
          <w:tcPr>
            <w:tcW w:w="1652" w:type="dxa"/>
          </w:tcPr>
          <w:p w14:paraId="39BFD5B6" w14:textId="77777777" w:rsidR="006540BF" w:rsidRPr="00E4517F" w:rsidRDefault="006540BF" w:rsidP="00E4517F">
            <w:pPr>
              <w:pStyle w:val="NoSpacing"/>
            </w:pPr>
            <w:r w:rsidRPr="00E4517F">
              <w:t>FPNSW</w:t>
            </w:r>
          </w:p>
        </w:tc>
        <w:tc>
          <w:tcPr>
            <w:tcW w:w="5147" w:type="dxa"/>
          </w:tcPr>
          <w:p w14:paraId="0F76774B" w14:textId="77777777" w:rsidR="006540BF" w:rsidRPr="00E4517F" w:rsidRDefault="006540BF" w:rsidP="00E4517F">
            <w:pPr>
              <w:pStyle w:val="NoSpacing"/>
            </w:pPr>
            <w:r w:rsidRPr="00E4517F">
              <w:t>National FLE curriculum development, Cervical Cancer Policy development, SRH guidelines, In-service FP training, M&amp;E</w:t>
            </w:r>
          </w:p>
        </w:tc>
        <w:tc>
          <w:tcPr>
            <w:tcW w:w="1657" w:type="dxa"/>
          </w:tcPr>
          <w:p w14:paraId="4ECB395C" w14:textId="77777777" w:rsidR="006540BF" w:rsidRPr="00E4517F" w:rsidRDefault="006540BF" w:rsidP="00E4517F">
            <w:pPr>
              <w:pStyle w:val="NoSpacing"/>
            </w:pPr>
            <w:r w:rsidRPr="00E4517F">
              <w:t>1,181,879</w:t>
            </w:r>
          </w:p>
        </w:tc>
      </w:tr>
      <w:tr w:rsidR="006540BF" w:rsidRPr="00E4517F" w14:paraId="2D00DC3F" w14:textId="77777777" w:rsidTr="00497F38">
        <w:tc>
          <w:tcPr>
            <w:tcW w:w="1652" w:type="dxa"/>
          </w:tcPr>
          <w:p w14:paraId="54B7BE3A" w14:textId="77777777" w:rsidR="006540BF" w:rsidRPr="00E4517F" w:rsidRDefault="006540BF" w:rsidP="00E4517F">
            <w:pPr>
              <w:pStyle w:val="NoSpacing"/>
            </w:pPr>
            <w:r w:rsidRPr="00E4517F">
              <w:t>JSI</w:t>
            </w:r>
          </w:p>
        </w:tc>
        <w:tc>
          <w:tcPr>
            <w:tcW w:w="5147" w:type="dxa"/>
          </w:tcPr>
          <w:p w14:paraId="2809A31E" w14:textId="77777777" w:rsidR="006540BF" w:rsidRPr="00E4517F" w:rsidRDefault="006540BF" w:rsidP="00E4517F">
            <w:pPr>
              <w:pStyle w:val="NoSpacing"/>
            </w:pPr>
            <w:r w:rsidRPr="00E4517F">
              <w:t>Data use, Build Supply Chain LMIS capacity</w:t>
            </w:r>
          </w:p>
        </w:tc>
        <w:tc>
          <w:tcPr>
            <w:tcW w:w="1657" w:type="dxa"/>
          </w:tcPr>
          <w:p w14:paraId="14C38CE5" w14:textId="77777777" w:rsidR="006540BF" w:rsidRPr="00E4517F" w:rsidRDefault="006540BF" w:rsidP="00E4517F">
            <w:pPr>
              <w:pStyle w:val="NoSpacing"/>
            </w:pPr>
            <w:r w:rsidRPr="00E4517F">
              <w:t>178,469</w:t>
            </w:r>
          </w:p>
        </w:tc>
      </w:tr>
      <w:tr w:rsidR="006540BF" w:rsidRPr="00E4517F" w14:paraId="243EE489" w14:textId="77777777" w:rsidTr="00497F38">
        <w:tc>
          <w:tcPr>
            <w:tcW w:w="1652" w:type="dxa"/>
          </w:tcPr>
          <w:p w14:paraId="150E396D" w14:textId="77777777" w:rsidR="006540BF" w:rsidRPr="00E4517F" w:rsidRDefault="006540BF" w:rsidP="00E4517F">
            <w:pPr>
              <w:pStyle w:val="NoSpacing"/>
            </w:pPr>
            <w:r w:rsidRPr="00E4517F">
              <w:t>WEI</w:t>
            </w:r>
          </w:p>
        </w:tc>
        <w:tc>
          <w:tcPr>
            <w:tcW w:w="5147" w:type="dxa"/>
          </w:tcPr>
          <w:p w14:paraId="5DBDCA96" w14:textId="77777777" w:rsidR="006540BF" w:rsidRPr="00E4517F" w:rsidRDefault="006540BF" w:rsidP="00E4517F">
            <w:pPr>
              <w:pStyle w:val="NoSpacing"/>
            </w:pPr>
            <w:r w:rsidRPr="00E4517F">
              <w:t>Disability</w:t>
            </w:r>
            <w:r w:rsidR="00395A15" w:rsidRPr="00E4517F">
              <w:t xml:space="preserve"> needs assessment</w:t>
            </w:r>
            <w:r w:rsidRPr="00E4517F">
              <w:t>,</w:t>
            </w:r>
            <w:r w:rsidR="00395A15" w:rsidRPr="00E4517F">
              <w:t xml:space="preserve"> HFRSA material reviews, Development of SRH/VAWG guidelines</w:t>
            </w:r>
            <w:r w:rsidRPr="00E4517F">
              <w:t xml:space="preserve"> </w:t>
            </w:r>
          </w:p>
        </w:tc>
        <w:tc>
          <w:tcPr>
            <w:tcW w:w="1657" w:type="dxa"/>
          </w:tcPr>
          <w:p w14:paraId="5511BAFA" w14:textId="77777777" w:rsidR="006540BF" w:rsidRPr="00E4517F" w:rsidRDefault="00395A15" w:rsidP="00E4517F">
            <w:pPr>
              <w:pStyle w:val="NoSpacing"/>
            </w:pPr>
            <w:r w:rsidRPr="00E4517F">
              <w:t>219,298</w:t>
            </w:r>
          </w:p>
        </w:tc>
      </w:tr>
      <w:tr w:rsidR="006540BF" w:rsidRPr="00E4517F" w14:paraId="2C3261E6" w14:textId="77777777" w:rsidTr="00497F38">
        <w:tc>
          <w:tcPr>
            <w:tcW w:w="1652" w:type="dxa"/>
          </w:tcPr>
          <w:p w14:paraId="1BD21BD6" w14:textId="77777777" w:rsidR="006540BF" w:rsidRPr="00E4517F" w:rsidRDefault="00395A15" w:rsidP="00E4517F">
            <w:pPr>
              <w:pStyle w:val="NoSpacing"/>
            </w:pPr>
            <w:r w:rsidRPr="00E4517F">
              <w:t>Nossal</w:t>
            </w:r>
          </w:p>
        </w:tc>
        <w:tc>
          <w:tcPr>
            <w:tcW w:w="5147" w:type="dxa"/>
          </w:tcPr>
          <w:p w14:paraId="66829FD4" w14:textId="77777777" w:rsidR="006540BF" w:rsidRPr="00E4517F" w:rsidRDefault="00395A15" w:rsidP="00E4517F">
            <w:pPr>
              <w:pStyle w:val="NoSpacing"/>
            </w:pPr>
            <w:r w:rsidRPr="00E4517F">
              <w:t xml:space="preserve">BCC community engagement, BCC strategy, Data for policy makers, VAWG awareness messages </w:t>
            </w:r>
          </w:p>
        </w:tc>
        <w:tc>
          <w:tcPr>
            <w:tcW w:w="1657" w:type="dxa"/>
          </w:tcPr>
          <w:p w14:paraId="3C3A85F8" w14:textId="77777777" w:rsidR="006540BF" w:rsidRPr="00E4517F" w:rsidRDefault="00395A15" w:rsidP="00E4517F">
            <w:pPr>
              <w:pStyle w:val="NoSpacing"/>
            </w:pPr>
            <w:r w:rsidRPr="00E4517F">
              <w:t>497,801</w:t>
            </w:r>
          </w:p>
        </w:tc>
      </w:tr>
      <w:tr w:rsidR="006540BF" w:rsidRPr="00E4517F" w14:paraId="6DA959A7" w14:textId="77777777" w:rsidTr="00497F38">
        <w:tc>
          <w:tcPr>
            <w:tcW w:w="1652" w:type="dxa"/>
          </w:tcPr>
          <w:p w14:paraId="23E27020" w14:textId="77777777" w:rsidR="006540BF" w:rsidRPr="00E4517F" w:rsidRDefault="00395A15" w:rsidP="00E4517F">
            <w:pPr>
              <w:pStyle w:val="NoSpacing"/>
            </w:pPr>
            <w:r w:rsidRPr="00E4517F">
              <w:t>Burnet</w:t>
            </w:r>
          </w:p>
        </w:tc>
        <w:tc>
          <w:tcPr>
            <w:tcW w:w="5147" w:type="dxa"/>
          </w:tcPr>
          <w:p w14:paraId="40F43E9C" w14:textId="77777777" w:rsidR="006540BF" w:rsidRPr="00E4517F" w:rsidRDefault="00395A15" w:rsidP="00E4517F">
            <w:pPr>
              <w:pStyle w:val="NoSpacing"/>
            </w:pPr>
            <w:r w:rsidRPr="00E4517F">
              <w:t>HMIS strengthening, M&amp;E support, Strengthen midwifery curriculum</w:t>
            </w:r>
          </w:p>
        </w:tc>
        <w:tc>
          <w:tcPr>
            <w:tcW w:w="1657" w:type="dxa"/>
          </w:tcPr>
          <w:p w14:paraId="7512CF58" w14:textId="77777777" w:rsidR="006540BF" w:rsidRPr="00E4517F" w:rsidRDefault="00395A15" w:rsidP="00E4517F">
            <w:pPr>
              <w:pStyle w:val="NoSpacing"/>
            </w:pPr>
            <w:r w:rsidRPr="00E4517F">
              <w:t>528,703</w:t>
            </w:r>
          </w:p>
        </w:tc>
      </w:tr>
      <w:tr w:rsidR="006540BF" w:rsidRPr="00E4517F" w14:paraId="0E808BA7" w14:textId="77777777" w:rsidTr="00497F38">
        <w:tc>
          <w:tcPr>
            <w:tcW w:w="1652" w:type="dxa"/>
          </w:tcPr>
          <w:p w14:paraId="14E15115" w14:textId="77777777" w:rsidR="006540BF" w:rsidRPr="00E4517F" w:rsidRDefault="00395A15" w:rsidP="00E4517F">
            <w:pPr>
              <w:pStyle w:val="NoSpacing"/>
            </w:pPr>
            <w:r w:rsidRPr="00E4517F">
              <w:t xml:space="preserve">ABC </w:t>
            </w:r>
          </w:p>
        </w:tc>
        <w:tc>
          <w:tcPr>
            <w:tcW w:w="5147" w:type="dxa"/>
          </w:tcPr>
          <w:p w14:paraId="22F05E62" w14:textId="77777777" w:rsidR="006540BF" w:rsidRPr="00E4517F" w:rsidRDefault="00395A15" w:rsidP="00E4517F">
            <w:pPr>
              <w:pStyle w:val="NoSpacing"/>
            </w:pPr>
            <w:r w:rsidRPr="00E4517F">
              <w:t>BCC Strategy implementation</w:t>
            </w:r>
          </w:p>
        </w:tc>
        <w:tc>
          <w:tcPr>
            <w:tcW w:w="1657" w:type="dxa"/>
          </w:tcPr>
          <w:p w14:paraId="7A61A193" w14:textId="77777777" w:rsidR="006540BF" w:rsidRPr="00E4517F" w:rsidRDefault="002B7771" w:rsidP="00E4517F">
            <w:pPr>
              <w:pStyle w:val="NoSpacing"/>
            </w:pPr>
            <w:r>
              <w:t xml:space="preserve">106,689 </w:t>
            </w:r>
          </w:p>
        </w:tc>
      </w:tr>
      <w:tr w:rsidR="00395A15" w:rsidRPr="00E4517F" w14:paraId="07D65322" w14:textId="77777777" w:rsidTr="00497F38">
        <w:tc>
          <w:tcPr>
            <w:tcW w:w="1652" w:type="dxa"/>
          </w:tcPr>
          <w:p w14:paraId="747A33E5" w14:textId="77777777" w:rsidR="00395A15" w:rsidRPr="00E4517F" w:rsidRDefault="00395A15" w:rsidP="00E4517F">
            <w:pPr>
              <w:pStyle w:val="NoSpacing"/>
            </w:pPr>
            <w:r w:rsidRPr="00E4517F">
              <w:t>Care International (Vanuatu)</w:t>
            </w:r>
          </w:p>
        </w:tc>
        <w:tc>
          <w:tcPr>
            <w:tcW w:w="5147" w:type="dxa"/>
          </w:tcPr>
          <w:p w14:paraId="0F25DB2B" w14:textId="77777777" w:rsidR="00395A15" w:rsidRPr="00E4517F" w:rsidRDefault="00395A15" w:rsidP="00E4517F">
            <w:pPr>
              <w:pStyle w:val="NoSpacing"/>
            </w:pPr>
            <w:r w:rsidRPr="00E4517F">
              <w:t>Implement community-based CSE</w:t>
            </w:r>
          </w:p>
        </w:tc>
        <w:tc>
          <w:tcPr>
            <w:tcW w:w="1657" w:type="dxa"/>
          </w:tcPr>
          <w:p w14:paraId="3A55C794" w14:textId="77777777" w:rsidR="00395A15" w:rsidRPr="00E4517F" w:rsidRDefault="002B7771" w:rsidP="00E4517F">
            <w:pPr>
              <w:pStyle w:val="NoSpacing"/>
            </w:pPr>
            <w:r>
              <w:t xml:space="preserve">140,000 </w:t>
            </w:r>
          </w:p>
        </w:tc>
      </w:tr>
      <w:tr w:rsidR="00395A15" w:rsidRPr="00E4517F" w14:paraId="18CFFFD4" w14:textId="77777777" w:rsidTr="00497F38">
        <w:tc>
          <w:tcPr>
            <w:tcW w:w="1652" w:type="dxa"/>
          </w:tcPr>
          <w:p w14:paraId="443FF513" w14:textId="77777777" w:rsidR="00395A15" w:rsidRPr="00E4517F" w:rsidRDefault="00395A15" w:rsidP="00E4517F">
            <w:pPr>
              <w:pStyle w:val="NoSpacing"/>
            </w:pPr>
            <w:r w:rsidRPr="00E4517F">
              <w:t>World Vision (Vanuatu)</w:t>
            </w:r>
          </w:p>
        </w:tc>
        <w:tc>
          <w:tcPr>
            <w:tcW w:w="5147" w:type="dxa"/>
          </w:tcPr>
          <w:p w14:paraId="64A9BCCE" w14:textId="77777777" w:rsidR="00395A15" w:rsidRPr="00E4517F" w:rsidRDefault="00395A15" w:rsidP="00E4517F">
            <w:pPr>
              <w:pStyle w:val="NoSpacing"/>
            </w:pPr>
            <w:r w:rsidRPr="00E4517F">
              <w:t>Produce and distribute IEC materials</w:t>
            </w:r>
          </w:p>
        </w:tc>
        <w:tc>
          <w:tcPr>
            <w:tcW w:w="1657" w:type="dxa"/>
          </w:tcPr>
          <w:p w14:paraId="5EBD220C" w14:textId="77777777" w:rsidR="00395A15" w:rsidRPr="00E4517F" w:rsidRDefault="002B7771" w:rsidP="00E4517F">
            <w:pPr>
              <w:pStyle w:val="NoSpacing"/>
            </w:pPr>
            <w:r>
              <w:t xml:space="preserve">80,000 </w:t>
            </w:r>
          </w:p>
        </w:tc>
      </w:tr>
      <w:tr w:rsidR="0055251E" w:rsidRPr="00E4517F" w14:paraId="286CA5AB" w14:textId="77777777" w:rsidTr="00497F38">
        <w:tc>
          <w:tcPr>
            <w:tcW w:w="1652" w:type="dxa"/>
          </w:tcPr>
          <w:p w14:paraId="7FC8D2DC" w14:textId="77777777" w:rsidR="0055251E" w:rsidRPr="00E4517F" w:rsidRDefault="0055251E" w:rsidP="00E4517F">
            <w:pPr>
              <w:pStyle w:val="NoSpacing"/>
            </w:pPr>
          </w:p>
        </w:tc>
        <w:tc>
          <w:tcPr>
            <w:tcW w:w="5147" w:type="dxa"/>
          </w:tcPr>
          <w:p w14:paraId="564E4D23" w14:textId="70E24048" w:rsidR="0055251E" w:rsidRPr="0055251E" w:rsidRDefault="0055251E" w:rsidP="00E4517F">
            <w:pPr>
              <w:pStyle w:val="NoSpacing"/>
              <w:rPr>
                <w:b/>
              </w:rPr>
            </w:pPr>
            <w:r>
              <w:rPr>
                <w:b/>
              </w:rPr>
              <w:t>Total to Date</w:t>
            </w:r>
          </w:p>
        </w:tc>
        <w:tc>
          <w:tcPr>
            <w:tcW w:w="1657" w:type="dxa"/>
          </w:tcPr>
          <w:p w14:paraId="14F22470" w14:textId="4AAC7E43" w:rsidR="0055251E" w:rsidRPr="0055251E" w:rsidRDefault="0055251E" w:rsidP="00E4517F">
            <w:pPr>
              <w:pStyle w:val="NoSpacing"/>
              <w:rPr>
                <w:b/>
              </w:rPr>
            </w:pPr>
            <w:r w:rsidRPr="0055251E">
              <w:rPr>
                <w:b/>
              </w:rPr>
              <w:t>3,560,839</w:t>
            </w:r>
          </w:p>
        </w:tc>
      </w:tr>
    </w:tbl>
    <w:bookmarkEnd w:id="35"/>
    <w:p w14:paraId="58F4C87D" w14:textId="77777777" w:rsidR="00843E5E" w:rsidRDefault="006540BF" w:rsidP="007D1D0D">
      <w:r>
        <w:t xml:space="preserve"> </w:t>
      </w:r>
      <w:r w:rsidR="00AD737B">
        <w:t xml:space="preserve"> </w:t>
      </w:r>
    </w:p>
    <w:p w14:paraId="41BC49B0" w14:textId="77777777" w:rsidR="005D17EC" w:rsidRDefault="005D17EC" w:rsidP="005D17EC">
      <w:pPr>
        <w:pStyle w:val="NoSpacing"/>
      </w:pPr>
      <w:r>
        <w:t xml:space="preserve">The key efficiency issue with the strategy of using RIPs is not related to the funding amounts, but rather the changed implementing environment due to COVID-19. These overseas-based organisations (excluding World Vision and Care International based in Vanuatu) are </w:t>
      </w:r>
      <w:r w:rsidR="002B7771">
        <w:t>finding it difficult</w:t>
      </w:r>
      <w:r>
        <w:t xml:space="preserve"> to collect data and </w:t>
      </w:r>
      <w:r w:rsidR="001C7B7E">
        <w:t xml:space="preserve">have had to adapt to new ways of working including engaging </w:t>
      </w:r>
      <w:r>
        <w:t xml:space="preserve">with local </w:t>
      </w:r>
      <w:r w:rsidR="002B7771">
        <w:t>consultants</w:t>
      </w:r>
      <w:r>
        <w:t xml:space="preserve"> to advance these tasks. Recent RIP efforts to consult Ministries (particularly MOHs) has caused some stress for MOH SRH coordinators who already have heavy workloads and are implementing their own SRH programs. The contracting of some of the RIPs did not occur until </w:t>
      </w:r>
      <w:r w:rsidR="00546976">
        <w:t xml:space="preserve">July </w:t>
      </w:r>
      <w:r>
        <w:t>2020 when COVID</w:t>
      </w:r>
      <w:r w:rsidR="00E37C25">
        <w:t>-19</w:t>
      </w:r>
      <w:r>
        <w:t xml:space="preserve"> restrictions were known. The use of some RIPs may now be unfeasible and it is likely to be more efficient to utilise existing resource people and organisations in-country, especially for FP/SRH training, BCC strategy development and implementation</w:t>
      </w:r>
      <w:r w:rsidR="00E37C25">
        <w:t xml:space="preserve"> and</w:t>
      </w:r>
      <w:r>
        <w:t xml:space="preserve"> community based CSE (See Section 6.4 – Use of Existing In-Country Resources).</w:t>
      </w:r>
    </w:p>
    <w:p w14:paraId="6F63BC74" w14:textId="77777777" w:rsidR="005D17EC" w:rsidRDefault="005D17EC" w:rsidP="00497F38">
      <w:pPr>
        <w:pStyle w:val="NoSpacing"/>
      </w:pPr>
    </w:p>
    <w:p w14:paraId="60418DF9" w14:textId="77777777" w:rsidR="00912DBA" w:rsidRPr="008D29CE" w:rsidRDefault="00912DBA" w:rsidP="00497F38">
      <w:pPr>
        <w:pStyle w:val="NoSpacing"/>
      </w:pPr>
      <w:r w:rsidRPr="002F26D7">
        <w:rPr>
          <w:b/>
          <w:bCs/>
          <w:i/>
          <w:iCs/>
        </w:rPr>
        <w:t>Recommendation</w:t>
      </w:r>
      <w:r w:rsidR="00BA365E">
        <w:rPr>
          <w:b/>
          <w:bCs/>
          <w:i/>
          <w:iCs/>
        </w:rPr>
        <w:t xml:space="preserve"> </w:t>
      </w:r>
      <w:r w:rsidR="004B7225">
        <w:rPr>
          <w:b/>
          <w:bCs/>
          <w:i/>
          <w:iCs/>
        </w:rPr>
        <w:t>8</w:t>
      </w:r>
      <w:r w:rsidRPr="002F26D7">
        <w:rPr>
          <w:b/>
          <w:bCs/>
          <w:i/>
          <w:iCs/>
        </w:rPr>
        <w:t>:</w:t>
      </w:r>
      <w:r w:rsidRPr="00912DBA">
        <w:rPr>
          <w:b/>
          <w:bCs/>
        </w:rPr>
        <w:t xml:space="preserve"> </w:t>
      </w:r>
      <w:r w:rsidRPr="00287E77">
        <w:t xml:space="preserve">DFAT and UNFPA assess the roles and responsibilities of the PSRO SRH </w:t>
      </w:r>
      <w:r>
        <w:t>S</w:t>
      </w:r>
      <w:r w:rsidRPr="00287E77">
        <w:t>pecialists in field offices, as well as the RIPs</w:t>
      </w:r>
      <w:r w:rsidR="00E37C25">
        <w:t>,</w:t>
      </w:r>
      <w:r w:rsidRPr="00287E77">
        <w:t xml:space="preserve"> given the changed operating environment. For example, an assessment is needed of the RIPs progress to date; feasibility of remote work in the COVID</w:t>
      </w:r>
      <w:r>
        <w:t>-19</w:t>
      </w:r>
      <w:r w:rsidRPr="00287E77">
        <w:t xml:space="preserve"> context; </w:t>
      </w:r>
      <w:r w:rsidR="00546976">
        <w:t xml:space="preserve">what in-country resources exist; </w:t>
      </w:r>
      <w:r w:rsidRPr="00287E77">
        <w:t xml:space="preserve">and determining if their work should continue, be paused temporarily, </w:t>
      </w:r>
      <w:r>
        <w:t xml:space="preserve">or </w:t>
      </w:r>
      <w:r w:rsidR="002B7771">
        <w:t xml:space="preserve">strengthen the </w:t>
      </w:r>
      <w:r>
        <w:t xml:space="preserve">model of </w:t>
      </w:r>
      <w:r w:rsidRPr="00287E77">
        <w:t>capacity building</w:t>
      </w:r>
      <w:r>
        <w:t xml:space="preserve"> and </w:t>
      </w:r>
      <w:r w:rsidRPr="00287E77">
        <w:t>support to national</w:t>
      </w:r>
      <w:r>
        <w:t xml:space="preserve"> partners</w:t>
      </w:r>
      <w:r w:rsidRPr="00287E77">
        <w:t>.</w:t>
      </w:r>
    </w:p>
    <w:p w14:paraId="4DF06F95" w14:textId="77777777" w:rsidR="00C058E6" w:rsidRDefault="00C058E6" w:rsidP="00497F38">
      <w:pPr>
        <w:pStyle w:val="NoSpacing"/>
        <w:rPr>
          <w:b/>
          <w:bCs/>
        </w:rPr>
      </w:pPr>
    </w:p>
    <w:p w14:paraId="1BF59713" w14:textId="77777777" w:rsidR="00CA7D57" w:rsidRPr="00912DBA" w:rsidRDefault="00C058E6" w:rsidP="003538C5">
      <w:pPr>
        <w:pStyle w:val="Level2Heading"/>
        <w:numPr>
          <w:ilvl w:val="1"/>
          <w:numId w:val="27"/>
        </w:numPr>
        <w:outlineLvl w:val="1"/>
      </w:pPr>
      <w:bookmarkStart w:id="36" w:name="_Toc76630096"/>
      <w:r>
        <w:t xml:space="preserve">Use of Existing In-country </w:t>
      </w:r>
      <w:proofErr w:type="gramStart"/>
      <w:r>
        <w:t>Resources</w:t>
      </w:r>
      <w:bookmarkEnd w:id="36"/>
      <w:proofErr w:type="gramEnd"/>
      <w:r>
        <w:t xml:space="preserve"> </w:t>
      </w:r>
      <w:r w:rsidR="00DE2B29" w:rsidRPr="00912DBA">
        <w:tab/>
      </w:r>
    </w:p>
    <w:p w14:paraId="37B1759E" w14:textId="77777777" w:rsidR="00043697" w:rsidRDefault="00043697" w:rsidP="00697D94">
      <w:pPr>
        <w:spacing w:line="240" w:lineRule="auto"/>
        <w:rPr>
          <w:lang w:val="en-US"/>
        </w:rPr>
      </w:pPr>
      <w:r>
        <w:t xml:space="preserve">The </w:t>
      </w:r>
      <w:r w:rsidR="00AA5720" w:rsidRPr="00497F38">
        <w:t xml:space="preserve">two main SRH resources in the six countries </w:t>
      </w:r>
      <w:r w:rsidR="00B718AB">
        <w:t xml:space="preserve">are the </w:t>
      </w:r>
      <w:r w:rsidR="00AA5720" w:rsidRPr="00497F38">
        <w:t>MOHs and IPPF MAs</w:t>
      </w:r>
      <w:r w:rsidR="00CE00E7">
        <w:t>, as well as a range of other actors who provide valuable contributions to FLE and BCC</w:t>
      </w:r>
      <w:r w:rsidR="00AA5720" w:rsidRPr="00497F38">
        <w:t xml:space="preserve">. </w:t>
      </w:r>
      <w:r>
        <w:rPr>
          <w:lang w:val="en-US"/>
        </w:rPr>
        <w:t>While some activities are already implemented by IPPF M</w:t>
      </w:r>
      <w:r w:rsidR="00E37C25">
        <w:rPr>
          <w:lang w:val="en-US"/>
        </w:rPr>
        <w:t>A</w:t>
      </w:r>
      <w:r>
        <w:rPr>
          <w:lang w:val="en-US"/>
        </w:rPr>
        <w:t>s</w:t>
      </w:r>
      <w:r w:rsidR="00E37C25">
        <w:rPr>
          <w:lang w:val="en-US"/>
        </w:rPr>
        <w:t>,</w:t>
      </w:r>
      <w:r>
        <w:rPr>
          <w:lang w:val="en-US"/>
        </w:rPr>
        <w:t xml:space="preserve"> as SRs contracted through Ministry IPs and SROP (RIP), their technical expertise and resources as providers of quality </w:t>
      </w:r>
      <w:r>
        <w:rPr>
          <w:lang w:val="en-US"/>
        </w:rPr>
        <w:lastRenderedPageBreak/>
        <w:t xml:space="preserve">assured, integrated and rights-based SRH clinical and educational services are not fully </w:t>
      </w:r>
      <w:proofErr w:type="spellStart"/>
      <w:r>
        <w:rPr>
          <w:lang w:val="en-US"/>
        </w:rPr>
        <w:t>recognised</w:t>
      </w:r>
      <w:proofErr w:type="spellEnd"/>
      <w:r>
        <w:rPr>
          <w:lang w:val="en-US"/>
        </w:rPr>
        <w:t xml:space="preserve"> in the program despite guidance included in the </w:t>
      </w:r>
      <w:r w:rsidR="00CE00E7">
        <w:rPr>
          <w:lang w:val="en-US"/>
        </w:rPr>
        <w:t xml:space="preserve">PDD </w:t>
      </w:r>
      <w:r>
        <w:rPr>
          <w:rStyle w:val="FootnoteReference"/>
          <w:lang w:val="en-US"/>
        </w:rPr>
        <w:footnoteReference w:id="27"/>
      </w:r>
      <w:r>
        <w:rPr>
          <w:lang w:val="en-US"/>
        </w:rPr>
        <w:t xml:space="preserve">. </w:t>
      </w:r>
      <w:r w:rsidR="002B7771" w:rsidRPr="005A1096">
        <w:rPr>
          <w:lang w:val="en-US"/>
        </w:rPr>
        <w:t xml:space="preserve">Annex </w:t>
      </w:r>
      <w:r w:rsidR="00F74147" w:rsidRPr="005A1096">
        <w:rPr>
          <w:lang w:val="en-US"/>
        </w:rPr>
        <w:t>10</w:t>
      </w:r>
      <w:r w:rsidR="002B7771" w:rsidRPr="005A1096">
        <w:rPr>
          <w:lang w:val="en-US"/>
        </w:rPr>
        <w:t xml:space="preserve"> </w:t>
      </w:r>
      <w:r w:rsidR="002B7771">
        <w:rPr>
          <w:lang w:val="en-US"/>
        </w:rPr>
        <w:t>describes the mandated SRH roles of both MOH and MAs.</w:t>
      </w:r>
    </w:p>
    <w:p w14:paraId="2DF9ED57" w14:textId="77777777" w:rsidR="00AA5720" w:rsidRPr="00497F38" w:rsidRDefault="00043697" w:rsidP="00497F38">
      <w:pPr>
        <w:pStyle w:val="NoSpacing"/>
      </w:pPr>
      <w:r w:rsidRPr="00BF183B">
        <w:rPr>
          <w:lang w:val="en-US"/>
        </w:rPr>
        <w:t>Existing SRH expertise and service provision by IPPF MAs</w:t>
      </w:r>
      <w:r>
        <w:rPr>
          <w:lang w:val="en-US"/>
        </w:rPr>
        <w:t xml:space="preserve"> </w:t>
      </w:r>
      <w:r w:rsidR="005358A7">
        <w:rPr>
          <w:lang w:val="en-US"/>
        </w:rPr>
        <w:t xml:space="preserve">has already been explained in Section 5.4 and increased use of these resources for FP/SRHR training has been recommended. </w:t>
      </w:r>
      <w:r w:rsidR="00AA5720" w:rsidRPr="00497F38">
        <w:t xml:space="preserve">In addition, </w:t>
      </w:r>
      <w:r w:rsidR="00BF183B">
        <w:t>MOHs</w:t>
      </w:r>
      <w:r w:rsidR="00AA5720" w:rsidRPr="00497F38">
        <w:t xml:space="preserve"> </w:t>
      </w:r>
      <w:r w:rsidR="00BF183B">
        <w:t xml:space="preserve">in all six countries </w:t>
      </w:r>
      <w:r w:rsidR="00AA5720" w:rsidRPr="00497F38">
        <w:t>are implementing BCC activities as part of NCD programming</w:t>
      </w:r>
      <w:r w:rsidR="00670B3C" w:rsidRPr="00497F38">
        <w:t xml:space="preserve"> </w:t>
      </w:r>
      <w:r w:rsidR="00711113">
        <w:t>(</w:t>
      </w:r>
      <w:proofErr w:type="gramStart"/>
      <w:r w:rsidR="00670B3C" w:rsidRPr="00497F38">
        <w:t>e.g.</w:t>
      </w:r>
      <w:proofErr w:type="gramEnd"/>
      <w:r w:rsidR="00670B3C" w:rsidRPr="00497F38">
        <w:t xml:space="preserve"> Tonga Health</w:t>
      </w:r>
      <w:r w:rsidR="00711113">
        <w:t>)</w:t>
      </w:r>
      <w:r w:rsidR="00AA5720" w:rsidRPr="00497F38">
        <w:t>. Some of these activities are outsourced by MOH</w:t>
      </w:r>
      <w:r w:rsidR="00BF183B">
        <w:t>s</w:t>
      </w:r>
      <w:r w:rsidR="00AA5720" w:rsidRPr="00497F38">
        <w:t xml:space="preserve"> to </w:t>
      </w:r>
      <w:r w:rsidR="00670B3C" w:rsidRPr="00497F38">
        <w:t xml:space="preserve">community-based </w:t>
      </w:r>
      <w:r>
        <w:t xml:space="preserve">and private sector </w:t>
      </w:r>
      <w:r w:rsidR="00AA5720" w:rsidRPr="00497F38">
        <w:t>organisations in-country who may also be able to assist with FP/SRH ‘demand’ strategies. Organisations have been identified in Vanuatu</w:t>
      </w:r>
      <w:r w:rsidR="00BF183B">
        <w:rPr>
          <w:rStyle w:val="FootnoteReference"/>
        </w:rPr>
        <w:footnoteReference w:id="28"/>
      </w:r>
      <w:r w:rsidR="00AA5720" w:rsidRPr="00497F38">
        <w:t xml:space="preserve"> which have locally produced, culturally appropriate </w:t>
      </w:r>
      <w:r w:rsidR="00670B3C" w:rsidRPr="00497F38">
        <w:t>‘demand’</w:t>
      </w:r>
      <w:r w:rsidR="00AA5720" w:rsidRPr="00497F38">
        <w:t xml:space="preserve"> products ready to implement. Culturally appropriate BCC activities and IEC resources, pre-tested in each country are essential for behaviour change and increasing demand for FP/SRH services.</w:t>
      </w:r>
      <w:r w:rsidR="00670B3C" w:rsidRPr="00497F38">
        <w:t xml:space="preserve"> </w:t>
      </w:r>
    </w:p>
    <w:p w14:paraId="6812EC42" w14:textId="77777777" w:rsidR="00670B3C" w:rsidRPr="00497F38" w:rsidRDefault="00670B3C" w:rsidP="00497F38">
      <w:pPr>
        <w:pStyle w:val="NoSpacing"/>
      </w:pPr>
    </w:p>
    <w:p w14:paraId="38FE8F05" w14:textId="77777777" w:rsidR="00E0676A" w:rsidRDefault="00670B3C" w:rsidP="00497F38">
      <w:pPr>
        <w:pStyle w:val="NoSpacing"/>
      </w:pPr>
      <w:r w:rsidRPr="00497F38">
        <w:rPr>
          <w:b/>
          <w:bCs/>
          <w:i/>
          <w:iCs/>
        </w:rPr>
        <w:t>Recommendation</w:t>
      </w:r>
      <w:r w:rsidR="005B492B">
        <w:rPr>
          <w:b/>
          <w:bCs/>
          <w:i/>
          <w:iCs/>
        </w:rPr>
        <w:t xml:space="preserve"> </w:t>
      </w:r>
      <w:r w:rsidR="004B7225">
        <w:rPr>
          <w:b/>
          <w:bCs/>
          <w:i/>
          <w:iCs/>
        </w:rPr>
        <w:t>9</w:t>
      </w:r>
      <w:r w:rsidRPr="00497F38">
        <w:rPr>
          <w:b/>
          <w:bCs/>
          <w:i/>
          <w:iCs/>
        </w:rPr>
        <w:t>:</w:t>
      </w:r>
      <w:r w:rsidR="00043697" w:rsidRPr="00497F38">
        <w:t xml:space="preserve"> </w:t>
      </w:r>
      <w:r w:rsidR="00043697">
        <w:t xml:space="preserve">Due to </w:t>
      </w:r>
      <w:r w:rsidR="00043697" w:rsidRPr="00497F38">
        <w:t xml:space="preserve">the necessary reliance on in-country skills and resources given COVID-19 travel restrictions, PSRO and IPs </w:t>
      </w:r>
      <w:r w:rsidR="00043697">
        <w:t xml:space="preserve">and RIPs </w:t>
      </w:r>
      <w:r w:rsidR="00043697" w:rsidRPr="00497F38">
        <w:t xml:space="preserve">reconsider </w:t>
      </w:r>
      <w:r w:rsidR="00043697">
        <w:t xml:space="preserve">the original approach regarding SRH/FP BCC activity </w:t>
      </w:r>
      <w:r w:rsidR="00043697" w:rsidRPr="00497F38">
        <w:t>implementation</w:t>
      </w:r>
      <w:r w:rsidR="00043697">
        <w:t>. This may require a heavier reliance on using and strengthening existing national capacity and resources, rather than full reliance on external RIPs</w:t>
      </w:r>
      <w:r w:rsidR="00043697" w:rsidRPr="00497F38">
        <w:t xml:space="preserve">.  HFRSA assessment data provides updates on </w:t>
      </w:r>
      <w:r w:rsidR="00043697">
        <w:t xml:space="preserve">MOH </w:t>
      </w:r>
      <w:r w:rsidR="00043697" w:rsidRPr="00497F38">
        <w:t xml:space="preserve">progress in developing </w:t>
      </w:r>
      <w:r w:rsidR="00043697">
        <w:t xml:space="preserve">SRH </w:t>
      </w:r>
      <w:r w:rsidR="00043697" w:rsidRPr="00497F38">
        <w:t xml:space="preserve">tools and resources. This data should be </w:t>
      </w:r>
      <w:r w:rsidR="00043697">
        <w:t xml:space="preserve">used to inform any future </w:t>
      </w:r>
      <w:r w:rsidR="00043697" w:rsidRPr="00497F38">
        <w:t>activities</w:t>
      </w:r>
      <w:r w:rsidR="00043697">
        <w:t xml:space="preserve"> related</w:t>
      </w:r>
      <w:r w:rsidR="00043697" w:rsidRPr="00497F38">
        <w:t xml:space="preserve"> to </w:t>
      </w:r>
      <w:r w:rsidR="00BF183B">
        <w:t xml:space="preserve">training (which may have been provided) and </w:t>
      </w:r>
      <w:r w:rsidR="00043697">
        <w:t xml:space="preserve">the </w:t>
      </w:r>
      <w:r w:rsidR="00043697" w:rsidRPr="00497F38">
        <w:t>develop</w:t>
      </w:r>
      <w:r w:rsidR="00043697">
        <w:t>ment of</w:t>
      </w:r>
      <w:r w:rsidR="00043697" w:rsidRPr="00497F38">
        <w:t xml:space="preserve"> guidelines and policies </w:t>
      </w:r>
      <w:r w:rsidR="00043697">
        <w:t>(</w:t>
      </w:r>
      <w:r w:rsidR="00043697" w:rsidRPr="00497F38">
        <w:t>which may already exist</w:t>
      </w:r>
      <w:r w:rsidR="00043697">
        <w:t>)</w:t>
      </w:r>
      <w:r w:rsidR="00043697" w:rsidRPr="00497F38">
        <w:t xml:space="preserve">. </w:t>
      </w:r>
      <w:r w:rsidR="00043697">
        <w:t xml:space="preserve">See </w:t>
      </w:r>
      <w:r w:rsidR="00043697" w:rsidRPr="00497F38">
        <w:t xml:space="preserve">Annex </w:t>
      </w:r>
      <w:r w:rsidR="00043697">
        <w:t>6</w:t>
      </w:r>
      <w:r w:rsidR="00043697" w:rsidRPr="00497F38">
        <w:t xml:space="preserve"> </w:t>
      </w:r>
      <w:r w:rsidR="00043697">
        <w:t>for HFRSA assessment data</w:t>
      </w:r>
      <w:r w:rsidR="00043697" w:rsidRPr="00497F38">
        <w:t>.</w:t>
      </w:r>
    </w:p>
    <w:p w14:paraId="18C19400" w14:textId="77777777" w:rsidR="00E0676A" w:rsidRPr="00497F38" w:rsidRDefault="00E0676A" w:rsidP="00497F38">
      <w:pPr>
        <w:pStyle w:val="NoSpacing"/>
      </w:pPr>
    </w:p>
    <w:p w14:paraId="55578E07" w14:textId="77777777" w:rsidR="005C3A89" w:rsidRPr="00B17B41" w:rsidRDefault="00B17B41" w:rsidP="003538C5">
      <w:pPr>
        <w:pStyle w:val="Level2Heading"/>
        <w:numPr>
          <w:ilvl w:val="1"/>
          <w:numId w:val="27"/>
        </w:numPr>
        <w:outlineLvl w:val="1"/>
      </w:pPr>
      <w:bookmarkStart w:id="37" w:name="_Toc76630097"/>
      <w:r>
        <w:t>Funding Allocations</w:t>
      </w:r>
      <w:bookmarkEnd w:id="37"/>
      <w:r w:rsidRPr="00B17B41">
        <w:t xml:space="preserve"> </w:t>
      </w:r>
    </w:p>
    <w:p w14:paraId="1AF08E11" w14:textId="77777777" w:rsidR="004D7E88" w:rsidRPr="004D0470" w:rsidRDefault="00BF183B" w:rsidP="004D0470">
      <w:pPr>
        <w:spacing w:line="240" w:lineRule="auto"/>
        <w:rPr>
          <w:rFonts w:eastAsiaTheme="minorHAnsi" w:cstheme="minorBidi"/>
          <w:szCs w:val="22"/>
          <w:lang w:eastAsia="en-US" w:bidi="ar-SA"/>
        </w:rPr>
      </w:pPr>
      <w:r w:rsidRPr="004D0470">
        <w:rPr>
          <w:rFonts w:eastAsiaTheme="minorHAnsi" w:cstheme="minorBidi"/>
          <w:szCs w:val="22"/>
          <w:lang w:eastAsia="en-US" w:bidi="ar-SA"/>
        </w:rPr>
        <w:t xml:space="preserve">PSRO advised that the country level fund allocations (Table </w:t>
      </w:r>
      <w:r w:rsidR="002E5996" w:rsidRPr="004D0470">
        <w:rPr>
          <w:rFonts w:eastAsiaTheme="minorHAnsi" w:cstheme="minorBidi"/>
          <w:szCs w:val="22"/>
          <w:lang w:eastAsia="en-US" w:bidi="ar-SA"/>
        </w:rPr>
        <w:t>9</w:t>
      </w:r>
      <w:r w:rsidRPr="004D0470">
        <w:rPr>
          <w:rFonts w:eastAsiaTheme="minorHAnsi" w:cstheme="minorBidi"/>
          <w:szCs w:val="22"/>
          <w:lang w:eastAsia="en-US" w:bidi="ar-SA"/>
        </w:rPr>
        <w:t xml:space="preserve">) are determined based on SRH need. </w:t>
      </w:r>
      <w:r w:rsidR="004D7E88" w:rsidRPr="004D0470">
        <w:rPr>
          <w:rFonts w:eastAsiaTheme="minorHAnsi" w:cstheme="minorBidi"/>
          <w:szCs w:val="22"/>
          <w:lang w:eastAsia="en-US" w:bidi="ar-SA"/>
        </w:rPr>
        <w:t>Need could be defined as: population, women of reproductive age and number of adolescents in which case Fiji and Solomon Islands would demonstrate the greatest need. If number of SDPs to be supported was the criteria, then Fiji, Kiribati, Solomon Islands and Vanuatu would demonstrate the greatest need. If geographical distance was the criteria, Kiribati, Solomon Islands and Vanuatu would require greater allocations for travel to the SDPs. The criteria need to be clearly explained in reports</w:t>
      </w:r>
      <w:r w:rsidR="005358A7" w:rsidRPr="004D0470">
        <w:rPr>
          <w:rFonts w:eastAsiaTheme="minorHAnsi" w:cstheme="minorBidi"/>
          <w:szCs w:val="22"/>
          <w:lang w:eastAsia="en-US" w:bidi="ar-SA"/>
        </w:rPr>
        <w:t>, including allocations of funds and tasks to IPs/RIPs</w:t>
      </w:r>
      <w:r w:rsidR="004D7E88" w:rsidRPr="004D0470">
        <w:rPr>
          <w:rFonts w:eastAsiaTheme="minorHAnsi" w:cstheme="minorBidi"/>
          <w:szCs w:val="22"/>
          <w:lang w:eastAsia="en-US" w:bidi="ar-SA"/>
        </w:rPr>
        <w:t>.</w:t>
      </w:r>
      <w:r w:rsidR="005358A7" w:rsidRPr="004D0470">
        <w:rPr>
          <w:rFonts w:eastAsiaTheme="minorHAnsi" w:cstheme="minorBidi"/>
          <w:szCs w:val="22"/>
          <w:lang w:eastAsia="en-US" w:bidi="ar-SA"/>
        </w:rPr>
        <w:t xml:space="preserve">  </w:t>
      </w:r>
    </w:p>
    <w:p w14:paraId="1986EEC1" w14:textId="77777777" w:rsidR="00B17B41" w:rsidRPr="00462DDA" w:rsidRDefault="001672E0" w:rsidP="00B17B41">
      <w:pPr>
        <w:rPr>
          <w:b/>
          <w:bCs/>
        </w:rPr>
      </w:pPr>
      <w:r w:rsidRPr="00462DDA">
        <w:rPr>
          <w:b/>
          <w:bCs/>
        </w:rPr>
        <w:t xml:space="preserve">Table </w:t>
      </w:r>
      <w:r w:rsidR="00FF321A">
        <w:rPr>
          <w:b/>
          <w:bCs/>
        </w:rPr>
        <w:t>10</w:t>
      </w:r>
      <w:r w:rsidRPr="00462DDA">
        <w:rPr>
          <w:b/>
          <w:bCs/>
        </w:rPr>
        <w:t xml:space="preserve">:  Allocations by Country 2018-2020 (August) </w:t>
      </w:r>
    </w:p>
    <w:tbl>
      <w:tblPr>
        <w:tblStyle w:val="TableGrid"/>
        <w:tblW w:w="0" w:type="auto"/>
        <w:tblLook w:val="04A0" w:firstRow="1" w:lastRow="0" w:firstColumn="1" w:lastColumn="0" w:noHBand="0" w:noVBand="1"/>
      </w:tblPr>
      <w:tblGrid>
        <w:gridCol w:w="706"/>
        <w:gridCol w:w="1039"/>
        <w:gridCol w:w="921"/>
        <w:gridCol w:w="880"/>
        <w:gridCol w:w="835"/>
        <w:gridCol w:w="1026"/>
        <w:gridCol w:w="825"/>
        <w:gridCol w:w="994"/>
        <w:gridCol w:w="948"/>
        <w:gridCol w:w="948"/>
      </w:tblGrid>
      <w:tr w:rsidR="005F6DC6" w14:paraId="0FADC49C" w14:textId="77777777" w:rsidTr="005F6DC6">
        <w:tc>
          <w:tcPr>
            <w:tcW w:w="706" w:type="dxa"/>
            <w:shd w:val="clear" w:color="auto" w:fill="FF0000"/>
          </w:tcPr>
          <w:p w14:paraId="68822E03" w14:textId="77777777" w:rsidR="005F6DC6" w:rsidRPr="009448C8" w:rsidRDefault="005F6DC6" w:rsidP="00E4517F">
            <w:pPr>
              <w:pStyle w:val="NoSpacing"/>
              <w:rPr>
                <w:b/>
                <w:bCs/>
              </w:rPr>
            </w:pPr>
            <w:r w:rsidRPr="009448C8">
              <w:rPr>
                <w:b/>
                <w:bCs/>
              </w:rPr>
              <w:t>Year</w:t>
            </w:r>
          </w:p>
        </w:tc>
        <w:tc>
          <w:tcPr>
            <w:tcW w:w="1039" w:type="dxa"/>
            <w:shd w:val="clear" w:color="auto" w:fill="FF0000"/>
          </w:tcPr>
          <w:p w14:paraId="652C295D" w14:textId="77777777" w:rsidR="005F6DC6" w:rsidRPr="009448C8" w:rsidRDefault="005F6DC6" w:rsidP="00E4517F">
            <w:pPr>
              <w:pStyle w:val="NoSpacing"/>
              <w:rPr>
                <w:b/>
                <w:bCs/>
              </w:rPr>
            </w:pPr>
            <w:r w:rsidRPr="009448C8">
              <w:rPr>
                <w:b/>
                <w:bCs/>
              </w:rPr>
              <w:t xml:space="preserve">Total </w:t>
            </w:r>
          </w:p>
          <w:p w14:paraId="6A3BD3C9" w14:textId="77777777" w:rsidR="005F6DC6" w:rsidRPr="009448C8" w:rsidRDefault="005F6DC6" w:rsidP="00E4517F">
            <w:pPr>
              <w:pStyle w:val="NoSpacing"/>
              <w:rPr>
                <w:b/>
                <w:bCs/>
              </w:rPr>
            </w:pPr>
            <w:proofErr w:type="spellStart"/>
            <w:r w:rsidRPr="009448C8">
              <w:rPr>
                <w:b/>
                <w:bCs/>
              </w:rPr>
              <w:t>Alloc</w:t>
            </w:r>
            <w:proofErr w:type="spellEnd"/>
          </w:p>
        </w:tc>
        <w:tc>
          <w:tcPr>
            <w:tcW w:w="921" w:type="dxa"/>
            <w:shd w:val="clear" w:color="auto" w:fill="FF0000"/>
          </w:tcPr>
          <w:p w14:paraId="1438C1A7" w14:textId="77777777" w:rsidR="005F6DC6" w:rsidRPr="009448C8" w:rsidRDefault="005F6DC6" w:rsidP="00E4517F">
            <w:pPr>
              <w:pStyle w:val="NoSpacing"/>
              <w:rPr>
                <w:b/>
                <w:bCs/>
              </w:rPr>
            </w:pPr>
            <w:r w:rsidRPr="009448C8">
              <w:rPr>
                <w:b/>
                <w:bCs/>
              </w:rPr>
              <w:t>Fiji</w:t>
            </w:r>
          </w:p>
        </w:tc>
        <w:tc>
          <w:tcPr>
            <w:tcW w:w="880" w:type="dxa"/>
            <w:shd w:val="clear" w:color="auto" w:fill="FF0000"/>
          </w:tcPr>
          <w:p w14:paraId="6069F244" w14:textId="77777777" w:rsidR="005F6DC6" w:rsidRPr="009448C8" w:rsidRDefault="005F6DC6" w:rsidP="00E4517F">
            <w:pPr>
              <w:pStyle w:val="NoSpacing"/>
              <w:rPr>
                <w:b/>
                <w:bCs/>
              </w:rPr>
            </w:pPr>
            <w:r w:rsidRPr="009448C8">
              <w:rPr>
                <w:b/>
                <w:bCs/>
              </w:rPr>
              <w:t>Kiribati</w:t>
            </w:r>
          </w:p>
        </w:tc>
        <w:tc>
          <w:tcPr>
            <w:tcW w:w="835" w:type="dxa"/>
            <w:shd w:val="clear" w:color="auto" w:fill="FF0000"/>
          </w:tcPr>
          <w:p w14:paraId="5B80094C" w14:textId="77777777" w:rsidR="005F6DC6" w:rsidRPr="009448C8" w:rsidRDefault="005F6DC6" w:rsidP="00E4517F">
            <w:pPr>
              <w:pStyle w:val="NoSpacing"/>
              <w:rPr>
                <w:b/>
                <w:bCs/>
              </w:rPr>
            </w:pPr>
            <w:r w:rsidRPr="009448C8">
              <w:rPr>
                <w:b/>
                <w:bCs/>
              </w:rPr>
              <w:t>Samoa</w:t>
            </w:r>
          </w:p>
        </w:tc>
        <w:tc>
          <w:tcPr>
            <w:tcW w:w="1026" w:type="dxa"/>
            <w:shd w:val="clear" w:color="auto" w:fill="FF0000"/>
          </w:tcPr>
          <w:p w14:paraId="59F18658" w14:textId="77777777" w:rsidR="005F6DC6" w:rsidRPr="009448C8" w:rsidRDefault="005F6DC6" w:rsidP="00E4517F">
            <w:pPr>
              <w:pStyle w:val="NoSpacing"/>
              <w:rPr>
                <w:b/>
                <w:bCs/>
              </w:rPr>
            </w:pPr>
            <w:r w:rsidRPr="009448C8">
              <w:rPr>
                <w:b/>
                <w:bCs/>
              </w:rPr>
              <w:t>Solomon Islands</w:t>
            </w:r>
          </w:p>
        </w:tc>
        <w:tc>
          <w:tcPr>
            <w:tcW w:w="825" w:type="dxa"/>
            <w:shd w:val="clear" w:color="auto" w:fill="FF0000"/>
          </w:tcPr>
          <w:p w14:paraId="21BBC0BA" w14:textId="77777777" w:rsidR="005F6DC6" w:rsidRPr="009448C8" w:rsidRDefault="005F6DC6" w:rsidP="00E4517F">
            <w:pPr>
              <w:pStyle w:val="NoSpacing"/>
              <w:rPr>
                <w:b/>
                <w:bCs/>
              </w:rPr>
            </w:pPr>
            <w:r w:rsidRPr="009448C8">
              <w:rPr>
                <w:b/>
                <w:bCs/>
              </w:rPr>
              <w:t>Tonga</w:t>
            </w:r>
          </w:p>
        </w:tc>
        <w:tc>
          <w:tcPr>
            <w:tcW w:w="993" w:type="dxa"/>
            <w:shd w:val="clear" w:color="auto" w:fill="FF0000"/>
          </w:tcPr>
          <w:p w14:paraId="3ADD627B" w14:textId="77777777" w:rsidR="005F6DC6" w:rsidRPr="009448C8" w:rsidRDefault="005F6DC6" w:rsidP="00E4517F">
            <w:pPr>
              <w:pStyle w:val="NoSpacing"/>
              <w:rPr>
                <w:b/>
                <w:bCs/>
              </w:rPr>
            </w:pPr>
            <w:r w:rsidRPr="009448C8">
              <w:rPr>
                <w:b/>
                <w:bCs/>
              </w:rPr>
              <w:t>Vanuatu</w:t>
            </w:r>
          </w:p>
        </w:tc>
        <w:tc>
          <w:tcPr>
            <w:tcW w:w="844" w:type="dxa"/>
            <w:shd w:val="clear" w:color="auto" w:fill="FF0000"/>
          </w:tcPr>
          <w:p w14:paraId="5A17EA64" w14:textId="77777777" w:rsidR="005F6DC6" w:rsidRPr="009448C8" w:rsidRDefault="005F6DC6" w:rsidP="00E4517F">
            <w:pPr>
              <w:pStyle w:val="NoSpacing"/>
              <w:rPr>
                <w:b/>
                <w:bCs/>
              </w:rPr>
            </w:pPr>
            <w:r w:rsidRPr="009448C8">
              <w:rPr>
                <w:b/>
                <w:bCs/>
              </w:rPr>
              <w:t>RIPs</w:t>
            </w:r>
          </w:p>
        </w:tc>
        <w:tc>
          <w:tcPr>
            <w:tcW w:w="948" w:type="dxa"/>
            <w:shd w:val="clear" w:color="auto" w:fill="FF0000"/>
          </w:tcPr>
          <w:p w14:paraId="6287D2C5" w14:textId="77777777" w:rsidR="005F6DC6" w:rsidRPr="009448C8" w:rsidRDefault="005F6DC6" w:rsidP="00E4517F">
            <w:pPr>
              <w:pStyle w:val="NoSpacing"/>
              <w:rPr>
                <w:b/>
                <w:bCs/>
              </w:rPr>
            </w:pPr>
            <w:r w:rsidRPr="009448C8">
              <w:rPr>
                <w:b/>
                <w:bCs/>
              </w:rPr>
              <w:t>PSRO</w:t>
            </w:r>
          </w:p>
        </w:tc>
      </w:tr>
      <w:tr w:rsidR="005F6DC6" w14:paraId="2B3715DC" w14:textId="77777777" w:rsidTr="005F6DC6">
        <w:tc>
          <w:tcPr>
            <w:tcW w:w="706" w:type="dxa"/>
          </w:tcPr>
          <w:p w14:paraId="185C3D83" w14:textId="77777777" w:rsidR="005F6DC6" w:rsidRPr="0000634A" w:rsidRDefault="005F6DC6" w:rsidP="00E4517F">
            <w:pPr>
              <w:pStyle w:val="NoSpacing"/>
              <w:rPr>
                <w:sz w:val="18"/>
                <w:szCs w:val="18"/>
              </w:rPr>
            </w:pPr>
            <w:r w:rsidRPr="0000634A">
              <w:rPr>
                <w:sz w:val="18"/>
                <w:szCs w:val="18"/>
              </w:rPr>
              <w:t>2018</w:t>
            </w:r>
          </w:p>
        </w:tc>
        <w:tc>
          <w:tcPr>
            <w:tcW w:w="1039" w:type="dxa"/>
          </w:tcPr>
          <w:p w14:paraId="25B07DD8" w14:textId="77777777" w:rsidR="005F6DC6" w:rsidRPr="0000634A" w:rsidRDefault="005F6DC6" w:rsidP="00E4517F">
            <w:pPr>
              <w:pStyle w:val="NoSpacing"/>
              <w:rPr>
                <w:sz w:val="18"/>
                <w:szCs w:val="18"/>
              </w:rPr>
            </w:pPr>
            <w:r w:rsidRPr="0000634A">
              <w:rPr>
                <w:sz w:val="18"/>
                <w:szCs w:val="18"/>
              </w:rPr>
              <w:t>1,615,286</w:t>
            </w:r>
          </w:p>
        </w:tc>
        <w:tc>
          <w:tcPr>
            <w:tcW w:w="921" w:type="dxa"/>
          </w:tcPr>
          <w:p w14:paraId="7ED8843B" w14:textId="77777777" w:rsidR="005F6DC6" w:rsidRPr="0000634A" w:rsidRDefault="005F6DC6" w:rsidP="00E4517F">
            <w:pPr>
              <w:pStyle w:val="NoSpacing"/>
              <w:rPr>
                <w:sz w:val="18"/>
                <w:szCs w:val="18"/>
              </w:rPr>
            </w:pPr>
            <w:r w:rsidRPr="0000634A">
              <w:rPr>
                <w:sz w:val="18"/>
                <w:szCs w:val="18"/>
              </w:rPr>
              <w:t>87,401</w:t>
            </w:r>
          </w:p>
        </w:tc>
        <w:tc>
          <w:tcPr>
            <w:tcW w:w="880" w:type="dxa"/>
          </w:tcPr>
          <w:p w14:paraId="5355D78C" w14:textId="77777777" w:rsidR="005F6DC6" w:rsidRPr="0000634A" w:rsidRDefault="005F6DC6" w:rsidP="00E4517F">
            <w:pPr>
              <w:pStyle w:val="NoSpacing"/>
              <w:rPr>
                <w:sz w:val="18"/>
                <w:szCs w:val="18"/>
              </w:rPr>
            </w:pPr>
            <w:r w:rsidRPr="0000634A">
              <w:rPr>
                <w:sz w:val="18"/>
                <w:szCs w:val="18"/>
              </w:rPr>
              <w:t>-</w:t>
            </w:r>
          </w:p>
        </w:tc>
        <w:tc>
          <w:tcPr>
            <w:tcW w:w="835" w:type="dxa"/>
          </w:tcPr>
          <w:p w14:paraId="1F3B097A" w14:textId="77777777" w:rsidR="005F6DC6" w:rsidRPr="0000634A" w:rsidRDefault="005F6DC6" w:rsidP="00E4517F">
            <w:pPr>
              <w:pStyle w:val="NoSpacing"/>
              <w:rPr>
                <w:sz w:val="18"/>
                <w:szCs w:val="18"/>
              </w:rPr>
            </w:pPr>
            <w:r>
              <w:rPr>
                <w:sz w:val="18"/>
                <w:szCs w:val="18"/>
              </w:rPr>
              <w:t>8</w:t>
            </w:r>
            <w:r w:rsidRPr="0000634A">
              <w:rPr>
                <w:sz w:val="18"/>
                <w:szCs w:val="18"/>
              </w:rPr>
              <w:t>2,000</w:t>
            </w:r>
          </w:p>
        </w:tc>
        <w:tc>
          <w:tcPr>
            <w:tcW w:w="1026" w:type="dxa"/>
          </w:tcPr>
          <w:p w14:paraId="36E74B36" w14:textId="77777777" w:rsidR="005F6DC6" w:rsidRPr="0000634A" w:rsidRDefault="005F6DC6" w:rsidP="00E4517F">
            <w:pPr>
              <w:pStyle w:val="NoSpacing"/>
              <w:rPr>
                <w:sz w:val="18"/>
                <w:szCs w:val="18"/>
              </w:rPr>
            </w:pPr>
            <w:r w:rsidRPr="0000634A">
              <w:rPr>
                <w:sz w:val="18"/>
                <w:szCs w:val="18"/>
              </w:rPr>
              <w:t>80,000</w:t>
            </w:r>
          </w:p>
        </w:tc>
        <w:tc>
          <w:tcPr>
            <w:tcW w:w="825" w:type="dxa"/>
          </w:tcPr>
          <w:p w14:paraId="623D31CE" w14:textId="77777777" w:rsidR="005F6DC6" w:rsidRPr="0000634A" w:rsidRDefault="005F6DC6" w:rsidP="00E4517F">
            <w:pPr>
              <w:pStyle w:val="NoSpacing"/>
              <w:rPr>
                <w:sz w:val="18"/>
                <w:szCs w:val="18"/>
              </w:rPr>
            </w:pPr>
            <w:r w:rsidRPr="0000634A">
              <w:rPr>
                <w:sz w:val="18"/>
                <w:szCs w:val="18"/>
              </w:rPr>
              <w:t>-</w:t>
            </w:r>
          </w:p>
        </w:tc>
        <w:tc>
          <w:tcPr>
            <w:tcW w:w="993" w:type="dxa"/>
          </w:tcPr>
          <w:p w14:paraId="60AC87D9" w14:textId="77777777" w:rsidR="005F6DC6" w:rsidRPr="0000634A" w:rsidRDefault="005F6DC6" w:rsidP="00E4517F">
            <w:pPr>
              <w:pStyle w:val="NoSpacing"/>
              <w:rPr>
                <w:sz w:val="18"/>
                <w:szCs w:val="18"/>
              </w:rPr>
            </w:pPr>
            <w:r w:rsidRPr="0000634A">
              <w:rPr>
                <w:sz w:val="18"/>
                <w:szCs w:val="18"/>
              </w:rPr>
              <w:t>88,096</w:t>
            </w:r>
          </w:p>
        </w:tc>
        <w:tc>
          <w:tcPr>
            <w:tcW w:w="844" w:type="dxa"/>
          </w:tcPr>
          <w:p w14:paraId="55E46BC5" w14:textId="77777777" w:rsidR="005F6DC6" w:rsidRDefault="005F6DC6" w:rsidP="00E4517F">
            <w:pPr>
              <w:pStyle w:val="NoSpacing"/>
              <w:rPr>
                <w:sz w:val="18"/>
                <w:szCs w:val="18"/>
              </w:rPr>
            </w:pPr>
            <w:r>
              <w:rPr>
                <w:sz w:val="18"/>
                <w:szCs w:val="18"/>
              </w:rPr>
              <w:t>61,398</w:t>
            </w:r>
          </w:p>
        </w:tc>
        <w:tc>
          <w:tcPr>
            <w:tcW w:w="948" w:type="dxa"/>
          </w:tcPr>
          <w:p w14:paraId="37073989" w14:textId="77777777" w:rsidR="005F6DC6" w:rsidRPr="0000634A" w:rsidRDefault="005F6DC6" w:rsidP="00E4517F">
            <w:pPr>
              <w:pStyle w:val="NoSpacing"/>
              <w:rPr>
                <w:sz w:val="18"/>
                <w:szCs w:val="18"/>
              </w:rPr>
            </w:pPr>
            <w:r>
              <w:rPr>
                <w:sz w:val="18"/>
                <w:szCs w:val="18"/>
              </w:rPr>
              <w:t>1,266,391</w:t>
            </w:r>
          </w:p>
        </w:tc>
      </w:tr>
      <w:tr w:rsidR="005F6DC6" w14:paraId="3BE22486" w14:textId="77777777" w:rsidTr="005F6DC6">
        <w:tc>
          <w:tcPr>
            <w:tcW w:w="706" w:type="dxa"/>
          </w:tcPr>
          <w:p w14:paraId="7B4E71A2" w14:textId="77777777" w:rsidR="005F6DC6" w:rsidRPr="0000634A" w:rsidRDefault="005F6DC6" w:rsidP="00E4517F">
            <w:pPr>
              <w:pStyle w:val="NoSpacing"/>
              <w:rPr>
                <w:sz w:val="18"/>
                <w:szCs w:val="18"/>
              </w:rPr>
            </w:pPr>
            <w:r w:rsidRPr="0000634A">
              <w:rPr>
                <w:sz w:val="18"/>
                <w:szCs w:val="18"/>
              </w:rPr>
              <w:t>2019</w:t>
            </w:r>
          </w:p>
        </w:tc>
        <w:tc>
          <w:tcPr>
            <w:tcW w:w="1039" w:type="dxa"/>
          </w:tcPr>
          <w:p w14:paraId="0B6A5675" w14:textId="77777777" w:rsidR="005F6DC6" w:rsidRPr="0000634A" w:rsidRDefault="005F6DC6" w:rsidP="00E4517F">
            <w:pPr>
              <w:pStyle w:val="NoSpacing"/>
              <w:rPr>
                <w:sz w:val="18"/>
                <w:szCs w:val="18"/>
              </w:rPr>
            </w:pPr>
            <w:r w:rsidRPr="0000634A">
              <w:rPr>
                <w:sz w:val="18"/>
                <w:szCs w:val="18"/>
              </w:rPr>
              <w:t>3,568,</w:t>
            </w:r>
            <w:r>
              <w:rPr>
                <w:sz w:val="18"/>
                <w:szCs w:val="18"/>
              </w:rPr>
              <w:t xml:space="preserve">781 </w:t>
            </w:r>
          </w:p>
        </w:tc>
        <w:tc>
          <w:tcPr>
            <w:tcW w:w="921" w:type="dxa"/>
          </w:tcPr>
          <w:p w14:paraId="09836AB3" w14:textId="77777777" w:rsidR="005F6DC6" w:rsidRPr="0000634A" w:rsidRDefault="005F6DC6" w:rsidP="00E4517F">
            <w:pPr>
              <w:pStyle w:val="NoSpacing"/>
              <w:rPr>
                <w:sz w:val="18"/>
                <w:szCs w:val="18"/>
              </w:rPr>
            </w:pPr>
            <w:r w:rsidRPr="0000634A">
              <w:rPr>
                <w:sz w:val="18"/>
                <w:szCs w:val="18"/>
              </w:rPr>
              <w:t>402,298</w:t>
            </w:r>
          </w:p>
        </w:tc>
        <w:tc>
          <w:tcPr>
            <w:tcW w:w="880" w:type="dxa"/>
          </w:tcPr>
          <w:p w14:paraId="11A0FE3E" w14:textId="77777777" w:rsidR="005F6DC6" w:rsidRPr="0000634A" w:rsidRDefault="005F6DC6" w:rsidP="00E4517F">
            <w:pPr>
              <w:pStyle w:val="NoSpacing"/>
              <w:rPr>
                <w:sz w:val="18"/>
                <w:szCs w:val="18"/>
              </w:rPr>
            </w:pPr>
            <w:r w:rsidRPr="0000634A">
              <w:rPr>
                <w:sz w:val="18"/>
                <w:szCs w:val="18"/>
              </w:rPr>
              <w:t>380,780</w:t>
            </w:r>
          </w:p>
        </w:tc>
        <w:tc>
          <w:tcPr>
            <w:tcW w:w="835" w:type="dxa"/>
          </w:tcPr>
          <w:p w14:paraId="68464040" w14:textId="77777777" w:rsidR="005F6DC6" w:rsidRPr="0000634A" w:rsidRDefault="005F6DC6" w:rsidP="00E4517F">
            <w:pPr>
              <w:pStyle w:val="NoSpacing"/>
              <w:rPr>
                <w:sz w:val="18"/>
                <w:szCs w:val="18"/>
              </w:rPr>
            </w:pPr>
            <w:r w:rsidRPr="0000634A">
              <w:rPr>
                <w:sz w:val="18"/>
                <w:szCs w:val="18"/>
              </w:rPr>
              <w:t>421,303</w:t>
            </w:r>
          </w:p>
        </w:tc>
        <w:tc>
          <w:tcPr>
            <w:tcW w:w="1026" w:type="dxa"/>
          </w:tcPr>
          <w:p w14:paraId="6A1BCC23" w14:textId="77777777" w:rsidR="005F6DC6" w:rsidRPr="0000634A" w:rsidRDefault="005F6DC6" w:rsidP="00E4517F">
            <w:pPr>
              <w:pStyle w:val="NoSpacing"/>
              <w:rPr>
                <w:sz w:val="18"/>
                <w:szCs w:val="18"/>
              </w:rPr>
            </w:pPr>
            <w:r w:rsidRPr="0000634A">
              <w:rPr>
                <w:sz w:val="18"/>
                <w:szCs w:val="18"/>
              </w:rPr>
              <w:t>162,982</w:t>
            </w:r>
          </w:p>
        </w:tc>
        <w:tc>
          <w:tcPr>
            <w:tcW w:w="825" w:type="dxa"/>
          </w:tcPr>
          <w:p w14:paraId="47734257" w14:textId="77777777" w:rsidR="005F6DC6" w:rsidRPr="0000634A" w:rsidRDefault="005F6DC6" w:rsidP="00E4517F">
            <w:pPr>
              <w:pStyle w:val="NoSpacing"/>
              <w:rPr>
                <w:sz w:val="18"/>
                <w:szCs w:val="18"/>
              </w:rPr>
            </w:pPr>
            <w:r w:rsidRPr="0000634A">
              <w:rPr>
                <w:sz w:val="18"/>
                <w:szCs w:val="18"/>
              </w:rPr>
              <w:t>336,926</w:t>
            </w:r>
          </w:p>
        </w:tc>
        <w:tc>
          <w:tcPr>
            <w:tcW w:w="993" w:type="dxa"/>
          </w:tcPr>
          <w:p w14:paraId="2BC4E577" w14:textId="77777777" w:rsidR="005F6DC6" w:rsidRPr="0000634A" w:rsidRDefault="005F6DC6" w:rsidP="00E4517F">
            <w:pPr>
              <w:pStyle w:val="NoSpacing"/>
              <w:rPr>
                <w:sz w:val="18"/>
                <w:szCs w:val="18"/>
              </w:rPr>
            </w:pPr>
            <w:r w:rsidRPr="0000634A">
              <w:rPr>
                <w:sz w:val="18"/>
                <w:szCs w:val="18"/>
              </w:rPr>
              <w:t>302,400</w:t>
            </w:r>
          </w:p>
        </w:tc>
        <w:tc>
          <w:tcPr>
            <w:tcW w:w="844" w:type="dxa"/>
          </w:tcPr>
          <w:p w14:paraId="3BA3C240" w14:textId="77777777" w:rsidR="005F6DC6" w:rsidRDefault="00F74147" w:rsidP="00E4517F">
            <w:pPr>
              <w:pStyle w:val="NoSpacing"/>
              <w:rPr>
                <w:sz w:val="18"/>
                <w:szCs w:val="18"/>
              </w:rPr>
            </w:pPr>
            <w:r>
              <w:rPr>
                <w:sz w:val="18"/>
                <w:szCs w:val="18"/>
              </w:rPr>
              <w:t>-</w:t>
            </w:r>
          </w:p>
        </w:tc>
        <w:tc>
          <w:tcPr>
            <w:tcW w:w="948" w:type="dxa"/>
          </w:tcPr>
          <w:p w14:paraId="145FD7B0" w14:textId="77777777" w:rsidR="005F6DC6" w:rsidRPr="0000634A" w:rsidRDefault="005F6DC6" w:rsidP="00E4517F">
            <w:pPr>
              <w:pStyle w:val="NoSpacing"/>
              <w:rPr>
                <w:sz w:val="18"/>
                <w:szCs w:val="18"/>
              </w:rPr>
            </w:pPr>
            <w:r>
              <w:rPr>
                <w:sz w:val="18"/>
                <w:szCs w:val="18"/>
              </w:rPr>
              <w:t>3,678.092</w:t>
            </w:r>
          </w:p>
        </w:tc>
      </w:tr>
      <w:tr w:rsidR="005F6DC6" w14:paraId="1616BD9C" w14:textId="77777777" w:rsidTr="005F6DC6">
        <w:tc>
          <w:tcPr>
            <w:tcW w:w="706" w:type="dxa"/>
          </w:tcPr>
          <w:p w14:paraId="6D9FFB40" w14:textId="77777777" w:rsidR="005F6DC6" w:rsidRPr="0000634A" w:rsidRDefault="005F6DC6" w:rsidP="00E4517F">
            <w:pPr>
              <w:pStyle w:val="NoSpacing"/>
              <w:rPr>
                <w:sz w:val="18"/>
                <w:szCs w:val="18"/>
              </w:rPr>
            </w:pPr>
            <w:r w:rsidRPr="0000634A">
              <w:rPr>
                <w:sz w:val="18"/>
                <w:szCs w:val="18"/>
              </w:rPr>
              <w:t>2020 (Aug)</w:t>
            </w:r>
          </w:p>
        </w:tc>
        <w:tc>
          <w:tcPr>
            <w:tcW w:w="1039" w:type="dxa"/>
          </w:tcPr>
          <w:p w14:paraId="2D76A689" w14:textId="77777777" w:rsidR="005F6DC6" w:rsidRPr="0000634A" w:rsidRDefault="005F6DC6" w:rsidP="00E4517F">
            <w:pPr>
              <w:pStyle w:val="NoSpacing"/>
              <w:rPr>
                <w:sz w:val="18"/>
                <w:szCs w:val="18"/>
              </w:rPr>
            </w:pPr>
            <w:r>
              <w:rPr>
                <w:sz w:val="18"/>
                <w:szCs w:val="18"/>
              </w:rPr>
              <w:t xml:space="preserve">8,163,864 </w:t>
            </w:r>
          </w:p>
        </w:tc>
        <w:tc>
          <w:tcPr>
            <w:tcW w:w="921" w:type="dxa"/>
          </w:tcPr>
          <w:p w14:paraId="3BDF98FB" w14:textId="77777777" w:rsidR="005F6DC6" w:rsidRPr="0000634A" w:rsidRDefault="005F6DC6" w:rsidP="00E4517F">
            <w:pPr>
              <w:pStyle w:val="NoSpacing"/>
              <w:rPr>
                <w:sz w:val="18"/>
                <w:szCs w:val="18"/>
              </w:rPr>
            </w:pPr>
            <w:r>
              <w:rPr>
                <w:sz w:val="18"/>
                <w:szCs w:val="18"/>
              </w:rPr>
              <w:t>399,204</w:t>
            </w:r>
          </w:p>
        </w:tc>
        <w:tc>
          <w:tcPr>
            <w:tcW w:w="880" w:type="dxa"/>
          </w:tcPr>
          <w:p w14:paraId="0BFCAC67" w14:textId="77777777" w:rsidR="005F6DC6" w:rsidRPr="0000634A" w:rsidRDefault="005F6DC6" w:rsidP="00E4517F">
            <w:pPr>
              <w:pStyle w:val="NoSpacing"/>
              <w:rPr>
                <w:sz w:val="18"/>
                <w:szCs w:val="18"/>
              </w:rPr>
            </w:pPr>
            <w:r w:rsidRPr="0000634A">
              <w:rPr>
                <w:sz w:val="18"/>
                <w:szCs w:val="18"/>
              </w:rPr>
              <w:t>273,803</w:t>
            </w:r>
          </w:p>
        </w:tc>
        <w:tc>
          <w:tcPr>
            <w:tcW w:w="835" w:type="dxa"/>
          </w:tcPr>
          <w:p w14:paraId="776EAF60" w14:textId="77777777" w:rsidR="005F6DC6" w:rsidRPr="0000634A" w:rsidRDefault="005F6DC6" w:rsidP="00E4517F">
            <w:pPr>
              <w:pStyle w:val="NoSpacing"/>
              <w:rPr>
                <w:sz w:val="18"/>
                <w:szCs w:val="18"/>
              </w:rPr>
            </w:pPr>
            <w:r>
              <w:rPr>
                <w:sz w:val="18"/>
                <w:szCs w:val="18"/>
              </w:rPr>
              <w:t xml:space="preserve">128,304 </w:t>
            </w:r>
          </w:p>
        </w:tc>
        <w:tc>
          <w:tcPr>
            <w:tcW w:w="1026" w:type="dxa"/>
          </w:tcPr>
          <w:p w14:paraId="6C4AEC69" w14:textId="77777777" w:rsidR="005F6DC6" w:rsidRPr="0000634A" w:rsidRDefault="005F6DC6" w:rsidP="00E4517F">
            <w:pPr>
              <w:pStyle w:val="NoSpacing"/>
              <w:rPr>
                <w:sz w:val="18"/>
                <w:szCs w:val="18"/>
              </w:rPr>
            </w:pPr>
            <w:r w:rsidRPr="0000634A">
              <w:rPr>
                <w:sz w:val="18"/>
                <w:szCs w:val="18"/>
              </w:rPr>
              <w:t>336,129</w:t>
            </w:r>
          </w:p>
        </w:tc>
        <w:tc>
          <w:tcPr>
            <w:tcW w:w="825" w:type="dxa"/>
          </w:tcPr>
          <w:p w14:paraId="115C5FC6" w14:textId="77777777" w:rsidR="005F6DC6" w:rsidRPr="0000634A" w:rsidRDefault="005F6DC6" w:rsidP="00E4517F">
            <w:pPr>
              <w:pStyle w:val="NoSpacing"/>
              <w:rPr>
                <w:sz w:val="18"/>
                <w:szCs w:val="18"/>
              </w:rPr>
            </w:pPr>
            <w:r w:rsidRPr="0000634A">
              <w:rPr>
                <w:sz w:val="18"/>
                <w:szCs w:val="18"/>
              </w:rPr>
              <w:t>353,003</w:t>
            </w:r>
          </w:p>
        </w:tc>
        <w:tc>
          <w:tcPr>
            <w:tcW w:w="993" w:type="dxa"/>
          </w:tcPr>
          <w:p w14:paraId="1FD2EA80" w14:textId="77777777" w:rsidR="005F6DC6" w:rsidRPr="0000634A" w:rsidRDefault="005F6DC6" w:rsidP="00E4517F">
            <w:pPr>
              <w:pStyle w:val="NoSpacing"/>
              <w:rPr>
                <w:sz w:val="18"/>
                <w:szCs w:val="18"/>
              </w:rPr>
            </w:pPr>
            <w:r w:rsidRPr="0000634A">
              <w:rPr>
                <w:sz w:val="18"/>
                <w:szCs w:val="18"/>
              </w:rPr>
              <w:t>699,827</w:t>
            </w:r>
          </w:p>
        </w:tc>
        <w:tc>
          <w:tcPr>
            <w:tcW w:w="844" w:type="dxa"/>
          </w:tcPr>
          <w:p w14:paraId="797AF37C" w14:textId="77777777" w:rsidR="005F6DC6" w:rsidRDefault="005F6DC6" w:rsidP="00E4517F">
            <w:pPr>
              <w:pStyle w:val="NoSpacing"/>
              <w:rPr>
                <w:sz w:val="18"/>
                <w:szCs w:val="18"/>
              </w:rPr>
            </w:pPr>
            <w:r>
              <w:rPr>
                <w:sz w:val="18"/>
                <w:szCs w:val="18"/>
              </w:rPr>
              <w:t>3,340,839</w:t>
            </w:r>
          </w:p>
        </w:tc>
        <w:tc>
          <w:tcPr>
            <w:tcW w:w="948" w:type="dxa"/>
          </w:tcPr>
          <w:p w14:paraId="7CDBC4B8" w14:textId="77777777" w:rsidR="005F6DC6" w:rsidRPr="0000634A" w:rsidRDefault="005F6DC6" w:rsidP="00E4517F">
            <w:pPr>
              <w:pStyle w:val="NoSpacing"/>
              <w:rPr>
                <w:sz w:val="18"/>
                <w:szCs w:val="18"/>
              </w:rPr>
            </w:pPr>
            <w:r>
              <w:rPr>
                <w:sz w:val="18"/>
                <w:szCs w:val="18"/>
              </w:rPr>
              <w:t xml:space="preserve">2,633,354 </w:t>
            </w:r>
          </w:p>
        </w:tc>
      </w:tr>
      <w:tr w:rsidR="005F6DC6" w14:paraId="032B025B" w14:textId="77777777" w:rsidTr="005F6DC6">
        <w:tc>
          <w:tcPr>
            <w:tcW w:w="706" w:type="dxa"/>
          </w:tcPr>
          <w:p w14:paraId="0174B968" w14:textId="77777777" w:rsidR="005F6DC6" w:rsidRPr="0000634A" w:rsidRDefault="005F6DC6" w:rsidP="00E4517F">
            <w:pPr>
              <w:pStyle w:val="NoSpacing"/>
              <w:rPr>
                <w:b/>
                <w:bCs/>
                <w:sz w:val="18"/>
                <w:szCs w:val="18"/>
              </w:rPr>
            </w:pPr>
            <w:r w:rsidRPr="0000634A">
              <w:rPr>
                <w:b/>
                <w:bCs/>
                <w:sz w:val="18"/>
                <w:szCs w:val="18"/>
              </w:rPr>
              <w:t>Total</w:t>
            </w:r>
          </w:p>
        </w:tc>
        <w:tc>
          <w:tcPr>
            <w:tcW w:w="1039" w:type="dxa"/>
          </w:tcPr>
          <w:p w14:paraId="75F972F1" w14:textId="77777777" w:rsidR="005F6DC6" w:rsidRPr="0000634A" w:rsidRDefault="005F6DC6" w:rsidP="00E4517F">
            <w:pPr>
              <w:pStyle w:val="NoSpacing"/>
              <w:rPr>
                <w:b/>
                <w:bCs/>
                <w:sz w:val="18"/>
                <w:szCs w:val="18"/>
              </w:rPr>
            </w:pPr>
            <w:r>
              <w:rPr>
                <w:b/>
                <w:bCs/>
                <w:sz w:val="18"/>
                <w:szCs w:val="18"/>
              </w:rPr>
              <w:t xml:space="preserve">15,515,931 </w:t>
            </w:r>
          </w:p>
        </w:tc>
        <w:tc>
          <w:tcPr>
            <w:tcW w:w="921" w:type="dxa"/>
          </w:tcPr>
          <w:p w14:paraId="7DBB6F2D" w14:textId="77777777" w:rsidR="005F6DC6" w:rsidRPr="0000634A" w:rsidRDefault="005F6DC6" w:rsidP="00E4517F">
            <w:pPr>
              <w:pStyle w:val="NoSpacing"/>
              <w:rPr>
                <w:b/>
                <w:bCs/>
                <w:sz w:val="18"/>
                <w:szCs w:val="18"/>
              </w:rPr>
            </w:pPr>
            <w:r>
              <w:rPr>
                <w:b/>
                <w:bCs/>
                <w:sz w:val="18"/>
                <w:szCs w:val="18"/>
              </w:rPr>
              <w:t xml:space="preserve">888,903 </w:t>
            </w:r>
          </w:p>
        </w:tc>
        <w:tc>
          <w:tcPr>
            <w:tcW w:w="880" w:type="dxa"/>
          </w:tcPr>
          <w:p w14:paraId="1AA4FED2" w14:textId="77777777" w:rsidR="005F6DC6" w:rsidRPr="0000634A" w:rsidRDefault="005F6DC6" w:rsidP="00E4517F">
            <w:pPr>
              <w:pStyle w:val="NoSpacing"/>
              <w:rPr>
                <w:b/>
                <w:bCs/>
                <w:sz w:val="18"/>
                <w:szCs w:val="18"/>
              </w:rPr>
            </w:pPr>
            <w:r w:rsidRPr="0000634A">
              <w:rPr>
                <w:b/>
                <w:bCs/>
                <w:sz w:val="18"/>
                <w:szCs w:val="18"/>
              </w:rPr>
              <w:t>654,583</w:t>
            </w:r>
          </w:p>
        </w:tc>
        <w:tc>
          <w:tcPr>
            <w:tcW w:w="835" w:type="dxa"/>
          </w:tcPr>
          <w:p w14:paraId="46D0804D" w14:textId="77777777" w:rsidR="005F6DC6" w:rsidRPr="0000634A" w:rsidRDefault="005F6DC6" w:rsidP="00E4517F">
            <w:pPr>
              <w:pStyle w:val="NoSpacing"/>
              <w:rPr>
                <w:b/>
                <w:bCs/>
                <w:sz w:val="18"/>
                <w:szCs w:val="18"/>
              </w:rPr>
            </w:pPr>
            <w:r>
              <w:rPr>
                <w:b/>
                <w:bCs/>
                <w:sz w:val="18"/>
                <w:szCs w:val="18"/>
              </w:rPr>
              <w:t xml:space="preserve">631,607 </w:t>
            </w:r>
          </w:p>
        </w:tc>
        <w:tc>
          <w:tcPr>
            <w:tcW w:w="1026" w:type="dxa"/>
          </w:tcPr>
          <w:p w14:paraId="47D6E4C9" w14:textId="77777777" w:rsidR="005F6DC6" w:rsidRPr="0000634A" w:rsidRDefault="005F6DC6" w:rsidP="00E4517F">
            <w:pPr>
              <w:pStyle w:val="NoSpacing"/>
              <w:rPr>
                <w:b/>
                <w:bCs/>
                <w:sz w:val="18"/>
                <w:szCs w:val="18"/>
              </w:rPr>
            </w:pPr>
            <w:r w:rsidRPr="0000634A">
              <w:rPr>
                <w:b/>
                <w:bCs/>
                <w:sz w:val="18"/>
                <w:szCs w:val="18"/>
              </w:rPr>
              <w:t>579,111</w:t>
            </w:r>
          </w:p>
        </w:tc>
        <w:tc>
          <w:tcPr>
            <w:tcW w:w="825" w:type="dxa"/>
          </w:tcPr>
          <w:p w14:paraId="1A13D28E" w14:textId="77777777" w:rsidR="005F6DC6" w:rsidRPr="0000634A" w:rsidRDefault="005F6DC6" w:rsidP="00E4517F">
            <w:pPr>
              <w:pStyle w:val="NoSpacing"/>
              <w:rPr>
                <w:b/>
                <w:bCs/>
                <w:sz w:val="18"/>
                <w:szCs w:val="18"/>
              </w:rPr>
            </w:pPr>
            <w:r w:rsidRPr="0000634A">
              <w:rPr>
                <w:b/>
                <w:bCs/>
                <w:sz w:val="18"/>
                <w:szCs w:val="18"/>
              </w:rPr>
              <w:t>689,929</w:t>
            </w:r>
          </w:p>
        </w:tc>
        <w:tc>
          <w:tcPr>
            <w:tcW w:w="993" w:type="dxa"/>
          </w:tcPr>
          <w:p w14:paraId="05815BC5" w14:textId="77777777" w:rsidR="005F6DC6" w:rsidRPr="0000634A" w:rsidRDefault="005F6DC6" w:rsidP="00E4517F">
            <w:pPr>
              <w:pStyle w:val="NoSpacing"/>
              <w:rPr>
                <w:b/>
                <w:bCs/>
                <w:sz w:val="18"/>
                <w:szCs w:val="18"/>
              </w:rPr>
            </w:pPr>
            <w:r w:rsidRPr="0000634A">
              <w:rPr>
                <w:b/>
                <w:bCs/>
                <w:sz w:val="18"/>
                <w:szCs w:val="18"/>
              </w:rPr>
              <w:t>1,090,323</w:t>
            </w:r>
          </w:p>
        </w:tc>
        <w:tc>
          <w:tcPr>
            <w:tcW w:w="844" w:type="dxa"/>
          </w:tcPr>
          <w:p w14:paraId="4EAA414C" w14:textId="77777777" w:rsidR="005F6DC6" w:rsidRDefault="005F6DC6" w:rsidP="00E4517F">
            <w:pPr>
              <w:pStyle w:val="NoSpacing"/>
              <w:rPr>
                <w:b/>
                <w:bCs/>
                <w:sz w:val="18"/>
                <w:szCs w:val="18"/>
              </w:rPr>
            </w:pPr>
            <w:r>
              <w:rPr>
                <w:b/>
                <w:bCs/>
                <w:sz w:val="18"/>
                <w:szCs w:val="18"/>
              </w:rPr>
              <w:t>3,402,237</w:t>
            </w:r>
          </w:p>
        </w:tc>
        <w:tc>
          <w:tcPr>
            <w:tcW w:w="948" w:type="dxa"/>
          </w:tcPr>
          <w:p w14:paraId="7497EB4E" w14:textId="77777777" w:rsidR="005F6DC6" w:rsidRPr="0000634A" w:rsidRDefault="005F6DC6" w:rsidP="00E4517F">
            <w:pPr>
              <w:pStyle w:val="NoSpacing"/>
              <w:rPr>
                <w:b/>
                <w:bCs/>
                <w:sz w:val="18"/>
                <w:szCs w:val="18"/>
              </w:rPr>
            </w:pPr>
            <w:r>
              <w:rPr>
                <w:b/>
                <w:bCs/>
                <w:sz w:val="18"/>
                <w:szCs w:val="18"/>
              </w:rPr>
              <w:t xml:space="preserve">7,577,837 </w:t>
            </w:r>
          </w:p>
        </w:tc>
      </w:tr>
      <w:tr w:rsidR="005F6DC6" w14:paraId="4132758D" w14:textId="77777777" w:rsidTr="005F6DC6">
        <w:tc>
          <w:tcPr>
            <w:tcW w:w="706" w:type="dxa"/>
          </w:tcPr>
          <w:p w14:paraId="240609A5" w14:textId="77777777" w:rsidR="005F6DC6" w:rsidRPr="0000634A" w:rsidRDefault="005F6DC6" w:rsidP="00E4517F">
            <w:pPr>
              <w:pStyle w:val="NoSpacing"/>
              <w:rPr>
                <w:b/>
                <w:bCs/>
                <w:sz w:val="18"/>
                <w:szCs w:val="18"/>
              </w:rPr>
            </w:pPr>
            <w:r>
              <w:rPr>
                <w:b/>
                <w:bCs/>
                <w:sz w:val="18"/>
                <w:szCs w:val="18"/>
              </w:rPr>
              <w:t>% total</w:t>
            </w:r>
          </w:p>
        </w:tc>
        <w:tc>
          <w:tcPr>
            <w:tcW w:w="1039" w:type="dxa"/>
          </w:tcPr>
          <w:p w14:paraId="16ACB558" w14:textId="77777777" w:rsidR="005F6DC6" w:rsidRPr="0000634A" w:rsidRDefault="005F6DC6" w:rsidP="00E4517F">
            <w:pPr>
              <w:pStyle w:val="NoSpacing"/>
              <w:rPr>
                <w:b/>
                <w:bCs/>
                <w:sz w:val="18"/>
                <w:szCs w:val="18"/>
              </w:rPr>
            </w:pPr>
            <w:r>
              <w:rPr>
                <w:b/>
                <w:bCs/>
                <w:sz w:val="18"/>
                <w:szCs w:val="18"/>
              </w:rPr>
              <w:t>100%</w:t>
            </w:r>
          </w:p>
        </w:tc>
        <w:tc>
          <w:tcPr>
            <w:tcW w:w="921" w:type="dxa"/>
          </w:tcPr>
          <w:p w14:paraId="7AB5B680" w14:textId="77777777" w:rsidR="005F6DC6" w:rsidRPr="0000634A" w:rsidRDefault="005F6DC6" w:rsidP="00E4517F">
            <w:pPr>
              <w:pStyle w:val="NoSpacing"/>
              <w:rPr>
                <w:b/>
                <w:bCs/>
                <w:sz w:val="18"/>
                <w:szCs w:val="18"/>
              </w:rPr>
            </w:pPr>
            <w:r>
              <w:rPr>
                <w:b/>
                <w:bCs/>
                <w:sz w:val="18"/>
                <w:szCs w:val="18"/>
              </w:rPr>
              <w:t xml:space="preserve">6% </w:t>
            </w:r>
          </w:p>
        </w:tc>
        <w:tc>
          <w:tcPr>
            <w:tcW w:w="880" w:type="dxa"/>
          </w:tcPr>
          <w:p w14:paraId="28273BEC" w14:textId="77777777" w:rsidR="005F6DC6" w:rsidRPr="0000634A" w:rsidRDefault="005F6DC6" w:rsidP="00E4517F">
            <w:pPr>
              <w:pStyle w:val="NoSpacing"/>
              <w:rPr>
                <w:b/>
                <w:bCs/>
                <w:sz w:val="18"/>
                <w:szCs w:val="18"/>
              </w:rPr>
            </w:pPr>
            <w:r>
              <w:rPr>
                <w:b/>
                <w:bCs/>
                <w:sz w:val="18"/>
                <w:szCs w:val="18"/>
              </w:rPr>
              <w:t xml:space="preserve">4% </w:t>
            </w:r>
          </w:p>
        </w:tc>
        <w:tc>
          <w:tcPr>
            <w:tcW w:w="835" w:type="dxa"/>
          </w:tcPr>
          <w:p w14:paraId="0432841C" w14:textId="77777777" w:rsidR="005F6DC6" w:rsidRPr="0000634A" w:rsidRDefault="005F6DC6" w:rsidP="00E4517F">
            <w:pPr>
              <w:pStyle w:val="NoSpacing"/>
              <w:rPr>
                <w:b/>
                <w:bCs/>
                <w:sz w:val="18"/>
                <w:szCs w:val="18"/>
              </w:rPr>
            </w:pPr>
            <w:r>
              <w:rPr>
                <w:b/>
                <w:bCs/>
                <w:sz w:val="18"/>
                <w:szCs w:val="18"/>
              </w:rPr>
              <w:t xml:space="preserve">4% </w:t>
            </w:r>
          </w:p>
        </w:tc>
        <w:tc>
          <w:tcPr>
            <w:tcW w:w="1026" w:type="dxa"/>
          </w:tcPr>
          <w:p w14:paraId="2102E291" w14:textId="77777777" w:rsidR="005F6DC6" w:rsidRPr="0000634A" w:rsidRDefault="005F6DC6" w:rsidP="00E4517F">
            <w:pPr>
              <w:pStyle w:val="NoSpacing"/>
              <w:rPr>
                <w:b/>
                <w:bCs/>
                <w:sz w:val="18"/>
                <w:szCs w:val="18"/>
              </w:rPr>
            </w:pPr>
            <w:r>
              <w:rPr>
                <w:b/>
                <w:bCs/>
                <w:sz w:val="18"/>
                <w:szCs w:val="18"/>
              </w:rPr>
              <w:t xml:space="preserve">4% </w:t>
            </w:r>
          </w:p>
        </w:tc>
        <w:tc>
          <w:tcPr>
            <w:tcW w:w="825" w:type="dxa"/>
          </w:tcPr>
          <w:p w14:paraId="06BA9797" w14:textId="77777777" w:rsidR="005F6DC6" w:rsidRPr="0000634A" w:rsidRDefault="005F6DC6" w:rsidP="00E4517F">
            <w:pPr>
              <w:pStyle w:val="NoSpacing"/>
              <w:rPr>
                <w:b/>
                <w:bCs/>
                <w:sz w:val="18"/>
                <w:szCs w:val="18"/>
              </w:rPr>
            </w:pPr>
            <w:r>
              <w:rPr>
                <w:b/>
                <w:bCs/>
                <w:sz w:val="18"/>
                <w:szCs w:val="18"/>
              </w:rPr>
              <w:t xml:space="preserve">4% </w:t>
            </w:r>
          </w:p>
        </w:tc>
        <w:tc>
          <w:tcPr>
            <w:tcW w:w="993" w:type="dxa"/>
          </w:tcPr>
          <w:p w14:paraId="3F563733" w14:textId="77777777" w:rsidR="005F6DC6" w:rsidRPr="0000634A" w:rsidRDefault="005F6DC6" w:rsidP="00E4517F">
            <w:pPr>
              <w:pStyle w:val="NoSpacing"/>
              <w:rPr>
                <w:b/>
                <w:bCs/>
                <w:sz w:val="18"/>
                <w:szCs w:val="18"/>
              </w:rPr>
            </w:pPr>
            <w:r>
              <w:rPr>
                <w:b/>
                <w:bCs/>
                <w:sz w:val="18"/>
                <w:szCs w:val="18"/>
              </w:rPr>
              <w:t xml:space="preserve">7% </w:t>
            </w:r>
          </w:p>
        </w:tc>
        <w:tc>
          <w:tcPr>
            <w:tcW w:w="844" w:type="dxa"/>
          </w:tcPr>
          <w:p w14:paraId="699073F8" w14:textId="77777777" w:rsidR="005F6DC6" w:rsidRDefault="005F6DC6" w:rsidP="00E4517F">
            <w:pPr>
              <w:pStyle w:val="NoSpacing"/>
              <w:rPr>
                <w:b/>
                <w:bCs/>
                <w:sz w:val="18"/>
                <w:szCs w:val="18"/>
              </w:rPr>
            </w:pPr>
            <w:r>
              <w:rPr>
                <w:b/>
                <w:bCs/>
                <w:sz w:val="18"/>
                <w:szCs w:val="18"/>
              </w:rPr>
              <w:t>22%</w:t>
            </w:r>
          </w:p>
        </w:tc>
        <w:tc>
          <w:tcPr>
            <w:tcW w:w="948" w:type="dxa"/>
          </w:tcPr>
          <w:p w14:paraId="65BDE621" w14:textId="77777777" w:rsidR="005F6DC6" w:rsidRDefault="005F6DC6" w:rsidP="00E4517F">
            <w:pPr>
              <w:pStyle w:val="NoSpacing"/>
              <w:rPr>
                <w:b/>
                <w:bCs/>
                <w:sz w:val="18"/>
                <w:szCs w:val="18"/>
              </w:rPr>
            </w:pPr>
            <w:r>
              <w:rPr>
                <w:b/>
                <w:bCs/>
                <w:sz w:val="18"/>
                <w:szCs w:val="18"/>
              </w:rPr>
              <w:t xml:space="preserve">49% </w:t>
            </w:r>
          </w:p>
        </w:tc>
      </w:tr>
    </w:tbl>
    <w:p w14:paraId="47D47BD6" w14:textId="77777777" w:rsidR="001672E0" w:rsidRPr="00162693" w:rsidRDefault="002D46EC" w:rsidP="00B17B41">
      <w:pPr>
        <w:rPr>
          <w:b/>
          <w:bCs/>
          <w:sz w:val="18"/>
          <w:szCs w:val="18"/>
        </w:rPr>
      </w:pPr>
      <w:r w:rsidRPr="00162693">
        <w:rPr>
          <w:b/>
          <w:bCs/>
          <w:sz w:val="18"/>
          <w:szCs w:val="18"/>
        </w:rPr>
        <w:t>Source:  PSRO Summary of Allocation</w:t>
      </w:r>
      <w:r w:rsidR="00162693">
        <w:rPr>
          <w:b/>
          <w:bCs/>
          <w:sz w:val="18"/>
          <w:szCs w:val="18"/>
        </w:rPr>
        <w:t xml:space="preserve"> and</w:t>
      </w:r>
      <w:r w:rsidRPr="00162693">
        <w:rPr>
          <w:b/>
          <w:bCs/>
          <w:sz w:val="18"/>
          <w:szCs w:val="18"/>
        </w:rPr>
        <w:t xml:space="preserve"> Expendi</w:t>
      </w:r>
      <w:r w:rsidR="00162693" w:rsidRPr="00162693">
        <w:rPr>
          <w:b/>
          <w:bCs/>
          <w:sz w:val="18"/>
          <w:szCs w:val="18"/>
        </w:rPr>
        <w:t>ture</w:t>
      </w:r>
    </w:p>
    <w:p w14:paraId="3D9FA3DF" w14:textId="77777777" w:rsidR="00EC0DFA" w:rsidRDefault="00EC0DFA" w:rsidP="00497F38">
      <w:pPr>
        <w:pStyle w:val="NoSpacing"/>
      </w:pPr>
    </w:p>
    <w:p w14:paraId="305E87C4" w14:textId="77777777" w:rsidR="00BF183B" w:rsidRDefault="00BF183B" w:rsidP="00BF183B">
      <w:pPr>
        <w:pStyle w:val="NoSpacing"/>
      </w:pPr>
      <w:r>
        <w:t xml:space="preserve">Given the necessary focus of the TA program on </w:t>
      </w:r>
      <w:r w:rsidR="005358A7">
        <w:t xml:space="preserve">FP/SRH </w:t>
      </w:r>
      <w:r>
        <w:t>service delivery, and the training needs of rural, remote and outer islands</w:t>
      </w:r>
      <w:r w:rsidR="00E0676A">
        <w:t>’</w:t>
      </w:r>
      <w:r>
        <w:t xml:space="preserve"> SDP staff, countries with a large number of SDPs and remote SDPs should be prioritised </w:t>
      </w:r>
      <w:proofErr w:type="gramStart"/>
      <w:r>
        <w:t>e.g.</w:t>
      </w:r>
      <w:proofErr w:type="gramEnd"/>
      <w:r>
        <w:t xml:space="preserve"> Kiribati, Solomon Islands and Vanuatu. The cost of dissemination of information and IEC should be factored in</w:t>
      </w:r>
      <w:r w:rsidR="004D7E88">
        <w:t>,</w:t>
      </w:r>
      <w:r>
        <w:t xml:space="preserve"> </w:t>
      </w:r>
      <w:r w:rsidR="004D7E88">
        <w:t xml:space="preserve">including </w:t>
      </w:r>
      <w:r>
        <w:t xml:space="preserve">local groups </w:t>
      </w:r>
      <w:r w:rsidR="00EE1FEF">
        <w:t xml:space="preserve">such as civil society organisations </w:t>
      </w:r>
      <w:r w:rsidR="00E708BB">
        <w:t>(community leaders, women’s and youth groups)</w:t>
      </w:r>
      <w:r w:rsidR="004D7E88">
        <w:t xml:space="preserve"> who</w:t>
      </w:r>
      <w:r w:rsidR="00E708BB">
        <w:t xml:space="preserve"> </w:t>
      </w:r>
      <w:r>
        <w:t>can be engaged and trained.</w:t>
      </w:r>
    </w:p>
    <w:p w14:paraId="358B374E" w14:textId="77777777" w:rsidR="00BF183B" w:rsidRDefault="00BF183B" w:rsidP="00497F38">
      <w:pPr>
        <w:pStyle w:val="NoSpacing"/>
      </w:pPr>
    </w:p>
    <w:p w14:paraId="38D581A7" w14:textId="77777777" w:rsidR="00EE1FEF" w:rsidRDefault="00EE1FEF" w:rsidP="00EE1FEF">
      <w:pPr>
        <w:pStyle w:val="NoSpacing"/>
      </w:pPr>
      <w:r>
        <w:t xml:space="preserve">Fund allocation for all three outcome areas was intended to be almost equal (20% on each </w:t>
      </w:r>
      <w:r w:rsidR="000F4197">
        <w:t xml:space="preserve">of the three </w:t>
      </w:r>
      <w:r>
        <w:t>Outcome area</w:t>
      </w:r>
      <w:r w:rsidR="00EE6D55">
        <w:t>s</w:t>
      </w:r>
      <w:r>
        <w:t xml:space="preserve"> and 40% on PSRO costs</w:t>
      </w:r>
      <w:r w:rsidR="000F4197">
        <w:t xml:space="preserve"> including staff</w:t>
      </w:r>
      <w:r w:rsidR="00EE6D55">
        <w:t>ing costs</w:t>
      </w:r>
      <w:r>
        <w:t>)</w:t>
      </w:r>
      <w:r w:rsidR="000F4197">
        <w:rPr>
          <w:rStyle w:val="FootnoteReference"/>
        </w:rPr>
        <w:footnoteReference w:id="29"/>
      </w:r>
      <w:r>
        <w:t xml:space="preserve">. </w:t>
      </w:r>
      <w:r w:rsidR="004D7E88">
        <w:t xml:space="preserve">Annex 8, </w:t>
      </w:r>
      <w:r>
        <w:t xml:space="preserve">Table 3 estimates the proportion of expended </w:t>
      </w:r>
      <w:r>
        <w:lastRenderedPageBreak/>
        <w:t xml:space="preserve">funds by outcome/output in 2018-2019. This shows that 26% was spent on Supply; 8% spent on Demand; 27% spent on Enabling Environment and 39% spent on management. The recommendation for an increased focus on FP Supply and Demand (see recommendation </w:t>
      </w:r>
      <w:r w:rsidR="004D7E88">
        <w:t>10</w:t>
      </w:r>
      <w:r>
        <w:t xml:space="preserve"> below) will also require an increase in </w:t>
      </w:r>
      <w:r w:rsidR="004D7E88">
        <w:t xml:space="preserve">the proportion of </w:t>
      </w:r>
      <w:r>
        <w:t xml:space="preserve">funding for these activities. Some funding for Outcome 3 activities (Enabling Environment) could be reduced from the TA program budget, however, funding for advocacy for FP/SRH at national/political levels SRHR policy support and data collection/analysis through strengthening the MOH HIS should continue . </w:t>
      </w:r>
      <w:r w:rsidR="001E3714">
        <w:t xml:space="preserve">National population monitoring through NSOs (DHS, MICS, Census etc) can be supported by other development partner programs and analysis still used for TA MEF results. </w:t>
      </w:r>
      <w:r w:rsidR="00C54307">
        <w:t xml:space="preserve">Section 5.2 of this report lists priority activities; and Annex </w:t>
      </w:r>
      <w:r w:rsidR="000F4197">
        <w:t>9</w:t>
      </w:r>
      <w:r w:rsidR="00C54307">
        <w:t xml:space="preserve"> lists interventions which could be retained and those which </w:t>
      </w:r>
      <w:r w:rsidR="00EE6D55">
        <w:t xml:space="preserve">could </w:t>
      </w:r>
      <w:r w:rsidR="00C54307">
        <w:t xml:space="preserve">be dropped in the interest of achieving </w:t>
      </w:r>
      <w:r w:rsidR="00EE6D55">
        <w:t xml:space="preserve">targets and </w:t>
      </w:r>
      <w:r w:rsidR="00EB211D">
        <w:t xml:space="preserve">FP-related </w:t>
      </w:r>
      <w:r w:rsidR="00C54307">
        <w:t>results within the remaining timeframe</w:t>
      </w:r>
      <w:r w:rsidR="00EE6D55">
        <w:t xml:space="preserve"> of the TA program</w:t>
      </w:r>
      <w:r w:rsidR="00C54307">
        <w:t>.</w:t>
      </w:r>
    </w:p>
    <w:p w14:paraId="71DBC718" w14:textId="77777777" w:rsidR="00EE1FEF" w:rsidRDefault="00EE1FEF" w:rsidP="00EE1FEF">
      <w:pPr>
        <w:pStyle w:val="NoSpacing"/>
        <w:rPr>
          <w:lang w:val="en-US"/>
        </w:rPr>
      </w:pPr>
    </w:p>
    <w:p w14:paraId="1771E559" w14:textId="77777777" w:rsidR="00923B56" w:rsidRDefault="00923B56" w:rsidP="00923B56">
      <w:pPr>
        <w:pStyle w:val="NoSpacing"/>
      </w:pPr>
      <w:r>
        <w:rPr>
          <w:lang w:val="en-US"/>
        </w:rPr>
        <w:t xml:space="preserve">Some </w:t>
      </w:r>
      <w:r w:rsidR="004D7E88">
        <w:rPr>
          <w:lang w:val="en-US"/>
        </w:rPr>
        <w:t xml:space="preserve">of the </w:t>
      </w:r>
      <w:r>
        <w:rPr>
          <w:lang w:val="en-US"/>
        </w:rPr>
        <w:t>planned a</w:t>
      </w:r>
      <w:r w:rsidRPr="0050236C">
        <w:rPr>
          <w:lang w:val="en-US"/>
        </w:rPr>
        <w:t xml:space="preserve">ctivities </w:t>
      </w:r>
      <w:r w:rsidRPr="00287E77">
        <w:rPr>
          <w:lang w:val="en-US"/>
        </w:rPr>
        <w:t>from all output areas</w:t>
      </w:r>
      <w:r>
        <w:rPr>
          <w:lang w:val="en-US"/>
        </w:rPr>
        <w:t>,</w:t>
      </w:r>
      <w:r w:rsidRPr="0050236C">
        <w:rPr>
          <w:lang w:val="en-US"/>
        </w:rPr>
        <w:t xml:space="preserve"> </w:t>
      </w:r>
      <w:r w:rsidR="004D7E88">
        <w:rPr>
          <w:lang w:val="en-US"/>
        </w:rPr>
        <w:t xml:space="preserve">if </w:t>
      </w:r>
      <w:r>
        <w:rPr>
          <w:lang w:val="en-US"/>
        </w:rPr>
        <w:t>discontinued following review, could</w:t>
      </w:r>
      <w:r w:rsidRPr="0050236C">
        <w:rPr>
          <w:lang w:val="en-US"/>
        </w:rPr>
        <w:t xml:space="preserve"> effectively</w:t>
      </w:r>
      <w:r>
        <w:rPr>
          <w:lang w:val="en-US"/>
        </w:rPr>
        <w:t xml:space="preserve"> be</w:t>
      </w:r>
      <w:r w:rsidRPr="0050236C">
        <w:rPr>
          <w:lang w:val="en-US"/>
        </w:rPr>
        <w:t xml:space="preserve"> taken forward by other funding streams </w:t>
      </w:r>
      <w:r>
        <w:rPr>
          <w:lang w:val="en-US"/>
        </w:rPr>
        <w:t>and programs</w:t>
      </w:r>
      <w:r w:rsidR="00FD3F09">
        <w:rPr>
          <w:lang w:val="en-US"/>
        </w:rPr>
        <w:t xml:space="preserve"> (</w:t>
      </w:r>
      <w:proofErr w:type="gramStart"/>
      <w:r w:rsidRPr="0050236C">
        <w:rPr>
          <w:lang w:val="en-US"/>
        </w:rPr>
        <w:t>e.g.</w:t>
      </w:r>
      <w:proofErr w:type="gramEnd"/>
      <w:r w:rsidRPr="0050236C">
        <w:rPr>
          <w:lang w:val="en-US"/>
        </w:rPr>
        <w:t xml:space="preserve"> MISP training </w:t>
      </w:r>
      <w:r w:rsidR="00C54307">
        <w:rPr>
          <w:lang w:val="en-US"/>
        </w:rPr>
        <w:t xml:space="preserve">to continue </w:t>
      </w:r>
      <w:r w:rsidRPr="0050236C">
        <w:rPr>
          <w:lang w:val="en-US"/>
        </w:rPr>
        <w:t>under IPPF SPRINT</w:t>
      </w:r>
      <w:r>
        <w:rPr>
          <w:lang w:val="en-US"/>
        </w:rPr>
        <w:t xml:space="preserve"> II</w:t>
      </w:r>
      <w:r w:rsidRPr="0050236C">
        <w:rPr>
          <w:lang w:val="en-US"/>
        </w:rPr>
        <w:t xml:space="preserve">; other humanitarian interventions </w:t>
      </w:r>
      <w:r w:rsidR="00C54307">
        <w:rPr>
          <w:lang w:val="en-US"/>
        </w:rPr>
        <w:t xml:space="preserve">continue </w:t>
      </w:r>
      <w:r w:rsidRPr="0050236C">
        <w:rPr>
          <w:lang w:val="en-US"/>
        </w:rPr>
        <w:t>under SPR6, strengthening of national statistics agencies under SPR6</w:t>
      </w:r>
      <w:r w:rsidR="00EB211D">
        <w:rPr>
          <w:lang w:val="en-US"/>
        </w:rPr>
        <w:t xml:space="preserve"> and other development partner</w:t>
      </w:r>
      <w:r w:rsidR="001E3714">
        <w:rPr>
          <w:lang w:val="en-US"/>
        </w:rPr>
        <w:t xml:space="preserve"> program</w:t>
      </w:r>
      <w:r w:rsidR="00EB211D">
        <w:rPr>
          <w:lang w:val="en-US"/>
        </w:rPr>
        <w:t>s</w:t>
      </w:r>
      <w:r w:rsidRPr="0050236C">
        <w:rPr>
          <w:lang w:val="en-US"/>
        </w:rPr>
        <w:t>; and GBV training (apart from GBV care from health facilities) under Spotlight/SPR6</w:t>
      </w:r>
      <w:r w:rsidR="00FD3F09">
        <w:rPr>
          <w:lang w:val="en-US"/>
        </w:rPr>
        <w:t>)</w:t>
      </w:r>
      <w:r w:rsidRPr="0050236C">
        <w:rPr>
          <w:lang w:val="en-US"/>
        </w:rPr>
        <w:t>.</w:t>
      </w:r>
      <w:r>
        <w:rPr>
          <w:lang w:val="en-US"/>
        </w:rPr>
        <w:t xml:space="preserve"> </w:t>
      </w:r>
      <w:r w:rsidR="004B7225">
        <w:rPr>
          <w:lang w:val="en-US"/>
        </w:rPr>
        <w:t>Note: MISP training and kits will be provided for SDP staff as part of integrated SRHR.</w:t>
      </w:r>
      <w:r w:rsidR="001E3714">
        <w:rPr>
          <w:lang w:val="en-US"/>
        </w:rPr>
        <w:t xml:space="preserve"> </w:t>
      </w:r>
      <w:r w:rsidR="004B7225">
        <w:rPr>
          <w:lang w:val="en-US"/>
        </w:rPr>
        <w:t xml:space="preserve"> </w:t>
      </w:r>
    </w:p>
    <w:p w14:paraId="0778441A" w14:textId="77777777" w:rsidR="00923B56" w:rsidRDefault="00923B56" w:rsidP="00923B56">
      <w:pPr>
        <w:pStyle w:val="NoSpacing"/>
        <w:rPr>
          <w:b/>
          <w:bCs/>
        </w:rPr>
      </w:pPr>
    </w:p>
    <w:p w14:paraId="2BD958D6" w14:textId="77777777" w:rsidR="00923B56" w:rsidRDefault="00923B56" w:rsidP="00923B56">
      <w:pPr>
        <w:pStyle w:val="NoSpacing"/>
      </w:pPr>
      <w:r w:rsidRPr="00655C16">
        <w:rPr>
          <w:b/>
          <w:bCs/>
          <w:i/>
          <w:iCs/>
        </w:rPr>
        <w:t>Recommendation</w:t>
      </w:r>
      <w:r w:rsidR="008A02D5">
        <w:rPr>
          <w:b/>
          <w:bCs/>
          <w:i/>
          <w:iCs/>
        </w:rPr>
        <w:t xml:space="preserve"> </w:t>
      </w:r>
      <w:r w:rsidR="004B7225">
        <w:rPr>
          <w:b/>
          <w:bCs/>
          <w:i/>
          <w:iCs/>
        </w:rPr>
        <w:t>11</w:t>
      </w:r>
      <w:r w:rsidRPr="00655C16">
        <w:rPr>
          <w:b/>
          <w:bCs/>
          <w:i/>
          <w:iCs/>
        </w:rPr>
        <w:t>:</w:t>
      </w:r>
      <w:r w:rsidRPr="00B06681">
        <w:rPr>
          <w:b/>
          <w:bCs/>
        </w:rPr>
        <w:t xml:space="preserve">  </w:t>
      </w:r>
      <w:r w:rsidRPr="0050236C">
        <w:t>The TA</w:t>
      </w:r>
      <w:r>
        <w:t xml:space="preserve"> program</w:t>
      </w:r>
      <w:r w:rsidRPr="0050236C">
        <w:t xml:space="preserve"> needs to focus </w:t>
      </w:r>
      <w:r w:rsidRPr="00287E77">
        <w:t>predominantly</w:t>
      </w:r>
      <w:r w:rsidRPr="0050236C">
        <w:t xml:space="preserve"> on the two outcome areas of </w:t>
      </w:r>
      <w:r>
        <w:t>FP</w:t>
      </w:r>
      <w:r w:rsidRPr="0050236C">
        <w:t xml:space="preserve"> </w:t>
      </w:r>
      <w:r w:rsidRPr="0050236C">
        <w:rPr>
          <w:i/>
        </w:rPr>
        <w:t>supply</w:t>
      </w:r>
      <w:r w:rsidRPr="0050236C">
        <w:t xml:space="preserve"> and FP </w:t>
      </w:r>
      <w:r w:rsidRPr="0050236C">
        <w:rPr>
          <w:i/>
        </w:rPr>
        <w:t>demand</w:t>
      </w:r>
      <w:r w:rsidRPr="0050236C">
        <w:t xml:space="preserve"> generation for the remainder of the program</w:t>
      </w:r>
      <w:r>
        <w:t xml:space="preserve"> </w:t>
      </w:r>
      <w:r w:rsidRPr="0050236C">
        <w:t xml:space="preserve">and set aside </w:t>
      </w:r>
      <w:r>
        <w:t xml:space="preserve">some </w:t>
      </w:r>
      <w:r w:rsidRPr="0050236C">
        <w:t xml:space="preserve">activities </w:t>
      </w:r>
      <w:r>
        <w:t xml:space="preserve">focused on </w:t>
      </w:r>
      <w:r w:rsidRPr="0050236C">
        <w:t>strengthening the enabling environment</w:t>
      </w:r>
      <w:r>
        <w:t xml:space="preserve">. </w:t>
      </w:r>
      <w:r w:rsidR="001D16D3">
        <w:t xml:space="preserve">All activities should be assessed </w:t>
      </w:r>
      <w:r w:rsidR="00C311D0">
        <w:t xml:space="preserve">for their value in contributing to a direct impact on individual FP use. </w:t>
      </w:r>
      <w:r>
        <w:t xml:space="preserve">This will help ensure </w:t>
      </w:r>
      <w:r w:rsidRPr="0050236C">
        <w:t>that unmet need for FP decrease</w:t>
      </w:r>
      <w:r>
        <w:t>s</w:t>
      </w:r>
      <w:r w:rsidRPr="0050236C">
        <w:t xml:space="preserve"> by</w:t>
      </w:r>
      <w:r>
        <w:t xml:space="preserve"> </w:t>
      </w:r>
      <w:r w:rsidRPr="0050236C">
        <w:t>program end.</w:t>
      </w:r>
    </w:p>
    <w:p w14:paraId="4C31D6D8" w14:textId="77777777" w:rsidR="00A53949" w:rsidRDefault="00A53949" w:rsidP="00923B56">
      <w:pPr>
        <w:pStyle w:val="NoSpacing"/>
      </w:pPr>
    </w:p>
    <w:p w14:paraId="2F0BF2CA" w14:textId="77777777" w:rsidR="00304661" w:rsidRDefault="00304661" w:rsidP="003538C5">
      <w:pPr>
        <w:pStyle w:val="Level2Heading"/>
        <w:numPr>
          <w:ilvl w:val="1"/>
          <w:numId w:val="27"/>
        </w:numPr>
        <w:outlineLvl w:val="1"/>
      </w:pPr>
      <w:bookmarkStart w:id="38" w:name="_Toc76630098"/>
      <w:r>
        <w:t>Administrative Processes</w:t>
      </w:r>
      <w:bookmarkEnd w:id="38"/>
    </w:p>
    <w:p w14:paraId="786DEC72" w14:textId="77777777" w:rsidR="00E0676A" w:rsidRDefault="00E0676A" w:rsidP="00E0676A">
      <w:pPr>
        <w:pStyle w:val="NoSpacing"/>
      </w:pPr>
      <w:r>
        <w:t>Almost all stakeholders interviewed stated that UNFPA’s administrative processes (as useful as they are in administering a program) can overwhelm IPs. The placement of financial assistants (G6) has assisted with financial issues but planning and reporting are still onerous and time-consuming on top of the IPs own program administrative burden. The significant time required to complete the forms and revisions reduces implementation time</w:t>
      </w:r>
      <w:r w:rsidR="00EB211D">
        <w:t xml:space="preserve"> and</w:t>
      </w:r>
      <w:r>
        <w:t xml:space="preserve"> </w:t>
      </w:r>
      <w:r w:rsidR="00FD3F09">
        <w:t xml:space="preserve">has </w:t>
      </w:r>
      <w:r>
        <w:t>preclude</w:t>
      </w:r>
      <w:r w:rsidR="00FD3F09">
        <w:t>d</w:t>
      </w:r>
      <w:r>
        <w:t xml:space="preserve"> some potential IPs from joining the TA program. </w:t>
      </w:r>
    </w:p>
    <w:p w14:paraId="2C14D30B" w14:textId="77777777" w:rsidR="00E0676A" w:rsidRDefault="00E0676A" w:rsidP="00497F38">
      <w:pPr>
        <w:pStyle w:val="NoSpacing"/>
      </w:pPr>
    </w:p>
    <w:p w14:paraId="35F109C4" w14:textId="77777777" w:rsidR="0080592C" w:rsidRDefault="00E0676A" w:rsidP="00497F38">
      <w:pPr>
        <w:pStyle w:val="NoSpacing"/>
      </w:pPr>
      <w:r>
        <w:t>Due to the drawn</w:t>
      </w:r>
      <w:r w:rsidR="002E5996">
        <w:t>-</w:t>
      </w:r>
      <w:r>
        <w:t xml:space="preserve">out process for recruiting RIPs, with </w:t>
      </w:r>
      <w:r w:rsidR="00EE6D55">
        <w:t xml:space="preserve">some </w:t>
      </w:r>
      <w:r>
        <w:t xml:space="preserve">negotiations beginning in 2018 and </w:t>
      </w:r>
      <w:r w:rsidR="002E5996">
        <w:t xml:space="preserve">some not </w:t>
      </w:r>
      <w:r>
        <w:t xml:space="preserve">finalised </w:t>
      </w:r>
      <w:r w:rsidR="002E5996">
        <w:t>until</w:t>
      </w:r>
      <w:r>
        <w:t xml:space="preserve"> </w:t>
      </w:r>
      <w:r w:rsidR="00EB211D">
        <w:t xml:space="preserve">July </w:t>
      </w:r>
      <w:r>
        <w:t xml:space="preserve">2020, and with proposed activities and budgets considerably revised, several potential IPs and RIPs withdrew from the process. These were organisations with much to offer in the SRH sector, particularly targeting young people and locally produced IEC and BCC resources. </w:t>
      </w:r>
      <w:r w:rsidR="003545D4">
        <w:t>These issues have contributed to the slow implementation</w:t>
      </w:r>
      <w:r w:rsidR="00FD3F09">
        <w:t xml:space="preserve">, </w:t>
      </w:r>
      <w:r w:rsidR="003545D4">
        <w:t>the inefficient use of financial resources and personnel</w:t>
      </w:r>
      <w:r w:rsidR="00FD3F09">
        <w:t>,</w:t>
      </w:r>
      <w:r w:rsidR="003545D4">
        <w:t xml:space="preserve"> and missed opportunities to leverage against existing programs and scale</w:t>
      </w:r>
      <w:r w:rsidR="008714F4">
        <w:t>-</w:t>
      </w:r>
      <w:r w:rsidR="003545D4">
        <w:t>up the use of local, culturally</w:t>
      </w:r>
      <w:r w:rsidR="002A156C">
        <w:t xml:space="preserve"> </w:t>
      </w:r>
      <w:r w:rsidR="003545D4">
        <w:t>appropriate resources.</w:t>
      </w:r>
    </w:p>
    <w:p w14:paraId="7B106397" w14:textId="77777777" w:rsidR="00D346A3" w:rsidRDefault="00D346A3" w:rsidP="00497F38">
      <w:pPr>
        <w:pStyle w:val="NoSpacing"/>
      </w:pPr>
    </w:p>
    <w:p w14:paraId="3EC98B52" w14:textId="77777777" w:rsidR="00E0676A" w:rsidRDefault="00E0676A" w:rsidP="00193F72">
      <w:pPr>
        <w:pStyle w:val="NoSpacing"/>
      </w:pPr>
      <w:r>
        <w:t xml:space="preserve">In summary, program efficiency would be enhanced through streamlining planning and administrative processes through MOHs’ existing planning and coordination mechanisms; reducing the number of IPs by focusing on MOHs and their partners; improving communication </w:t>
      </w:r>
      <w:r w:rsidR="00EB211D">
        <w:t xml:space="preserve">and coordination </w:t>
      </w:r>
      <w:r>
        <w:t xml:space="preserve">with a reduced number of IPs; ensuring SRH Specialists routinely monitor a clear set of </w:t>
      </w:r>
      <w:r w:rsidR="00FD3F09">
        <w:t>key performance indicators</w:t>
      </w:r>
      <w:r>
        <w:t xml:space="preserve">; reviewing the roles of the RIPs given COVID-19 restrictions and MOH capacity to engage; and utilising existing in-country resources for the priority ‘supply’ and ‘demand’ components for the remainder of the TA program.  </w:t>
      </w:r>
    </w:p>
    <w:p w14:paraId="54F29F2E" w14:textId="77777777" w:rsidR="00462DDA" w:rsidRDefault="00B06681" w:rsidP="003538C5">
      <w:pPr>
        <w:pStyle w:val="NumberedLevel1heading"/>
        <w:numPr>
          <w:ilvl w:val="0"/>
          <w:numId w:val="27"/>
        </w:numPr>
        <w:jc w:val="left"/>
      </w:pPr>
      <w:bookmarkStart w:id="39" w:name="_Toc76630099"/>
      <w:r>
        <w:t>Monitoring</w:t>
      </w:r>
      <w:r w:rsidR="002B4705">
        <w:t>,</w:t>
      </w:r>
      <w:r>
        <w:t xml:space="preserve"> Evaluation and Reporting</w:t>
      </w:r>
      <w:bookmarkEnd w:id="39"/>
    </w:p>
    <w:p w14:paraId="7AD1921B" w14:textId="77777777" w:rsidR="002967CB" w:rsidRDefault="002967CB" w:rsidP="002B4705">
      <w:pPr>
        <w:pStyle w:val="NoSpacing"/>
        <w:rPr>
          <w:lang w:val="en-US"/>
        </w:rPr>
      </w:pPr>
      <w:r w:rsidRPr="00D63164">
        <w:rPr>
          <w:noProof/>
          <w:lang w:eastAsia="en-AU"/>
        </w:rPr>
        <mc:AlternateContent>
          <mc:Choice Requires="wps">
            <w:drawing>
              <wp:inline distT="0" distB="0" distL="0" distR="0" wp14:anchorId="6310C140" wp14:editId="546867A9">
                <wp:extent cx="5495925" cy="876300"/>
                <wp:effectExtent l="0" t="0" r="28575"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876300"/>
                        </a:xfrm>
                        <a:prstGeom prst="rect">
                          <a:avLst/>
                        </a:prstGeom>
                        <a:solidFill>
                          <a:srgbClr val="FFFFFF"/>
                        </a:solidFill>
                        <a:ln w="9525">
                          <a:solidFill>
                            <a:srgbClr val="000000"/>
                          </a:solidFill>
                          <a:miter lim="800000"/>
                          <a:headEnd/>
                          <a:tailEnd/>
                        </a:ln>
                      </wps:spPr>
                      <wps:txbx>
                        <w:txbxContent>
                          <w:p w14:paraId="1C8CD3FE" w14:textId="77777777" w:rsidR="00051F27" w:rsidRPr="00D63164" w:rsidRDefault="00051F27" w:rsidP="002967CB">
                            <w:pPr>
                              <w:rPr>
                                <w:rFonts w:cstheme="minorHAnsi"/>
                                <w:sz w:val="18"/>
                                <w:szCs w:val="18"/>
                              </w:rPr>
                            </w:pPr>
                            <w:r w:rsidRPr="00D63164">
                              <w:rPr>
                                <w:rFonts w:cstheme="minorHAnsi"/>
                                <w:sz w:val="18"/>
                                <w:szCs w:val="18"/>
                              </w:rPr>
                              <w:t>Is the Program Design well-articulated and sufficiently well-structured to ensure UNFPA is clear on outcomes and how to achieve them?</w:t>
                            </w:r>
                          </w:p>
                          <w:p w14:paraId="61AD7922" w14:textId="77777777" w:rsidR="00051F27" w:rsidRPr="00D63164" w:rsidRDefault="00051F27" w:rsidP="002967CB">
                            <w:pPr>
                              <w:rPr>
                                <w:rFonts w:cstheme="minorHAnsi"/>
                                <w:sz w:val="18"/>
                                <w:szCs w:val="18"/>
                              </w:rPr>
                            </w:pPr>
                            <w:r w:rsidRPr="00D63164">
                              <w:rPr>
                                <w:rFonts w:cstheme="minorHAnsi"/>
                                <w:sz w:val="18"/>
                                <w:szCs w:val="18"/>
                              </w:rPr>
                              <w:t>M&amp;E framework – is it fit for purpose; aligned with country M&amp;E processes; activities and outputs effective to achieve outcomes and impact; need revision?</w:t>
                            </w:r>
                          </w:p>
                          <w:p w14:paraId="570D0097" w14:textId="77777777" w:rsidR="00051F27" w:rsidRDefault="00051F27" w:rsidP="002967CB"/>
                        </w:txbxContent>
                      </wps:txbx>
                      <wps:bodyPr rot="0" vert="horz" wrap="square" lIns="91440" tIns="45720" rIns="91440" bIns="45720" anchor="t" anchorCtr="0">
                        <a:noAutofit/>
                      </wps:bodyPr>
                    </wps:wsp>
                  </a:graphicData>
                </a:graphic>
              </wp:inline>
            </w:drawing>
          </mc:Choice>
          <mc:Fallback>
            <w:pict>
              <v:shape w14:anchorId="6310C140" id="_x0000_s1030" type="#_x0000_t202" style="width:432.7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">
                <v:textbox>
                  <w:txbxContent>
                    <w:p w14:paraId="1C8CD3FE" w14:textId="77777777" w:rsidR="00051F27" w:rsidRPr="00D63164" w:rsidRDefault="00051F27" w:rsidP="002967CB">
                      <w:pPr>
                        <w:rPr>
                          <w:rFonts w:cstheme="minorHAnsi"/>
                          <w:sz w:val="18"/>
                          <w:szCs w:val="18"/>
                        </w:rPr>
                      </w:pPr>
                      <w:r w:rsidRPr="00D63164">
                        <w:rPr>
                          <w:rFonts w:cstheme="minorHAnsi"/>
                          <w:sz w:val="18"/>
                          <w:szCs w:val="18"/>
                        </w:rPr>
                        <w:t>Is the Program Design well-articulated and sufficiently well-structured to ensure UNFPA is clear on outcomes and how to achieve them?</w:t>
                      </w:r>
                    </w:p>
                    <w:p w14:paraId="61AD7922" w14:textId="77777777" w:rsidR="00051F27" w:rsidRPr="00D63164" w:rsidRDefault="00051F27" w:rsidP="002967CB">
                      <w:pPr>
                        <w:rPr>
                          <w:rFonts w:cstheme="minorHAnsi"/>
                          <w:sz w:val="18"/>
                          <w:szCs w:val="18"/>
                        </w:rPr>
                      </w:pPr>
                      <w:r w:rsidRPr="00D63164">
                        <w:rPr>
                          <w:rFonts w:cstheme="minorHAnsi"/>
                          <w:sz w:val="18"/>
                          <w:szCs w:val="18"/>
                        </w:rPr>
                        <w:t>M&amp;E framework – is it fit for purpose; aligned with country M&amp;E processes; activities and outputs effective to achieve outcomes and impact; need revision?</w:t>
                      </w:r>
                    </w:p>
                    <w:p w14:paraId="570D0097" w14:textId="77777777" w:rsidR="00051F27" w:rsidRDefault="00051F27" w:rsidP="002967CB"/>
                  </w:txbxContent>
                </v:textbox>
                <w10:anchorlock/>
              </v:shape>
            </w:pict>
          </mc:Fallback>
        </mc:AlternateContent>
      </w:r>
    </w:p>
    <w:p w14:paraId="5556F885" w14:textId="77777777" w:rsidR="00B3195C" w:rsidRDefault="00B3195C" w:rsidP="002B4705">
      <w:pPr>
        <w:pStyle w:val="NoSpacing"/>
        <w:rPr>
          <w:lang w:val="en-US"/>
        </w:rPr>
      </w:pPr>
    </w:p>
    <w:p w14:paraId="0488DBE3" w14:textId="77777777" w:rsidR="007274FE" w:rsidRDefault="007274FE" w:rsidP="003538C5">
      <w:pPr>
        <w:pStyle w:val="Level2Heading"/>
        <w:numPr>
          <w:ilvl w:val="1"/>
          <w:numId w:val="27"/>
        </w:numPr>
        <w:outlineLvl w:val="1"/>
        <w:rPr>
          <w:lang w:val="en-US"/>
        </w:rPr>
      </w:pPr>
      <w:bookmarkStart w:id="40" w:name="_Toc76630100"/>
      <w:r>
        <w:rPr>
          <w:lang w:val="en-US"/>
        </w:rPr>
        <w:lastRenderedPageBreak/>
        <w:t>Monitoring and Evaluation Framework</w:t>
      </w:r>
      <w:bookmarkEnd w:id="40"/>
      <w:r>
        <w:rPr>
          <w:lang w:val="en-US"/>
        </w:rPr>
        <w:t xml:space="preserve"> </w:t>
      </w:r>
    </w:p>
    <w:p w14:paraId="11685794" w14:textId="77777777" w:rsidR="001851E7" w:rsidRDefault="001851E7" w:rsidP="001851E7">
      <w:pPr>
        <w:pStyle w:val="NoSpacing"/>
      </w:pPr>
      <w:r>
        <w:t xml:space="preserve">Based on a detailed review, </w:t>
      </w:r>
      <w:r w:rsidRPr="00B101D3">
        <w:t xml:space="preserve">the TA MEF, is </w:t>
      </w:r>
      <w:r>
        <w:t>assessed as being in</w:t>
      </w:r>
      <w:r w:rsidRPr="00B101D3">
        <w:t>adequate</w:t>
      </w:r>
      <w:r>
        <w:t xml:space="preserve"> and not</w:t>
      </w:r>
      <w:r w:rsidRPr="00B101D3">
        <w:t xml:space="preserve"> fit for purpose.  </w:t>
      </w:r>
      <w:r>
        <w:t xml:space="preserve">Forty-eight percent </w:t>
      </w:r>
      <w:r w:rsidRPr="00B101D3">
        <w:t>of indicator results are unable to be measured at mid-</w:t>
      </w:r>
      <w:r>
        <w:t>term</w:t>
      </w:r>
      <w:r w:rsidRPr="00B101D3">
        <w:t xml:space="preserve">. </w:t>
      </w:r>
      <w:r w:rsidR="00FD3F09">
        <w:t xml:space="preserve">While a small </w:t>
      </w:r>
      <w:r>
        <w:t xml:space="preserve">number </w:t>
      </w:r>
      <w:r w:rsidRPr="00B101D3">
        <w:t xml:space="preserve">of these </w:t>
      </w:r>
      <w:r>
        <w:t xml:space="preserve">indicator results would not be </w:t>
      </w:r>
      <w:r w:rsidR="00FD3F09">
        <w:t xml:space="preserve">appropriate to </w:t>
      </w:r>
      <w:r>
        <w:t xml:space="preserve">measure at mid-term, </w:t>
      </w:r>
      <w:r w:rsidR="00FD3F09">
        <w:t xml:space="preserve">such as </w:t>
      </w:r>
      <w:r w:rsidRPr="00B101D3">
        <w:t>high-level impact indicators</w:t>
      </w:r>
      <w:r>
        <w:t xml:space="preserve">, </w:t>
      </w:r>
      <w:r w:rsidRPr="00B101D3">
        <w:t xml:space="preserve">the vast majority are </w:t>
      </w:r>
      <w:r>
        <w:t xml:space="preserve">unmeasurable </w:t>
      </w:r>
      <w:r w:rsidRPr="00B101D3">
        <w:t xml:space="preserve">due to being problematic indicators, and/or not having any result data collected </w:t>
      </w:r>
      <w:r>
        <w:t>against them</w:t>
      </w:r>
      <w:r w:rsidRPr="00B101D3">
        <w:t xml:space="preserve">. Part of the problem is a heavy reliance on the newly introduced and recently conducted HFRSA, which was relied upon for baselines well into the program, and which awaits completion in </w:t>
      </w:r>
      <w:r>
        <w:t xml:space="preserve">two </w:t>
      </w:r>
      <w:r w:rsidRPr="00B101D3">
        <w:t xml:space="preserve">of the </w:t>
      </w:r>
      <w:r>
        <w:t>six</w:t>
      </w:r>
      <w:r w:rsidRPr="00B101D3">
        <w:t xml:space="preserve"> countries.</w:t>
      </w:r>
      <w:r w:rsidR="0075695D" w:rsidRPr="00B101D3" w:rsidDel="0075695D">
        <w:t xml:space="preserve"> </w:t>
      </w:r>
      <w:r w:rsidR="0075695D">
        <w:t>See Annex 7 for updated MEF.</w:t>
      </w:r>
    </w:p>
    <w:p w14:paraId="6AF48083" w14:textId="77777777" w:rsidR="001851E7" w:rsidRDefault="001851E7" w:rsidP="001851E7">
      <w:pPr>
        <w:pStyle w:val="NoSpacing"/>
      </w:pPr>
    </w:p>
    <w:p w14:paraId="40F300D3" w14:textId="77777777" w:rsidR="001851E7" w:rsidRPr="00B101D3" w:rsidRDefault="001851E7" w:rsidP="001851E7">
      <w:pPr>
        <w:pStyle w:val="NoSpacing"/>
      </w:pPr>
      <w:r>
        <w:t xml:space="preserve">Key </w:t>
      </w:r>
      <w:r w:rsidRPr="00B101D3">
        <w:t xml:space="preserve">overarching </w:t>
      </w:r>
      <w:r>
        <w:t>issues with the MEF</w:t>
      </w:r>
      <w:r w:rsidRPr="00B101D3">
        <w:t xml:space="preserve"> are:</w:t>
      </w:r>
    </w:p>
    <w:p w14:paraId="45737365" w14:textId="77777777" w:rsidR="00AF01C8" w:rsidRDefault="00BA34EA" w:rsidP="00204AF7">
      <w:pPr>
        <w:pStyle w:val="NoSpacing"/>
        <w:numPr>
          <w:ilvl w:val="0"/>
          <w:numId w:val="26"/>
        </w:numPr>
      </w:pPr>
      <w:r w:rsidRPr="00A83499">
        <w:rPr>
          <w:b/>
          <w:bCs/>
        </w:rPr>
        <w:t>Issue:</w:t>
      </w:r>
      <w:r>
        <w:t xml:space="preserve"> </w:t>
      </w:r>
      <w:r w:rsidR="00636A85" w:rsidRPr="00B101D3">
        <w:t xml:space="preserve">With the ultimate goal of the TA </w:t>
      </w:r>
      <w:r w:rsidR="001851E7">
        <w:t xml:space="preserve">program </w:t>
      </w:r>
      <w:r w:rsidR="00636A85" w:rsidRPr="00B101D3">
        <w:t xml:space="preserve">to reduce unmet need, unmet need for FP should be an indicator, but is not. </w:t>
      </w:r>
      <w:r w:rsidR="001851E7">
        <w:t xml:space="preserve">It is not possible for the program to </w:t>
      </w:r>
      <w:r w:rsidR="00636A85" w:rsidRPr="00B101D3">
        <w:t>asses</w:t>
      </w:r>
      <w:r w:rsidR="002C1547">
        <w:t>s</w:t>
      </w:r>
      <w:r w:rsidR="00636A85" w:rsidRPr="00B101D3">
        <w:t xml:space="preserve"> progress toward “moving unmet need for FP toward zero” if it does</w:t>
      </w:r>
      <w:r w:rsidR="009237DE">
        <w:t xml:space="preserve"> not</w:t>
      </w:r>
      <w:r w:rsidR="00636A85" w:rsidRPr="00B101D3">
        <w:t xml:space="preserve"> know where it started and what direction it is going</w:t>
      </w:r>
      <w:r w:rsidR="001851E7">
        <w:t>.</w:t>
      </w:r>
      <w:r w:rsidR="00636A85" w:rsidRPr="00B101D3">
        <w:t xml:space="preserve"> It is also important to note that unmet need is not the inverse/opposite of need satisfied.</w:t>
      </w:r>
      <w:r w:rsidR="00AF01C8" w:rsidRPr="00B70B3B">
        <w:t xml:space="preserve"> </w:t>
      </w:r>
      <w:r w:rsidR="00AF01C8">
        <w:t>Unmet need for family planning is defined by WHO</w:t>
      </w:r>
      <w:r w:rsidR="00E6211A">
        <w:rPr>
          <w:rStyle w:val="FootnoteReference"/>
        </w:rPr>
        <w:footnoteReference w:id="30"/>
      </w:r>
      <w:r w:rsidR="00AF01C8">
        <w:t xml:space="preserve"> as being the </w:t>
      </w:r>
      <w:r w:rsidR="00204AF7">
        <w:t>n</w:t>
      </w:r>
      <w:r w:rsidR="00AF01C8">
        <w:t xml:space="preserve">umber of women of reproductive age (15-49) with an unmet need for family planning / </w:t>
      </w:r>
      <w:r w:rsidR="00204AF7">
        <w:t>n</w:t>
      </w:r>
      <w:r w:rsidR="00AF01C8">
        <w:t>umber of women of reproductive age. However, p</w:t>
      </w:r>
      <w:r w:rsidR="008505C7" w:rsidRPr="00A83499">
        <w:t>rogress toward achieving SDG target 3.7</w:t>
      </w:r>
      <w:r w:rsidR="00A05F0A">
        <w:t xml:space="preserve"> - universal access to SRH care services -</w:t>
      </w:r>
      <w:r w:rsidR="008505C7" w:rsidRPr="00A83499">
        <w:t xml:space="preserve"> will be assessed using indicator 3.7.1, which is specified as the proportion of women who have their need for family planning satisfied with modern methods of contraception, among women of reproductive age (15-49 years) who express a need for family planning</w:t>
      </w:r>
      <w:r w:rsidR="00AF01C8">
        <w:t xml:space="preserve">. This is not a quantitative indicator and </w:t>
      </w:r>
      <w:r w:rsidR="00A05F0A">
        <w:t xml:space="preserve">rather than waiting for the next DHS, PSRO’s metadata definitions suggests that an alternative collection of this data be considered as a survey under the MOH HIS. </w:t>
      </w:r>
      <w:r w:rsidR="00204AF7">
        <w:t>This should be considered on a country by country basis.</w:t>
      </w:r>
    </w:p>
    <w:p w14:paraId="791ED43C" w14:textId="77777777" w:rsidR="008505C7" w:rsidRDefault="008505C7" w:rsidP="00A83499">
      <w:pPr>
        <w:pStyle w:val="NoSpacing"/>
        <w:numPr>
          <w:ilvl w:val="0"/>
          <w:numId w:val="44"/>
        </w:numPr>
      </w:pPr>
      <w:r w:rsidRPr="00A83499">
        <w:rPr>
          <w:b/>
          <w:bCs/>
        </w:rPr>
        <w:t>Action:</w:t>
      </w:r>
      <w:r>
        <w:t xml:space="preserve"> Revise MEF </w:t>
      </w:r>
      <w:r w:rsidR="00A05F0A">
        <w:t xml:space="preserve">and use the Metadata collection definition </w:t>
      </w:r>
      <w:r>
        <w:t xml:space="preserve">to </w:t>
      </w:r>
      <w:r w:rsidR="00A05F0A">
        <w:t xml:space="preserve">utilise the SDG 3.7.1 indicator (TA indicator 3) and consider qualitative data collection </w:t>
      </w:r>
      <w:r w:rsidR="00A83499">
        <w:t>through</w:t>
      </w:r>
      <w:r w:rsidR="00A05F0A">
        <w:t xml:space="preserve"> the MOH HIS.</w:t>
      </w:r>
    </w:p>
    <w:p w14:paraId="2EC10D3D" w14:textId="77777777" w:rsidR="00B101D3" w:rsidRDefault="00A83499" w:rsidP="003538C5">
      <w:pPr>
        <w:pStyle w:val="NoSpacing"/>
        <w:numPr>
          <w:ilvl w:val="0"/>
          <w:numId w:val="26"/>
        </w:numPr>
      </w:pPr>
      <w:r>
        <w:rPr>
          <w:b/>
          <w:bCs/>
        </w:rPr>
        <w:t xml:space="preserve">Issue: </w:t>
      </w:r>
      <w:r w:rsidR="00636A85" w:rsidRPr="00B101D3">
        <w:t xml:space="preserve">There is no indicator measuring the critically important outcome of number of people accessing/receiving FP services. This </w:t>
      </w:r>
      <w:r w:rsidR="00E6485B">
        <w:t>should</w:t>
      </w:r>
      <w:r w:rsidR="00636A85" w:rsidRPr="00B101D3">
        <w:t xml:space="preserve"> drive the program, as that is the primary way people can access modern contraceptives, which is the primary way unmet need will decline. The program must be able to see increases in clinical FP services on a quarterly basis. </w:t>
      </w:r>
    </w:p>
    <w:p w14:paraId="3F25B859" w14:textId="77777777" w:rsidR="00AA78CA" w:rsidRDefault="00AA78CA" w:rsidP="00A83499">
      <w:pPr>
        <w:pStyle w:val="NoSpacing"/>
        <w:numPr>
          <w:ilvl w:val="0"/>
          <w:numId w:val="44"/>
        </w:numPr>
      </w:pPr>
      <w:r w:rsidRPr="00A83499">
        <w:rPr>
          <w:b/>
          <w:bCs/>
        </w:rPr>
        <w:t>Action:</w:t>
      </w:r>
      <w:r>
        <w:t xml:space="preserve"> Include this in the MEF. Most MOH HIS collect this data as does IPPF MAs.</w:t>
      </w:r>
    </w:p>
    <w:p w14:paraId="251E0A59" w14:textId="77777777" w:rsidR="008714F4" w:rsidRDefault="00204AF7" w:rsidP="008714F4">
      <w:pPr>
        <w:pStyle w:val="NoSpacing"/>
        <w:numPr>
          <w:ilvl w:val="0"/>
          <w:numId w:val="26"/>
        </w:numPr>
      </w:pPr>
      <w:r w:rsidRPr="00E6485B">
        <w:rPr>
          <w:b/>
          <w:bCs/>
        </w:rPr>
        <w:t>Issue:</w:t>
      </w:r>
      <w:r>
        <w:t xml:space="preserve"> </w:t>
      </w:r>
      <w:r w:rsidR="00636A85" w:rsidRPr="00B101D3">
        <w:t xml:space="preserve">The MEF </w:t>
      </w:r>
      <w:r w:rsidR="002D7852">
        <w:t xml:space="preserve">in the PDD </w:t>
      </w:r>
      <w:r w:rsidR="00636A85" w:rsidRPr="00B101D3">
        <w:t xml:space="preserve">does not </w:t>
      </w:r>
      <w:r w:rsidR="002D7852">
        <w:t>include</w:t>
      </w:r>
      <w:r w:rsidR="00636A85" w:rsidRPr="00B101D3">
        <w:t xml:space="preserve"> the rationale and formulas applied for increases/decreases in targets over time. It would be very helpful to know how these were calculated (and the research base for using them), so that all stakeholders (donor, PSRO, IPs/SRs) are fully aware, agree, and commit to the targets. Some targets and results fluctuate widely, and appear to be extremely unrealistic in some cases (</w:t>
      </w:r>
      <w:r w:rsidR="00FD3F09">
        <w:t xml:space="preserve">Indicators </w:t>
      </w:r>
      <w:r w:rsidR="00636A85" w:rsidRPr="00B101D3">
        <w:t>#1, #5)</w:t>
      </w:r>
    </w:p>
    <w:p w14:paraId="0C7FADE9" w14:textId="77777777" w:rsidR="00AA78CA" w:rsidRDefault="00AA78CA" w:rsidP="00193F72">
      <w:pPr>
        <w:pStyle w:val="NoSpacing"/>
        <w:numPr>
          <w:ilvl w:val="0"/>
          <w:numId w:val="44"/>
        </w:numPr>
      </w:pPr>
      <w:r w:rsidRPr="00E6485B">
        <w:rPr>
          <w:b/>
          <w:bCs/>
        </w:rPr>
        <w:t>Action</w:t>
      </w:r>
      <w:r>
        <w:t>: In revising the MEF, include the full rationale for all metrics as an Annex in Annual Reports.</w:t>
      </w:r>
    </w:p>
    <w:p w14:paraId="193F7241" w14:textId="77777777" w:rsidR="00636A85" w:rsidRDefault="00204AF7" w:rsidP="008714F4">
      <w:pPr>
        <w:pStyle w:val="NoSpacing"/>
        <w:numPr>
          <w:ilvl w:val="0"/>
          <w:numId w:val="26"/>
        </w:numPr>
      </w:pPr>
      <w:r w:rsidRPr="00633FB2">
        <w:rPr>
          <w:b/>
          <w:bCs/>
        </w:rPr>
        <w:t>Issue:</w:t>
      </w:r>
      <w:r>
        <w:t xml:space="preserve"> </w:t>
      </w:r>
      <w:r w:rsidR="00636A85" w:rsidRPr="00B101D3">
        <w:t>In some cases, in an effort by PSRO to “contextualize” results (</w:t>
      </w:r>
      <w:proofErr w:type="gramStart"/>
      <w:r w:rsidR="00636A85" w:rsidRPr="00B101D3">
        <w:t>e.g.</w:t>
      </w:r>
      <w:proofErr w:type="gramEnd"/>
      <w:r w:rsidR="00636A85" w:rsidRPr="00B101D3">
        <w:t xml:space="preserve"> using self-reporting of YFS rather than the data point reflecting YFS meeting international standards), the targets were not </w:t>
      </w:r>
      <w:r w:rsidR="00FD3F09">
        <w:t xml:space="preserve">also </w:t>
      </w:r>
      <w:r w:rsidR="00636A85" w:rsidRPr="00B101D3">
        <w:t>“contextualized” accordingly, resulting in the appearance of being vastly over-achieved.</w:t>
      </w:r>
      <w:r w:rsidR="00217EA5">
        <w:t xml:space="preserve"> </w:t>
      </w:r>
      <w:r w:rsidR="00636A85" w:rsidRPr="00B101D3">
        <w:t xml:space="preserve">The tendency to input baselines as "0%" </w:t>
      </w:r>
      <w:r w:rsidR="00633FB2">
        <w:t>does not take account of prior work/achievements</w:t>
      </w:r>
      <w:r w:rsidR="00636A85" w:rsidRPr="00B101D3">
        <w:t>. Not every new program starts with zero -- SDP, healthcare worker, and target population realities/data do not go back to zero -- they have an actual level they start with, regardless of programs coming and going, and should be recogni</w:t>
      </w:r>
      <w:r w:rsidR="008714F4">
        <w:t>s</w:t>
      </w:r>
      <w:r w:rsidR="00636A85" w:rsidRPr="00B101D3">
        <w:t>ed and built upon.</w:t>
      </w:r>
    </w:p>
    <w:p w14:paraId="320EDA57" w14:textId="77777777" w:rsidR="00AA78CA" w:rsidRDefault="00AA78CA" w:rsidP="00633FB2">
      <w:pPr>
        <w:pStyle w:val="NoSpacing"/>
        <w:numPr>
          <w:ilvl w:val="0"/>
          <w:numId w:val="44"/>
        </w:numPr>
      </w:pPr>
      <w:r w:rsidRPr="00633FB2">
        <w:rPr>
          <w:b/>
          <w:bCs/>
        </w:rPr>
        <w:t>Action:</w:t>
      </w:r>
      <w:r>
        <w:t xml:space="preserve"> Reflect the HFRSA results and MOH HIS data in TA MEF and develop targets accordingly. </w:t>
      </w:r>
    </w:p>
    <w:p w14:paraId="7EDB1451" w14:textId="77777777" w:rsidR="005B755E" w:rsidRDefault="00204AF7" w:rsidP="003538C5">
      <w:pPr>
        <w:pStyle w:val="NoSpacing"/>
        <w:numPr>
          <w:ilvl w:val="0"/>
          <w:numId w:val="26"/>
        </w:numPr>
      </w:pPr>
      <w:r w:rsidRPr="00633FB2">
        <w:rPr>
          <w:b/>
          <w:bCs/>
        </w:rPr>
        <w:t>Issue:</w:t>
      </w:r>
      <w:r>
        <w:t xml:space="preserve"> </w:t>
      </w:r>
      <w:r w:rsidR="005B755E">
        <w:t>It is not evident that existing MOH FP/SRH indicators have been considered and targets from these indicators applied to the MEF.</w:t>
      </w:r>
    </w:p>
    <w:p w14:paraId="35A76A07" w14:textId="77777777" w:rsidR="000700E5" w:rsidRPr="00B101D3" w:rsidRDefault="000700E5" w:rsidP="00633FB2">
      <w:pPr>
        <w:pStyle w:val="NoSpacing"/>
        <w:numPr>
          <w:ilvl w:val="0"/>
          <w:numId w:val="44"/>
        </w:numPr>
      </w:pPr>
      <w:r w:rsidRPr="00633FB2">
        <w:rPr>
          <w:b/>
          <w:bCs/>
        </w:rPr>
        <w:t>Action:</w:t>
      </w:r>
      <w:r>
        <w:t xml:space="preserve"> As above, reflect MOH HIS SRH data in the MEF and </w:t>
      </w:r>
      <w:r w:rsidR="002D7852">
        <w:t>assist</w:t>
      </w:r>
      <w:r>
        <w:t xml:space="preserve"> MOH</w:t>
      </w:r>
      <w:r w:rsidR="00633FB2">
        <w:t>s</w:t>
      </w:r>
      <w:r>
        <w:t xml:space="preserve"> to develop realistic targets</w:t>
      </w:r>
    </w:p>
    <w:p w14:paraId="729B5918" w14:textId="77777777" w:rsidR="00636A85" w:rsidRDefault="00204AF7" w:rsidP="003538C5">
      <w:pPr>
        <w:pStyle w:val="NoSpacing"/>
        <w:numPr>
          <w:ilvl w:val="0"/>
          <w:numId w:val="26"/>
        </w:numPr>
      </w:pPr>
      <w:r w:rsidRPr="00633FB2">
        <w:rPr>
          <w:b/>
          <w:bCs/>
        </w:rPr>
        <w:t>Issue:</w:t>
      </w:r>
      <w:r>
        <w:t xml:space="preserve"> </w:t>
      </w:r>
      <w:r w:rsidR="00636A85" w:rsidRPr="00B101D3">
        <w:t xml:space="preserve">Some indicators’ wording does not fully reflect critical elements of the indicator found in the Metadata description; some are too vague or subjective to be measured; some indicators simply cannot be measured:  #13, #19, #23 </w:t>
      </w:r>
    </w:p>
    <w:p w14:paraId="4CB5E3A8" w14:textId="77777777" w:rsidR="000700E5" w:rsidRPr="00B101D3" w:rsidRDefault="000700E5" w:rsidP="00461F30">
      <w:pPr>
        <w:pStyle w:val="NoSpacing"/>
        <w:numPr>
          <w:ilvl w:val="0"/>
          <w:numId w:val="44"/>
        </w:numPr>
      </w:pPr>
      <w:r w:rsidRPr="00461F30">
        <w:rPr>
          <w:b/>
          <w:bCs/>
        </w:rPr>
        <w:lastRenderedPageBreak/>
        <w:t>Action:</w:t>
      </w:r>
      <w:r>
        <w:t xml:space="preserve"> Realign wording to be consistent with Metadata to improve accuracy; and recalculate targets where necessary with MOH</w:t>
      </w:r>
    </w:p>
    <w:p w14:paraId="78EB7A45" w14:textId="77777777" w:rsidR="000700E5" w:rsidRDefault="00204AF7" w:rsidP="00461F30">
      <w:pPr>
        <w:pStyle w:val="NoSpacing"/>
        <w:numPr>
          <w:ilvl w:val="0"/>
          <w:numId w:val="26"/>
        </w:numPr>
      </w:pPr>
      <w:r w:rsidRPr="00461F30">
        <w:rPr>
          <w:b/>
          <w:bCs/>
        </w:rPr>
        <w:t>Issue:</w:t>
      </w:r>
      <w:r>
        <w:t xml:space="preserve"> </w:t>
      </w:r>
      <w:r w:rsidR="00636A85" w:rsidRPr="00B101D3">
        <w:t>Several indicators rely on accurate HIS data, which</w:t>
      </w:r>
      <w:r w:rsidR="000700E5">
        <w:t xml:space="preserve"> can be</w:t>
      </w:r>
      <w:r w:rsidR="00636A85" w:rsidRPr="00B101D3">
        <w:t xml:space="preserve"> unreliable</w:t>
      </w:r>
      <w:r w:rsidR="000700E5">
        <w:t xml:space="preserve">. </w:t>
      </w:r>
      <w:r w:rsidR="00636A85" w:rsidRPr="00B101D3">
        <w:t xml:space="preserve"> </w:t>
      </w:r>
    </w:p>
    <w:p w14:paraId="7CBEABE3" w14:textId="77777777" w:rsidR="000700E5" w:rsidRPr="00B101D3" w:rsidRDefault="000700E5" w:rsidP="00461F30">
      <w:pPr>
        <w:pStyle w:val="NoSpacing"/>
        <w:numPr>
          <w:ilvl w:val="0"/>
          <w:numId w:val="44"/>
        </w:numPr>
      </w:pPr>
      <w:r w:rsidRPr="00461F30">
        <w:rPr>
          <w:b/>
          <w:bCs/>
        </w:rPr>
        <w:t>Action:</w:t>
      </w:r>
      <w:r>
        <w:t xml:space="preserve">  Collaboration is needed with projects and agencies working on the </w:t>
      </w:r>
      <w:r w:rsidR="00D07DFF">
        <w:t xml:space="preserve">MOH </w:t>
      </w:r>
      <w:r>
        <w:t>HIS</w:t>
      </w:r>
      <w:r w:rsidR="00D07DFF">
        <w:t>,</w:t>
      </w:r>
      <w:r>
        <w:t xml:space="preserve"> </w:t>
      </w:r>
      <w:r w:rsidR="00D07DFF">
        <w:t>such as WHO</w:t>
      </w:r>
      <w:r w:rsidR="00204AF7">
        <w:t>, Burnet</w:t>
      </w:r>
      <w:r w:rsidR="00D07DFF">
        <w:t xml:space="preserve"> </w:t>
      </w:r>
      <w:r w:rsidR="00204AF7">
        <w:t xml:space="preserve"> </w:t>
      </w:r>
      <w:r w:rsidR="00D07DFF">
        <w:t xml:space="preserve">and World Bank </w:t>
      </w:r>
      <w:r>
        <w:t>to ensure HIS capacity is strengthened</w:t>
      </w:r>
      <w:r w:rsidR="00D07DFF">
        <w:t>, particularly for FP/SRH</w:t>
      </w:r>
    </w:p>
    <w:p w14:paraId="39D5295D" w14:textId="77777777" w:rsidR="00636A85" w:rsidRDefault="00204AF7" w:rsidP="003538C5">
      <w:pPr>
        <w:pStyle w:val="NoSpacing"/>
        <w:numPr>
          <w:ilvl w:val="0"/>
          <w:numId w:val="26"/>
        </w:numPr>
      </w:pPr>
      <w:r w:rsidRPr="00461F30">
        <w:rPr>
          <w:b/>
          <w:bCs/>
        </w:rPr>
        <w:t>Issue:</w:t>
      </w:r>
      <w:r>
        <w:t xml:space="preserve"> </w:t>
      </w:r>
      <w:r w:rsidR="00636A85" w:rsidRPr="005A1096">
        <w:t xml:space="preserve">The MEF is </w:t>
      </w:r>
      <w:r w:rsidR="008714F4" w:rsidRPr="005A1096">
        <w:t xml:space="preserve">not well </w:t>
      </w:r>
      <w:r w:rsidR="00F74147" w:rsidRPr="005A1096">
        <w:t xml:space="preserve">maintained </w:t>
      </w:r>
      <w:r w:rsidR="008714F4" w:rsidRPr="005A1096">
        <w:t>or</w:t>
      </w:r>
      <w:r w:rsidR="00636A85" w:rsidRPr="005A1096">
        <w:t xml:space="preserve"> </w:t>
      </w:r>
      <w:r w:rsidR="00461F30">
        <w:t xml:space="preserve">fully </w:t>
      </w:r>
      <w:r w:rsidR="00636A85" w:rsidRPr="005A1096">
        <w:t>utili</w:t>
      </w:r>
      <w:r w:rsidR="008714F4" w:rsidRPr="005A1096">
        <w:t>s</w:t>
      </w:r>
      <w:r w:rsidR="00636A85" w:rsidRPr="005A1096">
        <w:t>ed by PSRO</w:t>
      </w:r>
      <w:r w:rsidR="00636A85" w:rsidRPr="00B101D3">
        <w:t>: baselines should not be input as results in subsequent years, as it is unclear (misleading) as to whether those are new results, or a repeat of the baseline; words of explanation should not be input where result numbers are expected; important data collection information is relegated to subtle/hidden comments</w:t>
      </w:r>
      <w:r w:rsidR="00D07DFF">
        <w:t xml:space="preserve"> (see comments on MEF Progress to Date – Annex 7).</w:t>
      </w:r>
    </w:p>
    <w:p w14:paraId="41A09F0A" w14:textId="77777777" w:rsidR="00D07DFF" w:rsidRDefault="00D07DFF" w:rsidP="00461F30">
      <w:pPr>
        <w:pStyle w:val="NoSpacing"/>
        <w:numPr>
          <w:ilvl w:val="0"/>
          <w:numId w:val="44"/>
        </w:numPr>
      </w:pPr>
      <w:r w:rsidRPr="00461F30">
        <w:rPr>
          <w:b/>
          <w:bCs/>
        </w:rPr>
        <w:t>Action</w:t>
      </w:r>
      <w:r>
        <w:t xml:space="preserve">: As part of creating a results-based culture, PSRO should make the MEF a daily management tool that guides implementation of the program. If an intervention does not create a result that can be captured in the MEF, then it should not be implemented. </w:t>
      </w:r>
    </w:p>
    <w:p w14:paraId="4A021CB2" w14:textId="77777777" w:rsidR="00636A85" w:rsidRPr="00B101D3" w:rsidRDefault="00636A85" w:rsidP="00B101D3">
      <w:pPr>
        <w:pStyle w:val="NoSpacing"/>
      </w:pPr>
    </w:p>
    <w:p w14:paraId="4E13BF3E" w14:textId="77777777" w:rsidR="00636A85" w:rsidRPr="00B101D3" w:rsidRDefault="00636A85" w:rsidP="00B101D3">
      <w:pPr>
        <w:pStyle w:val="NoSpacing"/>
      </w:pPr>
      <w:r w:rsidRPr="00B101D3">
        <w:t xml:space="preserve">In summary, the MEF </w:t>
      </w:r>
      <w:r w:rsidR="001851E7">
        <w:t>requires</w:t>
      </w:r>
      <w:r w:rsidRPr="00B101D3">
        <w:t xml:space="preserve"> significant revision, including the addition of more nationally-tailored indicators that are currently being captured by country HIS systems, as well as some proxy indicators to assist with high-level impact indicators (such as adolescent birth rates from annual birth data).  PSRO </w:t>
      </w:r>
      <w:r w:rsidR="009237DE" w:rsidRPr="00B101D3">
        <w:t>needs</w:t>
      </w:r>
      <w:r w:rsidRPr="00B101D3">
        <w:t xml:space="preserve"> a senior level MEL expert to </w:t>
      </w:r>
      <w:r w:rsidR="00FD3F09">
        <w:t xml:space="preserve">lead </w:t>
      </w:r>
      <w:r w:rsidRPr="00B101D3">
        <w:t xml:space="preserve">this work. </w:t>
      </w:r>
    </w:p>
    <w:p w14:paraId="669C7A8C" w14:textId="77777777" w:rsidR="00462DDA" w:rsidRPr="00B101D3" w:rsidRDefault="00462DDA" w:rsidP="00B101D3">
      <w:pPr>
        <w:pStyle w:val="NoSpacing"/>
      </w:pPr>
    </w:p>
    <w:p w14:paraId="1C164293" w14:textId="77777777" w:rsidR="002B4705" w:rsidRDefault="002B4705" w:rsidP="00497F38">
      <w:pPr>
        <w:pStyle w:val="NoSpacing"/>
      </w:pPr>
      <w:r w:rsidRPr="00B101D3">
        <w:rPr>
          <w:b/>
          <w:bCs/>
          <w:i/>
          <w:iCs/>
        </w:rPr>
        <w:t>Recommendation</w:t>
      </w:r>
      <w:r w:rsidR="007E667E" w:rsidRPr="00B101D3">
        <w:rPr>
          <w:b/>
          <w:bCs/>
          <w:i/>
          <w:iCs/>
        </w:rPr>
        <w:t xml:space="preserve"> </w:t>
      </w:r>
      <w:r w:rsidR="004B7225">
        <w:rPr>
          <w:b/>
          <w:bCs/>
          <w:i/>
          <w:iCs/>
        </w:rPr>
        <w:t>12</w:t>
      </w:r>
      <w:r w:rsidRPr="00B101D3">
        <w:rPr>
          <w:b/>
          <w:bCs/>
          <w:i/>
          <w:iCs/>
        </w:rPr>
        <w:t>:</w:t>
      </w:r>
      <w:r>
        <w:t xml:space="preserve"> The MEF </w:t>
      </w:r>
      <w:r w:rsidR="00762202">
        <w:t xml:space="preserve">should </w:t>
      </w:r>
      <w:r>
        <w:t>be revised and finalised as an urgent priority</w:t>
      </w:r>
      <w:r w:rsidR="00461F30">
        <w:t>, and prior to the start of the 2021-22 work plans (to guide activities)</w:t>
      </w:r>
      <w:r w:rsidR="00347B5B">
        <w:t>,</w:t>
      </w:r>
      <w:r w:rsidR="00461F30">
        <w:t xml:space="preserve"> to </w:t>
      </w:r>
      <w:r w:rsidRPr="00420708">
        <w:t xml:space="preserve">ensure that </w:t>
      </w:r>
      <w:r>
        <w:t xml:space="preserve">output, outcome and </w:t>
      </w:r>
      <w:r w:rsidRPr="00420708">
        <w:t>impact</w:t>
      </w:r>
      <w:r>
        <w:t xml:space="preserve"> </w:t>
      </w:r>
      <w:r w:rsidRPr="00420708">
        <w:t xml:space="preserve">indicators are </w:t>
      </w:r>
      <w:r w:rsidR="00762202">
        <w:t xml:space="preserve">included and </w:t>
      </w:r>
      <w:r w:rsidRPr="00420708">
        <w:t>measurable</w:t>
      </w:r>
      <w:r>
        <w:t>;</w:t>
      </w:r>
      <w:r w:rsidRPr="00420708">
        <w:t xml:space="preserve"> that relevant FP data can be collected </w:t>
      </w:r>
      <w:r>
        <w:t xml:space="preserve">and reported </w:t>
      </w:r>
      <w:r w:rsidRPr="00420708">
        <w:t>by the MOH H</w:t>
      </w:r>
      <w:r>
        <w:t>IS</w:t>
      </w:r>
      <w:r w:rsidRPr="00420708">
        <w:t xml:space="preserve">; and that the strategic interventions </w:t>
      </w:r>
      <w:r>
        <w:t xml:space="preserve">each </w:t>
      </w:r>
      <w:r w:rsidRPr="00420708">
        <w:t>be allocated indicators to ensure advancement of these activities.</w:t>
      </w:r>
      <w:r w:rsidR="00B97A55">
        <w:t xml:space="preserve"> Some indicators may require national tailoring to accommodate differences in SRH data currently collected by </w:t>
      </w:r>
      <w:r w:rsidR="00762202">
        <w:t xml:space="preserve">the </w:t>
      </w:r>
      <w:r w:rsidR="002368C4">
        <w:t>country</w:t>
      </w:r>
      <w:r w:rsidR="00762202">
        <w:t xml:space="preserve"> level </w:t>
      </w:r>
      <w:r w:rsidR="002368C4">
        <w:t>HIS.</w:t>
      </w:r>
    </w:p>
    <w:p w14:paraId="1D04C298" w14:textId="77777777" w:rsidR="002F26D7" w:rsidRDefault="002F26D7" w:rsidP="00497F38">
      <w:pPr>
        <w:pStyle w:val="NoSpacing"/>
      </w:pPr>
    </w:p>
    <w:p w14:paraId="5AA9F5BE" w14:textId="77777777" w:rsidR="00020733" w:rsidRDefault="00020733" w:rsidP="00020733">
      <w:pPr>
        <w:pStyle w:val="NoSpacing"/>
      </w:pPr>
      <w:r w:rsidRPr="007E6BBF">
        <w:rPr>
          <w:b/>
          <w:bCs/>
          <w:i/>
          <w:iCs/>
        </w:rPr>
        <w:t xml:space="preserve">Recommendation </w:t>
      </w:r>
      <w:r w:rsidR="004B7225">
        <w:rPr>
          <w:b/>
          <w:bCs/>
          <w:i/>
          <w:iCs/>
        </w:rPr>
        <w:t>13</w:t>
      </w:r>
      <w:r w:rsidRPr="007E6BBF">
        <w:rPr>
          <w:b/>
          <w:bCs/>
          <w:i/>
          <w:iCs/>
        </w:rPr>
        <w:t>:</w:t>
      </w:r>
      <w:r>
        <w:t xml:space="preserve"> PSRO contract a senior level monitoring, evaluation and learning (MEL) technical specialist as soon as possible to manage TA Program MEL and create and enable a results-oriented MEL institutional culture within UNFPA.</w:t>
      </w:r>
    </w:p>
    <w:p w14:paraId="45456086" w14:textId="77777777" w:rsidR="000315D8" w:rsidRDefault="004F7328" w:rsidP="003538C5">
      <w:pPr>
        <w:pStyle w:val="NumberedLevel1heading"/>
        <w:numPr>
          <w:ilvl w:val="0"/>
          <w:numId w:val="27"/>
        </w:numPr>
        <w:jc w:val="left"/>
        <w:rPr>
          <w:lang w:bidi="ar-SA"/>
        </w:rPr>
      </w:pPr>
      <w:bookmarkStart w:id="41" w:name="_Toc481663985"/>
      <w:bookmarkStart w:id="42" w:name="_Toc76630101"/>
      <w:r>
        <w:rPr>
          <w:lang w:bidi="ar-SA"/>
        </w:rPr>
        <w:t>Governance</w:t>
      </w:r>
      <w:bookmarkEnd w:id="42"/>
    </w:p>
    <w:p w14:paraId="3C00AAAE" w14:textId="7ABC6E1F" w:rsidR="00C54307" w:rsidRPr="000B4E0A" w:rsidRDefault="008714F4" w:rsidP="000B4E0A">
      <w:pPr>
        <w:pStyle w:val="ListParagraph"/>
        <w:numPr>
          <w:ilvl w:val="0"/>
          <w:numId w:val="0"/>
        </w:numPr>
        <w:spacing w:after="0" w:line="240" w:lineRule="auto"/>
        <w:ind w:left="720"/>
        <w:contextualSpacing/>
        <w:rPr>
          <w:rFonts w:cstheme="minorHAnsi"/>
          <w:sz w:val="20"/>
          <w:szCs w:val="20"/>
        </w:rPr>
      </w:pPr>
      <w:r>
        <w:rPr>
          <w:noProof/>
          <w:lang w:val="en-AU" w:eastAsia="en-AU"/>
        </w:rPr>
        <mc:AlternateContent>
          <mc:Choice Requires="wps">
            <w:drawing>
              <wp:inline distT="0" distB="0" distL="0" distR="0" wp14:anchorId="6F1FFD50" wp14:editId="57C54F06">
                <wp:extent cx="5705475" cy="1276350"/>
                <wp:effectExtent l="0" t="0" r="28575"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76350"/>
                        </a:xfrm>
                        <a:prstGeom prst="rect">
                          <a:avLst/>
                        </a:prstGeom>
                        <a:solidFill>
                          <a:srgbClr val="FFFFFF"/>
                        </a:solidFill>
                        <a:ln w="9525">
                          <a:solidFill>
                            <a:srgbClr val="000000"/>
                          </a:solidFill>
                          <a:miter lim="800000"/>
                          <a:headEnd/>
                          <a:tailEnd/>
                        </a:ln>
                      </wps:spPr>
                      <wps:txbx>
                        <w:txbxContent>
                          <w:p w14:paraId="2F727848" w14:textId="77777777" w:rsidR="00051F27" w:rsidRPr="00D63164" w:rsidRDefault="00051F27">
                            <w:pPr>
                              <w:rPr>
                                <w:rFonts w:cstheme="minorHAnsi"/>
                                <w:sz w:val="18"/>
                                <w:szCs w:val="18"/>
                              </w:rPr>
                            </w:pPr>
                            <w:r>
                              <w:rPr>
                                <w:rFonts w:cstheme="minorHAnsi"/>
                                <w:sz w:val="18"/>
                                <w:szCs w:val="18"/>
                              </w:rPr>
                              <w:t>A</w:t>
                            </w:r>
                            <w:r w:rsidRPr="00D63164">
                              <w:rPr>
                                <w:rFonts w:cstheme="minorHAnsi"/>
                                <w:sz w:val="18"/>
                                <w:szCs w:val="18"/>
                              </w:rPr>
                              <w:t>re arrangements providing appropriate oversight and sufficient; been adhered to; managing risks and responding to lessons learned?</w:t>
                            </w:r>
                          </w:p>
                          <w:p w14:paraId="557D3C4B" w14:textId="77777777" w:rsidR="00051F27" w:rsidRPr="00D63164" w:rsidRDefault="00051F27">
                            <w:pPr>
                              <w:rPr>
                                <w:rFonts w:cstheme="minorHAnsi"/>
                                <w:sz w:val="18"/>
                                <w:szCs w:val="18"/>
                              </w:rPr>
                            </w:pPr>
                            <w:r w:rsidRPr="00D63164">
                              <w:rPr>
                                <w:rFonts w:cstheme="minorHAnsi"/>
                                <w:sz w:val="18"/>
                                <w:szCs w:val="18"/>
                              </w:rPr>
                              <w:t>What are the strengths and weaknesses of UNFPA’s planning, management, implementation, risk management and reporting processes for TA; and how could they be improved?</w:t>
                            </w:r>
                          </w:p>
                          <w:p w14:paraId="407EF6CB" w14:textId="77777777" w:rsidR="00051F27" w:rsidRPr="00D63164" w:rsidRDefault="00051F27">
                            <w:pPr>
                              <w:rPr>
                                <w:rFonts w:cstheme="minorHAnsi"/>
                                <w:sz w:val="18"/>
                                <w:szCs w:val="18"/>
                              </w:rPr>
                            </w:pPr>
                            <w:r w:rsidRPr="00D63164">
                              <w:rPr>
                                <w:rFonts w:cstheme="minorHAnsi"/>
                                <w:sz w:val="18"/>
                                <w:szCs w:val="18"/>
                              </w:rPr>
                              <w:t>What is the impact of and implications for COVID-19 on implementation and achievement of outcomes and accountability?</w:t>
                            </w:r>
                          </w:p>
                        </w:txbxContent>
                      </wps:txbx>
                      <wps:bodyPr rot="0" vert="horz" wrap="square" lIns="91440" tIns="45720" rIns="91440" bIns="45720" anchor="t" anchorCtr="0">
                        <a:noAutofit/>
                      </wps:bodyPr>
                    </wps:wsp>
                  </a:graphicData>
                </a:graphic>
              </wp:inline>
            </w:drawing>
          </mc:Choice>
          <mc:Fallback>
            <w:pict>
              <v:shape w14:anchorId="6F1FFD50" id="_x0000_s1031" type="#_x0000_t202" style="width:449.2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">
                <v:textbox>
                  <w:txbxContent>
                    <w:p w14:paraId="2F727848" w14:textId="77777777" w:rsidR="00051F27" w:rsidRPr="00D63164" w:rsidRDefault="00051F27">
                      <w:pPr>
                        <w:rPr>
                          <w:rFonts w:cstheme="minorHAnsi"/>
                          <w:sz w:val="18"/>
                          <w:szCs w:val="18"/>
                        </w:rPr>
                      </w:pPr>
                      <w:r>
                        <w:rPr>
                          <w:rFonts w:cstheme="minorHAnsi"/>
                          <w:sz w:val="18"/>
                          <w:szCs w:val="18"/>
                        </w:rPr>
                        <w:t>A</w:t>
                      </w:r>
                      <w:r w:rsidRPr="00D63164">
                        <w:rPr>
                          <w:rFonts w:cstheme="minorHAnsi"/>
                          <w:sz w:val="18"/>
                          <w:szCs w:val="18"/>
                        </w:rPr>
                        <w:t>re arrangements providing appropriate oversight and sufficient; been adhered to; managing risks and responding to lessons learned?</w:t>
                      </w:r>
                    </w:p>
                    <w:p w14:paraId="557D3C4B" w14:textId="77777777" w:rsidR="00051F27" w:rsidRPr="00D63164" w:rsidRDefault="00051F27">
                      <w:pPr>
                        <w:rPr>
                          <w:rFonts w:cstheme="minorHAnsi"/>
                          <w:sz w:val="18"/>
                          <w:szCs w:val="18"/>
                        </w:rPr>
                      </w:pPr>
                      <w:r w:rsidRPr="00D63164">
                        <w:rPr>
                          <w:rFonts w:cstheme="minorHAnsi"/>
                          <w:sz w:val="18"/>
                          <w:szCs w:val="18"/>
                        </w:rPr>
                        <w:t>What are the strengths and weaknesses of UNFPA’s planning, management, implementation, risk management and reporting processes for TA; and how could they be improved?</w:t>
                      </w:r>
                    </w:p>
                    <w:p w14:paraId="407EF6CB" w14:textId="77777777" w:rsidR="00051F27" w:rsidRPr="00D63164" w:rsidRDefault="00051F27">
                      <w:pPr>
                        <w:rPr>
                          <w:rFonts w:cstheme="minorHAnsi"/>
                          <w:sz w:val="18"/>
                          <w:szCs w:val="18"/>
                        </w:rPr>
                      </w:pPr>
                      <w:r w:rsidRPr="00D63164">
                        <w:rPr>
                          <w:rFonts w:cstheme="minorHAnsi"/>
                          <w:sz w:val="18"/>
                          <w:szCs w:val="18"/>
                        </w:rPr>
                        <w:t>What is the impact of and implications for COVID-19 on implementation and achievement of outcomes and accountability?</w:t>
                      </w:r>
                    </w:p>
                  </w:txbxContent>
                </v:textbox>
                <w10:anchorlock/>
              </v:shape>
            </w:pict>
          </mc:Fallback>
        </mc:AlternateContent>
      </w:r>
    </w:p>
    <w:p w14:paraId="00A0AA2F" w14:textId="77777777" w:rsidR="00C54307" w:rsidRDefault="00C54307" w:rsidP="009137D8">
      <w:pPr>
        <w:pStyle w:val="NoSpacing"/>
      </w:pPr>
    </w:p>
    <w:p w14:paraId="2EAD7FCD" w14:textId="77777777" w:rsidR="00E4517F" w:rsidRPr="009137D8" w:rsidRDefault="007E069B" w:rsidP="009137D8">
      <w:pPr>
        <w:pStyle w:val="NoSpacing"/>
      </w:pPr>
      <w:r w:rsidRPr="009137D8">
        <w:t>Governance in the TA program, as designed in the PDD, consists of the TA Steering Committee comprising DFAT and PSRO program management team. There has been</w:t>
      </w:r>
      <w:r w:rsidR="001851E7">
        <w:t xml:space="preserve"> effective</w:t>
      </w:r>
      <w:r w:rsidR="00E4517F" w:rsidRPr="009137D8">
        <w:t xml:space="preserve"> communication and collaboration between PSRO and DFAT Canberra with </w:t>
      </w:r>
      <w:r w:rsidR="00697D94">
        <w:t>six</w:t>
      </w:r>
      <w:r w:rsidR="00E4517F" w:rsidRPr="009137D8">
        <w:t xml:space="preserve"> monthly strategic guidance and progress reviews</w:t>
      </w:r>
      <w:r w:rsidRPr="005A1096">
        <w:t xml:space="preserve">. </w:t>
      </w:r>
      <w:r w:rsidR="0016744D" w:rsidRPr="005A1096">
        <w:t>However, t</w:t>
      </w:r>
      <w:r w:rsidR="002A7A67" w:rsidRPr="005A1096">
        <w:t xml:space="preserve">here </w:t>
      </w:r>
      <w:r w:rsidR="0016744D" w:rsidRPr="005A1096">
        <w:t xml:space="preserve">has needed to be some accommodation on both sides </w:t>
      </w:r>
      <w:r w:rsidR="002A7A67" w:rsidRPr="005A1096">
        <w:t xml:space="preserve">as UNFPA commonly manages core funding for their planned program and </w:t>
      </w:r>
      <w:r w:rsidR="002A7A67" w:rsidRPr="005A1096">
        <w:rPr>
          <w:rFonts w:cstheme="minorHAnsi"/>
        </w:rPr>
        <w:t xml:space="preserve">the </w:t>
      </w:r>
      <w:r w:rsidR="002A7A67" w:rsidRPr="005A1096">
        <w:rPr>
          <w:rFonts w:eastAsia="Arial" w:cstheme="minorHAnsi"/>
          <w:color w:val="000000"/>
        </w:rPr>
        <w:t>TA program required a complete reorientation of the work of UNFPA PSRO.</w:t>
      </w:r>
      <w:r w:rsidR="00710E11">
        <w:t xml:space="preserve"> Similarly</w:t>
      </w:r>
      <w:r w:rsidR="00D63164">
        <w:t>,</w:t>
      </w:r>
      <w:r w:rsidR="00710E11">
        <w:t xml:space="preserve"> DFAT </w:t>
      </w:r>
      <w:r w:rsidR="00177459">
        <w:t xml:space="preserve">is not accustomed to adapting to the </w:t>
      </w:r>
      <w:r w:rsidR="00710E11">
        <w:t xml:space="preserve">stringent administrative procedures </w:t>
      </w:r>
      <w:r w:rsidR="00701EE7">
        <w:t>required by UNFPA</w:t>
      </w:r>
      <w:r w:rsidR="00FD3F09">
        <w:t>,</w:t>
      </w:r>
      <w:r w:rsidR="00701EE7">
        <w:t xml:space="preserve"> </w:t>
      </w:r>
      <w:r w:rsidR="00710E11">
        <w:t xml:space="preserve">which are </w:t>
      </w:r>
      <w:r w:rsidR="001851E7">
        <w:t>impacting</w:t>
      </w:r>
      <w:r w:rsidR="00710E11">
        <w:t xml:space="preserve"> progress.   </w:t>
      </w:r>
    </w:p>
    <w:p w14:paraId="510CB430" w14:textId="77777777" w:rsidR="009137D8" w:rsidRPr="009137D8" w:rsidRDefault="009137D8" w:rsidP="009137D8">
      <w:pPr>
        <w:pStyle w:val="NoSpacing"/>
      </w:pPr>
    </w:p>
    <w:p w14:paraId="6F697D2C" w14:textId="77777777" w:rsidR="009137D8" w:rsidRDefault="009137D8" w:rsidP="009137D8">
      <w:pPr>
        <w:pStyle w:val="NoSpacing"/>
      </w:pPr>
      <w:r w:rsidRPr="009137D8">
        <w:t>The</w:t>
      </w:r>
      <w:r w:rsidR="00715E59">
        <w:t xml:space="preserve"> PDD also made </w:t>
      </w:r>
      <w:r w:rsidRPr="009137D8">
        <w:t xml:space="preserve">provision for </w:t>
      </w:r>
      <w:r>
        <w:t xml:space="preserve">technical governance through </w:t>
      </w:r>
      <w:r w:rsidRPr="009137D8">
        <w:t xml:space="preserve">a TA Technical Team </w:t>
      </w:r>
      <w:r>
        <w:t xml:space="preserve">(TATT) </w:t>
      </w:r>
      <w:r w:rsidR="00D466AA">
        <w:t xml:space="preserve">with </w:t>
      </w:r>
      <w:r w:rsidRPr="009137D8">
        <w:t>quarterly meeting</w:t>
      </w:r>
      <w:r w:rsidR="00D466AA">
        <w:t>s</w:t>
      </w:r>
      <w:r w:rsidRPr="009137D8">
        <w:t xml:space="preserve"> to oversee TA technical activities and ensure regional agencies’ technical capabilities are capitalized upon in a coordinated and efficient manner. The TATT was to comprise UNFPA Technical Advisers and Programme Specialists and DFAT representatives from Health Policy Branch, DFAT Suva Post, with co</w:t>
      </w:r>
      <w:r w:rsidR="00FD54CA">
        <w:t>-</w:t>
      </w:r>
      <w:r w:rsidRPr="009137D8">
        <w:t xml:space="preserve">opted members such as UNICEF, WHO, IPPF, </w:t>
      </w:r>
      <w:r w:rsidR="00BA2522">
        <w:rPr>
          <w:rFonts w:eastAsia="Calibri"/>
          <w:highlight w:val="white"/>
        </w:rPr>
        <w:t>Council of Regional Organisations in the Pacific</w:t>
      </w:r>
      <w:r w:rsidR="00BA2522" w:rsidRPr="009137D8">
        <w:t xml:space="preserve"> </w:t>
      </w:r>
      <w:r w:rsidR="00BA2522">
        <w:t>(</w:t>
      </w:r>
      <w:r w:rsidRPr="009137D8">
        <w:t>CROP</w:t>
      </w:r>
      <w:r w:rsidR="00BA2522">
        <w:t>)</w:t>
      </w:r>
      <w:r w:rsidRPr="009137D8">
        <w:t xml:space="preserve"> agencies and MFAT as needed.  </w:t>
      </w:r>
      <w:r>
        <w:t xml:space="preserve">There is no </w:t>
      </w:r>
      <w:r>
        <w:lastRenderedPageBreak/>
        <w:t>evidence that this mechanism is functioning. Given the need to review technical inputs into the remaining years of the TA program, this team should be convened</w:t>
      </w:r>
      <w:r w:rsidR="00FD54CA">
        <w:t xml:space="preserve"> and meet at least every six months</w:t>
      </w:r>
      <w:r>
        <w:t xml:space="preserve">. </w:t>
      </w:r>
    </w:p>
    <w:p w14:paraId="3CF40083" w14:textId="77777777" w:rsidR="009137D8" w:rsidRDefault="009137D8" w:rsidP="009137D8">
      <w:pPr>
        <w:pStyle w:val="NoSpacing"/>
      </w:pPr>
    </w:p>
    <w:p w14:paraId="77C4816C" w14:textId="77777777" w:rsidR="00FD54CA" w:rsidRDefault="009137D8" w:rsidP="009137D8">
      <w:pPr>
        <w:pStyle w:val="NoSpacing"/>
      </w:pPr>
      <w:r w:rsidRPr="006B246D">
        <w:rPr>
          <w:b/>
          <w:bCs/>
          <w:i/>
          <w:iCs/>
        </w:rPr>
        <w:t>Recommendation</w:t>
      </w:r>
      <w:r w:rsidR="00223EA7" w:rsidRPr="006B246D">
        <w:rPr>
          <w:b/>
          <w:bCs/>
          <w:i/>
          <w:iCs/>
        </w:rPr>
        <w:t xml:space="preserve"> </w:t>
      </w:r>
      <w:r w:rsidR="004B7225">
        <w:rPr>
          <w:b/>
          <w:bCs/>
          <w:i/>
          <w:iCs/>
        </w:rPr>
        <w:t>14</w:t>
      </w:r>
      <w:r w:rsidRPr="006B246D">
        <w:rPr>
          <w:b/>
          <w:bCs/>
          <w:i/>
          <w:iCs/>
        </w:rPr>
        <w:t>:</w:t>
      </w:r>
      <w:r>
        <w:rPr>
          <w:b/>
          <w:bCs/>
        </w:rPr>
        <w:t xml:space="preserve"> </w:t>
      </w:r>
      <w:r w:rsidRPr="009137D8">
        <w:t>The TA Technical Team (</w:t>
      </w:r>
      <w:r w:rsidR="002202DF" w:rsidRPr="00FF7B93">
        <w:t>UNFPA Technical Advisers and Programme Specialists</w:t>
      </w:r>
      <w:r w:rsidR="002202DF">
        <w:t xml:space="preserve">, </w:t>
      </w:r>
      <w:r>
        <w:t>DFAT</w:t>
      </w:r>
      <w:r w:rsidR="00FD54CA">
        <w:t xml:space="preserve"> Canberra</w:t>
      </w:r>
      <w:r>
        <w:t>,</w:t>
      </w:r>
      <w:r w:rsidR="00FD54CA">
        <w:t xml:space="preserve"> DFAT Suva, IPPF, WHO</w:t>
      </w:r>
      <w:r w:rsidR="00943BBD">
        <w:t xml:space="preserve">, </w:t>
      </w:r>
      <w:r w:rsidR="00943BBD" w:rsidRPr="00FF7B93">
        <w:t>UNICEF, C</w:t>
      </w:r>
      <w:r w:rsidR="00943BBD">
        <w:t>ouncil of Regional Organisations - C</w:t>
      </w:r>
      <w:r w:rsidR="00943BBD" w:rsidRPr="00FF7B93">
        <w:t>ROP agencies</w:t>
      </w:r>
      <w:r w:rsidR="00943BBD">
        <w:t xml:space="preserve"> etc.</w:t>
      </w:r>
      <w:r w:rsidR="00FD54CA">
        <w:t xml:space="preserve">) </w:t>
      </w:r>
      <w:r w:rsidR="006B246D">
        <w:t xml:space="preserve">meet every six months </w:t>
      </w:r>
      <w:r w:rsidR="001B773E">
        <w:t xml:space="preserve">to review </w:t>
      </w:r>
      <w:r w:rsidR="00FD54CA">
        <w:t>technical inputs</w:t>
      </w:r>
      <w:r w:rsidR="001B773E">
        <w:rPr>
          <w:rStyle w:val="FootnoteReference"/>
        </w:rPr>
        <w:footnoteReference w:id="31"/>
      </w:r>
      <w:r w:rsidR="00FD54CA">
        <w:t xml:space="preserve"> into the final years of the TA program, particularly SDP SRH training, BCC strategies and dissemination</w:t>
      </w:r>
      <w:r w:rsidR="003E5AD8">
        <w:t>,</w:t>
      </w:r>
      <w:r w:rsidR="00FD54CA">
        <w:t xml:space="preserve"> and MOH HIS strengthening.</w:t>
      </w:r>
    </w:p>
    <w:p w14:paraId="48A5F249" w14:textId="77777777" w:rsidR="00FD54CA" w:rsidRDefault="00FD54CA" w:rsidP="009137D8">
      <w:pPr>
        <w:pStyle w:val="NoSpacing"/>
      </w:pPr>
    </w:p>
    <w:p w14:paraId="214CC3A5" w14:textId="77777777" w:rsidR="00B729A8" w:rsidRDefault="00FD54CA" w:rsidP="00710E11">
      <w:pPr>
        <w:pStyle w:val="NoSpacing"/>
      </w:pPr>
      <w:r>
        <w:t xml:space="preserve">Management arrangements also provided for governance relationships between the PSRO Management Team and the MOH coordination mechanisms </w:t>
      </w:r>
      <w:proofErr w:type="gramStart"/>
      <w:r>
        <w:t>i.e.</w:t>
      </w:r>
      <w:proofErr w:type="gramEnd"/>
      <w:r>
        <w:t xml:space="preserve"> Fiji Reproductive Health Committee, Kiribati RMNCAH Committee, Samoa Health Sector Coordination Committee, Solomon Islands’ RMNCAH Committee, Tonga Reproductive Health Committee and Vanuatu RMNCAH Committee. These are all intersectoral committees which </w:t>
      </w:r>
      <w:r w:rsidR="00777BE6">
        <w:t xml:space="preserve">could be used to </w:t>
      </w:r>
      <w:r>
        <w:t xml:space="preserve">coordinate TA program planning. This </w:t>
      </w:r>
      <w:r w:rsidR="001851E7">
        <w:t xml:space="preserve">arrangement </w:t>
      </w:r>
      <w:r>
        <w:t xml:space="preserve">was </w:t>
      </w:r>
      <w:r w:rsidR="00651ADB">
        <w:t xml:space="preserve">established as the </w:t>
      </w:r>
      <w:r>
        <w:t>planning and coordination mechanism but has not been followed</w:t>
      </w:r>
      <w:r w:rsidR="00564E44">
        <w:t xml:space="preserve"> since the RMNCAH program ceased</w:t>
      </w:r>
      <w:r w:rsidR="006E59FD">
        <w:t xml:space="preserve"> </w:t>
      </w:r>
      <w:r w:rsidR="00651ADB">
        <w:t xml:space="preserve">(2019) </w:t>
      </w:r>
      <w:r w:rsidR="006E59FD">
        <w:t>and other committees lapsed</w:t>
      </w:r>
      <w:r>
        <w:t xml:space="preserve">. </w:t>
      </w:r>
      <w:r w:rsidR="002A7A67">
        <w:t>See Recommendation 1.</w:t>
      </w:r>
    </w:p>
    <w:p w14:paraId="18FA64B7" w14:textId="77777777" w:rsidR="0025306C" w:rsidRDefault="0025306C" w:rsidP="00710E11">
      <w:pPr>
        <w:pStyle w:val="NoSpacing"/>
      </w:pPr>
    </w:p>
    <w:p w14:paraId="58F676CD" w14:textId="77777777" w:rsidR="008246CB" w:rsidRDefault="008246CB" w:rsidP="00AD7DC1">
      <w:pPr>
        <w:pStyle w:val="Level2Heading"/>
        <w:numPr>
          <w:ilvl w:val="0"/>
          <w:numId w:val="0"/>
        </w:numPr>
        <w:outlineLvl w:val="1"/>
      </w:pPr>
      <w:bookmarkStart w:id="43" w:name="_Toc76630102"/>
      <w:r>
        <w:t>8.1</w:t>
      </w:r>
      <w:r>
        <w:tab/>
        <w:t>COVID-19 Impact</w:t>
      </w:r>
      <w:bookmarkEnd w:id="43"/>
    </w:p>
    <w:p w14:paraId="02388AC4" w14:textId="77777777" w:rsidR="00667BB8" w:rsidRDefault="002C4FE3" w:rsidP="00710E11">
      <w:pPr>
        <w:pStyle w:val="NoSpacing"/>
      </w:pPr>
      <w:r>
        <w:t xml:space="preserve">Ministries of Health should be at the forefront of TA program implementation; and are also </w:t>
      </w:r>
      <w:r w:rsidR="006541FE">
        <w:t>key in the preparation and response to COVID-19. MOH staff have been re-deployed to the COVID</w:t>
      </w:r>
      <w:r w:rsidR="00364BAE">
        <w:t>-19</w:t>
      </w:r>
      <w:r w:rsidR="006541FE">
        <w:t xml:space="preserve"> response</w:t>
      </w:r>
      <w:r w:rsidR="008875E4">
        <w:t xml:space="preserve">; some staff have been laid off; and </w:t>
      </w:r>
      <w:r w:rsidR="00DB06F7">
        <w:t>Ministries are requesting adjustment, delay or re-</w:t>
      </w:r>
      <w:r w:rsidR="002B7526">
        <w:t xml:space="preserve">scheduling </w:t>
      </w:r>
      <w:r w:rsidR="00DB06F7">
        <w:t xml:space="preserve">of </w:t>
      </w:r>
      <w:r w:rsidR="002B7526">
        <w:t xml:space="preserve">planned activities. The MTR team found it, understandably, very difficult to engage MOHs in the consultations for the MTR. </w:t>
      </w:r>
    </w:p>
    <w:p w14:paraId="4E303115" w14:textId="77777777" w:rsidR="00667BB8" w:rsidRDefault="00667BB8" w:rsidP="00710E11">
      <w:pPr>
        <w:pStyle w:val="NoSpacing"/>
      </w:pPr>
    </w:p>
    <w:p w14:paraId="29D7CF18" w14:textId="77777777" w:rsidR="00364BAE" w:rsidRDefault="00667BB8" w:rsidP="00710E11">
      <w:pPr>
        <w:pStyle w:val="NoSpacing"/>
      </w:pPr>
      <w:r>
        <w:t xml:space="preserve">PSRO anticipates that only 50% of planned implementation </w:t>
      </w:r>
      <w:r w:rsidR="00FD3F09">
        <w:t xml:space="preserve">in 2020 </w:t>
      </w:r>
      <w:r>
        <w:t xml:space="preserve">will </w:t>
      </w:r>
      <w:r w:rsidR="00EB08AB">
        <w:t>be possible</w:t>
      </w:r>
      <w:r w:rsidR="00EF68D9">
        <w:t xml:space="preserve">; </w:t>
      </w:r>
      <w:r w:rsidR="001145EF">
        <w:t xml:space="preserve">particularly with the </w:t>
      </w:r>
      <w:r w:rsidR="00EF68D9">
        <w:t xml:space="preserve">limits on the sizes of groups for training, meetings and community mobilisation </w:t>
      </w:r>
      <w:r w:rsidR="001145EF">
        <w:t xml:space="preserve">activities. </w:t>
      </w:r>
      <w:r w:rsidR="00B06F83">
        <w:t xml:space="preserve">The Pacific is embracing virtual meetings however, internet connectivity is challenging </w:t>
      </w:r>
      <w:r w:rsidR="00B74C19">
        <w:t>especially for use of videos in meetings.</w:t>
      </w:r>
      <w:r w:rsidR="00EB08AB">
        <w:t xml:space="preserve"> </w:t>
      </w:r>
    </w:p>
    <w:p w14:paraId="57309BBE" w14:textId="77777777" w:rsidR="00364BAE" w:rsidRDefault="00364BAE" w:rsidP="00710E11">
      <w:pPr>
        <w:pStyle w:val="NoSpacing"/>
      </w:pPr>
    </w:p>
    <w:p w14:paraId="7ED3A18F" w14:textId="77777777" w:rsidR="00A435C8" w:rsidRDefault="00364BAE" w:rsidP="00710E11">
      <w:pPr>
        <w:pStyle w:val="NoSpacing"/>
      </w:pPr>
      <w:r>
        <w:t>All reprogramming conducted by PSRO re</w:t>
      </w:r>
      <w:r w:rsidR="00651ADB">
        <w:t>lated to</w:t>
      </w:r>
      <w:r>
        <w:t xml:space="preserve"> COVID-19 should be reconsidered in light of the recommendations from this MTR.</w:t>
      </w:r>
      <w:r w:rsidR="00EF68D9">
        <w:t xml:space="preserve"> </w:t>
      </w:r>
      <w:r w:rsidR="00EB08AB">
        <w:t>Th</w:t>
      </w:r>
      <w:r w:rsidR="00661398">
        <w:t xml:space="preserve">e ongoing COVID-19 challenge </w:t>
      </w:r>
      <w:r w:rsidR="00204400">
        <w:t xml:space="preserve">follows years of </w:t>
      </w:r>
      <w:r w:rsidR="00651ADB">
        <w:t xml:space="preserve">low </w:t>
      </w:r>
      <w:r w:rsidR="00204400">
        <w:t>achievement and limited implementation</w:t>
      </w:r>
      <w:r w:rsidR="00384327">
        <w:t xml:space="preserve"> in the TA program.</w:t>
      </w:r>
      <w:r w:rsidR="00661398">
        <w:t xml:space="preserve"> </w:t>
      </w:r>
      <w:r w:rsidR="002B7526">
        <w:t xml:space="preserve"> </w:t>
      </w:r>
      <w:r w:rsidR="008875E4">
        <w:t xml:space="preserve"> </w:t>
      </w:r>
      <w:r w:rsidR="002C4FE3">
        <w:t xml:space="preserve"> </w:t>
      </w:r>
    </w:p>
    <w:p w14:paraId="17E9ED7A" w14:textId="77777777" w:rsidR="00E062EA" w:rsidRDefault="00D930A7" w:rsidP="003538C5">
      <w:pPr>
        <w:pStyle w:val="NumberedLevel1heading"/>
        <w:numPr>
          <w:ilvl w:val="0"/>
          <w:numId w:val="27"/>
        </w:numPr>
        <w:jc w:val="left"/>
        <w:rPr>
          <w:lang w:bidi="ar-SA"/>
        </w:rPr>
      </w:pPr>
      <w:bookmarkStart w:id="44" w:name="_Toc76630103"/>
      <w:r>
        <w:rPr>
          <w:lang w:bidi="ar-SA"/>
        </w:rPr>
        <w:t>Conclusion</w:t>
      </w:r>
      <w:bookmarkEnd w:id="44"/>
    </w:p>
    <w:p w14:paraId="044824FC" w14:textId="77777777" w:rsidR="00710E11" w:rsidRDefault="00651ADB" w:rsidP="00710E11">
      <w:pPr>
        <w:pStyle w:val="NoSpacing"/>
      </w:pPr>
      <w:r>
        <w:t>Despite timing issues and a challenging modality for implementation, t</w:t>
      </w:r>
      <w:r w:rsidR="00D930A7">
        <w:t xml:space="preserve">he TA program is the right program to support FP/SRH in the right </w:t>
      </w:r>
      <w:r w:rsidR="00710E11">
        <w:t xml:space="preserve">Pacific </w:t>
      </w:r>
      <w:r w:rsidR="00D930A7">
        <w:t>countries</w:t>
      </w:r>
      <w:r w:rsidR="00FD3F09">
        <w:t xml:space="preserve">. </w:t>
      </w:r>
      <w:r>
        <w:t xml:space="preserve">While it </w:t>
      </w:r>
      <w:r w:rsidR="00710E11">
        <w:t xml:space="preserve">was designed </w:t>
      </w:r>
      <w:r w:rsidR="00186653">
        <w:t xml:space="preserve">as </w:t>
      </w:r>
      <w:r w:rsidR="00710E11">
        <w:t xml:space="preserve">a health program as described in the PDD, </w:t>
      </w:r>
      <w:r>
        <w:t>it</w:t>
      </w:r>
      <w:r w:rsidR="00710E11">
        <w:t xml:space="preserve"> is being implemented in tandem with the UNFPA SRP6 which is much broader. This has </w:t>
      </w:r>
      <w:r w:rsidR="002A7A67">
        <w:t>d</w:t>
      </w:r>
      <w:r w:rsidR="00FD3F09">
        <w:t>iluted</w:t>
      </w:r>
      <w:r w:rsidR="002A7A67">
        <w:t xml:space="preserve"> an appropriate </w:t>
      </w:r>
      <w:r w:rsidR="00710E11">
        <w:t xml:space="preserve">focus on FP/SRH </w:t>
      </w:r>
      <w:r w:rsidR="002A7A67">
        <w:t xml:space="preserve">service delivery </w:t>
      </w:r>
      <w:r w:rsidR="00710E11">
        <w:t xml:space="preserve">and the fact that results </w:t>
      </w:r>
      <w:r w:rsidR="002A156C">
        <w:t xml:space="preserve">will </w:t>
      </w:r>
      <w:r w:rsidR="00710E11">
        <w:t xml:space="preserve">be achieved through health sector implementation. </w:t>
      </w:r>
    </w:p>
    <w:p w14:paraId="5EBF8BD8" w14:textId="77777777" w:rsidR="00710E11" w:rsidRDefault="00710E11" w:rsidP="00710E11">
      <w:pPr>
        <w:pStyle w:val="NoSpacing"/>
      </w:pPr>
    </w:p>
    <w:p w14:paraId="7564D56D" w14:textId="77777777" w:rsidR="00D346A3" w:rsidRDefault="00D930A7" w:rsidP="00710E11">
      <w:pPr>
        <w:pStyle w:val="NoSpacing"/>
      </w:pPr>
      <w:r>
        <w:t xml:space="preserve">The first half of the program was characterised by </w:t>
      </w:r>
      <w:r w:rsidR="00053137">
        <w:t>the</w:t>
      </w:r>
      <w:r>
        <w:t xml:space="preserve"> lack of an inception period to plan </w:t>
      </w:r>
      <w:r w:rsidR="00E85103">
        <w:t xml:space="preserve">properly </w:t>
      </w:r>
      <w:r>
        <w:t xml:space="preserve">for implementation and finalise </w:t>
      </w:r>
      <w:r w:rsidR="00E85103">
        <w:t xml:space="preserve">the </w:t>
      </w:r>
      <w:r>
        <w:t xml:space="preserve">M&amp;E framework; delayed recruitment of staff; cumbersome processes and </w:t>
      </w:r>
      <w:r w:rsidR="002A156C">
        <w:t xml:space="preserve">seemingly </w:t>
      </w:r>
      <w:r>
        <w:t xml:space="preserve">unsolvable administrative challenges; too many implementing partners; and Pacific health sectors pre-occupied with </w:t>
      </w:r>
      <w:r w:rsidR="00E85103">
        <w:t>disasters</w:t>
      </w:r>
      <w:r w:rsidR="002A156C">
        <w:t xml:space="preserve">, pandemics </w:t>
      </w:r>
      <w:r w:rsidR="00E85103">
        <w:t xml:space="preserve">and </w:t>
      </w:r>
      <w:r>
        <w:t>NCDs. The second half of the program will suffer from the ongoing COVID-19 pandemic and the restrictions and workload</w:t>
      </w:r>
      <w:r w:rsidR="00E85103">
        <w:t>s</w:t>
      </w:r>
      <w:r>
        <w:t xml:space="preserve"> that accompan</w:t>
      </w:r>
      <w:r w:rsidR="00E85103">
        <w:t>y</w:t>
      </w:r>
      <w:r>
        <w:t xml:space="preserve"> it, especially for the MOHs. </w:t>
      </w:r>
      <w:r w:rsidR="002A156C">
        <w:t>It will take longer than twenty (20) months to get the TA program back on track.</w:t>
      </w:r>
    </w:p>
    <w:p w14:paraId="385CAF62" w14:textId="77777777" w:rsidR="00710E11" w:rsidRDefault="00710E11" w:rsidP="00710E11">
      <w:pPr>
        <w:pStyle w:val="NoSpacing"/>
      </w:pPr>
    </w:p>
    <w:p w14:paraId="56C114F2" w14:textId="77777777" w:rsidR="00020733" w:rsidRPr="00D346A3" w:rsidRDefault="00020733" w:rsidP="00020733">
      <w:pPr>
        <w:spacing w:after="160" w:line="254" w:lineRule="auto"/>
        <w:contextualSpacing/>
        <w:rPr>
          <w:rFonts w:cstheme="minorBidi"/>
          <w:szCs w:val="22"/>
          <w:lang w:eastAsia="en-US" w:bidi="ar-SA"/>
        </w:rPr>
      </w:pPr>
      <w:r w:rsidRPr="001B1AE2">
        <w:rPr>
          <w:b/>
          <w:bCs/>
          <w:i/>
          <w:iCs/>
        </w:rPr>
        <w:t xml:space="preserve">Recommendation </w:t>
      </w:r>
      <w:r w:rsidR="004B7225">
        <w:rPr>
          <w:b/>
          <w:bCs/>
          <w:i/>
          <w:iCs/>
        </w:rPr>
        <w:t>15</w:t>
      </w:r>
      <w:r w:rsidRPr="001B1AE2">
        <w:rPr>
          <w:b/>
          <w:bCs/>
          <w:i/>
          <w:iCs/>
        </w:rPr>
        <w:t>:</w:t>
      </w:r>
      <w:r>
        <w:t xml:space="preserve"> Given the slow implementation of the TA program in the first 2 years of implementation, DFAT consider a four month implementation extension to enable 2 year work programs and also agree an option for a 12 month no-cost extension to the program for the period January to December 2023. If a 12 month no-cost extension is granted, funds for workplans for 2023 should be disbursed before February 2023 and repayment of unspent funds from 2022 should be allowed to be rolled over. The trigger for a decision on exercising the 12</w:t>
      </w:r>
      <w:r w:rsidR="00347B5B">
        <w:t>-</w:t>
      </w:r>
      <w:r>
        <w:t xml:space="preserve">month extension </w:t>
      </w:r>
      <w:r>
        <w:lastRenderedPageBreak/>
        <w:t>period would be DFAT’s decision based on 2021 and 2022 performance reports and made no later than 30 April 2022.</w:t>
      </w:r>
    </w:p>
    <w:p w14:paraId="484D79A8" w14:textId="77777777" w:rsidR="00E779BE" w:rsidRDefault="00E779BE" w:rsidP="00651ADB">
      <w:pPr>
        <w:spacing w:after="160" w:line="254" w:lineRule="auto"/>
        <w:contextualSpacing/>
      </w:pPr>
    </w:p>
    <w:p w14:paraId="5F40F187" w14:textId="77777777" w:rsidR="00527F27" w:rsidRPr="00714E9A" w:rsidRDefault="00E779BE" w:rsidP="00714E9A">
      <w:pPr>
        <w:rPr>
          <w:lang w:val="en-US"/>
        </w:rPr>
        <w:sectPr w:rsidR="00527F27" w:rsidRPr="00714E9A" w:rsidSect="00527F27">
          <w:pgSz w:w="11907" w:h="16839" w:code="9"/>
          <w:pgMar w:top="720" w:right="720" w:bottom="720" w:left="720" w:header="709" w:footer="709" w:gutter="0"/>
          <w:cols w:space="708"/>
          <w:docGrid w:linePitch="360"/>
        </w:sectPr>
      </w:pPr>
      <w:r>
        <w:rPr>
          <w:lang w:val="en-US"/>
        </w:rPr>
        <w:t xml:space="preserve">The TA program is a </w:t>
      </w:r>
      <w:r w:rsidRPr="00325534">
        <w:rPr>
          <w:b/>
          <w:bCs/>
          <w:lang w:val="en-US"/>
        </w:rPr>
        <w:t>regional program</w:t>
      </w:r>
      <w:r>
        <w:rPr>
          <w:lang w:val="en-US"/>
        </w:rPr>
        <w:t xml:space="preserve"> attempting to roll out a suite of FP/SRH interventions across all six countries. This modality is difficult for UNFPA to manage and for IPs to implement, especially during the COVID restrictions. To </w:t>
      </w:r>
      <w:proofErr w:type="spellStart"/>
      <w:r>
        <w:rPr>
          <w:lang w:val="en-US"/>
        </w:rPr>
        <w:t>maximise</w:t>
      </w:r>
      <w:proofErr w:type="spellEnd"/>
      <w:r>
        <w:rPr>
          <w:lang w:val="en-US"/>
        </w:rPr>
        <w:t xml:space="preserve"> efficiency and effectiveness, more consideration needs to be given </w:t>
      </w:r>
      <w:proofErr w:type="gramStart"/>
      <w:r>
        <w:rPr>
          <w:lang w:val="en-US"/>
        </w:rPr>
        <w:t>to:</w:t>
      </w:r>
      <w:proofErr w:type="gramEnd"/>
      <w:r>
        <w:rPr>
          <w:lang w:val="en-US"/>
        </w:rPr>
        <w:t xml:space="preserve"> specific progress of each MOH </w:t>
      </w:r>
      <w:r w:rsidRPr="00287E77">
        <w:t>ensuring that SRHR is embedded in national UHC packages and policy documents</w:t>
      </w:r>
      <w:r>
        <w:t xml:space="preserve">; </w:t>
      </w:r>
      <w:r>
        <w:rPr>
          <w:lang w:val="en-US"/>
        </w:rPr>
        <w:t xml:space="preserve">and what resources exist in-country that could be supported to accelerate implementation. Lessons learnt for DFAT may be that FP/health programs are more effective if closer and more specific to country needs. </w:t>
      </w:r>
    </w:p>
    <w:p w14:paraId="597EBD88" w14:textId="77777777" w:rsidR="00781638" w:rsidRDefault="00F07B82" w:rsidP="00714E9A">
      <w:pPr>
        <w:pStyle w:val="NumberedLevel1heading"/>
        <w:jc w:val="left"/>
      </w:pPr>
      <w:bookmarkStart w:id="45" w:name="_Toc76630104"/>
      <w:r>
        <w:lastRenderedPageBreak/>
        <w:t>A</w:t>
      </w:r>
      <w:r w:rsidR="000259E1" w:rsidRPr="004A1955">
        <w:t xml:space="preserve">nnex 1: </w:t>
      </w:r>
      <w:r w:rsidR="009727B2" w:rsidRPr="004A1955">
        <w:t>Terms of Reference</w:t>
      </w:r>
      <w:bookmarkStart w:id="46" w:name="_Toc481663986"/>
      <w:bookmarkEnd w:id="41"/>
      <w:bookmarkEnd w:id="45"/>
    </w:p>
    <w:p w14:paraId="6E39DD0D" w14:textId="77777777" w:rsidR="009F6DE0" w:rsidRPr="009F6DE0" w:rsidRDefault="003259DC" w:rsidP="009F6DE0">
      <w:pPr>
        <w:rPr>
          <w:lang w:bidi="ar-SA"/>
        </w:rPr>
      </w:pPr>
      <w:r>
        <w:rPr>
          <w:lang w:bidi="ar-SA"/>
        </w:rPr>
        <w:t xml:space="preserve">       </w:t>
      </w:r>
      <w:r w:rsidR="009F6DE0">
        <w:rPr>
          <w:lang w:bidi="ar-SA"/>
        </w:rPr>
        <w:t>(Version 6 August 2020)</w:t>
      </w:r>
    </w:p>
    <w:tbl>
      <w:tblPr>
        <w:tblStyle w:val="TableGrid"/>
        <w:tblW w:w="4959" w:type="pct"/>
        <w:tblInd w:w="505" w:type="dxa"/>
        <w:tblLook w:val="04A0" w:firstRow="1" w:lastRow="0" w:firstColumn="1" w:lastColumn="0" w:noHBand="0" w:noVBand="1"/>
      </w:tblPr>
      <w:tblGrid>
        <w:gridCol w:w="1403"/>
        <w:gridCol w:w="8968"/>
      </w:tblGrid>
      <w:tr w:rsidR="009F6DE0" w:rsidRPr="00492ACE" w14:paraId="0EF4951C" w14:textId="77777777" w:rsidTr="00714E9A">
        <w:tc>
          <w:tcPr>
            <w:tcW w:w="676" w:type="pct"/>
            <w:shd w:val="clear" w:color="auto" w:fill="auto"/>
          </w:tcPr>
          <w:p w14:paraId="3CE222F9" w14:textId="77777777" w:rsidR="009F6DE0" w:rsidRPr="00492ACE" w:rsidRDefault="009F6DE0" w:rsidP="00CF4448">
            <w:pPr>
              <w:spacing w:before="120"/>
              <w:rPr>
                <w:rFonts w:ascii="Calibri" w:hAnsi="Calibri" w:cs="Arial"/>
                <w:b/>
                <w:szCs w:val="22"/>
              </w:rPr>
            </w:pPr>
            <w:r w:rsidRPr="00492ACE">
              <w:rPr>
                <w:rFonts w:ascii="Calibri" w:hAnsi="Calibri" w:cs="Arial"/>
                <w:b/>
                <w:szCs w:val="22"/>
              </w:rPr>
              <w:t>Position Title:</w:t>
            </w:r>
          </w:p>
        </w:tc>
        <w:tc>
          <w:tcPr>
            <w:tcW w:w="4324" w:type="pct"/>
          </w:tcPr>
          <w:p w14:paraId="4A648FFC" w14:textId="77777777" w:rsidR="009F6DE0" w:rsidRPr="00D0118A" w:rsidRDefault="009F6DE0" w:rsidP="00CF4448">
            <w:pPr>
              <w:spacing w:before="120"/>
              <w:rPr>
                <w:rFonts w:ascii="Calibri" w:hAnsi="Calibri"/>
                <w:szCs w:val="22"/>
              </w:rPr>
            </w:pPr>
            <w:r w:rsidRPr="008F58DB">
              <w:rPr>
                <w:rFonts w:cstheme="minorHAnsi"/>
                <w:szCs w:val="22"/>
              </w:rPr>
              <w:t>Mid Term Review of the $30 million Transformative Agenda for Women, Adolescents and Youth: Towards Unmet Need for Family Planning by 2022 (</w:t>
            </w:r>
            <w:r>
              <w:rPr>
                <w:rFonts w:cstheme="minorHAnsi"/>
                <w:szCs w:val="22"/>
              </w:rPr>
              <w:t>Transformative Agenda</w:t>
            </w:r>
            <w:r w:rsidRPr="008F58DB">
              <w:rPr>
                <w:rFonts w:cstheme="minorHAnsi"/>
                <w:szCs w:val="22"/>
              </w:rPr>
              <w:t>)</w:t>
            </w:r>
          </w:p>
        </w:tc>
      </w:tr>
      <w:tr w:rsidR="009F6DE0" w:rsidRPr="00492ACE" w14:paraId="2722224F" w14:textId="77777777" w:rsidTr="00714E9A">
        <w:trPr>
          <w:trHeight w:val="583"/>
        </w:trPr>
        <w:tc>
          <w:tcPr>
            <w:tcW w:w="676" w:type="pct"/>
            <w:shd w:val="clear" w:color="auto" w:fill="auto"/>
          </w:tcPr>
          <w:p w14:paraId="58090F7D" w14:textId="77777777" w:rsidR="009F6DE0" w:rsidRPr="00492ACE" w:rsidRDefault="009F6DE0" w:rsidP="00CF4448">
            <w:pPr>
              <w:spacing w:before="120"/>
              <w:rPr>
                <w:rFonts w:ascii="Calibri" w:hAnsi="Calibri" w:cs="Arial"/>
                <w:b/>
                <w:szCs w:val="22"/>
              </w:rPr>
            </w:pPr>
            <w:r w:rsidRPr="00492ACE">
              <w:rPr>
                <w:rFonts w:ascii="Calibri" w:hAnsi="Calibri" w:cs="Arial"/>
                <w:b/>
                <w:szCs w:val="22"/>
              </w:rPr>
              <w:t>Program:</w:t>
            </w:r>
          </w:p>
        </w:tc>
        <w:tc>
          <w:tcPr>
            <w:tcW w:w="4324" w:type="pct"/>
          </w:tcPr>
          <w:p w14:paraId="6EA410B7" w14:textId="77777777" w:rsidR="009F6DE0" w:rsidRPr="00D0118A" w:rsidRDefault="009F6DE0" w:rsidP="00CF4448">
            <w:pPr>
              <w:spacing w:before="120"/>
              <w:rPr>
                <w:rFonts w:ascii="Calibri" w:hAnsi="Calibri"/>
                <w:szCs w:val="22"/>
              </w:rPr>
            </w:pPr>
            <w:r w:rsidRPr="008F58DB">
              <w:rPr>
                <w:rFonts w:cstheme="minorHAnsi"/>
                <w:szCs w:val="22"/>
              </w:rPr>
              <w:t>Transformative Agenda for Women, Adolescents and Youth: Towards Zero Unmet Need for Family Planning by 2022</w:t>
            </w:r>
          </w:p>
        </w:tc>
      </w:tr>
      <w:tr w:rsidR="009F6DE0" w:rsidRPr="00492ACE" w14:paraId="564231DF" w14:textId="77777777" w:rsidTr="00714E9A">
        <w:tc>
          <w:tcPr>
            <w:tcW w:w="676" w:type="pct"/>
            <w:shd w:val="clear" w:color="auto" w:fill="auto"/>
          </w:tcPr>
          <w:p w14:paraId="638B04D8" w14:textId="77777777" w:rsidR="009F6DE0" w:rsidRPr="00492ACE" w:rsidRDefault="009F6DE0" w:rsidP="00CF4448">
            <w:pPr>
              <w:spacing w:before="120"/>
              <w:rPr>
                <w:rFonts w:ascii="Calibri" w:hAnsi="Calibri" w:cs="Arial"/>
                <w:b/>
                <w:szCs w:val="22"/>
              </w:rPr>
            </w:pPr>
            <w:r w:rsidRPr="00492ACE">
              <w:rPr>
                <w:rFonts w:ascii="Calibri" w:hAnsi="Calibri" w:cs="Arial"/>
                <w:b/>
                <w:szCs w:val="22"/>
              </w:rPr>
              <w:t>Term:</w:t>
            </w:r>
          </w:p>
        </w:tc>
        <w:tc>
          <w:tcPr>
            <w:tcW w:w="4324" w:type="pct"/>
          </w:tcPr>
          <w:p w14:paraId="6745ABA2" w14:textId="77777777" w:rsidR="009F6DE0" w:rsidRPr="0009176D" w:rsidRDefault="009F6DE0" w:rsidP="00CF4448">
            <w:pPr>
              <w:spacing w:before="120"/>
              <w:rPr>
                <w:rFonts w:cstheme="minorHAnsi"/>
                <w:szCs w:val="22"/>
              </w:rPr>
            </w:pPr>
            <w:r>
              <w:rPr>
                <w:rFonts w:cstheme="minorHAnsi"/>
                <w:szCs w:val="22"/>
              </w:rPr>
              <w:t xml:space="preserve">Evaluation </w:t>
            </w:r>
            <w:r w:rsidRPr="0009176D">
              <w:rPr>
                <w:rFonts w:cstheme="minorHAnsi"/>
                <w:szCs w:val="22"/>
              </w:rPr>
              <w:t xml:space="preserve">timeframe: 30 July to 30 </w:t>
            </w:r>
            <w:r>
              <w:rPr>
                <w:rFonts w:cstheme="minorHAnsi"/>
                <w:szCs w:val="22"/>
              </w:rPr>
              <w:t>November</w:t>
            </w:r>
            <w:r w:rsidRPr="0009176D">
              <w:rPr>
                <w:rFonts w:cstheme="minorHAnsi"/>
                <w:szCs w:val="22"/>
              </w:rPr>
              <w:t xml:space="preserve"> 2020 </w:t>
            </w:r>
          </w:p>
          <w:p w14:paraId="76D64588" w14:textId="77777777" w:rsidR="009F6DE0" w:rsidRPr="0009176D" w:rsidRDefault="009F6DE0" w:rsidP="003538C5">
            <w:pPr>
              <w:pStyle w:val="ListParagraph"/>
              <w:numPr>
                <w:ilvl w:val="0"/>
                <w:numId w:val="15"/>
              </w:numPr>
              <w:spacing w:before="120" w:after="200"/>
              <w:contextualSpacing/>
              <w:jc w:val="both"/>
              <w:rPr>
                <w:rFonts w:cstheme="minorHAnsi"/>
              </w:rPr>
            </w:pPr>
            <w:r w:rsidRPr="0009176D">
              <w:rPr>
                <w:rFonts w:cstheme="minorHAnsi"/>
              </w:rPr>
              <w:t xml:space="preserve">Team Leader: up to a maximum of 60 days for the Team Leader </w:t>
            </w:r>
          </w:p>
          <w:p w14:paraId="153670E3" w14:textId="77777777" w:rsidR="009F6DE0" w:rsidRPr="00A12C71" w:rsidRDefault="009F6DE0" w:rsidP="003538C5">
            <w:pPr>
              <w:pStyle w:val="ListParagraph"/>
              <w:numPr>
                <w:ilvl w:val="0"/>
                <w:numId w:val="15"/>
              </w:numPr>
              <w:spacing w:before="120" w:after="200"/>
              <w:contextualSpacing/>
              <w:jc w:val="both"/>
              <w:rPr>
                <w:rFonts w:cstheme="minorHAnsi"/>
              </w:rPr>
            </w:pPr>
            <w:r w:rsidRPr="0009176D">
              <w:rPr>
                <w:rFonts w:cstheme="minorHAnsi"/>
              </w:rPr>
              <w:t>Technical Specialist: up to maximum of 10 days</w:t>
            </w:r>
            <w:r w:rsidRPr="00A12C71">
              <w:rPr>
                <w:rFonts w:cstheme="minorHAnsi"/>
              </w:rPr>
              <w:t xml:space="preserve">  </w:t>
            </w:r>
          </w:p>
          <w:p w14:paraId="64957F51" w14:textId="77777777" w:rsidR="009F6DE0" w:rsidRPr="00A12C71" w:rsidRDefault="009F6DE0" w:rsidP="003538C5">
            <w:pPr>
              <w:pStyle w:val="ListParagraph"/>
              <w:numPr>
                <w:ilvl w:val="0"/>
                <w:numId w:val="15"/>
              </w:numPr>
              <w:spacing w:before="120" w:after="200"/>
              <w:contextualSpacing/>
              <w:jc w:val="both"/>
            </w:pPr>
            <w:r>
              <w:rPr>
                <w:rFonts w:cstheme="minorHAnsi"/>
              </w:rPr>
              <w:t>6 National Consultants for 6 countries: up to a maximum of 18</w:t>
            </w:r>
            <w:r w:rsidRPr="00A12C71">
              <w:rPr>
                <w:rFonts w:cstheme="minorHAnsi"/>
              </w:rPr>
              <w:t xml:space="preserve"> days</w:t>
            </w:r>
            <w:r>
              <w:rPr>
                <w:rFonts w:cstheme="minorHAnsi"/>
              </w:rPr>
              <w:t xml:space="preserve"> for each national consultant</w:t>
            </w:r>
            <w:r w:rsidRPr="00A12C71">
              <w:rPr>
                <w:rFonts w:cstheme="minorHAnsi"/>
              </w:rPr>
              <w:t xml:space="preserve"> </w:t>
            </w:r>
            <w:r w:rsidRPr="00A12C71" w:rsidDel="00B75239">
              <w:rPr>
                <w:rFonts w:cstheme="minorHAnsi"/>
              </w:rPr>
              <w:t xml:space="preserve"> </w:t>
            </w:r>
          </w:p>
        </w:tc>
      </w:tr>
      <w:tr w:rsidR="009F6DE0" w:rsidRPr="00492ACE" w14:paraId="4195E022" w14:textId="77777777" w:rsidTr="00714E9A">
        <w:tc>
          <w:tcPr>
            <w:tcW w:w="676" w:type="pct"/>
            <w:shd w:val="clear" w:color="auto" w:fill="auto"/>
          </w:tcPr>
          <w:p w14:paraId="448023FC" w14:textId="77777777" w:rsidR="009F6DE0" w:rsidRPr="00492ACE" w:rsidRDefault="009F6DE0" w:rsidP="00CF4448">
            <w:pPr>
              <w:spacing w:before="120"/>
              <w:rPr>
                <w:rFonts w:ascii="Calibri" w:hAnsi="Calibri" w:cs="Arial"/>
                <w:b/>
                <w:szCs w:val="22"/>
              </w:rPr>
            </w:pPr>
            <w:r w:rsidRPr="00492ACE">
              <w:rPr>
                <w:rFonts w:ascii="Calibri" w:hAnsi="Calibri" w:cs="Arial"/>
                <w:b/>
                <w:szCs w:val="22"/>
              </w:rPr>
              <w:t>Reporting to:</w:t>
            </w:r>
          </w:p>
        </w:tc>
        <w:tc>
          <w:tcPr>
            <w:tcW w:w="4324" w:type="pct"/>
          </w:tcPr>
          <w:p w14:paraId="02F14A93" w14:textId="77777777" w:rsidR="009F6DE0" w:rsidRDefault="009F6DE0" w:rsidP="00CF4448">
            <w:pPr>
              <w:spacing w:before="120"/>
              <w:rPr>
                <w:rFonts w:ascii="Calibri" w:hAnsi="Calibri"/>
                <w:szCs w:val="22"/>
              </w:rPr>
            </w:pPr>
            <w:r>
              <w:rPr>
                <w:rFonts w:ascii="Calibri" w:hAnsi="Calibri"/>
                <w:szCs w:val="22"/>
              </w:rPr>
              <w:t xml:space="preserve">This </w:t>
            </w:r>
            <w:proofErr w:type="spellStart"/>
            <w:r>
              <w:rPr>
                <w:rFonts w:ascii="Calibri" w:hAnsi="Calibri"/>
                <w:szCs w:val="22"/>
              </w:rPr>
              <w:t>ToR</w:t>
            </w:r>
            <w:proofErr w:type="spellEnd"/>
            <w:r>
              <w:rPr>
                <w:rFonts w:ascii="Calibri" w:hAnsi="Calibri"/>
                <w:szCs w:val="22"/>
              </w:rPr>
              <w:t xml:space="preserve"> is under an SHS Type 1 Service Order whereby SHS quality assures all deliverables prior to submitting them to DFAT (unless agreed by SHS in writing).  </w:t>
            </w:r>
          </w:p>
          <w:p w14:paraId="7DC69C93" w14:textId="77777777" w:rsidR="009F6DE0" w:rsidRPr="00697D94" w:rsidRDefault="009F6DE0" w:rsidP="00CF4448">
            <w:pPr>
              <w:spacing w:before="120"/>
              <w:rPr>
                <w:rFonts w:ascii="Calibri" w:hAnsi="Calibri"/>
              </w:rPr>
            </w:pPr>
            <w:r w:rsidRPr="00697D94">
              <w:rPr>
                <w:rFonts w:ascii="Calibri" w:hAnsi="Calibri"/>
                <w:szCs w:val="22"/>
              </w:rPr>
              <w:t xml:space="preserve">The SHS is responsible for the quality assurance of key deliverables. </w:t>
            </w:r>
            <w:r w:rsidRPr="00697D94">
              <w:rPr>
                <w:rFonts w:ascii="Calibri" w:hAnsi="Calibri"/>
              </w:rPr>
              <w:t xml:space="preserve">The adviser/s will submit the agreed deliverables to the SHS Advice Desk and copied to the designated SHS technical lead on the specified </w:t>
            </w:r>
            <w:r w:rsidR="009237DE" w:rsidRPr="00697D94">
              <w:rPr>
                <w:rFonts w:ascii="Calibri" w:hAnsi="Calibri"/>
              </w:rPr>
              <w:t>dates unless</w:t>
            </w:r>
            <w:r w:rsidRPr="00697D94">
              <w:rPr>
                <w:rFonts w:ascii="Calibri" w:hAnsi="Calibri"/>
              </w:rPr>
              <w:t xml:space="preserve"> other arrangements are confirmed in writing. The designated SHS technical lead will liaise with the advisor to ensure the final output meets DFAT requirements. Deliverables should be submitted to the SHS no fewer than 3 working days before the agreed deadline for submission to DFAT, to allow for this process. Draft outputs are not to be circulated beyond key counterparts until the final versions have been approved by the SHS.</w:t>
            </w:r>
          </w:p>
          <w:p w14:paraId="4771B5EE" w14:textId="77777777" w:rsidR="009F6DE0" w:rsidRPr="001276F8" w:rsidRDefault="009F6DE0" w:rsidP="00CF4448">
            <w:pPr>
              <w:spacing w:before="120"/>
              <w:rPr>
                <w:rFonts w:ascii="Calibri" w:hAnsi="Calibri"/>
                <w:szCs w:val="22"/>
              </w:rPr>
            </w:pPr>
            <w:r w:rsidRPr="001276F8">
              <w:rPr>
                <w:rFonts w:ascii="Calibri" w:hAnsi="Calibri"/>
                <w:szCs w:val="22"/>
              </w:rPr>
              <w:t>The Adviser will report to:</w:t>
            </w:r>
          </w:p>
          <w:p w14:paraId="705D460C" w14:textId="77777777" w:rsidR="009F6DE0" w:rsidRPr="008F58DB" w:rsidRDefault="009F6DE0" w:rsidP="00CF4448">
            <w:pPr>
              <w:spacing w:before="120"/>
              <w:rPr>
                <w:rFonts w:cstheme="minorHAnsi"/>
                <w:szCs w:val="22"/>
              </w:rPr>
            </w:pPr>
            <w:r w:rsidRPr="008F58DB">
              <w:rPr>
                <w:rFonts w:cstheme="minorHAnsi"/>
                <w:szCs w:val="22"/>
              </w:rPr>
              <w:t>SHS:</w:t>
            </w:r>
            <w:r>
              <w:rPr>
                <w:rFonts w:cstheme="minorHAnsi"/>
                <w:szCs w:val="22"/>
              </w:rPr>
              <w:t xml:space="preserve"> Jessica Gilmore</w:t>
            </w:r>
            <w:r w:rsidRPr="008F58DB">
              <w:rPr>
                <w:rFonts w:cstheme="minorHAnsi"/>
                <w:szCs w:val="22"/>
              </w:rPr>
              <w:t xml:space="preserve">, </w:t>
            </w:r>
            <w:r>
              <w:rPr>
                <w:rFonts w:cstheme="minorHAnsi"/>
                <w:szCs w:val="22"/>
              </w:rPr>
              <w:t>Director SHS</w:t>
            </w:r>
            <w:r w:rsidRPr="008F58DB">
              <w:rPr>
                <w:rFonts w:cstheme="minorHAnsi"/>
                <w:szCs w:val="22"/>
              </w:rPr>
              <w:t>,</w:t>
            </w:r>
            <w:r>
              <w:rPr>
                <w:rFonts w:cstheme="minorHAnsi"/>
                <w:szCs w:val="22"/>
              </w:rPr>
              <w:t xml:space="preserve"> </w:t>
            </w:r>
            <w:hyperlink r:id="rId20" w:history="1">
              <w:r w:rsidRPr="00D57C05">
                <w:rPr>
                  <w:rStyle w:val="Hyperlink"/>
                  <w:rFonts w:cstheme="minorHAnsi"/>
                  <w:color w:val="auto"/>
                  <w:szCs w:val="22"/>
                </w:rPr>
                <w:t>Jessica.Gillmore@shsglobal.com.au</w:t>
              </w:r>
            </w:hyperlink>
            <w:r>
              <w:rPr>
                <w:rFonts w:cstheme="minorHAnsi"/>
                <w:szCs w:val="22"/>
              </w:rPr>
              <w:t xml:space="preserve"> </w:t>
            </w:r>
          </w:p>
          <w:p w14:paraId="45552B5A" w14:textId="77777777" w:rsidR="009F6DE0" w:rsidRDefault="009F6DE0" w:rsidP="00CF4448">
            <w:pPr>
              <w:spacing w:before="120"/>
              <w:rPr>
                <w:rFonts w:cstheme="minorHAnsi"/>
                <w:szCs w:val="22"/>
              </w:rPr>
            </w:pPr>
            <w:r w:rsidRPr="008F58DB">
              <w:rPr>
                <w:rFonts w:cstheme="minorHAnsi"/>
                <w:szCs w:val="22"/>
              </w:rPr>
              <w:t>DFAT: Sally Mackay</w:t>
            </w:r>
            <w:r>
              <w:rPr>
                <w:rFonts w:cstheme="minorHAnsi"/>
                <w:szCs w:val="22"/>
              </w:rPr>
              <w:t xml:space="preserve"> </w:t>
            </w:r>
            <w:hyperlink r:id="rId21" w:history="1">
              <w:r w:rsidRPr="00D57C05">
                <w:rPr>
                  <w:rStyle w:val="Hyperlink"/>
                  <w:rFonts w:cstheme="minorHAnsi"/>
                  <w:color w:val="auto"/>
                  <w:szCs w:val="22"/>
                </w:rPr>
                <w:t>Sally.Mackay@dfat.gov.au</w:t>
              </w:r>
            </w:hyperlink>
            <w:r>
              <w:rPr>
                <w:rFonts w:cstheme="minorHAnsi"/>
                <w:szCs w:val="22"/>
              </w:rPr>
              <w:t xml:space="preserve">, </w:t>
            </w:r>
            <w:r w:rsidRPr="002D5466">
              <w:rPr>
                <w:rFonts w:cstheme="minorHAnsi"/>
                <w:szCs w:val="22"/>
              </w:rPr>
              <w:t>Assistant Director, Global Health Policy Branch</w:t>
            </w:r>
          </w:p>
          <w:p w14:paraId="6F6CF23C" w14:textId="77777777" w:rsidR="009F6DE0" w:rsidRPr="00676DCF" w:rsidRDefault="009F6DE0" w:rsidP="00CF4448">
            <w:pPr>
              <w:spacing w:before="120"/>
              <w:rPr>
                <w:rFonts w:cstheme="minorHAnsi"/>
                <w:szCs w:val="22"/>
              </w:rPr>
            </w:pPr>
            <w:r>
              <w:rPr>
                <w:rFonts w:cstheme="minorHAnsi"/>
                <w:szCs w:val="22"/>
              </w:rPr>
              <w:t>The Assistant Secretary of the Global Health Policy Branch is Kate Wallace.</w:t>
            </w:r>
          </w:p>
        </w:tc>
      </w:tr>
      <w:tr w:rsidR="009F6DE0" w:rsidRPr="00492ACE" w14:paraId="2795C0A2" w14:textId="77777777" w:rsidTr="00714E9A">
        <w:tc>
          <w:tcPr>
            <w:tcW w:w="676" w:type="pct"/>
            <w:shd w:val="clear" w:color="auto" w:fill="auto"/>
          </w:tcPr>
          <w:p w14:paraId="2DC44767" w14:textId="77777777" w:rsidR="009F6DE0" w:rsidRPr="00492ACE" w:rsidRDefault="009F6DE0" w:rsidP="00CF4448">
            <w:pPr>
              <w:spacing w:before="120"/>
              <w:rPr>
                <w:rFonts w:ascii="Calibri" w:hAnsi="Calibri" w:cs="Arial"/>
                <w:b/>
                <w:szCs w:val="22"/>
              </w:rPr>
            </w:pPr>
            <w:r w:rsidRPr="00492ACE">
              <w:rPr>
                <w:rFonts w:ascii="Calibri" w:hAnsi="Calibri" w:cs="Arial"/>
                <w:b/>
                <w:szCs w:val="22"/>
              </w:rPr>
              <w:t>Background:</w:t>
            </w:r>
          </w:p>
        </w:tc>
        <w:tc>
          <w:tcPr>
            <w:tcW w:w="4324" w:type="pct"/>
          </w:tcPr>
          <w:p w14:paraId="5DF40618" w14:textId="77777777" w:rsidR="009F6DE0" w:rsidRPr="008F58DB" w:rsidRDefault="009F6DE0" w:rsidP="00CF4448">
            <w:pPr>
              <w:spacing w:before="120"/>
              <w:rPr>
                <w:rFonts w:cstheme="minorHAnsi"/>
                <w:szCs w:val="22"/>
              </w:rPr>
            </w:pPr>
            <w:r w:rsidRPr="008F58DB">
              <w:rPr>
                <w:rFonts w:cstheme="minorHAnsi"/>
                <w:szCs w:val="22"/>
              </w:rPr>
              <w:t xml:space="preserve">In June 2018, DFAT commenced a new partnership with UNFPA, the $30 million Transformative Agenda for Women, Adolescents and Youth in the Pacific: Towards Unmet Need for Family Planning 2018-2022 (the </w:t>
            </w:r>
            <w:r>
              <w:rPr>
                <w:rFonts w:cstheme="minorHAnsi"/>
                <w:szCs w:val="22"/>
              </w:rPr>
              <w:t>Transformative Agenda). The Transformative Agenda is implemented in six countries – Fiji, Kiribati, Samoa, Solomon Islands, Tonga and Vanuatu</w:t>
            </w:r>
            <w:r w:rsidRPr="008F58DB">
              <w:rPr>
                <w:rFonts w:cstheme="minorHAnsi"/>
                <w:szCs w:val="22"/>
              </w:rPr>
              <w:t xml:space="preserve">. </w:t>
            </w:r>
          </w:p>
          <w:p w14:paraId="759AB217" w14:textId="77777777" w:rsidR="009F6DE0" w:rsidRPr="008F58DB" w:rsidRDefault="009F6DE0" w:rsidP="00CF4448">
            <w:pPr>
              <w:spacing w:after="0" w:line="240" w:lineRule="auto"/>
              <w:rPr>
                <w:rFonts w:cstheme="minorHAnsi"/>
                <w:szCs w:val="22"/>
              </w:rPr>
            </w:pPr>
            <w:r w:rsidRPr="008F58DB">
              <w:rPr>
                <w:rFonts w:cstheme="minorHAnsi"/>
                <w:szCs w:val="22"/>
              </w:rPr>
              <w:t xml:space="preserve">The </w:t>
            </w:r>
            <w:r>
              <w:rPr>
                <w:rFonts w:cstheme="minorHAnsi"/>
                <w:szCs w:val="22"/>
              </w:rPr>
              <w:t>Transformative Agenda</w:t>
            </w:r>
            <w:r w:rsidRPr="008F58DB">
              <w:rPr>
                <w:rFonts w:cstheme="minorHAnsi"/>
                <w:szCs w:val="22"/>
              </w:rPr>
              <w:t xml:space="preserve"> is designed to contribute to transformative change in the lives of women, adolescents and youth across the Pacific by 2022 through the program objective to move unmet need for family planning in the Pacific towards zero by 2022. PICTs with a high unmet need for family planning require both demand and supply side investments and promotion of a conducive environment that supports sustainable, evidence-based interventions. The </w:t>
            </w:r>
            <w:r>
              <w:rPr>
                <w:rFonts w:cstheme="minorHAnsi"/>
                <w:szCs w:val="22"/>
              </w:rPr>
              <w:t>Transformative Agenda</w:t>
            </w:r>
            <w:r w:rsidRPr="008F58DB">
              <w:rPr>
                <w:rFonts w:cstheme="minorHAnsi"/>
                <w:szCs w:val="22"/>
              </w:rPr>
              <w:t xml:space="preserve"> goal and objective will be achieved through the delivery of three complementary and synergistic Program Outcomes, namely:</w:t>
            </w:r>
          </w:p>
          <w:p w14:paraId="4AAF015C" w14:textId="77777777" w:rsidR="009F6DE0" w:rsidRPr="008F58DB" w:rsidRDefault="009F6DE0" w:rsidP="003538C5">
            <w:pPr>
              <w:pStyle w:val="ListParagraph"/>
              <w:numPr>
                <w:ilvl w:val="0"/>
                <w:numId w:val="16"/>
              </w:numPr>
              <w:spacing w:after="0" w:line="240" w:lineRule="auto"/>
              <w:contextualSpacing/>
              <w:jc w:val="both"/>
              <w:rPr>
                <w:rFonts w:eastAsia="Times New Roman" w:cstheme="minorHAnsi"/>
                <w:lang w:val="en-AU" w:eastAsia="en-AU"/>
              </w:rPr>
            </w:pPr>
            <w:r w:rsidRPr="008F58DB">
              <w:rPr>
                <w:rFonts w:eastAsia="Times New Roman" w:cstheme="minorHAnsi"/>
                <w:lang w:val="en-AU" w:eastAsia="en-AU"/>
              </w:rPr>
              <w:t>Increased and improved supply of integrated SRH information and services, particularly for family planning</w:t>
            </w:r>
          </w:p>
          <w:p w14:paraId="36D3FA91" w14:textId="77777777" w:rsidR="009F6DE0" w:rsidRPr="008F58DB" w:rsidRDefault="009F6DE0" w:rsidP="003538C5">
            <w:pPr>
              <w:pStyle w:val="ListParagraph"/>
              <w:numPr>
                <w:ilvl w:val="0"/>
                <w:numId w:val="16"/>
              </w:numPr>
              <w:spacing w:after="0" w:line="240" w:lineRule="auto"/>
              <w:contextualSpacing/>
              <w:jc w:val="both"/>
              <w:rPr>
                <w:rFonts w:eastAsia="Times New Roman" w:cstheme="minorHAnsi"/>
                <w:lang w:val="en-AU" w:eastAsia="en-AU"/>
              </w:rPr>
            </w:pPr>
            <w:r w:rsidRPr="008F58DB">
              <w:rPr>
                <w:rFonts w:eastAsia="Times New Roman" w:cstheme="minorHAnsi"/>
                <w:lang w:val="en-AU" w:eastAsia="en-AU"/>
              </w:rPr>
              <w:t>Increased demand for integrated SRH information and services, particularly for family Planning</w:t>
            </w:r>
          </w:p>
          <w:p w14:paraId="7D4065D6" w14:textId="77777777" w:rsidR="009F6DE0" w:rsidRPr="008F58DB" w:rsidRDefault="009F6DE0" w:rsidP="003538C5">
            <w:pPr>
              <w:pStyle w:val="ListParagraph"/>
              <w:numPr>
                <w:ilvl w:val="0"/>
                <w:numId w:val="16"/>
              </w:numPr>
              <w:spacing w:after="0" w:line="240" w:lineRule="auto"/>
              <w:contextualSpacing/>
              <w:jc w:val="both"/>
              <w:rPr>
                <w:rFonts w:eastAsia="Times New Roman" w:cstheme="minorHAnsi"/>
                <w:lang w:val="en-AU" w:eastAsia="en-AU"/>
              </w:rPr>
            </w:pPr>
            <w:r w:rsidRPr="008F58DB">
              <w:rPr>
                <w:rFonts w:eastAsia="Times New Roman" w:cstheme="minorHAnsi"/>
                <w:lang w:val="en-AU" w:eastAsia="en-AU"/>
              </w:rPr>
              <w:lastRenderedPageBreak/>
              <w:t xml:space="preserve">More conducive and supportive environment for people to access and benefit from quality SRH, especially contraceptive </w:t>
            </w:r>
            <w:proofErr w:type="gramStart"/>
            <w:r w:rsidRPr="008F58DB">
              <w:rPr>
                <w:rFonts w:eastAsia="Times New Roman" w:cstheme="minorHAnsi"/>
                <w:lang w:val="en-AU" w:eastAsia="en-AU"/>
              </w:rPr>
              <w:t>choice</w:t>
            </w:r>
            <w:proofErr w:type="gramEnd"/>
          </w:p>
          <w:p w14:paraId="2A8FC8CA" w14:textId="77777777" w:rsidR="009F6DE0" w:rsidRPr="008F58DB" w:rsidRDefault="009F6DE0" w:rsidP="00CF4448">
            <w:pPr>
              <w:spacing w:after="0" w:line="240" w:lineRule="auto"/>
              <w:rPr>
                <w:rFonts w:cstheme="minorHAnsi"/>
                <w:szCs w:val="22"/>
              </w:rPr>
            </w:pPr>
          </w:p>
          <w:p w14:paraId="6916C592" w14:textId="77777777" w:rsidR="009F6DE0" w:rsidRPr="008F58DB" w:rsidRDefault="009F6DE0" w:rsidP="00CF4448">
            <w:pPr>
              <w:spacing w:after="0" w:line="240" w:lineRule="auto"/>
              <w:rPr>
                <w:rFonts w:cstheme="minorHAnsi"/>
                <w:szCs w:val="22"/>
              </w:rPr>
            </w:pPr>
            <w:r w:rsidRPr="008F58DB">
              <w:rPr>
                <w:rFonts w:cstheme="minorHAnsi"/>
                <w:szCs w:val="22"/>
              </w:rPr>
              <w:t xml:space="preserve">The </w:t>
            </w:r>
            <w:r>
              <w:rPr>
                <w:rFonts w:cstheme="minorHAnsi"/>
                <w:szCs w:val="22"/>
              </w:rPr>
              <w:t>Transformative Agenda</w:t>
            </w:r>
            <w:r w:rsidRPr="008F58DB">
              <w:rPr>
                <w:rFonts w:cstheme="minorHAnsi"/>
                <w:szCs w:val="22"/>
              </w:rPr>
              <w:t xml:space="preserve"> is DFAT’s single largest investment in SRHR and DFAT’s largest ever program with UNFPA. As such it has a high priority for the Australian Government and its performance is of strong interest to a wide range of stakeholders.</w:t>
            </w:r>
            <w:r>
              <w:rPr>
                <w:rFonts w:cstheme="minorHAnsi"/>
                <w:szCs w:val="22"/>
              </w:rPr>
              <w:t xml:space="preserve"> The Transformative Agenda accounts for 75 percent of total resources available to UNFPA for its operations in the Pacific. As a result, this independent evaluation of the Transformative Agenda will represent an assessment of the performance of a significant majority of UNFPA’s overall program across the Pacific. The TA design is nested within UNFPA’s Sub Regional Plan Cycle 6 (</w:t>
            </w:r>
            <w:r w:rsidRPr="00A974C3">
              <w:rPr>
                <w:rFonts w:cstheme="minorHAnsi"/>
                <w:b/>
                <w:szCs w:val="22"/>
                <w:u w:val="single"/>
              </w:rPr>
              <w:t>SRP6</w:t>
            </w:r>
            <w:r>
              <w:rPr>
                <w:rFonts w:cstheme="minorHAnsi"/>
                <w:szCs w:val="22"/>
              </w:rPr>
              <w:t>) (effectively UNFPA’s ‘country plan’ for the region).</w:t>
            </w:r>
          </w:p>
          <w:p w14:paraId="29A66A3A" w14:textId="77777777" w:rsidR="009F6DE0" w:rsidRPr="008F58DB" w:rsidRDefault="009F6DE0" w:rsidP="00CF4448">
            <w:pPr>
              <w:spacing w:after="0" w:line="240" w:lineRule="auto"/>
              <w:rPr>
                <w:rFonts w:cstheme="minorHAnsi"/>
                <w:szCs w:val="22"/>
              </w:rPr>
            </w:pPr>
          </w:p>
          <w:p w14:paraId="7045F408" w14:textId="77777777" w:rsidR="009F6DE0" w:rsidRDefault="009F6DE0" w:rsidP="00CF4448">
            <w:pPr>
              <w:spacing w:after="0" w:line="240" w:lineRule="auto"/>
              <w:rPr>
                <w:rFonts w:cstheme="minorHAnsi"/>
                <w:szCs w:val="22"/>
              </w:rPr>
            </w:pPr>
            <w:r w:rsidRPr="008F58DB">
              <w:rPr>
                <w:rFonts w:cstheme="minorHAnsi"/>
                <w:szCs w:val="22"/>
              </w:rPr>
              <w:t xml:space="preserve">The </w:t>
            </w:r>
            <w:r>
              <w:rPr>
                <w:rFonts w:cstheme="minorHAnsi"/>
                <w:szCs w:val="22"/>
              </w:rPr>
              <w:t>Transformative Agenda</w:t>
            </w:r>
            <w:r w:rsidRPr="008F58DB">
              <w:rPr>
                <w:rFonts w:cstheme="minorHAnsi"/>
                <w:szCs w:val="22"/>
              </w:rPr>
              <w:t xml:space="preserve"> investment is a response to the striking under-achievement across the Pacific in making progress towards universal access to sexual and reproductive health rights (SRHR). Key SRHR indicators are either stagnant or deteriorating in many countries in the region, particularly adolescent birth rates. </w:t>
            </w:r>
          </w:p>
          <w:p w14:paraId="46AFC341" w14:textId="77777777" w:rsidR="009F6DE0" w:rsidRDefault="009F6DE0" w:rsidP="00CF4448">
            <w:pPr>
              <w:spacing w:after="0" w:line="240" w:lineRule="auto"/>
              <w:rPr>
                <w:rFonts w:cstheme="minorHAnsi"/>
                <w:szCs w:val="22"/>
              </w:rPr>
            </w:pPr>
          </w:p>
          <w:p w14:paraId="5FE26143" w14:textId="77777777" w:rsidR="009F6DE0" w:rsidRPr="008F58DB" w:rsidRDefault="009F6DE0" w:rsidP="00CF4448">
            <w:pPr>
              <w:spacing w:after="0" w:line="240" w:lineRule="auto"/>
              <w:rPr>
                <w:rFonts w:cstheme="minorHAnsi"/>
                <w:szCs w:val="22"/>
              </w:rPr>
            </w:pPr>
            <w:r>
              <w:rPr>
                <w:rFonts w:cstheme="minorHAnsi"/>
                <w:szCs w:val="22"/>
              </w:rPr>
              <w:t>The Transformative Agenda is interlocking with UNFPA Supplies’ work in the Pacific region.  UNFPA Supplies works in all 14 Pacific Island Countries and Territories (PICTs), providing an estimated 95% of all Family Planning commodities and providing some training for supply chain management.  The Results Framework for the TA and the UNFPA Supplies Pacific Results framework share multiple common indicators.  To determine progress on achieving the TA, the Team Leader will also need to review both the UNFPA Supplies Pacific Results Framework and the 2019 Annual Report.</w:t>
            </w:r>
          </w:p>
          <w:p w14:paraId="0ABA4094" w14:textId="77777777" w:rsidR="009F6DE0" w:rsidRPr="008F58DB" w:rsidRDefault="009F6DE0" w:rsidP="00CF4448">
            <w:pPr>
              <w:spacing w:after="0" w:line="240" w:lineRule="auto"/>
              <w:rPr>
                <w:rFonts w:cstheme="minorHAnsi"/>
                <w:szCs w:val="22"/>
              </w:rPr>
            </w:pPr>
          </w:p>
          <w:p w14:paraId="264C1D32" w14:textId="77777777" w:rsidR="009F6DE0" w:rsidRDefault="009F6DE0" w:rsidP="00CF4448">
            <w:pPr>
              <w:spacing w:after="0" w:line="240" w:lineRule="auto"/>
              <w:rPr>
                <w:rFonts w:cstheme="minorHAnsi"/>
                <w:szCs w:val="22"/>
              </w:rPr>
            </w:pPr>
            <w:r w:rsidRPr="008F58DB">
              <w:rPr>
                <w:rFonts w:cstheme="minorHAnsi"/>
                <w:szCs w:val="22"/>
              </w:rPr>
              <w:t>DFAT requires a</w:t>
            </w:r>
            <w:r>
              <w:rPr>
                <w:rFonts w:cstheme="minorHAnsi"/>
                <w:szCs w:val="22"/>
              </w:rPr>
              <w:t>n independent,</w:t>
            </w:r>
            <w:r w:rsidRPr="008F58DB">
              <w:rPr>
                <w:rFonts w:cstheme="minorHAnsi"/>
                <w:szCs w:val="22"/>
              </w:rPr>
              <w:t xml:space="preserve"> clear and concise mid-term review (MTR) to assess the extent to which the program is on track </w:t>
            </w:r>
            <w:r>
              <w:rPr>
                <w:rFonts w:cstheme="minorHAnsi"/>
                <w:szCs w:val="22"/>
              </w:rPr>
              <w:t xml:space="preserve">at the mid-point </w:t>
            </w:r>
            <w:r w:rsidRPr="008F58DB">
              <w:rPr>
                <w:rFonts w:cstheme="minorHAnsi"/>
                <w:szCs w:val="22"/>
              </w:rPr>
              <w:t>and capable of achieving the end</w:t>
            </w:r>
            <w:r>
              <w:rPr>
                <w:rFonts w:cstheme="minorHAnsi"/>
                <w:szCs w:val="22"/>
              </w:rPr>
              <w:t>-</w:t>
            </w:r>
            <w:r w:rsidRPr="008F58DB">
              <w:rPr>
                <w:rFonts w:cstheme="minorHAnsi"/>
                <w:szCs w:val="22"/>
              </w:rPr>
              <w:t>of</w:t>
            </w:r>
            <w:r>
              <w:rPr>
                <w:rFonts w:cstheme="minorHAnsi"/>
                <w:szCs w:val="22"/>
              </w:rPr>
              <w:t>-</w:t>
            </w:r>
            <w:r w:rsidRPr="008F58DB">
              <w:rPr>
                <w:rFonts w:cstheme="minorHAnsi"/>
                <w:szCs w:val="22"/>
              </w:rPr>
              <w:t xml:space="preserve">program </w:t>
            </w:r>
            <w:r>
              <w:rPr>
                <w:rFonts w:cstheme="minorHAnsi"/>
                <w:szCs w:val="22"/>
              </w:rPr>
              <w:t xml:space="preserve">objective and </w:t>
            </w:r>
            <w:r w:rsidRPr="008F58DB">
              <w:rPr>
                <w:rFonts w:cstheme="minorHAnsi"/>
                <w:szCs w:val="22"/>
              </w:rPr>
              <w:t>outcome</w:t>
            </w:r>
            <w:r>
              <w:rPr>
                <w:rFonts w:cstheme="minorHAnsi"/>
                <w:szCs w:val="22"/>
              </w:rPr>
              <w:t xml:space="preserve"> targets</w:t>
            </w:r>
            <w:r w:rsidRPr="008F58DB">
              <w:rPr>
                <w:rFonts w:cstheme="minorHAnsi"/>
                <w:szCs w:val="22"/>
              </w:rPr>
              <w:t>.</w:t>
            </w:r>
            <w:r>
              <w:rPr>
                <w:rFonts w:cstheme="minorHAnsi"/>
                <w:szCs w:val="22"/>
              </w:rPr>
              <w:t xml:space="preserve"> </w:t>
            </w:r>
          </w:p>
          <w:p w14:paraId="5108E02E" w14:textId="77777777" w:rsidR="009F6DE0" w:rsidRDefault="009F6DE0" w:rsidP="00CF4448">
            <w:pPr>
              <w:spacing w:after="0" w:line="240" w:lineRule="auto"/>
              <w:rPr>
                <w:rFonts w:cstheme="minorHAnsi"/>
                <w:szCs w:val="22"/>
              </w:rPr>
            </w:pPr>
          </w:p>
          <w:p w14:paraId="5C8D1675" w14:textId="77777777" w:rsidR="009F6DE0" w:rsidRPr="008F58DB" w:rsidRDefault="009F6DE0" w:rsidP="00CF4448">
            <w:pPr>
              <w:spacing w:after="0" w:line="240" w:lineRule="auto"/>
              <w:rPr>
                <w:rFonts w:cstheme="minorHAnsi"/>
                <w:szCs w:val="22"/>
              </w:rPr>
            </w:pPr>
            <w:r>
              <w:rPr>
                <w:rFonts w:cstheme="minorHAnsi"/>
                <w:szCs w:val="22"/>
              </w:rPr>
              <w:t>Due to the impact of COVID-19 and travel restrictions, the MTR will be a desk-based process for the Team Leader (TL) and Technical Specialist.  To support the TL and Technical Specialist , 3-6 national based consultants in the 6 TA countries will be mobilised and tasked to identify and provide quantitative, and where possible, qualitative information at the direction of the TL for up to a maximum of 18 days each, subject to finalisation of the evaluation methodology.  These national based consultants are likely to be the same consultants used by MFAT in its recent terminal evaluation of its P</w:t>
            </w:r>
            <w:r w:rsidRPr="00AA06B2">
              <w:rPr>
                <w:rFonts w:cstheme="minorHAnsi"/>
                <w:szCs w:val="22"/>
              </w:rPr>
              <w:t xml:space="preserve">acific Sexual and Reproductive Health </w:t>
            </w:r>
            <w:r w:rsidRPr="000139B0">
              <w:rPr>
                <w:rFonts w:cstheme="minorHAnsi"/>
                <w:szCs w:val="22"/>
              </w:rPr>
              <w:t>Program due to the similarities between the two programs and common stakeholders across the programs.  The Evaluation Methodology should build upon the work done by the parallel MFAT program (described below) and should include specific terms of reference and ways of working for national consultants.</w:t>
            </w:r>
          </w:p>
          <w:p w14:paraId="2BA366DD" w14:textId="77777777" w:rsidR="009F6DE0" w:rsidRPr="008F58DB" w:rsidRDefault="009F6DE0" w:rsidP="00CF4448">
            <w:pPr>
              <w:spacing w:after="0" w:line="240" w:lineRule="auto"/>
              <w:rPr>
                <w:rFonts w:cstheme="minorHAnsi"/>
                <w:szCs w:val="22"/>
              </w:rPr>
            </w:pPr>
          </w:p>
          <w:p w14:paraId="36ADF664" w14:textId="77777777" w:rsidR="009F6DE0" w:rsidRPr="008F58DB" w:rsidRDefault="009F6DE0" w:rsidP="00CF4448">
            <w:pPr>
              <w:spacing w:after="0" w:line="240" w:lineRule="auto"/>
              <w:rPr>
                <w:rFonts w:cstheme="minorHAnsi"/>
                <w:szCs w:val="22"/>
                <w:u w:val="single"/>
              </w:rPr>
            </w:pPr>
            <w:r w:rsidRPr="008F58DB">
              <w:rPr>
                <w:rFonts w:cstheme="minorHAnsi"/>
                <w:szCs w:val="22"/>
                <w:u w:val="single"/>
              </w:rPr>
              <w:t xml:space="preserve">Parallel MFAT </w:t>
            </w:r>
            <w:r>
              <w:rPr>
                <w:rFonts w:cstheme="minorHAnsi"/>
                <w:szCs w:val="22"/>
                <w:u w:val="single"/>
              </w:rPr>
              <w:t xml:space="preserve">terminal </w:t>
            </w:r>
            <w:r w:rsidRPr="008F58DB">
              <w:rPr>
                <w:rFonts w:cstheme="minorHAnsi"/>
                <w:szCs w:val="22"/>
                <w:u w:val="single"/>
              </w:rPr>
              <w:t>evaluation</w:t>
            </w:r>
          </w:p>
          <w:p w14:paraId="4AD22674" w14:textId="77777777" w:rsidR="009F6DE0" w:rsidRPr="008F58DB" w:rsidRDefault="009F6DE0" w:rsidP="00CF4448">
            <w:pPr>
              <w:spacing w:after="0" w:line="240" w:lineRule="auto"/>
              <w:rPr>
                <w:rFonts w:cstheme="minorHAnsi"/>
                <w:szCs w:val="22"/>
              </w:rPr>
            </w:pPr>
          </w:p>
          <w:p w14:paraId="7B1A1EF5" w14:textId="77777777" w:rsidR="009F6DE0" w:rsidRDefault="009F6DE0" w:rsidP="00CF4448">
            <w:pPr>
              <w:spacing w:after="0" w:line="240" w:lineRule="auto"/>
              <w:rPr>
                <w:rFonts w:cstheme="minorHAnsi"/>
                <w:szCs w:val="22"/>
              </w:rPr>
            </w:pPr>
            <w:r w:rsidRPr="00AA06B2">
              <w:rPr>
                <w:rFonts w:cstheme="minorHAnsi"/>
                <w:szCs w:val="22"/>
              </w:rPr>
              <w:t>DFAT’s Transformative Agenda program has a high level of complementarity with the New Zealand Ministry of Foreign Affair’s (MFAT)</w:t>
            </w:r>
            <w:r>
              <w:rPr>
                <w:rFonts w:cstheme="minorHAnsi"/>
                <w:szCs w:val="22"/>
              </w:rPr>
              <w:t xml:space="preserve"> </w:t>
            </w:r>
            <w:r w:rsidRPr="00AA06B2">
              <w:rPr>
                <w:rFonts w:cstheme="minorHAnsi"/>
                <w:szCs w:val="22"/>
              </w:rPr>
              <w:t>- funded Pacific Sexual and Reproductive Health Program (P</w:t>
            </w:r>
            <w:r>
              <w:rPr>
                <w:rFonts w:cstheme="minorHAnsi"/>
                <w:szCs w:val="22"/>
              </w:rPr>
              <w:t>R</w:t>
            </w:r>
            <w:r w:rsidRPr="00AA06B2">
              <w:rPr>
                <w:rFonts w:cstheme="minorHAnsi"/>
                <w:szCs w:val="22"/>
              </w:rPr>
              <w:t>SRHP) (201</w:t>
            </w:r>
            <w:r>
              <w:rPr>
                <w:rFonts w:cstheme="minorHAnsi"/>
                <w:szCs w:val="22"/>
              </w:rPr>
              <w:t>4 – September 2020</w:t>
            </w:r>
            <w:r w:rsidRPr="00AA06B2">
              <w:rPr>
                <w:rFonts w:cstheme="minorHAnsi"/>
                <w:szCs w:val="22"/>
              </w:rPr>
              <w:t xml:space="preserve">). </w:t>
            </w:r>
            <w:r>
              <w:rPr>
                <w:rFonts w:cstheme="minorHAnsi"/>
                <w:szCs w:val="22"/>
              </w:rPr>
              <w:t>T</w:t>
            </w:r>
            <w:r w:rsidRPr="00AA06B2">
              <w:rPr>
                <w:rFonts w:cstheme="minorHAnsi"/>
                <w:szCs w:val="22"/>
              </w:rPr>
              <w:t xml:space="preserve">he programs are </w:t>
            </w:r>
            <w:r>
              <w:rPr>
                <w:rFonts w:cstheme="minorHAnsi"/>
                <w:szCs w:val="22"/>
              </w:rPr>
              <w:t>quite similar</w:t>
            </w:r>
            <w:r w:rsidRPr="00AA06B2">
              <w:rPr>
                <w:rFonts w:cstheme="minorHAnsi"/>
                <w:szCs w:val="22"/>
              </w:rPr>
              <w:t xml:space="preserve"> in terms of their objectives, activity scope and target countries</w:t>
            </w:r>
            <w:r>
              <w:rPr>
                <w:rFonts w:cstheme="minorHAnsi"/>
                <w:szCs w:val="22"/>
              </w:rPr>
              <w:t xml:space="preserve"> although MFAT’s program is delivered in five countries, whereas the TA delivers in six (it excludes Fiji)</w:t>
            </w:r>
            <w:r w:rsidRPr="00AA06B2">
              <w:rPr>
                <w:rFonts w:cstheme="minorHAnsi"/>
                <w:szCs w:val="22"/>
              </w:rPr>
              <w:t>. Many of the issues that impacted the P</w:t>
            </w:r>
            <w:r>
              <w:rPr>
                <w:rFonts w:cstheme="minorHAnsi"/>
                <w:szCs w:val="22"/>
              </w:rPr>
              <w:t>R</w:t>
            </w:r>
            <w:r w:rsidRPr="00AA06B2">
              <w:rPr>
                <w:rFonts w:cstheme="minorHAnsi"/>
                <w:szCs w:val="22"/>
              </w:rPr>
              <w:t xml:space="preserve">SRHP, as identified in its 2017 MTR, are common to the Transformative Agenda. MFAT is </w:t>
            </w:r>
            <w:r>
              <w:rPr>
                <w:rFonts w:cstheme="minorHAnsi"/>
                <w:szCs w:val="22"/>
              </w:rPr>
              <w:t>about to start</w:t>
            </w:r>
            <w:r w:rsidRPr="00AA06B2">
              <w:rPr>
                <w:rFonts w:cstheme="minorHAnsi"/>
                <w:szCs w:val="22"/>
              </w:rPr>
              <w:t xml:space="preserve"> </w:t>
            </w:r>
            <w:r>
              <w:rPr>
                <w:rFonts w:cstheme="minorHAnsi"/>
                <w:szCs w:val="22"/>
              </w:rPr>
              <w:t xml:space="preserve">a </w:t>
            </w:r>
            <w:r w:rsidRPr="00AA06B2">
              <w:rPr>
                <w:rFonts w:cstheme="minorHAnsi"/>
                <w:szCs w:val="22"/>
              </w:rPr>
              <w:t>terminal evaluation of the P</w:t>
            </w:r>
            <w:r>
              <w:rPr>
                <w:rFonts w:cstheme="minorHAnsi"/>
                <w:szCs w:val="22"/>
              </w:rPr>
              <w:t>R</w:t>
            </w:r>
            <w:r w:rsidRPr="00AA06B2">
              <w:rPr>
                <w:rFonts w:cstheme="minorHAnsi"/>
                <w:szCs w:val="22"/>
              </w:rPr>
              <w:t>SRHP</w:t>
            </w:r>
            <w:r>
              <w:rPr>
                <w:rFonts w:cstheme="minorHAnsi"/>
                <w:szCs w:val="22"/>
              </w:rPr>
              <w:t>, working collaboratively with the national consultants to gather data and information to inform a desk-based analysis</w:t>
            </w:r>
            <w:r w:rsidRPr="00AA06B2">
              <w:rPr>
                <w:rFonts w:cstheme="minorHAnsi"/>
                <w:szCs w:val="22"/>
              </w:rPr>
              <w:t xml:space="preserve">.  </w:t>
            </w:r>
            <w:r>
              <w:rPr>
                <w:rFonts w:cstheme="minorHAnsi"/>
                <w:szCs w:val="22"/>
              </w:rPr>
              <w:t xml:space="preserve">The MFAT consultant has previously supported DFAT’s TA work through contributions to TA Steering Committee meetings and evaluation of the 2019 Annual Report. </w:t>
            </w:r>
          </w:p>
          <w:p w14:paraId="34228FA5" w14:textId="77777777" w:rsidR="009F6DE0" w:rsidRDefault="009F6DE0" w:rsidP="00CF4448">
            <w:pPr>
              <w:spacing w:after="0" w:line="240" w:lineRule="auto"/>
              <w:rPr>
                <w:rFonts w:cstheme="minorHAnsi"/>
                <w:szCs w:val="22"/>
              </w:rPr>
            </w:pPr>
          </w:p>
          <w:p w14:paraId="2CED837C" w14:textId="77777777" w:rsidR="009F6DE0" w:rsidRDefault="009F6DE0" w:rsidP="00CF4448">
            <w:pPr>
              <w:spacing w:after="0" w:line="240" w:lineRule="auto"/>
              <w:rPr>
                <w:rFonts w:cstheme="minorHAnsi"/>
                <w:szCs w:val="22"/>
              </w:rPr>
            </w:pPr>
            <w:r>
              <w:rPr>
                <w:rFonts w:cstheme="minorHAnsi"/>
                <w:szCs w:val="22"/>
              </w:rPr>
              <w:t>UNFPA has tended to view MFAT’s PRSRHP program and DFAT’s Transformative Agenda program as funding streams for the SRP6. Both donor-funded program scopes overlap with or ‘nest within’ the SRP6. This has previously made determination of the contribution and performance of MFAT’s program difficult and it is possible that this could be common to the DFAT MTR of the Transformative Agenda.</w:t>
            </w:r>
          </w:p>
          <w:p w14:paraId="2ED9FE05" w14:textId="77777777" w:rsidR="009F6DE0" w:rsidRDefault="009F6DE0" w:rsidP="00CF4448">
            <w:pPr>
              <w:spacing w:after="0" w:line="240" w:lineRule="auto"/>
              <w:rPr>
                <w:rFonts w:cstheme="minorHAnsi"/>
                <w:szCs w:val="22"/>
              </w:rPr>
            </w:pPr>
          </w:p>
          <w:p w14:paraId="7BF2D4B6" w14:textId="77777777" w:rsidR="009F6DE0" w:rsidRDefault="009F6DE0" w:rsidP="00CF4448">
            <w:pPr>
              <w:spacing w:after="0" w:line="240" w:lineRule="auto"/>
              <w:rPr>
                <w:rFonts w:cstheme="minorHAnsi"/>
                <w:szCs w:val="22"/>
              </w:rPr>
            </w:pPr>
            <w:r w:rsidRPr="008F58DB">
              <w:rPr>
                <w:rFonts w:cstheme="minorHAnsi"/>
                <w:szCs w:val="22"/>
              </w:rPr>
              <w:t xml:space="preserve">In order to maximise synergies, enable sharing of lessons learned and promote harmonious work between the </w:t>
            </w:r>
            <w:r>
              <w:rPr>
                <w:rFonts w:cstheme="minorHAnsi"/>
                <w:szCs w:val="22"/>
              </w:rPr>
              <w:t xml:space="preserve">largest </w:t>
            </w:r>
            <w:r w:rsidRPr="008F58DB">
              <w:rPr>
                <w:rFonts w:cstheme="minorHAnsi"/>
                <w:szCs w:val="22"/>
              </w:rPr>
              <w:t xml:space="preserve">SRHR </w:t>
            </w:r>
            <w:r>
              <w:rPr>
                <w:rFonts w:cstheme="minorHAnsi"/>
                <w:szCs w:val="22"/>
              </w:rPr>
              <w:t xml:space="preserve">development partners </w:t>
            </w:r>
            <w:r w:rsidRPr="008F58DB">
              <w:rPr>
                <w:rFonts w:cstheme="minorHAnsi"/>
                <w:szCs w:val="22"/>
              </w:rPr>
              <w:t>in the Pacific, DFAT</w:t>
            </w:r>
            <w:r>
              <w:rPr>
                <w:rFonts w:cstheme="minorHAnsi"/>
                <w:szCs w:val="22"/>
              </w:rPr>
              <w:t xml:space="preserve">  would like to engage the MFAT consultant to provide inputs to the review (as the Technical  Specialist), reporting to the MTR Team Leader. </w:t>
            </w:r>
          </w:p>
          <w:p w14:paraId="2DD75496" w14:textId="77777777" w:rsidR="009F6DE0" w:rsidRDefault="009F6DE0" w:rsidP="00CF4448">
            <w:pPr>
              <w:spacing w:after="0" w:line="240" w:lineRule="auto"/>
              <w:rPr>
                <w:rFonts w:cstheme="minorHAnsi"/>
                <w:szCs w:val="22"/>
              </w:rPr>
            </w:pPr>
          </w:p>
          <w:p w14:paraId="38D4CBBE" w14:textId="77777777" w:rsidR="009F6DE0" w:rsidRDefault="009F6DE0" w:rsidP="00CF4448">
            <w:pPr>
              <w:spacing w:after="0" w:line="240" w:lineRule="auto"/>
              <w:rPr>
                <w:rFonts w:cstheme="minorHAnsi"/>
                <w:szCs w:val="22"/>
              </w:rPr>
            </w:pPr>
            <w:r>
              <w:rPr>
                <w:rFonts w:cstheme="minorHAnsi"/>
                <w:szCs w:val="22"/>
              </w:rPr>
              <w:t>Because of the limitations on international travel, DFAT will appoint national consultants to support the TL, at his/her direction, to collect qualitative and quantitative data, conduct interviews using the methodology developed by the TL, hold focus groups or other meetings as required.  MFAT has agreed that its terminal evaluation will use this approach and the MFAT TL will train and supervise up to one national consultant in each country (potentially one consultant may be able to deploy to other Pacific countries as Pacific ‘travel bubbles’ open between Fiji, Kiribati and other islands).  DFAT has a preference to use these same consultants to the extent practicable, but this will impact on MTR timing (TBA – awaiting advice from UNFPA).</w:t>
            </w:r>
          </w:p>
          <w:p w14:paraId="56991C47" w14:textId="77777777" w:rsidR="009F6DE0" w:rsidRPr="0068740F" w:rsidRDefault="009F6DE0" w:rsidP="00CF4448">
            <w:pPr>
              <w:spacing w:after="0" w:line="240" w:lineRule="auto"/>
              <w:rPr>
                <w:rFonts w:cstheme="minorHAnsi"/>
                <w:szCs w:val="22"/>
                <w:u w:val="single"/>
              </w:rPr>
            </w:pPr>
          </w:p>
          <w:p w14:paraId="4ADEAAFB" w14:textId="77777777" w:rsidR="009F6DE0" w:rsidRPr="0068740F" w:rsidRDefault="009F6DE0" w:rsidP="00CF4448">
            <w:pPr>
              <w:spacing w:after="0" w:line="240" w:lineRule="auto"/>
              <w:rPr>
                <w:rFonts w:cstheme="minorHAnsi"/>
                <w:szCs w:val="22"/>
                <w:u w:val="single"/>
              </w:rPr>
            </w:pPr>
            <w:r>
              <w:rPr>
                <w:rFonts w:cstheme="minorHAnsi"/>
                <w:szCs w:val="22"/>
                <w:u w:val="single"/>
              </w:rPr>
              <w:t>Opportunity for concurrent review of draft report by UNFPA, MFAT</w:t>
            </w:r>
          </w:p>
          <w:p w14:paraId="5B523B32" w14:textId="77777777" w:rsidR="009F6DE0" w:rsidRDefault="009F6DE0" w:rsidP="00CF4448">
            <w:pPr>
              <w:spacing w:after="0" w:line="240" w:lineRule="auto"/>
              <w:rPr>
                <w:rFonts w:cstheme="minorHAnsi"/>
                <w:szCs w:val="22"/>
              </w:rPr>
            </w:pPr>
          </w:p>
          <w:p w14:paraId="7CB5C919" w14:textId="77777777" w:rsidR="009F6DE0" w:rsidRPr="008F58DB" w:rsidRDefault="009F6DE0" w:rsidP="00CF4448">
            <w:pPr>
              <w:spacing w:after="0" w:line="240" w:lineRule="auto"/>
              <w:rPr>
                <w:rFonts w:cstheme="minorHAnsi"/>
                <w:szCs w:val="22"/>
              </w:rPr>
            </w:pPr>
            <w:r>
              <w:rPr>
                <w:rFonts w:cstheme="minorHAnsi"/>
                <w:szCs w:val="22"/>
              </w:rPr>
              <w:t xml:space="preserve">DFAT will facilitate a review of the TA draft report prior to its distribution to partner governments for their comment. DFAT’s preference is to facilitate this process concurrently with review by MFAT and/or MFAT’s consultant appointed to undertake the </w:t>
            </w:r>
            <w:r w:rsidRPr="00AA06B2">
              <w:rPr>
                <w:rFonts w:cstheme="minorHAnsi"/>
                <w:szCs w:val="22"/>
              </w:rPr>
              <w:t>P</w:t>
            </w:r>
            <w:r>
              <w:rPr>
                <w:rFonts w:cstheme="minorHAnsi"/>
                <w:szCs w:val="22"/>
              </w:rPr>
              <w:t>R</w:t>
            </w:r>
            <w:r w:rsidRPr="00AA06B2">
              <w:rPr>
                <w:rFonts w:cstheme="minorHAnsi"/>
                <w:szCs w:val="22"/>
              </w:rPr>
              <w:t>SRHP</w:t>
            </w:r>
            <w:r>
              <w:rPr>
                <w:rFonts w:cstheme="minorHAnsi"/>
                <w:szCs w:val="22"/>
              </w:rPr>
              <w:t xml:space="preserve"> program, and for both parties to enable the other to have visibility of responding comments.</w:t>
            </w:r>
          </w:p>
          <w:p w14:paraId="64F0BF69" w14:textId="77777777" w:rsidR="009F6DE0" w:rsidRDefault="009F6DE0" w:rsidP="00CF4448">
            <w:pPr>
              <w:spacing w:after="0" w:line="240" w:lineRule="auto"/>
              <w:rPr>
                <w:rFonts w:cstheme="minorHAnsi"/>
                <w:szCs w:val="22"/>
              </w:rPr>
            </w:pPr>
          </w:p>
          <w:p w14:paraId="02EC1EC0" w14:textId="77777777" w:rsidR="009F6DE0" w:rsidRPr="00846071" w:rsidRDefault="009F6DE0" w:rsidP="00CF4448">
            <w:pPr>
              <w:spacing w:after="0" w:line="240" w:lineRule="auto"/>
              <w:rPr>
                <w:rFonts w:cstheme="minorHAnsi"/>
                <w:szCs w:val="22"/>
                <w:u w:val="single"/>
              </w:rPr>
            </w:pPr>
            <w:r w:rsidRPr="00846071">
              <w:rPr>
                <w:rFonts w:cstheme="minorHAnsi"/>
                <w:szCs w:val="22"/>
                <w:u w:val="single"/>
              </w:rPr>
              <w:t>UNFPA Sub Regional Program</w:t>
            </w:r>
          </w:p>
          <w:p w14:paraId="37646C0A" w14:textId="77777777" w:rsidR="009F6DE0" w:rsidRDefault="009F6DE0" w:rsidP="00CF4448">
            <w:pPr>
              <w:spacing w:after="0" w:line="240" w:lineRule="auto"/>
              <w:rPr>
                <w:rFonts w:cstheme="minorHAnsi"/>
                <w:szCs w:val="22"/>
              </w:rPr>
            </w:pPr>
          </w:p>
          <w:p w14:paraId="22918FA2" w14:textId="77777777" w:rsidR="009F6DE0" w:rsidRDefault="009F6DE0" w:rsidP="00CF4448">
            <w:pPr>
              <w:spacing w:after="0" w:line="240" w:lineRule="auto"/>
              <w:rPr>
                <w:rFonts w:cstheme="minorHAnsi"/>
                <w:szCs w:val="22"/>
              </w:rPr>
            </w:pPr>
            <w:r>
              <w:rPr>
                <w:rFonts w:cstheme="minorHAnsi"/>
                <w:szCs w:val="22"/>
              </w:rPr>
              <w:t>The Transformative Agenda is described as ‘nesting within’ UNFPA’s Sub Regional Program for the Pacific (SRP6).  The SRP6 aims to</w:t>
            </w:r>
            <w:r w:rsidRPr="002001E0">
              <w:rPr>
                <w:rFonts w:cstheme="minorHAnsi"/>
                <w:szCs w:val="22"/>
              </w:rPr>
              <w:t xml:space="preserve"> achieve universal access to sexual and reproductive health and reproductive rights and reduce maternal mortality and morbidity to accelerate progress on the ICPD/Sustainable Development Goals agenda, and to improve the lives of women, adolescents and youth in PICTs. </w:t>
            </w:r>
          </w:p>
          <w:p w14:paraId="453FF5B8" w14:textId="77777777" w:rsidR="009F6DE0" w:rsidRDefault="009F6DE0" w:rsidP="00CF4448">
            <w:pPr>
              <w:spacing w:after="0" w:line="240" w:lineRule="auto"/>
              <w:rPr>
                <w:rFonts w:cstheme="minorHAnsi"/>
                <w:szCs w:val="22"/>
              </w:rPr>
            </w:pPr>
          </w:p>
          <w:p w14:paraId="41C272B4" w14:textId="77777777" w:rsidR="009F6DE0" w:rsidRDefault="009F6DE0" w:rsidP="00CF4448">
            <w:pPr>
              <w:spacing w:after="0" w:line="240" w:lineRule="auto"/>
              <w:rPr>
                <w:rFonts w:cstheme="minorHAnsi"/>
                <w:szCs w:val="22"/>
              </w:rPr>
            </w:pPr>
            <w:r w:rsidRPr="008F1B23">
              <w:rPr>
                <w:rFonts w:cstheme="minorHAnsi"/>
                <w:b/>
                <w:szCs w:val="22"/>
              </w:rPr>
              <w:t>Outcome 1</w:t>
            </w:r>
            <w:r>
              <w:rPr>
                <w:rFonts w:cstheme="minorHAnsi"/>
                <w:szCs w:val="22"/>
              </w:rPr>
              <w:t xml:space="preserve">: </w:t>
            </w:r>
          </w:p>
          <w:p w14:paraId="5BB73B94" w14:textId="77777777" w:rsidR="009F6DE0" w:rsidRDefault="009F6DE0" w:rsidP="00CF4448">
            <w:pPr>
              <w:spacing w:after="0" w:line="240" w:lineRule="auto"/>
              <w:rPr>
                <w:rFonts w:cstheme="minorHAnsi"/>
                <w:szCs w:val="22"/>
              </w:rPr>
            </w:pPr>
            <w:r w:rsidRPr="008F1B23">
              <w:rPr>
                <w:rFonts w:cstheme="minorHAnsi"/>
                <w:szCs w:val="22"/>
              </w:rPr>
              <w:t xml:space="preserve">Output 1: Strengthened access to quality integrated sexual and reproductive health services for women, adolescents and youth, across the development humanitarian </w:t>
            </w:r>
            <w:proofErr w:type="gramStart"/>
            <w:r w:rsidRPr="008F1B23">
              <w:rPr>
                <w:rFonts w:cstheme="minorHAnsi"/>
                <w:szCs w:val="22"/>
              </w:rPr>
              <w:t>nexus</w:t>
            </w:r>
            <w:proofErr w:type="gramEnd"/>
          </w:p>
          <w:p w14:paraId="1F7594F4" w14:textId="77777777" w:rsidR="009F6DE0" w:rsidRDefault="009F6DE0" w:rsidP="00CF4448">
            <w:pPr>
              <w:spacing w:after="0" w:line="240" w:lineRule="auto"/>
              <w:rPr>
                <w:rFonts w:cstheme="minorHAnsi"/>
                <w:szCs w:val="22"/>
              </w:rPr>
            </w:pPr>
            <w:r w:rsidRPr="008F1B23">
              <w:rPr>
                <w:rFonts w:cstheme="minorHAnsi"/>
                <w:szCs w:val="22"/>
              </w:rPr>
              <w:t>Output 2: Increased national capacity to design and implement community and school-based family life education programmes.</w:t>
            </w:r>
          </w:p>
          <w:p w14:paraId="7CE0159A" w14:textId="77777777" w:rsidR="009F6DE0" w:rsidRDefault="009F6DE0" w:rsidP="00CF4448">
            <w:pPr>
              <w:spacing w:after="0" w:line="240" w:lineRule="auto"/>
              <w:rPr>
                <w:rFonts w:cstheme="minorHAnsi"/>
                <w:b/>
                <w:szCs w:val="22"/>
              </w:rPr>
            </w:pPr>
          </w:p>
          <w:p w14:paraId="3BA9A14B" w14:textId="77777777" w:rsidR="009F6DE0" w:rsidRDefault="009F6DE0" w:rsidP="00CF4448">
            <w:pPr>
              <w:spacing w:after="0" w:line="240" w:lineRule="auto"/>
              <w:rPr>
                <w:rFonts w:cstheme="minorHAnsi"/>
                <w:szCs w:val="22"/>
              </w:rPr>
            </w:pPr>
            <w:r w:rsidRPr="008F1B23">
              <w:rPr>
                <w:rFonts w:cstheme="minorHAnsi"/>
                <w:b/>
                <w:szCs w:val="22"/>
              </w:rPr>
              <w:t xml:space="preserve">Outcome </w:t>
            </w:r>
            <w:r>
              <w:rPr>
                <w:rFonts w:cstheme="minorHAnsi"/>
                <w:b/>
                <w:szCs w:val="22"/>
              </w:rPr>
              <w:t>3</w:t>
            </w:r>
            <w:r>
              <w:rPr>
                <w:rFonts w:cstheme="minorHAnsi"/>
                <w:szCs w:val="22"/>
              </w:rPr>
              <w:t xml:space="preserve">: </w:t>
            </w:r>
          </w:p>
          <w:p w14:paraId="759D86E5" w14:textId="77777777" w:rsidR="009F6DE0" w:rsidRDefault="009F6DE0" w:rsidP="00CF4448">
            <w:pPr>
              <w:spacing w:after="0" w:line="240" w:lineRule="auto"/>
              <w:rPr>
                <w:rFonts w:cstheme="minorHAnsi"/>
                <w:szCs w:val="22"/>
              </w:rPr>
            </w:pPr>
            <w:r w:rsidRPr="008F1B23">
              <w:rPr>
                <w:rFonts w:cstheme="minorHAnsi"/>
                <w:szCs w:val="22"/>
              </w:rPr>
              <w:t xml:space="preserve">Output 1: Increased national capacity to address and promote gender equality and the empowerment of women and girls including their reproductive rights and need for ending violence against </w:t>
            </w:r>
            <w:proofErr w:type="gramStart"/>
            <w:r w:rsidRPr="008F1B23">
              <w:rPr>
                <w:rFonts w:cstheme="minorHAnsi"/>
                <w:szCs w:val="22"/>
              </w:rPr>
              <w:t>women</w:t>
            </w:r>
            <w:proofErr w:type="gramEnd"/>
          </w:p>
          <w:p w14:paraId="374CF86D" w14:textId="77777777" w:rsidR="009F6DE0" w:rsidRDefault="009F6DE0" w:rsidP="00CF4448">
            <w:pPr>
              <w:spacing w:after="0" w:line="240" w:lineRule="auto"/>
            </w:pPr>
            <w:r w:rsidRPr="008F1B23">
              <w:rPr>
                <w:rFonts w:cstheme="minorHAnsi"/>
                <w:szCs w:val="22"/>
              </w:rPr>
              <w:t xml:space="preserve">Output 2: Strengthened integration of </w:t>
            </w:r>
            <w:r>
              <w:rPr>
                <w:rFonts w:cstheme="minorHAnsi"/>
                <w:szCs w:val="22"/>
              </w:rPr>
              <w:t xml:space="preserve">ending </w:t>
            </w:r>
            <w:r w:rsidRPr="008F1B23">
              <w:rPr>
                <w:rFonts w:cstheme="minorHAnsi"/>
                <w:szCs w:val="22"/>
              </w:rPr>
              <w:t xml:space="preserve">violence against women in the national health </w:t>
            </w:r>
            <w:proofErr w:type="gramStart"/>
            <w:r w:rsidRPr="008F1B23">
              <w:rPr>
                <w:rFonts w:cstheme="minorHAnsi"/>
                <w:szCs w:val="22"/>
              </w:rPr>
              <w:t>sector</w:t>
            </w:r>
            <w:proofErr w:type="gramEnd"/>
            <w:r>
              <w:t xml:space="preserve"> </w:t>
            </w:r>
          </w:p>
          <w:p w14:paraId="1EE3438B" w14:textId="77777777" w:rsidR="009F6DE0" w:rsidRDefault="009F6DE0" w:rsidP="00CF4448">
            <w:pPr>
              <w:spacing w:after="0" w:line="240" w:lineRule="auto"/>
            </w:pPr>
          </w:p>
          <w:p w14:paraId="0FA2EC16" w14:textId="77777777" w:rsidR="009F6DE0" w:rsidRDefault="009F6DE0" w:rsidP="00CF4448">
            <w:pPr>
              <w:spacing w:after="0" w:line="240" w:lineRule="auto"/>
              <w:rPr>
                <w:rFonts w:cstheme="minorHAnsi"/>
                <w:szCs w:val="22"/>
              </w:rPr>
            </w:pPr>
            <w:r w:rsidRPr="00B66F0B">
              <w:rPr>
                <w:rFonts w:cstheme="minorHAnsi"/>
                <w:b/>
                <w:szCs w:val="22"/>
              </w:rPr>
              <w:t>Outcome 4</w:t>
            </w:r>
            <w:r w:rsidRPr="00B66F0B">
              <w:rPr>
                <w:rFonts w:cstheme="minorHAnsi"/>
                <w:szCs w:val="22"/>
              </w:rPr>
              <w:t>:</w:t>
            </w:r>
            <w:r>
              <w:rPr>
                <w:rFonts w:cstheme="minorHAnsi"/>
                <w:szCs w:val="22"/>
              </w:rPr>
              <w:t xml:space="preserve"> </w:t>
            </w:r>
          </w:p>
          <w:p w14:paraId="7847D17E" w14:textId="77777777" w:rsidR="009F6DE0" w:rsidRPr="008F1B23" w:rsidRDefault="009F6DE0" w:rsidP="00CF4448">
            <w:pPr>
              <w:spacing w:after="0" w:line="240" w:lineRule="auto"/>
              <w:rPr>
                <w:rFonts w:cstheme="minorHAnsi"/>
                <w:szCs w:val="22"/>
              </w:rPr>
            </w:pPr>
            <w:r w:rsidRPr="008F1B23">
              <w:rPr>
                <w:rFonts w:cstheme="minorHAnsi"/>
                <w:szCs w:val="22"/>
              </w:rPr>
              <w:t xml:space="preserve">Output 1: Strengthened national statistical systems to ensure increased availability, analysis and utilization of high-quality, disaggregated ICPD/Sustainable Development Goals-related data, with </w:t>
            </w:r>
            <w:r w:rsidRPr="008F1B23">
              <w:rPr>
                <w:rFonts w:cstheme="minorHAnsi"/>
                <w:szCs w:val="22"/>
              </w:rPr>
              <w:lastRenderedPageBreak/>
              <w:t>a focus on informing national and sectoral priorities, policies and programming in development and humanitarian situations.</w:t>
            </w:r>
          </w:p>
          <w:p w14:paraId="763CD63E" w14:textId="77777777" w:rsidR="009F6DE0" w:rsidRDefault="009F6DE0" w:rsidP="00CF4448">
            <w:pPr>
              <w:spacing w:after="0" w:line="240" w:lineRule="auto"/>
              <w:rPr>
                <w:rFonts w:cstheme="minorHAnsi"/>
                <w:szCs w:val="22"/>
              </w:rPr>
            </w:pPr>
            <w:r w:rsidRPr="008F1B23">
              <w:rPr>
                <w:rFonts w:cstheme="minorHAnsi"/>
                <w:szCs w:val="22"/>
              </w:rPr>
              <w:t xml:space="preserve">Output 2: Strengthened use of demographic intelligence to improve policies, programmes and </w:t>
            </w:r>
            <w:proofErr w:type="gramStart"/>
            <w:r w:rsidRPr="008F1B23">
              <w:rPr>
                <w:rFonts w:cstheme="minorHAnsi"/>
                <w:szCs w:val="22"/>
              </w:rPr>
              <w:t>advocacy</w:t>
            </w:r>
            <w:proofErr w:type="gramEnd"/>
          </w:p>
          <w:p w14:paraId="16F3F1F3" w14:textId="77777777" w:rsidR="009F6DE0" w:rsidRPr="00AA06B2" w:rsidRDefault="009F6DE0" w:rsidP="00CF4448">
            <w:pPr>
              <w:spacing w:after="0" w:line="240" w:lineRule="auto"/>
              <w:rPr>
                <w:rFonts w:cstheme="minorHAnsi"/>
                <w:szCs w:val="22"/>
              </w:rPr>
            </w:pPr>
          </w:p>
        </w:tc>
      </w:tr>
      <w:tr w:rsidR="009F6DE0" w:rsidRPr="00492ACE" w14:paraId="21531855" w14:textId="77777777" w:rsidTr="00714E9A">
        <w:tc>
          <w:tcPr>
            <w:tcW w:w="676" w:type="pct"/>
            <w:shd w:val="clear" w:color="auto" w:fill="auto"/>
          </w:tcPr>
          <w:p w14:paraId="370BDA06" w14:textId="77777777" w:rsidR="009F6DE0" w:rsidRPr="00492ACE" w:rsidRDefault="009F6DE0" w:rsidP="00CF4448">
            <w:pPr>
              <w:spacing w:before="120"/>
              <w:rPr>
                <w:rFonts w:ascii="Calibri" w:hAnsi="Calibri" w:cs="Arial"/>
                <w:b/>
                <w:szCs w:val="22"/>
              </w:rPr>
            </w:pPr>
            <w:r>
              <w:rPr>
                <w:rFonts w:ascii="Calibri" w:hAnsi="Calibri" w:cs="Arial"/>
                <w:b/>
                <w:szCs w:val="22"/>
              </w:rPr>
              <w:lastRenderedPageBreak/>
              <w:t>Purpose and objectives:</w:t>
            </w:r>
          </w:p>
        </w:tc>
        <w:tc>
          <w:tcPr>
            <w:tcW w:w="4324" w:type="pct"/>
          </w:tcPr>
          <w:p w14:paraId="5CB7E37B" w14:textId="77777777" w:rsidR="009F6DE0" w:rsidRPr="008F58DB" w:rsidRDefault="009F6DE0" w:rsidP="00CF4448">
            <w:pPr>
              <w:rPr>
                <w:rFonts w:eastAsia="Calibri" w:cstheme="minorHAnsi"/>
                <w:szCs w:val="22"/>
                <w:lang w:val="en-US" w:eastAsia="en-US"/>
              </w:rPr>
            </w:pPr>
            <w:r w:rsidRPr="008F58DB">
              <w:rPr>
                <w:rFonts w:eastAsia="Calibri" w:cstheme="minorHAnsi"/>
                <w:szCs w:val="22"/>
                <w:lang w:val="en-US" w:eastAsia="en-US"/>
              </w:rPr>
              <w:t xml:space="preserve">The purpose of the mid-term </w:t>
            </w:r>
            <w:r>
              <w:rPr>
                <w:rFonts w:eastAsia="Calibri" w:cstheme="minorHAnsi"/>
                <w:szCs w:val="22"/>
                <w:lang w:val="en-US" w:eastAsia="en-US"/>
              </w:rPr>
              <w:t>r</w:t>
            </w:r>
            <w:r w:rsidRPr="008F58DB">
              <w:rPr>
                <w:rFonts w:eastAsia="Calibri" w:cstheme="minorHAnsi"/>
                <w:szCs w:val="22"/>
                <w:lang w:val="en-US" w:eastAsia="en-US"/>
              </w:rPr>
              <w:t>eview is to assess the continued relevance</w:t>
            </w:r>
            <w:r>
              <w:rPr>
                <w:rFonts w:eastAsia="Calibri" w:cstheme="minorHAnsi"/>
                <w:szCs w:val="22"/>
                <w:lang w:val="en-US" w:eastAsia="en-US"/>
              </w:rPr>
              <w:t xml:space="preserve">, effectiveness and efficiency </w:t>
            </w:r>
            <w:r w:rsidRPr="008F58DB">
              <w:rPr>
                <w:rFonts w:eastAsia="Calibri" w:cstheme="minorHAnsi"/>
                <w:szCs w:val="22"/>
                <w:lang w:val="en-US" w:eastAsia="en-US"/>
              </w:rPr>
              <w:t xml:space="preserve">of the </w:t>
            </w:r>
            <w:r>
              <w:rPr>
                <w:rFonts w:eastAsia="Calibri" w:cstheme="minorHAnsi"/>
                <w:szCs w:val="22"/>
                <w:lang w:val="en-US" w:eastAsia="en-US"/>
              </w:rPr>
              <w:t>Transformative Agenda</w:t>
            </w:r>
            <w:r w:rsidRPr="008F58DB">
              <w:rPr>
                <w:rFonts w:eastAsia="Calibri" w:cstheme="minorHAnsi"/>
                <w:szCs w:val="22"/>
                <w:lang w:val="en-US" w:eastAsia="en-US"/>
              </w:rPr>
              <w:t xml:space="preserve"> and the progress made towards achieving its planned objective - to move unmet need for family planning in the Pacific towards zero by 2022.</w:t>
            </w:r>
          </w:p>
          <w:p w14:paraId="159ED495" w14:textId="77777777" w:rsidR="009F6DE0" w:rsidRPr="008F58DB" w:rsidRDefault="009F6DE0" w:rsidP="00CF4448">
            <w:pPr>
              <w:autoSpaceDE w:val="0"/>
              <w:autoSpaceDN w:val="0"/>
              <w:adjustRightInd w:val="0"/>
              <w:rPr>
                <w:rFonts w:eastAsia="Calibri" w:cstheme="minorHAnsi"/>
                <w:szCs w:val="22"/>
                <w:lang w:val="en-US" w:eastAsia="en-US"/>
              </w:rPr>
            </w:pPr>
            <w:r w:rsidRPr="008F58DB">
              <w:rPr>
                <w:rFonts w:eastAsia="Calibri" w:cstheme="minorHAnsi"/>
                <w:szCs w:val="22"/>
                <w:lang w:val="en-US" w:eastAsia="en-US"/>
              </w:rPr>
              <w:t xml:space="preserve">UNFPA and DFAT </w:t>
            </w:r>
            <w:r>
              <w:rPr>
                <w:rFonts w:eastAsia="Calibri" w:cstheme="minorHAnsi"/>
                <w:szCs w:val="22"/>
                <w:lang w:val="en-US" w:eastAsia="en-US"/>
              </w:rPr>
              <w:t xml:space="preserve">previously </w:t>
            </w:r>
            <w:r w:rsidRPr="008F58DB">
              <w:rPr>
                <w:rFonts w:eastAsia="Calibri" w:cstheme="minorHAnsi"/>
                <w:szCs w:val="22"/>
                <w:lang w:val="en-US" w:eastAsia="en-US"/>
              </w:rPr>
              <w:t xml:space="preserve">mutually agreed to a Monitoring and Evaluation Framework that captures the intended outcomes and impact of the </w:t>
            </w:r>
            <w:r>
              <w:rPr>
                <w:rFonts w:eastAsia="Calibri" w:cstheme="minorHAnsi"/>
                <w:szCs w:val="22"/>
                <w:lang w:val="en-US" w:eastAsia="en-US"/>
              </w:rPr>
              <w:t>Transformative Agenda</w:t>
            </w:r>
            <w:r w:rsidRPr="008F58DB">
              <w:rPr>
                <w:rFonts w:eastAsia="Calibri" w:cstheme="minorHAnsi"/>
                <w:szCs w:val="22"/>
                <w:lang w:val="en-US" w:eastAsia="en-US"/>
              </w:rPr>
              <w:t xml:space="preserve"> Program</w:t>
            </w:r>
            <w:r>
              <w:rPr>
                <w:rFonts w:eastAsia="Calibri" w:cstheme="minorHAnsi"/>
                <w:szCs w:val="22"/>
                <w:lang w:val="en-US" w:eastAsia="en-US"/>
              </w:rPr>
              <w:t>. However, it still does not have a completed baseline for 2017, and a number of the indicators cannot be collected on an annual basis.</w:t>
            </w:r>
          </w:p>
          <w:p w14:paraId="094E0504" w14:textId="77777777" w:rsidR="009F6DE0" w:rsidRPr="008F58DB" w:rsidRDefault="009F6DE0" w:rsidP="00CF4448">
            <w:pPr>
              <w:rPr>
                <w:rFonts w:eastAsia="Calibri" w:cstheme="minorHAnsi"/>
                <w:szCs w:val="22"/>
                <w:lang w:val="en-US" w:eastAsia="en-US"/>
              </w:rPr>
            </w:pPr>
            <w:r w:rsidRPr="00DF3E3B">
              <w:rPr>
                <w:rFonts w:eastAsia="Calibri" w:cstheme="minorHAnsi"/>
                <w:szCs w:val="22"/>
                <w:lang w:val="en-US" w:eastAsia="en-US"/>
              </w:rPr>
              <w:t>The MTR report will outline key findings supported by evidence and provide recommendations on any changes, modifications or improvements to implementation approaches and activities required to enable the program to achieve sustainable outcomes and impacts. Findings and recommendations will focus on the structure, outcomes, duration and scope of the program within its current funding envelope.</w:t>
            </w:r>
          </w:p>
          <w:p w14:paraId="1123165D" w14:textId="77777777" w:rsidR="009F6DE0" w:rsidRDefault="009F6DE0" w:rsidP="00CF4448">
            <w:pPr>
              <w:autoSpaceDE w:val="0"/>
              <w:autoSpaceDN w:val="0"/>
              <w:adjustRightInd w:val="0"/>
              <w:rPr>
                <w:rFonts w:eastAsia="Calibri" w:cstheme="minorHAnsi"/>
                <w:szCs w:val="22"/>
                <w:lang w:val="en-US" w:eastAsia="en-US"/>
              </w:rPr>
            </w:pPr>
            <w:r w:rsidRPr="008F58DB">
              <w:rPr>
                <w:rFonts w:eastAsia="Calibri" w:cstheme="minorHAnsi"/>
                <w:szCs w:val="22"/>
                <w:lang w:val="en-US" w:eastAsia="en-US"/>
              </w:rPr>
              <w:t>The preliminary high-level questions to be considered and addressed through the MTR, for further development and confirmation with the MTR team through the Evaluation Plan (Milestone 1) are as follows:</w:t>
            </w:r>
          </w:p>
          <w:p w14:paraId="0A1DB233" w14:textId="77777777" w:rsidR="009F6DE0" w:rsidRPr="00D96939" w:rsidRDefault="009F6DE0" w:rsidP="00CF4448">
            <w:pPr>
              <w:autoSpaceDE w:val="0"/>
              <w:autoSpaceDN w:val="0"/>
              <w:adjustRightInd w:val="0"/>
              <w:rPr>
                <w:rFonts w:eastAsia="Calibri" w:cstheme="minorHAnsi"/>
                <w:szCs w:val="22"/>
                <w:u w:val="single"/>
                <w:lang w:val="en-US" w:eastAsia="en-US"/>
              </w:rPr>
            </w:pPr>
            <w:r w:rsidRPr="00D96939">
              <w:rPr>
                <w:rFonts w:eastAsia="Calibri" w:cstheme="minorHAnsi"/>
                <w:szCs w:val="22"/>
                <w:u w:val="single"/>
                <w:lang w:val="en-US" w:eastAsia="en-US"/>
              </w:rPr>
              <w:t xml:space="preserve">Relevance: </w:t>
            </w:r>
          </w:p>
          <w:p w14:paraId="3049FBC9" w14:textId="77777777" w:rsidR="009F6DE0" w:rsidRPr="008F58DB" w:rsidRDefault="009F6DE0" w:rsidP="00CF4448">
            <w:pPr>
              <w:autoSpaceDE w:val="0"/>
              <w:autoSpaceDN w:val="0"/>
              <w:adjustRightInd w:val="0"/>
              <w:rPr>
                <w:rFonts w:eastAsia="Calibri" w:cstheme="minorHAnsi"/>
                <w:szCs w:val="22"/>
                <w:lang w:val="en-US" w:eastAsia="en-US"/>
              </w:rPr>
            </w:pPr>
            <w:r>
              <w:rPr>
                <w:rFonts w:eastAsia="Calibri" w:cstheme="minorHAnsi"/>
                <w:szCs w:val="22"/>
                <w:lang w:val="en-US" w:eastAsia="en-US"/>
              </w:rPr>
              <w:t>Does the program remain strongly relevant to Pacific development needs and specifically reducing the level of unmet need in the region for family planning in each of the TA countries?</w:t>
            </w:r>
          </w:p>
          <w:p w14:paraId="214D1CC5" w14:textId="77777777" w:rsidR="009F6DE0" w:rsidRPr="008F58DB" w:rsidRDefault="009F6DE0" w:rsidP="00CF4448">
            <w:pPr>
              <w:autoSpaceDE w:val="0"/>
              <w:autoSpaceDN w:val="0"/>
              <w:adjustRightInd w:val="0"/>
              <w:rPr>
                <w:rFonts w:eastAsia="Calibri" w:cstheme="minorHAnsi"/>
                <w:szCs w:val="22"/>
                <w:u w:val="single"/>
                <w:lang w:val="en-US" w:eastAsia="en-US"/>
              </w:rPr>
            </w:pPr>
            <w:r w:rsidRPr="008F58DB">
              <w:rPr>
                <w:rFonts w:eastAsia="Calibri" w:cstheme="minorHAnsi"/>
                <w:szCs w:val="22"/>
                <w:u w:val="single"/>
                <w:lang w:val="en-US" w:eastAsia="en-US"/>
              </w:rPr>
              <w:t>Effectiveness</w:t>
            </w:r>
          </w:p>
          <w:p w14:paraId="265587BC" w14:textId="77777777" w:rsidR="009F6DE0" w:rsidRPr="008F58DB" w:rsidRDefault="009F6DE0" w:rsidP="003538C5">
            <w:pPr>
              <w:pStyle w:val="ListParagraph"/>
              <w:numPr>
                <w:ilvl w:val="0"/>
                <w:numId w:val="17"/>
              </w:numPr>
              <w:autoSpaceDE w:val="0"/>
              <w:autoSpaceDN w:val="0"/>
              <w:adjustRightInd w:val="0"/>
              <w:spacing w:after="120"/>
              <w:rPr>
                <w:rFonts w:cstheme="minorHAnsi"/>
              </w:rPr>
            </w:pPr>
            <w:r w:rsidRPr="008F58DB">
              <w:rPr>
                <w:rFonts w:cstheme="minorHAnsi"/>
              </w:rPr>
              <w:t xml:space="preserve">Is the </w:t>
            </w:r>
            <w:r>
              <w:rPr>
                <w:rFonts w:cstheme="minorHAnsi"/>
              </w:rPr>
              <w:t>Transformative Agenda</w:t>
            </w:r>
            <w:r w:rsidRPr="008F58DB">
              <w:rPr>
                <w:rFonts w:cstheme="minorHAnsi"/>
              </w:rPr>
              <w:t xml:space="preserve"> on track to achieve its overall objective and related program outcomes?</w:t>
            </w:r>
          </w:p>
          <w:p w14:paraId="3A450CCA" w14:textId="77777777" w:rsidR="009F6DE0" w:rsidRPr="008F58DB" w:rsidRDefault="009F6DE0" w:rsidP="003538C5">
            <w:pPr>
              <w:pStyle w:val="ListParagraph"/>
              <w:numPr>
                <w:ilvl w:val="0"/>
                <w:numId w:val="17"/>
              </w:numPr>
              <w:spacing w:after="120"/>
              <w:rPr>
                <w:rFonts w:cstheme="minorHAnsi"/>
              </w:rPr>
            </w:pPr>
            <w:r w:rsidRPr="008F58DB">
              <w:rPr>
                <w:rFonts w:cstheme="minorHAnsi"/>
              </w:rPr>
              <w:t xml:space="preserve">To what extent have the program outcomes already been achieved?  How likely </w:t>
            </w:r>
            <w:r>
              <w:rPr>
                <w:rFonts w:cstheme="minorHAnsi"/>
              </w:rPr>
              <w:t xml:space="preserve">is it that </w:t>
            </w:r>
            <w:r w:rsidRPr="008F58DB">
              <w:rPr>
                <w:rFonts w:cstheme="minorHAnsi"/>
              </w:rPr>
              <w:t xml:space="preserve">end-of-program outcomes </w:t>
            </w:r>
            <w:r>
              <w:rPr>
                <w:rFonts w:cstheme="minorHAnsi"/>
              </w:rPr>
              <w:t xml:space="preserve">will </w:t>
            </w:r>
            <w:r w:rsidRPr="008F58DB">
              <w:rPr>
                <w:rFonts w:cstheme="minorHAnsi"/>
              </w:rPr>
              <w:t>be achieved?</w:t>
            </w:r>
          </w:p>
          <w:p w14:paraId="060884E4" w14:textId="77777777" w:rsidR="009F6DE0" w:rsidRDefault="009F6DE0" w:rsidP="003538C5">
            <w:pPr>
              <w:pStyle w:val="ListParagraph"/>
              <w:numPr>
                <w:ilvl w:val="0"/>
                <w:numId w:val="17"/>
              </w:numPr>
              <w:spacing w:after="120"/>
              <w:rPr>
                <w:rFonts w:cstheme="minorHAnsi"/>
              </w:rPr>
            </w:pPr>
            <w:r w:rsidRPr="008F58DB">
              <w:rPr>
                <w:rFonts w:cstheme="minorHAnsi"/>
              </w:rPr>
              <w:t xml:space="preserve">What </w:t>
            </w:r>
            <w:r>
              <w:rPr>
                <w:rFonts w:cstheme="minorHAnsi"/>
              </w:rPr>
              <w:t xml:space="preserve">have been </w:t>
            </w:r>
            <w:r w:rsidRPr="008F58DB">
              <w:rPr>
                <w:rFonts w:cstheme="minorHAnsi"/>
              </w:rPr>
              <w:t>the major factors influencing the achievement or non-achievement of the expected objective and program outcomes?</w:t>
            </w:r>
          </w:p>
          <w:p w14:paraId="0FDEDAB3" w14:textId="77777777" w:rsidR="009F6DE0" w:rsidRPr="008F58DB" w:rsidRDefault="009F6DE0" w:rsidP="003538C5">
            <w:pPr>
              <w:pStyle w:val="ListParagraph"/>
              <w:numPr>
                <w:ilvl w:val="0"/>
                <w:numId w:val="17"/>
              </w:numPr>
              <w:spacing w:after="120"/>
              <w:rPr>
                <w:rFonts w:cstheme="minorHAnsi"/>
              </w:rPr>
            </w:pPr>
            <w:r>
              <w:rPr>
                <w:rFonts w:cstheme="minorHAnsi"/>
              </w:rPr>
              <w:t>Is the Program Design well-articulated and sufficiently well-structured to ensure UNFPA is clear on outcomes and how to achieve them?</w:t>
            </w:r>
          </w:p>
          <w:p w14:paraId="7378BD85" w14:textId="77777777" w:rsidR="009F6DE0" w:rsidRPr="008F58DB" w:rsidRDefault="009F6DE0" w:rsidP="003538C5">
            <w:pPr>
              <w:pStyle w:val="ListParagraph"/>
              <w:numPr>
                <w:ilvl w:val="0"/>
                <w:numId w:val="17"/>
              </w:numPr>
              <w:spacing w:after="120"/>
              <w:rPr>
                <w:rFonts w:cstheme="minorHAnsi"/>
              </w:rPr>
            </w:pPr>
            <w:r>
              <w:rPr>
                <w:rFonts w:cstheme="minorHAnsi"/>
              </w:rPr>
              <w:t xml:space="preserve">To what extent is the investment impacting </w:t>
            </w:r>
            <w:r w:rsidRPr="008F58DB">
              <w:rPr>
                <w:rFonts w:cstheme="minorHAnsi"/>
              </w:rPr>
              <w:t>improved access to and uptake of modern methods of family planning?</w:t>
            </w:r>
          </w:p>
          <w:p w14:paraId="7A0B95DE" w14:textId="77777777" w:rsidR="009F6DE0" w:rsidRPr="008F58DB" w:rsidRDefault="009F6DE0" w:rsidP="003538C5">
            <w:pPr>
              <w:pStyle w:val="ListParagraph"/>
              <w:numPr>
                <w:ilvl w:val="0"/>
                <w:numId w:val="17"/>
              </w:numPr>
              <w:autoSpaceDE w:val="0"/>
              <w:autoSpaceDN w:val="0"/>
              <w:adjustRightInd w:val="0"/>
              <w:spacing w:after="120"/>
              <w:rPr>
                <w:rFonts w:cstheme="minorHAnsi"/>
              </w:rPr>
            </w:pPr>
            <w:r>
              <w:rPr>
                <w:rFonts w:cstheme="minorHAnsi"/>
              </w:rPr>
              <w:t xml:space="preserve">To what extent is </w:t>
            </w:r>
            <w:r w:rsidRPr="008F58DB">
              <w:rPr>
                <w:rFonts w:cstheme="minorHAnsi"/>
              </w:rPr>
              <w:t xml:space="preserve">the </w:t>
            </w:r>
            <w:r>
              <w:rPr>
                <w:rFonts w:cstheme="minorHAnsi"/>
              </w:rPr>
              <w:t>Transformative Agenda</w:t>
            </w:r>
            <w:r w:rsidRPr="008F58DB">
              <w:rPr>
                <w:rFonts w:cstheme="minorHAnsi"/>
              </w:rPr>
              <w:t xml:space="preserve"> influencing national SRH polic</w:t>
            </w:r>
            <w:r>
              <w:rPr>
                <w:rFonts w:cstheme="minorHAnsi"/>
              </w:rPr>
              <w:t>ies</w:t>
            </w:r>
            <w:r w:rsidRPr="008F58DB">
              <w:rPr>
                <w:rFonts w:cstheme="minorHAnsi"/>
              </w:rPr>
              <w:t xml:space="preserve"> and programming?  What has changed as a result?</w:t>
            </w:r>
          </w:p>
          <w:p w14:paraId="29815DE9" w14:textId="77777777" w:rsidR="009F6DE0" w:rsidRPr="008F58DB" w:rsidRDefault="009F6DE0" w:rsidP="003538C5">
            <w:pPr>
              <w:pStyle w:val="ListParagraph"/>
              <w:numPr>
                <w:ilvl w:val="0"/>
                <w:numId w:val="17"/>
              </w:numPr>
              <w:autoSpaceDE w:val="0"/>
              <w:autoSpaceDN w:val="0"/>
              <w:adjustRightInd w:val="0"/>
              <w:spacing w:after="120"/>
              <w:rPr>
                <w:rFonts w:cstheme="minorHAnsi"/>
              </w:rPr>
            </w:pPr>
            <w:r>
              <w:rPr>
                <w:rFonts w:cstheme="minorHAnsi"/>
              </w:rPr>
              <w:t>Is there evidence</w:t>
            </w:r>
            <w:r w:rsidRPr="008F58DB">
              <w:rPr>
                <w:rFonts w:cstheme="minorHAnsi"/>
              </w:rPr>
              <w:t xml:space="preserve"> of the </w:t>
            </w:r>
            <w:r>
              <w:rPr>
                <w:rFonts w:cstheme="minorHAnsi"/>
              </w:rPr>
              <w:t>Transformative Agenda</w:t>
            </w:r>
            <w:r w:rsidRPr="008F58DB">
              <w:rPr>
                <w:rFonts w:cstheme="minorHAnsi"/>
              </w:rPr>
              <w:t xml:space="preserve"> influencing community attitudes to SRH acceptance and uptake?</w:t>
            </w:r>
          </w:p>
          <w:p w14:paraId="62FC7BA6" w14:textId="77777777" w:rsidR="009F6DE0" w:rsidRDefault="009F6DE0" w:rsidP="003538C5">
            <w:pPr>
              <w:pStyle w:val="ListParagraph"/>
              <w:numPr>
                <w:ilvl w:val="0"/>
                <w:numId w:val="17"/>
              </w:numPr>
              <w:autoSpaceDE w:val="0"/>
              <w:autoSpaceDN w:val="0"/>
              <w:adjustRightInd w:val="0"/>
              <w:spacing w:after="120"/>
              <w:rPr>
                <w:rFonts w:cstheme="minorHAnsi"/>
              </w:rPr>
            </w:pPr>
            <w:r w:rsidRPr="008F58DB">
              <w:rPr>
                <w:rFonts w:cstheme="minorHAnsi"/>
              </w:rPr>
              <w:lastRenderedPageBreak/>
              <w:t xml:space="preserve">Is the technical </w:t>
            </w:r>
            <w:r>
              <w:rPr>
                <w:rFonts w:cstheme="minorHAnsi"/>
              </w:rPr>
              <w:t>assistance</w:t>
            </w:r>
            <w:r w:rsidRPr="008F58DB">
              <w:rPr>
                <w:rFonts w:cstheme="minorHAnsi"/>
              </w:rPr>
              <w:t xml:space="preserve"> provided to participating countries high-quality? Is the technical </w:t>
            </w:r>
            <w:r>
              <w:rPr>
                <w:rFonts w:cstheme="minorHAnsi"/>
              </w:rPr>
              <w:t>assistance</w:t>
            </w:r>
            <w:r w:rsidRPr="008F58DB">
              <w:rPr>
                <w:rFonts w:cstheme="minorHAnsi"/>
              </w:rPr>
              <w:t xml:space="preserve"> relevant and responsive to local needs? Is it an effective and efficient model? </w:t>
            </w:r>
          </w:p>
          <w:p w14:paraId="0B207E80" w14:textId="77777777" w:rsidR="009F6DE0" w:rsidRDefault="009F6DE0" w:rsidP="003538C5">
            <w:pPr>
              <w:pStyle w:val="ListParagraph"/>
              <w:numPr>
                <w:ilvl w:val="0"/>
                <w:numId w:val="17"/>
              </w:numPr>
              <w:autoSpaceDE w:val="0"/>
              <w:autoSpaceDN w:val="0"/>
              <w:adjustRightInd w:val="0"/>
              <w:spacing w:after="120"/>
              <w:rPr>
                <w:rFonts w:cstheme="minorHAnsi"/>
              </w:rPr>
            </w:pPr>
            <w:r>
              <w:rPr>
                <w:rFonts w:cstheme="minorHAnsi"/>
              </w:rPr>
              <w:t xml:space="preserve">To what extent has the Transformative Agenda considered and integrated Gender and Social Inclusion (GESI) in programming and activities? Are there examples of good practice in relation to GESI? In what ways could GESI be improved across program implementation? </w:t>
            </w:r>
          </w:p>
          <w:p w14:paraId="78A1BD41" w14:textId="77777777" w:rsidR="009F6DE0" w:rsidRPr="00D439BA" w:rsidRDefault="009F6DE0" w:rsidP="003538C5">
            <w:pPr>
              <w:pStyle w:val="ListParagraph"/>
              <w:numPr>
                <w:ilvl w:val="0"/>
                <w:numId w:val="17"/>
              </w:numPr>
              <w:autoSpaceDE w:val="0"/>
              <w:autoSpaceDN w:val="0"/>
              <w:adjustRightInd w:val="0"/>
              <w:spacing w:after="120"/>
              <w:rPr>
                <w:rFonts w:cstheme="minorHAnsi"/>
              </w:rPr>
            </w:pPr>
            <w:r w:rsidRPr="00D439BA">
              <w:rPr>
                <w:rFonts w:cstheme="minorHAnsi"/>
              </w:rPr>
              <w:t>How sustainable are the Transformative Agenda outcomes beyond the end of the program? What are options for improving the sustainability of these outcomes?</w:t>
            </w:r>
          </w:p>
          <w:p w14:paraId="6FE64EC3" w14:textId="77777777" w:rsidR="009F6DE0" w:rsidRPr="008F58DB" w:rsidRDefault="009F6DE0" w:rsidP="00CF4448">
            <w:pPr>
              <w:autoSpaceDE w:val="0"/>
              <w:autoSpaceDN w:val="0"/>
              <w:adjustRightInd w:val="0"/>
              <w:rPr>
                <w:rFonts w:eastAsia="Calibri" w:cstheme="minorHAnsi"/>
                <w:szCs w:val="22"/>
                <w:u w:val="single"/>
              </w:rPr>
            </w:pPr>
            <w:r w:rsidRPr="008F58DB">
              <w:rPr>
                <w:rFonts w:eastAsia="Calibri" w:cstheme="minorHAnsi"/>
                <w:szCs w:val="22"/>
                <w:u w:val="single"/>
              </w:rPr>
              <w:t>Efficiency</w:t>
            </w:r>
          </w:p>
          <w:p w14:paraId="71687B42" w14:textId="77777777" w:rsidR="009F6DE0" w:rsidRDefault="009F6DE0" w:rsidP="003538C5">
            <w:pPr>
              <w:pStyle w:val="ListParagraph"/>
              <w:numPr>
                <w:ilvl w:val="0"/>
                <w:numId w:val="17"/>
              </w:numPr>
              <w:autoSpaceDE w:val="0"/>
              <w:autoSpaceDN w:val="0"/>
              <w:adjustRightInd w:val="0"/>
              <w:spacing w:after="120"/>
              <w:rPr>
                <w:rFonts w:cstheme="minorHAnsi"/>
              </w:rPr>
            </w:pPr>
            <w:r w:rsidRPr="008F58DB">
              <w:rPr>
                <w:rFonts w:cstheme="minorHAnsi"/>
              </w:rPr>
              <w:t xml:space="preserve">Is the </w:t>
            </w:r>
            <w:r>
              <w:rPr>
                <w:rFonts w:cstheme="minorHAnsi"/>
              </w:rPr>
              <w:t>Transformative Agenda</w:t>
            </w:r>
            <w:r w:rsidRPr="008F58DB">
              <w:rPr>
                <w:rFonts w:cstheme="minorHAnsi"/>
              </w:rPr>
              <w:t xml:space="preserve"> using appropriate, effective and efficient strategies and activities to progress outcomes?</w:t>
            </w:r>
          </w:p>
          <w:p w14:paraId="504D8CE2" w14:textId="77777777" w:rsidR="009F6DE0" w:rsidRPr="00215102" w:rsidRDefault="009F6DE0" w:rsidP="003538C5">
            <w:pPr>
              <w:pStyle w:val="ListParagraph"/>
              <w:numPr>
                <w:ilvl w:val="0"/>
                <w:numId w:val="17"/>
              </w:numPr>
              <w:autoSpaceDE w:val="0"/>
              <w:autoSpaceDN w:val="0"/>
              <w:adjustRightInd w:val="0"/>
              <w:spacing w:after="120"/>
              <w:rPr>
                <w:rFonts w:cstheme="minorHAnsi"/>
              </w:rPr>
            </w:pPr>
            <w:r w:rsidRPr="00215102">
              <w:rPr>
                <w:rFonts w:cstheme="minorHAnsi"/>
              </w:rPr>
              <w:t xml:space="preserve">Does the current annual workplan provide a sound basis for ensuring implementing partners, including government </w:t>
            </w:r>
            <w:proofErr w:type="spellStart"/>
            <w:r w:rsidRPr="00215102">
              <w:rPr>
                <w:rFonts w:cstheme="minorHAnsi"/>
              </w:rPr>
              <w:t>organisations</w:t>
            </w:r>
            <w:proofErr w:type="spellEnd"/>
            <w:r w:rsidRPr="00215102">
              <w:rPr>
                <w:rFonts w:cstheme="minorHAnsi"/>
              </w:rPr>
              <w:t>, implement quality interventions</w:t>
            </w:r>
            <w:r>
              <w:rPr>
                <w:rFonts w:cstheme="minorHAnsi"/>
              </w:rPr>
              <w:t>?</w:t>
            </w:r>
          </w:p>
          <w:p w14:paraId="4A22A852" w14:textId="77777777" w:rsidR="009F6DE0" w:rsidRPr="008F58DB" w:rsidRDefault="009F6DE0" w:rsidP="003538C5">
            <w:pPr>
              <w:pStyle w:val="ListParagraph"/>
              <w:numPr>
                <w:ilvl w:val="0"/>
                <w:numId w:val="17"/>
              </w:numPr>
              <w:autoSpaceDE w:val="0"/>
              <w:autoSpaceDN w:val="0"/>
              <w:adjustRightInd w:val="0"/>
              <w:spacing w:after="120"/>
              <w:rPr>
                <w:rFonts w:cstheme="minorHAnsi"/>
              </w:rPr>
            </w:pPr>
            <w:r w:rsidRPr="008F58DB">
              <w:rPr>
                <w:rFonts w:cstheme="minorHAnsi"/>
              </w:rPr>
              <w:t>Is the level and balance of funding to each country and its allocation between activities</w:t>
            </w:r>
            <w:r>
              <w:rPr>
                <w:rFonts w:cstheme="minorHAnsi"/>
              </w:rPr>
              <w:t xml:space="preserve"> and outcomes</w:t>
            </w:r>
            <w:r w:rsidRPr="008F58DB">
              <w:rPr>
                <w:rFonts w:cstheme="minorHAnsi"/>
              </w:rPr>
              <w:t xml:space="preserve"> commensurate with desired outcomes and the overall program objective? </w:t>
            </w:r>
          </w:p>
          <w:p w14:paraId="2EA0330C" w14:textId="77777777" w:rsidR="009F6DE0" w:rsidRDefault="009F6DE0" w:rsidP="003538C5">
            <w:pPr>
              <w:pStyle w:val="ListParagraph"/>
              <w:numPr>
                <w:ilvl w:val="0"/>
                <w:numId w:val="17"/>
              </w:numPr>
              <w:spacing w:after="120"/>
              <w:rPr>
                <w:rFonts w:cstheme="minorHAnsi"/>
              </w:rPr>
            </w:pPr>
            <w:r w:rsidRPr="008F58DB">
              <w:rPr>
                <w:rFonts w:cstheme="minorHAnsi"/>
              </w:rPr>
              <w:t xml:space="preserve">Is the </w:t>
            </w:r>
            <w:r>
              <w:rPr>
                <w:rFonts w:cstheme="minorHAnsi"/>
              </w:rPr>
              <w:t>Transformative Agenda</w:t>
            </w:r>
            <w:r w:rsidRPr="008F58DB">
              <w:rPr>
                <w:rFonts w:cstheme="minorHAnsi"/>
              </w:rPr>
              <w:t xml:space="preserve"> being implemented in an efficient way (time, personnel,</w:t>
            </w:r>
            <w:r>
              <w:rPr>
                <w:rFonts w:cstheme="minorHAnsi"/>
              </w:rPr>
              <w:t xml:space="preserve"> budgets</w:t>
            </w:r>
            <w:r w:rsidRPr="008F58DB">
              <w:rPr>
                <w:rFonts w:cstheme="minorHAnsi"/>
              </w:rPr>
              <w:t xml:space="preserve"> and resources)? Have any issues emerged from which lessons can be learned?</w:t>
            </w:r>
          </w:p>
          <w:p w14:paraId="52D3245B" w14:textId="77777777" w:rsidR="009F6DE0" w:rsidRDefault="009F6DE0" w:rsidP="003538C5">
            <w:pPr>
              <w:pStyle w:val="ListParagraph"/>
              <w:numPr>
                <w:ilvl w:val="0"/>
                <w:numId w:val="17"/>
              </w:numPr>
              <w:spacing w:after="120"/>
              <w:rPr>
                <w:rFonts w:cstheme="minorHAnsi"/>
              </w:rPr>
            </w:pPr>
            <w:r>
              <w:rPr>
                <w:rFonts w:cstheme="minorHAnsi"/>
              </w:rPr>
              <w:t xml:space="preserve">Is the Transformative Agenda effectively supporting strengthened coordination amongst implementing partners and key stakeholders to improve SRHR and the sustainability of Transformative Agenda interventions? </w:t>
            </w:r>
          </w:p>
          <w:p w14:paraId="09269E77" w14:textId="77777777" w:rsidR="009F6DE0" w:rsidRDefault="009F6DE0" w:rsidP="003538C5">
            <w:pPr>
              <w:pStyle w:val="ListParagraph"/>
              <w:numPr>
                <w:ilvl w:val="0"/>
                <w:numId w:val="17"/>
              </w:numPr>
              <w:spacing w:after="120"/>
              <w:rPr>
                <w:rFonts w:cstheme="minorHAnsi"/>
              </w:rPr>
            </w:pPr>
            <w:r>
              <w:rPr>
                <w:rFonts w:cstheme="minorHAnsi"/>
              </w:rPr>
              <w:t>Are the implementation modalities appropriate? What needs to be modified to make the program focused and ensure it can achieve its objective?</w:t>
            </w:r>
          </w:p>
          <w:p w14:paraId="2999E1D2" w14:textId="77777777" w:rsidR="009F6DE0" w:rsidRDefault="009F6DE0" w:rsidP="003538C5">
            <w:pPr>
              <w:pStyle w:val="ListParagraph"/>
              <w:numPr>
                <w:ilvl w:val="0"/>
                <w:numId w:val="17"/>
              </w:numPr>
              <w:spacing w:after="120"/>
              <w:rPr>
                <w:rFonts w:cstheme="minorHAnsi"/>
              </w:rPr>
            </w:pPr>
            <w:r w:rsidRPr="009B42CD">
              <w:rPr>
                <w:rFonts w:cstheme="minorHAnsi"/>
              </w:rPr>
              <w:t xml:space="preserve">Which partnerships under the program are demonstrating the most impact and performance and which partnerships are under-performing and could be scaled back to </w:t>
            </w:r>
            <w:proofErr w:type="spellStart"/>
            <w:r w:rsidRPr="009B42CD">
              <w:rPr>
                <w:rFonts w:cstheme="minorHAnsi"/>
              </w:rPr>
              <w:t>maximise</w:t>
            </w:r>
            <w:proofErr w:type="spellEnd"/>
            <w:r w:rsidRPr="009B42CD">
              <w:rPr>
                <w:rFonts w:cstheme="minorHAnsi"/>
              </w:rPr>
              <w:t xml:space="preserve"> efficiency with the remaining budget? </w:t>
            </w:r>
          </w:p>
          <w:p w14:paraId="0F78FDAC" w14:textId="77777777" w:rsidR="009F6DE0" w:rsidRDefault="009F6DE0" w:rsidP="003538C5">
            <w:pPr>
              <w:pStyle w:val="ListParagraph"/>
              <w:numPr>
                <w:ilvl w:val="0"/>
                <w:numId w:val="17"/>
              </w:numPr>
              <w:spacing w:after="120"/>
              <w:rPr>
                <w:rFonts w:cstheme="minorHAnsi"/>
              </w:rPr>
            </w:pPr>
            <w:r>
              <w:rPr>
                <w:rFonts w:cstheme="minorHAnsi"/>
              </w:rPr>
              <w:t xml:space="preserve">What are the opportunities and bottlenecks that need to be addressed by program? </w:t>
            </w:r>
          </w:p>
          <w:p w14:paraId="2FA874CB" w14:textId="77777777" w:rsidR="009F6DE0" w:rsidRPr="000139B0" w:rsidRDefault="009F6DE0" w:rsidP="003538C5">
            <w:pPr>
              <w:pStyle w:val="ListParagraph"/>
              <w:numPr>
                <w:ilvl w:val="0"/>
                <w:numId w:val="17"/>
              </w:numPr>
              <w:spacing w:after="120"/>
              <w:rPr>
                <w:rFonts w:cstheme="minorHAnsi"/>
              </w:rPr>
            </w:pPr>
            <w:r w:rsidRPr="000139B0">
              <w:rPr>
                <w:rFonts w:cstheme="minorHAnsi"/>
              </w:rPr>
              <w:t xml:space="preserve">Make recommendations to focus program performance against metrics that can clearly be methodically </w:t>
            </w:r>
            <w:proofErr w:type="gramStart"/>
            <w:r w:rsidRPr="000139B0">
              <w:rPr>
                <w:rFonts w:cstheme="minorHAnsi"/>
              </w:rPr>
              <w:t>collected, and</w:t>
            </w:r>
            <w:proofErr w:type="gramEnd"/>
            <w:r w:rsidRPr="000139B0">
              <w:rPr>
                <w:rFonts w:cstheme="minorHAnsi"/>
              </w:rPr>
              <w:t xml:space="preserve"> enable the program to be assessable over its remainder.</w:t>
            </w:r>
          </w:p>
          <w:p w14:paraId="6C956A42" w14:textId="77777777" w:rsidR="009F6DE0" w:rsidRDefault="009F6DE0" w:rsidP="00CF4448">
            <w:pPr>
              <w:rPr>
                <w:rFonts w:cstheme="minorHAnsi"/>
                <w:u w:val="single"/>
              </w:rPr>
            </w:pPr>
          </w:p>
          <w:p w14:paraId="3B1A5000" w14:textId="77777777" w:rsidR="009F6DE0" w:rsidRPr="008F58DB" w:rsidRDefault="009F6DE0" w:rsidP="00CF4448">
            <w:pPr>
              <w:rPr>
                <w:rFonts w:eastAsia="Calibri" w:cstheme="minorHAnsi"/>
                <w:szCs w:val="22"/>
                <w:u w:val="single"/>
                <w:lang w:val="en-US" w:eastAsia="en-US"/>
              </w:rPr>
            </w:pPr>
            <w:r w:rsidRPr="008F58DB">
              <w:rPr>
                <w:rFonts w:eastAsia="Calibri" w:cstheme="minorHAnsi"/>
                <w:szCs w:val="22"/>
                <w:u w:val="single"/>
                <w:lang w:val="en-US" w:eastAsia="en-US"/>
              </w:rPr>
              <w:t>Governance</w:t>
            </w:r>
            <w:r>
              <w:rPr>
                <w:rFonts w:eastAsia="Calibri" w:cstheme="minorHAnsi"/>
                <w:szCs w:val="22"/>
                <w:u w:val="single"/>
                <w:lang w:val="en-US" w:eastAsia="en-US"/>
              </w:rPr>
              <w:t>, Reporting</w:t>
            </w:r>
            <w:r w:rsidRPr="008F58DB">
              <w:rPr>
                <w:rFonts w:eastAsia="Calibri" w:cstheme="minorHAnsi"/>
                <w:szCs w:val="22"/>
                <w:u w:val="single"/>
                <w:lang w:val="en-US" w:eastAsia="en-US"/>
              </w:rPr>
              <w:t xml:space="preserve"> &amp; M&amp;E</w:t>
            </w:r>
          </w:p>
          <w:p w14:paraId="7B7BEABC" w14:textId="77777777" w:rsidR="009F6DE0" w:rsidRPr="008F58DB" w:rsidRDefault="009F6DE0" w:rsidP="003538C5">
            <w:pPr>
              <w:pStyle w:val="ListParagraph"/>
              <w:numPr>
                <w:ilvl w:val="0"/>
                <w:numId w:val="17"/>
              </w:numPr>
              <w:autoSpaceDE w:val="0"/>
              <w:autoSpaceDN w:val="0"/>
              <w:adjustRightInd w:val="0"/>
              <w:spacing w:after="120"/>
              <w:rPr>
                <w:rFonts w:cstheme="minorHAnsi"/>
              </w:rPr>
            </w:pPr>
            <w:r>
              <w:rPr>
                <w:rFonts w:cstheme="minorHAnsi"/>
              </w:rPr>
              <w:t>Is the</w:t>
            </w:r>
            <w:r w:rsidRPr="008F58DB">
              <w:rPr>
                <w:rFonts w:cstheme="minorHAnsi"/>
              </w:rPr>
              <w:t xml:space="preserve"> </w:t>
            </w:r>
            <w:r>
              <w:rPr>
                <w:rFonts w:cstheme="minorHAnsi"/>
              </w:rPr>
              <w:t>Transformative Agenda</w:t>
            </w:r>
            <w:r w:rsidRPr="008F58DB">
              <w:rPr>
                <w:rFonts w:cstheme="minorHAnsi"/>
              </w:rPr>
              <w:t xml:space="preserve"> M&amp;E </w:t>
            </w:r>
            <w:r>
              <w:rPr>
                <w:rFonts w:cstheme="minorHAnsi"/>
              </w:rPr>
              <w:t>framework</w:t>
            </w:r>
            <w:r w:rsidRPr="008F58DB">
              <w:rPr>
                <w:rFonts w:cstheme="minorHAnsi"/>
              </w:rPr>
              <w:t xml:space="preserve"> adequate and fit for purpose? To what extent </w:t>
            </w:r>
            <w:r>
              <w:rPr>
                <w:rFonts w:cstheme="minorHAnsi"/>
              </w:rPr>
              <w:t xml:space="preserve">is it </w:t>
            </w:r>
            <w:r w:rsidRPr="008F58DB">
              <w:rPr>
                <w:rFonts w:cstheme="minorHAnsi"/>
              </w:rPr>
              <w:t>aligned with country M&amp;E processes?</w:t>
            </w:r>
            <w:r>
              <w:rPr>
                <w:rFonts w:cstheme="minorHAnsi"/>
              </w:rPr>
              <w:t xml:space="preserve"> Are there any recommended revisions to the M&amp;E framework and approach? </w:t>
            </w:r>
          </w:p>
          <w:p w14:paraId="5BE92D39" w14:textId="77777777" w:rsidR="009F6DE0" w:rsidRPr="0007106E" w:rsidRDefault="009F6DE0" w:rsidP="003538C5">
            <w:pPr>
              <w:pStyle w:val="ListParagraph"/>
              <w:numPr>
                <w:ilvl w:val="0"/>
                <w:numId w:val="17"/>
              </w:numPr>
              <w:autoSpaceDE w:val="0"/>
              <w:autoSpaceDN w:val="0"/>
              <w:adjustRightInd w:val="0"/>
              <w:spacing w:after="120"/>
              <w:rPr>
                <w:rFonts w:cstheme="minorHAnsi"/>
              </w:rPr>
            </w:pPr>
            <w:r w:rsidRPr="00215102">
              <w:rPr>
                <w:rFonts w:cstheme="minorHAnsi"/>
              </w:rPr>
              <w:t xml:space="preserve">Do UNFPA </w:t>
            </w:r>
            <w:r>
              <w:rPr>
                <w:rFonts w:cstheme="minorHAnsi"/>
              </w:rPr>
              <w:t>and</w:t>
            </w:r>
            <w:r w:rsidRPr="00215102">
              <w:rPr>
                <w:rFonts w:cstheme="minorHAnsi"/>
              </w:rPr>
              <w:t xml:space="preserve"> their implementing partners have adequate </w:t>
            </w:r>
            <w:r>
              <w:rPr>
                <w:rFonts w:cstheme="minorHAnsi"/>
              </w:rPr>
              <w:t>systems and processes</w:t>
            </w:r>
            <w:r w:rsidRPr="00215102">
              <w:rPr>
                <w:rFonts w:cstheme="minorHAnsi"/>
              </w:rPr>
              <w:t xml:space="preserve"> in place to</w:t>
            </w:r>
            <w:r>
              <w:rPr>
                <w:rFonts w:cstheme="minorHAnsi"/>
              </w:rPr>
              <w:t xml:space="preserve"> monitor,</w:t>
            </w:r>
            <w:r w:rsidRPr="00215102">
              <w:rPr>
                <w:rFonts w:cstheme="minorHAnsi"/>
              </w:rPr>
              <w:t xml:space="preserve"> </w:t>
            </w:r>
            <w:r>
              <w:rPr>
                <w:rFonts w:cstheme="minorHAnsi"/>
              </w:rPr>
              <w:t xml:space="preserve">capture and report on the extent to which activities and outputs are contributing to the achievement of outcomes and impacts? </w:t>
            </w:r>
          </w:p>
          <w:p w14:paraId="1B78D886" w14:textId="77777777" w:rsidR="009F6DE0" w:rsidRPr="008F58DB" w:rsidRDefault="009F6DE0" w:rsidP="003538C5">
            <w:pPr>
              <w:pStyle w:val="ListParagraph"/>
              <w:numPr>
                <w:ilvl w:val="0"/>
                <w:numId w:val="17"/>
              </w:numPr>
              <w:autoSpaceDE w:val="0"/>
              <w:autoSpaceDN w:val="0"/>
              <w:adjustRightInd w:val="0"/>
              <w:spacing w:after="120"/>
              <w:rPr>
                <w:rFonts w:cstheme="minorHAnsi"/>
              </w:rPr>
            </w:pPr>
            <w:r>
              <w:rPr>
                <w:rFonts w:cstheme="minorHAnsi"/>
              </w:rPr>
              <w:lastRenderedPageBreak/>
              <w:t xml:space="preserve">Are the governance arrangements appropriate and sufficient? </w:t>
            </w:r>
            <w:r w:rsidRPr="008F58DB">
              <w:rPr>
                <w:rFonts w:cstheme="minorHAnsi"/>
              </w:rPr>
              <w:t xml:space="preserve">Have agreed </w:t>
            </w:r>
            <w:r>
              <w:rPr>
                <w:rFonts w:cstheme="minorHAnsi"/>
              </w:rPr>
              <w:t>Transformative Agenda</w:t>
            </w:r>
            <w:r w:rsidRPr="008F58DB">
              <w:rPr>
                <w:rFonts w:cstheme="minorHAnsi"/>
              </w:rPr>
              <w:t xml:space="preserve"> governance arrangements been adhered to and are they proving appropriate for overseeing the program, responding to lessons learned and managing risks?</w:t>
            </w:r>
          </w:p>
          <w:p w14:paraId="061746FA" w14:textId="77777777" w:rsidR="009F6DE0" w:rsidRDefault="009F6DE0" w:rsidP="003538C5">
            <w:pPr>
              <w:pStyle w:val="ListParagraph"/>
              <w:numPr>
                <w:ilvl w:val="0"/>
                <w:numId w:val="17"/>
              </w:numPr>
              <w:spacing w:after="120"/>
              <w:rPr>
                <w:rFonts w:cstheme="minorHAnsi"/>
              </w:rPr>
            </w:pPr>
            <w:r w:rsidRPr="008F58DB">
              <w:rPr>
                <w:rFonts w:cstheme="minorHAnsi"/>
              </w:rPr>
              <w:t xml:space="preserve">What are the strengths and weaknesses of UNFPA’s planning, management, implementation, risk management and reporting processes for the </w:t>
            </w:r>
            <w:r>
              <w:rPr>
                <w:rFonts w:cstheme="minorHAnsi"/>
              </w:rPr>
              <w:t>Transformative Agenda</w:t>
            </w:r>
            <w:r w:rsidRPr="008F58DB">
              <w:rPr>
                <w:rFonts w:cstheme="minorHAnsi"/>
              </w:rPr>
              <w:t xml:space="preserve">? How could they </w:t>
            </w:r>
            <w:r>
              <w:rPr>
                <w:rFonts w:cstheme="minorHAnsi"/>
              </w:rPr>
              <w:t xml:space="preserve">be </w:t>
            </w:r>
            <w:r w:rsidRPr="008F58DB">
              <w:rPr>
                <w:rFonts w:cstheme="minorHAnsi"/>
              </w:rPr>
              <w:t>improve</w:t>
            </w:r>
            <w:r>
              <w:rPr>
                <w:rFonts w:cstheme="minorHAnsi"/>
              </w:rPr>
              <w:t>d</w:t>
            </w:r>
            <w:r w:rsidRPr="008F58DB">
              <w:rPr>
                <w:rFonts w:cstheme="minorHAnsi"/>
              </w:rPr>
              <w:t xml:space="preserve">? </w:t>
            </w:r>
          </w:p>
          <w:p w14:paraId="460AA46F" w14:textId="77777777" w:rsidR="009F6DE0" w:rsidRPr="00D96939" w:rsidRDefault="009F6DE0" w:rsidP="003538C5">
            <w:pPr>
              <w:pStyle w:val="ListParagraph"/>
              <w:numPr>
                <w:ilvl w:val="0"/>
                <w:numId w:val="17"/>
              </w:numPr>
              <w:spacing w:after="120"/>
              <w:rPr>
                <w:rFonts w:cstheme="minorHAnsi"/>
              </w:rPr>
            </w:pPr>
            <w:r w:rsidRPr="00D96939">
              <w:rPr>
                <w:rFonts w:cstheme="minorHAnsi"/>
              </w:rPr>
              <w:t>In light of the COVID-19 pandemic, what if any changes should be made to the way the program is implemented</w:t>
            </w:r>
            <w:r>
              <w:rPr>
                <w:rFonts w:cstheme="minorHAnsi"/>
              </w:rPr>
              <w:t xml:space="preserve"> including</w:t>
            </w:r>
            <w:r w:rsidRPr="00D96939">
              <w:rPr>
                <w:rFonts w:cstheme="minorHAnsi"/>
              </w:rPr>
              <w:t xml:space="preserve"> its focus, modalities and partnerships? What implications does COVID</w:t>
            </w:r>
            <w:r>
              <w:rPr>
                <w:rFonts w:cstheme="minorHAnsi"/>
              </w:rPr>
              <w:t>-19</w:t>
            </w:r>
            <w:r w:rsidRPr="00D96939">
              <w:rPr>
                <w:rFonts w:cstheme="minorHAnsi"/>
              </w:rPr>
              <w:t xml:space="preserve"> have for the achievement of program o</w:t>
            </w:r>
            <w:r>
              <w:rPr>
                <w:rFonts w:cstheme="minorHAnsi"/>
              </w:rPr>
              <w:t>utcomes</w:t>
            </w:r>
            <w:r w:rsidRPr="00D96939">
              <w:rPr>
                <w:rFonts w:cstheme="minorHAnsi"/>
              </w:rPr>
              <w:t>, and program accountability?</w:t>
            </w:r>
            <w:r w:rsidRPr="00D96939">
              <w:rPr>
                <w:rFonts w:ascii="Times New Roman" w:hAnsi="Times New Roman"/>
                <w:lang w:eastAsia="ja-JP"/>
              </w:rPr>
              <w:t xml:space="preserve"> </w:t>
            </w:r>
          </w:p>
        </w:tc>
      </w:tr>
      <w:tr w:rsidR="009F6DE0" w:rsidRPr="00492ACE" w14:paraId="010587C9" w14:textId="77777777" w:rsidTr="00714E9A">
        <w:tc>
          <w:tcPr>
            <w:tcW w:w="676" w:type="pct"/>
            <w:shd w:val="clear" w:color="auto" w:fill="auto"/>
          </w:tcPr>
          <w:p w14:paraId="0BD93ED6" w14:textId="77777777" w:rsidR="009F6DE0" w:rsidRPr="00492ACE" w:rsidRDefault="009F6DE0" w:rsidP="00CF4448">
            <w:pPr>
              <w:spacing w:before="120"/>
              <w:rPr>
                <w:rFonts w:ascii="Calibri" w:hAnsi="Calibri" w:cs="Arial"/>
                <w:b/>
                <w:szCs w:val="22"/>
              </w:rPr>
            </w:pPr>
            <w:r w:rsidRPr="00492ACE">
              <w:rPr>
                <w:rFonts w:ascii="Calibri" w:hAnsi="Calibri" w:cs="Arial"/>
                <w:b/>
                <w:szCs w:val="22"/>
              </w:rPr>
              <w:lastRenderedPageBreak/>
              <w:t>Duty Statement:</w:t>
            </w:r>
          </w:p>
        </w:tc>
        <w:tc>
          <w:tcPr>
            <w:tcW w:w="4324" w:type="pct"/>
          </w:tcPr>
          <w:p w14:paraId="284C55EF" w14:textId="77777777" w:rsidR="009F6DE0" w:rsidRDefault="009F6DE0" w:rsidP="00CF4448">
            <w:pPr>
              <w:rPr>
                <w:rFonts w:eastAsiaTheme="minorEastAsia" w:cstheme="minorHAnsi"/>
                <w:szCs w:val="22"/>
              </w:rPr>
            </w:pPr>
            <w:r>
              <w:rPr>
                <w:rFonts w:eastAsiaTheme="minorEastAsia" w:cstheme="minorHAnsi"/>
                <w:szCs w:val="22"/>
              </w:rPr>
              <w:t>The MTR team will consist of the following consultants:</w:t>
            </w:r>
          </w:p>
          <w:p w14:paraId="13898286" w14:textId="77777777" w:rsidR="009F6DE0" w:rsidRDefault="009F6DE0" w:rsidP="003538C5">
            <w:pPr>
              <w:pStyle w:val="ListParagraph"/>
              <w:numPr>
                <w:ilvl w:val="0"/>
                <w:numId w:val="19"/>
              </w:numPr>
              <w:spacing w:after="200"/>
              <w:contextualSpacing/>
              <w:jc w:val="both"/>
              <w:rPr>
                <w:rFonts w:cstheme="minorHAnsi"/>
                <w:lang w:eastAsia="ja-JP"/>
              </w:rPr>
            </w:pPr>
            <w:r>
              <w:rPr>
                <w:rFonts w:cstheme="minorHAnsi"/>
                <w:lang w:eastAsia="ja-JP"/>
              </w:rPr>
              <w:t xml:space="preserve">Team Leader with experience conducting health evaluations in the </w:t>
            </w:r>
            <w:proofErr w:type="gramStart"/>
            <w:r>
              <w:rPr>
                <w:rFonts w:cstheme="minorHAnsi"/>
                <w:lang w:eastAsia="ja-JP"/>
              </w:rPr>
              <w:t>Pacific</w:t>
            </w:r>
            <w:proofErr w:type="gramEnd"/>
          </w:p>
          <w:p w14:paraId="1D611A36" w14:textId="77777777" w:rsidR="009F6DE0" w:rsidRDefault="009F6DE0" w:rsidP="003538C5">
            <w:pPr>
              <w:pStyle w:val="ListParagraph"/>
              <w:numPr>
                <w:ilvl w:val="0"/>
                <w:numId w:val="19"/>
              </w:numPr>
              <w:spacing w:after="200"/>
              <w:contextualSpacing/>
              <w:jc w:val="both"/>
              <w:rPr>
                <w:rFonts w:cstheme="minorHAnsi"/>
                <w:lang w:eastAsia="ja-JP"/>
              </w:rPr>
            </w:pPr>
            <w:r>
              <w:rPr>
                <w:rFonts w:cstheme="minorHAnsi"/>
                <w:lang w:eastAsia="ja-JP"/>
              </w:rPr>
              <w:t xml:space="preserve">Technical Specialist with SRH expertise and experience </w:t>
            </w:r>
          </w:p>
          <w:p w14:paraId="313740B1" w14:textId="77777777" w:rsidR="009F6DE0" w:rsidRPr="00C4086B" w:rsidRDefault="009F6DE0" w:rsidP="003538C5">
            <w:pPr>
              <w:pStyle w:val="ListParagraph"/>
              <w:numPr>
                <w:ilvl w:val="0"/>
                <w:numId w:val="19"/>
              </w:numPr>
              <w:spacing w:after="200"/>
              <w:contextualSpacing/>
              <w:jc w:val="both"/>
              <w:rPr>
                <w:rFonts w:cstheme="minorHAnsi"/>
                <w:lang w:eastAsia="ja-JP"/>
              </w:rPr>
            </w:pPr>
            <w:r>
              <w:rPr>
                <w:rFonts w:cstheme="minorHAnsi"/>
                <w:lang w:eastAsia="ja-JP"/>
              </w:rPr>
              <w:t>6 National Consultants with experience and knowledge of the local SRH context in the 6 countries the UNFPA Transformative Agenda operates</w:t>
            </w:r>
          </w:p>
          <w:p w14:paraId="2FB98D2F" w14:textId="77777777" w:rsidR="009F6DE0" w:rsidRPr="008F58DB" w:rsidRDefault="009F6DE0" w:rsidP="00CF4448">
            <w:pPr>
              <w:rPr>
                <w:rFonts w:eastAsiaTheme="minorEastAsia" w:cstheme="minorHAnsi"/>
                <w:szCs w:val="22"/>
              </w:rPr>
            </w:pPr>
            <w:r w:rsidRPr="008F58DB">
              <w:rPr>
                <w:rFonts w:eastAsiaTheme="minorEastAsia" w:cstheme="minorHAnsi"/>
                <w:szCs w:val="22"/>
              </w:rPr>
              <w:t xml:space="preserve">The </w:t>
            </w:r>
            <w:r w:rsidRPr="008F58DB">
              <w:rPr>
                <w:rFonts w:eastAsiaTheme="minorEastAsia" w:cstheme="minorHAnsi"/>
                <w:b/>
                <w:bCs/>
                <w:szCs w:val="22"/>
              </w:rPr>
              <w:t>Team Leader</w:t>
            </w:r>
            <w:r w:rsidRPr="008F58DB">
              <w:rPr>
                <w:rFonts w:eastAsiaTheme="minorEastAsia" w:cstheme="minorHAnsi"/>
                <w:szCs w:val="22"/>
              </w:rPr>
              <w:t xml:space="preserve"> will be responsible for: </w:t>
            </w:r>
          </w:p>
          <w:p w14:paraId="7C6A1777" w14:textId="77777777" w:rsidR="009F6DE0" w:rsidRDefault="009F6DE0" w:rsidP="003538C5">
            <w:pPr>
              <w:pStyle w:val="ListParagraph"/>
              <w:numPr>
                <w:ilvl w:val="0"/>
                <w:numId w:val="18"/>
              </w:numPr>
              <w:spacing w:after="160" w:line="256" w:lineRule="auto"/>
              <w:contextualSpacing/>
              <w:jc w:val="both"/>
              <w:rPr>
                <w:rFonts w:cstheme="minorHAnsi"/>
              </w:rPr>
            </w:pPr>
            <w:r>
              <w:rPr>
                <w:rFonts w:cstheme="minorHAnsi"/>
              </w:rPr>
              <w:t xml:space="preserve">Reviewing all key documents provided by </w:t>
            </w:r>
            <w:proofErr w:type="gramStart"/>
            <w:r>
              <w:rPr>
                <w:rFonts w:cstheme="minorHAnsi"/>
              </w:rPr>
              <w:t>DFAT</w:t>
            </w:r>
            <w:proofErr w:type="gramEnd"/>
            <w:r>
              <w:rPr>
                <w:rFonts w:cstheme="minorHAnsi"/>
              </w:rPr>
              <w:t xml:space="preserve"> </w:t>
            </w:r>
          </w:p>
          <w:p w14:paraId="0D1336CE" w14:textId="77777777" w:rsidR="009F6DE0" w:rsidRPr="008F58DB" w:rsidRDefault="009F6DE0" w:rsidP="003538C5">
            <w:pPr>
              <w:pStyle w:val="ListParagraph"/>
              <w:numPr>
                <w:ilvl w:val="0"/>
                <w:numId w:val="18"/>
              </w:numPr>
              <w:spacing w:after="160" w:line="256" w:lineRule="auto"/>
              <w:contextualSpacing/>
              <w:jc w:val="both"/>
              <w:rPr>
                <w:rFonts w:cstheme="minorHAnsi"/>
              </w:rPr>
            </w:pPr>
            <w:r w:rsidRPr="008F58DB">
              <w:rPr>
                <w:rFonts w:cstheme="minorHAnsi"/>
              </w:rPr>
              <w:t xml:space="preserve">Developing the Evaluation Plan </w:t>
            </w:r>
            <w:r>
              <w:rPr>
                <w:rFonts w:cstheme="minorHAnsi"/>
              </w:rPr>
              <w:t xml:space="preserve">including the evaluation methodology </w:t>
            </w:r>
            <w:r w:rsidRPr="008F58DB">
              <w:rPr>
                <w:rFonts w:cstheme="minorHAnsi"/>
              </w:rPr>
              <w:t>and addressing</w:t>
            </w:r>
            <w:r>
              <w:rPr>
                <w:rFonts w:cstheme="minorHAnsi"/>
              </w:rPr>
              <w:t>,</w:t>
            </w:r>
            <w:r w:rsidRPr="008F58DB">
              <w:rPr>
                <w:rFonts w:cstheme="minorHAnsi"/>
              </w:rPr>
              <w:t xml:space="preserve"> </w:t>
            </w:r>
            <w:r>
              <w:rPr>
                <w:rFonts w:cstheme="minorHAnsi"/>
              </w:rPr>
              <w:t xml:space="preserve">as appropriate, </w:t>
            </w:r>
            <w:r w:rsidRPr="008F58DB">
              <w:rPr>
                <w:rFonts w:cstheme="minorHAnsi"/>
              </w:rPr>
              <w:t>any feedback/inputs from DFAT and other partners</w:t>
            </w:r>
          </w:p>
          <w:p w14:paraId="352A3901" w14:textId="77777777" w:rsidR="009F6DE0" w:rsidRPr="008F58DB" w:rsidRDefault="009F6DE0" w:rsidP="003538C5">
            <w:pPr>
              <w:pStyle w:val="ListParagraph"/>
              <w:numPr>
                <w:ilvl w:val="0"/>
                <w:numId w:val="18"/>
              </w:numPr>
              <w:spacing w:after="160" w:line="256" w:lineRule="auto"/>
              <w:contextualSpacing/>
              <w:jc w:val="both"/>
              <w:rPr>
                <w:rFonts w:cstheme="minorHAnsi"/>
              </w:rPr>
            </w:pPr>
            <w:r w:rsidRPr="008F58DB">
              <w:rPr>
                <w:rFonts w:cstheme="minorHAnsi"/>
              </w:rPr>
              <w:t xml:space="preserve">Leading and managing </w:t>
            </w:r>
            <w:r>
              <w:rPr>
                <w:rFonts w:cstheme="minorHAnsi"/>
              </w:rPr>
              <w:t xml:space="preserve">evaluation </w:t>
            </w:r>
            <w:r w:rsidRPr="008F58DB">
              <w:rPr>
                <w:rFonts w:cstheme="minorHAnsi"/>
              </w:rPr>
              <w:t xml:space="preserve">team inputs and responsibilities </w:t>
            </w:r>
          </w:p>
          <w:p w14:paraId="2FD9AFBC" w14:textId="77777777" w:rsidR="009F6DE0" w:rsidRDefault="009F6DE0" w:rsidP="003538C5">
            <w:pPr>
              <w:pStyle w:val="ListParagraph"/>
              <w:numPr>
                <w:ilvl w:val="0"/>
                <w:numId w:val="18"/>
              </w:numPr>
              <w:spacing w:after="160" w:line="256" w:lineRule="auto"/>
              <w:contextualSpacing/>
              <w:jc w:val="both"/>
              <w:rPr>
                <w:rFonts w:cstheme="minorHAnsi"/>
              </w:rPr>
            </w:pPr>
            <w:r w:rsidRPr="008F58DB">
              <w:rPr>
                <w:rFonts w:cstheme="minorHAnsi"/>
              </w:rPr>
              <w:t xml:space="preserve">Managing the </w:t>
            </w:r>
            <w:r>
              <w:rPr>
                <w:rFonts w:cstheme="minorHAnsi"/>
              </w:rPr>
              <w:t xml:space="preserve">MTR </w:t>
            </w:r>
            <w:r w:rsidRPr="008F58DB">
              <w:rPr>
                <w:rFonts w:cstheme="minorHAnsi"/>
              </w:rPr>
              <w:t xml:space="preserve">process to effectively </w:t>
            </w:r>
            <w:proofErr w:type="spellStart"/>
            <w:r w:rsidRPr="008F58DB">
              <w:rPr>
                <w:rFonts w:cstheme="minorHAnsi"/>
              </w:rPr>
              <w:t>utilise</w:t>
            </w:r>
            <w:proofErr w:type="spellEnd"/>
            <w:r w:rsidRPr="008F58DB">
              <w:rPr>
                <w:rFonts w:cstheme="minorHAnsi"/>
              </w:rPr>
              <w:t xml:space="preserve"> the expertise available within the team to meet the MTR </w:t>
            </w:r>
            <w:proofErr w:type="gramStart"/>
            <w:r w:rsidRPr="008F58DB">
              <w:rPr>
                <w:rFonts w:cstheme="minorHAnsi"/>
              </w:rPr>
              <w:t>objectives</w:t>
            </w:r>
            <w:proofErr w:type="gramEnd"/>
            <w:r w:rsidRPr="008F58DB">
              <w:rPr>
                <w:rFonts w:cstheme="minorHAnsi"/>
              </w:rPr>
              <w:t xml:space="preserve"> </w:t>
            </w:r>
          </w:p>
          <w:p w14:paraId="4D378701" w14:textId="77777777" w:rsidR="009F6DE0" w:rsidRPr="008F58DB" w:rsidRDefault="009F6DE0" w:rsidP="003538C5">
            <w:pPr>
              <w:pStyle w:val="ListParagraph"/>
              <w:numPr>
                <w:ilvl w:val="0"/>
                <w:numId w:val="18"/>
              </w:numPr>
              <w:spacing w:after="160" w:line="256" w:lineRule="auto"/>
              <w:contextualSpacing/>
              <w:jc w:val="both"/>
              <w:rPr>
                <w:rFonts w:cstheme="minorHAnsi"/>
              </w:rPr>
            </w:pPr>
            <w:r w:rsidRPr="008F58DB">
              <w:rPr>
                <w:rFonts w:cstheme="minorHAnsi"/>
              </w:rPr>
              <w:t>Leading, managing and directing review activities and representing the review team</w:t>
            </w:r>
            <w:r>
              <w:rPr>
                <w:rFonts w:cstheme="minorHAnsi"/>
              </w:rPr>
              <w:t xml:space="preserve"> as required</w:t>
            </w:r>
            <w:r w:rsidRPr="008F58DB">
              <w:rPr>
                <w:rFonts w:cstheme="minorHAnsi"/>
              </w:rPr>
              <w:t xml:space="preserve"> </w:t>
            </w:r>
          </w:p>
          <w:p w14:paraId="664304AE" w14:textId="77777777" w:rsidR="009F6DE0" w:rsidRPr="008F58DB" w:rsidRDefault="009F6DE0" w:rsidP="003538C5">
            <w:pPr>
              <w:pStyle w:val="ListParagraph"/>
              <w:numPr>
                <w:ilvl w:val="0"/>
                <w:numId w:val="18"/>
              </w:numPr>
              <w:spacing w:after="160" w:line="256" w:lineRule="auto"/>
              <w:contextualSpacing/>
              <w:jc w:val="both"/>
              <w:rPr>
                <w:rFonts w:cstheme="minorHAnsi"/>
              </w:rPr>
            </w:pPr>
            <w:r>
              <w:rPr>
                <w:rFonts w:cstheme="minorHAnsi"/>
              </w:rPr>
              <w:t>Remotely l</w:t>
            </w:r>
            <w:r w:rsidRPr="008F58DB">
              <w:rPr>
                <w:rFonts w:cstheme="minorHAnsi"/>
              </w:rPr>
              <w:t>eading</w:t>
            </w:r>
            <w:r>
              <w:rPr>
                <w:rFonts w:cstheme="minorHAnsi"/>
              </w:rPr>
              <w:t>, supporting</w:t>
            </w:r>
            <w:r w:rsidRPr="008F58DB">
              <w:rPr>
                <w:rFonts w:cstheme="minorHAnsi"/>
              </w:rPr>
              <w:t xml:space="preserve"> and </w:t>
            </w:r>
            <w:r>
              <w:rPr>
                <w:rFonts w:cstheme="minorHAnsi"/>
              </w:rPr>
              <w:t>facilitating</w:t>
            </w:r>
            <w:r w:rsidRPr="008F58DB">
              <w:rPr>
                <w:rFonts w:cstheme="minorHAnsi"/>
              </w:rPr>
              <w:t xml:space="preserve"> interviews and consultations with stakeholders</w:t>
            </w:r>
            <w:r>
              <w:rPr>
                <w:rFonts w:cstheme="minorHAnsi"/>
              </w:rPr>
              <w:t xml:space="preserve"> (as required)</w:t>
            </w:r>
            <w:r w:rsidRPr="008F58DB">
              <w:rPr>
                <w:rFonts w:cstheme="minorHAnsi"/>
              </w:rPr>
              <w:t xml:space="preserve"> in </w:t>
            </w:r>
            <w:r>
              <w:rPr>
                <w:rFonts w:cstheme="minorHAnsi"/>
              </w:rPr>
              <w:t xml:space="preserve">the six TA </w:t>
            </w:r>
            <w:r w:rsidRPr="008F58DB">
              <w:rPr>
                <w:rFonts w:cstheme="minorHAnsi"/>
              </w:rPr>
              <w:t>countries</w:t>
            </w:r>
            <w:r>
              <w:rPr>
                <w:rFonts w:cstheme="minorHAnsi"/>
              </w:rPr>
              <w:t xml:space="preserve"> using web-based platforms and innovative tools and working in close coordination with the national </w:t>
            </w:r>
            <w:proofErr w:type="gramStart"/>
            <w:r>
              <w:rPr>
                <w:rFonts w:cstheme="minorHAnsi"/>
              </w:rPr>
              <w:t>consultants</w:t>
            </w:r>
            <w:proofErr w:type="gramEnd"/>
          </w:p>
          <w:p w14:paraId="341786D1" w14:textId="77777777" w:rsidR="009F6DE0" w:rsidRDefault="009F6DE0" w:rsidP="003538C5">
            <w:pPr>
              <w:pStyle w:val="ListParagraph"/>
              <w:numPr>
                <w:ilvl w:val="0"/>
                <w:numId w:val="18"/>
              </w:numPr>
              <w:spacing w:after="160" w:line="256" w:lineRule="auto"/>
              <w:contextualSpacing/>
              <w:jc w:val="both"/>
              <w:rPr>
                <w:rFonts w:cstheme="minorHAnsi"/>
              </w:rPr>
            </w:pPr>
            <w:r w:rsidRPr="008F58DB">
              <w:rPr>
                <w:rFonts w:cstheme="minorHAnsi"/>
              </w:rPr>
              <w:t xml:space="preserve">Leading </w:t>
            </w:r>
            <w:r>
              <w:rPr>
                <w:rFonts w:cstheme="minorHAnsi"/>
              </w:rPr>
              <w:t xml:space="preserve">and facilitating </w:t>
            </w:r>
            <w:r w:rsidRPr="008F58DB">
              <w:rPr>
                <w:rFonts w:cstheme="minorHAnsi"/>
              </w:rPr>
              <w:t>team discussions and reflection</w:t>
            </w:r>
            <w:r>
              <w:rPr>
                <w:rFonts w:cstheme="minorHAnsi"/>
              </w:rPr>
              <w:t xml:space="preserve"> and ensuring the MTR team are regularly </w:t>
            </w:r>
            <w:proofErr w:type="gramStart"/>
            <w:r>
              <w:rPr>
                <w:rFonts w:cstheme="minorHAnsi"/>
              </w:rPr>
              <w:t>updated</w:t>
            </w:r>
            <w:proofErr w:type="gramEnd"/>
            <w:r>
              <w:rPr>
                <w:rFonts w:cstheme="minorHAnsi"/>
              </w:rPr>
              <w:t xml:space="preserve"> </w:t>
            </w:r>
          </w:p>
          <w:p w14:paraId="059BC038" w14:textId="77777777" w:rsidR="009F6DE0" w:rsidRPr="008F58DB" w:rsidRDefault="009F6DE0" w:rsidP="003538C5">
            <w:pPr>
              <w:pStyle w:val="ListParagraph"/>
              <w:numPr>
                <w:ilvl w:val="0"/>
                <w:numId w:val="18"/>
              </w:numPr>
              <w:spacing w:after="160" w:line="256" w:lineRule="auto"/>
              <w:contextualSpacing/>
              <w:jc w:val="both"/>
              <w:rPr>
                <w:rFonts w:cstheme="minorHAnsi"/>
              </w:rPr>
            </w:pPr>
            <w:r>
              <w:rPr>
                <w:rFonts w:cstheme="minorHAnsi"/>
              </w:rPr>
              <w:t xml:space="preserve">Working closely with the national consultants to identify key stakeholders for consultation and schedule interviews and </w:t>
            </w:r>
            <w:proofErr w:type="gramStart"/>
            <w:r>
              <w:rPr>
                <w:rFonts w:cstheme="minorHAnsi"/>
              </w:rPr>
              <w:t>consultations</w:t>
            </w:r>
            <w:proofErr w:type="gramEnd"/>
          </w:p>
          <w:p w14:paraId="4329D1FA" w14:textId="77777777" w:rsidR="009F6DE0" w:rsidRPr="008F58DB" w:rsidRDefault="009F6DE0" w:rsidP="003538C5">
            <w:pPr>
              <w:pStyle w:val="ListParagraph"/>
              <w:numPr>
                <w:ilvl w:val="0"/>
                <w:numId w:val="18"/>
              </w:numPr>
              <w:spacing w:after="160" w:line="256" w:lineRule="auto"/>
              <w:contextualSpacing/>
              <w:jc w:val="both"/>
              <w:rPr>
                <w:rFonts w:cstheme="minorHAnsi"/>
              </w:rPr>
            </w:pPr>
            <w:r>
              <w:rPr>
                <w:rFonts w:cstheme="minorHAnsi"/>
              </w:rPr>
              <w:t>E</w:t>
            </w:r>
            <w:r w:rsidRPr="008F58DB">
              <w:rPr>
                <w:rFonts w:cstheme="minorHAnsi"/>
              </w:rPr>
              <w:t xml:space="preserve">nsuring </w:t>
            </w:r>
            <w:r>
              <w:rPr>
                <w:rFonts w:cstheme="minorHAnsi"/>
              </w:rPr>
              <w:t xml:space="preserve">MTR </w:t>
            </w:r>
            <w:r w:rsidRPr="008F58DB">
              <w:rPr>
                <w:rFonts w:cstheme="minorHAnsi"/>
              </w:rPr>
              <w:t>alignment with DFAT policies and guidance, including DFAT’s M&amp;E standards, and the requirements of the Terms of Reference</w:t>
            </w:r>
          </w:p>
          <w:p w14:paraId="36692F0D" w14:textId="77777777" w:rsidR="009F6DE0" w:rsidRPr="008F58DB" w:rsidRDefault="009F6DE0" w:rsidP="003538C5">
            <w:pPr>
              <w:pStyle w:val="ListParagraph"/>
              <w:numPr>
                <w:ilvl w:val="0"/>
                <w:numId w:val="18"/>
              </w:numPr>
              <w:spacing w:after="160" w:line="256" w:lineRule="auto"/>
              <w:contextualSpacing/>
              <w:jc w:val="both"/>
              <w:rPr>
                <w:rFonts w:cstheme="minorHAnsi"/>
              </w:rPr>
            </w:pPr>
            <w:r w:rsidRPr="008F58DB">
              <w:rPr>
                <w:rFonts w:cstheme="minorHAnsi"/>
              </w:rPr>
              <w:t xml:space="preserve">Collating, </w:t>
            </w:r>
            <w:proofErr w:type="spellStart"/>
            <w:r w:rsidRPr="008F58DB">
              <w:rPr>
                <w:rFonts w:cstheme="minorHAnsi"/>
              </w:rPr>
              <w:t>synthesising</w:t>
            </w:r>
            <w:proofErr w:type="spellEnd"/>
            <w:r w:rsidRPr="008F58DB">
              <w:rPr>
                <w:rFonts w:cstheme="minorHAnsi"/>
              </w:rPr>
              <w:t xml:space="preserve"> and </w:t>
            </w:r>
            <w:proofErr w:type="spellStart"/>
            <w:r w:rsidRPr="008F58DB">
              <w:rPr>
                <w:rFonts w:cstheme="minorHAnsi"/>
              </w:rPr>
              <w:t>analysing</w:t>
            </w:r>
            <w:proofErr w:type="spellEnd"/>
            <w:r w:rsidRPr="008F58DB">
              <w:rPr>
                <w:rFonts w:cstheme="minorHAnsi"/>
              </w:rPr>
              <w:t xml:space="preserve"> all primary and secondary data and information required for the </w:t>
            </w:r>
            <w:proofErr w:type="gramStart"/>
            <w:r>
              <w:rPr>
                <w:rFonts w:cstheme="minorHAnsi"/>
              </w:rPr>
              <w:t>MTR</w:t>
            </w:r>
            <w:proofErr w:type="gramEnd"/>
          </w:p>
          <w:p w14:paraId="7C3EC748" w14:textId="77777777" w:rsidR="009F6DE0" w:rsidRPr="008F58DB" w:rsidRDefault="009F6DE0" w:rsidP="003538C5">
            <w:pPr>
              <w:pStyle w:val="ListParagraph"/>
              <w:numPr>
                <w:ilvl w:val="0"/>
                <w:numId w:val="18"/>
              </w:numPr>
              <w:spacing w:after="160" w:line="256" w:lineRule="auto"/>
              <w:contextualSpacing/>
              <w:jc w:val="both"/>
              <w:rPr>
                <w:rFonts w:cstheme="minorHAnsi"/>
              </w:rPr>
            </w:pPr>
            <w:r w:rsidRPr="008F58DB">
              <w:rPr>
                <w:rFonts w:cstheme="minorHAnsi"/>
              </w:rPr>
              <w:t xml:space="preserve">Developing all key deliverables and managing revisions, quality assurance and </w:t>
            </w:r>
            <w:proofErr w:type="spellStart"/>
            <w:r w:rsidRPr="008F58DB">
              <w:rPr>
                <w:rFonts w:cstheme="minorHAnsi"/>
              </w:rPr>
              <w:t>finalisation</w:t>
            </w:r>
            <w:proofErr w:type="spellEnd"/>
            <w:r w:rsidRPr="008F58DB">
              <w:rPr>
                <w:rFonts w:cstheme="minorHAnsi"/>
              </w:rPr>
              <w:t xml:space="preserve"> of deliverables  </w:t>
            </w:r>
          </w:p>
          <w:p w14:paraId="0F7012E4" w14:textId="77777777" w:rsidR="009F6DE0" w:rsidRPr="00CD37D4" w:rsidRDefault="009F6DE0" w:rsidP="00CF4448">
            <w:pPr>
              <w:rPr>
                <w:rFonts w:eastAsiaTheme="minorEastAsia" w:cstheme="minorHAnsi"/>
                <w:szCs w:val="22"/>
                <w:highlight w:val="yellow"/>
              </w:rPr>
            </w:pPr>
            <w:r w:rsidRPr="00D439BA">
              <w:rPr>
                <w:rFonts w:eastAsiaTheme="minorEastAsia" w:cstheme="minorHAnsi"/>
                <w:szCs w:val="22"/>
              </w:rPr>
              <w:t xml:space="preserve">The </w:t>
            </w:r>
            <w:r w:rsidRPr="00D439BA">
              <w:rPr>
                <w:rFonts w:eastAsiaTheme="minorEastAsia" w:cstheme="minorHAnsi"/>
                <w:b/>
                <w:bCs/>
                <w:szCs w:val="22"/>
              </w:rPr>
              <w:t xml:space="preserve">Technical Specialist </w:t>
            </w:r>
            <w:r w:rsidRPr="00D439BA">
              <w:rPr>
                <w:rFonts w:eastAsiaTheme="minorEastAsia" w:cstheme="minorHAnsi"/>
                <w:szCs w:val="22"/>
              </w:rPr>
              <w:t xml:space="preserve">will be responsible for: </w:t>
            </w:r>
          </w:p>
          <w:p w14:paraId="59916083" w14:textId="77777777" w:rsidR="009F6DE0" w:rsidRPr="00F17AFE" w:rsidRDefault="009F6DE0" w:rsidP="003538C5">
            <w:pPr>
              <w:pStyle w:val="ListParagraph"/>
              <w:numPr>
                <w:ilvl w:val="0"/>
                <w:numId w:val="18"/>
              </w:numPr>
              <w:spacing w:after="160" w:line="256" w:lineRule="auto"/>
              <w:contextualSpacing/>
              <w:jc w:val="both"/>
              <w:rPr>
                <w:rFonts w:cstheme="minorHAnsi"/>
              </w:rPr>
            </w:pPr>
            <w:r>
              <w:rPr>
                <w:rFonts w:cstheme="minorHAnsi"/>
              </w:rPr>
              <w:t xml:space="preserve">Reviewing key documents provided by DFAT and sharing relevant documents from the MFAT evaluation (if possible) </w:t>
            </w:r>
          </w:p>
          <w:p w14:paraId="39305775" w14:textId="77777777" w:rsidR="009F6DE0" w:rsidRPr="00CC49A6" w:rsidRDefault="009F6DE0" w:rsidP="003538C5">
            <w:pPr>
              <w:pStyle w:val="ListParagraph"/>
              <w:numPr>
                <w:ilvl w:val="0"/>
                <w:numId w:val="18"/>
              </w:numPr>
              <w:spacing w:after="160" w:line="256" w:lineRule="auto"/>
              <w:contextualSpacing/>
              <w:jc w:val="both"/>
              <w:rPr>
                <w:rFonts w:cstheme="minorHAnsi"/>
              </w:rPr>
            </w:pPr>
            <w:r>
              <w:rPr>
                <w:rFonts w:cstheme="minorHAnsi"/>
              </w:rPr>
              <w:t xml:space="preserve">Contributing to the development of the evaluation methodology (including refinement of the key evaluation questions and sharing lessons from the MFAT PRSRHP review) with an </w:t>
            </w:r>
            <w:r>
              <w:rPr>
                <w:rFonts w:cstheme="minorHAnsi"/>
              </w:rPr>
              <w:lastRenderedPageBreak/>
              <w:t xml:space="preserve">emphasis on using relevant knowledge and experience related to SRH to inform the MTR </w:t>
            </w:r>
            <w:proofErr w:type="gramStart"/>
            <w:r>
              <w:rPr>
                <w:rFonts w:cstheme="minorHAnsi"/>
              </w:rPr>
              <w:t>approach</w:t>
            </w:r>
            <w:proofErr w:type="gramEnd"/>
          </w:p>
          <w:p w14:paraId="0E98037E" w14:textId="77777777" w:rsidR="009F6DE0" w:rsidRPr="00CC49A6" w:rsidRDefault="009F6DE0" w:rsidP="003538C5">
            <w:pPr>
              <w:pStyle w:val="ListParagraph"/>
              <w:numPr>
                <w:ilvl w:val="0"/>
                <w:numId w:val="18"/>
              </w:numPr>
              <w:spacing w:after="160" w:line="256" w:lineRule="auto"/>
              <w:contextualSpacing/>
              <w:jc w:val="both"/>
              <w:rPr>
                <w:rFonts w:cstheme="minorHAnsi"/>
              </w:rPr>
            </w:pPr>
            <w:r>
              <w:rPr>
                <w:rFonts w:cstheme="minorHAnsi"/>
              </w:rPr>
              <w:t xml:space="preserve">Participating in MTR team discussions and reflections as required </w:t>
            </w:r>
          </w:p>
          <w:p w14:paraId="78CAA008" w14:textId="77777777" w:rsidR="009F6DE0" w:rsidRPr="00264DBF" w:rsidRDefault="009F6DE0" w:rsidP="003538C5">
            <w:pPr>
              <w:pStyle w:val="ListParagraph"/>
              <w:numPr>
                <w:ilvl w:val="0"/>
                <w:numId w:val="18"/>
              </w:numPr>
              <w:spacing w:after="160" w:line="256" w:lineRule="auto"/>
              <w:contextualSpacing/>
              <w:jc w:val="both"/>
              <w:rPr>
                <w:rFonts w:cstheme="minorHAnsi"/>
              </w:rPr>
            </w:pPr>
            <w:r w:rsidRPr="001F6112">
              <w:rPr>
                <w:rFonts w:cstheme="minorHAnsi"/>
              </w:rPr>
              <w:t>Provid</w:t>
            </w:r>
            <w:r>
              <w:rPr>
                <w:rFonts w:cstheme="minorHAnsi"/>
              </w:rPr>
              <w:t>e</w:t>
            </w:r>
            <w:r w:rsidRPr="001F6112">
              <w:rPr>
                <w:rFonts w:cstheme="minorHAnsi"/>
              </w:rPr>
              <w:t xml:space="preserve"> </w:t>
            </w:r>
            <w:r>
              <w:rPr>
                <w:rFonts w:cstheme="minorHAnsi"/>
              </w:rPr>
              <w:t xml:space="preserve">technical inputs and review of </w:t>
            </w:r>
            <w:r w:rsidRPr="001F6112">
              <w:rPr>
                <w:rFonts w:cstheme="minorHAnsi"/>
              </w:rPr>
              <w:t xml:space="preserve">the MTR </w:t>
            </w:r>
            <w:proofErr w:type="gramStart"/>
            <w:r w:rsidRPr="001F6112">
              <w:rPr>
                <w:rFonts w:cstheme="minorHAnsi"/>
              </w:rPr>
              <w:t>report</w:t>
            </w:r>
            <w:proofErr w:type="gramEnd"/>
          </w:p>
          <w:p w14:paraId="106A5A01" w14:textId="77777777" w:rsidR="009F6DE0" w:rsidRPr="00264DBF" w:rsidRDefault="009F6DE0" w:rsidP="00CF4448">
            <w:pPr>
              <w:spacing w:after="160" w:line="256" w:lineRule="auto"/>
              <w:rPr>
                <w:rFonts w:cstheme="minorHAnsi"/>
                <w:szCs w:val="22"/>
              </w:rPr>
            </w:pPr>
            <w:r w:rsidRPr="00264DBF">
              <w:rPr>
                <w:rFonts w:cstheme="minorHAnsi"/>
                <w:szCs w:val="22"/>
              </w:rPr>
              <w:t xml:space="preserve">The </w:t>
            </w:r>
            <w:r w:rsidRPr="000F4453">
              <w:rPr>
                <w:rFonts w:cstheme="minorHAnsi"/>
                <w:b/>
                <w:bCs/>
                <w:szCs w:val="22"/>
              </w:rPr>
              <w:t>National Consultants</w:t>
            </w:r>
            <w:r w:rsidRPr="00264DBF">
              <w:rPr>
                <w:rFonts w:cstheme="minorHAnsi"/>
                <w:szCs w:val="22"/>
              </w:rPr>
              <w:t xml:space="preserve"> in will be responsible for: </w:t>
            </w:r>
          </w:p>
          <w:p w14:paraId="5B0B9F05" w14:textId="77777777" w:rsidR="009F6DE0" w:rsidRPr="00264DBF" w:rsidRDefault="009F6DE0" w:rsidP="003538C5">
            <w:pPr>
              <w:pStyle w:val="ListParagraph"/>
              <w:numPr>
                <w:ilvl w:val="0"/>
                <w:numId w:val="14"/>
              </w:numPr>
              <w:spacing w:after="160" w:line="256" w:lineRule="auto"/>
              <w:contextualSpacing/>
              <w:jc w:val="both"/>
              <w:rPr>
                <w:rFonts w:cstheme="minorHAnsi"/>
              </w:rPr>
            </w:pPr>
            <w:r>
              <w:rPr>
                <w:rFonts w:cstheme="minorHAnsi"/>
              </w:rPr>
              <w:t>Managing in-country consultation logistics including scheduling meetings and managing communications with relevant stakeholders</w:t>
            </w:r>
          </w:p>
          <w:p w14:paraId="67E067AB" w14:textId="77777777" w:rsidR="009F6DE0" w:rsidRPr="00AC215B" w:rsidRDefault="009F6DE0" w:rsidP="003538C5">
            <w:pPr>
              <w:pStyle w:val="ListParagraph"/>
              <w:numPr>
                <w:ilvl w:val="0"/>
                <w:numId w:val="14"/>
              </w:numPr>
              <w:spacing w:after="160" w:line="256" w:lineRule="auto"/>
              <w:contextualSpacing/>
              <w:jc w:val="both"/>
              <w:rPr>
                <w:rFonts w:cstheme="minorHAnsi"/>
              </w:rPr>
            </w:pPr>
            <w:r>
              <w:rPr>
                <w:rFonts w:cstheme="minorHAnsi"/>
              </w:rPr>
              <w:t xml:space="preserve">Liaising with all key partners involved in the MTR including the MTR team, UNFPA, government and other </w:t>
            </w:r>
            <w:proofErr w:type="gramStart"/>
            <w:r>
              <w:rPr>
                <w:rFonts w:cstheme="minorHAnsi"/>
              </w:rPr>
              <w:t>partners</w:t>
            </w:r>
            <w:proofErr w:type="gramEnd"/>
          </w:p>
          <w:p w14:paraId="26F5F7B2" w14:textId="77777777" w:rsidR="009F6DE0" w:rsidRPr="00411C06" w:rsidRDefault="009F6DE0" w:rsidP="003538C5">
            <w:pPr>
              <w:pStyle w:val="ListParagraph"/>
              <w:numPr>
                <w:ilvl w:val="0"/>
                <w:numId w:val="14"/>
              </w:numPr>
              <w:spacing w:after="160" w:line="256" w:lineRule="auto"/>
              <w:contextualSpacing/>
              <w:jc w:val="both"/>
              <w:rPr>
                <w:rFonts w:cstheme="minorHAnsi"/>
              </w:rPr>
            </w:pPr>
            <w:r>
              <w:rPr>
                <w:rFonts w:cstheme="minorHAnsi"/>
              </w:rPr>
              <w:t xml:space="preserve">Supporting the MTR Team Leader with contextual information relevant to the local operational context </w:t>
            </w:r>
          </w:p>
          <w:p w14:paraId="452C22B5" w14:textId="77777777" w:rsidR="009F6DE0" w:rsidRDefault="009F6DE0" w:rsidP="003538C5">
            <w:pPr>
              <w:pStyle w:val="ListParagraph"/>
              <w:numPr>
                <w:ilvl w:val="0"/>
                <w:numId w:val="14"/>
              </w:numPr>
              <w:spacing w:after="160" w:line="256" w:lineRule="auto"/>
              <w:contextualSpacing/>
              <w:jc w:val="both"/>
              <w:rPr>
                <w:rFonts w:cstheme="minorHAnsi"/>
              </w:rPr>
            </w:pPr>
            <w:r>
              <w:rPr>
                <w:rFonts w:cstheme="minorHAnsi"/>
              </w:rPr>
              <w:t>Participating in and co-facilitating consultations and interviews with key stakeholders in-country</w:t>
            </w:r>
          </w:p>
          <w:p w14:paraId="493C58B0" w14:textId="77777777" w:rsidR="009F6DE0" w:rsidRDefault="009F6DE0" w:rsidP="003538C5">
            <w:pPr>
              <w:pStyle w:val="ListParagraph"/>
              <w:numPr>
                <w:ilvl w:val="0"/>
                <w:numId w:val="14"/>
              </w:numPr>
              <w:spacing w:after="160" w:line="256" w:lineRule="auto"/>
              <w:contextualSpacing/>
              <w:jc w:val="both"/>
              <w:rPr>
                <w:rFonts w:cstheme="minorHAnsi"/>
              </w:rPr>
            </w:pPr>
            <w:r>
              <w:rPr>
                <w:rFonts w:cstheme="minorHAnsi"/>
              </w:rPr>
              <w:t xml:space="preserve">Collecting and collating country level quantitative and qualitative data and information required for the </w:t>
            </w:r>
            <w:proofErr w:type="gramStart"/>
            <w:r>
              <w:rPr>
                <w:rFonts w:cstheme="minorHAnsi"/>
              </w:rPr>
              <w:t>MTR</w:t>
            </w:r>
            <w:proofErr w:type="gramEnd"/>
            <w:r>
              <w:rPr>
                <w:rFonts w:cstheme="minorHAnsi"/>
              </w:rPr>
              <w:t xml:space="preserve">  </w:t>
            </w:r>
          </w:p>
          <w:p w14:paraId="2B233719" w14:textId="77777777" w:rsidR="009F6DE0" w:rsidRPr="00264DBF" w:rsidRDefault="009F6DE0" w:rsidP="003538C5">
            <w:pPr>
              <w:pStyle w:val="ListParagraph"/>
              <w:numPr>
                <w:ilvl w:val="0"/>
                <w:numId w:val="14"/>
              </w:numPr>
              <w:spacing w:after="160" w:line="256" w:lineRule="auto"/>
              <w:contextualSpacing/>
              <w:jc w:val="both"/>
              <w:rPr>
                <w:rFonts w:cstheme="minorHAnsi"/>
              </w:rPr>
            </w:pPr>
            <w:r>
              <w:rPr>
                <w:rFonts w:cstheme="minorHAnsi"/>
              </w:rPr>
              <w:t>Assisting in drafting and revising Aide Memoires as directed by the Team Leader</w:t>
            </w:r>
          </w:p>
        </w:tc>
      </w:tr>
      <w:tr w:rsidR="009F6DE0" w:rsidRPr="00492ACE" w14:paraId="71C949D9" w14:textId="77777777" w:rsidTr="00714E9A">
        <w:tc>
          <w:tcPr>
            <w:tcW w:w="676" w:type="pct"/>
            <w:shd w:val="clear" w:color="auto" w:fill="auto"/>
            <w:vAlign w:val="center"/>
          </w:tcPr>
          <w:p w14:paraId="4C36EB5B" w14:textId="77777777" w:rsidR="009F6DE0" w:rsidRDefault="009F6DE0" w:rsidP="00CF4448">
            <w:pPr>
              <w:spacing w:before="120"/>
              <w:rPr>
                <w:rFonts w:ascii="Calibri" w:hAnsi="Calibri" w:cs="Arial"/>
                <w:b/>
                <w:szCs w:val="22"/>
              </w:rPr>
            </w:pPr>
          </w:p>
          <w:p w14:paraId="71EFEAE2" w14:textId="77777777" w:rsidR="009F6DE0" w:rsidRDefault="009F6DE0" w:rsidP="00CF4448">
            <w:pPr>
              <w:spacing w:before="120"/>
              <w:rPr>
                <w:rFonts w:ascii="Calibri" w:hAnsi="Calibri" w:cs="Arial"/>
                <w:b/>
                <w:szCs w:val="22"/>
              </w:rPr>
            </w:pPr>
          </w:p>
          <w:p w14:paraId="1C12C9D4" w14:textId="77777777" w:rsidR="009F6DE0" w:rsidRDefault="009F6DE0" w:rsidP="00CF4448">
            <w:pPr>
              <w:spacing w:before="120"/>
              <w:rPr>
                <w:rFonts w:ascii="Calibri" w:hAnsi="Calibri" w:cs="Arial"/>
                <w:b/>
                <w:szCs w:val="22"/>
              </w:rPr>
            </w:pPr>
          </w:p>
          <w:p w14:paraId="17D588E2" w14:textId="77777777" w:rsidR="009F6DE0" w:rsidRPr="00492ACE" w:rsidRDefault="009F6DE0" w:rsidP="00CF4448">
            <w:pPr>
              <w:spacing w:before="120"/>
              <w:rPr>
                <w:rFonts w:ascii="Calibri" w:hAnsi="Calibri" w:cs="Arial"/>
                <w:b/>
                <w:szCs w:val="22"/>
              </w:rPr>
            </w:pPr>
            <w:r w:rsidRPr="00492ACE">
              <w:rPr>
                <w:rFonts w:ascii="Calibri" w:hAnsi="Calibri" w:cs="Arial"/>
                <w:b/>
                <w:szCs w:val="22"/>
              </w:rPr>
              <w:t>Performance Outcomes and Deliverables, with dates:</w:t>
            </w:r>
          </w:p>
        </w:tc>
        <w:tc>
          <w:tcPr>
            <w:tcW w:w="4324" w:type="pct"/>
          </w:tcPr>
          <w:p w14:paraId="75F108C9" w14:textId="2DE2BA63" w:rsidR="009F6DE0" w:rsidRDefault="009F6DE0" w:rsidP="00CF4448">
            <w:pPr>
              <w:pStyle w:val="ListParagraph"/>
              <w:spacing w:after="0"/>
              <w:ind w:left="0"/>
            </w:pPr>
          </w:p>
          <w:p w14:paraId="6E1535AA" w14:textId="1E4E8782" w:rsidR="00B161D9" w:rsidRDefault="00B161D9" w:rsidP="00B161D9">
            <w:pPr>
              <w:rPr>
                <w:rFonts w:cstheme="minorHAnsi"/>
                <w:szCs w:val="22"/>
              </w:rPr>
            </w:pPr>
            <w:r>
              <w:rPr>
                <w:rFonts w:cstheme="minorHAnsi"/>
                <w:szCs w:val="22"/>
              </w:rPr>
              <w:t>9 August</w:t>
            </w:r>
            <w:r w:rsidRPr="00F17AFE">
              <w:rPr>
                <w:rFonts w:cstheme="minorHAnsi"/>
                <w:szCs w:val="22"/>
              </w:rPr>
              <w:t xml:space="preserve"> 2020</w:t>
            </w:r>
            <w:r>
              <w:rPr>
                <w:rFonts w:cstheme="minorHAnsi"/>
                <w:szCs w:val="22"/>
              </w:rPr>
              <w:t xml:space="preserve">: </w:t>
            </w:r>
            <w:r w:rsidRPr="008F58DB">
              <w:rPr>
                <w:rFonts w:cstheme="minorHAnsi"/>
                <w:szCs w:val="22"/>
              </w:rPr>
              <w:t xml:space="preserve">Draft </w:t>
            </w:r>
            <w:r>
              <w:rPr>
                <w:rFonts w:cstheme="minorHAnsi"/>
                <w:szCs w:val="22"/>
              </w:rPr>
              <w:t>MTR</w:t>
            </w:r>
            <w:r w:rsidRPr="008F58DB">
              <w:rPr>
                <w:rFonts w:cstheme="minorHAnsi"/>
                <w:szCs w:val="22"/>
              </w:rPr>
              <w:t xml:space="preserve"> Plan submitted to </w:t>
            </w:r>
            <w:proofErr w:type="gramStart"/>
            <w:r w:rsidRPr="008F58DB">
              <w:rPr>
                <w:rFonts w:cstheme="minorHAnsi"/>
                <w:szCs w:val="22"/>
              </w:rPr>
              <w:t>SHS</w:t>
            </w:r>
            <w:proofErr w:type="gramEnd"/>
          </w:p>
          <w:p w14:paraId="45B15247" w14:textId="54C3DBAE" w:rsidR="00B161D9" w:rsidRDefault="00B161D9" w:rsidP="00B161D9">
            <w:pPr>
              <w:rPr>
                <w:lang w:val="en-US" w:eastAsia="en-US" w:bidi="ar-SA"/>
              </w:rPr>
            </w:pPr>
            <w:r>
              <w:rPr>
                <w:rFonts w:cstheme="minorHAnsi"/>
                <w:szCs w:val="22"/>
              </w:rPr>
              <w:t>10 August</w:t>
            </w:r>
            <w:r w:rsidRPr="00F17AFE">
              <w:rPr>
                <w:rFonts w:cstheme="minorHAnsi"/>
                <w:szCs w:val="22"/>
              </w:rPr>
              <w:t xml:space="preserve"> 2020</w:t>
            </w:r>
            <w:r>
              <w:rPr>
                <w:rFonts w:cstheme="minorHAnsi"/>
                <w:szCs w:val="22"/>
              </w:rPr>
              <w:t xml:space="preserve">: </w:t>
            </w:r>
            <w:r w:rsidRPr="008F58DB">
              <w:rPr>
                <w:rFonts w:cstheme="minorHAnsi"/>
                <w:szCs w:val="22"/>
              </w:rPr>
              <w:t xml:space="preserve">Draft </w:t>
            </w:r>
            <w:r>
              <w:rPr>
                <w:rFonts w:cstheme="minorHAnsi"/>
                <w:szCs w:val="22"/>
              </w:rPr>
              <w:t>MTR</w:t>
            </w:r>
            <w:r w:rsidRPr="008F58DB">
              <w:rPr>
                <w:rFonts w:cstheme="minorHAnsi"/>
                <w:szCs w:val="22"/>
              </w:rPr>
              <w:t xml:space="preserve"> Plan submitted to </w:t>
            </w:r>
            <w:proofErr w:type="gramStart"/>
            <w:r w:rsidRPr="008F58DB">
              <w:rPr>
                <w:rFonts w:cstheme="minorHAnsi"/>
                <w:szCs w:val="22"/>
              </w:rPr>
              <w:t>DFAT</w:t>
            </w:r>
            <w:proofErr w:type="gramEnd"/>
          </w:p>
          <w:p w14:paraId="4C3D4B54" w14:textId="10A0D4C2" w:rsidR="00B161D9" w:rsidRDefault="00B161D9" w:rsidP="00B161D9">
            <w:pPr>
              <w:rPr>
                <w:rFonts w:cstheme="minorHAnsi"/>
                <w:szCs w:val="22"/>
              </w:rPr>
            </w:pPr>
            <w:r>
              <w:rPr>
                <w:rFonts w:cstheme="minorHAnsi"/>
                <w:szCs w:val="22"/>
              </w:rPr>
              <w:t xml:space="preserve">12 August </w:t>
            </w:r>
            <w:r w:rsidRPr="00F17AFE">
              <w:rPr>
                <w:rFonts w:cstheme="minorHAnsi"/>
                <w:szCs w:val="22"/>
              </w:rPr>
              <w:t>2020</w:t>
            </w:r>
            <w:r>
              <w:rPr>
                <w:rFonts w:cstheme="minorHAnsi"/>
                <w:szCs w:val="22"/>
              </w:rPr>
              <w:t>:</w:t>
            </w:r>
            <w:r w:rsidRPr="008F58DB">
              <w:rPr>
                <w:rFonts w:cstheme="minorHAnsi"/>
                <w:szCs w:val="22"/>
              </w:rPr>
              <w:t xml:space="preserve"> Feedback on </w:t>
            </w:r>
            <w:r>
              <w:rPr>
                <w:rFonts w:cstheme="minorHAnsi"/>
                <w:szCs w:val="22"/>
              </w:rPr>
              <w:t>MTR</w:t>
            </w:r>
            <w:r w:rsidRPr="008F58DB">
              <w:rPr>
                <w:rFonts w:cstheme="minorHAnsi"/>
                <w:szCs w:val="22"/>
              </w:rPr>
              <w:t xml:space="preserve"> Plan received from </w:t>
            </w:r>
            <w:proofErr w:type="gramStart"/>
            <w:r w:rsidRPr="008F58DB">
              <w:rPr>
                <w:rFonts w:cstheme="minorHAnsi"/>
                <w:szCs w:val="22"/>
              </w:rPr>
              <w:t>DFAT</w:t>
            </w:r>
            <w:proofErr w:type="gramEnd"/>
          </w:p>
          <w:p w14:paraId="050ED246" w14:textId="6F7A21CE" w:rsidR="00B161D9" w:rsidRDefault="00B161D9" w:rsidP="00B161D9">
            <w:pPr>
              <w:rPr>
                <w:lang w:val="en-US" w:eastAsia="en-US" w:bidi="ar-SA"/>
              </w:rPr>
            </w:pPr>
            <w:r>
              <w:rPr>
                <w:rFonts w:cstheme="minorHAnsi"/>
                <w:szCs w:val="22"/>
              </w:rPr>
              <w:t>13 August</w:t>
            </w:r>
            <w:r w:rsidRPr="00F17AFE">
              <w:rPr>
                <w:rFonts w:cstheme="minorHAnsi"/>
                <w:szCs w:val="22"/>
              </w:rPr>
              <w:t xml:space="preserve"> 2020</w:t>
            </w:r>
            <w:r>
              <w:rPr>
                <w:rFonts w:cstheme="minorHAnsi"/>
                <w:szCs w:val="22"/>
              </w:rPr>
              <w:t xml:space="preserve">: </w:t>
            </w:r>
            <w:r w:rsidRPr="008F58DB">
              <w:rPr>
                <w:rFonts w:cstheme="minorHAnsi"/>
              </w:rPr>
              <w:t>Final</w:t>
            </w:r>
            <w:r>
              <w:rPr>
                <w:rFonts w:cstheme="minorHAnsi"/>
              </w:rPr>
              <w:t xml:space="preserve"> MTR</w:t>
            </w:r>
            <w:r w:rsidRPr="008F58DB">
              <w:rPr>
                <w:rFonts w:cstheme="minorHAnsi"/>
              </w:rPr>
              <w:t xml:space="preserve"> Plan submitted incorporating DFAT feedback</w:t>
            </w:r>
          </w:p>
          <w:p w14:paraId="4C20A01A" w14:textId="606F3FB9" w:rsidR="00B161D9" w:rsidRDefault="00B161D9" w:rsidP="00B161D9">
            <w:pPr>
              <w:rPr>
                <w:rFonts w:cstheme="minorHAnsi"/>
                <w:szCs w:val="22"/>
              </w:rPr>
            </w:pPr>
            <w:r>
              <w:rPr>
                <w:rFonts w:cstheme="minorHAnsi"/>
                <w:szCs w:val="22"/>
              </w:rPr>
              <w:t>14 September</w:t>
            </w:r>
            <w:r w:rsidRPr="00843B6E">
              <w:rPr>
                <w:rFonts w:cstheme="minorHAnsi"/>
                <w:szCs w:val="22"/>
              </w:rPr>
              <w:t xml:space="preserve"> 2020</w:t>
            </w:r>
            <w:r>
              <w:rPr>
                <w:rFonts w:cstheme="minorHAnsi"/>
                <w:szCs w:val="22"/>
              </w:rPr>
              <w:t xml:space="preserve">: </w:t>
            </w:r>
            <w:r w:rsidRPr="008F58DB">
              <w:rPr>
                <w:rFonts w:cstheme="minorHAnsi"/>
                <w:szCs w:val="22"/>
              </w:rPr>
              <w:t>Draft written Aide</w:t>
            </w:r>
            <w:r>
              <w:rPr>
                <w:rFonts w:cstheme="minorHAnsi"/>
                <w:szCs w:val="22"/>
              </w:rPr>
              <w:t>s</w:t>
            </w:r>
            <w:r w:rsidRPr="008F58DB">
              <w:rPr>
                <w:rFonts w:cstheme="minorHAnsi"/>
                <w:szCs w:val="22"/>
              </w:rPr>
              <w:t xml:space="preserve"> Memoire submitted to SHS</w:t>
            </w:r>
            <w:r>
              <w:rPr>
                <w:rFonts w:cstheme="minorHAnsi"/>
                <w:szCs w:val="22"/>
              </w:rPr>
              <w:t>/</w:t>
            </w:r>
            <w:proofErr w:type="gramStart"/>
            <w:r>
              <w:rPr>
                <w:rFonts w:cstheme="minorHAnsi"/>
                <w:szCs w:val="22"/>
              </w:rPr>
              <w:t>DFAT</w:t>
            </w:r>
            <w:proofErr w:type="gramEnd"/>
          </w:p>
          <w:p w14:paraId="26EC918C" w14:textId="16742809" w:rsidR="00B161D9" w:rsidRDefault="00B161D9" w:rsidP="00B161D9">
            <w:pPr>
              <w:rPr>
                <w:rFonts w:cstheme="minorHAnsi"/>
                <w:szCs w:val="22"/>
              </w:rPr>
            </w:pPr>
            <w:r>
              <w:rPr>
                <w:rFonts w:cstheme="minorHAnsi"/>
                <w:szCs w:val="22"/>
              </w:rPr>
              <w:t>16</w:t>
            </w:r>
            <w:r w:rsidRPr="00843B6E">
              <w:rPr>
                <w:rFonts w:cstheme="minorHAnsi"/>
                <w:szCs w:val="22"/>
              </w:rPr>
              <w:t xml:space="preserve"> </w:t>
            </w:r>
            <w:r>
              <w:rPr>
                <w:rFonts w:cstheme="minorHAnsi"/>
                <w:szCs w:val="22"/>
              </w:rPr>
              <w:t>September</w:t>
            </w:r>
            <w:r w:rsidRPr="00843B6E">
              <w:rPr>
                <w:rFonts w:cstheme="minorHAnsi"/>
                <w:szCs w:val="22"/>
              </w:rPr>
              <w:t xml:space="preserve"> 2020</w:t>
            </w:r>
            <w:r>
              <w:rPr>
                <w:rFonts w:cstheme="minorHAnsi"/>
                <w:szCs w:val="22"/>
              </w:rPr>
              <w:t xml:space="preserve">: </w:t>
            </w:r>
            <w:r w:rsidRPr="008F58DB">
              <w:rPr>
                <w:rFonts w:cstheme="minorHAnsi"/>
                <w:szCs w:val="22"/>
              </w:rPr>
              <w:t>Feedback on written Aide</w:t>
            </w:r>
            <w:r>
              <w:rPr>
                <w:rFonts w:cstheme="minorHAnsi"/>
                <w:szCs w:val="22"/>
              </w:rPr>
              <w:t>s</w:t>
            </w:r>
            <w:r w:rsidRPr="008F58DB">
              <w:rPr>
                <w:rFonts w:cstheme="minorHAnsi"/>
                <w:szCs w:val="22"/>
              </w:rPr>
              <w:t xml:space="preserve"> Memoire received from </w:t>
            </w:r>
            <w:proofErr w:type="gramStart"/>
            <w:r w:rsidRPr="008F58DB">
              <w:rPr>
                <w:rFonts w:cstheme="minorHAnsi"/>
                <w:szCs w:val="22"/>
              </w:rPr>
              <w:t>DFAT</w:t>
            </w:r>
            <w:proofErr w:type="gramEnd"/>
          </w:p>
          <w:p w14:paraId="0130B0B3" w14:textId="11A07C5D" w:rsidR="00B161D9" w:rsidRDefault="00B161D9" w:rsidP="00B161D9">
            <w:pPr>
              <w:rPr>
                <w:rFonts w:cstheme="minorHAnsi"/>
              </w:rPr>
            </w:pPr>
            <w:r>
              <w:rPr>
                <w:rFonts w:cstheme="minorHAnsi"/>
                <w:szCs w:val="22"/>
              </w:rPr>
              <w:t>18 September</w:t>
            </w:r>
            <w:r w:rsidRPr="00843B6E">
              <w:rPr>
                <w:rFonts w:cstheme="minorHAnsi"/>
                <w:szCs w:val="22"/>
              </w:rPr>
              <w:t xml:space="preserve"> 2020</w:t>
            </w:r>
            <w:r>
              <w:rPr>
                <w:rFonts w:cstheme="minorHAnsi"/>
                <w:szCs w:val="22"/>
              </w:rPr>
              <w:t xml:space="preserve">: </w:t>
            </w:r>
            <w:r w:rsidRPr="008F58DB">
              <w:rPr>
                <w:rFonts w:cstheme="minorHAnsi"/>
              </w:rPr>
              <w:t>Final Aide</w:t>
            </w:r>
            <w:r>
              <w:rPr>
                <w:rFonts w:cstheme="minorHAnsi"/>
              </w:rPr>
              <w:t>s</w:t>
            </w:r>
            <w:r w:rsidRPr="008F58DB">
              <w:rPr>
                <w:rFonts w:cstheme="minorHAnsi"/>
              </w:rPr>
              <w:t xml:space="preserve"> Memoire submitted</w:t>
            </w:r>
          </w:p>
          <w:p w14:paraId="54CFC331" w14:textId="2B437A13" w:rsidR="00B161D9" w:rsidRDefault="00B161D9" w:rsidP="00B161D9">
            <w:pPr>
              <w:rPr>
                <w:rFonts w:cstheme="minorHAnsi"/>
                <w:szCs w:val="22"/>
              </w:rPr>
            </w:pPr>
            <w:r>
              <w:rPr>
                <w:rFonts w:cstheme="minorHAnsi"/>
                <w:szCs w:val="22"/>
              </w:rPr>
              <w:t xml:space="preserve">29 September </w:t>
            </w:r>
            <w:r w:rsidRPr="00843B6E">
              <w:rPr>
                <w:rFonts w:cstheme="minorHAnsi"/>
                <w:szCs w:val="22"/>
              </w:rPr>
              <w:t>2020</w:t>
            </w:r>
            <w:r>
              <w:rPr>
                <w:rFonts w:cstheme="minorHAnsi"/>
                <w:szCs w:val="22"/>
              </w:rPr>
              <w:t xml:space="preserve">: First </w:t>
            </w:r>
            <w:r w:rsidRPr="008F58DB">
              <w:rPr>
                <w:rFonts w:cstheme="minorHAnsi"/>
                <w:szCs w:val="22"/>
              </w:rPr>
              <w:t xml:space="preserve">Draft MTR report submitted to </w:t>
            </w:r>
            <w:proofErr w:type="gramStart"/>
            <w:r w:rsidRPr="008F58DB">
              <w:rPr>
                <w:rFonts w:cstheme="minorHAnsi"/>
                <w:szCs w:val="22"/>
              </w:rPr>
              <w:t>SHS</w:t>
            </w:r>
            <w:proofErr w:type="gramEnd"/>
          </w:p>
          <w:p w14:paraId="56AEFFA5" w14:textId="6916234F" w:rsidR="00B161D9" w:rsidRDefault="00B161D9" w:rsidP="00B161D9">
            <w:pPr>
              <w:rPr>
                <w:rFonts w:cstheme="minorHAnsi"/>
                <w:szCs w:val="22"/>
              </w:rPr>
            </w:pPr>
            <w:r>
              <w:rPr>
                <w:rFonts w:cstheme="minorHAnsi"/>
                <w:szCs w:val="22"/>
              </w:rPr>
              <w:t>30 September</w:t>
            </w:r>
            <w:r w:rsidRPr="00843B6E">
              <w:rPr>
                <w:rFonts w:cstheme="minorHAnsi"/>
                <w:szCs w:val="22"/>
              </w:rPr>
              <w:t xml:space="preserve"> 2020</w:t>
            </w:r>
            <w:r>
              <w:rPr>
                <w:rFonts w:cstheme="minorHAnsi"/>
                <w:szCs w:val="22"/>
              </w:rPr>
              <w:t xml:space="preserve">: </w:t>
            </w:r>
            <w:r w:rsidRPr="005B067E">
              <w:rPr>
                <w:rFonts w:cstheme="minorHAnsi"/>
                <w:szCs w:val="22"/>
              </w:rPr>
              <w:t>First Draft MTR report submitted to DFAT (initial comments prior to sharing with partners)</w:t>
            </w:r>
          </w:p>
          <w:p w14:paraId="11558BE2" w14:textId="3227F87B" w:rsidR="00B161D9" w:rsidRDefault="00B161D9" w:rsidP="00B161D9">
            <w:pPr>
              <w:rPr>
                <w:rFonts w:cstheme="minorHAnsi"/>
                <w:szCs w:val="22"/>
              </w:rPr>
            </w:pPr>
            <w:r>
              <w:rPr>
                <w:rFonts w:cstheme="minorHAnsi"/>
                <w:szCs w:val="22"/>
              </w:rPr>
              <w:t xml:space="preserve">2 October </w:t>
            </w:r>
            <w:r w:rsidRPr="00843B6E">
              <w:rPr>
                <w:rFonts w:cstheme="minorHAnsi"/>
                <w:szCs w:val="22"/>
              </w:rPr>
              <w:t>2020</w:t>
            </w:r>
            <w:r>
              <w:rPr>
                <w:rFonts w:cstheme="minorHAnsi"/>
                <w:szCs w:val="22"/>
              </w:rPr>
              <w:t xml:space="preserve">: </w:t>
            </w:r>
            <w:r w:rsidRPr="008F58DB">
              <w:rPr>
                <w:rFonts w:cstheme="minorHAnsi"/>
                <w:szCs w:val="22"/>
              </w:rPr>
              <w:t xml:space="preserve">Feedback on </w:t>
            </w:r>
            <w:r>
              <w:rPr>
                <w:rFonts w:cstheme="minorHAnsi"/>
                <w:szCs w:val="22"/>
              </w:rPr>
              <w:t xml:space="preserve">First </w:t>
            </w:r>
            <w:r w:rsidRPr="008F58DB">
              <w:rPr>
                <w:rFonts w:cstheme="minorHAnsi"/>
                <w:szCs w:val="22"/>
              </w:rPr>
              <w:t xml:space="preserve">Draft MTR report received from </w:t>
            </w:r>
            <w:proofErr w:type="gramStart"/>
            <w:r w:rsidRPr="008F58DB">
              <w:rPr>
                <w:rFonts w:cstheme="minorHAnsi"/>
                <w:szCs w:val="22"/>
              </w:rPr>
              <w:t>DFAT</w:t>
            </w:r>
            <w:proofErr w:type="gramEnd"/>
          </w:p>
          <w:p w14:paraId="427463D2" w14:textId="5021C7CB" w:rsidR="00B161D9" w:rsidRDefault="00B161D9" w:rsidP="00B161D9">
            <w:pPr>
              <w:rPr>
                <w:rFonts w:cstheme="minorHAnsi"/>
              </w:rPr>
            </w:pPr>
            <w:r>
              <w:rPr>
                <w:rFonts w:cstheme="minorHAnsi"/>
                <w:szCs w:val="22"/>
              </w:rPr>
              <w:t>6 October</w:t>
            </w:r>
            <w:r w:rsidRPr="00F645C5">
              <w:rPr>
                <w:rFonts w:cstheme="minorHAnsi"/>
                <w:szCs w:val="22"/>
              </w:rPr>
              <w:t xml:space="preserve"> 2020</w:t>
            </w:r>
            <w:r>
              <w:rPr>
                <w:rFonts w:cstheme="minorHAnsi"/>
                <w:szCs w:val="22"/>
              </w:rPr>
              <w:t xml:space="preserve">: </w:t>
            </w:r>
            <w:r w:rsidRPr="00F645C5">
              <w:rPr>
                <w:rFonts w:cstheme="minorHAnsi"/>
              </w:rPr>
              <w:t>Second Draft MTR submitted to UNFPA (by DFAT)</w:t>
            </w:r>
          </w:p>
          <w:p w14:paraId="3AFA9202" w14:textId="7C134E88" w:rsidR="00B161D9" w:rsidRDefault="00B161D9" w:rsidP="00B161D9">
            <w:pPr>
              <w:rPr>
                <w:rFonts w:cstheme="minorHAnsi"/>
                <w:szCs w:val="22"/>
              </w:rPr>
            </w:pPr>
            <w:r>
              <w:rPr>
                <w:rFonts w:cstheme="minorHAnsi"/>
                <w:szCs w:val="22"/>
              </w:rPr>
              <w:t xml:space="preserve">8 October 2020: Quick feedback on Second Draft MTR report received from </w:t>
            </w:r>
            <w:proofErr w:type="gramStart"/>
            <w:r>
              <w:rPr>
                <w:rFonts w:cstheme="minorHAnsi"/>
                <w:szCs w:val="22"/>
              </w:rPr>
              <w:t>UNFPA</w:t>
            </w:r>
            <w:proofErr w:type="gramEnd"/>
          </w:p>
          <w:p w14:paraId="0BB8ADCA" w14:textId="216823E5" w:rsidR="00B161D9" w:rsidRDefault="00B161D9" w:rsidP="00B161D9">
            <w:pPr>
              <w:rPr>
                <w:rFonts w:cstheme="minorHAnsi"/>
                <w:szCs w:val="22"/>
              </w:rPr>
            </w:pPr>
            <w:r>
              <w:rPr>
                <w:rFonts w:cstheme="minorHAnsi"/>
                <w:szCs w:val="22"/>
              </w:rPr>
              <w:t>12 October</w:t>
            </w:r>
            <w:r w:rsidRPr="005B067E">
              <w:rPr>
                <w:rFonts w:cstheme="minorHAnsi"/>
                <w:szCs w:val="22"/>
              </w:rPr>
              <w:t xml:space="preserve"> 2020</w:t>
            </w:r>
            <w:r>
              <w:rPr>
                <w:rFonts w:cstheme="minorHAnsi"/>
                <w:szCs w:val="22"/>
              </w:rPr>
              <w:t>: Third</w:t>
            </w:r>
            <w:r w:rsidRPr="005B067E">
              <w:rPr>
                <w:rFonts w:cstheme="minorHAnsi"/>
                <w:szCs w:val="22"/>
              </w:rPr>
              <w:t xml:space="preserve"> Draft MTR report submitted to </w:t>
            </w:r>
            <w:r>
              <w:rPr>
                <w:rFonts w:cstheme="minorHAnsi"/>
                <w:szCs w:val="22"/>
              </w:rPr>
              <w:t xml:space="preserve">SHS, </w:t>
            </w:r>
            <w:r w:rsidRPr="005B067E">
              <w:rPr>
                <w:rFonts w:cstheme="minorHAnsi"/>
                <w:szCs w:val="22"/>
              </w:rPr>
              <w:t>DFAT</w:t>
            </w:r>
            <w:r>
              <w:rPr>
                <w:rFonts w:cstheme="minorHAnsi"/>
                <w:szCs w:val="22"/>
              </w:rPr>
              <w:t xml:space="preserve"> and TA government </w:t>
            </w:r>
            <w:proofErr w:type="gramStart"/>
            <w:r>
              <w:rPr>
                <w:rFonts w:cstheme="minorHAnsi"/>
                <w:szCs w:val="22"/>
              </w:rPr>
              <w:t>partners</w:t>
            </w:r>
            <w:proofErr w:type="gramEnd"/>
          </w:p>
          <w:p w14:paraId="3335D43F" w14:textId="3905CEFB" w:rsidR="00B161D9" w:rsidRDefault="00B161D9" w:rsidP="00B161D9">
            <w:pPr>
              <w:rPr>
                <w:rFonts w:cstheme="minorHAnsi"/>
                <w:szCs w:val="22"/>
              </w:rPr>
            </w:pPr>
            <w:r>
              <w:rPr>
                <w:rFonts w:cstheme="minorHAnsi"/>
                <w:szCs w:val="22"/>
              </w:rPr>
              <w:t xml:space="preserve">30 October 2020: Feedback on Third Draft MTR report received from </w:t>
            </w:r>
            <w:proofErr w:type="gramStart"/>
            <w:r>
              <w:rPr>
                <w:rFonts w:cstheme="minorHAnsi"/>
                <w:szCs w:val="22"/>
              </w:rPr>
              <w:t>DFAT</w:t>
            </w:r>
            <w:proofErr w:type="gramEnd"/>
          </w:p>
          <w:p w14:paraId="2EE23A24" w14:textId="249550E6" w:rsidR="00B161D9" w:rsidRDefault="00B161D9" w:rsidP="00B161D9">
            <w:pPr>
              <w:rPr>
                <w:rFonts w:cstheme="minorHAnsi"/>
                <w:szCs w:val="22"/>
              </w:rPr>
            </w:pPr>
            <w:r>
              <w:rPr>
                <w:rFonts w:cstheme="minorHAnsi"/>
                <w:szCs w:val="22"/>
              </w:rPr>
              <w:t>4 November</w:t>
            </w:r>
            <w:r w:rsidRPr="005B067E">
              <w:rPr>
                <w:rFonts w:cstheme="minorHAnsi"/>
                <w:szCs w:val="22"/>
              </w:rPr>
              <w:t xml:space="preserve"> 2020</w:t>
            </w:r>
            <w:r>
              <w:rPr>
                <w:rFonts w:cstheme="minorHAnsi"/>
                <w:szCs w:val="22"/>
              </w:rPr>
              <w:t>: Fourth</w:t>
            </w:r>
            <w:r w:rsidRPr="005B067E">
              <w:rPr>
                <w:rFonts w:cstheme="minorHAnsi"/>
                <w:szCs w:val="22"/>
              </w:rPr>
              <w:t xml:space="preserve"> Draft MTR Report submitted to </w:t>
            </w:r>
            <w:r>
              <w:rPr>
                <w:rFonts w:cstheme="minorHAnsi"/>
                <w:szCs w:val="22"/>
              </w:rPr>
              <w:t>SHS</w:t>
            </w:r>
            <w:r w:rsidRPr="005B067E">
              <w:rPr>
                <w:rFonts w:cstheme="minorHAnsi"/>
                <w:szCs w:val="22"/>
              </w:rPr>
              <w:t xml:space="preserve"> (</w:t>
            </w:r>
            <w:r>
              <w:rPr>
                <w:rFonts w:cstheme="minorHAnsi"/>
                <w:szCs w:val="22"/>
              </w:rPr>
              <w:t>incorporating partner govt feedback as appropriate</w:t>
            </w:r>
            <w:r w:rsidRPr="005B067E">
              <w:rPr>
                <w:rFonts w:cstheme="minorHAnsi"/>
                <w:szCs w:val="22"/>
              </w:rPr>
              <w:t>)</w:t>
            </w:r>
          </w:p>
          <w:p w14:paraId="0F4D5123" w14:textId="6B5B0BE4" w:rsidR="00B161D9" w:rsidRDefault="00B161D9" w:rsidP="00B161D9">
            <w:pPr>
              <w:rPr>
                <w:rFonts w:cstheme="minorHAnsi"/>
                <w:szCs w:val="22"/>
              </w:rPr>
            </w:pPr>
            <w:r>
              <w:rPr>
                <w:rFonts w:cstheme="minorHAnsi"/>
                <w:szCs w:val="22"/>
              </w:rPr>
              <w:t>6 November</w:t>
            </w:r>
            <w:r w:rsidRPr="005B067E">
              <w:rPr>
                <w:rFonts w:cstheme="minorHAnsi"/>
                <w:szCs w:val="22"/>
              </w:rPr>
              <w:t xml:space="preserve"> 2020</w:t>
            </w:r>
            <w:r>
              <w:rPr>
                <w:rFonts w:cstheme="minorHAnsi"/>
                <w:szCs w:val="22"/>
              </w:rPr>
              <w:t>: Fourth</w:t>
            </w:r>
            <w:r w:rsidRPr="005B067E">
              <w:rPr>
                <w:rFonts w:cstheme="minorHAnsi"/>
                <w:szCs w:val="22"/>
              </w:rPr>
              <w:t xml:space="preserve"> Draft MTR Report submitted to </w:t>
            </w:r>
            <w:r>
              <w:rPr>
                <w:rFonts w:cstheme="minorHAnsi"/>
                <w:szCs w:val="22"/>
              </w:rPr>
              <w:t>DFAT</w:t>
            </w:r>
            <w:r w:rsidRPr="005B067E">
              <w:rPr>
                <w:rFonts w:cstheme="minorHAnsi"/>
                <w:szCs w:val="22"/>
              </w:rPr>
              <w:t xml:space="preserve"> (</w:t>
            </w:r>
            <w:r>
              <w:rPr>
                <w:rFonts w:cstheme="minorHAnsi"/>
                <w:szCs w:val="22"/>
              </w:rPr>
              <w:t>incorporating partner govt feedback as appropriate</w:t>
            </w:r>
            <w:r w:rsidRPr="005B067E">
              <w:rPr>
                <w:rFonts w:cstheme="minorHAnsi"/>
                <w:szCs w:val="22"/>
              </w:rPr>
              <w:t>)</w:t>
            </w:r>
          </w:p>
          <w:p w14:paraId="1EE424DD" w14:textId="123FABB3" w:rsidR="00B161D9" w:rsidRDefault="00B161D9" w:rsidP="00B161D9">
            <w:pPr>
              <w:rPr>
                <w:rFonts w:cstheme="minorHAnsi"/>
                <w:szCs w:val="22"/>
              </w:rPr>
            </w:pPr>
            <w:r>
              <w:rPr>
                <w:rFonts w:cstheme="minorHAnsi"/>
                <w:szCs w:val="22"/>
              </w:rPr>
              <w:t xml:space="preserve">13 November 2020: </w:t>
            </w:r>
            <w:r w:rsidRPr="005B067E">
              <w:rPr>
                <w:rFonts w:cstheme="minorHAnsi"/>
                <w:szCs w:val="22"/>
              </w:rPr>
              <w:t xml:space="preserve">Feedback </w:t>
            </w:r>
            <w:r>
              <w:rPr>
                <w:rFonts w:cstheme="minorHAnsi"/>
                <w:szCs w:val="22"/>
              </w:rPr>
              <w:t xml:space="preserve">on Fourth Draft </w:t>
            </w:r>
            <w:r w:rsidRPr="005B067E">
              <w:rPr>
                <w:rFonts w:cstheme="minorHAnsi"/>
                <w:szCs w:val="22"/>
              </w:rPr>
              <w:t xml:space="preserve"> MTR Report received from </w:t>
            </w:r>
            <w:proofErr w:type="gramStart"/>
            <w:r>
              <w:rPr>
                <w:rFonts w:cstheme="minorHAnsi"/>
                <w:szCs w:val="22"/>
              </w:rPr>
              <w:t>DFAT</w:t>
            </w:r>
            <w:proofErr w:type="gramEnd"/>
          </w:p>
          <w:p w14:paraId="2FAA9C5D" w14:textId="30F8F286" w:rsidR="00B161D9" w:rsidRDefault="00B161D9" w:rsidP="00B161D9">
            <w:pPr>
              <w:rPr>
                <w:rFonts w:cstheme="minorHAnsi"/>
              </w:rPr>
            </w:pPr>
            <w:r>
              <w:rPr>
                <w:rFonts w:cstheme="minorHAnsi"/>
                <w:szCs w:val="22"/>
              </w:rPr>
              <w:t>20 November</w:t>
            </w:r>
            <w:r w:rsidRPr="00843B6E">
              <w:rPr>
                <w:rFonts w:cstheme="minorHAnsi"/>
                <w:szCs w:val="22"/>
              </w:rPr>
              <w:t xml:space="preserve"> 2020</w:t>
            </w:r>
            <w:r>
              <w:rPr>
                <w:rFonts w:cstheme="minorHAnsi"/>
                <w:szCs w:val="22"/>
              </w:rPr>
              <w:t xml:space="preserve">: </w:t>
            </w:r>
            <w:r w:rsidRPr="008F58DB">
              <w:rPr>
                <w:rFonts w:cstheme="minorHAnsi"/>
              </w:rPr>
              <w:t xml:space="preserve">Final MTR report submitted to </w:t>
            </w:r>
            <w:r>
              <w:rPr>
                <w:rFonts w:cstheme="minorHAnsi"/>
              </w:rPr>
              <w:t>SHS/</w:t>
            </w:r>
            <w:proofErr w:type="gramStart"/>
            <w:r w:rsidRPr="008F58DB">
              <w:rPr>
                <w:rFonts w:cstheme="minorHAnsi"/>
              </w:rPr>
              <w:t>DFAT</w:t>
            </w:r>
            <w:proofErr w:type="gramEnd"/>
          </w:p>
          <w:p w14:paraId="4B7FABC0" w14:textId="2CD7E2A9" w:rsidR="009F6DE0" w:rsidRPr="00B161D9" w:rsidRDefault="00B161D9" w:rsidP="00B161D9">
            <w:pPr>
              <w:rPr>
                <w:lang w:val="en-US" w:eastAsia="en-US" w:bidi="ar-SA"/>
              </w:rPr>
            </w:pPr>
            <w:r>
              <w:rPr>
                <w:rFonts w:cstheme="minorHAnsi"/>
                <w:szCs w:val="22"/>
              </w:rPr>
              <w:lastRenderedPageBreak/>
              <w:t>2 December</w:t>
            </w:r>
            <w:r w:rsidRPr="005B067E">
              <w:rPr>
                <w:rFonts w:cstheme="minorHAnsi"/>
                <w:szCs w:val="22"/>
              </w:rPr>
              <w:t xml:space="preserve"> 2020</w:t>
            </w:r>
            <w:r>
              <w:rPr>
                <w:rFonts w:cstheme="minorHAnsi"/>
                <w:szCs w:val="22"/>
              </w:rPr>
              <w:t xml:space="preserve">: Final report circulated by DFAT to all </w:t>
            </w:r>
            <w:proofErr w:type="gramStart"/>
            <w:r>
              <w:rPr>
                <w:rFonts w:cstheme="minorHAnsi"/>
                <w:szCs w:val="22"/>
              </w:rPr>
              <w:t>stakeholders</w:t>
            </w:r>
            <w:proofErr w:type="gramEnd"/>
          </w:p>
          <w:p w14:paraId="7BECB5AB" w14:textId="77777777" w:rsidR="009F6DE0" w:rsidRPr="008F58DB" w:rsidRDefault="009F6DE0" w:rsidP="00CF4448">
            <w:pPr>
              <w:pStyle w:val="ListParagraph"/>
              <w:spacing w:after="0"/>
              <w:ind w:left="0"/>
              <w:rPr>
                <w:rFonts w:cstheme="minorHAnsi"/>
                <w:b/>
                <w:bCs/>
              </w:rPr>
            </w:pPr>
            <w:r w:rsidRPr="008F58DB">
              <w:rPr>
                <w:rFonts w:cstheme="minorHAnsi"/>
                <w:b/>
                <w:bCs/>
              </w:rPr>
              <w:t>Deliverables:</w:t>
            </w:r>
          </w:p>
          <w:p w14:paraId="430267EB" w14:textId="77777777" w:rsidR="009F6DE0" w:rsidRPr="008F58DB" w:rsidRDefault="009F6DE0" w:rsidP="003538C5">
            <w:pPr>
              <w:pStyle w:val="ListParagraph"/>
              <w:numPr>
                <w:ilvl w:val="0"/>
                <w:numId w:val="21"/>
              </w:numPr>
              <w:spacing w:after="120" w:line="259" w:lineRule="auto"/>
              <w:ind w:left="357" w:hanging="357"/>
              <w:rPr>
                <w:rFonts w:cstheme="minorHAnsi"/>
              </w:rPr>
            </w:pPr>
            <w:r w:rsidRPr="00215102">
              <w:rPr>
                <w:rFonts w:cstheme="minorHAnsi"/>
                <w:b/>
                <w:bCs/>
              </w:rPr>
              <w:t>MTR Plan</w:t>
            </w:r>
            <w:r>
              <w:rPr>
                <w:rFonts w:cstheme="minorHAnsi"/>
                <w:b/>
                <w:bCs/>
              </w:rPr>
              <w:t xml:space="preserve">: </w:t>
            </w:r>
            <w:r>
              <w:rPr>
                <w:rFonts w:cstheme="minorHAnsi"/>
              </w:rPr>
              <w:t>The MTR plan will</w:t>
            </w:r>
            <w:r w:rsidRPr="008F58DB">
              <w:rPr>
                <w:rFonts w:cstheme="minorHAnsi"/>
              </w:rPr>
              <w:t xml:space="preserve"> define the scope of the MTR, identif</w:t>
            </w:r>
            <w:r>
              <w:rPr>
                <w:rFonts w:cstheme="minorHAnsi"/>
              </w:rPr>
              <w:t>y</w:t>
            </w:r>
            <w:r w:rsidRPr="008F58DB">
              <w:rPr>
                <w:rFonts w:cstheme="minorHAnsi"/>
              </w:rPr>
              <w:t xml:space="preserve"> key risks and limitations, articulate evaluation questions</w:t>
            </w:r>
            <w:r>
              <w:rPr>
                <w:rFonts w:cstheme="minorHAnsi"/>
              </w:rPr>
              <w:t xml:space="preserve"> and </w:t>
            </w:r>
            <w:r w:rsidRPr="008F58DB">
              <w:rPr>
                <w:rFonts w:cstheme="minorHAnsi"/>
              </w:rPr>
              <w:t xml:space="preserve">describe </w:t>
            </w:r>
            <w:r>
              <w:rPr>
                <w:rFonts w:cstheme="minorHAnsi"/>
              </w:rPr>
              <w:t>the</w:t>
            </w:r>
            <w:r w:rsidRPr="008F58DB">
              <w:rPr>
                <w:rFonts w:cstheme="minorHAnsi"/>
              </w:rPr>
              <w:t xml:space="preserve"> evaluation methodology</w:t>
            </w:r>
            <w:r>
              <w:rPr>
                <w:rFonts w:cstheme="minorHAnsi"/>
              </w:rPr>
              <w:t xml:space="preserve"> including key questions for data collection in each of the six countries. The plan will </w:t>
            </w:r>
            <w:r w:rsidRPr="008F58DB">
              <w:rPr>
                <w:rFonts w:cstheme="minorHAnsi"/>
              </w:rPr>
              <w:t>propose a timeline against each milestone</w:t>
            </w:r>
            <w:r>
              <w:rPr>
                <w:rFonts w:cstheme="minorHAnsi"/>
              </w:rPr>
              <w:t xml:space="preserve"> </w:t>
            </w:r>
            <w:r w:rsidRPr="008F58DB">
              <w:rPr>
                <w:rFonts w:cstheme="minorHAnsi"/>
              </w:rPr>
              <w:t xml:space="preserve">and a detailed breakdown of responsibilities of </w:t>
            </w:r>
            <w:r>
              <w:rPr>
                <w:rFonts w:cstheme="minorHAnsi"/>
              </w:rPr>
              <w:t xml:space="preserve">the </w:t>
            </w:r>
            <w:r w:rsidRPr="008F58DB">
              <w:rPr>
                <w:rFonts w:cstheme="minorHAnsi"/>
              </w:rPr>
              <w:t xml:space="preserve">team members. </w:t>
            </w:r>
          </w:p>
          <w:p w14:paraId="4E597385" w14:textId="77777777" w:rsidR="009F6DE0" w:rsidRPr="008F58DB" w:rsidRDefault="009F6DE0" w:rsidP="003538C5">
            <w:pPr>
              <w:pStyle w:val="ListParagraph"/>
              <w:numPr>
                <w:ilvl w:val="0"/>
                <w:numId w:val="21"/>
              </w:numPr>
              <w:spacing w:after="120" w:line="259" w:lineRule="auto"/>
              <w:ind w:left="357" w:hanging="357"/>
              <w:rPr>
                <w:rFonts w:cstheme="minorHAnsi"/>
              </w:rPr>
            </w:pPr>
            <w:r>
              <w:rPr>
                <w:rFonts w:cstheme="minorHAnsi"/>
                <w:b/>
                <w:bCs/>
              </w:rPr>
              <w:t>Aides Memoire:</w:t>
            </w:r>
            <w:r>
              <w:rPr>
                <w:rFonts w:cstheme="minorHAnsi"/>
              </w:rPr>
              <w:t xml:space="preserve"> The Aides Memoire (maximum 10 pages) will outline</w:t>
            </w:r>
            <w:r w:rsidRPr="008F58DB">
              <w:rPr>
                <w:rFonts w:cstheme="minorHAnsi"/>
              </w:rPr>
              <w:t xml:space="preserve"> </w:t>
            </w:r>
            <w:r>
              <w:rPr>
                <w:rFonts w:cstheme="minorHAnsi"/>
              </w:rPr>
              <w:t xml:space="preserve">key </w:t>
            </w:r>
            <w:r w:rsidRPr="008F58DB">
              <w:rPr>
                <w:rFonts w:cstheme="minorHAnsi"/>
              </w:rPr>
              <w:t xml:space="preserve">findings </w:t>
            </w:r>
            <w:r>
              <w:rPr>
                <w:rFonts w:cstheme="minorHAnsi"/>
              </w:rPr>
              <w:t xml:space="preserve">to be submitted to all TA countries and DFAT posts for response prior to </w:t>
            </w:r>
            <w:proofErr w:type="spellStart"/>
            <w:r>
              <w:rPr>
                <w:rFonts w:cstheme="minorHAnsi"/>
              </w:rPr>
              <w:t>finalisation</w:t>
            </w:r>
            <w:proofErr w:type="spellEnd"/>
            <w:r>
              <w:rPr>
                <w:rFonts w:cstheme="minorHAnsi"/>
              </w:rPr>
              <w:t xml:space="preserve"> of the MTR report</w:t>
            </w:r>
            <w:r w:rsidRPr="008F58DB">
              <w:rPr>
                <w:rFonts w:cstheme="minorHAnsi"/>
              </w:rPr>
              <w:t xml:space="preserve">. </w:t>
            </w:r>
            <w:r>
              <w:rPr>
                <w:rFonts w:cstheme="minorHAnsi"/>
              </w:rPr>
              <w:t>Up to 10 days is allowed for responses from all recipients.</w:t>
            </w:r>
          </w:p>
          <w:p w14:paraId="58B1844A" w14:textId="77777777" w:rsidR="009F6DE0" w:rsidRPr="008F58DB" w:rsidRDefault="009F6DE0" w:rsidP="003538C5">
            <w:pPr>
              <w:pStyle w:val="ListParagraph"/>
              <w:numPr>
                <w:ilvl w:val="0"/>
                <w:numId w:val="21"/>
              </w:numPr>
              <w:spacing w:after="120" w:line="259" w:lineRule="auto"/>
              <w:ind w:left="357" w:hanging="357"/>
              <w:rPr>
                <w:rFonts w:cstheme="minorHAnsi"/>
              </w:rPr>
            </w:pPr>
            <w:r w:rsidRPr="00215102">
              <w:rPr>
                <w:rFonts w:cstheme="minorHAnsi"/>
                <w:b/>
                <w:bCs/>
              </w:rPr>
              <w:t>Draft MTR report</w:t>
            </w:r>
            <w:r>
              <w:rPr>
                <w:rFonts w:cstheme="minorHAnsi"/>
                <w:b/>
                <w:bCs/>
              </w:rPr>
              <w:t>:</w:t>
            </w:r>
            <w:r w:rsidRPr="008F58DB">
              <w:rPr>
                <w:rFonts w:cstheme="minorHAnsi"/>
              </w:rPr>
              <w:t xml:space="preserve"> The draft report will include an executive summary (maximum two pages)</w:t>
            </w:r>
            <w:r>
              <w:rPr>
                <w:rFonts w:cstheme="minorHAnsi"/>
              </w:rPr>
              <w:t xml:space="preserve"> and</w:t>
            </w:r>
            <w:r w:rsidRPr="008F58DB">
              <w:rPr>
                <w:rFonts w:cstheme="minorHAnsi"/>
              </w:rPr>
              <w:t xml:space="preserve"> outline the evaluation purpose, scope, methodology, risks and limitations</w:t>
            </w:r>
            <w:r>
              <w:rPr>
                <w:rFonts w:cstheme="minorHAnsi"/>
              </w:rPr>
              <w:t xml:space="preserve"> as well as provide </w:t>
            </w:r>
            <w:r w:rsidRPr="008F58DB">
              <w:rPr>
                <w:rFonts w:cstheme="minorHAnsi"/>
              </w:rPr>
              <w:t xml:space="preserve">a clear summary of findings, recommendations for programming (maximum 20 pages) and relevant attachments. </w:t>
            </w:r>
          </w:p>
          <w:p w14:paraId="2D2CF5F5" w14:textId="77777777" w:rsidR="009F6DE0" w:rsidRDefault="009F6DE0" w:rsidP="003538C5">
            <w:pPr>
              <w:pStyle w:val="ListParagraph"/>
              <w:numPr>
                <w:ilvl w:val="0"/>
                <w:numId w:val="21"/>
              </w:numPr>
              <w:spacing w:after="120" w:line="259" w:lineRule="auto"/>
              <w:ind w:left="357" w:hanging="357"/>
              <w:rPr>
                <w:rFonts w:cstheme="minorHAnsi"/>
              </w:rPr>
            </w:pPr>
            <w:r w:rsidRPr="00A70195">
              <w:rPr>
                <w:rFonts w:cstheme="minorHAnsi"/>
                <w:b/>
                <w:bCs/>
              </w:rPr>
              <w:t>Final MTR report</w:t>
            </w:r>
            <w:r>
              <w:rPr>
                <w:rFonts w:cstheme="minorHAnsi"/>
              </w:rPr>
              <w:t>: The final report will</w:t>
            </w:r>
            <w:r w:rsidRPr="008F58DB">
              <w:rPr>
                <w:rFonts w:cstheme="minorHAnsi"/>
              </w:rPr>
              <w:t xml:space="preserve"> incorporat</w:t>
            </w:r>
            <w:r>
              <w:rPr>
                <w:rFonts w:cstheme="minorHAnsi"/>
              </w:rPr>
              <w:t xml:space="preserve">e </w:t>
            </w:r>
            <w:r w:rsidRPr="008F58DB">
              <w:rPr>
                <w:rFonts w:cstheme="minorHAnsi"/>
              </w:rPr>
              <w:t>any agreed changes or amendments as requested by DFAT and partners. The final report will include an executive summary (maximum two pages), a clear summary of findings and recommendations for future programming (maximum 20 pages) and relevant attachments. This report should be suitable for publi</w:t>
            </w:r>
            <w:r>
              <w:rPr>
                <w:rFonts w:cstheme="minorHAnsi"/>
              </w:rPr>
              <w:t>cation</w:t>
            </w:r>
            <w:r w:rsidRPr="008F58DB">
              <w:rPr>
                <w:rFonts w:cstheme="minorHAnsi"/>
              </w:rPr>
              <w:t>.</w:t>
            </w:r>
          </w:p>
          <w:p w14:paraId="30E48123" w14:textId="77777777" w:rsidR="009F6DE0" w:rsidRPr="00F310CD" w:rsidRDefault="009F6DE0" w:rsidP="00CF4448">
            <w:pPr>
              <w:spacing w:line="259" w:lineRule="auto"/>
              <w:rPr>
                <w:rFonts w:eastAsia="Calibri" w:cstheme="minorHAnsi"/>
                <w:szCs w:val="22"/>
                <w:lang w:val="en-US" w:eastAsia="en-US"/>
              </w:rPr>
            </w:pPr>
            <w:r>
              <w:rPr>
                <w:rFonts w:eastAsia="Calibri" w:cstheme="minorHAnsi"/>
                <w:szCs w:val="22"/>
                <w:lang w:val="en-US" w:eastAsia="en-US"/>
              </w:rPr>
              <w:t xml:space="preserve">Indicative inputs for each stage of the evaluation are included in Attachment A of this TOR. </w:t>
            </w:r>
          </w:p>
          <w:p w14:paraId="493AD9FB" w14:textId="77777777" w:rsidR="009F6DE0" w:rsidRPr="000F4309" w:rsidRDefault="009F6DE0" w:rsidP="00CF4448">
            <w:pPr>
              <w:pStyle w:val="ListParagraph"/>
              <w:spacing w:after="0"/>
              <w:ind w:left="0"/>
            </w:pPr>
          </w:p>
        </w:tc>
      </w:tr>
      <w:tr w:rsidR="009F6DE0" w:rsidRPr="00492ACE" w14:paraId="32A567B9" w14:textId="77777777" w:rsidTr="00714E9A">
        <w:tc>
          <w:tcPr>
            <w:tcW w:w="676" w:type="pct"/>
            <w:shd w:val="clear" w:color="auto" w:fill="auto"/>
          </w:tcPr>
          <w:p w14:paraId="5222F79A" w14:textId="77777777" w:rsidR="009F6DE0" w:rsidRPr="00492ACE" w:rsidRDefault="009F6DE0" w:rsidP="00CF4448">
            <w:pPr>
              <w:spacing w:before="120"/>
              <w:rPr>
                <w:rFonts w:ascii="Calibri" w:hAnsi="Calibri" w:cs="Arial"/>
                <w:b/>
                <w:szCs w:val="22"/>
              </w:rPr>
            </w:pPr>
            <w:r w:rsidRPr="00492ACE">
              <w:rPr>
                <w:rFonts w:ascii="Calibri" w:hAnsi="Calibri" w:cs="Arial"/>
                <w:b/>
                <w:szCs w:val="22"/>
              </w:rPr>
              <w:lastRenderedPageBreak/>
              <w:t>Reporting</w:t>
            </w:r>
            <w:r>
              <w:rPr>
                <w:rFonts w:ascii="Calibri" w:hAnsi="Calibri" w:cs="Arial"/>
                <w:b/>
                <w:szCs w:val="22"/>
              </w:rPr>
              <w:t xml:space="preserve"> and Payment</w:t>
            </w:r>
            <w:r w:rsidRPr="00492ACE">
              <w:rPr>
                <w:rFonts w:ascii="Calibri" w:hAnsi="Calibri" w:cs="Arial"/>
                <w:b/>
                <w:szCs w:val="22"/>
              </w:rPr>
              <w:t>:</w:t>
            </w:r>
          </w:p>
        </w:tc>
        <w:tc>
          <w:tcPr>
            <w:tcW w:w="4324" w:type="pct"/>
          </w:tcPr>
          <w:p w14:paraId="2281ACD5" w14:textId="77777777" w:rsidR="009F6DE0" w:rsidRPr="008F58DB" w:rsidRDefault="009F6DE0" w:rsidP="003538C5">
            <w:pPr>
              <w:pStyle w:val="ListParagraph"/>
              <w:numPr>
                <w:ilvl w:val="0"/>
                <w:numId w:val="20"/>
              </w:numPr>
              <w:spacing w:before="120" w:after="120"/>
              <w:ind w:left="0"/>
              <w:contextualSpacing/>
              <w:jc w:val="both"/>
              <w:rPr>
                <w:rStyle w:val="CharacterStyle1"/>
                <w:rFonts w:cstheme="minorHAnsi"/>
                <w:lang w:val="en-AU" w:eastAsia="ja-JP"/>
              </w:rPr>
            </w:pPr>
            <w:r w:rsidRPr="008F58DB">
              <w:rPr>
                <w:rStyle w:val="CharacterStyle1"/>
                <w:rFonts w:cstheme="minorHAnsi"/>
                <w:lang w:eastAsia="ja-JP"/>
              </w:rPr>
              <w:t>The Adviser will submit an activity report and invoice at the following points:</w:t>
            </w:r>
          </w:p>
          <w:p w14:paraId="63D031B5" w14:textId="77777777" w:rsidR="009F6DE0" w:rsidRPr="008F58DB" w:rsidRDefault="009F6DE0" w:rsidP="003538C5">
            <w:pPr>
              <w:pStyle w:val="ListParagraph"/>
              <w:numPr>
                <w:ilvl w:val="1"/>
                <w:numId w:val="20"/>
              </w:numPr>
              <w:spacing w:before="120" w:after="120"/>
              <w:ind w:left="1077" w:hanging="357"/>
              <w:jc w:val="both"/>
              <w:rPr>
                <w:rStyle w:val="CharacterStyle1"/>
                <w:rFonts w:cstheme="minorHAnsi"/>
                <w:lang w:eastAsia="ja-JP"/>
              </w:rPr>
            </w:pPr>
            <w:r w:rsidRPr="008F58DB">
              <w:rPr>
                <w:rStyle w:val="CharacterStyle1"/>
                <w:rFonts w:cstheme="minorHAnsi"/>
                <w:lang w:eastAsia="ja-JP"/>
              </w:rPr>
              <w:t xml:space="preserve">Acceptance by DFAT of Milestone 2 </w:t>
            </w:r>
          </w:p>
          <w:p w14:paraId="450FCDC9" w14:textId="77777777" w:rsidR="009F6DE0" w:rsidRPr="008F58DB" w:rsidRDefault="009F6DE0" w:rsidP="003538C5">
            <w:pPr>
              <w:pStyle w:val="ListParagraph"/>
              <w:numPr>
                <w:ilvl w:val="1"/>
                <w:numId w:val="20"/>
              </w:numPr>
              <w:spacing w:before="120" w:after="120"/>
              <w:ind w:left="1077" w:hanging="357"/>
              <w:jc w:val="both"/>
              <w:rPr>
                <w:rStyle w:val="CharacterStyle1"/>
                <w:rFonts w:cstheme="minorHAnsi"/>
                <w:lang w:eastAsia="ja-JP"/>
              </w:rPr>
            </w:pPr>
            <w:r w:rsidRPr="008F58DB">
              <w:rPr>
                <w:rStyle w:val="CharacterStyle1"/>
                <w:rFonts w:cstheme="minorHAnsi"/>
                <w:lang w:eastAsia="ja-JP"/>
              </w:rPr>
              <w:t xml:space="preserve">Acceptance by DFAT of Milestone 4 </w:t>
            </w:r>
          </w:p>
          <w:p w14:paraId="0A567A7B" w14:textId="77777777" w:rsidR="009F6DE0" w:rsidRPr="00CC2667" w:rsidRDefault="009F6DE0" w:rsidP="003538C5">
            <w:pPr>
              <w:pStyle w:val="ListParagraph"/>
              <w:numPr>
                <w:ilvl w:val="0"/>
                <w:numId w:val="20"/>
              </w:numPr>
              <w:spacing w:before="120" w:after="120"/>
              <w:ind w:left="0"/>
              <w:contextualSpacing/>
              <w:jc w:val="both"/>
              <w:rPr>
                <w:lang w:eastAsia="ja-JP"/>
              </w:rPr>
            </w:pPr>
            <w:r w:rsidRPr="008F58DB">
              <w:rPr>
                <w:rFonts w:cstheme="minorHAnsi"/>
                <w:lang w:eastAsia="ja-JP"/>
              </w:rPr>
              <w:t>The total inputs (days and reimbursables) claimed for each milestone should not exceed the indicative inputs as per the adviser inputs schedule provided in this TOR.</w:t>
            </w:r>
          </w:p>
        </w:tc>
      </w:tr>
      <w:tr w:rsidR="009F6DE0" w:rsidRPr="00492ACE" w14:paraId="1C7786BF" w14:textId="77777777" w:rsidTr="00714E9A">
        <w:tc>
          <w:tcPr>
            <w:tcW w:w="676" w:type="pct"/>
            <w:shd w:val="clear" w:color="auto" w:fill="auto"/>
          </w:tcPr>
          <w:p w14:paraId="0E88F00A" w14:textId="77777777" w:rsidR="009F6DE0" w:rsidRPr="00CE4571" w:rsidRDefault="009F6DE0" w:rsidP="00CF4448">
            <w:pPr>
              <w:spacing w:before="120"/>
              <w:rPr>
                <w:rFonts w:ascii="Calibri" w:hAnsi="Calibri" w:cs="Arial"/>
                <w:b/>
                <w:szCs w:val="22"/>
              </w:rPr>
            </w:pPr>
            <w:r w:rsidRPr="00CE4571">
              <w:rPr>
                <w:rFonts w:ascii="Calibri" w:hAnsi="Calibri" w:cs="Arial"/>
                <w:b/>
                <w:szCs w:val="22"/>
              </w:rPr>
              <w:t>Policy context:</w:t>
            </w:r>
          </w:p>
        </w:tc>
        <w:tc>
          <w:tcPr>
            <w:tcW w:w="4324" w:type="pct"/>
          </w:tcPr>
          <w:p w14:paraId="366D5C37" w14:textId="77777777" w:rsidR="009F6DE0" w:rsidRPr="00CE4571" w:rsidRDefault="009F6DE0" w:rsidP="00CF4448">
            <w:pPr>
              <w:spacing w:before="120"/>
              <w:rPr>
                <w:rFonts w:ascii="Calibri" w:eastAsiaTheme="minorEastAsia" w:hAnsi="Calibri"/>
                <w:szCs w:val="22"/>
              </w:rPr>
            </w:pPr>
            <w:r w:rsidRPr="008F58DB">
              <w:rPr>
                <w:rFonts w:eastAsiaTheme="minorEastAsia" w:cstheme="minorHAnsi"/>
                <w:szCs w:val="22"/>
              </w:rPr>
              <w:t xml:space="preserve">Advisers are expected to align their work with </w:t>
            </w:r>
            <w:r>
              <w:rPr>
                <w:rFonts w:eastAsiaTheme="minorEastAsia" w:cstheme="minorHAnsi"/>
                <w:szCs w:val="22"/>
              </w:rPr>
              <w:t xml:space="preserve">the </w:t>
            </w:r>
            <w:r w:rsidRPr="007222B8">
              <w:rPr>
                <w:rFonts w:eastAsiaTheme="minorEastAsia" w:cstheme="minorHAnsi"/>
                <w:i/>
                <w:szCs w:val="22"/>
              </w:rPr>
              <w:t>Foreign Policy White Paper</w:t>
            </w:r>
            <w:r>
              <w:rPr>
                <w:rFonts w:eastAsiaTheme="minorEastAsia" w:cstheme="minorHAnsi"/>
                <w:szCs w:val="22"/>
              </w:rPr>
              <w:t xml:space="preserve">, </w:t>
            </w:r>
            <w:r w:rsidRPr="008F58DB">
              <w:rPr>
                <w:rFonts w:eastAsiaTheme="minorEastAsia" w:cstheme="minorHAnsi"/>
                <w:szCs w:val="22"/>
              </w:rPr>
              <w:t xml:space="preserve">DFAT’s </w:t>
            </w:r>
            <w:r w:rsidRPr="007222B8">
              <w:rPr>
                <w:rFonts w:eastAsiaTheme="minorEastAsia" w:cstheme="minorHAnsi"/>
                <w:i/>
                <w:szCs w:val="22"/>
              </w:rPr>
              <w:t>Health for Development Strategy 2015-2020</w:t>
            </w:r>
            <w:r w:rsidRPr="008F58DB">
              <w:rPr>
                <w:rFonts w:eastAsiaTheme="minorEastAsia" w:cstheme="minorHAnsi"/>
                <w:szCs w:val="22"/>
              </w:rPr>
              <w:t xml:space="preserve"> and to incorporate the priorities of DFAT’s cross-cutting strategies </w:t>
            </w:r>
            <w:r w:rsidRPr="007222B8">
              <w:rPr>
                <w:rFonts w:eastAsiaTheme="minorEastAsia" w:cstheme="minorHAnsi"/>
                <w:i/>
                <w:szCs w:val="22"/>
              </w:rPr>
              <w:t>Gender Equality and Women’s Empowerment Strategy</w:t>
            </w:r>
            <w:r w:rsidRPr="008F58DB">
              <w:rPr>
                <w:rFonts w:eastAsiaTheme="minorEastAsia" w:cstheme="minorHAnsi"/>
                <w:szCs w:val="22"/>
              </w:rPr>
              <w:t xml:space="preserve"> (2016</w:t>
            </w:r>
            <w:r>
              <w:rPr>
                <w:rFonts w:eastAsiaTheme="minorEastAsia" w:cstheme="minorHAnsi"/>
                <w:szCs w:val="22"/>
              </w:rPr>
              <w:t>- 2020</w:t>
            </w:r>
            <w:r w:rsidRPr="008F58DB">
              <w:rPr>
                <w:rFonts w:eastAsiaTheme="minorEastAsia" w:cstheme="minorHAnsi"/>
                <w:szCs w:val="22"/>
              </w:rPr>
              <w:t xml:space="preserve">) and </w:t>
            </w:r>
            <w:r w:rsidRPr="007222B8">
              <w:rPr>
                <w:rFonts w:eastAsiaTheme="minorEastAsia" w:cstheme="minorHAnsi"/>
                <w:i/>
                <w:szCs w:val="22"/>
              </w:rPr>
              <w:t>Development for All 2016-2020</w:t>
            </w:r>
            <w:r w:rsidRPr="008F58DB">
              <w:rPr>
                <w:rFonts w:eastAsiaTheme="minorEastAsia" w:cstheme="minorHAnsi"/>
                <w:szCs w:val="22"/>
              </w:rPr>
              <w:t xml:space="preserve"> Strategy for Strengthening Disability-Inclusive Development in Australia’s Aid Program.</w:t>
            </w:r>
          </w:p>
        </w:tc>
      </w:tr>
      <w:tr w:rsidR="009F6DE0" w:rsidRPr="00492ACE" w14:paraId="0BCF23A3" w14:textId="77777777" w:rsidTr="00714E9A">
        <w:tc>
          <w:tcPr>
            <w:tcW w:w="676" w:type="pct"/>
            <w:shd w:val="clear" w:color="auto" w:fill="auto"/>
          </w:tcPr>
          <w:p w14:paraId="3078FBEB" w14:textId="77777777" w:rsidR="009F6DE0" w:rsidRPr="00492ACE" w:rsidRDefault="009F6DE0" w:rsidP="00CF4448">
            <w:pPr>
              <w:spacing w:before="120"/>
              <w:rPr>
                <w:rFonts w:ascii="Calibri" w:hAnsi="Calibri" w:cs="Arial"/>
                <w:b/>
                <w:szCs w:val="22"/>
              </w:rPr>
            </w:pPr>
            <w:r w:rsidRPr="00492ACE">
              <w:rPr>
                <w:rFonts w:ascii="Calibri" w:hAnsi="Calibri" w:cs="Arial"/>
                <w:b/>
                <w:szCs w:val="22"/>
              </w:rPr>
              <w:t>Conditions:</w:t>
            </w:r>
          </w:p>
        </w:tc>
        <w:tc>
          <w:tcPr>
            <w:tcW w:w="4324" w:type="pct"/>
          </w:tcPr>
          <w:p w14:paraId="2C65387E" w14:textId="77777777" w:rsidR="009F6DE0" w:rsidRPr="00492ACE" w:rsidRDefault="009F6DE0" w:rsidP="00CF4448">
            <w:pPr>
              <w:spacing w:before="120"/>
              <w:rPr>
                <w:rFonts w:ascii="Calibri" w:eastAsiaTheme="minorEastAsia" w:hAnsi="Calibri"/>
                <w:szCs w:val="22"/>
              </w:rPr>
            </w:pPr>
            <w:r w:rsidRPr="00492ACE">
              <w:rPr>
                <w:rFonts w:ascii="Calibri" w:eastAsiaTheme="minorEastAsia" w:hAnsi="Calibri"/>
                <w:szCs w:val="22"/>
              </w:rPr>
              <w:t xml:space="preserve">Conditions of engagement may include completing and signing the following documents: </w:t>
            </w:r>
          </w:p>
          <w:p w14:paraId="4235169C" w14:textId="77777777" w:rsidR="009F6DE0" w:rsidRPr="00492ACE" w:rsidRDefault="009F6DE0" w:rsidP="00CF4448">
            <w:pPr>
              <w:pStyle w:val="ListParagraph"/>
              <w:spacing w:before="120" w:after="120"/>
              <w:ind w:left="0"/>
              <w:rPr>
                <w:szCs w:val="20"/>
                <w:lang w:val="en-AU" w:eastAsia="ja-JP"/>
              </w:rPr>
            </w:pPr>
            <w:r w:rsidRPr="00492ACE">
              <w:rPr>
                <w:lang w:val="en-AU" w:eastAsia="ja-JP"/>
              </w:rPr>
              <w:t>•</w:t>
            </w:r>
            <w:r w:rsidRPr="00492ACE">
              <w:rPr>
                <w:lang w:val="en-AU" w:eastAsia="ja-JP"/>
              </w:rPr>
              <w:tab/>
            </w:r>
            <w:r w:rsidRPr="00492ACE">
              <w:rPr>
                <w:szCs w:val="20"/>
                <w:lang w:val="en-AU" w:eastAsia="ja-JP"/>
              </w:rPr>
              <w:t>The Deed of Confidentiality</w:t>
            </w:r>
          </w:p>
          <w:p w14:paraId="09B13A8A" w14:textId="77777777" w:rsidR="009F6DE0" w:rsidRPr="00492ACE" w:rsidRDefault="009F6DE0" w:rsidP="00CF4448">
            <w:pPr>
              <w:pStyle w:val="ListParagraph"/>
              <w:spacing w:before="120" w:after="120"/>
              <w:ind w:left="0"/>
              <w:rPr>
                <w:szCs w:val="20"/>
                <w:lang w:val="en-AU" w:eastAsia="ja-JP"/>
              </w:rPr>
            </w:pPr>
            <w:r w:rsidRPr="00492ACE">
              <w:rPr>
                <w:szCs w:val="20"/>
                <w:lang w:val="en-AU" w:eastAsia="ja-JP"/>
              </w:rPr>
              <w:t>•</w:t>
            </w:r>
            <w:r w:rsidRPr="00492ACE">
              <w:rPr>
                <w:szCs w:val="20"/>
                <w:lang w:val="en-AU" w:eastAsia="ja-JP"/>
              </w:rPr>
              <w:tab/>
              <w:t xml:space="preserve">The Declaration of adviser status </w:t>
            </w:r>
          </w:p>
          <w:p w14:paraId="6F1F67C4" w14:textId="77777777" w:rsidR="009F6DE0" w:rsidRPr="00492ACE" w:rsidRDefault="009F6DE0" w:rsidP="00CF4448">
            <w:pPr>
              <w:pStyle w:val="ListParagraph"/>
              <w:spacing w:before="120" w:after="120"/>
              <w:ind w:left="0"/>
              <w:rPr>
                <w:szCs w:val="20"/>
                <w:lang w:val="en-AU" w:eastAsia="ja-JP"/>
              </w:rPr>
            </w:pPr>
            <w:r w:rsidRPr="00492ACE">
              <w:rPr>
                <w:szCs w:val="20"/>
                <w:lang w:val="en-AU" w:eastAsia="ja-JP"/>
              </w:rPr>
              <w:t>•</w:t>
            </w:r>
            <w:r w:rsidRPr="00492ACE">
              <w:rPr>
                <w:szCs w:val="20"/>
                <w:lang w:val="en-AU" w:eastAsia="ja-JP"/>
              </w:rPr>
              <w:tab/>
              <w:t>The Child Safe Code of Conduct</w:t>
            </w:r>
          </w:p>
          <w:p w14:paraId="22DCCDC8" w14:textId="77777777" w:rsidR="009F6DE0" w:rsidRPr="00492ACE" w:rsidRDefault="009F6DE0" w:rsidP="00CF4448">
            <w:pPr>
              <w:spacing w:before="120"/>
              <w:rPr>
                <w:rFonts w:ascii="Calibri" w:eastAsiaTheme="minorEastAsia" w:hAnsi="Calibri"/>
                <w:szCs w:val="22"/>
              </w:rPr>
            </w:pPr>
            <w:r w:rsidRPr="00492ACE">
              <w:rPr>
                <w:rFonts w:ascii="Calibri" w:eastAsiaTheme="minorEastAsia" w:hAnsi="Calibri"/>
                <w:szCs w:val="22"/>
              </w:rPr>
              <w:t>As per the requirements an Adviser Performance Assessment will be undertaken at the completion of the assignment.</w:t>
            </w:r>
          </w:p>
        </w:tc>
      </w:tr>
    </w:tbl>
    <w:p w14:paraId="2496DD9D" w14:textId="77777777" w:rsidR="00714E9A" w:rsidRDefault="00714E9A" w:rsidP="007D1D0D">
      <w:pPr>
        <w:rPr>
          <w:lang w:bidi="ar-SA"/>
        </w:rPr>
        <w:sectPr w:rsidR="00714E9A" w:rsidSect="00527F27">
          <w:pgSz w:w="11907" w:h="16839" w:code="9"/>
          <w:pgMar w:top="720" w:right="720" w:bottom="720" w:left="720" w:header="709" w:footer="709" w:gutter="0"/>
          <w:cols w:space="708"/>
          <w:docGrid w:linePitch="360"/>
        </w:sectPr>
      </w:pPr>
    </w:p>
    <w:p w14:paraId="4AC088C1" w14:textId="77777777" w:rsidR="003C7DAE" w:rsidRDefault="009F6DE0" w:rsidP="00714E9A">
      <w:pPr>
        <w:pStyle w:val="NumberedLevel1heading"/>
        <w:ind w:left="0" w:firstLine="0"/>
        <w:jc w:val="left"/>
      </w:pPr>
      <w:bookmarkStart w:id="47" w:name="_Toc76630105"/>
      <w:bookmarkEnd w:id="46"/>
      <w:r>
        <w:lastRenderedPageBreak/>
        <w:t>Annex 2</w:t>
      </w:r>
      <w:r w:rsidR="00CF4448">
        <w:t xml:space="preserve">: </w:t>
      </w:r>
      <w:r w:rsidR="00F07B82">
        <w:t>Key Informants</w:t>
      </w:r>
      <w:bookmarkEnd w:id="47"/>
      <w:r>
        <w:t xml:space="preserve"> </w:t>
      </w:r>
    </w:p>
    <w:tbl>
      <w:tblPr>
        <w:tblStyle w:val="TableGrid"/>
        <w:tblW w:w="10343" w:type="dxa"/>
        <w:tblLook w:val="04A0" w:firstRow="1" w:lastRow="0" w:firstColumn="1" w:lastColumn="0" w:noHBand="0" w:noVBand="1"/>
      </w:tblPr>
      <w:tblGrid>
        <w:gridCol w:w="3681"/>
        <w:gridCol w:w="2438"/>
        <w:gridCol w:w="4224"/>
      </w:tblGrid>
      <w:tr w:rsidR="0055251E" w14:paraId="6FFA42F1" w14:textId="77777777" w:rsidTr="00651F15">
        <w:tc>
          <w:tcPr>
            <w:tcW w:w="3681" w:type="dxa"/>
            <w:tcBorders>
              <w:bottom w:val="single" w:sz="4" w:space="0" w:color="auto"/>
            </w:tcBorders>
            <w:shd w:val="clear" w:color="auto" w:fill="BFBFBF" w:themeFill="background1" w:themeFillShade="BF"/>
          </w:tcPr>
          <w:p w14:paraId="3A6683A2" w14:textId="04CEE7B8" w:rsidR="0055251E" w:rsidRPr="0055251E" w:rsidRDefault="0055251E" w:rsidP="003C7DAE">
            <w:pPr>
              <w:rPr>
                <w:b/>
              </w:rPr>
            </w:pPr>
            <w:r w:rsidRPr="0055251E">
              <w:rPr>
                <w:b/>
              </w:rPr>
              <w:t>Organisation</w:t>
            </w:r>
          </w:p>
        </w:tc>
        <w:tc>
          <w:tcPr>
            <w:tcW w:w="2438" w:type="dxa"/>
            <w:tcBorders>
              <w:bottom w:val="single" w:sz="4" w:space="0" w:color="auto"/>
            </w:tcBorders>
            <w:shd w:val="clear" w:color="auto" w:fill="BFBFBF" w:themeFill="background1" w:themeFillShade="BF"/>
          </w:tcPr>
          <w:p w14:paraId="09D4C089" w14:textId="2AE21BC3" w:rsidR="0055251E" w:rsidRPr="0055251E" w:rsidRDefault="0055251E" w:rsidP="003C7DAE">
            <w:pPr>
              <w:rPr>
                <w:b/>
              </w:rPr>
            </w:pPr>
            <w:r w:rsidRPr="0055251E">
              <w:rPr>
                <w:b/>
              </w:rPr>
              <w:t>Person Consulted</w:t>
            </w:r>
          </w:p>
        </w:tc>
        <w:tc>
          <w:tcPr>
            <w:tcW w:w="4224" w:type="dxa"/>
            <w:tcBorders>
              <w:bottom w:val="single" w:sz="4" w:space="0" w:color="auto"/>
            </w:tcBorders>
            <w:shd w:val="clear" w:color="auto" w:fill="BFBFBF" w:themeFill="background1" w:themeFillShade="BF"/>
          </w:tcPr>
          <w:p w14:paraId="41EB03B6" w14:textId="26EC4038" w:rsidR="0055251E" w:rsidRPr="0055251E" w:rsidRDefault="0055251E" w:rsidP="003C7DAE">
            <w:pPr>
              <w:rPr>
                <w:b/>
              </w:rPr>
            </w:pPr>
            <w:r w:rsidRPr="0055251E">
              <w:rPr>
                <w:b/>
              </w:rPr>
              <w:t>Position</w:t>
            </w:r>
          </w:p>
        </w:tc>
      </w:tr>
      <w:tr w:rsidR="0055251E" w14:paraId="09EE0E6A" w14:textId="77777777" w:rsidTr="00651F15">
        <w:tc>
          <w:tcPr>
            <w:tcW w:w="3681" w:type="dxa"/>
            <w:tcBorders>
              <w:top w:val="single" w:sz="4" w:space="0" w:color="auto"/>
              <w:left w:val="single" w:sz="4" w:space="0" w:color="auto"/>
              <w:bottom w:val="single" w:sz="4" w:space="0" w:color="auto"/>
              <w:right w:val="nil"/>
            </w:tcBorders>
          </w:tcPr>
          <w:p w14:paraId="6EE711FB" w14:textId="50F2B611" w:rsidR="0055251E" w:rsidRPr="0055251E" w:rsidRDefault="0055251E" w:rsidP="003C7DAE">
            <w:pPr>
              <w:rPr>
                <w:b/>
              </w:rPr>
            </w:pPr>
            <w:r>
              <w:rPr>
                <w:b/>
              </w:rPr>
              <w:t>DFAT</w:t>
            </w:r>
            <w:r w:rsidRPr="0055251E">
              <w:rPr>
                <w:b/>
              </w:rPr>
              <w:t xml:space="preserve"> Canberra </w:t>
            </w:r>
          </w:p>
        </w:tc>
        <w:tc>
          <w:tcPr>
            <w:tcW w:w="2438" w:type="dxa"/>
            <w:tcBorders>
              <w:top w:val="single" w:sz="4" w:space="0" w:color="auto"/>
              <w:left w:val="nil"/>
              <w:bottom w:val="single" w:sz="4" w:space="0" w:color="auto"/>
              <w:right w:val="nil"/>
            </w:tcBorders>
          </w:tcPr>
          <w:p w14:paraId="31A9C2E5" w14:textId="77777777" w:rsidR="0055251E" w:rsidRDefault="0055251E" w:rsidP="003C7DAE"/>
        </w:tc>
        <w:tc>
          <w:tcPr>
            <w:tcW w:w="4224" w:type="dxa"/>
            <w:tcBorders>
              <w:top w:val="single" w:sz="4" w:space="0" w:color="auto"/>
              <w:left w:val="nil"/>
              <w:bottom w:val="single" w:sz="4" w:space="0" w:color="auto"/>
              <w:right w:val="single" w:sz="4" w:space="0" w:color="auto"/>
            </w:tcBorders>
          </w:tcPr>
          <w:p w14:paraId="58A696A5" w14:textId="77777777" w:rsidR="0055251E" w:rsidRDefault="0055251E" w:rsidP="003C7DAE"/>
        </w:tc>
      </w:tr>
      <w:tr w:rsidR="0055251E" w14:paraId="37926F60" w14:textId="77777777" w:rsidTr="00651F15">
        <w:tc>
          <w:tcPr>
            <w:tcW w:w="3681" w:type="dxa"/>
            <w:tcBorders>
              <w:top w:val="single" w:sz="4" w:space="0" w:color="auto"/>
            </w:tcBorders>
          </w:tcPr>
          <w:p w14:paraId="0CAB9D27" w14:textId="77777777" w:rsidR="0055251E" w:rsidRDefault="0055251E" w:rsidP="0055251E"/>
        </w:tc>
        <w:tc>
          <w:tcPr>
            <w:tcW w:w="2438" w:type="dxa"/>
            <w:tcBorders>
              <w:top w:val="single" w:sz="4" w:space="0" w:color="auto"/>
            </w:tcBorders>
          </w:tcPr>
          <w:p w14:paraId="2EB88DD4" w14:textId="19DA0297" w:rsidR="0055251E" w:rsidRDefault="0055251E" w:rsidP="0055251E">
            <w:r>
              <w:t>Sally Mackay</w:t>
            </w:r>
          </w:p>
        </w:tc>
        <w:tc>
          <w:tcPr>
            <w:tcW w:w="4224" w:type="dxa"/>
            <w:tcBorders>
              <w:top w:val="single" w:sz="4" w:space="0" w:color="auto"/>
            </w:tcBorders>
          </w:tcPr>
          <w:p w14:paraId="7925BB61" w14:textId="5BA2257C" w:rsidR="0055251E" w:rsidRDefault="0055251E" w:rsidP="0055251E">
            <w:r>
              <w:t xml:space="preserve">Assistant Director, Global Health </w:t>
            </w:r>
          </w:p>
        </w:tc>
      </w:tr>
      <w:tr w:rsidR="0055251E" w14:paraId="3090EEB6" w14:textId="77777777" w:rsidTr="00651F15">
        <w:tc>
          <w:tcPr>
            <w:tcW w:w="3681" w:type="dxa"/>
          </w:tcPr>
          <w:p w14:paraId="07C78886" w14:textId="77777777" w:rsidR="0055251E" w:rsidRDefault="0055251E" w:rsidP="0055251E"/>
        </w:tc>
        <w:tc>
          <w:tcPr>
            <w:tcW w:w="2438" w:type="dxa"/>
          </w:tcPr>
          <w:p w14:paraId="0CCD3D92" w14:textId="7684DC96" w:rsidR="0055251E" w:rsidRDefault="0055251E" w:rsidP="0055251E">
            <w:r>
              <w:t>Chris Sturrock</w:t>
            </w:r>
          </w:p>
        </w:tc>
        <w:tc>
          <w:tcPr>
            <w:tcW w:w="4224" w:type="dxa"/>
          </w:tcPr>
          <w:p w14:paraId="38BFC90E" w14:textId="620F5ED3" w:rsidR="0055251E" w:rsidRDefault="0055251E" w:rsidP="0055251E">
            <w:r w:rsidRPr="00801B3C">
              <w:rPr>
                <w:rFonts w:cstheme="minorHAnsi"/>
                <w:sz w:val="20"/>
                <w:szCs w:val="20"/>
                <w:lang w:eastAsia="en-AU"/>
              </w:rPr>
              <w:t xml:space="preserve">Director, Health Programs, Performance and Advisory (HPR) section, Global Health Policy Branch | Human Development and Governance Division </w:t>
            </w:r>
          </w:p>
        </w:tc>
      </w:tr>
      <w:tr w:rsidR="0055251E" w14:paraId="174797CD" w14:textId="77777777" w:rsidTr="00651F15">
        <w:tc>
          <w:tcPr>
            <w:tcW w:w="3681" w:type="dxa"/>
          </w:tcPr>
          <w:p w14:paraId="432280AD" w14:textId="77777777" w:rsidR="0055251E" w:rsidRDefault="0055251E" w:rsidP="0055251E"/>
        </w:tc>
        <w:tc>
          <w:tcPr>
            <w:tcW w:w="2438" w:type="dxa"/>
          </w:tcPr>
          <w:p w14:paraId="1DAF4E68" w14:textId="02B5BA12" w:rsidR="0055251E" w:rsidRDefault="0055251E" w:rsidP="0055251E">
            <w:r>
              <w:t>Jane Pepperall</w:t>
            </w:r>
          </w:p>
        </w:tc>
        <w:tc>
          <w:tcPr>
            <w:tcW w:w="4224" w:type="dxa"/>
          </w:tcPr>
          <w:p w14:paraId="695FB249" w14:textId="10AFE9DB" w:rsidR="0055251E" w:rsidRDefault="0055251E" w:rsidP="0055251E">
            <w:r w:rsidRPr="006D79CC">
              <w:rPr>
                <w:rFonts w:cstheme="minorHAnsi"/>
                <w:lang w:eastAsia="en-AU"/>
              </w:rPr>
              <w:t>Senior Health Adviser</w:t>
            </w:r>
            <w:r w:rsidRPr="006D79CC">
              <w:rPr>
                <w:rFonts w:cstheme="minorHAnsi"/>
                <w:lang w:eastAsia="en-AU"/>
              </w:rPr>
              <w:br/>
              <w:t>Human Development and Governance Division</w:t>
            </w:r>
          </w:p>
        </w:tc>
      </w:tr>
      <w:tr w:rsidR="0055251E" w14:paraId="13F8538C" w14:textId="77777777" w:rsidTr="00651F15">
        <w:tc>
          <w:tcPr>
            <w:tcW w:w="3681" w:type="dxa"/>
            <w:tcBorders>
              <w:bottom w:val="single" w:sz="4" w:space="0" w:color="auto"/>
            </w:tcBorders>
          </w:tcPr>
          <w:p w14:paraId="48F961A8" w14:textId="77777777" w:rsidR="0055251E" w:rsidRDefault="0055251E" w:rsidP="0055251E"/>
        </w:tc>
        <w:tc>
          <w:tcPr>
            <w:tcW w:w="2438" w:type="dxa"/>
            <w:tcBorders>
              <w:bottom w:val="single" w:sz="4" w:space="0" w:color="auto"/>
            </w:tcBorders>
          </w:tcPr>
          <w:p w14:paraId="222449A4" w14:textId="38A9E692" w:rsidR="0055251E" w:rsidRDefault="0055251E" w:rsidP="0055251E">
            <w:r>
              <w:t>Robert Condon</w:t>
            </w:r>
          </w:p>
        </w:tc>
        <w:tc>
          <w:tcPr>
            <w:tcW w:w="4224" w:type="dxa"/>
            <w:tcBorders>
              <w:bottom w:val="single" w:sz="4" w:space="0" w:color="auto"/>
            </w:tcBorders>
          </w:tcPr>
          <w:p w14:paraId="6529E9B9" w14:textId="68FF382B" w:rsidR="0055251E" w:rsidRPr="006D79CC" w:rsidRDefault="0055251E" w:rsidP="0055251E">
            <w:pPr>
              <w:rPr>
                <w:rFonts w:cstheme="minorHAnsi"/>
                <w:lang w:eastAsia="en-AU"/>
              </w:rPr>
            </w:pPr>
            <w:r>
              <w:t>Health Advisor for Kiribati</w:t>
            </w:r>
          </w:p>
        </w:tc>
      </w:tr>
      <w:tr w:rsidR="0055251E" w14:paraId="58834536" w14:textId="77777777" w:rsidTr="00651F15">
        <w:tc>
          <w:tcPr>
            <w:tcW w:w="3681" w:type="dxa"/>
            <w:tcBorders>
              <w:top w:val="single" w:sz="4" w:space="0" w:color="auto"/>
              <w:left w:val="single" w:sz="4" w:space="0" w:color="auto"/>
              <w:bottom w:val="single" w:sz="4" w:space="0" w:color="auto"/>
              <w:right w:val="nil"/>
            </w:tcBorders>
          </w:tcPr>
          <w:p w14:paraId="6D95BA2D" w14:textId="1654EFE4" w:rsidR="0055251E" w:rsidRPr="0055251E" w:rsidRDefault="0055251E" w:rsidP="0055251E">
            <w:pPr>
              <w:rPr>
                <w:b/>
              </w:rPr>
            </w:pPr>
            <w:r>
              <w:rPr>
                <w:b/>
              </w:rPr>
              <w:t>DFAT Posts</w:t>
            </w:r>
          </w:p>
        </w:tc>
        <w:tc>
          <w:tcPr>
            <w:tcW w:w="2438" w:type="dxa"/>
            <w:tcBorders>
              <w:top w:val="single" w:sz="4" w:space="0" w:color="auto"/>
              <w:left w:val="nil"/>
              <w:bottom w:val="single" w:sz="4" w:space="0" w:color="auto"/>
              <w:right w:val="nil"/>
            </w:tcBorders>
          </w:tcPr>
          <w:p w14:paraId="2414410B" w14:textId="77777777" w:rsidR="0055251E" w:rsidRDefault="0055251E" w:rsidP="0055251E"/>
        </w:tc>
        <w:tc>
          <w:tcPr>
            <w:tcW w:w="4224" w:type="dxa"/>
            <w:tcBorders>
              <w:top w:val="single" w:sz="4" w:space="0" w:color="auto"/>
              <w:left w:val="nil"/>
              <w:bottom w:val="single" w:sz="4" w:space="0" w:color="auto"/>
              <w:right w:val="single" w:sz="4" w:space="0" w:color="auto"/>
            </w:tcBorders>
          </w:tcPr>
          <w:p w14:paraId="380FFDAA" w14:textId="77777777" w:rsidR="0055251E" w:rsidRDefault="0055251E" w:rsidP="0055251E"/>
        </w:tc>
      </w:tr>
      <w:tr w:rsidR="0055251E" w14:paraId="73981AA8" w14:textId="77777777" w:rsidTr="00651F15">
        <w:tc>
          <w:tcPr>
            <w:tcW w:w="3681" w:type="dxa"/>
            <w:tcBorders>
              <w:top w:val="single" w:sz="4" w:space="0" w:color="auto"/>
              <w:left w:val="single" w:sz="4" w:space="0" w:color="auto"/>
              <w:bottom w:val="nil"/>
              <w:right w:val="single" w:sz="4" w:space="0" w:color="auto"/>
            </w:tcBorders>
          </w:tcPr>
          <w:p w14:paraId="433D7419" w14:textId="5C01BE3F" w:rsidR="0055251E" w:rsidRPr="0055251E" w:rsidRDefault="0055251E" w:rsidP="0055251E">
            <w:r>
              <w:t>Fiji</w:t>
            </w:r>
          </w:p>
        </w:tc>
        <w:tc>
          <w:tcPr>
            <w:tcW w:w="2438" w:type="dxa"/>
            <w:tcBorders>
              <w:top w:val="single" w:sz="4" w:space="0" w:color="auto"/>
              <w:left w:val="single" w:sz="4" w:space="0" w:color="auto"/>
              <w:bottom w:val="single" w:sz="4" w:space="0" w:color="auto"/>
              <w:right w:val="single" w:sz="4" w:space="0" w:color="auto"/>
            </w:tcBorders>
          </w:tcPr>
          <w:p w14:paraId="279BC371" w14:textId="2695E567" w:rsidR="0055251E" w:rsidRDefault="0055251E" w:rsidP="0055251E">
            <w:r>
              <w:t xml:space="preserve">Paulini </w:t>
            </w:r>
            <w:proofErr w:type="spellStart"/>
            <w:r>
              <w:t>Naimina</w:t>
            </w:r>
            <w:proofErr w:type="spellEnd"/>
          </w:p>
        </w:tc>
        <w:tc>
          <w:tcPr>
            <w:tcW w:w="4224" w:type="dxa"/>
            <w:tcBorders>
              <w:top w:val="single" w:sz="4" w:space="0" w:color="auto"/>
              <w:left w:val="single" w:sz="4" w:space="0" w:color="auto"/>
              <w:bottom w:val="single" w:sz="4" w:space="0" w:color="auto"/>
              <w:right w:val="single" w:sz="4" w:space="0" w:color="auto"/>
            </w:tcBorders>
          </w:tcPr>
          <w:p w14:paraId="1DA59028" w14:textId="52BDA79B" w:rsidR="0055251E" w:rsidRDefault="0055251E" w:rsidP="0055251E">
            <w:r>
              <w:t>Senior Program Manager, Regional Health</w:t>
            </w:r>
          </w:p>
        </w:tc>
      </w:tr>
      <w:tr w:rsidR="0055251E" w14:paraId="3A96A9F3" w14:textId="77777777" w:rsidTr="00651F15">
        <w:tc>
          <w:tcPr>
            <w:tcW w:w="3681" w:type="dxa"/>
            <w:tcBorders>
              <w:top w:val="nil"/>
              <w:left w:val="single" w:sz="4" w:space="0" w:color="auto"/>
              <w:bottom w:val="nil"/>
              <w:right w:val="single" w:sz="4" w:space="0" w:color="auto"/>
            </w:tcBorders>
          </w:tcPr>
          <w:p w14:paraId="1E3F5C3D" w14:textId="77777777" w:rsidR="0055251E" w:rsidRDefault="0055251E" w:rsidP="0055251E"/>
        </w:tc>
        <w:tc>
          <w:tcPr>
            <w:tcW w:w="2438" w:type="dxa"/>
            <w:tcBorders>
              <w:top w:val="single" w:sz="4" w:space="0" w:color="auto"/>
              <w:left w:val="single" w:sz="4" w:space="0" w:color="auto"/>
              <w:bottom w:val="single" w:sz="4" w:space="0" w:color="auto"/>
              <w:right w:val="single" w:sz="4" w:space="0" w:color="auto"/>
            </w:tcBorders>
          </w:tcPr>
          <w:p w14:paraId="7FC24DE6" w14:textId="138D0A0D" w:rsidR="0055251E" w:rsidRDefault="0055251E" w:rsidP="0055251E">
            <w:r>
              <w:t>Frances Bingwor</w:t>
            </w:r>
          </w:p>
        </w:tc>
        <w:tc>
          <w:tcPr>
            <w:tcW w:w="4224" w:type="dxa"/>
            <w:tcBorders>
              <w:top w:val="single" w:sz="4" w:space="0" w:color="auto"/>
              <w:left w:val="single" w:sz="4" w:space="0" w:color="auto"/>
              <w:bottom w:val="single" w:sz="4" w:space="0" w:color="auto"/>
              <w:right w:val="single" w:sz="4" w:space="0" w:color="auto"/>
            </w:tcBorders>
          </w:tcPr>
          <w:p w14:paraId="5C33642B" w14:textId="50D3C298" w:rsidR="0055251E" w:rsidRDefault="0055251E" w:rsidP="0055251E">
            <w:r>
              <w:t>Program Manager, Regional Health</w:t>
            </w:r>
          </w:p>
        </w:tc>
      </w:tr>
      <w:tr w:rsidR="0055251E" w14:paraId="3F59A736" w14:textId="77777777" w:rsidTr="00651F15">
        <w:tc>
          <w:tcPr>
            <w:tcW w:w="3681" w:type="dxa"/>
            <w:tcBorders>
              <w:top w:val="nil"/>
              <w:left w:val="single" w:sz="4" w:space="0" w:color="auto"/>
              <w:bottom w:val="single" w:sz="4" w:space="0" w:color="auto"/>
              <w:right w:val="single" w:sz="4" w:space="0" w:color="auto"/>
            </w:tcBorders>
          </w:tcPr>
          <w:p w14:paraId="692ABFB1" w14:textId="77777777" w:rsidR="0055251E" w:rsidRDefault="0055251E" w:rsidP="0055251E"/>
        </w:tc>
        <w:tc>
          <w:tcPr>
            <w:tcW w:w="2438" w:type="dxa"/>
            <w:tcBorders>
              <w:top w:val="single" w:sz="4" w:space="0" w:color="auto"/>
              <w:left w:val="single" w:sz="4" w:space="0" w:color="auto"/>
              <w:bottom w:val="single" w:sz="4" w:space="0" w:color="auto"/>
              <w:right w:val="single" w:sz="4" w:space="0" w:color="auto"/>
            </w:tcBorders>
          </w:tcPr>
          <w:p w14:paraId="2808D43A" w14:textId="2702064A" w:rsidR="0055251E" w:rsidRDefault="0055251E" w:rsidP="0055251E">
            <w:r>
              <w:t>Renee Deschamps</w:t>
            </w:r>
          </w:p>
        </w:tc>
        <w:tc>
          <w:tcPr>
            <w:tcW w:w="4224" w:type="dxa"/>
            <w:tcBorders>
              <w:top w:val="single" w:sz="4" w:space="0" w:color="auto"/>
              <w:left w:val="single" w:sz="4" w:space="0" w:color="auto"/>
              <w:bottom w:val="single" w:sz="4" w:space="0" w:color="auto"/>
              <w:right w:val="single" w:sz="4" w:space="0" w:color="auto"/>
            </w:tcBorders>
          </w:tcPr>
          <w:p w14:paraId="75C27043" w14:textId="66DD2087" w:rsidR="0055251E" w:rsidRDefault="0055251E" w:rsidP="0055251E">
            <w:r>
              <w:t>Counsellor</w:t>
            </w:r>
          </w:p>
        </w:tc>
      </w:tr>
      <w:tr w:rsidR="00AD3F0E" w14:paraId="37402853" w14:textId="77777777" w:rsidTr="00651F15">
        <w:tc>
          <w:tcPr>
            <w:tcW w:w="3681" w:type="dxa"/>
            <w:tcBorders>
              <w:top w:val="single" w:sz="4" w:space="0" w:color="auto"/>
              <w:left w:val="single" w:sz="4" w:space="0" w:color="auto"/>
              <w:bottom w:val="single" w:sz="4" w:space="0" w:color="auto"/>
              <w:right w:val="single" w:sz="4" w:space="0" w:color="auto"/>
            </w:tcBorders>
          </w:tcPr>
          <w:p w14:paraId="17D399B0" w14:textId="1DE12DF9" w:rsidR="00AD3F0E" w:rsidRDefault="00AD3F0E" w:rsidP="0055251E">
            <w:r>
              <w:t>Kiribati</w:t>
            </w:r>
          </w:p>
        </w:tc>
        <w:tc>
          <w:tcPr>
            <w:tcW w:w="2438" w:type="dxa"/>
            <w:tcBorders>
              <w:top w:val="single" w:sz="4" w:space="0" w:color="auto"/>
              <w:left w:val="single" w:sz="4" w:space="0" w:color="auto"/>
              <w:bottom w:val="single" w:sz="4" w:space="0" w:color="auto"/>
              <w:right w:val="single" w:sz="4" w:space="0" w:color="auto"/>
            </w:tcBorders>
          </w:tcPr>
          <w:p w14:paraId="2BBBB1DB" w14:textId="756E9744" w:rsidR="00AD3F0E" w:rsidRDefault="00AD3F0E" w:rsidP="0055251E">
            <w:proofErr w:type="spellStart"/>
            <w:r>
              <w:t>Kakiateiti</w:t>
            </w:r>
            <w:proofErr w:type="spellEnd"/>
            <w:r>
              <w:t xml:space="preserve"> </w:t>
            </w:r>
            <w:proofErr w:type="spellStart"/>
            <w:r>
              <w:t>Erikate</w:t>
            </w:r>
            <w:proofErr w:type="spellEnd"/>
          </w:p>
        </w:tc>
        <w:tc>
          <w:tcPr>
            <w:tcW w:w="4224" w:type="dxa"/>
            <w:tcBorders>
              <w:top w:val="single" w:sz="4" w:space="0" w:color="auto"/>
              <w:left w:val="single" w:sz="4" w:space="0" w:color="auto"/>
              <w:bottom w:val="single" w:sz="4" w:space="0" w:color="auto"/>
              <w:right w:val="single" w:sz="4" w:space="0" w:color="auto"/>
            </w:tcBorders>
          </w:tcPr>
          <w:p w14:paraId="5AA2EBE2" w14:textId="62CFBA46" w:rsidR="00AD3F0E" w:rsidRDefault="00AD3F0E" w:rsidP="0055251E">
            <w:r>
              <w:t>Health Program Manager</w:t>
            </w:r>
          </w:p>
        </w:tc>
      </w:tr>
      <w:tr w:rsidR="00AD3F0E" w14:paraId="3F572315" w14:textId="77777777" w:rsidTr="00651F15">
        <w:tc>
          <w:tcPr>
            <w:tcW w:w="3681" w:type="dxa"/>
            <w:tcBorders>
              <w:top w:val="single" w:sz="4" w:space="0" w:color="auto"/>
              <w:left w:val="single" w:sz="4" w:space="0" w:color="auto"/>
              <w:bottom w:val="single" w:sz="4" w:space="0" w:color="auto"/>
              <w:right w:val="single" w:sz="4" w:space="0" w:color="auto"/>
            </w:tcBorders>
          </w:tcPr>
          <w:p w14:paraId="58E21F0C" w14:textId="453680A6" w:rsidR="00AD3F0E" w:rsidRDefault="00AD3F0E" w:rsidP="00AD3F0E">
            <w:r>
              <w:t>Samoa</w:t>
            </w:r>
          </w:p>
        </w:tc>
        <w:tc>
          <w:tcPr>
            <w:tcW w:w="2438" w:type="dxa"/>
            <w:tcBorders>
              <w:top w:val="single" w:sz="4" w:space="0" w:color="auto"/>
              <w:left w:val="single" w:sz="4" w:space="0" w:color="auto"/>
              <w:bottom w:val="single" w:sz="4" w:space="0" w:color="auto"/>
              <w:right w:val="single" w:sz="4" w:space="0" w:color="auto"/>
            </w:tcBorders>
          </w:tcPr>
          <w:p w14:paraId="75CE05F8" w14:textId="616D4634" w:rsidR="00AD3F0E" w:rsidRDefault="00AD3F0E" w:rsidP="00AD3F0E">
            <w:r w:rsidRPr="00251CB4">
              <w:t>Julia Wheeler</w:t>
            </w:r>
          </w:p>
        </w:tc>
        <w:tc>
          <w:tcPr>
            <w:tcW w:w="4224" w:type="dxa"/>
            <w:tcBorders>
              <w:top w:val="single" w:sz="4" w:space="0" w:color="auto"/>
              <w:left w:val="single" w:sz="4" w:space="0" w:color="auto"/>
              <w:bottom w:val="single" w:sz="4" w:space="0" w:color="auto"/>
              <w:right w:val="single" w:sz="4" w:space="0" w:color="auto"/>
            </w:tcBorders>
          </w:tcPr>
          <w:p w14:paraId="7BC7E989" w14:textId="382B1F63" w:rsidR="00AD3F0E" w:rsidRDefault="00AD3F0E" w:rsidP="00AD3F0E">
            <w:r w:rsidRPr="00251CB4">
              <w:t>First Secretary</w:t>
            </w:r>
          </w:p>
        </w:tc>
      </w:tr>
      <w:tr w:rsidR="00AD3F0E" w14:paraId="1AC39B58" w14:textId="77777777" w:rsidTr="00651F15">
        <w:tc>
          <w:tcPr>
            <w:tcW w:w="3681" w:type="dxa"/>
            <w:tcBorders>
              <w:top w:val="single" w:sz="4" w:space="0" w:color="auto"/>
              <w:left w:val="single" w:sz="4" w:space="0" w:color="auto"/>
              <w:bottom w:val="single" w:sz="4" w:space="0" w:color="auto"/>
              <w:right w:val="single" w:sz="4" w:space="0" w:color="auto"/>
            </w:tcBorders>
          </w:tcPr>
          <w:p w14:paraId="7595788D" w14:textId="77777777" w:rsidR="00AD3F0E" w:rsidRDefault="00AD3F0E" w:rsidP="00AD3F0E"/>
        </w:tc>
        <w:tc>
          <w:tcPr>
            <w:tcW w:w="2438" w:type="dxa"/>
            <w:tcBorders>
              <w:top w:val="single" w:sz="4" w:space="0" w:color="auto"/>
              <w:left w:val="single" w:sz="4" w:space="0" w:color="auto"/>
              <w:bottom w:val="single" w:sz="4" w:space="0" w:color="auto"/>
              <w:right w:val="single" w:sz="4" w:space="0" w:color="auto"/>
            </w:tcBorders>
          </w:tcPr>
          <w:p w14:paraId="023EAB1E" w14:textId="695FF247" w:rsidR="00AD3F0E" w:rsidRDefault="00AD3F0E" w:rsidP="00AD3F0E">
            <w:r>
              <w:t xml:space="preserve">Kassandra </w:t>
            </w:r>
            <w:proofErr w:type="spellStart"/>
            <w:r>
              <w:t>Betham</w:t>
            </w:r>
            <w:proofErr w:type="spellEnd"/>
          </w:p>
        </w:tc>
        <w:tc>
          <w:tcPr>
            <w:tcW w:w="4224" w:type="dxa"/>
            <w:tcBorders>
              <w:top w:val="single" w:sz="4" w:space="0" w:color="auto"/>
              <w:left w:val="single" w:sz="4" w:space="0" w:color="auto"/>
              <w:bottom w:val="single" w:sz="4" w:space="0" w:color="auto"/>
              <w:right w:val="single" w:sz="4" w:space="0" w:color="auto"/>
            </w:tcBorders>
          </w:tcPr>
          <w:p w14:paraId="393754F9" w14:textId="20DE7B6A" w:rsidR="00AD3F0E" w:rsidRDefault="00AD3F0E" w:rsidP="00AD3F0E">
            <w:r>
              <w:t>Senior Program manager</w:t>
            </w:r>
          </w:p>
        </w:tc>
      </w:tr>
      <w:tr w:rsidR="00AD3F0E" w14:paraId="5953FF65" w14:textId="77777777" w:rsidTr="00651F15">
        <w:tc>
          <w:tcPr>
            <w:tcW w:w="3681" w:type="dxa"/>
            <w:tcBorders>
              <w:top w:val="single" w:sz="4" w:space="0" w:color="auto"/>
              <w:left w:val="single" w:sz="4" w:space="0" w:color="auto"/>
              <w:bottom w:val="single" w:sz="4" w:space="0" w:color="auto"/>
              <w:right w:val="single" w:sz="4" w:space="0" w:color="auto"/>
            </w:tcBorders>
          </w:tcPr>
          <w:p w14:paraId="3CB7315F" w14:textId="73C28409" w:rsidR="00AD3F0E" w:rsidRDefault="00AD3F0E" w:rsidP="00AD3F0E">
            <w:r>
              <w:t>Solomon Islands</w:t>
            </w:r>
          </w:p>
        </w:tc>
        <w:tc>
          <w:tcPr>
            <w:tcW w:w="2438" w:type="dxa"/>
            <w:tcBorders>
              <w:top w:val="single" w:sz="4" w:space="0" w:color="auto"/>
              <w:left w:val="single" w:sz="4" w:space="0" w:color="auto"/>
              <w:bottom w:val="single" w:sz="4" w:space="0" w:color="auto"/>
              <w:right w:val="single" w:sz="4" w:space="0" w:color="auto"/>
            </w:tcBorders>
          </w:tcPr>
          <w:p w14:paraId="5AEDDD48" w14:textId="73A1DEDB" w:rsidR="00AD3F0E" w:rsidRDefault="00AD3F0E" w:rsidP="00AD3F0E">
            <w:r>
              <w:t>Fiona Mulhearn</w:t>
            </w:r>
          </w:p>
        </w:tc>
        <w:tc>
          <w:tcPr>
            <w:tcW w:w="4224" w:type="dxa"/>
            <w:tcBorders>
              <w:top w:val="single" w:sz="4" w:space="0" w:color="auto"/>
              <w:left w:val="single" w:sz="4" w:space="0" w:color="auto"/>
              <w:bottom w:val="single" w:sz="4" w:space="0" w:color="auto"/>
              <w:right w:val="single" w:sz="4" w:space="0" w:color="auto"/>
            </w:tcBorders>
          </w:tcPr>
          <w:p w14:paraId="724EEFD7" w14:textId="245F88D2" w:rsidR="00AD3F0E" w:rsidRDefault="00AD3F0E" w:rsidP="00AD3F0E">
            <w:r>
              <w:t>Acting Counsellor, Human Development</w:t>
            </w:r>
          </w:p>
        </w:tc>
      </w:tr>
      <w:tr w:rsidR="00AD3F0E" w14:paraId="0B87118D" w14:textId="77777777" w:rsidTr="00651F15">
        <w:tc>
          <w:tcPr>
            <w:tcW w:w="3681" w:type="dxa"/>
            <w:tcBorders>
              <w:top w:val="single" w:sz="4" w:space="0" w:color="auto"/>
              <w:left w:val="single" w:sz="4" w:space="0" w:color="auto"/>
              <w:bottom w:val="single" w:sz="4" w:space="0" w:color="auto"/>
              <w:right w:val="single" w:sz="4" w:space="0" w:color="auto"/>
            </w:tcBorders>
          </w:tcPr>
          <w:p w14:paraId="39F88F87" w14:textId="5C7BCB4A" w:rsidR="00AD3F0E" w:rsidRDefault="00AD3F0E" w:rsidP="00AD3F0E"/>
        </w:tc>
        <w:tc>
          <w:tcPr>
            <w:tcW w:w="2438" w:type="dxa"/>
            <w:tcBorders>
              <w:top w:val="single" w:sz="4" w:space="0" w:color="auto"/>
              <w:left w:val="single" w:sz="4" w:space="0" w:color="auto"/>
              <w:bottom w:val="single" w:sz="4" w:space="0" w:color="auto"/>
              <w:right w:val="single" w:sz="4" w:space="0" w:color="auto"/>
            </w:tcBorders>
          </w:tcPr>
          <w:p w14:paraId="0FA6FA06" w14:textId="06760DC1" w:rsidR="00AD3F0E" w:rsidRDefault="00AD3F0E" w:rsidP="00AD3F0E">
            <w:r>
              <w:t>Debbie Sade</w:t>
            </w:r>
          </w:p>
        </w:tc>
        <w:tc>
          <w:tcPr>
            <w:tcW w:w="4224" w:type="dxa"/>
            <w:tcBorders>
              <w:top w:val="single" w:sz="4" w:space="0" w:color="auto"/>
              <w:left w:val="single" w:sz="4" w:space="0" w:color="auto"/>
              <w:bottom w:val="single" w:sz="4" w:space="0" w:color="auto"/>
              <w:right w:val="single" w:sz="4" w:space="0" w:color="auto"/>
            </w:tcBorders>
          </w:tcPr>
          <w:p w14:paraId="13D272B4" w14:textId="08FD3C8E" w:rsidR="00AD3F0E" w:rsidRDefault="00AD3F0E" w:rsidP="00AD3F0E">
            <w:r>
              <w:t>Gender Adviser</w:t>
            </w:r>
          </w:p>
        </w:tc>
      </w:tr>
      <w:tr w:rsidR="00AD3F0E" w14:paraId="6F271C6C" w14:textId="77777777" w:rsidTr="00651F15">
        <w:tc>
          <w:tcPr>
            <w:tcW w:w="3681" w:type="dxa"/>
            <w:tcBorders>
              <w:top w:val="single" w:sz="4" w:space="0" w:color="auto"/>
              <w:left w:val="single" w:sz="4" w:space="0" w:color="auto"/>
              <w:bottom w:val="single" w:sz="4" w:space="0" w:color="auto"/>
              <w:right w:val="single" w:sz="4" w:space="0" w:color="auto"/>
            </w:tcBorders>
          </w:tcPr>
          <w:p w14:paraId="649CD00E" w14:textId="22342341" w:rsidR="00AD3F0E" w:rsidRDefault="00AD3F0E" w:rsidP="00AD3F0E">
            <w:r>
              <w:t>Tonga</w:t>
            </w:r>
          </w:p>
        </w:tc>
        <w:tc>
          <w:tcPr>
            <w:tcW w:w="2438" w:type="dxa"/>
            <w:tcBorders>
              <w:top w:val="single" w:sz="4" w:space="0" w:color="auto"/>
              <w:left w:val="single" w:sz="4" w:space="0" w:color="auto"/>
              <w:bottom w:val="single" w:sz="4" w:space="0" w:color="auto"/>
              <w:right w:val="single" w:sz="4" w:space="0" w:color="auto"/>
            </w:tcBorders>
          </w:tcPr>
          <w:p w14:paraId="6EE683F9" w14:textId="1508FF55" w:rsidR="00AD3F0E" w:rsidRDefault="00AD3F0E" w:rsidP="00AD3F0E">
            <w:r>
              <w:t>Madeleine Scott</w:t>
            </w:r>
          </w:p>
        </w:tc>
        <w:tc>
          <w:tcPr>
            <w:tcW w:w="4224" w:type="dxa"/>
            <w:tcBorders>
              <w:top w:val="single" w:sz="4" w:space="0" w:color="auto"/>
              <w:left w:val="single" w:sz="4" w:space="0" w:color="auto"/>
              <w:bottom w:val="single" w:sz="4" w:space="0" w:color="auto"/>
              <w:right w:val="single" w:sz="4" w:space="0" w:color="auto"/>
            </w:tcBorders>
          </w:tcPr>
          <w:p w14:paraId="1C61CDF6" w14:textId="15380EB6" w:rsidR="00AD3F0E" w:rsidRDefault="00AD3F0E" w:rsidP="00AD3F0E">
            <w:r w:rsidRPr="00251CB4">
              <w:t>Second Secretary Development</w:t>
            </w:r>
          </w:p>
        </w:tc>
      </w:tr>
      <w:tr w:rsidR="00AD3F0E" w14:paraId="43CD506A" w14:textId="77777777" w:rsidTr="00651F15">
        <w:tc>
          <w:tcPr>
            <w:tcW w:w="3681" w:type="dxa"/>
            <w:tcBorders>
              <w:top w:val="single" w:sz="4" w:space="0" w:color="auto"/>
              <w:left w:val="single" w:sz="4" w:space="0" w:color="auto"/>
              <w:bottom w:val="single" w:sz="4" w:space="0" w:color="auto"/>
              <w:right w:val="single" w:sz="4" w:space="0" w:color="auto"/>
            </w:tcBorders>
          </w:tcPr>
          <w:p w14:paraId="4549C01D" w14:textId="77777777" w:rsidR="00AD3F0E" w:rsidRDefault="00AD3F0E" w:rsidP="00AD3F0E"/>
        </w:tc>
        <w:tc>
          <w:tcPr>
            <w:tcW w:w="2438" w:type="dxa"/>
            <w:tcBorders>
              <w:top w:val="single" w:sz="4" w:space="0" w:color="auto"/>
              <w:left w:val="single" w:sz="4" w:space="0" w:color="auto"/>
              <w:bottom w:val="single" w:sz="4" w:space="0" w:color="auto"/>
              <w:right w:val="single" w:sz="4" w:space="0" w:color="auto"/>
            </w:tcBorders>
          </w:tcPr>
          <w:p w14:paraId="395BE1D1" w14:textId="229923C0" w:rsidR="00AD3F0E" w:rsidRDefault="00AD3F0E" w:rsidP="00AD3F0E">
            <w:r>
              <w:t>Monica Van Dora</w:t>
            </w:r>
          </w:p>
        </w:tc>
        <w:tc>
          <w:tcPr>
            <w:tcW w:w="4224" w:type="dxa"/>
            <w:tcBorders>
              <w:top w:val="single" w:sz="4" w:space="0" w:color="auto"/>
              <w:left w:val="single" w:sz="4" w:space="0" w:color="auto"/>
              <w:bottom w:val="single" w:sz="4" w:space="0" w:color="auto"/>
              <w:right w:val="single" w:sz="4" w:space="0" w:color="auto"/>
            </w:tcBorders>
          </w:tcPr>
          <w:p w14:paraId="14F2DB21" w14:textId="67FD491A" w:rsidR="00AD3F0E" w:rsidRDefault="00AD3F0E" w:rsidP="00AD3F0E">
            <w:r>
              <w:t>Health Program Manager</w:t>
            </w:r>
          </w:p>
        </w:tc>
      </w:tr>
      <w:tr w:rsidR="00AD3F0E" w14:paraId="654D287C" w14:textId="77777777" w:rsidTr="00651F15">
        <w:tc>
          <w:tcPr>
            <w:tcW w:w="3681" w:type="dxa"/>
            <w:tcBorders>
              <w:top w:val="single" w:sz="4" w:space="0" w:color="auto"/>
              <w:left w:val="single" w:sz="4" w:space="0" w:color="auto"/>
              <w:bottom w:val="single" w:sz="4" w:space="0" w:color="auto"/>
              <w:right w:val="single" w:sz="4" w:space="0" w:color="auto"/>
            </w:tcBorders>
          </w:tcPr>
          <w:p w14:paraId="25B1D17D" w14:textId="498C2201" w:rsidR="00AD3F0E" w:rsidRDefault="00AD3F0E" w:rsidP="00AD3F0E">
            <w:r>
              <w:t>Vanuatu</w:t>
            </w:r>
          </w:p>
        </w:tc>
        <w:tc>
          <w:tcPr>
            <w:tcW w:w="2438" w:type="dxa"/>
            <w:tcBorders>
              <w:top w:val="single" w:sz="4" w:space="0" w:color="auto"/>
              <w:left w:val="single" w:sz="4" w:space="0" w:color="auto"/>
              <w:bottom w:val="single" w:sz="4" w:space="0" w:color="auto"/>
              <w:right w:val="single" w:sz="4" w:space="0" w:color="auto"/>
            </w:tcBorders>
          </w:tcPr>
          <w:p w14:paraId="31BE6747" w14:textId="47C98A01" w:rsidR="00AD3F0E" w:rsidRDefault="00AD3F0E" w:rsidP="00AD3F0E">
            <w:r>
              <w:t>Kirsty Dudgeon</w:t>
            </w:r>
          </w:p>
        </w:tc>
        <w:tc>
          <w:tcPr>
            <w:tcW w:w="4224" w:type="dxa"/>
            <w:tcBorders>
              <w:top w:val="single" w:sz="4" w:space="0" w:color="auto"/>
              <w:left w:val="single" w:sz="4" w:space="0" w:color="auto"/>
              <w:bottom w:val="single" w:sz="4" w:space="0" w:color="auto"/>
              <w:right w:val="single" w:sz="4" w:space="0" w:color="auto"/>
            </w:tcBorders>
          </w:tcPr>
          <w:p w14:paraId="708CD17A" w14:textId="19C024C1" w:rsidR="00AD3F0E" w:rsidRDefault="00AD3F0E" w:rsidP="00AD3F0E">
            <w:r w:rsidRPr="00251CB4">
              <w:t>First Secretary</w:t>
            </w:r>
          </w:p>
        </w:tc>
      </w:tr>
      <w:tr w:rsidR="00AD3F0E" w14:paraId="23121041" w14:textId="77777777" w:rsidTr="00651F15">
        <w:tc>
          <w:tcPr>
            <w:tcW w:w="3681" w:type="dxa"/>
            <w:tcBorders>
              <w:top w:val="single" w:sz="4" w:space="0" w:color="auto"/>
              <w:left w:val="single" w:sz="4" w:space="0" w:color="auto"/>
              <w:bottom w:val="single" w:sz="4" w:space="0" w:color="auto"/>
              <w:right w:val="single" w:sz="4" w:space="0" w:color="auto"/>
            </w:tcBorders>
          </w:tcPr>
          <w:p w14:paraId="2DF92525" w14:textId="77777777" w:rsidR="00AD3F0E" w:rsidRDefault="00AD3F0E" w:rsidP="00AD3F0E"/>
        </w:tc>
        <w:tc>
          <w:tcPr>
            <w:tcW w:w="2438" w:type="dxa"/>
            <w:tcBorders>
              <w:top w:val="single" w:sz="4" w:space="0" w:color="auto"/>
              <w:left w:val="single" w:sz="4" w:space="0" w:color="auto"/>
              <w:bottom w:val="single" w:sz="4" w:space="0" w:color="auto"/>
              <w:right w:val="single" w:sz="4" w:space="0" w:color="auto"/>
            </w:tcBorders>
          </w:tcPr>
          <w:p w14:paraId="4A12BE87" w14:textId="7B4EB229" w:rsidR="00AD3F0E" w:rsidRDefault="00AD3F0E" w:rsidP="00AD3F0E">
            <w:r>
              <w:t xml:space="preserve">Belinda </w:t>
            </w:r>
            <w:proofErr w:type="spellStart"/>
            <w:r>
              <w:t>Karae-Lewa</w:t>
            </w:r>
            <w:proofErr w:type="spellEnd"/>
          </w:p>
        </w:tc>
        <w:tc>
          <w:tcPr>
            <w:tcW w:w="4224" w:type="dxa"/>
            <w:tcBorders>
              <w:top w:val="single" w:sz="4" w:space="0" w:color="auto"/>
              <w:left w:val="single" w:sz="4" w:space="0" w:color="auto"/>
              <w:bottom w:val="single" w:sz="4" w:space="0" w:color="auto"/>
              <w:right w:val="single" w:sz="4" w:space="0" w:color="auto"/>
            </w:tcBorders>
          </w:tcPr>
          <w:p w14:paraId="4C242E53" w14:textId="1515DBFD" w:rsidR="00AD3F0E" w:rsidRDefault="00AD3F0E" w:rsidP="00AD3F0E">
            <w:r>
              <w:t>Program Manager</w:t>
            </w:r>
          </w:p>
        </w:tc>
      </w:tr>
      <w:tr w:rsidR="00AD3F0E" w14:paraId="536575B5" w14:textId="77777777" w:rsidTr="00651F15">
        <w:tc>
          <w:tcPr>
            <w:tcW w:w="3681" w:type="dxa"/>
            <w:tcBorders>
              <w:top w:val="single" w:sz="4" w:space="0" w:color="auto"/>
              <w:left w:val="single" w:sz="4" w:space="0" w:color="auto"/>
              <w:bottom w:val="single" w:sz="4" w:space="0" w:color="auto"/>
              <w:right w:val="nil"/>
            </w:tcBorders>
          </w:tcPr>
          <w:p w14:paraId="40EE3535" w14:textId="1DEA69FA" w:rsidR="00AD3F0E" w:rsidRPr="00AD3F0E" w:rsidRDefault="00AD3F0E" w:rsidP="00AD3F0E">
            <w:pPr>
              <w:rPr>
                <w:b/>
              </w:rPr>
            </w:pPr>
            <w:r>
              <w:rPr>
                <w:b/>
              </w:rPr>
              <w:t>UNFPA Pacific Sub Regional Office</w:t>
            </w:r>
          </w:p>
        </w:tc>
        <w:tc>
          <w:tcPr>
            <w:tcW w:w="2438" w:type="dxa"/>
            <w:tcBorders>
              <w:top w:val="single" w:sz="4" w:space="0" w:color="auto"/>
              <w:left w:val="nil"/>
              <w:bottom w:val="single" w:sz="4" w:space="0" w:color="auto"/>
              <w:right w:val="nil"/>
            </w:tcBorders>
          </w:tcPr>
          <w:p w14:paraId="0D7C19CF" w14:textId="77777777" w:rsidR="00AD3F0E" w:rsidRDefault="00AD3F0E" w:rsidP="00AD3F0E"/>
        </w:tc>
        <w:tc>
          <w:tcPr>
            <w:tcW w:w="4224" w:type="dxa"/>
            <w:tcBorders>
              <w:top w:val="single" w:sz="4" w:space="0" w:color="auto"/>
              <w:left w:val="nil"/>
              <w:bottom w:val="single" w:sz="4" w:space="0" w:color="auto"/>
              <w:right w:val="single" w:sz="4" w:space="0" w:color="auto"/>
            </w:tcBorders>
          </w:tcPr>
          <w:p w14:paraId="6CF6CEB9" w14:textId="77777777" w:rsidR="00AD3F0E" w:rsidRDefault="00AD3F0E" w:rsidP="00AD3F0E"/>
        </w:tc>
      </w:tr>
      <w:tr w:rsidR="00AD3F0E" w14:paraId="0C8D8164" w14:textId="77777777" w:rsidTr="00651F15">
        <w:tc>
          <w:tcPr>
            <w:tcW w:w="3681" w:type="dxa"/>
            <w:tcBorders>
              <w:top w:val="single" w:sz="4" w:space="0" w:color="auto"/>
              <w:left w:val="single" w:sz="4" w:space="0" w:color="auto"/>
              <w:bottom w:val="nil"/>
              <w:right w:val="single" w:sz="4" w:space="0" w:color="auto"/>
            </w:tcBorders>
          </w:tcPr>
          <w:p w14:paraId="6B9FD164" w14:textId="77777777" w:rsidR="00AD3F0E" w:rsidRDefault="00AD3F0E" w:rsidP="00AD3F0E">
            <w:pPr>
              <w:rPr>
                <w:b/>
              </w:rPr>
            </w:pPr>
          </w:p>
        </w:tc>
        <w:tc>
          <w:tcPr>
            <w:tcW w:w="2438" w:type="dxa"/>
            <w:tcBorders>
              <w:top w:val="single" w:sz="4" w:space="0" w:color="auto"/>
              <w:left w:val="single" w:sz="4" w:space="0" w:color="auto"/>
              <w:bottom w:val="single" w:sz="4" w:space="0" w:color="auto"/>
              <w:right w:val="single" w:sz="4" w:space="0" w:color="auto"/>
            </w:tcBorders>
          </w:tcPr>
          <w:p w14:paraId="6D30DC91" w14:textId="2353644A" w:rsidR="00AD3F0E" w:rsidRDefault="00AD3F0E" w:rsidP="00AD3F0E">
            <w:r>
              <w:t>Jennifer Butler</w:t>
            </w:r>
          </w:p>
        </w:tc>
        <w:tc>
          <w:tcPr>
            <w:tcW w:w="4224" w:type="dxa"/>
            <w:tcBorders>
              <w:top w:val="single" w:sz="4" w:space="0" w:color="auto"/>
              <w:left w:val="single" w:sz="4" w:space="0" w:color="auto"/>
              <w:bottom w:val="single" w:sz="4" w:space="0" w:color="auto"/>
              <w:right w:val="single" w:sz="4" w:space="0" w:color="auto"/>
            </w:tcBorders>
          </w:tcPr>
          <w:p w14:paraId="068A8E9B" w14:textId="513B2F11" w:rsidR="00AD3F0E" w:rsidRDefault="00AD3F0E" w:rsidP="00AD3F0E">
            <w:r>
              <w:t>Director and Representative</w:t>
            </w:r>
          </w:p>
        </w:tc>
      </w:tr>
      <w:tr w:rsidR="00AD3F0E" w14:paraId="3E9F3453" w14:textId="77777777" w:rsidTr="00651F15">
        <w:tc>
          <w:tcPr>
            <w:tcW w:w="3681" w:type="dxa"/>
            <w:tcBorders>
              <w:top w:val="nil"/>
              <w:left w:val="single" w:sz="4" w:space="0" w:color="auto"/>
              <w:bottom w:val="nil"/>
              <w:right w:val="single" w:sz="4" w:space="0" w:color="auto"/>
            </w:tcBorders>
          </w:tcPr>
          <w:p w14:paraId="61FF5348" w14:textId="77777777" w:rsidR="00AD3F0E" w:rsidRDefault="00AD3F0E" w:rsidP="00AD3F0E">
            <w:pPr>
              <w:rPr>
                <w:b/>
              </w:rPr>
            </w:pPr>
          </w:p>
        </w:tc>
        <w:tc>
          <w:tcPr>
            <w:tcW w:w="2438" w:type="dxa"/>
            <w:tcBorders>
              <w:top w:val="single" w:sz="4" w:space="0" w:color="auto"/>
              <w:left w:val="single" w:sz="4" w:space="0" w:color="auto"/>
              <w:bottom w:val="single" w:sz="4" w:space="0" w:color="auto"/>
              <w:right w:val="single" w:sz="4" w:space="0" w:color="auto"/>
            </w:tcBorders>
          </w:tcPr>
          <w:p w14:paraId="1B2AE79F" w14:textId="66898441" w:rsidR="00AD3F0E" w:rsidRDefault="00AD3F0E" w:rsidP="00AD3F0E">
            <w:r>
              <w:t>Saira Shameem</w:t>
            </w:r>
          </w:p>
        </w:tc>
        <w:tc>
          <w:tcPr>
            <w:tcW w:w="4224" w:type="dxa"/>
            <w:tcBorders>
              <w:top w:val="single" w:sz="4" w:space="0" w:color="auto"/>
              <w:left w:val="single" w:sz="4" w:space="0" w:color="auto"/>
              <w:bottom w:val="single" w:sz="4" w:space="0" w:color="auto"/>
              <w:right w:val="single" w:sz="4" w:space="0" w:color="auto"/>
            </w:tcBorders>
          </w:tcPr>
          <w:p w14:paraId="580478E8" w14:textId="44A38CBA" w:rsidR="00AD3F0E" w:rsidRDefault="00AD3F0E" w:rsidP="00AD3F0E">
            <w:r>
              <w:t>Deputy Director, Deputy Representative</w:t>
            </w:r>
          </w:p>
        </w:tc>
      </w:tr>
      <w:tr w:rsidR="00AD3F0E" w14:paraId="46962CD7" w14:textId="77777777" w:rsidTr="00651F15">
        <w:tc>
          <w:tcPr>
            <w:tcW w:w="3681" w:type="dxa"/>
            <w:tcBorders>
              <w:top w:val="nil"/>
              <w:left w:val="single" w:sz="4" w:space="0" w:color="auto"/>
              <w:bottom w:val="nil"/>
              <w:right w:val="single" w:sz="4" w:space="0" w:color="auto"/>
            </w:tcBorders>
          </w:tcPr>
          <w:p w14:paraId="0E914273" w14:textId="77777777" w:rsidR="00AD3F0E" w:rsidRDefault="00AD3F0E" w:rsidP="00AD3F0E">
            <w:pPr>
              <w:rPr>
                <w:b/>
              </w:rPr>
            </w:pPr>
          </w:p>
        </w:tc>
        <w:tc>
          <w:tcPr>
            <w:tcW w:w="2438" w:type="dxa"/>
            <w:tcBorders>
              <w:top w:val="single" w:sz="4" w:space="0" w:color="auto"/>
              <w:left w:val="single" w:sz="4" w:space="0" w:color="auto"/>
              <w:bottom w:val="single" w:sz="4" w:space="0" w:color="auto"/>
              <w:right w:val="single" w:sz="4" w:space="0" w:color="auto"/>
            </w:tcBorders>
          </w:tcPr>
          <w:p w14:paraId="75AEE32E" w14:textId="515A909D" w:rsidR="00AD3F0E" w:rsidRDefault="00AD3F0E" w:rsidP="00AD3F0E">
            <w:r>
              <w:t>Kathleen Taylor</w:t>
            </w:r>
          </w:p>
        </w:tc>
        <w:tc>
          <w:tcPr>
            <w:tcW w:w="4224" w:type="dxa"/>
            <w:tcBorders>
              <w:top w:val="single" w:sz="4" w:space="0" w:color="auto"/>
              <w:left w:val="single" w:sz="4" w:space="0" w:color="auto"/>
              <w:bottom w:val="single" w:sz="4" w:space="0" w:color="auto"/>
              <w:right w:val="single" w:sz="4" w:space="0" w:color="auto"/>
            </w:tcBorders>
          </w:tcPr>
          <w:p w14:paraId="514E5EC3" w14:textId="1A6AB719" w:rsidR="00AD3F0E" w:rsidRDefault="00AD3F0E" w:rsidP="00AD3F0E">
            <w:r>
              <w:t>TA Program Lead</w:t>
            </w:r>
          </w:p>
        </w:tc>
      </w:tr>
      <w:tr w:rsidR="00AD3F0E" w14:paraId="574152D9" w14:textId="77777777" w:rsidTr="00651F15">
        <w:tc>
          <w:tcPr>
            <w:tcW w:w="3681" w:type="dxa"/>
            <w:tcBorders>
              <w:top w:val="nil"/>
              <w:left w:val="single" w:sz="4" w:space="0" w:color="auto"/>
              <w:bottom w:val="nil"/>
              <w:right w:val="single" w:sz="4" w:space="0" w:color="auto"/>
            </w:tcBorders>
          </w:tcPr>
          <w:p w14:paraId="0A258624" w14:textId="77777777" w:rsidR="00AD3F0E" w:rsidRDefault="00AD3F0E" w:rsidP="00AD3F0E">
            <w:pPr>
              <w:rPr>
                <w:b/>
              </w:rPr>
            </w:pPr>
          </w:p>
        </w:tc>
        <w:tc>
          <w:tcPr>
            <w:tcW w:w="2438" w:type="dxa"/>
            <w:tcBorders>
              <w:top w:val="single" w:sz="4" w:space="0" w:color="auto"/>
              <w:left w:val="single" w:sz="4" w:space="0" w:color="auto"/>
              <w:bottom w:val="single" w:sz="4" w:space="0" w:color="auto"/>
              <w:right w:val="single" w:sz="4" w:space="0" w:color="auto"/>
            </w:tcBorders>
          </w:tcPr>
          <w:p w14:paraId="5C97C37B" w14:textId="0AFEE851" w:rsidR="00AD3F0E" w:rsidRDefault="00AD3F0E" w:rsidP="00AD3F0E">
            <w:r>
              <w:t>Mosese Qasenivalu</w:t>
            </w:r>
          </w:p>
        </w:tc>
        <w:tc>
          <w:tcPr>
            <w:tcW w:w="4224" w:type="dxa"/>
            <w:tcBorders>
              <w:top w:val="single" w:sz="4" w:space="0" w:color="auto"/>
              <w:left w:val="single" w:sz="4" w:space="0" w:color="auto"/>
              <w:bottom w:val="single" w:sz="4" w:space="0" w:color="auto"/>
              <w:right w:val="single" w:sz="4" w:space="0" w:color="auto"/>
            </w:tcBorders>
          </w:tcPr>
          <w:p w14:paraId="45332C8F" w14:textId="702321AC" w:rsidR="00AD3F0E" w:rsidRDefault="00AD3F0E" w:rsidP="00AD3F0E">
            <w:r>
              <w:t>M&amp;E Specialist</w:t>
            </w:r>
          </w:p>
        </w:tc>
      </w:tr>
      <w:tr w:rsidR="00AD3F0E" w14:paraId="6113CBD4" w14:textId="77777777" w:rsidTr="00651F15">
        <w:tc>
          <w:tcPr>
            <w:tcW w:w="3681" w:type="dxa"/>
            <w:tcBorders>
              <w:top w:val="nil"/>
              <w:left w:val="single" w:sz="4" w:space="0" w:color="auto"/>
              <w:bottom w:val="nil"/>
              <w:right w:val="single" w:sz="4" w:space="0" w:color="auto"/>
            </w:tcBorders>
          </w:tcPr>
          <w:p w14:paraId="5741AA73" w14:textId="77777777" w:rsidR="00AD3F0E" w:rsidRDefault="00AD3F0E" w:rsidP="00AD3F0E">
            <w:pPr>
              <w:rPr>
                <w:b/>
              </w:rPr>
            </w:pPr>
          </w:p>
        </w:tc>
        <w:tc>
          <w:tcPr>
            <w:tcW w:w="2438" w:type="dxa"/>
            <w:tcBorders>
              <w:top w:val="single" w:sz="4" w:space="0" w:color="auto"/>
              <w:left w:val="single" w:sz="4" w:space="0" w:color="auto"/>
              <w:bottom w:val="single" w:sz="4" w:space="0" w:color="auto"/>
              <w:right w:val="single" w:sz="4" w:space="0" w:color="auto"/>
            </w:tcBorders>
          </w:tcPr>
          <w:p w14:paraId="0D34EAE0" w14:textId="0ECFB0CF" w:rsidR="00AD3F0E" w:rsidRDefault="00AD3F0E" w:rsidP="00AD3F0E">
            <w:r>
              <w:t xml:space="preserve">Pulane </w:t>
            </w:r>
            <w:proofErr w:type="spellStart"/>
            <w:r>
              <w:t>Tiebere</w:t>
            </w:r>
            <w:proofErr w:type="spellEnd"/>
          </w:p>
        </w:tc>
        <w:tc>
          <w:tcPr>
            <w:tcW w:w="4224" w:type="dxa"/>
            <w:tcBorders>
              <w:top w:val="single" w:sz="4" w:space="0" w:color="auto"/>
              <w:left w:val="single" w:sz="4" w:space="0" w:color="auto"/>
              <w:bottom w:val="single" w:sz="4" w:space="0" w:color="auto"/>
              <w:right w:val="single" w:sz="4" w:space="0" w:color="auto"/>
            </w:tcBorders>
          </w:tcPr>
          <w:p w14:paraId="422358D5" w14:textId="50BEA946" w:rsidR="00AD3F0E" w:rsidRDefault="00AD3F0E" w:rsidP="00AD3F0E">
            <w:r>
              <w:t>Reproductive Health Adviser</w:t>
            </w:r>
          </w:p>
        </w:tc>
      </w:tr>
      <w:tr w:rsidR="00AD3F0E" w14:paraId="7BDD4CEC" w14:textId="77777777" w:rsidTr="00651F15">
        <w:tc>
          <w:tcPr>
            <w:tcW w:w="3681" w:type="dxa"/>
            <w:tcBorders>
              <w:top w:val="nil"/>
              <w:left w:val="single" w:sz="4" w:space="0" w:color="auto"/>
              <w:bottom w:val="nil"/>
              <w:right w:val="single" w:sz="4" w:space="0" w:color="auto"/>
            </w:tcBorders>
          </w:tcPr>
          <w:p w14:paraId="6042854F" w14:textId="77777777" w:rsidR="00AD3F0E" w:rsidRDefault="00AD3F0E" w:rsidP="00AD3F0E">
            <w:pPr>
              <w:rPr>
                <w:b/>
              </w:rPr>
            </w:pPr>
          </w:p>
        </w:tc>
        <w:tc>
          <w:tcPr>
            <w:tcW w:w="2438" w:type="dxa"/>
            <w:tcBorders>
              <w:top w:val="single" w:sz="4" w:space="0" w:color="auto"/>
              <w:left w:val="single" w:sz="4" w:space="0" w:color="auto"/>
              <w:bottom w:val="single" w:sz="4" w:space="0" w:color="auto"/>
              <w:right w:val="single" w:sz="4" w:space="0" w:color="auto"/>
            </w:tcBorders>
          </w:tcPr>
          <w:p w14:paraId="730120A1" w14:textId="3D70C57C" w:rsidR="00AD3F0E" w:rsidRDefault="00AD3F0E" w:rsidP="00AD3F0E">
            <w:r>
              <w:t>Virisila Raitamata</w:t>
            </w:r>
          </w:p>
        </w:tc>
        <w:tc>
          <w:tcPr>
            <w:tcW w:w="4224" w:type="dxa"/>
            <w:tcBorders>
              <w:top w:val="single" w:sz="4" w:space="0" w:color="auto"/>
              <w:left w:val="single" w:sz="4" w:space="0" w:color="auto"/>
              <w:bottom w:val="single" w:sz="4" w:space="0" w:color="auto"/>
              <w:right w:val="single" w:sz="4" w:space="0" w:color="auto"/>
            </w:tcBorders>
          </w:tcPr>
          <w:p w14:paraId="0D4DC723" w14:textId="2A5504D5" w:rsidR="00AD3F0E" w:rsidRDefault="00AD3F0E" w:rsidP="00AD3F0E">
            <w:r>
              <w:t>Assistant Representative</w:t>
            </w:r>
          </w:p>
        </w:tc>
      </w:tr>
      <w:tr w:rsidR="00AD3F0E" w14:paraId="28E3B302" w14:textId="77777777" w:rsidTr="00651F15">
        <w:tc>
          <w:tcPr>
            <w:tcW w:w="3681" w:type="dxa"/>
            <w:tcBorders>
              <w:top w:val="nil"/>
              <w:left w:val="single" w:sz="4" w:space="0" w:color="auto"/>
              <w:bottom w:val="nil"/>
              <w:right w:val="single" w:sz="4" w:space="0" w:color="auto"/>
            </w:tcBorders>
          </w:tcPr>
          <w:p w14:paraId="62175E5E" w14:textId="77777777" w:rsidR="00AD3F0E" w:rsidRDefault="00AD3F0E" w:rsidP="00AD3F0E">
            <w:pPr>
              <w:rPr>
                <w:b/>
              </w:rPr>
            </w:pPr>
          </w:p>
        </w:tc>
        <w:tc>
          <w:tcPr>
            <w:tcW w:w="2438" w:type="dxa"/>
            <w:tcBorders>
              <w:top w:val="single" w:sz="4" w:space="0" w:color="auto"/>
              <w:left w:val="single" w:sz="4" w:space="0" w:color="auto"/>
              <w:bottom w:val="single" w:sz="4" w:space="0" w:color="auto"/>
              <w:right w:val="single" w:sz="4" w:space="0" w:color="auto"/>
            </w:tcBorders>
          </w:tcPr>
          <w:p w14:paraId="358C389B" w14:textId="1AA7309B" w:rsidR="00AD3F0E" w:rsidRDefault="00AD3F0E" w:rsidP="00AD3F0E">
            <w:r>
              <w:t>Olanike Adedeji</w:t>
            </w:r>
          </w:p>
        </w:tc>
        <w:tc>
          <w:tcPr>
            <w:tcW w:w="4224" w:type="dxa"/>
            <w:tcBorders>
              <w:top w:val="single" w:sz="4" w:space="0" w:color="auto"/>
              <w:left w:val="single" w:sz="4" w:space="0" w:color="auto"/>
              <w:bottom w:val="single" w:sz="4" w:space="0" w:color="auto"/>
              <w:right w:val="single" w:sz="4" w:space="0" w:color="auto"/>
            </w:tcBorders>
          </w:tcPr>
          <w:p w14:paraId="5F6460D5" w14:textId="1B0059E4" w:rsidR="00AD3F0E" w:rsidRDefault="00AD3F0E" w:rsidP="00AD3F0E">
            <w:r>
              <w:t>Technical Specialist RHCS</w:t>
            </w:r>
          </w:p>
        </w:tc>
      </w:tr>
      <w:tr w:rsidR="00AD3F0E" w14:paraId="225EB009" w14:textId="77777777" w:rsidTr="00651F15">
        <w:tc>
          <w:tcPr>
            <w:tcW w:w="3681" w:type="dxa"/>
            <w:tcBorders>
              <w:top w:val="nil"/>
              <w:left w:val="single" w:sz="4" w:space="0" w:color="auto"/>
              <w:bottom w:val="nil"/>
              <w:right w:val="single" w:sz="4" w:space="0" w:color="auto"/>
            </w:tcBorders>
          </w:tcPr>
          <w:p w14:paraId="6B64A605" w14:textId="77777777" w:rsidR="00AD3F0E" w:rsidRDefault="00AD3F0E" w:rsidP="00AD3F0E">
            <w:pPr>
              <w:rPr>
                <w:b/>
              </w:rPr>
            </w:pPr>
          </w:p>
        </w:tc>
        <w:tc>
          <w:tcPr>
            <w:tcW w:w="2438" w:type="dxa"/>
            <w:tcBorders>
              <w:top w:val="single" w:sz="4" w:space="0" w:color="auto"/>
              <w:left w:val="single" w:sz="4" w:space="0" w:color="auto"/>
              <w:bottom w:val="single" w:sz="4" w:space="0" w:color="auto"/>
              <w:right w:val="single" w:sz="4" w:space="0" w:color="auto"/>
            </w:tcBorders>
          </w:tcPr>
          <w:p w14:paraId="0F41F7D8" w14:textId="7785406A" w:rsidR="00AD3F0E" w:rsidRDefault="00AD3F0E" w:rsidP="00AD3F0E">
            <w:r>
              <w:t>Lorna Rolls</w:t>
            </w:r>
          </w:p>
        </w:tc>
        <w:tc>
          <w:tcPr>
            <w:tcW w:w="4224" w:type="dxa"/>
            <w:tcBorders>
              <w:top w:val="single" w:sz="4" w:space="0" w:color="auto"/>
              <w:left w:val="single" w:sz="4" w:space="0" w:color="auto"/>
              <w:bottom w:val="single" w:sz="4" w:space="0" w:color="auto"/>
              <w:right w:val="single" w:sz="4" w:space="0" w:color="auto"/>
            </w:tcBorders>
          </w:tcPr>
          <w:p w14:paraId="70CDCDD7" w14:textId="4E051260" w:rsidR="00AD3F0E" w:rsidRDefault="00AD3F0E" w:rsidP="00AD3F0E">
            <w:r>
              <w:t>Assistant Representative</w:t>
            </w:r>
          </w:p>
        </w:tc>
      </w:tr>
      <w:tr w:rsidR="00AD3F0E" w14:paraId="72359058" w14:textId="77777777" w:rsidTr="00651F15">
        <w:tc>
          <w:tcPr>
            <w:tcW w:w="3681" w:type="dxa"/>
            <w:tcBorders>
              <w:top w:val="nil"/>
              <w:left w:val="single" w:sz="4" w:space="0" w:color="auto"/>
              <w:bottom w:val="nil"/>
              <w:right w:val="single" w:sz="4" w:space="0" w:color="auto"/>
            </w:tcBorders>
          </w:tcPr>
          <w:p w14:paraId="7D28BC96" w14:textId="77777777" w:rsidR="00AD3F0E" w:rsidRDefault="00AD3F0E" w:rsidP="00AD3F0E">
            <w:pPr>
              <w:rPr>
                <w:b/>
              </w:rPr>
            </w:pPr>
          </w:p>
        </w:tc>
        <w:tc>
          <w:tcPr>
            <w:tcW w:w="2438" w:type="dxa"/>
            <w:tcBorders>
              <w:top w:val="single" w:sz="4" w:space="0" w:color="auto"/>
              <w:left w:val="single" w:sz="4" w:space="0" w:color="auto"/>
              <w:bottom w:val="single" w:sz="4" w:space="0" w:color="auto"/>
              <w:right w:val="single" w:sz="4" w:space="0" w:color="auto"/>
            </w:tcBorders>
          </w:tcPr>
          <w:p w14:paraId="1ED7C98B" w14:textId="339ECE0F" w:rsidR="00AD3F0E" w:rsidRDefault="00AD3F0E" w:rsidP="00AD3F0E">
            <w:r>
              <w:t xml:space="preserve">Sandra </w:t>
            </w:r>
            <w:proofErr w:type="spellStart"/>
            <w:r>
              <w:t>Paredez</w:t>
            </w:r>
            <w:proofErr w:type="spellEnd"/>
          </w:p>
        </w:tc>
        <w:tc>
          <w:tcPr>
            <w:tcW w:w="4224" w:type="dxa"/>
            <w:tcBorders>
              <w:top w:val="single" w:sz="4" w:space="0" w:color="auto"/>
              <w:left w:val="single" w:sz="4" w:space="0" w:color="auto"/>
              <w:bottom w:val="single" w:sz="4" w:space="0" w:color="auto"/>
              <w:right w:val="single" w:sz="4" w:space="0" w:color="auto"/>
            </w:tcBorders>
          </w:tcPr>
          <w:p w14:paraId="575BA77F" w14:textId="6E53DF7A" w:rsidR="00AD3F0E" w:rsidRDefault="00AD3F0E" w:rsidP="00AD3F0E">
            <w:r>
              <w:t>Population Development Adviser</w:t>
            </w:r>
          </w:p>
        </w:tc>
      </w:tr>
      <w:tr w:rsidR="00AD3F0E" w14:paraId="2D0B1E81" w14:textId="77777777" w:rsidTr="00651F15">
        <w:tc>
          <w:tcPr>
            <w:tcW w:w="3681" w:type="dxa"/>
            <w:tcBorders>
              <w:top w:val="nil"/>
              <w:left w:val="single" w:sz="4" w:space="0" w:color="auto"/>
              <w:bottom w:val="single" w:sz="4" w:space="0" w:color="auto"/>
              <w:right w:val="single" w:sz="4" w:space="0" w:color="auto"/>
            </w:tcBorders>
          </w:tcPr>
          <w:p w14:paraId="18442C54" w14:textId="77777777" w:rsidR="00AD3F0E" w:rsidRPr="00601D28" w:rsidRDefault="00AD3F0E" w:rsidP="00AD3F0E">
            <w:pPr>
              <w:rPr>
                <w:b/>
              </w:rPr>
            </w:pPr>
          </w:p>
        </w:tc>
        <w:tc>
          <w:tcPr>
            <w:tcW w:w="2438" w:type="dxa"/>
            <w:tcBorders>
              <w:top w:val="single" w:sz="4" w:space="0" w:color="auto"/>
              <w:left w:val="single" w:sz="4" w:space="0" w:color="auto"/>
              <w:bottom w:val="single" w:sz="4" w:space="0" w:color="auto"/>
              <w:right w:val="single" w:sz="4" w:space="0" w:color="auto"/>
            </w:tcBorders>
          </w:tcPr>
          <w:p w14:paraId="0A655C79" w14:textId="22B136D8" w:rsidR="00AD3F0E" w:rsidRDefault="00AD3F0E" w:rsidP="00AD3F0E">
            <w:r>
              <w:t xml:space="preserve">Brian </w:t>
            </w:r>
            <w:proofErr w:type="spellStart"/>
            <w:r>
              <w:t>Kironde</w:t>
            </w:r>
            <w:proofErr w:type="spellEnd"/>
          </w:p>
        </w:tc>
        <w:tc>
          <w:tcPr>
            <w:tcW w:w="4224" w:type="dxa"/>
            <w:tcBorders>
              <w:top w:val="single" w:sz="4" w:space="0" w:color="auto"/>
              <w:left w:val="single" w:sz="4" w:space="0" w:color="auto"/>
              <w:bottom w:val="single" w:sz="4" w:space="0" w:color="auto"/>
              <w:right w:val="single" w:sz="4" w:space="0" w:color="auto"/>
            </w:tcBorders>
          </w:tcPr>
          <w:p w14:paraId="6D994C25" w14:textId="0391C920" w:rsidR="00AD3F0E" w:rsidRDefault="00AD3F0E" w:rsidP="00AD3F0E">
            <w:r>
              <w:t>Technical Specialist, Adolescents and Youth</w:t>
            </w:r>
          </w:p>
        </w:tc>
      </w:tr>
      <w:tr w:rsidR="00AD3F0E" w14:paraId="71200DC2" w14:textId="77777777" w:rsidTr="00651F15">
        <w:tc>
          <w:tcPr>
            <w:tcW w:w="3681" w:type="dxa"/>
            <w:tcBorders>
              <w:top w:val="single" w:sz="4" w:space="0" w:color="auto"/>
              <w:left w:val="single" w:sz="4" w:space="0" w:color="auto"/>
              <w:bottom w:val="single" w:sz="4" w:space="0" w:color="auto"/>
              <w:right w:val="nil"/>
            </w:tcBorders>
          </w:tcPr>
          <w:p w14:paraId="68398249" w14:textId="53953B28" w:rsidR="00AD3F0E" w:rsidRDefault="00AD3F0E" w:rsidP="00AD3F0E">
            <w:pPr>
              <w:rPr>
                <w:b/>
              </w:rPr>
            </w:pPr>
            <w:r>
              <w:rPr>
                <w:b/>
              </w:rPr>
              <w:t>UNFPA PSRO Field Office</w:t>
            </w:r>
          </w:p>
        </w:tc>
        <w:tc>
          <w:tcPr>
            <w:tcW w:w="2438" w:type="dxa"/>
            <w:tcBorders>
              <w:top w:val="single" w:sz="4" w:space="0" w:color="auto"/>
              <w:left w:val="nil"/>
              <w:bottom w:val="single" w:sz="4" w:space="0" w:color="auto"/>
              <w:right w:val="nil"/>
            </w:tcBorders>
          </w:tcPr>
          <w:p w14:paraId="01481B37" w14:textId="77777777" w:rsidR="00AD3F0E" w:rsidRDefault="00AD3F0E" w:rsidP="00AD3F0E"/>
        </w:tc>
        <w:tc>
          <w:tcPr>
            <w:tcW w:w="4224" w:type="dxa"/>
            <w:tcBorders>
              <w:top w:val="single" w:sz="4" w:space="0" w:color="auto"/>
              <w:left w:val="nil"/>
              <w:bottom w:val="single" w:sz="4" w:space="0" w:color="auto"/>
              <w:right w:val="single" w:sz="4" w:space="0" w:color="auto"/>
            </w:tcBorders>
          </w:tcPr>
          <w:p w14:paraId="4648C7A6" w14:textId="77777777" w:rsidR="00AD3F0E" w:rsidRDefault="00AD3F0E" w:rsidP="00AD3F0E"/>
        </w:tc>
      </w:tr>
      <w:tr w:rsidR="00AD3F0E" w14:paraId="651D7C98" w14:textId="77777777" w:rsidTr="00651F15">
        <w:tc>
          <w:tcPr>
            <w:tcW w:w="3681" w:type="dxa"/>
            <w:tcBorders>
              <w:top w:val="single" w:sz="4" w:space="0" w:color="auto"/>
              <w:left w:val="single" w:sz="4" w:space="0" w:color="auto"/>
              <w:bottom w:val="nil"/>
              <w:right w:val="single" w:sz="4" w:space="0" w:color="auto"/>
            </w:tcBorders>
          </w:tcPr>
          <w:p w14:paraId="4CBC439D" w14:textId="77777777" w:rsidR="00AD3F0E" w:rsidRDefault="00AD3F0E" w:rsidP="00AD3F0E">
            <w:pPr>
              <w:rPr>
                <w:b/>
              </w:rPr>
            </w:pPr>
          </w:p>
        </w:tc>
        <w:tc>
          <w:tcPr>
            <w:tcW w:w="2438" w:type="dxa"/>
            <w:tcBorders>
              <w:top w:val="single" w:sz="4" w:space="0" w:color="auto"/>
              <w:left w:val="single" w:sz="4" w:space="0" w:color="auto"/>
              <w:bottom w:val="single" w:sz="4" w:space="0" w:color="auto"/>
              <w:right w:val="single" w:sz="4" w:space="0" w:color="auto"/>
            </w:tcBorders>
          </w:tcPr>
          <w:p w14:paraId="6D7ABF84" w14:textId="18B0ED20" w:rsidR="00AD3F0E" w:rsidRDefault="00AD3F0E" w:rsidP="00AD3F0E">
            <w:proofErr w:type="spellStart"/>
            <w:r>
              <w:t>Aren</w:t>
            </w:r>
            <w:proofErr w:type="spellEnd"/>
            <w:r>
              <w:t xml:space="preserve"> </w:t>
            </w:r>
            <w:proofErr w:type="spellStart"/>
            <w:r>
              <w:t>Teannaki</w:t>
            </w:r>
            <w:proofErr w:type="spellEnd"/>
          </w:p>
        </w:tc>
        <w:tc>
          <w:tcPr>
            <w:tcW w:w="4224" w:type="dxa"/>
            <w:tcBorders>
              <w:top w:val="single" w:sz="4" w:space="0" w:color="auto"/>
              <w:left w:val="single" w:sz="4" w:space="0" w:color="auto"/>
              <w:bottom w:val="single" w:sz="4" w:space="0" w:color="auto"/>
              <w:right w:val="single" w:sz="4" w:space="0" w:color="auto"/>
            </w:tcBorders>
          </w:tcPr>
          <w:p w14:paraId="191210DC" w14:textId="568591A8" w:rsidR="00AD3F0E" w:rsidRDefault="00AD3F0E" w:rsidP="00AD3F0E">
            <w:r>
              <w:t>Program Analyst, Kiribati</w:t>
            </w:r>
          </w:p>
        </w:tc>
      </w:tr>
      <w:tr w:rsidR="00AD3F0E" w14:paraId="68C7902F" w14:textId="77777777" w:rsidTr="00651F15">
        <w:tc>
          <w:tcPr>
            <w:tcW w:w="3681" w:type="dxa"/>
            <w:tcBorders>
              <w:top w:val="nil"/>
              <w:left w:val="single" w:sz="4" w:space="0" w:color="auto"/>
              <w:bottom w:val="nil"/>
              <w:right w:val="single" w:sz="4" w:space="0" w:color="auto"/>
            </w:tcBorders>
          </w:tcPr>
          <w:p w14:paraId="6F5EB089" w14:textId="77777777" w:rsidR="00AD3F0E" w:rsidRDefault="00AD3F0E" w:rsidP="00AD3F0E">
            <w:pPr>
              <w:rPr>
                <w:b/>
              </w:rPr>
            </w:pPr>
          </w:p>
        </w:tc>
        <w:tc>
          <w:tcPr>
            <w:tcW w:w="2438" w:type="dxa"/>
            <w:tcBorders>
              <w:top w:val="single" w:sz="4" w:space="0" w:color="auto"/>
              <w:left w:val="single" w:sz="4" w:space="0" w:color="auto"/>
              <w:bottom w:val="single" w:sz="4" w:space="0" w:color="auto"/>
              <w:right w:val="single" w:sz="4" w:space="0" w:color="auto"/>
            </w:tcBorders>
          </w:tcPr>
          <w:p w14:paraId="1EA77547" w14:textId="5D31BA3D" w:rsidR="00AD3F0E" w:rsidRDefault="00AD3F0E" w:rsidP="00AD3F0E">
            <w:r>
              <w:t>Shilu Adhikari</w:t>
            </w:r>
          </w:p>
        </w:tc>
        <w:tc>
          <w:tcPr>
            <w:tcW w:w="4224" w:type="dxa"/>
            <w:tcBorders>
              <w:top w:val="single" w:sz="4" w:space="0" w:color="auto"/>
              <w:left w:val="single" w:sz="4" w:space="0" w:color="auto"/>
              <w:bottom w:val="single" w:sz="4" w:space="0" w:color="auto"/>
              <w:right w:val="single" w:sz="4" w:space="0" w:color="auto"/>
            </w:tcBorders>
          </w:tcPr>
          <w:p w14:paraId="194AE1DD" w14:textId="57C298B1" w:rsidR="00AD3F0E" w:rsidRDefault="00AD3F0E" w:rsidP="00AD3F0E">
            <w:r>
              <w:t xml:space="preserve">SRH Specialist, Solomon Islands </w:t>
            </w:r>
          </w:p>
        </w:tc>
      </w:tr>
      <w:tr w:rsidR="00AD3F0E" w14:paraId="116DE429" w14:textId="77777777" w:rsidTr="00651F15">
        <w:tc>
          <w:tcPr>
            <w:tcW w:w="3681" w:type="dxa"/>
            <w:tcBorders>
              <w:top w:val="nil"/>
              <w:left w:val="single" w:sz="4" w:space="0" w:color="auto"/>
              <w:bottom w:val="nil"/>
              <w:right w:val="single" w:sz="4" w:space="0" w:color="auto"/>
            </w:tcBorders>
          </w:tcPr>
          <w:p w14:paraId="30E2BA60" w14:textId="77777777" w:rsidR="00AD3F0E" w:rsidRDefault="00AD3F0E" w:rsidP="00AD3F0E">
            <w:pPr>
              <w:rPr>
                <w:b/>
              </w:rPr>
            </w:pPr>
          </w:p>
        </w:tc>
        <w:tc>
          <w:tcPr>
            <w:tcW w:w="2438" w:type="dxa"/>
            <w:tcBorders>
              <w:top w:val="single" w:sz="4" w:space="0" w:color="auto"/>
              <w:left w:val="single" w:sz="4" w:space="0" w:color="auto"/>
              <w:bottom w:val="single" w:sz="4" w:space="0" w:color="auto"/>
              <w:right w:val="single" w:sz="4" w:space="0" w:color="auto"/>
            </w:tcBorders>
          </w:tcPr>
          <w:p w14:paraId="0514BDDC" w14:textId="5F6892AB" w:rsidR="00AD3F0E" w:rsidRDefault="00AD3F0E" w:rsidP="00AD3F0E">
            <w:r>
              <w:t>Emily Deed</w:t>
            </w:r>
          </w:p>
        </w:tc>
        <w:tc>
          <w:tcPr>
            <w:tcW w:w="4224" w:type="dxa"/>
            <w:tcBorders>
              <w:top w:val="single" w:sz="4" w:space="0" w:color="auto"/>
              <w:left w:val="single" w:sz="4" w:space="0" w:color="auto"/>
              <w:bottom w:val="single" w:sz="4" w:space="0" w:color="auto"/>
              <w:right w:val="single" w:sz="4" w:space="0" w:color="auto"/>
            </w:tcBorders>
          </w:tcPr>
          <w:p w14:paraId="07C45141" w14:textId="49CF9831" w:rsidR="00AD3F0E" w:rsidRDefault="00AD3F0E" w:rsidP="00AD3F0E">
            <w:r>
              <w:t>SRH Specialist, Vanuatu</w:t>
            </w:r>
          </w:p>
        </w:tc>
      </w:tr>
      <w:tr w:rsidR="00AD3F0E" w14:paraId="16CA9AFD" w14:textId="77777777" w:rsidTr="00651F15">
        <w:tc>
          <w:tcPr>
            <w:tcW w:w="3681" w:type="dxa"/>
            <w:tcBorders>
              <w:top w:val="nil"/>
              <w:left w:val="single" w:sz="4" w:space="0" w:color="auto"/>
              <w:bottom w:val="nil"/>
              <w:right w:val="single" w:sz="4" w:space="0" w:color="auto"/>
            </w:tcBorders>
          </w:tcPr>
          <w:p w14:paraId="460F2C60" w14:textId="77777777" w:rsidR="00AD3F0E" w:rsidRDefault="00AD3F0E" w:rsidP="00AD3F0E">
            <w:pPr>
              <w:rPr>
                <w:b/>
              </w:rPr>
            </w:pPr>
          </w:p>
        </w:tc>
        <w:tc>
          <w:tcPr>
            <w:tcW w:w="2438" w:type="dxa"/>
            <w:tcBorders>
              <w:top w:val="single" w:sz="4" w:space="0" w:color="auto"/>
              <w:left w:val="single" w:sz="4" w:space="0" w:color="auto"/>
              <w:bottom w:val="single" w:sz="4" w:space="0" w:color="auto"/>
              <w:right w:val="single" w:sz="4" w:space="0" w:color="auto"/>
            </w:tcBorders>
          </w:tcPr>
          <w:p w14:paraId="4F2636CD" w14:textId="3C0E631F" w:rsidR="00AD3F0E" w:rsidRDefault="00AD3F0E" w:rsidP="00AD3F0E">
            <w:proofErr w:type="spellStart"/>
            <w:r>
              <w:t>Elisi</w:t>
            </w:r>
            <w:proofErr w:type="spellEnd"/>
            <w:r>
              <w:t xml:space="preserve"> Tupou</w:t>
            </w:r>
          </w:p>
        </w:tc>
        <w:tc>
          <w:tcPr>
            <w:tcW w:w="4224" w:type="dxa"/>
            <w:tcBorders>
              <w:top w:val="single" w:sz="4" w:space="0" w:color="auto"/>
              <w:left w:val="single" w:sz="4" w:space="0" w:color="auto"/>
              <w:bottom w:val="single" w:sz="4" w:space="0" w:color="auto"/>
              <w:right w:val="single" w:sz="4" w:space="0" w:color="auto"/>
            </w:tcBorders>
          </w:tcPr>
          <w:p w14:paraId="0811327D" w14:textId="0EFD7581" w:rsidR="00AD3F0E" w:rsidRDefault="00AD3F0E" w:rsidP="00AD3F0E">
            <w:r>
              <w:t>Program Analyst, Tonga</w:t>
            </w:r>
          </w:p>
        </w:tc>
      </w:tr>
      <w:tr w:rsidR="00AD3F0E" w14:paraId="29F23511" w14:textId="77777777" w:rsidTr="00651F15">
        <w:tc>
          <w:tcPr>
            <w:tcW w:w="3681" w:type="dxa"/>
            <w:tcBorders>
              <w:top w:val="nil"/>
              <w:left w:val="single" w:sz="4" w:space="0" w:color="auto"/>
              <w:bottom w:val="nil"/>
              <w:right w:val="single" w:sz="4" w:space="0" w:color="auto"/>
            </w:tcBorders>
          </w:tcPr>
          <w:p w14:paraId="1EA6055E" w14:textId="77777777" w:rsidR="00AD3F0E" w:rsidRDefault="00AD3F0E" w:rsidP="00AD3F0E">
            <w:pPr>
              <w:rPr>
                <w:b/>
              </w:rPr>
            </w:pPr>
          </w:p>
        </w:tc>
        <w:tc>
          <w:tcPr>
            <w:tcW w:w="2438" w:type="dxa"/>
            <w:tcBorders>
              <w:top w:val="single" w:sz="4" w:space="0" w:color="auto"/>
              <w:left w:val="single" w:sz="4" w:space="0" w:color="auto"/>
              <w:bottom w:val="single" w:sz="4" w:space="0" w:color="auto"/>
              <w:right w:val="single" w:sz="4" w:space="0" w:color="auto"/>
            </w:tcBorders>
          </w:tcPr>
          <w:p w14:paraId="62289FB8" w14:textId="2C919627" w:rsidR="00AD3F0E" w:rsidRDefault="00AD3F0E" w:rsidP="00AD3F0E">
            <w:r>
              <w:t>Ibironke Oyatoye</w:t>
            </w:r>
          </w:p>
        </w:tc>
        <w:tc>
          <w:tcPr>
            <w:tcW w:w="4224" w:type="dxa"/>
            <w:tcBorders>
              <w:top w:val="single" w:sz="4" w:space="0" w:color="auto"/>
              <w:left w:val="single" w:sz="4" w:space="0" w:color="auto"/>
              <w:bottom w:val="single" w:sz="4" w:space="0" w:color="auto"/>
              <w:right w:val="single" w:sz="4" w:space="0" w:color="auto"/>
            </w:tcBorders>
          </w:tcPr>
          <w:p w14:paraId="4B843501" w14:textId="683A2A29" w:rsidR="00AD3F0E" w:rsidRDefault="00AD3F0E" w:rsidP="00AD3F0E">
            <w:r>
              <w:t>SRH Specialist, Samoa</w:t>
            </w:r>
          </w:p>
        </w:tc>
      </w:tr>
      <w:tr w:rsidR="00AD3F0E" w14:paraId="3958F5E3" w14:textId="77777777" w:rsidTr="00651F15">
        <w:tc>
          <w:tcPr>
            <w:tcW w:w="3681" w:type="dxa"/>
            <w:tcBorders>
              <w:top w:val="nil"/>
              <w:left w:val="single" w:sz="4" w:space="0" w:color="auto"/>
              <w:bottom w:val="single" w:sz="4" w:space="0" w:color="auto"/>
              <w:right w:val="single" w:sz="4" w:space="0" w:color="auto"/>
            </w:tcBorders>
          </w:tcPr>
          <w:p w14:paraId="75804CFB" w14:textId="77777777" w:rsidR="00AD3F0E" w:rsidRDefault="00AD3F0E" w:rsidP="00AD3F0E">
            <w:pPr>
              <w:rPr>
                <w:b/>
              </w:rPr>
            </w:pPr>
          </w:p>
        </w:tc>
        <w:tc>
          <w:tcPr>
            <w:tcW w:w="2438" w:type="dxa"/>
            <w:tcBorders>
              <w:top w:val="single" w:sz="4" w:space="0" w:color="auto"/>
              <w:left w:val="single" w:sz="4" w:space="0" w:color="auto"/>
              <w:bottom w:val="single" w:sz="4" w:space="0" w:color="auto"/>
              <w:right w:val="single" w:sz="4" w:space="0" w:color="auto"/>
            </w:tcBorders>
          </w:tcPr>
          <w:p w14:paraId="56162AA0" w14:textId="1A70587D" w:rsidR="00AD3F0E" w:rsidRDefault="00AD3F0E" w:rsidP="00AD3F0E">
            <w:r>
              <w:t xml:space="preserve">Virisila Raitamata </w:t>
            </w:r>
          </w:p>
        </w:tc>
        <w:tc>
          <w:tcPr>
            <w:tcW w:w="4224" w:type="dxa"/>
            <w:tcBorders>
              <w:top w:val="single" w:sz="4" w:space="0" w:color="auto"/>
              <w:left w:val="single" w:sz="4" w:space="0" w:color="auto"/>
              <w:bottom w:val="single" w:sz="4" w:space="0" w:color="auto"/>
              <w:right w:val="single" w:sz="4" w:space="0" w:color="auto"/>
            </w:tcBorders>
          </w:tcPr>
          <w:p w14:paraId="2B6E1644" w14:textId="62FF74F8" w:rsidR="00AD3F0E" w:rsidRDefault="00AD3F0E" w:rsidP="00AD3F0E">
            <w:r>
              <w:t>Assistant Representative, Fiji</w:t>
            </w:r>
          </w:p>
        </w:tc>
      </w:tr>
      <w:tr w:rsidR="00AD3F0E" w14:paraId="2A63791E" w14:textId="77777777" w:rsidTr="00651F15">
        <w:tc>
          <w:tcPr>
            <w:tcW w:w="3681" w:type="dxa"/>
            <w:tcBorders>
              <w:top w:val="single" w:sz="4" w:space="0" w:color="auto"/>
              <w:left w:val="single" w:sz="4" w:space="0" w:color="auto"/>
              <w:bottom w:val="single" w:sz="4" w:space="0" w:color="auto"/>
              <w:right w:val="nil"/>
            </w:tcBorders>
          </w:tcPr>
          <w:p w14:paraId="21B27D28" w14:textId="559D24BC" w:rsidR="00AD3F0E" w:rsidRDefault="00AD3F0E" w:rsidP="00AD3F0E">
            <w:pPr>
              <w:rPr>
                <w:b/>
              </w:rPr>
            </w:pPr>
            <w:r>
              <w:rPr>
                <w:b/>
              </w:rPr>
              <w:t>IPPF Member Associations</w:t>
            </w:r>
          </w:p>
        </w:tc>
        <w:tc>
          <w:tcPr>
            <w:tcW w:w="2438" w:type="dxa"/>
            <w:tcBorders>
              <w:top w:val="single" w:sz="4" w:space="0" w:color="auto"/>
              <w:left w:val="nil"/>
              <w:bottom w:val="single" w:sz="4" w:space="0" w:color="auto"/>
              <w:right w:val="nil"/>
            </w:tcBorders>
          </w:tcPr>
          <w:p w14:paraId="57781B3B" w14:textId="77777777" w:rsidR="00AD3F0E" w:rsidRDefault="00AD3F0E" w:rsidP="00AD3F0E"/>
        </w:tc>
        <w:tc>
          <w:tcPr>
            <w:tcW w:w="4224" w:type="dxa"/>
            <w:tcBorders>
              <w:top w:val="single" w:sz="4" w:space="0" w:color="auto"/>
              <w:left w:val="nil"/>
              <w:bottom w:val="single" w:sz="4" w:space="0" w:color="auto"/>
              <w:right w:val="single" w:sz="4" w:space="0" w:color="auto"/>
            </w:tcBorders>
          </w:tcPr>
          <w:p w14:paraId="35B98D03" w14:textId="77777777" w:rsidR="00AD3F0E" w:rsidRDefault="00AD3F0E" w:rsidP="00AD3F0E"/>
        </w:tc>
      </w:tr>
      <w:tr w:rsidR="00AD3F0E" w14:paraId="5329A3C3" w14:textId="77777777" w:rsidTr="00651F15">
        <w:tc>
          <w:tcPr>
            <w:tcW w:w="3681" w:type="dxa"/>
            <w:tcBorders>
              <w:top w:val="single" w:sz="4" w:space="0" w:color="auto"/>
              <w:left w:val="single" w:sz="4" w:space="0" w:color="auto"/>
              <w:bottom w:val="nil"/>
              <w:right w:val="single" w:sz="4" w:space="0" w:color="auto"/>
            </w:tcBorders>
          </w:tcPr>
          <w:p w14:paraId="2D1ED0E9" w14:textId="115A9D82" w:rsidR="00AD3F0E" w:rsidRPr="00E878DC" w:rsidRDefault="00B41F19" w:rsidP="00AD3F0E">
            <w:r w:rsidRPr="00E878DC">
              <w:t>New Zealand Family Planning</w:t>
            </w:r>
          </w:p>
        </w:tc>
        <w:tc>
          <w:tcPr>
            <w:tcW w:w="2438" w:type="dxa"/>
            <w:tcBorders>
              <w:top w:val="single" w:sz="4" w:space="0" w:color="auto"/>
              <w:left w:val="single" w:sz="4" w:space="0" w:color="auto"/>
              <w:bottom w:val="single" w:sz="4" w:space="0" w:color="auto"/>
              <w:right w:val="single" w:sz="4" w:space="0" w:color="auto"/>
            </w:tcBorders>
          </w:tcPr>
          <w:p w14:paraId="12415370" w14:textId="1B76240F" w:rsidR="00AD3F0E" w:rsidRDefault="00AD3F0E" w:rsidP="00AD3F0E">
            <w:r>
              <w:t>Jackie Edmond</w:t>
            </w:r>
          </w:p>
        </w:tc>
        <w:tc>
          <w:tcPr>
            <w:tcW w:w="4224" w:type="dxa"/>
            <w:tcBorders>
              <w:top w:val="single" w:sz="4" w:space="0" w:color="auto"/>
              <w:left w:val="single" w:sz="4" w:space="0" w:color="auto"/>
              <w:bottom w:val="single" w:sz="4" w:space="0" w:color="auto"/>
              <w:right w:val="single" w:sz="4" w:space="0" w:color="auto"/>
            </w:tcBorders>
          </w:tcPr>
          <w:p w14:paraId="6F2AAC87" w14:textId="1E520641" w:rsidR="00AD3F0E" w:rsidRDefault="00AD3F0E" w:rsidP="00AD3F0E">
            <w:r>
              <w:t>Executive Director</w:t>
            </w:r>
          </w:p>
        </w:tc>
      </w:tr>
      <w:tr w:rsidR="00AD3F0E" w14:paraId="26485B05" w14:textId="77777777" w:rsidTr="00651F15">
        <w:tc>
          <w:tcPr>
            <w:tcW w:w="3681" w:type="dxa"/>
            <w:tcBorders>
              <w:top w:val="nil"/>
              <w:left w:val="single" w:sz="4" w:space="0" w:color="auto"/>
              <w:bottom w:val="single" w:sz="4" w:space="0" w:color="auto"/>
              <w:right w:val="single" w:sz="4" w:space="0" w:color="auto"/>
            </w:tcBorders>
          </w:tcPr>
          <w:p w14:paraId="314597D3" w14:textId="77777777" w:rsidR="00AD3F0E" w:rsidRDefault="00AD3F0E" w:rsidP="00AD3F0E">
            <w:pPr>
              <w:rPr>
                <w:b/>
              </w:rPr>
            </w:pPr>
          </w:p>
        </w:tc>
        <w:tc>
          <w:tcPr>
            <w:tcW w:w="2438" w:type="dxa"/>
            <w:tcBorders>
              <w:top w:val="single" w:sz="4" w:space="0" w:color="auto"/>
              <w:left w:val="single" w:sz="4" w:space="0" w:color="auto"/>
              <w:bottom w:val="single" w:sz="4" w:space="0" w:color="auto"/>
              <w:right w:val="single" w:sz="4" w:space="0" w:color="auto"/>
            </w:tcBorders>
          </w:tcPr>
          <w:p w14:paraId="55DE49C0" w14:textId="4BC6A4EF" w:rsidR="00AD3F0E" w:rsidRDefault="00AD3F0E" w:rsidP="00AD3F0E">
            <w:r>
              <w:t xml:space="preserve">Anna </w:t>
            </w:r>
            <w:proofErr w:type="spellStart"/>
            <w:r>
              <w:t>Ravendron</w:t>
            </w:r>
            <w:proofErr w:type="spellEnd"/>
          </w:p>
        </w:tc>
        <w:tc>
          <w:tcPr>
            <w:tcW w:w="4224" w:type="dxa"/>
            <w:tcBorders>
              <w:top w:val="single" w:sz="4" w:space="0" w:color="auto"/>
              <w:left w:val="single" w:sz="4" w:space="0" w:color="auto"/>
              <w:bottom w:val="single" w:sz="4" w:space="0" w:color="auto"/>
              <w:right w:val="single" w:sz="4" w:space="0" w:color="auto"/>
            </w:tcBorders>
          </w:tcPr>
          <w:p w14:paraId="4BC02B42" w14:textId="1EB23CF1" w:rsidR="00AD3F0E" w:rsidRDefault="00AD3F0E" w:rsidP="00AD3F0E">
            <w:r>
              <w:t>International Program Manager</w:t>
            </w:r>
          </w:p>
        </w:tc>
      </w:tr>
      <w:tr w:rsidR="00E878DC" w14:paraId="33EFB67E" w14:textId="77777777" w:rsidTr="00651F15">
        <w:tc>
          <w:tcPr>
            <w:tcW w:w="3681" w:type="dxa"/>
            <w:tcBorders>
              <w:top w:val="single" w:sz="4" w:space="0" w:color="auto"/>
              <w:left w:val="single" w:sz="4" w:space="0" w:color="auto"/>
              <w:bottom w:val="single" w:sz="4" w:space="0" w:color="auto"/>
              <w:right w:val="single" w:sz="4" w:space="0" w:color="auto"/>
            </w:tcBorders>
          </w:tcPr>
          <w:p w14:paraId="68DC83FF" w14:textId="2E7A268C" w:rsidR="00E878DC" w:rsidRPr="00E878DC" w:rsidRDefault="00E878DC" w:rsidP="00E878DC">
            <w:r>
              <w:t>Kiribati Family Health Association (KFHA)</w:t>
            </w:r>
          </w:p>
        </w:tc>
        <w:tc>
          <w:tcPr>
            <w:tcW w:w="2438" w:type="dxa"/>
            <w:tcBorders>
              <w:top w:val="single" w:sz="4" w:space="0" w:color="auto"/>
              <w:left w:val="single" w:sz="4" w:space="0" w:color="auto"/>
              <w:bottom w:val="single" w:sz="4" w:space="0" w:color="auto"/>
              <w:right w:val="single" w:sz="4" w:space="0" w:color="auto"/>
            </w:tcBorders>
          </w:tcPr>
          <w:p w14:paraId="6EC0CD8A" w14:textId="1F25A71F" w:rsidR="00E878DC" w:rsidRPr="00E878DC" w:rsidRDefault="00E878DC" w:rsidP="00E878DC">
            <w:r>
              <w:t xml:space="preserve">Norma </w:t>
            </w:r>
            <w:proofErr w:type="spellStart"/>
            <w:r>
              <w:t>Yeeting</w:t>
            </w:r>
            <w:proofErr w:type="spellEnd"/>
          </w:p>
        </w:tc>
        <w:tc>
          <w:tcPr>
            <w:tcW w:w="4224" w:type="dxa"/>
            <w:tcBorders>
              <w:top w:val="single" w:sz="4" w:space="0" w:color="auto"/>
              <w:left w:val="single" w:sz="4" w:space="0" w:color="auto"/>
              <w:bottom w:val="single" w:sz="4" w:space="0" w:color="auto"/>
              <w:right w:val="single" w:sz="4" w:space="0" w:color="auto"/>
            </w:tcBorders>
          </w:tcPr>
          <w:p w14:paraId="759A1A4B" w14:textId="02891713" w:rsidR="00E878DC" w:rsidRPr="00E878DC" w:rsidRDefault="00E878DC" w:rsidP="00E878DC">
            <w:r>
              <w:t>Executive Director</w:t>
            </w:r>
          </w:p>
        </w:tc>
      </w:tr>
      <w:tr w:rsidR="003D62BD" w14:paraId="56ED8B0F" w14:textId="77777777" w:rsidTr="00651F15">
        <w:tc>
          <w:tcPr>
            <w:tcW w:w="3681" w:type="dxa"/>
            <w:tcBorders>
              <w:top w:val="single" w:sz="4" w:space="0" w:color="auto"/>
              <w:left w:val="single" w:sz="4" w:space="0" w:color="auto"/>
              <w:bottom w:val="nil"/>
              <w:right w:val="single" w:sz="4" w:space="0" w:color="auto"/>
            </w:tcBorders>
          </w:tcPr>
          <w:p w14:paraId="0198340A" w14:textId="61F3E19C" w:rsidR="003D62BD" w:rsidRPr="00E878DC" w:rsidRDefault="003D62BD" w:rsidP="003D62BD">
            <w:r>
              <w:t>Samoa Family Health Association (SFHA)</w:t>
            </w:r>
          </w:p>
        </w:tc>
        <w:tc>
          <w:tcPr>
            <w:tcW w:w="2438" w:type="dxa"/>
            <w:tcBorders>
              <w:top w:val="single" w:sz="4" w:space="0" w:color="auto"/>
              <w:left w:val="single" w:sz="4" w:space="0" w:color="auto"/>
              <w:bottom w:val="single" w:sz="4" w:space="0" w:color="auto"/>
              <w:right w:val="single" w:sz="4" w:space="0" w:color="auto"/>
            </w:tcBorders>
          </w:tcPr>
          <w:p w14:paraId="47111A08" w14:textId="6A21C533" w:rsidR="003D62BD" w:rsidRPr="00E878DC" w:rsidRDefault="003D62BD" w:rsidP="003D62BD">
            <w:r>
              <w:t xml:space="preserve">Liai </w:t>
            </w:r>
            <w:proofErr w:type="spellStart"/>
            <w:r>
              <w:t>Losefa</w:t>
            </w:r>
            <w:proofErr w:type="spellEnd"/>
            <w:r>
              <w:t>-Siitia</w:t>
            </w:r>
          </w:p>
        </w:tc>
        <w:tc>
          <w:tcPr>
            <w:tcW w:w="4224" w:type="dxa"/>
            <w:tcBorders>
              <w:top w:val="single" w:sz="4" w:space="0" w:color="auto"/>
              <w:left w:val="single" w:sz="4" w:space="0" w:color="auto"/>
              <w:bottom w:val="single" w:sz="4" w:space="0" w:color="auto"/>
              <w:right w:val="single" w:sz="4" w:space="0" w:color="auto"/>
            </w:tcBorders>
          </w:tcPr>
          <w:p w14:paraId="762079CC" w14:textId="2C9729BE" w:rsidR="003D62BD" w:rsidRPr="00E878DC" w:rsidRDefault="003D62BD" w:rsidP="003D62BD">
            <w:r>
              <w:t>Executive Director</w:t>
            </w:r>
          </w:p>
        </w:tc>
      </w:tr>
      <w:tr w:rsidR="003D62BD" w14:paraId="6CD89E0C" w14:textId="77777777" w:rsidTr="00651F15">
        <w:tc>
          <w:tcPr>
            <w:tcW w:w="3681" w:type="dxa"/>
            <w:tcBorders>
              <w:top w:val="nil"/>
              <w:left w:val="single" w:sz="4" w:space="0" w:color="auto"/>
              <w:bottom w:val="single" w:sz="4" w:space="0" w:color="auto"/>
              <w:right w:val="single" w:sz="4" w:space="0" w:color="auto"/>
            </w:tcBorders>
          </w:tcPr>
          <w:p w14:paraId="4BA372FB" w14:textId="77777777" w:rsidR="003D62BD" w:rsidRPr="00E878DC" w:rsidRDefault="003D62BD" w:rsidP="003D62BD"/>
        </w:tc>
        <w:tc>
          <w:tcPr>
            <w:tcW w:w="2438" w:type="dxa"/>
            <w:tcBorders>
              <w:top w:val="single" w:sz="4" w:space="0" w:color="auto"/>
              <w:left w:val="single" w:sz="4" w:space="0" w:color="auto"/>
              <w:bottom w:val="single" w:sz="4" w:space="0" w:color="auto"/>
              <w:right w:val="single" w:sz="4" w:space="0" w:color="auto"/>
            </w:tcBorders>
          </w:tcPr>
          <w:p w14:paraId="587EF494" w14:textId="3D7D18EC" w:rsidR="003D62BD" w:rsidRPr="00E878DC" w:rsidRDefault="003D62BD" w:rsidP="003D62BD">
            <w:proofErr w:type="spellStart"/>
            <w:r>
              <w:t>Leiloa</w:t>
            </w:r>
            <w:proofErr w:type="spellEnd"/>
            <w:r>
              <w:t xml:space="preserve"> </w:t>
            </w:r>
            <w:proofErr w:type="spellStart"/>
            <w:r>
              <w:t>Asaasa</w:t>
            </w:r>
            <w:proofErr w:type="spellEnd"/>
          </w:p>
        </w:tc>
        <w:tc>
          <w:tcPr>
            <w:tcW w:w="4224" w:type="dxa"/>
            <w:tcBorders>
              <w:top w:val="single" w:sz="4" w:space="0" w:color="auto"/>
              <w:left w:val="single" w:sz="4" w:space="0" w:color="auto"/>
              <w:bottom w:val="single" w:sz="4" w:space="0" w:color="auto"/>
              <w:right w:val="single" w:sz="4" w:space="0" w:color="auto"/>
            </w:tcBorders>
          </w:tcPr>
          <w:p w14:paraId="1979B31A" w14:textId="0FDAFDF3" w:rsidR="003D62BD" w:rsidRPr="00E878DC" w:rsidRDefault="003D62BD" w:rsidP="003D62BD">
            <w:r>
              <w:t>Program Coordinator</w:t>
            </w:r>
          </w:p>
        </w:tc>
      </w:tr>
      <w:tr w:rsidR="003D62BD" w14:paraId="72C56E82" w14:textId="77777777" w:rsidTr="00651F15">
        <w:tc>
          <w:tcPr>
            <w:tcW w:w="3681" w:type="dxa"/>
            <w:tcBorders>
              <w:top w:val="single" w:sz="4" w:space="0" w:color="auto"/>
              <w:left w:val="single" w:sz="4" w:space="0" w:color="auto"/>
              <w:bottom w:val="nil"/>
              <w:right w:val="single" w:sz="4" w:space="0" w:color="auto"/>
            </w:tcBorders>
          </w:tcPr>
          <w:p w14:paraId="44356776" w14:textId="1428DB1C" w:rsidR="003D62BD" w:rsidRPr="00E878DC" w:rsidRDefault="003D62BD" w:rsidP="003D62BD">
            <w:r>
              <w:t>Solomon Islands Planned Parenthood Association (SIPPA)</w:t>
            </w:r>
          </w:p>
        </w:tc>
        <w:tc>
          <w:tcPr>
            <w:tcW w:w="2438" w:type="dxa"/>
            <w:tcBorders>
              <w:top w:val="single" w:sz="4" w:space="0" w:color="auto"/>
              <w:left w:val="single" w:sz="4" w:space="0" w:color="auto"/>
              <w:bottom w:val="single" w:sz="4" w:space="0" w:color="auto"/>
              <w:right w:val="single" w:sz="4" w:space="0" w:color="auto"/>
            </w:tcBorders>
          </w:tcPr>
          <w:p w14:paraId="4FCF005E" w14:textId="6A65A3F5" w:rsidR="003D62BD" w:rsidRPr="00E878DC" w:rsidRDefault="003D62BD" w:rsidP="003D62BD">
            <w:r>
              <w:t xml:space="preserve">Ben </w:t>
            </w:r>
            <w:proofErr w:type="spellStart"/>
            <w:r>
              <w:t>Angoa</w:t>
            </w:r>
            <w:proofErr w:type="spellEnd"/>
          </w:p>
        </w:tc>
        <w:tc>
          <w:tcPr>
            <w:tcW w:w="4224" w:type="dxa"/>
            <w:tcBorders>
              <w:top w:val="single" w:sz="4" w:space="0" w:color="auto"/>
              <w:left w:val="single" w:sz="4" w:space="0" w:color="auto"/>
              <w:bottom w:val="single" w:sz="4" w:space="0" w:color="auto"/>
              <w:right w:val="single" w:sz="4" w:space="0" w:color="auto"/>
            </w:tcBorders>
          </w:tcPr>
          <w:p w14:paraId="534E0292" w14:textId="1B03FEBB" w:rsidR="003D62BD" w:rsidRPr="00E878DC" w:rsidRDefault="003D62BD" w:rsidP="003D62BD">
            <w:r>
              <w:t>Executive Director</w:t>
            </w:r>
          </w:p>
        </w:tc>
      </w:tr>
      <w:tr w:rsidR="003D62BD" w14:paraId="0B5763D9" w14:textId="77777777" w:rsidTr="00651F15">
        <w:tc>
          <w:tcPr>
            <w:tcW w:w="3681" w:type="dxa"/>
            <w:tcBorders>
              <w:top w:val="nil"/>
              <w:left w:val="single" w:sz="4" w:space="0" w:color="auto"/>
              <w:bottom w:val="single" w:sz="4" w:space="0" w:color="auto"/>
              <w:right w:val="single" w:sz="4" w:space="0" w:color="auto"/>
            </w:tcBorders>
          </w:tcPr>
          <w:p w14:paraId="631AA2FE" w14:textId="77777777" w:rsidR="003D62BD" w:rsidRPr="00E878DC" w:rsidRDefault="003D62BD" w:rsidP="003D62BD"/>
        </w:tc>
        <w:tc>
          <w:tcPr>
            <w:tcW w:w="2438" w:type="dxa"/>
            <w:tcBorders>
              <w:top w:val="single" w:sz="4" w:space="0" w:color="auto"/>
              <w:left w:val="single" w:sz="4" w:space="0" w:color="auto"/>
              <w:bottom w:val="single" w:sz="4" w:space="0" w:color="auto"/>
              <w:right w:val="single" w:sz="4" w:space="0" w:color="auto"/>
            </w:tcBorders>
          </w:tcPr>
          <w:p w14:paraId="0FEBC34B" w14:textId="36DF0CC1" w:rsidR="003D62BD" w:rsidRPr="00E878DC" w:rsidRDefault="003D62BD" w:rsidP="003D62BD">
            <w:proofErr w:type="spellStart"/>
            <w:r>
              <w:t>Huilyn</w:t>
            </w:r>
            <w:proofErr w:type="spellEnd"/>
            <w:r>
              <w:t xml:space="preserve"> </w:t>
            </w:r>
            <w:proofErr w:type="spellStart"/>
            <w:r>
              <w:t>Vozoto</w:t>
            </w:r>
            <w:proofErr w:type="spellEnd"/>
          </w:p>
        </w:tc>
        <w:tc>
          <w:tcPr>
            <w:tcW w:w="4224" w:type="dxa"/>
            <w:tcBorders>
              <w:top w:val="single" w:sz="4" w:space="0" w:color="auto"/>
              <w:left w:val="single" w:sz="4" w:space="0" w:color="auto"/>
              <w:bottom w:val="single" w:sz="4" w:space="0" w:color="auto"/>
              <w:right w:val="single" w:sz="4" w:space="0" w:color="auto"/>
            </w:tcBorders>
          </w:tcPr>
          <w:p w14:paraId="62AFBFA1" w14:textId="6D112F90" w:rsidR="003D62BD" w:rsidRPr="00E878DC" w:rsidRDefault="003D62BD" w:rsidP="003D62BD">
            <w:r>
              <w:t>Clinic Nurse</w:t>
            </w:r>
          </w:p>
        </w:tc>
      </w:tr>
      <w:tr w:rsidR="00ED4BBC" w14:paraId="3F58B304" w14:textId="77777777" w:rsidTr="00651F15">
        <w:tc>
          <w:tcPr>
            <w:tcW w:w="3681" w:type="dxa"/>
            <w:tcBorders>
              <w:top w:val="single" w:sz="4" w:space="0" w:color="auto"/>
              <w:left w:val="single" w:sz="4" w:space="0" w:color="auto"/>
              <w:bottom w:val="single" w:sz="4" w:space="0" w:color="auto"/>
              <w:right w:val="single" w:sz="4" w:space="0" w:color="auto"/>
            </w:tcBorders>
          </w:tcPr>
          <w:p w14:paraId="4875874E" w14:textId="4C3DE515" w:rsidR="00ED4BBC" w:rsidRPr="00E878DC" w:rsidRDefault="00ED4BBC" w:rsidP="003D62BD">
            <w:r>
              <w:t>Tonga Family Health Association (TFHA)</w:t>
            </w:r>
          </w:p>
        </w:tc>
        <w:tc>
          <w:tcPr>
            <w:tcW w:w="2438" w:type="dxa"/>
            <w:tcBorders>
              <w:top w:val="single" w:sz="4" w:space="0" w:color="auto"/>
              <w:left w:val="single" w:sz="4" w:space="0" w:color="auto"/>
              <w:bottom w:val="single" w:sz="4" w:space="0" w:color="auto"/>
              <w:right w:val="single" w:sz="4" w:space="0" w:color="auto"/>
            </w:tcBorders>
          </w:tcPr>
          <w:p w14:paraId="5FD491E0" w14:textId="776CDFF0" w:rsidR="00ED4BBC" w:rsidRDefault="00ED4BBC" w:rsidP="003D62BD">
            <w:r>
              <w:t>Kathy Mafi</w:t>
            </w:r>
          </w:p>
        </w:tc>
        <w:tc>
          <w:tcPr>
            <w:tcW w:w="4224" w:type="dxa"/>
            <w:tcBorders>
              <w:top w:val="single" w:sz="4" w:space="0" w:color="auto"/>
              <w:left w:val="single" w:sz="4" w:space="0" w:color="auto"/>
              <w:bottom w:val="single" w:sz="4" w:space="0" w:color="auto"/>
              <w:right w:val="single" w:sz="4" w:space="0" w:color="auto"/>
            </w:tcBorders>
          </w:tcPr>
          <w:p w14:paraId="78ED36B5" w14:textId="224E80AB" w:rsidR="00ED4BBC" w:rsidRDefault="00ED4BBC" w:rsidP="003D62BD">
            <w:r>
              <w:t>Program Manager and Master Trainer</w:t>
            </w:r>
          </w:p>
        </w:tc>
      </w:tr>
      <w:tr w:rsidR="00ED4BBC" w14:paraId="1A93DBF9" w14:textId="77777777" w:rsidTr="00651F15">
        <w:tc>
          <w:tcPr>
            <w:tcW w:w="3681" w:type="dxa"/>
            <w:tcBorders>
              <w:top w:val="single" w:sz="4" w:space="0" w:color="auto"/>
              <w:left w:val="single" w:sz="4" w:space="0" w:color="auto"/>
              <w:bottom w:val="single" w:sz="4" w:space="0" w:color="auto"/>
              <w:right w:val="single" w:sz="4" w:space="0" w:color="auto"/>
            </w:tcBorders>
          </w:tcPr>
          <w:p w14:paraId="5F77B1E4" w14:textId="7E9FEC1A" w:rsidR="00ED4BBC" w:rsidRPr="00E878DC" w:rsidRDefault="00ED4BBC" w:rsidP="003D62BD">
            <w:r>
              <w:t>Vanuatu Family Health Association (VFHA)</w:t>
            </w:r>
          </w:p>
        </w:tc>
        <w:tc>
          <w:tcPr>
            <w:tcW w:w="2438" w:type="dxa"/>
            <w:tcBorders>
              <w:top w:val="single" w:sz="4" w:space="0" w:color="auto"/>
              <w:left w:val="single" w:sz="4" w:space="0" w:color="auto"/>
              <w:bottom w:val="single" w:sz="4" w:space="0" w:color="auto"/>
              <w:right w:val="single" w:sz="4" w:space="0" w:color="auto"/>
            </w:tcBorders>
          </w:tcPr>
          <w:p w14:paraId="0DF05D6F" w14:textId="67C7C4E6" w:rsidR="00ED4BBC" w:rsidRDefault="00ED4BBC" w:rsidP="003D62BD">
            <w:proofErr w:type="spellStart"/>
            <w:r>
              <w:t>Danstan</w:t>
            </w:r>
            <w:proofErr w:type="spellEnd"/>
            <w:r>
              <w:t xml:space="preserve"> Tate</w:t>
            </w:r>
          </w:p>
        </w:tc>
        <w:tc>
          <w:tcPr>
            <w:tcW w:w="4224" w:type="dxa"/>
            <w:tcBorders>
              <w:top w:val="single" w:sz="4" w:space="0" w:color="auto"/>
              <w:left w:val="single" w:sz="4" w:space="0" w:color="auto"/>
              <w:bottom w:val="single" w:sz="4" w:space="0" w:color="auto"/>
              <w:right w:val="single" w:sz="4" w:space="0" w:color="auto"/>
            </w:tcBorders>
          </w:tcPr>
          <w:p w14:paraId="593D2A7D" w14:textId="2EFDF051" w:rsidR="00ED4BBC" w:rsidRDefault="00ED4BBC" w:rsidP="003D62BD">
            <w:r>
              <w:t>Executive Director</w:t>
            </w:r>
          </w:p>
        </w:tc>
      </w:tr>
      <w:tr w:rsidR="00651F15" w14:paraId="3C28FECC" w14:textId="77777777" w:rsidTr="00651F15">
        <w:tc>
          <w:tcPr>
            <w:tcW w:w="3681" w:type="dxa"/>
            <w:tcBorders>
              <w:top w:val="single" w:sz="4" w:space="0" w:color="auto"/>
              <w:left w:val="single" w:sz="4" w:space="0" w:color="auto"/>
              <w:bottom w:val="single" w:sz="4" w:space="0" w:color="auto"/>
              <w:right w:val="single" w:sz="4" w:space="0" w:color="auto"/>
            </w:tcBorders>
          </w:tcPr>
          <w:p w14:paraId="0D4AF2D1" w14:textId="4C30CCE0" w:rsidR="00651F15" w:rsidRPr="00651F15" w:rsidRDefault="00651F15" w:rsidP="003D62BD">
            <w:pPr>
              <w:rPr>
                <w:b/>
              </w:rPr>
            </w:pPr>
            <w:r>
              <w:rPr>
                <w:b/>
              </w:rPr>
              <w:t>Regional Implementing Partners</w:t>
            </w:r>
          </w:p>
        </w:tc>
        <w:tc>
          <w:tcPr>
            <w:tcW w:w="2438" w:type="dxa"/>
            <w:tcBorders>
              <w:top w:val="single" w:sz="4" w:space="0" w:color="auto"/>
              <w:left w:val="single" w:sz="4" w:space="0" w:color="auto"/>
              <w:bottom w:val="single" w:sz="4" w:space="0" w:color="auto"/>
              <w:right w:val="single" w:sz="4" w:space="0" w:color="auto"/>
            </w:tcBorders>
          </w:tcPr>
          <w:p w14:paraId="0F5206AC" w14:textId="77777777" w:rsidR="00651F15" w:rsidRDefault="00651F15" w:rsidP="003D62BD"/>
        </w:tc>
        <w:tc>
          <w:tcPr>
            <w:tcW w:w="4224" w:type="dxa"/>
            <w:tcBorders>
              <w:top w:val="single" w:sz="4" w:space="0" w:color="auto"/>
              <w:left w:val="single" w:sz="4" w:space="0" w:color="auto"/>
              <w:bottom w:val="single" w:sz="4" w:space="0" w:color="auto"/>
              <w:right w:val="single" w:sz="4" w:space="0" w:color="auto"/>
            </w:tcBorders>
          </w:tcPr>
          <w:p w14:paraId="58D69BEF" w14:textId="77777777" w:rsidR="00651F15" w:rsidRDefault="00651F15" w:rsidP="003D62BD"/>
        </w:tc>
      </w:tr>
      <w:tr w:rsidR="00651F15" w14:paraId="0C144BA7" w14:textId="77777777" w:rsidTr="00651F15">
        <w:tc>
          <w:tcPr>
            <w:tcW w:w="3681" w:type="dxa"/>
            <w:tcBorders>
              <w:top w:val="single" w:sz="4" w:space="0" w:color="auto"/>
              <w:left w:val="single" w:sz="4" w:space="0" w:color="auto"/>
              <w:bottom w:val="single" w:sz="4" w:space="0" w:color="auto"/>
              <w:right w:val="single" w:sz="4" w:space="0" w:color="auto"/>
            </w:tcBorders>
          </w:tcPr>
          <w:p w14:paraId="26B5EB37" w14:textId="57B0D064" w:rsidR="00651F15" w:rsidRPr="00651F15" w:rsidRDefault="00651F15" w:rsidP="003D62BD">
            <w:r>
              <w:t>Care International</w:t>
            </w:r>
          </w:p>
        </w:tc>
        <w:tc>
          <w:tcPr>
            <w:tcW w:w="2438" w:type="dxa"/>
            <w:tcBorders>
              <w:top w:val="single" w:sz="4" w:space="0" w:color="auto"/>
              <w:left w:val="single" w:sz="4" w:space="0" w:color="auto"/>
              <w:bottom w:val="single" w:sz="4" w:space="0" w:color="auto"/>
              <w:right w:val="single" w:sz="4" w:space="0" w:color="auto"/>
            </w:tcBorders>
          </w:tcPr>
          <w:p w14:paraId="2C0D76E5" w14:textId="5BAB523E" w:rsidR="00651F15" w:rsidRDefault="00651F15" w:rsidP="003D62BD">
            <w:r>
              <w:t>Megan Chisolm</w:t>
            </w:r>
          </w:p>
        </w:tc>
        <w:tc>
          <w:tcPr>
            <w:tcW w:w="4224" w:type="dxa"/>
            <w:tcBorders>
              <w:top w:val="single" w:sz="4" w:space="0" w:color="auto"/>
              <w:left w:val="single" w:sz="4" w:space="0" w:color="auto"/>
              <w:bottom w:val="single" w:sz="4" w:space="0" w:color="auto"/>
              <w:right w:val="single" w:sz="4" w:space="0" w:color="auto"/>
            </w:tcBorders>
          </w:tcPr>
          <w:p w14:paraId="1B9707D6" w14:textId="1882557A" w:rsidR="00651F15" w:rsidRDefault="00651F15" w:rsidP="003D62BD">
            <w:r>
              <w:t>Country Director, Vanuatu and Director Pacific Regional Team</w:t>
            </w:r>
          </w:p>
        </w:tc>
      </w:tr>
      <w:tr w:rsidR="00ED4BBC" w14:paraId="0C6C9A59" w14:textId="77777777" w:rsidTr="00651F15">
        <w:tc>
          <w:tcPr>
            <w:tcW w:w="3681" w:type="dxa"/>
            <w:tcBorders>
              <w:top w:val="single" w:sz="4" w:space="0" w:color="auto"/>
              <w:left w:val="single" w:sz="4" w:space="0" w:color="auto"/>
              <w:bottom w:val="single" w:sz="4" w:space="0" w:color="auto"/>
              <w:right w:val="single" w:sz="4" w:space="0" w:color="auto"/>
            </w:tcBorders>
          </w:tcPr>
          <w:p w14:paraId="2E51C177" w14:textId="0634B500" w:rsidR="00ED4BBC" w:rsidRPr="00ED4BBC" w:rsidRDefault="00ED4BBC" w:rsidP="00ED4BBC">
            <w:r w:rsidRPr="00ED4BBC">
              <w:t xml:space="preserve">IPPF Sub Regional </w:t>
            </w:r>
            <w:r>
              <w:t>Office of the Pacific, Suva</w:t>
            </w:r>
          </w:p>
        </w:tc>
        <w:tc>
          <w:tcPr>
            <w:tcW w:w="2438" w:type="dxa"/>
            <w:tcBorders>
              <w:top w:val="single" w:sz="4" w:space="0" w:color="auto"/>
              <w:left w:val="single" w:sz="4" w:space="0" w:color="auto"/>
              <w:bottom w:val="single" w:sz="4" w:space="0" w:color="auto"/>
              <w:right w:val="single" w:sz="4" w:space="0" w:color="auto"/>
            </w:tcBorders>
          </w:tcPr>
          <w:p w14:paraId="1177C2EE" w14:textId="05B4E408" w:rsidR="00ED4BBC" w:rsidRDefault="00ED4BBC" w:rsidP="00ED4BBC">
            <w:r>
              <w:t>Karen Hill</w:t>
            </w:r>
          </w:p>
        </w:tc>
        <w:tc>
          <w:tcPr>
            <w:tcW w:w="4224" w:type="dxa"/>
            <w:tcBorders>
              <w:top w:val="single" w:sz="4" w:space="0" w:color="auto"/>
              <w:left w:val="single" w:sz="4" w:space="0" w:color="auto"/>
              <w:bottom w:val="single" w:sz="4" w:space="0" w:color="auto"/>
              <w:right w:val="single" w:sz="4" w:space="0" w:color="auto"/>
            </w:tcBorders>
          </w:tcPr>
          <w:p w14:paraId="3A7DEFFD" w14:textId="75463D62" w:rsidR="00ED4BBC" w:rsidRDefault="00ED4BBC" w:rsidP="00ED4BBC">
            <w:r>
              <w:t>Director, Programs and Operations Pacific</w:t>
            </w:r>
          </w:p>
        </w:tc>
      </w:tr>
      <w:tr w:rsidR="00ED4BBC" w14:paraId="79F9CC29" w14:textId="77777777" w:rsidTr="00651F15">
        <w:tc>
          <w:tcPr>
            <w:tcW w:w="3681" w:type="dxa"/>
            <w:tcBorders>
              <w:top w:val="single" w:sz="4" w:space="0" w:color="auto"/>
              <w:left w:val="single" w:sz="4" w:space="0" w:color="auto"/>
              <w:bottom w:val="nil"/>
              <w:right w:val="single" w:sz="4" w:space="0" w:color="auto"/>
            </w:tcBorders>
          </w:tcPr>
          <w:p w14:paraId="2A8FEE86" w14:textId="64DDABBF" w:rsidR="00ED4BBC" w:rsidRPr="00ED4BBC" w:rsidRDefault="00ED4BBC" w:rsidP="00ED4BBC">
            <w:r>
              <w:t>Family Planning New South Wales</w:t>
            </w:r>
          </w:p>
        </w:tc>
        <w:tc>
          <w:tcPr>
            <w:tcW w:w="2438" w:type="dxa"/>
            <w:tcBorders>
              <w:top w:val="single" w:sz="4" w:space="0" w:color="auto"/>
              <w:left w:val="single" w:sz="4" w:space="0" w:color="auto"/>
              <w:bottom w:val="single" w:sz="4" w:space="0" w:color="auto"/>
              <w:right w:val="single" w:sz="4" w:space="0" w:color="auto"/>
            </w:tcBorders>
          </w:tcPr>
          <w:p w14:paraId="6EBE56F4" w14:textId="451052C5" w:rsidR="00ED4BBC" w:rsidRDefault="00ED4BBC" w:rsidP="00ED4BBC">
            <w:r>
              <w:t>Anne Stuart</w:t>
            </w:r>
          </w:p>
        </w:tc>
        <w:tc>
          <w:tcPr>
            <w:tcW w:w="4224" w:type="dxa"/>
            <w:tcBorders>
              <w:top w:val="single" w:sz="4" w:space="0" w:color="auto"/>
              <w:left w:val="single" w:sz="4" w:space="0" w:color="auto"/>
              <w:bottom w:val="single" w:sz="4" w:space="0" w:color="auto"/>
              <w:right w:val="single" w:sz="4" w:space="0" w:color="auto"/>
            </w:tcBorders>
          </w:tcPr>
          <w:p w14:paraId="171ACB66" w14:textId="1D05D77A" w:rsidR="00ED4BBC" w:rsidRDefault="00ED4BBC" w:rsidP="00ED4BBC">
            <w:r>
              <w:t>Director - Planning, Education and International Program</w:t>
            </w:r>
          </w:p>
        </w:tc>
      </w:tr>
      <w:tr w:rsidR="00ED4BBC" w14:paraId="168453DD" w14:textId="77777777" w:rsidTr="00651F15">
        <w:tc>
          <w:tcPr>
            <w:tcW w:w="3681" w:type="dxa"/>
            <w:tcBorders>
              <w:top w:val="nil"/>
              <w:left w:val="single" w:sz="4" w:space="0" w:color="auto"/>
              <w:bottom w:val="single" w:sz="4" w:space="0" w:color="auto"/>
              <w:right w:val="single" w:sz="4" w:space="0" w:color="auto"/>
            </w:tcBorders>
          </w:tcPr>
          <w:p w14:paraId="6427C484" w14:textId="77777777" w:rsidR="00ED4BBC" w:rsidRPr="00ED4BBC" w:rsidRDefault="00ED4BBC" w:rsidP="00ED4BBC"/>
        </w:tc>
        <w:tc>
          <w:tcPr>
            <w:tcW w:w="2438" w:type="dxa"/>
            <w:tcBorders>
              <w:top w:val="single" w:sz="4" w:space="0" w:color="auto"/>
              <w:left w:val="single" w:sz="4" w:space="0" w:color="auto"/>
              <w:bottom w:val="single" w:sz="4" w:space="0" w:color="auto"/>
              <w:right w:val="single" w:sz="4" w:space="0" w:color="auto"/>
            </w:tcBorders>
          </w:tcPr>
          <w:p w14:paraId="64AAE108" w14:textId="39EA0602" w:rsidR="00ED4BBC" w:rsidRDefault="00ED4BBC" w:rsidP="00ED4BBC">
            <w:r>
              <w:t>Nate Henderson</w:t>
            </w:r>
          </w:p>
        </w:tc>
        <w:tc>
          <w:tcPr>
            <w:tcW w:w="4224" w:type="dxa"/>
            <w:tcBorders>
              <w:top w:val="single" w:sz="4" w:space="0" w:color="auto"/>
              <w:left w:val="single" w:sz="4" w:space="0" w:color="auto"/>
              <w:bottom w:val="single" w:sz="4" w:space="0" w:color="auto"/>
              <w:right w:val="single" w:sz="4" w:space="0" w:color="auto"/>
            </w:tcBorders>
          </w:tcPr>
          <w:p w14:paraId="0A87CB06" w14:textId="30F51267" w:rsidR="00ED4BBC" w:rsidRDefault="00ED4BBC" w:rsidP="00ED4BBC">
            <w:r>
              <w:t>Manager, International Program</w:t>
            </w:r>
          </w:p>
        </w:tc>
      </w:tr>
      <w:tr w:rsidR="00ED4BBC" w14:paraId="6408FE56" w14:textId="77777777" w:rsidTr="00651F15">
        <w:tc>
          <w:tcPr>
            <w:tcW w:w="3681" w:type="dxa"/>
            <w:tcBorders>
              <w:top w:val="single" w:sz="4" w:space="0" w:color="auto"/>
              <w:left w:val="single" w:sz="4" w:space="0" w:color="auto"/>
              <w:bottom w:val="nil"/>
              <w:right w:val="single" w:sz="4" w:space="0" w:color="auto"/>
            </w:tcBorders>
          </w:tcPr>
          <w:p w14:paraId="26BFF1FC" w14:textId="0EBDCACF" w:rsidR="00ED4BBC" w:rsidRPr="00ED4BBC" w:rsidRDefault="00ED4BBC" w:rsidP="00ED4BBC">
            <w:r w:rsidRPr="003034D6">
              <w:t>John Snow International (JSI)</w:t>
            </w:r>
          </w:p>
        </w:tc>
        <w:tc>
          <w:tcPr>
            <w:tcW w:w="2438" w:type="dxa"/>
            <w:tcBorders>
              <w:top w:val="single" w:sz="4" w:space="0" w:color="auto"/>
              <w:left w:val="single" w:sz="4" w:space="0" w:color="auto"/>
              <w:bottom w:val="single" w:sz="4" w:space="0" w:color="auto"/>
              <w:right w:val="single" w:sz="4" w:space="0" w:color="auto"/>
            </w:tcBorders>
          </w:tcPr>
          <w:p w14:paraId="2CB3079F" w14:textId="1A0E103E" w:rsidR="00ED4BBC" w:rsidRDefault="00ED4BBC" w:rsidP="00ED4BBC">
            <w:r>
              <w:t>Greg Roche</w:t>
            </w:r>
          </w:p>
        </w:tc>
        <w:tc>
          <w:tcPr>
            <w:tcW w:w="4224" w:type="dxa"/>
            <w:tcBorders>
              <w:top w:val="single" w:sz="4" w:space="0" w:color="auto"/>
              <w:left w:val="single" w:sz="4" w:space="0" w:color="auto"/>
              <w:bottom w:val="single" w:sz="4" w:space="0" w:color="auto"/>
              <w:right w:val="single" w:sz="4" w:space="0" w:color="auto"/>
            </w:tcBorders>
          </w:tcPr>
          <w:p w14:paraId="7FDBA8D7" w14:textId="77777777" w:rsidR="00ED4BBC" w:rsidRDefault="00ED4BBC" w:rsidP="00ED4BBC">
            <w:pPr>
              <w:pStyle w:val="NoSpacing"/>
              <w:rPr>
                <w:rFonts w:eastAsia="Times New Roman"/>
              </w:rPr>
            </w:pPr>
            <w:r>
              <w:rPr>
                <w:rFonts w:eastAsia="Times New Roman"/>
              </w:rPr>
              <w:t>Senior Technical Advisor</w:t>
            </w:r>
          </w:p>
          <w:p w14:paraId="6B3825A4" w14:textId="28E93598" w:rsidR="00ED4BBC" w:rsidRDefault="00ED4BBC" w:rsidP="00ED4BBC">
            <w:r>
              <w:lastRenderedPageBreak/>
              <w:t>JSI Research &amp; Training Institute</w:t>
            </w:r>
          </w:p>
        </w:tc>
      </w:tr>
      <w:tr w:rsidR="00ED4BBC" w14:paraId="23AE7DC5" w14:textId="77777777" w:rsidTr="00651F15">
        <w:tc>
          <w:tcPr>
            <w:tcW w:w="3681" w:type="dxa"/>
            <w:tcBorders>
              <w:top w:val="nil"/>
              <w:left w:val="single" w:sz="4" w:space="0" w:color="auto"/>
              <w:bottom w:val="single" w:sz="4" w:space="0" w:color="auto"/>
              <w:right w:val="single" w:sz="4" w:space="0" w:color="auto"/>
            </w:tcBorders>
          </w:tcPr>
          <w:p w14:paraId="436E2D46" w14:textId="77777777" w:rsidR="00ED4BBC" w:rsidRPr="00ED4BBC" w:rsidRDefault="00ED4BBC" w:rsidP="00ED4BBC"/>
        </w:tc>
        <w:tc>
          <w:tcPr>
            <w:tcW w:w="2438" w:type="dxa"/>
            <w:tcBorders>
              <w:top w:val="single" w:sz="4" w:space="0" w:color="auto"/>
              <w:left w:val="single" w:sz="4" w:space="0" w:color="auto"/>
              <w:bottom w:val="single" w:sz="4" w:space="0" w:color="auto"/>
              <w:right w:val="single" w:sz="4" w:space="0" w:color="auto"/>
            </w:tcBorders>
          </w:tcPr>
          <w:p w14:paraId="74CBBA28" w14:textId="2CE142E0" w:rsidR="00ED4BBC" w:rsidRDefault="00ED4BBC" w:rsidP="00ED4BBC">
            <w:r>
              <w:t>Ariella Bock</w:t>
            </w:r>
          </w:p>
        </w:tc>
        <w:tc>
          <w:tcPr>
            <w:tcW w:w="4224" w:type="dxa"/>
            <w:tcBorders>
              <w:top w:val="single" w:sz="4" w:space="0" w:color="auto"/>
              <w:left w:val="single" w:sz="4" w:space="0" w:color="auto"/>
              <w:bottom w:val="single" w:sz="4" w:space="0" w:color="auto"/>
              <w:right w:val="single" w:sz="4" w:space="0" w:color="auto"/>
            </w:tcBorders>
          </w:tcPr>
          <w:p w14:paraId="148E95D0" w14:textId="77777777" w:rsidR="00ED4BBC" w:rsidRDefault="00ED4BBC" w:rsidP="00ED4BBC">
            <w:pPr>
              <w:pStyle w:val="NoSpacing"/>
              <w:rPr>
                <w:rFonts w:eastAsia="Times New Roman"/>
              </w:rPr>
            </w:pPr>
            <w:r>
              <w:rPr>
                <w:rFonts w:eastAsia="Times New Roman"/>
              </w:rPr>
              <w:t>Senior Technical Advisor</w:t>
            </w:r>
          </w:p>
          <w:p w14:paraId="46B187AB" w14:textId="3D16007D" w:rsidR="00ED4BBC" w:rsidRDefault="00ED4BBC" w:rsidP="00ED4BBC">
            <w:r>
              <w:t>JSI Research &amp; Training Institute</w:t>
            </w:r>
          </w:p>
        </w:tc>
      </w:tr>
      <w:tr w:rsidR="00ED4BBC" w14:paraId="08DCE77B" w14:textId="77777777" w:rsidTr="00651F15">
        <w:tc>
          <w:tcPr>
            <w:tcW w:w="3681" w:type="dxa"/>
            <w:tcBorders>
              <w:top w:val="single" w:sz="4" w:space="0" w:color="auto"/>
              <w:left w:val="single" w:sz="4" w:space="0" w:color="auto"/>
              <w:bottom w:val="single" w:sz="4" w:space="0" w:color="auto"/>
              <w:right w:val="single" w:sz="4" w:space="0" w:color="auto"/>
            </w:tcBorders>
          </w:tcPr>
          <w:p w14:paraId="42D9501C" w14:textId="1EAADB1B" w:rsidR="00ED4BBC" w:rsidRPr="00ED4BBC" w:rsidRDefault="00ED4BBC" w:rsidP="00ED4BBC">
            <w:r>
              <w:t>Burnet</w:t>
            </w:r>
          </w:p>
        </w:tc>
        <w:tc>
          <w:tcPr>
            <w:tcW w:w="2438" w:type="dxa"/>
            <w:tcBorders>
              <w:top w:val="single" w:sz="4" w:space="0" w:color="auto"/>
              <w:left w:val="single" w:sz="4" w:space="0" w:color="auto"/>
              <w:bottom w:val="single" w:sz="4" w:space="0" w:color="auto"/>
              <w:right w:val="single" w:sz="4" w:space="0" w:color="auto"/>
            </w:tcBorders>
          </w:tcPr>
          <w:p w14:paraId="25E3186B" w14:textId="76193073" w:rsidR="00ED4BBC" w:rsidRDefault="00ED4BBC" w:rsidP="00ED4BBC">
            <w:r>
              <w:t>Caroline Homer</w:t>
            </w:r>
          </w:p>
        </w:tc>
        <w:tc>
          <w:tcPr>
            <w:tcW w:w="4224" w:type="dxa"/>
            <w:tcBorders>
              <w:top w:val="single" w:sz="4" w:space="0" w:color="auto"/>
              <w:left w:val="single" w:sz="4" w:space="0" w:color="auto"/>
              <w:bottom w:val="single" w:sz="4" w:space="0" w:color="auto"/>
              <w:right w:val="single" w:sz="4" w:space="0" w:color="auto"/>
            </w:tcBorders>
          </w:tcPr>
          <w:p w14:paraId="142C76F9" w14:textId="364FCD30" w:rsidR="00ED4BBC" w:rsidRDefault="00ED4BBC" w:rsidP="00ED4BBC">
            <w:r w:rsidRPr="00D31579">
              <w:rPr>
                <w:rFonts w:cstheme="minorHAnsi"/>
                <w:shd w:val="clear" w:color="auto" w:fill="FFFFFF"/>
              </w:rPr>
              <w:t>Co-Program Director Maternal, Child and Adolescent Health</w:t>
            </w:r>
            <w:r w:rsidRPr="00D31579">
              <w:rPr>
                <w:rFonts w:cstheme="minorHAnsi"/>
                <w:shd w:val="clear" w:color="auto" w:fill="FFFFFF"/>
              </w:rPr>
              <w:br/>
              <w:t>Burnet Institute</w:t>
            </w:r>
          </w:p>
        </w:tc>
      </w:tr>
      <w:tr w:rsidR="00ED4BBC" w14:paraId="6BF94707" w14:textId="77777777" w:rsidTr="00651F15">
        <w:tc>
          <w:tcPr>
            <w:tcW w:w="3681" w:type="dxa"/>
            <w:tcBorders>
              <w:top w:val="single" w:sz="4" w:space="0" w:color="auto"/>
              <w:left w:val="single" w:sz="4" w:space="0" w:color="auto"/>
              <w:bottom w:val="nil"/>
              <w:right w:val="single" w:sz="4" w:space="0" w:color="auto"/>
            </w:tcBorders>
          </w:tcPr>
          <w:p w14:paraId="2399211C" w14:textId="1DC134A7" w:rsidR="00ED4BBC" w:rsidRDefault="00ED4BBC" w:rsidP="00ED4BBC">
            <w:r>
              <w:t>Nossal</w:t>
            </w:r>
          </w:p>
        </w:tc>
        <w:tc>
          <w:tcPr>
            <w:tcW w:w="2438" w:type="dxa"/>
            <w:tcBorders>
              <w:top w:val="single" w:sz="4" w:space="0" w:color="auto"/>
              <w:left w:val="single" w:sz="4" w:space="0" w:color="auto"/>
              <w:bottom w:val="single" w:sz="4" w:space="0" w:color="auto"/>
              <w:right w:val="single" w:sz="4" w:space="0" w:color="auto"/>
            </w:tcBorders>
          </w:tcPr>
          <w:p w14:paraId="4497EDBD" w14:textId="632E3327" w:rsidR="00ED4BBC" w:rsidRDefault="00ED4BBC" w:rsidP="00ED4BBC">
            <w:r>
              <w:t>Matt Ralston</w:t>
            </w:r>
          </w:p>
        </w:tc>
        <w:tc>
          <w:tcPr>
            <w:tcW w:w="4224" w:type="dxa"/>
            <w:tcBorders>
              <w:top w:val="single" w:sz="4" w:space="0" w:color="auto"/>
              <w:left w:val="single" w:sz="4" w:space="0" w:color="auto"/>
              <w:bottom w:val="single" w:sz="4" w:space="0" w:color="auto"/>
              <w:right w:val="single" w:sz="4" w:space="0" w:color="auto"/>
            </w:tcBorders>
          </w:tcPr>
          <w:p w14:paraId="138838D7" w14:textId="7DD6CEB2" w:rsidR="00ED4BBC" w:rsidRPr="00D31579" w:rsidRDefault="00ED4BBC" w:rsidP="00ED4BBC">
            <w:pPr>
              <w:rPr>
                <w:rFonts w:cstheme="minorHAnsi"/>
                <w:shd w:val="clear" w:color="auto" w:fill="FFFFFF"/>
              </w:rPr>
            </w:pPr>
            <w:r w:rsidRPr="00E149CD">
              <w:t xml:space="preserve">Chief Operating Officer, </w:t>
            </w:r>
            <w:r w:rsidRPr="00E149CD">
              <w:rPr>
                <w:rFonts w:ascii="Calibri Light" w:hAnsi="Calibri Light" w:cs="Calibri Light"/>
              </w:rPr>
              <w:t>Nossal Institute for Global Health</w:t>
            </w:r>
          </w:p>
        </w:tc>
      </w:tr>
      <w:tr w:rsidR="00ED4BBC" w14:paraId="719AD3C2" w14:textId="77777777" w:rsidTr="00651F15">
        <w:tc>
          <w:tcPr>
            <w:tcW w:w="3681" w:type="dxa"/>
            <w:tcBorders>
              <w:top w:val="nil"/>
              <w:left w:val="single" w:sz="4" w:space="0" w:color="auto"/>
              <w:bottom w:val="nil"/>
              <w:right w:val="single" w:sz="4" w:space="0" w:color="auto"/>
            </w:tcBorders>
          </w:tcPr>
          <w:p w14:paraId="55318D8B" w14:textId="77777777" w:rsidR="00ED4BBC" w:rsidRDefault="00ED4BBC" w:rsidP="00ED4BBC"/>
        </w:tc>
        <w:tc>
          <w:tcPr>
            <w:tcW w:w="2438" w:type="dxa"/>
            <w:tcBorders>
              <w:top w:val="single" w:sz="4" w:space="0" w:color="auto"/>
              <w:left w:val="single" w:sz="4" w:space="0" w:color="auto"/>
              <w:bottom w:val="single" w:sz="4" w:space="0" w:color="auto"/>
              <w:right w:val="single" w:sz="4" w:space="0" w:color="auto"/>
            </w:tcBorders>
          </w:tcPr>
          <w:p w14:paraId="690FF20C" w14:textId="77E53290" w:rsidR="00ED4BBC" w:rsidRDefault="00ED4BBC" w:rsidP="00ED4BBC">
            <w:r>
              <w:t>Joanne Rowe</w:t>
            </w:r>
          </w:p>
        </w:tc>
        <w:tc>
          <w:tcPr>
            <w:tcW w:w="4224" w:type="dxa"/>
            <w:tcBorders>
              <w:top w:val="single" w:sz="4" w:space="0" w:color="auto"/>
              <w:left w:val="single" w:sz="4" w:space="0" w:color="auto"/>
              <w:bottom w:val="single" w:sz="4" w:space="0" w:color="auto"/>
              <w:right w:val="single" w:sz="4" w:space="0" w:color="auto"/>
            </w:tcBorders>
          </w:tcPr>
          <w:p w14:paraId="23C5AD6C" w14:textId="590928DB" w:rsidR="00ED4BBC" w:rsidRPr="00D31579" w:rsidRDefault="00ED4BBC" w:rsidP="00ED4BBC">
            <w:pPr>
              <w:rPr>
                <w:rFonts w:cstheme="minorHAnsi"/>
                <w:shd w:val="clear" w:color="auto" w:fill="FFFFFF"/>
              </w:rPr>
            </w:pPr>
            <w:r>
              <w:t>Researcher and Program Manager, Uni of Melbourne</w:t>
            </w:r>
          </w:p>
        </w:tc>
      </w:tr>
      <w:tr w:rsidR="00ED4BBC" w14:paraId="33D80FDB" w14:textId="77777777" w:rsidTr="00651F15">
        <w:tc>
          <w:tcPr>
            <w:tcW w:w="3681" w:type="dxa"/>
            <w:tcBorders>
              <w:top w:val="nil"/>
              <w:left w:val="single" w:sz="4" w:space="0" w:color="auto"/>
              <w:bottom w:val="nil"/>
              <w:right w:val="single" w:sz="4" w:space="0" w:color="auto"/>
            </w:tcBorders>
          </w:tcPr>
          <w:p w14:paraId="770C2150" w14:textId="77777777" w:rsidR="00ED4BBC" w:rsidRDefault="00ED4BBC" w:rsidP="00ED4BBC"/>
        </w:tc>
        <w:tc>
          <w:tcPr>
            <w:tcW w:w="2438" w:type="dxa"/>
            <w:tcBorders>
              <w:top w:val="single" w:sz="4" w:space="0" w:color="auto"/>
              <w:left w:val="single" w:sz="4" w:space="0" w:color="auto"/>
              <w:bottom w:val="single" w:sz="4" w:space="0" w:color="auto"/>
              <w:right w:val="single" w:sz="4" w:space="0" w:color="auto"/>
            </w:tcBorders>
          </w:tcPr>
          <w:p w14:paraId="2766F7B8" w14:textId="56A4CCC4" w:rsidR="00ED4BBC" w:rsidRDefault="00ED4BBC" w:rsidP="00ED4BBC">
            <w:r>
              <w:t>Andrea Boudville</w:t>
            </w:r>
          </w:p>
        </w:tc>
        <w:tc>
          <w:tcPr>
            <w:tcW w:w="4224" w:type="dxa"/>
            <w:tcBorders>
              <w:top w:val="single" w:sz="4" w:space="0" w:color="auto"/>
              <w:left w:val="single" w:sz="4" w:space="0" w:color="auto"/>
              <w:bottom w:val="single" w:sz="4" w:space="0" w:color="auto"/>
              <w:right w:val="single" w:sz="4" w:space="0" w:color="auto"/>
            </w:tcBorders>
          </w:tcPr>
          <w:p w14:paraId="343A18D9" w14:textId="572316A1" w:rsidR="00ED4BBC" w:rsidRPr="00D31579" w:rsidRDefault="00ED4BBC" w:rsidP="00ED4BBC">
            <w:pPr>
              <w:rPr>
                <w:rFonts w:cstheme="minorHAnsi"/>
                <w:shd w:val="clear" w:color="auto" w:fill="FFFFFF"/>
              </w:rPr>
            </w:pPr>
            <w:r>
              <w:t>Senior Technical Advisor, Nossal Institute for Global Health</w:t>
            </w:r>
          </w:p>
        </w:tc>
      </w:tr>
      <w:tr w:rsidR="00ED4BBC" w14:paraId="539CD48F" w14:textId="77777777" w:rsidTr="00651F15">
        <w:tc>
          <w:tcPr>
            <w:tcW w:w="3681" w:type="dxa"/>
            <w:tcBorders>
              <w:top w:val="nil"/>
              <w:left w:val="single" w:sz="4" w:space="0" w:color="auto"/>
              <w:bottom w:val="nil"/>
              <w:right w:val="single" w:sz="4" w:space="0" w:color="auto"/>
            </w:tcBorders>
          </w:tcPr>
          <w:p w14:paraId="40E23F9F" w14:textId="77777777" w:rsidR="00ED4BBC" w:rsidRDefault="00ED4BBC" w:rsidP="00ED4BBC"/>
        </w:tc>
        <w:tc>
          <w:tcPr>
            <w:tcW w:w="2438" w:type="dxa"/>
            <w:tcBorders>
              <w:top w:val="single" w:sz="4" w:space="0" w:color="auto"/>
              <w:left w:val="single" w:sz="4" w:space="0" w:color="auto"/>
              <w:bottom w:val="single" w:sz="4" w:space="0" w:color="auto"/>
              <w:right w:val="single" w:sz="4" w:space="0" w:color="auto"/>
            </w:tcBorders>
          </w:tcPr>
          <w:p w14:paraId="42AF99AB" w14:textId="184F344A" w:rsidR="00ED4BBC" w:rsidRDefault="008D3C39" w:rsidP="00ED4BBC">
            <w:r>
              <w:t xml:space="preserve">Brigitte </w:t>
            </w:r>
            <w:proofErr w:type="spellStart"/>
            <w:r>
              <w:t>Tenni</w:t>
            </w:r>
            <w:proofErr w:type="spellEnd"/>
          </w:p>
        </w:tc>
        <w:tc>
          <w:tcPr>
            <w:tcW w:w="4224" w:type="dxa"/>
            <w:tcBorders>
              <w:top w:val="single" w:sz="4" w:space="0" w:color="auto"/>
              <w:left w:val="single" w:sz="4" w:space="0" w:color="auto"/>
              <w:bottom w:val="single" w:sz="4" w:space="0" w:color="auto"/>
              <w:right w:val="single" w:sz="4" w:space="0" w:color="auto"/>
            </w:tcBorders>
          </w:tcPr>
          <w:p w14:paraId="65A705F7" w14:textId="314539EE" w:rsidR="00ED4BBC" w:rsidRPr="00D31579" w:rsidRDefault="00ED4BBC" w:rsidP="00ED4BBC">
            <w:pPr>
              <w:rPr>
                <w:rFonts w:cstheme="minorHAnsi"/>
                <w:shd w:val="clear" w:color="auto" w:fill="FFFFFF"/>
              </w:rPr>
            </w:pPr>
            <w:r w:rsidRPr="00ED4BBC">
              <w:t xml:space="preserve">Senior Technical Advisor </w:t>
            </w:r>
            <w:r w:rsidRPr="00ED4BBC">
              <w:br/>
              <w:t>Nossal Institute for Global Health</w:t>
            </w:r>
          </w:p>
        </w:tc>
      </w:tr>
      <w:tr w:rsidR="008D3C39" w14:paraId="2A853A53" w14:textId="77777777" w:rsidTr="00651F15">
        <w:tc>
          <w:tcPr>
            <w:tcW w:w="3681" w:type="dxa"/>
            <w:tcBorders>
              <w:top w:val="nil"/>
              <w:left w:val="single" w:sz="4" w:space="0" w:color="auto"/>
              <w:bottom w:val="nil"/>
              <w:right w:val="single" w:sz="4" w:space="0" w:color="auto"/>
            </w:tcBorders>
          </w:tcPr>
          <w:p w14:paraId="5C50EBF8" w14:textId="77777777" w:rsidR="008D3C39" w:rsidRDefault="008D3C39" w:rsidP="00ED4BBC"/>
        </w:tc>
        <w:tc>
          <w:tcPr>
            <w:tcW w:w="2438" w:type="dxa"/>
            <w:tcBorders>
              <w:top w:val="single" w:sz="4" w:space="0" w:color="auto"/>
              <w:left w:val="single" w:sz="4" w:space="0" w:color="auto"/>
              <w:bottom w:val="single" w:sz="4" w:space="0" w:color="auto"/>
              <w:right w:val="single" w:sz="4" w:space="0" w:color="auto"/>
            </w:tcBorders>
          </w:tcPr>
          <w:p w14:paraId="277963C2" w14:textId="43B0F28F" w:rsidR="008D3C39" w:rsidRDefault="008D3C39" w:rsidP="00ED4BBC">
            <w:r>
              <w:t>Kristin Diemer</w:t>
            </w:r>
          </w:p>
        </w:tc>
        <w:tc>
          <w:tcPr>
            <w:tcW w:w="4224" w:type="dxa"/>
            <w:tcBorders>
              <w:top w:val="single" w:sz="4" w:space="0" w:color="auto"/>
              <w:left w:val="single" w:sz="4" w:space="0" w:color="auto"/>
              <w:bottom w:val="single" w:sz="4" w:space="0" w:color="auto"/>
              <w:right w:val="single" w:sz="4" w:space="0" w:color="auto"/>
            </w:tcBorders>
          </w:tcPr>
          <w:p w14:paraId="76F4DB12" w14:textId="3EDA1DD1" w:rsidR="008D3C39" w:rsidRPr="00ED4BBC" w:rsidRDefault="008D3C39" w:rsidP="00ED4BBC">
            <w:r w:rsidRPr="008D3C39">
              <w:t>Data Analyst, Uni of Melbourne</w:t>
            </w:r>
          </w:p>
        </w:tc>
      </w:tr>
      <w:tr w:rsidR="00ED4BBC" w14:paraId="62B50565" w14:textId="77777777" w:rsidTr="00651F15">
        <w:tc>
          <w:tcPr>
            <w:tcW w:w="3681" w:type="dxa"/>
            <w:tcBorders>
              <w:top w:val="nil"/>
              <w:left w:val="single" w:sz="4" w:space="0" w:color="auto"/>
              <w:bottom w:val="single" w:sz="4" w:space="0" w:color="auto"/>
              <w:right w:val="single" w:sz="4" w:space="0" w:color="auto"/>
            </w:tcBorders>
          </w:tcPr>
          <w:p w14:paraId="594619F9" w14:textId="77777777" w:rsidR="00ED4BBC" w:rsidRDefault="00ED4BBC" w:rsidP="00ED4BBC"/>
        </w:tc>
        <w:tc>
          <w:tcPr>
            <w:tcW w:w="2438" w:type="dxa"/>
            <w:tcBorders>
              <w:top w:val="single" w:sz="4" w:space="0" w:color="auto"/>
              <w:left w:val="single" w:sz="4" w:space="0" w:color="auto"/>
              <w:bottom w:val="single" w:sz="4" w:space="0" w:color="auto"/>
              <w:right w:val="single" w:sz="4" w:space="0" w:color="auto"/>
            </w:tcBorders>
          </w:tcPr>
          <w:p w14:paraId="715F4BBB" w14:textId="13C2750D" w:rsidR="00ED4BBC" w:rsidRDefault="00ED4BBC" w:rsidP="00ED4BBC">
            <w:r>
              <w:t>Cathy Vaughn</w:t>
            </w:r>
          </w:p>
        </w:tc>
        <w:tc>
          <w:tcPr>
            <w:tcW w:w="4224" w:type="dxa"/>
            <w:tcBorders>
              <w:top w:val="single" w:sz="4" w:space="0" w:color="auto"/>
              <w:left w:val="single" w:sz="4" w:space="0" w:color="auto"/>
              <w:bottom w:val="single" w:sz="4" w:space="0" w:color="auto"/>
              <w:right w:val="single" w:sz="4" w:space="0" w:color="auto"/>
            </w:tcBorders>
          </w:tcPr>
          <w:p w14:paraId="6FE942CF" w14:textId="6E4D3DE0" w:rsidR="00ED4BBC" w:rsidRPr="008D3C39" w:rsidRDefault="008D3C39" w:rsidP="00ED4BBC">
            <w:r w:rsidRPr="008D3C39">
              <w:t>Data Analyst, Uni of Melbourne</w:t>
            </w:r>
          </w:p>
        </w:tc>
      </w:tr>
      <w:tr w:rsidR="008D3C39" w14:paraId="7396B340" w14:textId="77777777" w:rsidTr="00651F15">
        <w:tc>
          <w:tcPr>
            <w:tcW w:w="3681" w:type="dxa"/>
            <w:tcBorders>
              <w:top w:val="single" w:sz="4" w:space="0" w:color="auto"/>
              <w:left w:val="single" w:sz="4" w:space="0" w:color="auto"/>
              <w:bottom w:val="nil"/>
              <w:right w:val="single" w:sz="4" w:space="0" w:color="auto"/>
            </w:tcBorders>
          </w:tcPr>
          <w:p w14:paraId="46A666F5" w14:textId="1BF33160" w:rsidR="008D3C39" w:rsidRDefault="008D3C39" w:rsidP="00ED4BBC">
            <w:r>
              <w:t>World Vision International</w:t>
            </w:r>
          </w:p>
        </w:tc>
        <w:tc>
          <w:tcPr>
            <w:tcW w:w="2438" w:type="dxa"/>
            <w:tcBorders>
              <w:top w:val="single" w:sz="4" w:space="0" w:color="auto"/>
              <w:left w:val="single" w:sz="4" w:space="0" w:color="auto"/>
              <w:bottom w:val="single" w:sz="4" w:space="0" w:color="auto"/>
              <w:right w:val="single" w:sz="4" w:space="0" w:color="auto"/>
            </w:tcBorders>
          </w:tcPr>
          <w:p w14:paraId="78C8B039" w14:textId="7CADA369" w:rsidR="008D3C39" w:rsidRDefault="008D3C39" w:rsidP="00ED4BBC">
            <w:r>
              <w:t>Kendra Rousseau</w:t>
            </w:r>
          </w:p>
        </w:tc>
        <w:tc>
          <w:tcPr>
            <w:tcW w:w="4224" w:type="dxa"/>
            <w:tcBorders>
              <w:top w:val="single" w:sz="4" w:space="0" w:color="auto"/>
              <w:left w:val="single" w:sz="4" w:space="0" w:color="auto"/>
              <w:bottom w:val="single" w:sz="4" w:space="0" w:color="auto"/>
              <w:right w:val="single" w:sz="4" w:space="0" w:color="auto"/>
            </w:tcBorders>
          </w:tcPr>
          <w:p w14:paraId="461D7823" w14:textId="5B72062B" w:rsidR="008D3C39" w:rsidRPr="008D3C39" w:rsidRDefault="008D3C39" w:rsidP="00ED4BBC">
            <w:r>
              <w:t>Country Director</w:t>
            </w:r>
          </w:p>
        </w:tc>
      </w:tr>
      <w:tr w:rsidR="008D3C39" w14:paraId="3476705B" w14:textId="77777777" w:rsidTr="00651F15">
        <w:tc>
          <w:tcPr>
            <w:tcW w:w="3681" w:type="dxa"/>
            <w:tcBorders>
              <w:top w:val="nil"/>
              <w:left w:val="single" w:sz="4" w:space="0" w:color="auto"/>
              <w:bottom w:val="nil"/>
              <w:right w:val="single" w:sz="4" w:space="0" w:color="auto"/>
            </w:tcBorders>
          </w:tcPr>
          <w:p w14:paraId="0A5E5213" w14:textId="77777777" w:rsidR="008D3C39" w:rsidRDefault="008D3C39" w:rsidP="00ED4BBC"/>
        </w:tc>
        <w:tc>
          <w:tcPr>
            <w:tcW w:w="2438" w:type="dxa"/>
            <w:tcBorders>
              <w:top w:val="single" w:sz="4" w:space="0" w:color="auto"/>
              <w:left w:val="single" w:sz="4" w:space="0" w:color="auto"/>
              <w:bottom w:val="single" w:sz="4" w:space="0" w:color="auto"/>
              <w:right w:val="single" w:sz="4" w:space="0" w:color="auto"/>
            </w:tcBorders>
          </w:tcPr>
          <w:p w14:paraId="5F7F63DD" w14:textId="03784863" w:rsidR="008D3C39" w:rsidRDefault="008D3C39" w:rsidP="00ED4BBC">
            <w:r>
              <w:t xml:space="preserve">Sofia </w:t>
            </w:r>
            <w:proofErr w:type="spellStart"/>
            <w:r>
              <w:t>Lardis</w:t>
            </w:r>
            <w:proofErr w:type="spellEnd"/>
          </w:p>
        </w:tc>
        <w:tc>
          <w:tcPr>
            <w:tcW w:w="4224" w:type="dxa"/>
            <w:tcBorders>
              <w:top w:val="single" w:sz="4" w:space="0" w:color="auto"/>
              <w:left w:val="single" w:sz="4" w:space="0" w:color="auto"/>
              <w:bottom w:val="single" w:sz="4" w:space="0" w:color="auto"/>
              <w:right w:val="single" w:sz="4" w:space="0" w:color="auto"/>
            </w:tcBorders>
          </w:tcPr>
          <w:p w14:paraId="352701A2" w14:textId="0F3ED17F" w:rsidR="008D3C39" w:rsidRPr="008D3C39" w:rsidRDefault="008D3C39" w:rsidP="00ED4BBC">
            <w:r>
              <w:t>Program Coordinator</w:t>
            </w:r>
          </w:p>
        </w:tc>
      </w:tr>
      <w:tr w:rsidR="008D3C39" w14:paraId="390BDFB0" w14:textId="77777777" w:rsidTr="00651F15">
        <w:tc>
          <w:tcPr>
            <w:tcW w:w="3681" w:type="dxa"/>
            <w:tcBorders>
              <w:top w:val="nil"/>
              <w:left w:val="single" w:sz="4" w:space="0" w:color="auto"/>
              <w:bottom w:val="single" w:sz="4" w:space="0" w:color="auto"/>
              <w:right w:val="single" w:sz="4" w:space="0" w:color="auto"/>
            </w:tcBorders>
          </w:tcPr>
          <w:p w14:paraId="2C6D6386" w14:textId="77777777" w:rsidR="008D3C39" w:rsidRDefault="008D3C39" w:rsidP="00ED4BBC"/>
        </w:tc>
        <w:tc>
          <w:tcPr>
            <w:tcW w:w="2438" w:type="dxa"/>
            <w:tcBorders>
              <w:top w:val="single" w:sz="4" w:space="0" w:color="auto"/>
              <w:left w:val="single" w:sz="4" w:space="0" w:color="auto"/>
              <w:bottom w:val="single" w:sz="4" w:space="0" w:color="auto"/>
              <w:right w:val="single" w:sz="4" w:space="0" w:color="auto"/>
            </w:tcBorders>
          </w:tcPr>
          <w:p w14:paraId="7B8FC885" w14:textId="77777777" w:rsidR="008D3C39" w:rsidRDefault="008D3C39" w:rsidP="00ED4BBC"/>
        </w:tc>
        <w:tc>
          <w:tcPr>
            <w:tcW w:w="4224" w:type="dxa"/>
            <w:tcBorders>
              <w:top w:val="single" w:sz="4" w:space="0" w:color="auto"/>
              <w:left w:val="single" w:sz="4" w:space="0" w:color="auto"/>
              <w:bottom w:val="single" w:sz="4" w:space="0" w:color="auto"/>
              <w:right w:val="single" w:sz="4" w:space="0" w:color="auto"/>
            </w:tcBorders>
          </w:tcPr>
          <w:p w14:paraId="560C8309" w14:textId="77777777" w:rsidR="008D3C39" w:rsidRPr="008D3C39" w:rsidRDefault="008D3C39" w:rsidP="00ED4BBC"/>
        </w:tc>
      </w:tr>
      <w:tr w:rsidR="008D3C39" w14:paraId="649C9AB9" w14:textId="77777777" w:rsidTr="00651F15">
        <w:tc>
          <w:tcPr>
            <w:tcW w:w="3681" w:type="dxa"/>
            <w:tcBorders>
              <w:top w:val="single" w:sz="4" w:space="0" w:color="auto"/>
              <w:left w:val="single" w:sz="4" w:space="0" w:color="auto"/>
              <w:bottom w:val="nil"/>
              <w:right w:val="single" w:sz="4" w:space="0" w:color="auto"/>
            </w:tcBorders>
          </w:tcPr>
          <w:p w14:paraId="0A48D8C6" w14:textId="2E2B7CD6" w:rsidR="008D3C39" w:rsidRDefault="008D3C39" w:rsidP="00ED4BBC">
            <w:r>
              <w:t>ABC International Development</w:t>
            </w:r>
          </w:p>
        </w:tc>
        <w:tc>
          <w:tcPr>
            <w:tcW w:w="2438" w:type="dxa"/>
            <w:tcBorders>
              <w:top w:val="single" w:sz="4" w:space="0" w:color="auto"/>
              <w:left w:val="single" w:sz="4" w:space="0" w:color="auto"/>
              <w:bottom w:val="single" w:sz="4" w:space="0" w:color="auto"/>
              <w:right w:val="single" w:sz="4" w:space="0" w:color="auto"/>
            </w:tcBorders>
          </w:tcPr>
          <w:p w14:paraId="27B0E44B" w14:textId="113B75D0" w:rsidR="008D3C39" w:rsidRDefault="008D3C39" w:rsidP="00ED4BBC">
            <w:r>
              <w:t>Vipul Khosla</w:t>
            </w:r>
          </w:p>
        </w:tc>
        <w:tc>
          <w:tcPr>
            <w:tcW w:w="4224" w:type="dxa"/>
            <w:tcBorders>
              <w:top w:val="single" w:sz="4" w:space="0" w:color="auto"/>
              <w:left w:val="single" w:sz="4" w:space="0" w:color="auto"/>
              <w:bottom w:val="single" w:sz="4" w:space="0" w:color="auto"/>
              <w:right w:val="single" w:sz="4" w:space="0" w:color="auto"/>
            </w:tcBorders>
          </w:tcPr>
          <w:p w14:paraId="4832EC35" w14:textId="60D3BB1E" w:rsidR="008D3C39" w:rsidRPr="008D3C39" w:rsidRDefault="008D3C39" w:rsidP="00ED4BBC">
            <w:r>
              <w:t>Design and Evaluation Lead</w:t>
            </w:r>
          </w:p>
        </w:tc>
      </w:tr>
      <w:tr w:rsidR="008D3C39" w14:paraId="26E8EF8F" w14:textId="77777777" w:rsidTr="00651F15">
        <w:tc>
          <w:tcPr>
            <w:tcW w:w="3681" w:type="dxa"/>
            <w:tcBorders>
              <w:top w:val="nil"/>
              <w:left w:val="single" w:sz="4" w:space="0" w:color="auto"/>
              <w:bottom w:val="single" w:sz="4" w:space="0" w:color="auto"/>
              <w:right w:val="single" w:sz="4" w:space="0" w:color="auto"/>
            </w:tcBorders>
          </w:tcPr>
          <w:p w14:paraId="57B7DDD4" w14:textId="77777777" w:rsidR="008D3C39" w:rsidRDefault="008D3C39" w:rsidP="00ED4BBC"/>
        </w:tc>
        <w:tc>
          <w:tcPr>
            <w:tcW w:w="2438" w:type="dxa"/>
            <w:tcBorders>
              <w:top w:val="single" w:sz="4" w:space="0" w:color="auto"/>
              <w:left w:val="single" w:sz="4" w:space="0" w:color="auto"/>
              <w:bottom w:val="single" w:sz="4" w:space="0" w:color="auto"/>
              <w:right w:val="single" w:sz="4" w:space="0" w:color="auto"/>
            </w:tcBorders>
          </w:tcPr>
          <w:p w14:paraId="43C5E5FB" w14:textId="6277E010" w:rsidR="008D3C39" w:rsidRDefault="008D3C39" w:rsidP="00ED4BBC">
            <w:r>
              <w:t>Elizabeth Firkin</w:t>
            </w:r>
          </w:p>
        </w:tc>
        <w:tc>
          <w:tcPr>
            <w:tcW w:w="4224" w:type="dxa"/>
            <w:tcBorders>
              <w:top w:val="single" w:sz="4" w:space="0" w:color="auto"/>
              <w:left w:val="single" w:sz="4" w:space="0" w:color="auto"/>
              <w:bottom w:val="single" w:sz="4" w:space="0" w:color="auto"/>
              <w:right w:val="single" w:sz="4" w:space="0" w:color="auto"/>
            </w:tcBorders>
          </w:tcPr>
          <w:p w14:paraId="1A14B177" w14:textId="1C908E98" w:rsidR="008D3C39" w:rsidRPr="008D3C39" w:rsidRDefault="008D3C39" w:rsidP="00ED4BBC">
            <w:r>
              <w:t>Communications Lead</w:t>
            </w:r>
          </w:p>
        </w:tc>
      </w:tr>
      <w:tr w:rsidR="008D3C39" w14:paraId="785C5B4D" w14:textId="77777777" w:rsidTr="00651F15">
        <w:tc>
          <w:tcPr>
            <w:tcW w:w="3681" w:type="dxa"/>
            <w:tcBorders>
              <w:top w:val="single" w:sz="4" w:space="0" w:color="auto"/>
              <w:left w:val="single" w:sz="4" w:space="0" w:color="auto"/>
              <w:bottom w:val="single" w:sz="4" w:space="0" w:color="auto"/>
              <w:right w:val="single" w:sz="4" w:space="0" w:color="auto"/>
            </w:tcBorders>
          </w:tcPr>
          <w:p w14:paraId="69066C88" w14:textId="04761AEE" w:rsidR="008D3C39" w:rsidRDefault="008D3C39" w:rsidP="00ED4BBC">
            <w:r>
              <w:t>Women Enabled International</w:t>
            </w:r>
          </w:p>
        </w:tc>
        <w:tc>
          <w:tcPr>
            <w:tcW w:w="2438" w:type="dxa"/>
            <w:tcBorders>
              <w:top w:val="single" w:sz="4" w:space="0" w:color="auto"/>
              <w:left w:val="single" w:sz="4" w:space="0" w:color="auto"/>
              <w:bottom w:val="single" w:sz="4" w:space="0" w:color="auto"/>
              <w:right w:val="single" w:sz="4" w:space="0" w:color="auto"/>
            </w:tcBorders>
          </w:tcPr>
          <w:p w14:paraId="367E91FF" w14:textId="3CD2AA34" w:rsidR="008D3C39" w:rsidRDefault="008D3C39" w:rsidP="00ED4BBC">
            <w:r>
              <w:t>Suzannah Phillips</w:t>
            </w:r>
          </w:p>
        </w:tc>
        <w:tc>
          <w:tcPr>
            <w:tcW w:w="4224" w:type="dxa"/>
            <w:tcBorders>
              <w:top w:val="single" w:sz="4" w:space="0" w:color="auto"/>
              <w:left w:val="single" w:sz="4" w:space="0" w:color="auto"/>
              <w:bottom w:val="single" w:sz="4" w:space="0" w:color="auto"/>
              <w:right w:val="single" w:sz="4" w:space="0" w:color="auto"/>
            </w:tcBorders>
          </w:tcPr>
          <w:p w14:paraId="30B3AF64" w14:textId="34105646" w:rsidR="008D3C39" w:rsidRPr="008D3C39" w:rsidRDefault="008D3C39" w:rsidP="00ED4BBC">
            <w:r>
              <w:t>Deputy Director</w:t>
            </w:r>
          </w:p>
        </w:tc>
      </w:tr>
      <w:tr w:rsidR="00112CA4" w14:paraId="337CA773" w14:textId="77777777" w:rsidTr="00651F15">
        <w:tc>
          <w:tcPr>
            <w:tcW w:w="3681" w:type="dxa"/>
            <w:tcBorders>
              <w:top w:val="single" w:sz="4" w:space="0" w:color="auto"/>
              <w:left w:val="single" w:sz="4" w:space="0" w:color="auto"/>
              <w:bottom w:val="single" w:sz="4" w:space="0" w:color="auto"/>
              <w:right w:val="nil"/>
            </w:tcBorders>
          </w:tcPr>
          <w:p w14:paraId="2169A5E2" w14:textId="7480CEA0" w:rsidR="00112CA4" w:rsidRPr="00112CA4" w:rsidRDefault="00112CA4" w:rsidP="00ED4BBC">
            <w:pPr>
              <w:rPr>
                <w:b/>
              </w:rPr>
            </w:pPr>
            <w:r>
              <w:rPr>
                <w:b/>
              </w:rPr>
              <w:t>Fiji</w:t>
            </w:r>
          </w:p>
        </w:tc>
        <w:tc>
          <w:tcPr>
            <w:tcW w:w="2438" w:type="dxa"/>
            <w:tcBorders>
              <w:top w:val="single" w:sz="4" w:space="0" w:color="auto"/>
              <w:left w:val="nil"/>
              <w:bottom w:val="single" w:sz="4" w:space="0" w:color="auto"/>
              <w:right w:val="nil"/>
            </w:tcBorders>
          </w:tcPr>
          <w:p w14:paraId="6D0D8100" w14:textId="77777777" w:rsidR="00112CA4" w:rsidRDefault="00112CA4" w:rsidP="00ED4BBC"/>
        </w:tc>
        <w:tc>
          <w:tcPr>
            <w:tcW w:w="4224" w:type="dxa"/>
            <w:tcBorders>
              <w:top w:val="single" w:sz="4" w:space="0" w:color="auto"/>
              <w:left w:val="nil"/>
              <w:bottom w:val="single" w:sz="4" w:space="0" w:color="auto"/>
              <w:right w:val="single" w:sz="4" w:space="0" w:color="auto"/>
            </w:tcBorders>
          </w:tcPr>
          <w:p w14:paraId="3A1ADC27" w14:textId="77777777" w:rsidR="00112CA4" w:rsidRDefault="00112CA4" w:rsidP="00ED4BBC"/>
        </w:tc>
      </w:tr>
      <w:tr w:rsidR="00112CA4" w14:paraId="55564AFA" w14:textId="77777777" w:rsidTr="00651F15">
        <w:tc>
          <w:tcPr>
            <w:tcW w:w="3681" w:type="dxa"/>
            <w:tcBorders>
              <w:top w:val="single" w:sz="4" w:space="0" w:color="auto"/>
              <w:left w:val="single" w:sz="4" w:space="0" w:color="auto"/>
              <w:bottom w:val="nil"/>
              <w:right w:val="single" w:sz="4" w:space="0" w:color="auto"/>
            </w:tcBorders>
          </w:tcPr>
          <w:p w14:paraId="6A4E610E" w14:textId="45EA65F2" w:rsidR="00112CA4" w:rsidRDefault="0091264E" w:rsidP="00ED4BBC">
            <w:pPr>
              <w:rPr>
                <w:b/>
              </w:rPr>
            </w:pPr>
            <w:r w:rsidRPr="003034D6">
              <w:t>Ministry of Health</w:t>
            </w:r>
            <w:r>
              <w:t xml:space="preserve"> and Medical Services</w:t>
            </w:r>
          </w:p>
        </w:tc>
        <w:tc>
          <w:tcPr>
            <w:tcW w:w="2438" w:type="dxa"/>
            <w:tcBorders>
              <w:top w:val="single" w:sz="4" w:space="0" w:color="auto"/>
              <w:left w:val="single" w:sz="4" w:space="0" w:color="auto"/>
              <w:bottom w:val="single" w:sz="4" w:space="0" w:color="auto"/>
              <w:right w:val="single" w:sz="4" w:space="0" w:color="auto"/>
            </w:tcBorders>
          </w:tcPr>
          <w:p w14:paraId="5BEE3EFC" w14:textId="6D91E948" w:rsidR="00112CA4" w:rsidRDefault="0091264E" w:rsidP="00ED4BBC">
            <w:r>
              <w:t>James Fong</w:t>
            </w:r>
          </w:p>
        </w:tc>
        <w:tc>
          <w:tcPr>
            <w:tcW w:w="4224" w:type="dxa"/>
            <w:tcBorders>
              <w:top w:val="single" w:sz="4" w:space="0" w:color="auto"/>
              <w:left w:val="single" w:sz="4" w:space="0" w:color="auto"/>
              <w:bottom w:val="single" w:sz="4" w:space="0" w:color="auto"/>
              <w:right w:val="single" w:sz="4" w:space="0" w:color="auto"/>
            </w:tcBorders>
          </w:tcPr>
          <w:p w14:paraId="5DF32EC6" w14:textId="36CE7B2D" w:rsidR="00112CA4" w:rsidRDefault="0091264E" w:rsidP="00ED4BBC">
            <w:r>
              <w:t>Acting Permanent Secretary</w:t>
            </w:r>
          </w:p>
        </w:tc>
      </w:tr>
      <w:tr w:rsidR="00112CA4" w14:paraId="3909E921" w14:textId="77777777" w:rsidTr="00651F15">
        <w:tc>
          <w:tcPr>
            <w:tcW w:w="3681" w:type="dxa"/>
            <w:tcBorders>
              <w:top w:val="nil"/>
              <w:left w:val="single" w:sz="4" w:space="0" w:color="auto"/>
              <w:bottom w:val="single" w:sz="4" w:space="0" w:color="auto"/>
              <w:right w:val="single" w:sz="4" w:space="0" w:color="auto"/>
            </w:tcBorders>
          </w:tcPr>
          <w:p w14:paraId="3CC857DC" w14:textId="77777777" w:rsidR="00112CA4" w:rsidRDefault="00112CA4" w:rsidP="00ED4BBC">
            <w:pPr>
              <w:rPr>
                <w:b/>
              </w:rPr>
            </w:pPr>
          </w:p>
        </w:tc>
        <w:tc>
          <w:tcPr>
            <w:tcW w:w="2438" w:type="dxa"/>
            <w:tcBorders>
              <w:top w:val="single" w:sz="4" w:space="0" w:color="auto"/>
              <w:left w:val="single" w:sz="4" w:space="0" w:color="auto"/>
              <w:bottom w:val="single" w:sz="4" w:space="0" w:color="auto"/>
              <w:right w:val="single" w:sz="4" w:space="0" w:color="auto"/>
            </w:tcBorders>
          </w:tcPr>
          <w:p w14:paraId="6CDF6CC2" w14:textId="14B2A0C0" w:rsidR="00112CA4" w:rsidRDefault="0091264E" w:rsidP="00ED4BBC">
            <w:r>
              <w:t>Abdul Hussein</w:t>
            </w:r>
          </w:p>
        </w:tc>
        <w:tc>
          <w:tcPr>
            <w:tcW w:w="4224" w:type="dxa"/>
            <w:tcBorders>
              <w:top w:val="single" w:sz="4" w:space="0" w:color="auto"/>
              <w:left w:val="single" w:sz="4" w:space="0" w:color="auto"/>
              <w:bottom w:val="single" w:sz="4" w:space="0" w:color="auto"/>
              <w:right w:val="single" w:sz="4" w:space="0" w:color="auto"/>
            </w:tcBorders>
          </w:tcPr>
          <w:p w14:paraId="525C4683" w14:textId="39E866A6" w:rsidR="00112CA4" w:rsidRDefault="0091264E" w:rsidP="00ED4BBC">
            <w:r>
              <w:t>National Program Officer</w:t>
            </w:r>
          </w:p>
        </w:tc>
      </w:tr>
      <w:tr w:rsidR="0091264E" w14:paraId="1706019E" w14:textId="77777777" w:rsidTr="00651F15">
        <w:tc>
          <w:tcPr>
            <w:tcW w:w="3681" w:type="dxa"/>
            <w:tcBorders>
              <w:top w:val="single" w:sz="4" w:space="0" w:color="auto"/>
              <w:left w:val="single" w:sz="4" w:space="0" w:color="auto"/>
              <w:bottom w:val="nil"/>
              <w:right w:val="single" w:sz="4" w:space="0" w:color="auto"/>
            </w:tcBorders>
          </w:tcPr>
          <w:p w14:paraId="3B95BD1B" w14:textId="5E792E10" w:rsidR="0091264E" w:rsidRDefault="0091264E" w:rsidP="00ED4BBC">
            <w:pPr>
              <w:rPr>
                <w:b/>
              </w:rPr>
            </w:pPr>
            <w:r w:rsidRPr="00953D39">
              <w:t>Ministry of Women, Children &amp; Poverty Alleviation Ministry of Women, Children &amp; Poverty Alleviation</w:t>
            </w:r>
          </w:p>
        </w:tc>
        <w:tc>
          <w:tcPr>
            <w:tcW w:w="2438" w:type="dxa"/>
            <w:tcBorders>
              <w:top w:val="single" w:sz="4" w:space="0" w:color="auto"/>
              <w:left w:val="single" w:sz="4" w:space="0" w:color="auto"/>
              <w:bottom w:val="single" w:sz="4" w:space="0" w:color="auto"/>
              <w:right w:val="single" w:sz="4" w:space="0" w:color="auto"/>
            </w:tcBorders>
          </w:tcPr>
          <w:p w14:paraId="7A848CFF" w14:textId="01FAEA6F" w:rsidR="0091264E" w:rsidRDefault="0091264E" w:rsidP="00ED4BBC">
            <w:r>
              <w:t>Jennifer Poole</w:t>
            </w:r>
          </w:p>
        </w:tc>
        <w:tc>
          <w:tcPr>
            <w:tcW w:w="4224" w:type="dxa"/>
            <w:tcBorders>
              <w:top w:val="single" w:sz="4" w:space="0" w:color="auto"/>
              <w:left w:val="single" w:sz="4" w:space="0" w:color="auto"/>
              <w:bottom w:val="single" w:sz="4" w:space="0" w:color="auto"/>
              <w:right w:val="single" w:sz="4" w:space="0" w:color="auto"/>
            </w:tcBorders>
          </w:tcPr>
          <w:p w14:paraId="4A220AD2" w14:textId="60D341BC" w:rsidR="0091264E" w:rsidRDefault="0091264E" w:rsidP="00ED4BBC">
            <w:r>
              <w:t>Permanent Secretary</w:t>
            </w:r>
          </w:p>
        </w:tc>
      </w:tr>
      <w:tr w:rsidR="0091264E" w14:paraId="1AB0E65E" w14:textId="77777777" w:rsidTr="00651F15">
        <w:tc>
          <w:tcPr>
            <w:tcW w:w="3681" w:type="dxa"/>
            <w:tcBorders>
              <w:top w:val="nil"/>
              <w:left w:val="single" w:sz="4" w:space="0" w:color="auto"/>
              <w:bottom w:val="nil"/>
              <w:right w:val="single" w:sz="4" w:space="0" w:color="auto"/>
            </w:tcBorders>
          </w:tcPr>
          <w:p w14:paraId="6D7ECB45" w14:textId="77777777" w:rsidR="0091264E" w:rsidRDefault="0091264E" w:rsidP="00ED4BBC">
            <w:pPr>
              <w:rPr>
                <w:b/>
              </w:rPr>
            </w:pPr>
          </w:p>
        </w:tc>
        <w:tc>
          <w:tcPr>
            <w:tcW w:w="2438" w:type="dxa"/>
            <w:tcBorders>
              <w:top w:val="single" w:sz="4" w:space="0" w:color="auto"/>
              <w:left w:val="single" w:sz="4" w:space="0" w:color="auto"/>
              <w:bottom w:val="single" w:sz="4" w:space="0" w:color="auto"/>
              <w:right w:val="single" w:sz="4" w:space="0" w:color="auto"/>
            </w:tcBorders>
          </w:tcPr>
          <w:p w14:paraId="3448F946" w14:textId="73E5B418" w:rsidR="0091264E" w:rsidRDefault="0091264E" w:rsidP="00ED4BBC">
            <w:proofErr w:type="spellStart"/>
            <w:r>
              <w:t>Selai</w:t>
            </w:r>
            <w:proofErr w:type="spellEnd"/>
            <w:r>
              <w:t xml:space="preserve"> </w:t>
            </w:r>
            <w:proofErr w:type="spellStart"/>
            <w:r>
              <w:t>Koroivusere</w:t>
            </w:r>
            <w:proofErr w:type="spellEnd"/>
          </w:p>
        </w:tc>
        <w:tc>
          <w:tcPr>
            <w:tcW w:w="4224" w:type="dxa"/>
            <w:tcBorders>
              <w:top w:val="single" w:sz="4" w:space="0" w:color="auto"/>
              <w:left w:val="single" w:sz="4" w:space="0" w:color="auto"/>
              <w:bottom w:val="single" w:sz="4" w:space="0" w:color="auto"/>
              <w:right w:val="single" w:sz="4" w:space="0" w:color="auto"/>
            </w:tcBorders>
          </w:tcPr>
          <w:p w14:paraId="6E8FB8C9" w14:textId="20CF17FA" w:rsidR="0091264E" w:rsidRDefault="0091264E" w:rsidP="00ED4BBC">
            <w:r>
              <w:t>Director</w:t>
            </w:r>
          </w:p>
        </w:tc>
      </w:tr>
      <w:tr w:rsidR="0091264E" w14:paraId="27CD8E13" w14:textId="77777777" w:rsidTr="00651F15">
        <w:tc>
          <w:tcPr>
            <w:tcW w:w="3681" w:type="dxa"/>
            <w:tcBorders>
              <w:top w:val="nil"/>
              <w:left w:val="single" w:sz="4" w:space="0" w:color="auto"/>
              <w:bottom w:val="single" w:sz="4" w:space="0" w:color="auto"/>
              <w:right w:val="single" w:sz="4" w:space="0" w:color="auto"/>
            </w:tcBorders>
          </w:tcPr>
          <w:p w14:paraId="128346DE" w14:textId="77777777" w:rsidR="0091264E" w:rsidRDefault="0091264E" w:rsidP="00ED4BBC">
            <w:pPr>
              <w:rPr>
                <w:b/>
              </w:rPr>
            </w:pPr>
          </w:p>
        </w:tc>
        <w:tc>
          <w:tcPr>
            <w:tcW w:w="2438" w:type="dxa"/>
            <w:tcBorders>
              <w:top w:val="single" w:sz="4" w:space="0" w:color="auto"/>
              <w:left w:val="single" w:sz="4" w:space="0" w:color="auto"/>
              <w:bottom w:val="single" w:sz="4" w:space="0" w:color="auto"/>
              <w:right w:val="single" w:sz="4" w:space="0" w:color="auto"/>
            </w:tcBorders>
          </w:tcPr>
          <w:p w14:paraId="51425B1C" w14:textId="7F2A7155" w:rsidR="0091264E" w:rsidRDefault="0091264E" w:rsidP="00ED4BBC">
            <w:proofErr w:type="spellStart"/>
            <w:r>
              <w:t>Anareta</w:t>
            </w:r>
            <w:proofErr w:type="spellEnd"/>
            <w:r>
              <w:t xml:space="preserve"> </w:t>
            </w:r>
            <w:proofErr w:type="spellStart"/>
            <w:r>
              <w:t>Apole</w:t>
            </w:r>
            <w:proofErr w:type="spellEnd"/>
          </w:p>
        </w:tc>
        <w:tc>
          <w:tcPr>
            <w:tcW w:w="4224" w:type="dxa"/>
            <w:tcBorders>
              <w:top w:val="single" w:sz="4" w:space="0" w:color="auto"/>
              <w:left w:val="single" w:sz="4" w:space="0" w:color="auto"/>
              <w:bottom w:val="single" w:sz="4" w:space="0" w:color="auto"/>
              <w:right w:val="single" w:sz="4" w:space="0" w:color="auto"/>
            </w:tcBorders>
          </w:tcPr>
          <w:p w14:paraId="79AE1E4E" w14:textId="3042E146" w:rsidR="0091264E" w:rsidRDefault="0091264E" w:rsidP="00ED4BBC">
            <w:r>
              <w:t>Program Coordinator</w:t>
            </w:r>
          </w:p>
        </w:tc>
      </w:tr>
      <w:tr w:rsidR="0091264E" w14:paraId="42832898" w14:textId="77777777" w:rsidTr="00651F15">
        <w:tc>
          <w:tcPr>
            <w:tcW w:w="3681" w:type="dxa"/>
            <w:tcBorders>
              <w:top w:val="single" w:sz="4" w:space="0" w:color="auto"/>
              <w:left w:val="single" w:sz="4" w:space="0" w:color="auto"/>
              <w:bottom w:val="nil"/>
              <w:right w:val="single" w:sz="4" w:space="0" w:color="auto"/>
            </w:tcBorders>
          </w:tcPr>
          <w:p w14:paraId="76974B11" w14:textId="389F071A" w:rsidR="0091264E" w:rsidRPr="0091264E" w:rsidRDefault="0091264E" w:rsidP="00ED4BBC">
            <w:r>
              <w:t xml:space="preserve">Ministry of Youth and Sport </w:t>
            </w:r>
          </w:p>
        </w:tc>
        <w:tc>
          <w:tcPr>
            <w:tcW w:w="2438" w:type="dxa"/>
            <w:tcBorders>
              <w:top w:val="single" w:sz="4" w:space="0" w:color="auto"/>
              <w:left w:val="single" w:sz="4" w:space="0" w:color="auto"/>
              <w:bottom w:val="single" w:sz="4" w:space="0" w:color="auto"/>
              <w:right w:val="single" w:sz="4" w:space="0" w:color="auto"/>
            </w:tcBorders>
          </w:tcPr>
          <w:p w14:paraId="2527D113" w14:textId="72DB531E" w:rsidR="0091264E" w:rsidRDefault="0091264E" w:rsidP="00ED4BBC">
            <w:r>
              <w:t xml:space="preserve">Philip </w:t>
            </w:r>
            <w:proofErr w:type="spellStart"/>
            <w:r>
              <w:t>Hereniko</w:t>
            </w:r>
            <w:proofErr w:type="spellEnd"/>
          </w:p>
        </w:tc>
        <w:tc>
          <w:tcPr>
            <w:tcW w:w="4224" w:type="dxa"/>
            <w:tcBorders>
              <w:top w:val="single" w:sz="4" w:space="0" w:color="auto"/>
              <w:left w:val="single" w:sz="4" w:space="0" w:color="auto"/>
              <w:bottom w:val="single" w:sz="4" w:space="0" w:color="auto"/>
              <w:right w:val="single" w:sz="4" w:space="0" w:color="auto"/>
            </w:tcBorders>
          </w:tcPr>
          <w:p w14:paraId="038C9029" w14:textId="1DB40963" w:rsidR="0091264E" w:rsidRDefault="0091264E" w:rsidP="00ED4BBC">
            <w:r>
              <w:t>Director</w:t>
            </w:r>
          </w:p>
        </w:tc>
      </w:tr>
      <w:tr w:rsidR="0091264E" w14:paraId="0599ECD4" w14:textId="77777777" w:rsidTr="00651F15">
        <w:tc>
          <w:tcPr>
            <w:tcW w:w="3681" w:type="dxa"/>
            <w:tcBorders>
              <w:top w:val="nil"/>
              <w:left w:val="single" w:sz="4" w:space="0" w:color="auto"/>
              <w:bottom w:val="nil"/>
              <w:right w:val="single" w:sz="4" w:space="0" w:color="auto"/>
            </w:tcBorders>
          </w:tcPr>
          <w:p w14:paraId="32C019A8" w14:textId="77777777" w:rsidR="0091264E" w:rsidRDefault="0091264E" w:rsidP="00ED4BBC"/>
        </w:tc>
        <w:tc>
          <w:tcPr>
            <w:tcW w:w="2438" w:type="dxa"/>
            <w:tcBorders>
              <w:top w:val="single" w:sz="4" w:space="0" w:color="auto"/>
              <w:left w:val="single" w:sz="4" w:space="0" w:color="auto"/>
              <w:bottom w:val="single" w:sz="4" w:space="0" w:color="auto"/>
              <w:right w:val="single" w:sz="4" w:space="0" w:color="auto"/>
            </w:tcBorders>
          </w:tcPr>
          <w:p w14:paraId="0EA4FE80" w14:textId="14423FA5" w:rsidR="0091264E" w:rsidRDefault="0091264E" w:rsidP="00ED4BBC">
            <w:proofErr w:type="spellStart"/>
            <w:r>
              <w:t>Ravinesh</w:t>
            </w:r>
            <w:proofErr w:type="spellEnd"/>
            <w:r>
              <w:t xml:space="preserve"> Lakhan</w:t>
            </w:r>
          </w:p>
        </w:tc>
        <w:tc>
          <w:tcPr>
            <w:tcW w:w="4224" w:type="dxa"/>
            <w:tcBorders>
              <w:top w:val="single" w:sz="4" w:space="0" w:color="auto"/>
              <w:left w:val="single" w:sz="4" w:space="0" w:color="auto"/>
              <w:bottom w:val="single" w:sz="4" w:space="0" w:color="auto"/>
              <w:right w:val="single" w:sz="4" w:space="0" w:color="auto"/>
            </w:tcBorders>
          </w:tcPr>
          <w:p w14:paraId="6AC43E61" w14:textId="173E93F4" w:rsidR="0091264E" w:rsidRDefault="0091264E" w:rsidP="00ED4BBC">
            <w:r>
              <w:t>Senior Research and Data Analytics Officer</w:t>
            </w:r>
          </w:p>
        </w:tc>
      </w:tr>
      <w:tr w:rsidR="0091264E" w14:paraId="65140910" w14:textId="77777777" w:rsidTr="00651F15">
        <w:tc>
          <w:tcPr>
            <w:tcW w:w="3681" w:type="dxa"/>
            <w:tcBorders>
              <w:top w:val="nil"/>
              <w:left w:val="single" w:sz="4" w:space="0" w:color="auto"/>
              <w:bottom w:val="single" w:sz="4" w:space="0" w:color="auto"/>
              <w:right w:val="single" w:sz="4" w:space="0" w:color="auto"/>
            </w:tcBorders>
          </w:tcPr>
          <w:p w14:paraId="2D21699E" w14:textId="77777777" w:rsidR="0091264E" w:rsidRDefault="0091264E" w:rsidP="00ED4BBC">
            <w:pPr>
              <w:rPr>
                <w:b/>
              </w:rPr>
            </w:pPr>
          </w:p>
        </w:tc>
        <w:tc>
          <w:tcPr>
            <w:tcW w:w="2438" w:type="dxa"/>
            <w:tcBorders>
              <w:top w:val="single" w:sz="4" w:space="0" w:color="auto"/>
              <w:left w:val="single" w:sz="4" w:space="0" w:color="auto"/>
              <w:bottom w:val="single" w:sz="4" w:space="0" w:color="auto"/>
              <w:right w:val="single" w:sz="4" w:space="0" w:color="auto"/>
            </w:tcBorders>
          </w:tcPr>
          <w:p w14:paraId="75DD9190" w14:textId="74832BE4" w:rsidR="0091264E" w:rsidRDefault="0091264E" w:rsidP="00ED4BBC">
            <w:proofErr w:type="spellStart"/>
            <w:r>
              <w:t>Eseteri</w:t>
            </w:r>
            <w:proofErr w:type="spellEnd"/>
            <w:r>
              <w:t xml:space="preserve"> </w:t>
            </w:r>
            <w:proofErr w:type="spellStart"/>
            <w:r>
              <w:t>Turagabeci</w:t>
            </w:r>
            <w:proofErr w:type="spellEnd"/>
          </w:p>
        </w:tc>
        <w:tc>
          <w:tcPr>
            <w:tcW w:w="4224" w:type="dxa"/>
            <w:tcBorders>
              <w:top w:val="single" w:sz="4" w:space="0" w:color="auto"/>
              <w:left w:val="single" w:sz="4" w:space="0" w:color="auto"/>
              <w:bottom w:val="single" w:sz="4" w:space="0" w:color="auto"/>
              <w:right w:val="single" w:sz="4" w:space="0" w:color="auto"/>
            </w:tcBorders>
          </w:tcPr>
          <w:p w14:paraId="502636E0" w14:textId="658DD483" w:rsidR="0091264E" w:rsidRDefault="0091264E" w:rsidP="00ED4BBC">
            <w:r>
              <w:t>SRHR Program Officer</w:t>
            </w:r>
          </w:p>
        </w:tc>
      </w:tr>
      <w:tr w:rsidR="00B166C9" w14:paraId="05E090EB" w14:textId="77777777" w:rsidTr="00651F15">
        <w:tc>
          <w:tcPr>
            <w:tcW w:w="3681" w:type="dxa"/>
            <w:tcBorders>
              <w:top w:val="single" w:sz="4" w:space="0" w:color="auto"/>
              <w:left w:val="single" w:sz="4" w:space="0" w:color="auto"/>
              <w:bottom w:val="single" w:sz="4" w:space="0" w:color="auto"/>
              <w:right w:val="nil"/>
            </w:tcBorders>
          </w:tcPr>
          <w:p w14:paraId="211F1930" w14:textId="718C12B7" w:rsidR="00B166C9" w:rsidRDefault="00B166C9" w:rsidP="00ED4BBC">
            <w:pPr>
              <w:rPr>
                <w:b/>
              </w:rPr>
            </w:pPr>
            <w:r>
              <w:rPr>
                <w:b/>
              </w:rPr>
              <w:lastRenderedPageBreak/>
              <w:t>Kiribati</w:t>
            </w:r>
          </w:p>
        </w:tc>
        <w:tc>
          <w:tcPr>
            <w:tcW w:w="2438" w:type="dxa"/>
            <w:tcBorders>
              <w:top w:val="single" w:sz="4" w:space="0" w:color="auto"/>
              <w:left w:val="nil"/>
              <w:bottom w:val="single" w:sz="4" w:space="0" w:color="auto"/>
              <w:right w:val="nil"/>
            </w:tcBorders>
          </w:tcPr>
          <w:p w14:paraId="4115F904" w14:textId="77777777" w:rsidR="00B166C9" w:rsidRDefault="00B166C9" w:rsidP="00ED4BBC"/>
        </w:tc>
        <w:tc>
          <w:tcPr>
            <w:tcW w:w="4224" w:type="dxa"/>
            <w:tcBorders>
              <w:top w:val="single" w:sz="4" w:space="0" w:color="auto"/>
              <w:left w:val="nil"/>
              <w:bottom w:val="single" w:sz="4" w:space="0" w:color="auto"/>
              <w:right w:val="single" w:sz="4" w:space="0" w:color="auto"/>
            </w:tcBorders>
          </w:tcPr>
          <w:p w14:paraId="02FED93C" w14:textId="77777777" w:rsidR="00B166C9" w:rsidRDefault="00B166C9" w:rsidP="00ED4BBC"/>
        </w:tc>
      </w:tr>
      <w:tr w:rsidR="00B166C9" w14:paraId="5CE98E7A" w14:textId="77777777" w:rsidTr="00651F15">
        <w:tc>
          <w:tcPr>
            <w:tcW w:w="3681" w:type="dxa"/>
            <w:tcBorders>
              <w:top w:val="single" w:sz="4" w:space="0" w:color="auto"/>
              <w:left w:val="single" w:sz="4" w:space="0" w:color="auto"/>
              <w:bottom w:val="single" w:sz="4" w:space="0" w:color="auto"/>
              <w:right w:val="single" w:sz="4" w:space="0" w:color="auto"/>
            </w:tcBorders>
          </w:tcPr>
          <w:p w14:paraId="30B04E41" w14:textId="2D85F5D2" w:rsidR="00B166C9" w:rsidRDefault="00B166C9" w:rsidP="00ED4BBC">
            <w:pPr>
              <w:rPr>
                <w:b/>
              </w:rPr>
            </w:pPr>
            <w:r w:rsidRPr="00E24D1D">
              <w:t>Ministry of Health and Medical Services</w:t>
            </w:r>
          </w:p>
        </w:tc>
        <w:tc>
          <w:tcPr>
            <w:tcW w:w="2438" w:type="dxa"/>
            <w:tcBorders>
              <w:top w:val="single" w:sz="4" w:space="0" w:color="auto"/>
              <w:left w:val="single" w:sz="4" w:space="0" w:color="auto"/>
              <w:bottom w:val="single" w:sz="4" w:space="0" w:color="auto"/>
              <w:right w:val="single" w:sz="4" w:space="0" w:color="auto"/>
            </w:tcBorders>
          </w:tcPr>
          <w:p w14:paraId="76B6EF3F" w14:textId="48E72991" w:rsidR="00B166C9" w:rsidRDefault="00B166C9" w:rsidP="00ED4BBC">
            <w:proofErr w:type="spellStart"/>
            <w:r>
              <w:t>Eretii</w:t>
            </w:r>
            <w:proofErr w:type="spellEnd"/>
            <w:r>
              <w:t xml:space="preserve"> </w:t>
            </w:r>
            <w:proofErr w:type="spellStart"/>
            <w:r>
              <w:t>Timeon</w:t>
            </w:r>
            <w:proofErr w:type="spellEnd"/>
          </w:p>
        </w:tc>
        <w:tc>
          <w:tcPr>
            <w:tcW w:w="4224" w:type="dxa"/>
            <w:tcBorders>
              <w:top w:val="single" w:sz="4" w:space="0" w:color="auto"/>
              <w:left w:val="single" w:sz="4" w:space="0" w:color="auto"/>
              <w:bottom w:val="single" w:sz="4" w:space="0" w:color="auto"/>
              <w:right w:val="single" w:sz="4" w:space="0" w:color="auto"/>
            </w:tcBorders>
          </w:tcPr>
          <w:p w14:paraId="630549B5" w14:textId="6DD2C63C" w:rsidR="00B166C9" w:rsidRDefault="00B166C9" w:rsidP="00ED4BBC">
            <w:r>
              <w:t>Director, Public Health</w:t>
            </w:r>
          </w:p>
        </w:tc>
      </w:tr>
      <w:tr w:rsidR="00B166C9" w14:paraId="1A83E6DB" w14:textId="77777777" w:rsidTr="00651F15">
        <w:tc>
          <w:tcPr>
            <w:tcW w:w="3681" w:type="dxa"/>
            <w:tcBorders>
              <w:top w:val="single" w:sz="4" w:space="0" w:color="auto"/>
              <w:left w:val="single" w:sz="4" w:space="0" w:color="auto"/>
              <w:bottom w:val="single" w:sz="4" w:space="0" w:color="auto"/>
              <w:right w:val="single" w:sz="4" w:space="0" w:color="auto"/>
            </w:tcBorders>
          </w:tcPr>
          <w:p w14:paraId="698656A9" w14:textId="77777777" w:rsidR="00B166C9" w:rsidRPr="00E24D1D" w:rsidRDefault="00B166C9" w:rsidP="00ED4BBC"/>
        </w:tc>
        <w:tc>
          <w:tcPr>
            <w:tcW w:w="2438" w:type="dxa"/>
            <w:tcBorders>
              <w:top w:val="single" w:sz="4" w:space="0" w:color="auto"/>
              <w:left w:val="single" w:sz="4" w:space="0" w:color="auto"/>
              <w:bottom w:val="single" w:sz="4" w:space="0" w:color="auto"/>
              <w:right w:val="single" w:sz="4" w:space="0" w:color="auto"/>
            </w:tcBorders>
          </w:tcPr>
          <w:p w14:paraId="61B77D24" w14:textId="716D7F8C" w:rsidR="00B166C9" w:rsidRDefault="00B166C9" w:rsidP="00ED4BBC">
            <w:proofErr w:type="spellStart"/>
            <w:r w:rsidRPr="008A2077">
              <w:rPr>
                <w:rFonts w:cstheme="minorHAnsi"/>
              </w:rPr>
              <w:t>Remwan</w:t>
            </w:r>
            <w:proofErr w:type="spellEnd"/>
            <w:r w:rsidRPr="008A2077">
              <w:rPr>
                <w:rFonts w:cstheme="minorHAnsi"/>
              </w:rPr>
              <w:t xml:space="preserve"> </w:t>
            </w:r>
            <w:proofErr w:type="spellStart"/>
            <w:r w:rsidRPr="008A2077">
              <w:rPr>
                <w:rFonts w:cstheme="minorHAnsi"/>
              </w:rPr>
              <w:t>Mantaia</w:t>
            </w:r>
            <w:proofErr w:type="spellEnd"/>
          </w:p>
        </w:tc>
        <w:tc>
          <w:tcPr>
            <w:tcW w:w="4224" w:type="dxa"/>
            <w:tcBorders>
              <w:top w:val="single" w:sz="4" w:space="0" w:color="auto"/>
              <w:left w:val="single" w:sz="4" w:space="0" w:color="auto"/>
              <w:bottom w:val="single" w:sz="4" w:space="0" w:color="auto"/>
              <w:right w:val="single" w:sz="4" w:space="0" w:color="auto"/>
            </w:tcBorders>
          </w:tcPr>
          <w:p w14:paraId="5748AF8F" w14:textId="0C35E55A" w:rsidR="00B166C9" w:rsidRDefault="00B166C9" w:rsidP="00ED4BBC">
            <w:r w:rsidRPr="008A2077">
              <w:rPr>
                <w:rFonts w:cstheme="minorHAnsi"/>
              </w:rPr>
              <w:t>Maternal Health Program Manager</w:t>
            </w:r>
          </w:p>
        </w:tc>
      </w:tr>
      <w:tr w:rsidR="00B166C9" w14:paraId="2B213699" w14:textId="77777777" w:rsidTr="00651F15">
        <w:tc>
          <w:tcPr>
            <w:tcW w:w="3681" w:type="dxa"/>
            <w:tcBorders>
              <w:top w:val="single" w:sz="4" w:space="0" w:color="auto"/>
              <w:left w:val="single" w:sz="4" w:space="0" w:color="auto"/>
              <w:bottom w:val="single" w:sz="4" w:space="0" w:color="auto"/>
              <w:right w:val="single" w:sz="4" w:space="0" w:color="auto"/>
            </w:tcBorders>
          </w:tcPr>
          <w:p w14:paraId="2C68A606" w14:textId="77777777" w:rsidR="00B166C9" w:rsidRPr="00E24D1D" w:rsidRDefault="00B166C9" w:rsidP="00ED4BBC"/>
        </w:tc>
        <w:tc>
          <w:tcPr>
            <w:tcW w:w="2438" w:type="dxa"/>
            <w:tcBorders>
              <w:top w:val="single" w:sz="4" w:space="0" w:color="auto"/>
              <w:left w:val="single" w:sz="4" w:space="0" w:color="auto"/>
              <w:bottom w:val="single" w:sz="4" w:space="0" w:color="auto"/>
              <w:right w:val="single" w:sz="4" w:space="0" w:color="auto"/>
            </w:tcBorders>
          </w:tcPr>
          <w:p w14:paraId="45B5EDF3" w14:textId="1AB012CD" w:rsidR="00B166C9" w:rsidRDefault="00B166C9" w:rsidP="00ED4BBC">
            <w:proofErr w:type="spellStart"/>
            <w:r>
              <w:rPr>
                <w:rFonts w:cstheme="minorHAnsi"/>
              </w:rPr>
              <w:t>Arieta</w:t>
            </w:r>
            <w:proofErr w:type="spellEnd"/>
            <w:r>
              <w:rPr>
                <w:rFonts w:cstheme="minorHAnsi"/>
              </w:rPr>
              <w:t xml:space="preserve"> </w:t>
            </w:r>
            <w:proofErr w:type="spellStart"/>
            <w:r>
              <w:rPr>
                <w:rFonts w:cstheme="minorHAnsi"/>
              </w:rPr>
              <w:t>Teaero</w:t>
            </w:r>
            <w:proofErr w:type="spellEnd"/>
          </w:p>
        </w:tc>
        <w:tc>
          <w:tcPr>
            <w:tcW w:w="4224" w:type="dxa"/>
            <w:tcBorders>
              <w:top w:val="single" w:sz="4" w:space="0" w:color="auto"/>
              <w:left w:val="single" w:sz="4" w:space="0" w:color="auto"/>
              <w:bottom w:val="single" w:sz="4" w:space="0" w:color="auto"/>
              <w:right w:val="single" w:sz="4" w:space="0" w:color="auto"/>
            </w:tcBorders>
          </w:tcPr>
          <w:p w14:paraId="6F765ED6" w14:textId="391CA069" w:rsidR="00B166C9" w:rsidRDefault="00B166C9" w:rsidP="00ED4BBC">
            <w:r>
              <w:rPr>
                <w:rFonts w:cstheme="minorHAnsi"/>
              </w:rPr>
              <w:t>Senior Health Information Officer, HIS</w:t>
            </w:r>
          </w:p>
        </w:tc>
      </w:tr>
      <w:tr w:rsidR="00B166C9" w14:paraId="76A72A63" w14:textId="77777777" w:rsidTr="00651F15">
        <w:tc>
          <w:tcPr>
            <w:tcW w:w="3681" w:type="dxa"/>
            <w:tcBorders>
              <w:top w:val="single" w:sz="4" w:space="0" w:color="auto"/>
              <w:left w:val="single" w:sz="4" w:space="0" w:color="auto"/>
              <w:bottom w:val="single" w:sz="4" w:space="0" w:color="auto"/>
              <w:right w:val="single" w:sz="4" w:space="0" w:color="auto"/>
            </w:tcBorders>
          </w:tcPr>
          <w:p w14:paraId="7762BF64" w14:textId="77777777" w:rsidR="00B166C9" w:rsidRPr="00E24D1D" w:rsidRDefault="00B166C9" w:rsidP="00ED4BBC"/>
        </w:tc>
        <w:tc>
          <w:tcPr>
            <w:tcW w:w="2438" w:type="dxa"/>
            <w:tcBorders>
              <w:top w:val="single" w:sz="4" w:space="0" w:color="auto"/>
              <w:left w:val="single" w:sz="4" w:space="0" w:color="auto"/>
              <w:bottom w:val="single" w:sz="4" w:space="0" w:color="auto"/>
              <w:right w:val="single" w:sz="4" w:space="0" w:color="auto"/>
            </w:tcBorders>
          </w:tcPr>
          <w:p w14:paraId="225546F5" w14:textId="07585565" w:rsidR="00B166C9" w:rsidRDefault="00B166C9" w:rsidP="00ED4BBC">
            <w:proofErr w:type="spellStart"/>
            <w:r>
              <w:t>Kaititaake</w:t>
            </w:r>
            <w:proofErr w:type="spellEnd"/>
            <w:r>
              <w:t xml:space="preserve"> </w:t>
            </w:r>
            <w:proofErr w:type="spellStart"/>
            <w:r>
              <w:t>Itintaake</w:t>
            </w:r>
            <w:proofErr w:type="spellEnd"/>
          </w:p>
        </w:tc>
        <w:tc>
          <w:tcPr>
            <w:tcW w:w="4224" w:type="dxa"/>
            <w:tcBorders>
              <w:top w:val="single" w:sz="4" w:space="0" w:color="auto"/>
              <w:left w:val="single" w:sz="4" w:space="0" w:color="auto"/>
              <w:bottom w:val="single" w:sz="4" w:space="0" w:color="auto"/>
              <w:right w:val="single" w:sz="4" w:space="0" w:color="auto"/>
            </w:tcBorders>
          </w:tcPr>
          <w:p w14:paraId="3C8FE093" w14:textId="7C9A045F" w:rsidR="00B166C9" w:rsidRDefault="00B166C9" w:rsidP="00ED4BBC">
            <w:r>
              <w:t>AYFS/GBV Clinic</w:t>
            </w:r>
          </w:p>
        </w:tc>
      </w:tr>
      <w:tr w:rsidR="00B166C9" w14:paraId="4AB87393" w14:textId="77777777" w:rsidTr="00651F15">
        <w:tc>
          <w:tcPr>
            <w:tcW w:w="3681" w:type="dxa"/>
            <w:tcBorders>
              <w:top w:val="single" w:sz="4" w:space="0" w:color="auto"/>
              <w:left w:val="single" w:sz="4" w:space="0" w:color="auto"/>
              <w:bottom w:val="single" w:sz="4" w:space="0" w:color="auto"/>
              <w:right w:val="single" w:sz="4" w:space="0" w:color="auto"/>
            </w:tcBorders>
          </w:tcPr>
          <w:p w14:paraId="64C69660" w14:textId="77777777" w:rsidR="00B166C9" w:rsidRPr="00E24D1D" w:rsidRDefault="00B166C9" w:rsidP="00ED4BBC"/>
        </w:tc>
        <w:tc>
          <w:tcPr>
            <w:tcW w:w="2438" w:type="dxa"/>
            <w:tcBorders>
              <w:top w:val="single" w:sz="4" w:space="0" w:color="auto"/>
              <w:left w:val="single" w:sz="4" w:space="0" w:color="auto"/>
              <w:bottom w:val="single" w:sz="4" w:space="0" w:color="auto"/>
              <w:right w:val="single" w:sz="4" w:space="0" w:color="auto"/>
            </w:tcBorders>
          </w:tcPr>
          <w:p w14:paraId="3183C02F" w14:textId="3FBC9383" w:rsidR="00B166C9" w:rsidRDefault="00B166C9" w:rsidP="00ED4BBC">
            <w:proofErr w:type="spellStart"/>
            <w:r>
              <w:t>Tiroia</w:t>
            </w:r>
            <w:proofErr w:type="spellEnd"/>
            <w:r>
              <w:t xml:space="preserve"> </w:t>
            </w:r>
            <w:proofErr w:type="spellStart"/>
            <w:r>
              <w:t>Teikake</w:t>
            </w:r>
            <w:proofErr w:type="spellEnd"/>
          </w:p>
        </w:tc>
        <w:tc>
          <w:tcPr>
            <w:tcW w:w="4224" w:type="dxa"/>
            <w:tcBorders>
              <w:top w:val="single" w:sz="4" w:space="0" w:color="auto"/>
              <w:left w:val="single" w:sz="4" w:space="0" w:color="auto"/>
              <w:bottom w:val="single" w:sz="4" w:space="0" w:color="auto"/>
              <w:right w:val="single" w:sz="4" w:space="0" w:color="auto"/>
            </w:tcBorders>
          </w:tcPr>
          <w:p w14:paraId="2670A6B7" w14:textId="006D6EB4" w:rsidR="00B166C9" w:rsidRDefault="00B166C9" w:rsidP="00ED4BBC">
            <w:proofErr w:type="spellStart"/>
            <w:r>
              <w:t>OHealth</w:t>
            </w:r>
            <w:proofErr w:type="spellEnd"/>
            <w:r>
              <w:t xml:space="preserve"> Specialist</w:t>
            </w:r>
          </w:p>
        </w:tc>
      </w:tr>
      <w:tr w:rsidR="00582ACC" w14:paraId="5C379FB6" w14:textId="77777777" w:rsidTr="00651F15">
        <w:tc>
          <w:tcPr>
            <w:tcW w:w="3681" w:type="dxa"/>
            <w:tcBorders>
              <w:top w:val="single" w:sz="4" w:space="0" w:color="auto"/>
              <w:left w:val="single" w:sz="4" w:space="0" w:color="auto"/>
              <w:bottom w:val="nil"/>
              <w:right w:val="single" w:sz="4" w:space="0" w:color="auto"/>
            </w:tcBorders>
          </w:tcPr>
          <w:p w14:paraId="5A41161C" w14:textId="77777777" w:rsidR="00582ACC" w:rsidRPr="00E24D1D" w:rsidRDefault="00582ACC" w:rsidP="00582ACC">
            <w:pPr>
              <w:pStyle w:val="NoSpacing"/>
            </w:pPr>
            <w:r w:rsidRPr="00E24D1D">
              <w:t>Ministry of Finance and Economic Planning</w:t>
            </w:r>
          </w:p>
          <w:p w14:paraId="5456532A" w14:textId="0DFA17BA" w:rsidR="00582ACC" w:rsidRPr="00E24D1D" w:rsidRDefault="00582ACC" w:rsidP="00582ACC">
            <w:r w:rsidRPr="00E24D1D">
              <w:t>Statistics Office</w:t>
            </w:r>
            <w:r w:rsidRPr="00E24D1D">
              <w:tab/>
            </w:r>
          </w:p>
        </w:tc>
        <w:tc>
          <w:tcPr>
            <w:tcW w:w="2438" w:type="dxa"/>
            <w:tcBorders>
              <w:top w:val="single" w:sz="4" w:space="0" w:color="auto"/>
              <w:left w:val="single" w:sz="4" w:space="0" w:color="auto"/>
              <w:bottom w:val="single" w:sz="4" w:space="0" w:color="auto"/>
              <w:right w:val="single" w:sz="4" w:space="0" w:color="auto"/>
            </w:tcBorders>
          </w:tcPr>
          <w:p w14:paraId="02CFD019" w14:textId="77777777" w:rsidR="00582ACC" w:rsidRDefault="00582ACC" w:rsidP="00582ACC">
            <w:pPr>
              <w:pStyle w:val="NoSpacing"/>
            </w:pPr>
            <w:proofErr w:type="spellStart"/>
            <w:r>
              <w:t>Aritita</w:t>
            </w:r>
            <w:proofErr w:type="spellEnd"/>
            <w:r>
              <w:t xml:space="preserve"> </w:t>
            </w:r>
            <w:proofErr w:type="spellStart"/>
            <w:r>
              <w:t>Tekaieti</w:t>
            </w:r>
            <w:proofErr w:type="spellEnd"/>
          </w:p>
          <w:p w14:paraId="0EC159AA" w14:textId="77777777" w:rsidR="00582ACC" w:rsidRDefault="00582ACC" w:rsidP="00ED4BBC"/>
        </w:tc>
        <w:tc>
          <w:tcPr>
            <w:tcW w:w="4224" w:type="dxa"/>
            <w:tcBorders>
              <w:top w:val="single" w:sz="4" w:space="0" w:color="auto"/>
              <w:left w:val="single" w:sz="4" w:space="0" w:color="auto"/>
              <w:bottom w:val="single" w:sz="4" w:space="0" w:color="auto"/>
              <w:right w:val="single" w:sz="4" w:space="0" w:color="auto"/>
            </w:tcBorders>
          </w:tcPr>
          <w:p w14:paraId="2A997559" w14:textId="2984C061" w:rsidR="00582ACC" w:rsidRDefault="00582ACC" w:rsidP="00ED4BBC">
            <w:r>
              <w:t>Statistics Officer</w:t>
            </w:r>
          </w:p>
        </w:tc>
      </w:tr>
      <w:tr w:rsidR="00582ACC" w14:paraId="6AE9E6EE" w14:textId="77777777" w:rsidTr="00651F15">
        <w:tc>
          <w:tcPr>
            <w:tcW w:w="3681" w:type="dxa"/>
            <w:tcBorders>
              <w:top w:val="nil"/>
              <w:left w:val="single" w:sz="4" w:space="0" w:color="auto"/>
              <w:bottom w:val="nil"/>
              <w:right w:val="single" w:sz="4" w:space="0" w:color="auto"/>
            </w:tcBorders>
          </w:tcPr>
          <w:p w14:paraId="2530A2A5" w14:textId="7ACD6A39" w:rsidR="00582ACC" w:rsidRPr="00E24D1D" w:rsidRDefault="00582ACC" w:rsidP="00ED4BBC">
            <w:r>
              <w:t xml:space="preserve">Ministry of Women, Youth, Sport and Social Affairs (MWYSSA) Youth Division   </w:t>
            </w:r>
          </w:p>
        </w:tc>
        <w:tc>
          <w:tcPr>
            <w:tcW w:w="2438" w:type="dxa"/>
            <w:tcBorders>
              <w:top w:val="single" w:sz="4" w:space="0" w:color="auto"/>
              <w:left w:val="single" w:sz="4" w:space="0" w:color="auto"/>
              <w:bottom w:val="single" w:sz="4" w:space="0" w:color="auto"/>
              <w:right w:val="single" w:sz="4" w:space="0" w:color="auto"/>
            </w:tcBorders>
          </w:tcPr>
          <w:p w14:paraId="55DC658A" w14:textId="09E689AA" w:rsidR="00582ACC" w:rsidRDefault="00582ACC" w:rsidP="00ED4BBC">
            <w:proofErr w:type="spellStart"/>
            <w:r>
              <w:t>Teenati</w:t>
            </w:r>
            <w:proofErr w:type="spellEnd"/>
            <w:r>
              <w:t xml:space="preserve"> </w:t>
            </w:r>
            <w:proofErr w:type="spellStart"/>
            <w:r>
              <w:t>Tiberete</w:t>
            </w:r>
            <w:proofErr w:type="spellEnd"/>
          </w:p>
        </w:tc>
        <w:tc>
          <w:tcPr>
            <w:tcW w:w="4224" w:type="dxa"/>
            <w:tcBorders>
              <w:top w:val="single" w:sz="4" w:space="0" w:color="auto"/>
              <w:left w:val="single" w:sz="4" w:space="0" w:color="auto"/>
              <w:bottom w:val="single" w:sz="4" w:space="0" w:color="auto"/>
              <w:right w:val="single" w:sz="4" w:space="0" w:color="auto"/>
            </w:tcBorders>
          </w:tcPr>
          <w:p w14:paraId="1CDC3A52" w14:textId="77777777" w:rsidR="00582ACC" w:rsidRDefault="00582ACC" w:rsidP="00582ACC">
            <w:pPr>
              <w:pStyle w:val="NoSpacing"/>
            </w:pPr>
            <w:r>
              <w:t>Youth Officer</w:t>
            </w:r>
          </w:p>
          <w:p w14:paraId="0330318F" w14:textId="77777777" w:rsidR="00582ACC" w:rsidRDefault="00582ACC" w:rsidP="00ED4BBC"/>
        </w:tc>
      </w:tr>
      <w:tr w:rsidR="00582ACC" w14:paraId="0DFA28B1" w14:textId="77777777" w:rsidTr="00651F15">
        <w:tc>
          <w:tcPr>
            <w:tcW w:w="3681" w:type="dxa"/>
            <w:tcBorders>
              <w:top w:val="nil"/>
              <w:left w:val="single" w:sz="4" w:space="0" w:color="auto"/>
              <w:bottom w:val="nil"/>
              <w:right w:val="single" w:sz="4" w:space="0" w:color="auto"/>
            </w:tcBorders>
          </w:tcPr>
          <w:p w14:paraId="78BBF745" w14:textId="77777777" w:rsidR="00582ACC" w:rsidRDefault="00582ACC" w:rsidP="00ED4BBC"/>
        </w:tc>
        <w:tc>
          <w:tcPr>
            <w:tcW w:w="2438" w:type="dxa"/>
            <w:tcBorders>
              <w:top w:val="single" w:sz="4" w:space="0" w:color="auto"/>
              <w:left w:val="single" w:sz="4" w:space="0" w:color="auto"/>
              <w:bottom w:val="single" w:sz="4" w:space="0" w:color="auto"/>
              <w:right w:val="single" w:sz="4" w:space="0" w:color="auto"/>
            </w:tcBorders>
          </w:tcPr>
          <w:p w14:paraId="5E0A0C59" w14:textId="4B6485E1" w:rsidR="00582ACC" w:rsidRDefault="00582ACC" w:rsidP="00ED4BBC">
            <w:proofErr w:type="spellStart"/>
            <w:r>
              <w:t>Tetaua</w:t>
            </w:r>
            <w:proofErr w:type="spellEnd"/>
            <w:r>
              <w:t xml:space="preserve"> </w:t>
            </w:r>
            <w:proofErr w:type="spellStart"/>
            <w:r>
              <w:t>Viriam</w:t>
            </w:r>
            <w:proofErr w:type="spellEnd"/>
          </w:p>
        </w:tc>
        <w:tc>
          <w:tcPr>
            <w:tcW w:w="4224" w:type="dxa"/>
            <w:tcBorders>
              <w:top w:val="single" w:sz="4" w:space="0" w:color="auto"/>
              <w:left w:val="single" w:sz="4" w:space="0" w:color="auto"/>
              <w:bottom w:val="single" w:sz="4" w:space="0" w:color="auto"/>
              <w:right w:val="single" w:sz="4" w:space="0" w:color="auto"/>
            </w:tcBorders>
          </w:tcPr>
          <w:p w14:paraId="42889CF5" w14:textId="2AE051A2" w:rsidR="00582ACC" w:rsidRDefault="00582ACC" w:rsidP="00582ACC">
            <w:pPr>
              <w:pStyle w:val="NoSpacing"/>
            </w:pPr>
            <w:r>
              <w:t>Youth Officer</w:t>
            </w:r>
          </w:p>
        </w:tc>
      </w:tr>
      <w:tr w:rsidR="00582ACC" w14:paraId="6BC89513" w14:textId="77777777" w:rsidTr="00651F15">
        <w:tc>
          <w:tcPr>
            <w:tcW w:w="3681" w:type="dxa"/>
            <w:tcBorders>
              <w:top w:val="nil"/>
              <w:left w:val="single" w:sz="4" w:space="0" w:color="auto"/>
              <w:bottom w:val="single" w:sz="4" w:space="0" w:color="auto"/>
              <w:right w:val="single" w:sz="4" w:space="0" w:color="auto"/>
            </w:tcBorders>
          </w:tcPr>
          <w:p w14:paraId="4B46FC00" w14:textId="77777777" w:rsidR="00582ACC" w:rsidRDefault="00582ACC" w:rsidP="00ED4BBC"/>
        </w:tc>
        <w:tc>
          <w:tcPr>
            <w:tcW w:w="2438" w:type="dxa"/>
            <w:tcBorders>
              <w:top w:val="single" w:sz="4" w:space="0" w:color="auto"/>
              <w:left w:val="single" w:sz="4" w:space="0" w:color="auto"/>
              <w:bottom w:val="single" w:sz="4" w:space="0" w:color="auto"/>
              <w:right w:val="single" w:sz="4" w:space="0" w:color="auto"/>
            </w:tcBorders>
          </w:tcPr>
          <w:p w14:paraId="7D3E5739" w14:textId="5CC51ECF" w:rsidR="00582ACC" w:rsidRDefault="00582ACC" w:rsidP="00ED4BBC">
            <w:proofErr w:type="spellStart"/>
            <w:r>
              <w:t>Anginako</w:t>
            </w:r>
            <w:proofErr w:type="spellEnd"/>
            <w:r>
              <w:t xml:space="preserve"> </w:t>
            </w:r>
            <w:proofErr w:type="spellStart"/>
            <w:r>
              <w:t>Taake</w:t>
            </w:r>
            <w:proofErr w:type="spellEnd"/>
          </w:p>
        </w:tc>
        <w:tc>
          <w:tcPr>
            <w:tcW w:w="4224" w:type="dxa"/>
            <w:tcBorders>
              <w:top w:val="single" w:sz="4" w:space="0" w:color="auto"/>
              <w:left w:val="single" w:sz="4" w:space="0" w:color="auto"/>
              <w:bottom w:val="single" w:sz="4" w:space="0" w:color="auto"/>
              <w:right w:val="single" w:sz="4" w:space="0" w:color="auto"/>
            </w:tcBorders>
          </w:tcPr>
          <w:p w14:paraId="5BA533FF" w14:textId="4AA6034B" w:rsidR="00582ACC" w:rsidRDefault="00582ACC" w:rsidP="00582ACC">
            <w:pPr>
              <w:pStyle w:val="NoSpacing"/>
            </w:pPr>
            <w:r>
              <w:t>Youth Officer</w:t>
            </w:r>
          </w:p>
        </w:tc>
      </w:tr>
      <w:tr w:rsidR="00582ACC" w14:paraId="4FE2B491" w14:textId="77777777" w:rsidTr="00651F15">
        <w:tc>
          <w:tcPr>
            <w:tcW w:w="3681" w:type="dxa"/>
            <w:tcBorders>
              <w:top w:val="single" w:sz="4" w:space="0" w:color="auto"/>
              <w:left w:val="single" w:sz="4" w:space="0" w:color="auto"/>
              <w:bottom w:val="nil"/>
              <w:right w:val="single" w:sz="4" w:space="0" w:color="auto"/>
            </w:tcBorders>
          </w:tcPr>
          <w:p w14:paraId="2B81479E" w14:textId="02A8C374" w:rsidR="00582ACC" w:rsidRDefault="00582ACC" w:rsidP="00ED4BBC">
            <w:r>
              <w:t>MWYSSA Women’s Division</w:t>
            </w:r>
          </w:p>
        </w:tc>
        <w:tc>
          <w:tcPr>
            <w:tcW w:w="2438" w:type="dxa"/>
            <w:tcBorders>
              <w:top w:val="single" w:sz="4" w:space="0" w:color="auto"/>
              <w:left w:val="single" w:sz="4" w:space="0" w:color="auto"/>
              <w:bottom w:val="single" w:sz="4" w:space="0" w:color="auto"/>
              <w:right w:val="single" w:sz="4" w:space="0" w:color="auto"/>
            </w:tcBorders>
          </w:tcPr>
          <w:p w14:paraId="19A55310" w14:textId="320093BB" w:rsidR="00582ACC" w:rsidRDefault="00582ACC" w:rsidP="00ED4BBC">
            <w:proofErr w:type="spellStart"/>
            <w:r>
              <w:t>Tarota</w:t>
            </w:r>
            <w:proofErr w:type="spellEnd"/>
            <w:r>
              <w:t xml:space="preserve"> </w:t>
            </w:r>
            <w:proofErr w:type="spellStart"/>
            <w:r>
              <w:t>Bwewetara</w:t>
            </w:r>
            <w:proofErr w:type="spellEnd"/>
          </w:p>
        </w:tc>
        <w:tc>
          <w:tcPr>
            <w:tcW w:w="4224" w:type="dxa"/>
            <w:tcBorders>
              <w:top w:val="single" w:sz="4" w:space="0" w:color="auto"/>
              <w:left w:val="single" w:sz="4" w:space="0" w:color="auto"/>
              <w:bottom w:val="single" w:sz="4" w:space="0" w:color="auto"/>
              <w:right w:val="single" w:sz="4" w:space="0" w:color="auto"/>
            </w:tcBorders>
          </w:tcPr>
          <w:p w14:paraId="76705E68" w14:textId="4141593D" w:rsidR="00582ACC" w:rsidRDefault="00582ACC" w:rsidP="00582ACC">
            <w:pPr>
              <w:pStyle w:val="NoSpacing"/>
            </w:pPr>
            <w:r>
              <w:t>Elimination of Sexual and Gender Based Violence Coordinator</w:t>
            </w:r>
          </w:p>
        </w:tc>
      </w:tr>
      <w:tr w:rsidR="00582ACC" w14:paraId="01ECECEF" w14:textId="77777777" w:rsidTr="00651F15">
        <w:tc>
          <w:tcPr>
            <w:tcW w:w="3681" w:type="dxa"/>
            <w:tcBorders>
              <w:top w:val="nil"/>
              <w:left w:val="single" w:sz="4" w:space="0" w:color="auto"/>
              <w:bottom w:val="nil"/>
              <w:right w:val="single" w:sz="4" w:space="0" w:color="auto"/>
            </w:tcBorders>
          </w:tcPr>
          <w:p w14:paraId="0D118A9A" w14:textId="77777777" w:rsidR="00582ACC" w:rsidRDefault="00582ACC" w:rsidP="00ED4BBC"/>
        </w:tc>
        <w:tc>
          <w:tcPr>
            <w:tcW w:w="2438" w:type="dxa"/>
            <w:tcBorders>
              <w:top w:val="single" w:sz="4" w:space="0" w:color="auto"/>
              <w:left w:val="single" w:sz="4" w:space="0" w:color="auto"/>
              <w:bottom w:val="single" w:sz="4" w:space="0" w:color="auto"/>
              <w:right w:val="single" w:sz="4" w:space="0" w:color="auto"/>
            </w:tcBorders>
          </w:tcPr>
          <w:p w14:paraId="74FEFF39" w14:textId="06755250" w:rsidR="00582ACC" w:rsidRDefault="00582ACC" w:rsidP="00ED4BBC">
            <w:proofErr w:type="spellStart"/>
            <w:r>
              <w:t>Teata</w:t>
            </w:r>
            <w:proofErr w:type="spellEnd"/>
            <w:r>
              <w:t xml:space="preserve"> Wilson</w:t>
            </w:r>
          </w:p>
        </w:tc>
        <w:tc>
          <w:tcPr>
            <w:tcW w:w="4224" w:type="dxa"/>
            <w:tcBorders>
              <w:top w:val="single" w:sz="4" w:space="0" w:color="auto"/>
              <w:left w:val="single" w:sz="4" w:space="0" w:color="auto"/>
              <w:bottom w:val="single" w:sz="4" w:space="0" w:color="auto"/>
              <w:right w:val="single" w:sz="4" w:space="0" w:color="auto"/>
            </w:tcBorders>
          </w:tcPr>
          <w:p w14:paraId="75922045" w14:textId="644EE93A" w:rsidR="00582ACC" w:rsidRDefault="00582ACC" w:rsidP="00582ACC">
            <w:pPr>
              <w:pStyle w:val="NoSpacing"/>
            </w:pPr>
            <w:r>
              <w:t>Domestic Violence Officer</w:t>
            </w:r>
          </w:p>
        </w:tc>
      </w:tr>
      <w:tr w:rsidR="00582ACC" w14:paraId="50537305" w14:textId="77777777" w:rsidTr="00651F15">
        <w:tc>
          <w:tcPr>
            <w:tcW w:w="3681" w:type="dxa"/>
            <w:tcBorders>
              <w:top w:val="nil"/>
              <w:left w:val="single" w:sz="4" w:space="0" w:color="auto"/>
              <w:bottom w:val="single" w:sz="4" w:space="0" w:color="auto"/>
              <w:right w:val="single" w:sz="4" w:space="0" w:color="auto"/>
            </w:tcBorders>
          </w:tcPr>
          <w:p w14:paraId="0174807C" w14:textId="77777777" w:rsidR="00582ACC" w:rsidRDefault="00582ACC" w:rsidP="00ED4BBC"/>
        </w:tc>
        <w:tc>
          <w:tcPr>
            <w:tcW w:w="2438" w:type="dxa"/>
            <w:tcBorders>
              <w:top w:val="single" w:sz="4" w:space="0" w:color="auto"/>
              <w:left w:val="single" w:sz="4" w:space="0" w:color="auto"/>
              <w:bottom w:val="single" w:sz="4" w:space="0" w:color="auto"/>
              <w:right w:val="single" w:sz="4" w:space="0" w:color="auto"/>
            </w:tcBorders>
          </w:tcPr>
          <w:p w14:paraId="6D71B87C" w14:textId="0B701FF6" w:rsidR="00582ACC" w:rsidRDefault="00582ACC" w:rsidP="00ED4BBC">
            <w:r>
              <w:t>Melinda Christopher</w:t>
            </w:r>
          </w:p>
        </w:tc>
        <w:tc>
          <w:tcPr>
            <w:tcW w:w="4224" w:type="dxa"/>
            <w:tcBorders>
              <w:top w:val="single" w:sz="4" w:space="0" w:color="auto"/>
              <w:left w:val="single" w:sz="4" w:space="0" w:color="auto"/>
              <w:bottom w:val="single" w:sz="4" w:space="0" w:color="auto"/>
              <w:right w:val="single" w:sz="4" w:space="0" w:color="auto"/>
            </w:tcBorders>
          </w:tcPr>
          <w:p w14:paraId="3EBF6A07" w14:textId="25A98DDE" w:rsidR="00582ACC" w:rsidRDefault="00582ACC" w:rsidP="00582ACC">
            <w:pPr>
              <w:pStyle w:val="NoSpacing"/>
            </w:pPr>
            <w:r>
              <w:t>SafeNet Coordinator</w:t>
            </w:r>
          </w:p>
        </w:tc>
      </w:tr>
      <w:tr w:rsidR="00582ACC" w14:paraId="5D0E885A" w14:textId="77777777" w:rsidTr="00651F15">
        <w:tc>
          <w:tcPr>
            <w:tcW w:w="3681" w:type="dxa"/>
            <w:tcBorders>
              <w:top w:val="single" w:sz="4" w:space="0" w:color="auto"/>
              <w:left w:val="single" w:sz="4" w:space="0" w:color="auto"/>
              <w:bottom w:val="nil"/>
              <w:right w:val="single" w:sz="4" w:space="0" w:color="auto"/>
            </w:tcBorders>
          </w:tcPr>
          <w:p w14:paraId="789E51A1" w14:textId="6A8D00F1" w:rsidR="00582ACC" w:rsidRDefault="00582ACC" w:rsidP="00ED4BBC">
            <w:r>
              <w:t>Ministry of Education</w:t>
            </w:r>
          </w:p>
        </w:tc>
        <w:tc>
          <w:tcPr>
            <w:tcW w:w="2438" w:type="dxa"/>
            <w:tcBorders>
              <w:top w:val="single" w:sz="4" w:space="0" w:color="auto"/>
              <w:left w:val="single" w:sz="4" w:space="0" w:color="auto"/>
              <w:bottom w:val="single" w:sz="4" w:space="0" w:color="auto"/>
              <w:right w:val="single" w:sz="4" w:space="0" w:color="auto"/>
            </w:tcBorders>
          </w:tcPr>
          <w:p w14:paraId="6CAE8931" w14:textId="2011EE44" w:rsidR="00582ACC" w:rsidRDefault="00582ACC" w:rsidP="00ED4BBC">
            <w:r>
              <w:t xml:space="preserve">Lucy </w:t>
            </w:r>
            <w:proofErr w:type="spellStart"/>
            <w:r>
              <w:t>Kum</w:t>
            </w:r>
            <w:proofErr w:type="spellEnd"/>
            <w:r>
              <w:t xml:space="preserve"> On</w:t>
            </w:r>
          </w:p>
        </w:tc>
        <w:tc>
          <w:tcPr>
            <w:tcW w:w="4224" w:type="dxa"/>
            <w:tcBorders>
              <w:top w:val="single" w:sz="4" w:space="0" w:color="auto"/>
              <w:left w:val="single" w:sz="4" w:space="0" w:color="auto"/>
              <w:bottom w:val="single" w:sz="4" w:space="0" w:color="auto"/>
              <w:right w:val="single" w:sz="4" w:space="0" w:color="auto"/>
            </w:tcBorders>
          </w:tcPr>
          <w:p w14:paraId="7ED218CE" w14:textId="65A2EACB" w:rsidR="00582ACC" w:rsidRDefault="00582ACC" w:rsidP="00582ACC">
            <w:pPr>
              <w:pStyle w:val="NoSpacing"/>
            </w:pPr>
            <w:r>
              <w:t>Principal, Kiribati Teachers’ College</w:t>
            </w:r>
          </w:p>
        </w:tc>
      </w:tr>
      <w:tr w:rsidR="00582ACC" w14:paraId="4DD3656A" w14:textId="77777777" w:rsidTr="00651F15">
        <w:tc>
          <w:tcPr>
            <w:tcW w:w="3681" w:type="dxa"/>
            <w:tcBorders>
              <w:top w:val="nil"/>
              <w:left w:val="single" w:sz="4" w:space="0" w:color="auto"/>
              <w:bottom w:val="nil"/>
              <w:right w:val="single" w:sz="4" w:space="0" w:color="auto"/>
            </w:tcBorders>
          </w:tcPr>
          <w:p w14:paraId="3612857E" w14:textId="77777777" w:rsidR="00582ACC" w:rsidRDefault="00582ACC" w:rsidP="00ED4BBC"/>
        </w:tc>
        <w:tc>
          <w:tcPr>
            <w:tcW w:w="2438" w:type="dxa"/>
            <w:tcBorders>
              <w:top w:val="single" w:sz="4" w:space="0" w:color="auto"/>
              <w:left w:val="single" w:sz="4" w:space="0" w:color="auto"/>
              <w:bottom w:val="single" w:sz="4" w:space="0" w:color="auto"/>
              <w:right w:val="single" w:sz="4" w:space="0" w:color="auto"/>
            </w:tcBorders>
          </w:tcPr>
          <w:p w14:paraId="7F97FD66" w14:textId="49EC8C23" w:rsidR="00582ACC" w:rsidRDefault="00582ACC" w:rsidP="00ED4BBC">
            <w:proofErr w:type="spellStart"/>
            <w:r>
              <w:t>Teeta</w:t>
            </w:r>
            <w:proofErr w:type="spellEnd"/>
            <w:r>
              <w:t xml:space="preserve"> Kabiriera</w:t>
            </w:r>
          </w:p>
        </w:tc>
        <w:tc>
          <w:tcPr>
            <w:tcW w:w="4224" w:type="dxa"/>
            <w:tcBorders>
              <w:top w:val="single" w:sz="4" w:space="0" w:color="auto"/>
              <w:left w:val="single" w:sz="4" w:space="0" w:color="auto"/>
              <w:bottom w:val="single" w:sz="4" w:space="0" w:color="auto"/>
              <w:right w:val="single" w:sz="4" w:space="0" w:color="auto"/>
            </w:tcBorders>
          </w:tcPr>
          <w:p w14:paraId="04E12EF7" w14:textId="1041A7AE" w:rsidR="00582ACC" w:rsidRDefault="00582ACC" w:rsidP="00582ACC">
            <w:pPr>
              <w:pStyle w:val="NoSpacing"/>
            </w:pPr>
            <w:r>
              <w:t>Director, Curriculum Unit</w:t>
            </w:r>
          </w:p>
        </w:tc>
      </w:tr>
      <w:tr w:rsidR="00582ACC" w14:paraId="141D3DD4" w14:textId="77777777" w:rsidTr="00651F15">
        <w:tc>
          <w:tcPr>
            <w:tcW w:w="3681" w:type="dxa"/>
            <w:tcBorders>
              <w:top w:val="nil"/>
              <w:left w:val="single" w:sz="4" w:space="0" w:color="auto"/>
              <w:bottom w:val="nil"/>
              <w:right w:val="single" w:sz="4" w:space="0" w:color="auto"/>
            </w:tcBorders>
          </w:tcPr>
          <w:p w14:paraId="42A94B98" w14:textId="77777777" w:rsidR="00582ACC" w:rsidRDefault="00582ACC" w:rsidP="00ED4BBC"/>
        </w:tc>
        <w:tc>
          <w:tcPr>
            <w:tcW w:w="2438" w:type="dxa"/>
            <w:tcBorders>
              <w:top w:val="single" w:sz="4" w:space="0" w:color="auto"/>
              <w:left w:val="single" w:sz="4" w:space="0" w:color="auto"/>
              <w:bottom w:val="single" w:sz="4" w:space="0" w:color="auto"/>
              <w:right w:val="single" w:sz="4" w:space="0" w:color="auto"/>
            </w:tcBorders>
          </w:tcPr>
          <w:p w14:paraId="73C5CCCC" w14:textId="3974A7F2" w:rsidR="00582ACC" w:rsidRDefault="00582ACC" w:rsidP="00ED4BBC">
            <w:proofErr w:type="spellStart"/>
            <w:r>
              <w:t>Tawaia</w:t>
            </w:r>
            <w:proofErr w:type="spellEnd"/>
            <w:r>
              <w:t xml:space="preserve"> </w:t>
            </w:r>
            <w:proofErr w:type="spellStart"/>
            <w:r>
              <w:t>Baantarawa</w:t>
            </w:r>
            <w:proofErr w:type="spellEnd"/>
          </w:p>
        </w:tc>
        <w:tc>
          <w:tcPr>
            <w:tcW w:w="4224" w:type="dxa"/>
            <w:tcBorders>
              <w:top w:val="single" w:sz="4" w:space="0" w:color="auto"/>
              <w:left w:val="single" w:sz="4" w:space="0" w:color="auto"/>
              <w:bottom w:val="single" w:sz="4" w:space="0" w:color="auto"/>
              <w:right w:val="single" w:sz="4" w:space="0" w:color="auto"/>
            </w:tcBorders>
          </w:tcPr>
          <w:p w14:paraId="064EB25D" w14:textId="3A9720BC" w:rsidR="00582ACC" w:rsidRDefault="00582ACC" w:rsidP="00582ACC">
            <w:pPr>
              <w:pStyle w:val="NoSpacing"/>
            </w:pPr>
            <w:r>
              <w:t>Senior Curriculum Officer</w:t>
            </w:r>
          </w:p>
        </w:tc>
      </w:tr>
      <w:tr w:rsidR="00582ACC" w14:paraId="729C4804" w14:textId="77777777" w:rsidTr="00651F15">
        <w:tc>
          <w:tcPr>
            <w:tcW w:w="3681" w:type="dxa"/>
            <w:tcBorders>
              <w:top w:val="nil"/>
              <w:left w:val="single" w:sz="4" w:space="0" w:color="auto"/>
              <w:bottom w:val="nil"/>
              <w:right w:val="single" w:sz="4" w:space="0" w:color="auto"/>
            </w:tcBorders>
          </w:tcPr>
          <w:p w14:paraId="67ABBCCC" w14:textId="77777777" w:rsidR="00582ACC" w:rsidRDefault="00582ACC" w:rsidP="00ED4BBC"/>
        </w:tc>
        <w:tc>
          <w:tcPr>
            <w:tcW w:w="2438" w:type="dxa"/>
            <w:tcBorders>
              <w:top w:val="single" w:sz="4" w:space="0" w:color="auto"/>
              <w:left w:val="single" w:sz="4" w:space="0" w:color="auto"/>
              <w:bottom w:val="single" w:sz="4" w:space="0" w:color="auto"/>
              <w:right w:val="single" w:sz="4" w:space="0" w:color="auto"/>
            </w:tcBorders>
          </w:tcPr>
          <w:p w14:paraId="4276C6C9" w14:textId="5430E61D" w:rsidR="00582ACC" w:rsidRDefault="00582ACC" w:rsidP="00ED4BBC">
            <w:proofErr w:type="spellStart"/>
            <w:r>
              <w:t>Tewira</w:t>
            </w:r>
            <w:proofErr w:type="spellEnd"/>
            <w:r>
              <w:t xml:space="preserve"> Tune</w:t>
            </w:r>
          </w:p>
        </w:tc>
        <w:tc>
          <w:tcPr>
            <w:tcW w:w="4224" w:type="dxa"/>
            <w:tcBorders>
              <w:top w:val="single" w:sz="4" w:space="0" w:color="auto"/>
              <w:left w:val="single" w:sz="4" w:space="0" w:color="auto"/>
              <w:bottom w:val="single" w:sz="4" w:space="0" w:color="auto"/>
              <w:right w:val="single" w:sz="4" w:space="0" w:color="auto"/>
            </w:tcBorders>
          </w:tcPr>
          <w:p w14:paraId="61B4DD57" w14:textId="5AD226EC" w:rsidR="00582ACC" w:rsidRDefault="00582ACC" w:rsidP="00582ACC">
            <w:pPr>
              <w:pStyle w:val="NoSpacing"/>
            </w:pPr>
            <w:r>
              <w:t>Curriculum Development Officer; Health &amp; PE</w:t>
            </w:r>
          </w:p>
        </w:tc>
      </w:tr>
      <w:tr w:rsidR="00582ACC" w14:paraId="6B6CF1A4" w14:textId="77777777" w:rsidTr="00651F15">
        <w:tc>
          <w:tcPr>
            <w:tcW w:w="3681" w:type="dxa"/>
            <w:tcBorders>
              <w:top w:val="nil"/>
              <w:left w:val="single" w:sz="4" w:space="0" w:color="auto"/>
              <w:bottom w:val="nil"/>
              <w:right w:val="single" w:sz="4" w:space="0" w:color="auto"/>
            </w:tcBorders>
          </w:tcPr>
          <w:p w14:paraId="62BBC135" w14:textId="77777777" w:rsidR="00582ACC" w:rsidRDefault="00582ACC" w:rsidP="00ED4BBC"/>
        </w:tc>
        <w:tc>
          <w:tcPr>
            <w:tcW w:w="2438" w:type="dxa"/>
            <w:tcBorders>
              <w:top w:val="single" w:sz="4" w:space="0" w:color="auto"/>
              <w:left w:val="single" w:sz="4" w:space="0" w:color="auto"/>
              <w:bottom w:val="single" w:sz="4" w:space="0" w:color="auto"/>
              <w:right w:val="single" w:sz="4" w:space="0" w:color="auto"/>
            </w:tcBorders>
          </w:tcPr>
          <w:p w14:paraId="57F00A69" w14:textId="359F01CE" w:rsidR="00582ACC" w:rsidRDefault="00582ACC" w:rsidP="00ED4BBC">
            <w:proofErr w:type="spellStart"/>
            <w:r>
              <w:t>Rorine</w:t>
            </w:r>
            <w:proofErr w:type="spellEnd"/>
            <w:r>
              <w:t xml:space="preserve"> </w:t>
            </w:r>
            <w:proofErr w:type="spellStart"/>
            <w:r>
              <w:t>Tioti</w:t>
            </w:r>
            <w:proofErr w:type="spellEnd"/>
          </w:p>
        </w:tc>
        <w:tc>
          <w:tcPr>
            <w:tcW w:w="4224" w:type="dxa"/>
            <w:tcBorders>
              <w:top w:val="single" w:sz="4" w:space="0" w:color="auto"/>
              <w:left w:val="single" w:sz="4" w:space="0" w:color="auto"/>
              <w:bottom w:val="single" w:sz="4" w:space="0" w:color="auto"/>
              <w:right w:val="single" w:sz="4" w:space="0" w:color="auto"/>
            </w:tcBorders>
          </w:tcPr>
          <w:p w14:paraId="2ECC3729" w14:textId="1FAFA93B" w:rsidR="00582ACC" w:rsidRDefault="00582ACC" w:rsidP="00582ACC">
            <w:pPr>
              <w:pStyle w:val="NoSpacing"/>
            </w:pPr>
            <w:r>
              <w:t>Curriculum Development Officer; Moral Education</w:t>
            </w:r>
          </w:p>
        </w:tc>
      </w:tr>
      <w:tr w:rsidR="00582ACC" w14:paraId="53E550F0" w14:textId="77777777" w:rsidTr="00651F15">
        <w:tc>
          <w:tcPr>
            <w:tcW w:w="3681" w:type="dxa"/>
            <w:tcBorders>
              <w:top w:val="nil"/>
              <w:left w:val="single" w:sz="4" w:space="0" w:color="auto"/>
              <w:bottom w:val="single" w:sz="4" w:space="0" w:color="auto"/>
              <w:right w:val="single" w:sz="4" w:space="0" w:color="auto"/>
            </w:tcBorders>
          </w:tcPr>
          <w:p w14:paraId="04614D21" w14:textId="77777777" w:rsidR="00582ACC" w:rsidRDefault="00582ACC" w:rsidP="00ED4BBC"/>
        </w:tc>
        <w:tc>
          <w:tcPr>
            <w:tcW w:w="2438" w:type="dxa"/>
            <w:tcBorders>
              <w:top w:val="single" w:sz="4" w:space="0" w:color="auto"/>
              <w:left w:val="single" w:sz="4" w:space="0" w:color="auto"/>
              <w:bottom w:val="single" w:sz="4" w:space="0" w:color="auto"/>
              <w:right w:val="single" w:sz="4" w:space="0" w:color="auto"/>
            </w:tcBorders>
          </w:tcPr>
          <w:p w14:paraId="23D8AB0E" w14:textId="1043F575" w:rsidR="00582ACC" w:rsidRDefault="00582ACC" w:rsidP="00ED4BBC">
            <w:proofErr w:type="spellStart"/>
            <w:r>
              <w:t>Raobeia</w:t>
            </w:r>
            <w:proofErr w:type="spellEnd"/>
            <w:r>
              <w:t xml:space="preserve"> </w:t>
            </w:r>
            <w:proofErr w:type="spellStart"/>
            <w:r>
              <w:t>Iete</w:t>
            </w:r>
            <w:proofErr w:type="spellEnd"/>
          </w:p>
        </w:tc>
        <w:tc>
          <w:tcPr>
            <w:tcW w:w="4224" w:type="dxa"/>
            <w:tcBorders>
              <w:top w:val="single" w:sz="4" w:space="0" w:color="auto"/>
              <w:left w:val="single" w:sz="4" w:space="0" w:color="auto"/>
              <w:bottom w:val="single" w:sz="4" w:space="0" w:color="auto"/>
              <w:right w:val="single" w:sz="4" w:space="0" w:color="auto"/>
            </w:tcBorders>
          </w:tcPr>
          <w:p w14:paraId="4A26F72D" w14:textId="10232FF9" w:rsidR="00582ACC" w:rsidRDefault="00582ACC" w:rsidP="00582ACC">
            <w:pPr>
              <w:pStyle w:val="NoSpacing"/>
            </w:pPr>
            <w:r>
              <w:t>Curriculum Development Officer; social science</w:t>
            </w:r>
          </w:p>
        </w:tc>
      </w:tr>
      <w:tr w:rsidR="00582ACC" w14:paraId="71043967" w14:textId="77777777" w:rsidTr="00651F15">
        <w:tc>
          <w:tcPr>
            <w:tcW w:w="3681" w:type="dxa"/>
            <w:tcBorders>
              <w:top w:val="single" w:sz="4" w:space="0" w:color="auto"/>
              <w:left w:val="single" w:sz="4" w:space="0" w:color="auto"/>
              <w:bottom w:val="nil"/>
              <w:right w:val="single" w:sz="4" w:space="0" w:color="auto"/>
            </w:tcBorders>
          </w:tcPr>
          <w:p w14:paraId="6070145A" w14:textId="7730C994" w:rsidR="00582ACC" w:rsidRDefault="00582ACC" w:rsidP="00ED4BBC">
            <w:r>
              <w:t>Y Peer Network</w:t>
            </w:r>
          </w:p>
        </w:tc>
        <w:tc>
          <w:tcPr>
            <w:tcW w:w="2438" w:type="dxa"/>
            <w:tcBorders>
              <w:top w:val="single" w:sz="4" w:space="0" w:color="auto"/>
              <w:left w:val="single" w:sz="4" w:space="0" w:color="auto"/>
              <w:bottom w:val="single" w:sz="4" w:space="0" w:color="auto"/>
              <w:right w:val="single" w:sz="4" w:space="0" w:color="auto"/>
            </w:tcBorders>
          </w:tcPr>
          <w:p w14:paraId="46C9B07D" w14:textId="074D1085" w:rsidR="00582ACC" w:rsidRDefault="00582ACC" w:rsidP="00ED4BBC">
            <w:proofErr w:type="spellStart"/>
            <w:r>
              <w:t>Beia</w:t>
            </w:r>
            <w:proofErr w:type="spellEnd"/>
            <w:r>
              <w:t xml:space="preserve"> </w:t>
            </w:r>
            <w:proofErr w:type="spellStart"/>
            <w:r>
              <w:t>Kaotan</w:t>
            </w:r>
            <w:proofErr w:type="spellEnd"/>
          </w:p>
        </w:tc>
        <w:tc>
          <w:tcPr>
            <w:tcW w:w="4224" w:type="dxa"/>
            <w:tcBorders>
              <w:top w:val="single" w:sz="4" w:space="0" w:color="auto"/>
              <w:left w:val="single" w:sz="4" w:space="0" w:color="auto"/>
              <w:bottom w:val="single" w:sz="4" w:space="0" w:color="auto"/>
              <w:right w:val="single" w:sz="4" w:space="0" w:color="auto"/>
            </w:tcBorders>
          </w:tcPr>
          <w:p w14:paraId="4284858D" w14:textId="6CFF9F22" w:rsidR="00582ACC" w:rsidRDefault="00582ACC" w:rsidP="00582ACC">
            <w:pPr>
              <w:pStyle w:val="NoSpacing"/>
            </w:pPr>
            <w:r>
              <w:t>Coordinator, Y-Peer Coordinator</w:t>
            </w:r>
          </w:p>
        </w:tc>
      </w:tr>
      <w:tr w:rsidR="00582ACC" w14:paraId="6DBFAAC5" w14:textId="77777777" w:rsidTr="00651F15">
        <w:tc>
          <w:tcPr>
            <w:tcW w:w="3681" w:type="dxa"/>
            <w:tcBorders>
              <w:top w:val="nil"/>
              <w:left w:val="single" w:sz="4" w:space="0" w:color="auto"/>
              <w:bottom w:val="nil"/>
              <w:right w:val="single" w:sz="4" w:space="0" w:color="auto"/>
            </w:tcBorders>
          </w:tcPr>
          <w:p w14:paraId="6E136529" w14:textId="77777777" w:rsidR="00582ACC" w:rsidRDefault="00582ACC" w:rsidP="00ED4BBC"/>
        </w:tc>
        <w:tc>
          <w:tcPr>
            <w:tcW w:w="2438" w:type="dxa"/>
            <w:tcBorders>
              <w:top w:val="single" w:sz="4" w:space="0" w:color="auto"/>
              <w:left w:val="single" w:sz="4" w:space="0" w:color="auto"/>
              <w:bottom w:val="single" w:sz="4" w:space="0" w:color="auto"/>
              <w:right w:val="single" w:sz="4" w:space="0" w:color="auto"/>
            </w:tcBorders>
          </w:tcPr>
          <w:p w14:paraId="791CC216" w14:textId="58F9CDE4" w:rsidR="00582ACC" w:rsidRDefault="00582ACC" w:rsidP="00ED4BBC">
            <w:proofErr w:type="spellStart"/>
            <w:r>
              <w:t>Raeterenga</w:t>
            </w:r>
            <w:proofErr w:type="spellEnd"/>
            <w:r>
              <w:t xml:space="preserve"> </w:t>
            </w:r>
            <w:proofErr w:type="spellStart"/>
            <w:r>
              <w:t>Ianana</w:t>
            </w:r>
            <w:proofErr w:type="spellEnd"/>
          </w:p>
        </w:tc>
        <w:tc>
          <w:tcPr>
            <w:tcW w:w="4224" w:type="dxa"/>
            <w:tcBorders>
              <w:top w:val="single" w:sz="4" w:space="0" w:color="auto"/>
              <w:left w:val="single" w:sz="4" w:space="0" w:color="auto"/>
              <w:bottom w:val="single" w:sz="4" w:space="0" w:color="auto"/>
              <w:right w:val="single" w:sz="4" w:space="0" w:color="auto"/>
            </w:tcBorders>
          </w:tcPr>
          <w:p w14:paraId="5F4ED148" w14:textId="1C84D1BB" w:rsidR="00582ACC" w:rsidRDefault="00582ACC" w:rsidP="00582ACC">
            <w:pPr>
              <w:pStyle w:val="NoSpacing"/>
            </w:pPr>
            <w:r>
              <w:t>Kiribati Catholic Youth</w:t>
            </w:r>
          </w:p>
        </w:tc>
      </w:tr>
      <w:tr w:rsidR="00582ACC" w14:paraId="50EA6BC6" w14:textId="77777777" w:rsidTr="00651F15">
        <w:tc>
          <w:tcPr>
            <w:tcW w:w="3681" w:type="dxa"/>
            <w:tcBorders>
              <w:top w:val="nil"/>
              <w:left w:val="single" w:sz="4" w:space="0" w:color="auto"/>
              <w:bottom w:val="single" w:sz="4" w:space="0" w:color="auto"/>
              <w:right w:val="single" w:sz="4" w:space="0" w:color="auto"/>
            </w:tcBorders>
          </w:tcPr>
          <w:p w14:paraId="2545C6C6" w14:textId="77777777" w:rsidR="00582ACC" w:rsidRDefault="00582ACC" w:rsidP="00ED4BBC"/>
        </w:tc>
        <w:tc>
          <w:tcPr>
            <w:tcW w:w="2438" w:type="dxa"/>
            <w:tcBorders>
              <w:top w:val="single" w:sz="4" w:space="0" w:color="auto"/>
              <w:left w:val="single" w:sz="4" w:space="0" w:color="auto"/>
              <w:bottom w:val="single" w:sz="4" w:space="0" w:color="auto"/>
              <w:right w:val="single" w:sz="4" w:space="0" w:color="auto"/>
            </w:tcBorders>
          </w:tcPr>
          <w:p w14:paraId="00E75C52" w14:textId="610D2D96" w:rsidR="00582ACC" w:rsidRDefault="00582ACC" w:rsidP="00ED4BBC">
            <w:r>
              <w:t xml:space="preserve">Johann </w:t>
            </w:r>
            <w:proofErr w:type="spellStart"/>
            <w:r>
              <w:t>Matang</w:t>
            </w:r>
            <w:proofErr w:type="spellEnd"/>
          </w:p>
        </w:tc>
        <w:tc>
          <w:tcPr>
            <w:tcW w:w="4224" w:type="dxa"/>
            <w:tcBorders>
              <w:top w:val="single" w:sz="4" w:space="0" w:color="auto"/>
              <w:left w:val="single" w:sz="4" w:space="0" w:color="auto"/>
              <w:bottom w:val="single" w:sz="4" w:space="0" w:color="auto"/>
              <w:right w:val="single" w:sz="4" w:space="0" w:color="auto"/>
            </w:tcBorders>
          </w:tcPr>
          <w:p w14:paraId="46CD66B8" w14:textId="44B56ADF" w:rsidR="00582ACC" w:rsidRDefault="00582ACC" w:rsidP="00582ACC">
            <w:pPr>
              <w:pStyle w:val="NoSpacing"/>
            </w:pPr>
            <w:r>
              <w:t>President, Y-Peer</w:t>
            </w:r>
          </w:p>
        </w:tc>
      </w:tr>
      <w:tr w:rsidR="00582ACC" w14:paraId="34888381" w14:textId="77777777" w:rsidTr="00651F15">
        <w:tc>
          <w:tcPr>
            <w:tcW w:w="3681" w:type="dxa"/>
            <w:tcBorders>
              <w:top w:val="single" w:sz="4" w:space="0" w:color="auto"/>
              <w:left w:val="single" w:sz="4" w:space="0" w:color="auto"/>
              <w:bottom w:val="single" w:sz="4" w:space="0" w:color="auto"/>
              <w:right w:val="single" w:sz="4" w:space="0" w:color="auto"/>
            </w:tcBorders>
          </w:tcPr>
          <w:p w14:paraId="3CEC49B8" w14:textId="0635E9A7" w:rsidR="00582ACC" w:rsidRPr="00582ACC" w:rsidRDefault="00582ACC" w:rsidP="00ED4BBC">
            <w:pPr>
              <w:rPr>
                <w:b/>
              </w:rPr>
            </w:pPr>
            <w:r>
              <w:rPr>
                <w:b/>
              </w:rPr>
              <w:t>Samoa</w:t>
            </w:r>
          </w:p>
        </w:tc>
        <w:tc>
          <w:tcPr>
            <w:tcW w:w="2438" w:type="dxa"/>
            <w:tcBorders>
              <w:top w:val="single" w:sz="4" w:space="0" w:color="auto"/>
              <w:left w:val="single" w:sz="4" w:space="0" w:color="auto"/>
              <w:bottom w:val="single" w:sz="4" w:space="0" w:color="auto"/>
              <w:right w:val="single" w:sz="4" w:space="0" w:color="auto"/>
            </w:tcBorders>
          </w:tcPr>
          <w:p w14:paraId="4FD4DF06" w14:textId="0703EBBD" w:rsidR="00582ACC" w:rsidRDefault="00582ACC" w:rsidP="00ED4BBC"/>
        </w:tc>
        <w:tc>
          <w:tcPr>
            <w:tcW w:w="4224" w:type="dxa"/>
            <w:tcBorders>
              <w:top w:val="single" w:sz="4" w:space="0" w:color="auto"/>
              <w:left w:val="single" w:sz="4" w:space="0" w:color="auto"/>
              <w:bottom w:val="single" w:sz="4" w:space="0" w:color="auto"/>
              <w:right w:val="single" w:sz="4" w:space="0" w:color="auto"/>
            </w:tcBorders>
          </w:tcPr>
          <w:p w14:paraId="347CD873" w14:textId="3C777612" w:rsidR="00582ACC" w:rsidRDefault="00582ACC" w:rsidP="00582ACC">
            <w:pPr>
              <w:pStyle w:val="NoSpacing"/>
            </w:pPr>
          </w:p>
        </w:tc>
      </w:tr>
      <w:tr w:rsidR="00D0530F" w14:paraId="5367C594" w14:textId="77777777" w:rsidTr="00651F15">
        <w:tc>
          <w:tcPr>
            <w:tcW w:w="3681" w:type="dxa"/>
            <w:tcBorders>
              <w:top w:val="single" w:sz="4" w:space="0" w:color="auto"/>
              <w:left w:val="single" w:sz="4" w:space="0" w:color="auto"/>
              <w:bottom w:val="nil"/>
              <w:right w:val="single" w:sz="4" w:space="0" w:color="auto"/>
            </w:tcBorders>
          </w:tcPr>
          <w:p w14:paraId="48BEABB1" w14:textId="2D0F4E7E" w:rsidR="00D0530F" w:rsidRDefault="00D0530F" w:rsidP="00D0530F">
            <w:r>
              <w:t>Ministry of Finance</w:t>
            </w:r>
          </w:p>
        </w:tc>
        <w:tc>
          <w:tcPr>
            <w:tcW w:w="2438" w:type="dxa"/>
            <w:tcBorders>
              <w:top w:val="single" w:sz="4" w:space="0" w:color="auto"/>
              <w:left w:val="single" w:sz="4" w:space="0" w:color="auto"/>
              <w:bottom w:val="single" w:sz="4" w:space="0" w:color="auto"/>
              <w:right w:val="single" w:sz="4" w:space="0" w:color="auto"/>
            </w:tcBorders>
          </w:tcPr>
          <w:p w14:paraId="55CD83A2" w14:textId="1492207A" w:rsidR="00D0530F" w:rsidRDefault="00D0530F" w:rsidP="00D0530F">
            <w:proofErr w:type="spellStart"/>
            <w:r>
              <w:t>Perestine</w:t>
            </w:r>
            <w:proofErr w:type="spellEnd"/>
            <w:r>
              <w:t xml:space="preserve"> Kirifi</w:t>
            </w:r>
          </w:p>
        </w:tc>
        <w:tc>
          <w:tcPr>
            <w:tcW w:w="4224" w:type="dxa"/>
            <w:tcBorders>
              <w:top w:val="single" w:sz="4" w:space="0" w:color="auto"/>
              <w:left w:val="single" w:sz="4" w:space="0" w:color="auto"/>
              <w:bottom w:val="single" w:sz="4" w:space="0" w:color="auto"/>
              <w:right w:val="single" w:sz="4" w:space="0" w:color="auto"/>
            </w:tcBorders>
          </w:tcPr>
          <w:p w14:paraId="483FD1FE" w14:textId="77E428F3" w:rsidR="00D0530F" w:rsidRDefault="00D0530F" w:rsidP="00D0530F">
            <w:pPr>
              <w:pStyle w:val="NoSpacing"/>
            </w:pPr>
            <w:r>
              <w:t>Acting Chief Executive Officer, Aid and Coordination Unit</w:t>
            </w:r>
          </w:p>
        </w:tc>
      </w:tr>
      <w:tr w:rsidR="00D0530F" w14:paraId="4F650669" w14:textId="77777777" w:rsidTr="00651F15">
        <w:tc>
          <w:tcPr>
            <w:tcW w:w="3681" w:type="dxa"/>
            <w:tcBorders>
              <w:top w:val="nil"/>
              <w:left w:val="single" w:sz="4" w:space="0" w:color="auto"/>
              <w:bottom w:val="single" w:sz="4" w:space="0" w:color="auto"/>
              <w:right w:val="single" w:sz="4" w:space="0" w:color="auto"/>
            </w:tcBorders>
          </w:tcPr>
          <w:p w14:paraId="529C11E4" w14:textId="77777777" w:rsidR="00D0530F" w:rsidRDefault="00D0530F" w:rsidP="00D0530F"/>
        </w:tc>
        <w:tc>
          <w:tcPr>
            <w:tcW w:w="2438" w:type="dxa"/>
            <w:tcBorders>
              <w:top w:val="single" w:sz="4" w:space="0" w:color="auto"/>
              <w:left w:val="single" w:sz="4" w:space="0" w:color="auto"/>
              <w:bottom w:val="single" w:sz="4" w:space="0" w:color="auto"/>
              <w:right w:val="single" w:sz="4" w:space="0" w:color="auto"/>
            </w:tcBorders>
          </w:tcPr>
          <w:p w14:paraId="486746B9" w14:textId="1C212A2B" w:rsidR="00D0530F" w:rsidRDefault="00D0530F" w:rsidP="00D0530F">
            <w:proofErr w:type="spellStart"/>
            <w:r>
              <w:t>Lilomaiava</w:t>
            </w:r>
            <w:proofErr w:type="spellEnd"/>
            <w:r>
              <w:t xml:space="preserve"> Samuel </w:t>
            </w:r>
            <w:proofErr w:type="spellStart"/>
            <w:r>
              <w:t>Ieremia</w:t>
            </w:r>
            <w:proofErr w:type="spellEnd"/>
          </w:p>
        </w:tc>
        <w:tc>
          <w:tcPr>
            <w:tcW w:w="4224" w:type="dxa"/>
            <w:tcBorders>
              <w:top w:val="single" w:sz="4" w:space="0" w:color="auto"/>
              <w:left w:val="single" w:sz="4" w:space="0" w:color="auto"/>
              <w:bottom w:val="single" w:sz="4" w:space="0" w:color="auto"/>
              <w:right w:val="single" w:sz="4" w:space="0" w:color="auto"/>
            </w:tcBorders>
          </w:tcPr>
          <w:p w14:paraId="3D10FA74" w14:textId="3F5B7496" w:rsidR="00D0530F" w:rsidRDefault="00D0530F" w:rsidP="00D0530F">
            <w:pPr>
              <w:pStyle w:val="NoSpacing"/>
            </w:pPr>
            <w:r>
              <w:t>Acting Chief Executive Officer, Economic Policy and Planning Division</w:t>
            </w:r>
          </w:p>
        </w:tc>
      </w:tr>
      <w:tr w:rsidR="00D0530F" w14:paraId="1EE08F4E" w14:textId="77777777" w:rsidTr="00651F15">
        <w:tc>
          <w:tcPr>
            <w:tcW w:w="3681" w:type="dxa"/>
            <w:tcBorders>
              <w:top w:val="single" w:sz="4" w:space="0" w:color="auto"/>
              <w:left w:val="single" w:sz="4" w:space="0" w:color="auto"/>
              <w:bottom w:val="nil"/>
              <w:right w:val="single" w:sz="4" w:space="0" w:color="auto"/>
            </w:tcBorders>
          </w:tcPr>
          <w:p w14:paraId="5F5D16D0" w14:textId="7076A574" w:rsidR="00D0530F" w:rsidRDefault="00D0530F" w:rsidP="00D0530F">
            <w:r w:rsidRPr="0059667F">
              <w:t>Ministry of Health</w:t>
            </w:r>
          </w:p>
        </w:tc>
        <w:tc>
          <w:tcPr>
            <w:tcW w:w="2438" w:type="dxa"/>
            <w:tcBorders>
              <w:top w:val="single" w:sz="4" w:space="0" w:color="auto"/>
              <w:left w:val="single" w:sz="4" w:space="0" w:color="auto"/>
              <w:bottom w:val="single" w:sz="4" w:space="0" w:color="auto"/>
              <w:right w:val="single" w:sz="4" w:space="0" w:color="auto"/>
            </w:tcBorders>
          </w:tcPr>
          <w:p w14:paraId="11411B02" w14:textId="0420C733" w:rsidR="00D0530F" w:rsidRDefault="00D0530F" w:rsidP="00D0530F">
            <w:r>
              <w:t>Robert Thompson</w:t>
            </w:r>
          </w:p>
        </w:tc>
        <w:tc>
          <w:tcPr>
            <w:tcW w:w="4224" w:type="dxa"/>
            <w:tcBorders>
              <w:top w:val="single" w:sz="4" w:space="0" w:color="auto"/>
              <w:left w:val="single" w:sz="4" w:space="0" w:color="auto"/>
              <w:bottom w:val="single" w:sz="4" w:space="0" w:color="auto"/>
              <w:right w:val="single" w:sz="4" w:space="0" w:color="auto"/>
            </w:tcBorders>
          </w:tcPr>
          <w:p w14:paraId="09B5CF5B" w14:textId="788696DD" w:rsidR="00D0530F" w:rsidRDefault="00D0530F" w:rsidP="00D0530F">
            <w:pPr>
              <w:pStyle w:val="NoSpacing"/>
            </w:pPr>
            <w:r>
              <w:t>Deputy Director General</w:t>
            </w:r>
          </w:p>
        </w:tc>
      </w:tr>
      <w:tr w:rsidR="00D0530F" w14:paraId="0203A911" w14:textId="77777777" w:rsidTr="00651F15">
        <w:tc>
          <w:tcPr>
            <w:tcW w:w="3681" w:type="dxa"/>
            <w:tcBorders>
              <w:top w:val="nil"/>
              <w:left w:val="single" w:sz="4" w:space="0" w:color="auto"/>
              <w:bottom w:val="nil"/>
              <w:right w:val="single" w:sz="4" w:space="0" w:color="auto"/>
            </w:tcBorders>
          </w:tcPr>
          <w:p w14:paraId="4C5E8438" w14:textId="77777777" w:rsidR="00D0530F" w:rsidRPr="0059667F" w:rsidRDefault="00D0530F" w:rsidP="00D0530F"/>
        </w:tc>
        <w:tc>
          <w:tcPr>
            <w:tcW w:w="2438" w:type="dxa"/>
            <w:tcBorders>
              <w:top w:val="single" w:sz="4" w:space="0" w:color="auto"/>
              <w:left w:val="single" w:sz="4" w:space="0" w:color="auto"/>
              <w:bottom w:val="single" w:sz="4" w:space="0" w:color="auto"/>
              <w:right w:val="single" w:sz="4" w:space="0" w:color="auto"/>
            </w:tcBorders>
          </w:tcPr>
          <w:p w14:paraId="61033E52" w14:textId="5E5683FC" w:rsidR="00D0530F" w:rsidRDefault="00D0530F" w:rsidP="00D0530F">
            <w:proofErr w:type="spellStart"/>
            <w:r>
              <w:t>Perive</w:t>
            </w:r>
            <w:proofErr w:type="spellEnd"/>
            <w:r>
              <w:t xml:space="preserve"> </w:t>
            </w:r>
            <w:proofErr w:type="spellStart"/>
            <w:r>
              <w:t>Lelevaga</w:t>
            </w:r>
            <w:proofErr w:type="spellEnd"/>
          </w:p>
        </w:tc>
        <w:tc>
          <w:tcPr>
            <w:tcW w:w="4224" w:type="dxa"/>
            <w:tcBorders>
              <w:top w:val="single" w:sz="4" w:space="0" w:color="auto"/>
              <w:left w:val="single" w:sz="4" w:space="0" w:color="auto"/>
              <w:bottom w:val="single" w:sz="4" w:space="0" w:color="auto"/>
              <w:right w:val="single" w:sz="4" w:space="0" w:color="auto"/>
            </w:tcBorders>
          </w:tcPr>
          <w:p w14:paraId="547AB1CB" w14:textId="3812435F" w:rsidR="00D0530F" w:rsidRDefault="00D0530F" w:rsidP="00D0530F">
            <w:pPr>
              <w:pStyle w:val="NoSpacing"/>
            </w:pPr>
            <w:r>
              <w:t>Principal National SRH</w:t>
            </w:r>
          </w:p>
        </w:tc>
      </w:tr>
      <w:tr w:rsidR="00D0530F" w14:paraId="58B868EC" w14:textId="77777777" w:rsidTr="00651F15">
        <w:tc>
          <w:tcPr>
            <w:tcW w:w="3681" w:type="dxa"/>
            <w:tcBorders>
              <w:top w:val="nil"/>
              <w:left w:val="single" w:sz="4" w:space="0" w:color="auto"/>
              <w:bottom w:val="nil"/>
              <w:right w:val="single" w:sz="4" w:space="0" w:color="auto"/>
            </w:tcBorders>
          </w:tcPr>
          <w:p w14:paraId="2AE83028" w14:textId="77777777" w:rsidR="00D0530F" w:rsidRPr="0059667F" w:rsidRDefault="00D0530F" w:rsidP="00D0530F"/>
        </w:tc>
        <w:tc>
          <w:tcPr>
            <w:tcW w:w="2438" w:type="dxa"/>
            <w:tcBorders>
              <w:top w:val="single" w:sz="4" w:space="0" w:color="auto"/>
              <w:left w:val="single" w:sz="4" w:space="0" w:color="auto"/>
              <w:bottom w:val="single" w:sz="4" w:space="0" w:color="auto"/>
              <w:right w:val="single" w:sz="4" w:space="0" w:color="auto"/>
            </w:tcBorders>
          </w:tcPr>
          <w:p w14:paraId="288C363D" w14:textId="2FAF71C6" w:rsidR="00D0530F" w:rsidRDefault="00D0530F" w:rsidP="00D0530F">
            <w:proofErr w:type="spellStart"/>
            <w:r>
              <w:t>Aaone</w:t>
            </w:r>
            <w:proofErr w:type="spellEnd"/>
            <w:r>
              <w:t xml:space="preserve"> </w:t>
            </w:r>
            <w:proofErr w:type="spellStart"/>
            <w:r>
              <w:t>Tanumafili</w:t>
            </w:r>
            <w:proofErr w:type="spellEnd"/>
          </w:p>
        </w:tc>
        <w:tc>
          <w:tcPr>
            <w:tcW w:w="4224" w:type="dxa"/>
            <w:tcBorders>
              <w:top w:val="single" w:sz="4" w:space="0" w:color="auto"/>
              <w:left w:val="single" w:sz="4" w:space="0" w:color="auto"/>
              <w:bottom w:val="single" w:sz="4" w:space="0" w:color="auto"/>
              <w:right w:val="single" w:sz="4" w:space="0" w:color="auto"/>
            </w:tcBorders>
          </w:tcPr>
          <w:p w14:paraId="2609957B" w14:textId="78AC7FBC" w:rsidR="00D0530F" w:rsidRDefault="00D0530F" w:rsidP="00D0530F">
            <w:pPr>
              <w:pStyle w:val="NoSpacing"/>
            </w:pPr>
            <w:r>
              <w:t>HIV/TB Officer</w:t>
            </w:r>
          </w:p>
        </w:tc>
      </w:tr>
      <w:tr w:rsidR="00D0530F" w14:paraId="76069F97" w14:textId="77777777" w:rsidTr="00651F15">
        <w:tc>
          <w:tcPr>
            <w:tcW w:w="3681" w:type="dxa"/>
            <w:tcBorders>
              <w:top w:val="nil"/>
              <w:left w:val="single" w:sz="4" w:space="0" w:color="auto"/>
              <w:bottom w:val="nil"/>
              <w:right w:val="single" w:sz="4" w:space="0" w:color="auto"/>
            </w:tcBorders>
          </w:tcPr>
          <w:p w14:paraId="78FB7DF4" w14:textId="77777777" w:rsidR="00D0530F" w:rsidRDefault="00D0530F" w:rsidP="00D0530F"/>
        </w:tc>
        <w:tc>
          <w:tcPr>
            <w:tcW w:w="2438" w:type="dxa"/>
            <w:tcBorders>
              <w:top w:val="single" w:sz="4" w:space="0" w:color="auto"/>
              <w:left w:val="single" w:sz="4" w:space="0" w:color="auto"/>
              <w:bottom w:val="single" w:sz="4" w:space="0" w:color="auto"/>
              <w:right w:val="single" w:sz="4" w:space="0" w:color="auto"/>
            </w:tcBorders>
          </w:tcPr>
          <w:p w14:paraId="631C04A1" w14:textId="0CAD4217" w:rsidR="00D0530F" w:rsidRDefault="00D0530F" w:rsidP="00D0530F">
            <w:proofErr w:type="spellStart"/>
            <w:r>
              <w:t>Seiuli</w:t>
            </w:r>
            <w:proofErr w:type="spellEnd"/>
            <w:r>
              <w:t xml:space="preserve"> Timothy</w:t>
            </w:r>
          </w:p>
        </w:tc>
        <w:tc>
          <w:tcPr>
            <w:tcW w:w="4224" w:type="dxa"/>
            <w:tcBorders>
              <w:top w:val="single" w:sz="4" w:space="0" w:color="auto"/>
              <w:left w:val="single" w:sz="4" w:space="0" w:color="auto"/>
              <w:bottom w:val="single" w:sz="4" w:space="0" w:color="auto"/>
              <w:right w:val="single" w:sz="4" w:space="0" w:color="auto"/>
            </w:tcBorders>
          </w:tcPr>
          <w:p w14:paraId="44EA9298" w14:textId="6DCD2A52" w:rsidR="00D0530F" w:rsidRDefault="00D0530F" w:rsidP="00D0530F">
            <w:pPr>
              <w:pStyle w:val="NoSpacing"/>
            </w:pPr>
            <w:r>
              <w:t>Central Medical Store Manager</w:t>
            </w:r>
          </w:p>
        </w:tc>
      </w:tr>
      <w:tr w:rsidR="00D0530F" w14:paraId="5416734B" w14:textId="77777777" w:rsidTr="00651F15">
        <w:tc>
          <w:tcPr>
            <w:tcW w:w="3681" w:type="dxa"/>
            <w:tcBorders>
              <w:top w:val="nil"/>
              <w:left w:val="single" w:sz="4" w:space="0" w:color="auto"/>
              <w:bottom w:val="single" w:sz="4" w:space="0" w:color="auto"/>
              <w:right w:val="single" w:sz="4" w:space="0" w:color="auto"/>
            </w:tcBorders>
          </w:tcPr>
          <w:p w14:paraId="263F79E8" w14:textId="77777777" w:rsidR="00D0530F" w:rsidRDefault="00D0530F" w:rsidP="00D0530F"/>
        </w:tc>
        <w:tc>
          <w:tcPr>
            <w:tcW w:w="2438" w:type="dxa"/>
            <w:tcBorders>
              <w:top w:val="single" w:sz="4" w:space="0" w:color="auto"/>
              <w:left w:val="single" w:sz="4" w:space="0" w:color="auto"/>
              <w:bottom w:val="single" w:sz="4" w:space="0" w:color="auto"/>
              <w:right w:val="single" w:sz="4" w:space="0" w:color="auto"/>
            </w:tcBorders>
          </w:tcPr>
          <w:p w14:paraId="6C347A64" w14:textId="7C51F04A" w:rsidR="00D0530F" w:rsidRDefault="00D0530F" w:rsidP="00D0530F">
            <w:proofErr w:type="spellStart"/>
            <w:r>
              <w:t>Lilomaiava</w:t>
            </w:r>
            <w:proofErr w:type="spellEnd"/>
            <w:r>
              <w:t xml:space="preserve"> </w:t>
            </w:r>
            <w:proofErr w:type="spellStart"/>
            <w:r>
              <w:t>Aharoni</w:t>
            </w:r>
            <w:proofErr w:type="spellEnd"/>
          </w:p>
        </w:tc>
        <w:tc>
          <w:tcPr>
            <w:tcW w:w="4224" w:type="dxa"/>
            <w:tcBorders>
              <w:top w:val="single" w:sz="4" w:space="0" w:color="auto"/>
              <w:left w:val="single" w:sz="4" w:space="0" w:color="auto"/>
              <w:bottom w:val="single" w:sz="4" w:space="0" w:color="auto"/>
              <w:right w:val="single" w:sz="4" w:space="0" w:color="auto"/>
            </w:tcBorders>
          </w:tcPr>
          <w:p w14:paraId="3448489D" w14:textId="6E7C443C" w:rsidR="00D0530F" w:rsidRDefault="00D0530F" w:rsidP="00D0530F">
            <w:pPr>
              <w:pStyle w:val="NoSpacing"/>
            </w:pPr>
            <w:r>
              <w:t>Pharmacy Manager</w:t>
            </w:r>
          </w:p>
        </w:tc>
      </w:tr>
      <w:tr w:rsidR="00D0530F" w14:paraId="74392431" w14:textId="77777777" w:rsidTr="00651F15">
        <w:tc>
          <w:tcPr>
            <w:tcW w:w="3681" w:type="dxa"/>
            <w:tcBorders>
              <w:top w:val="single" w:sz="4" w:space="0" w:color="auto"/>
              <w:left w:val="single" w:sz="4" w:space="0" w:color="auto"/>
              <w:bottom w:val="single" w:sz="4" w:space="0" w:color="auto"/>
              <w:right w:val="single" w:sz="4" w:space="0" w:color="auto"/>
            </w:tcBorders>
          </w:tcPr>
          <w:p w14:paraId="47D6F3BB" w14:textId="4DC8EA9F" w:rsidR="00D0530F" w:rsidRDefault="00D0530F" w:rsidP="00D0530F">
            <w:r w:rsidRPr="0059667F">
              <w:t>Ministry of Women, Community and Social Development</w:t>
            </w:r>
          </w:p>
        </w:tc>
        <w:tc>
          <w:tcPr>
            <w:tcW w:w="2438" w:type="dxa"/>
            <w:tcBorders>
              <w:top w:val="single" w:sz="4" w:space="0" w:color="auto"/>
              <w:left w:val="single" w:sz="4" w:space="0" w:color="auto"/>
              <w:bottom w:val="single" w:sz="4" w:space="0" w:color="auto"/>
              <w:right w:val="single" w:sz="4" w:space="0" w:color="auto"/>
            </w:tcBorders>
          </w:tcPr>
          <w:p w14:paraId="1C512580" w14:textId="0885274A" w:rsidR="00D0530F" w:rsidRDefault="00D0530F" w:rsidP="00D0530F">
            <w:proofErr w:type="spellStart"/>
            <w:r>
              <w:t>Autagavaia</w:t>
            </w:r>
            <w:proofErr w:type="spellEnd"/>
            <w:r>
              <w:t xml:space="preserve"> Olive </w:t>
            </w:r>
            <w:proofErr w:type="spellStart"/>
            <w:r>
              <w:t>Kaio</w:t>
            </w:r>
            <w:proofErr w:type="spellEnd"/>
          </w:p>
        </w:tc>
        <w:tc>
          <w:tcPr>
            <w:tcW w:w="4224" w:type="dxa"/>
            <w:tcBorders>
              <w:top w:val="single" w:sz="4" w:space="0" w:color="auto"/>
              <w:left w:val="single" w:sz="4" w:space="0" w:color="auto"/>
              <w:bottom w:val="single" w:sz="4" w:space="0" w:color="auto"/>
              <w:right w:val="single" w:sz="4" w:space="0" w:color="auto"/>
            </w:tcBorders>
          </w:tcPr>
          <w:p w14:paraId="70186DCC" w14:textId="3D81003D" w:rsidR="00D0530F" w:rsidRDefault="00D0530F" w:rsidP="00D0530F">
            <w:pPr>
              <w:pStyle w:val="NoSpacing"/>
            </w:pPr>
            <w:r>
              <w:t>Chief Executive Officer, Social Development Division</w:t>
            </w:r>
          </w:p>
        </w:tc>
      </w:tr>
      <w:tr w:rsidR="00D0530F" w14:paraId="274A071D" w14:textId="77777777" w:rsidTr="00651F15">
        <w:tc>
          <w:tcPr>
            <w:tcW w:w="3681" w:type="dxa"/>
            <w:tcBorders>
              <w:top w:val="single" w:sz="4" w:space="0" w:color="auto"/>
              <w:left w:val="single" w:sz="4" w:space="0" w:color="auto"/>
              <w:bottom w:val="single" w:sz="4" w:space="0" w:color="auto"/>
              <w:right w:val="single" w:sz="4" w:space="0" w:color="auto"/>
            </w:tcBorders>
          </w:tcPr>
          <w:p w14:paraId="1D9A8547" w14:textId="7CAB2EC5" w:rsidR="00D0530F" w:rsidRDefault="00D0530F" w:rsidP="00D0530F">
            <w:r w:rsidRPr="0059667F">
              <w:t>Ministry of Education</w:t>
            </w:r>
            <w:r>
              <w:t>, Sports and Culture</w:t>
            </w:r>
          </w:p>
        </w:tc>
        <w:tc>
          <w:tcPr>
            <w:tcW w:w="2438" w:type="dxa"/>
            <w:tcBorders>
              <w:top w:val="single" w:sz="4" w:space="0" w:color="auto"/>
              <w:left w:val="single" w:sz="4" w:space="0" w:color="auto"/>
              <w:bottom w:val="single" w:sz="4" w:space="0" w:color="auto"/>
              <w:right w:val="single" w:sz="4" w:space="0" w:color="auto"/>
            </w:tcBorders>
          </w:tcPr>
          <w:p w14:paraId="4BF7A62C" w14:textId="4E2E467C" w:rsidR="00D0530F" w:rsidRDefault="00D0530F" w:rsidP="00D0530F">
            <w:proofErr w:type="spellStart"/>
            <w:r>
              <w:t>Samisoni</w:t>
            </w:r>
            <w:proofErr w:type="spellEnd"/>
            <w:r>
              <w:t xml:space="preserve"> Moala</w:t>
            </w:r>
          </w:p>
        </w:tc>
        <w:tc>
          <w:tcPr>
            <w:tcW w:w="4224" w:type="dxa"/>
            <w:tcBorders>
              <w:top w:val="single" w:sz="4" w:space="0" w:color="auto"/>
              <w:left w:val="single" w:sz="4" w:space="0" w:color="auto"/>
              <w:bottom w:val="single" w:sz="4" w:space="0" w:color="auto"/>
              <w:right w:val="single" w:sz="4" w:space="0" w:color="auto"/>
            </w:tcBorders>
          </w:tcPr>
          <w:p w14:paraId="76AEB45B" w14:textId="6052D3E5" w:rsidR="00D0530F" w:rsidRDefault="00D0530F" w:rsidP="00D0530F">
            <w:pPr>
              <w:pStyle w:val="NoSpacing"/>
            </w:pPr>
            <w:r>
              <w:t>Curriculum Officer, HPE Secondary</w:t>
            </w:r>
          </w:p>
        </w:tc>
      </w:tr>
      <w:tr w:rsidR="00D0530F" w14:paraId="537CC73B" w14:textId="77777777" w:rsidTr="00651F15">
        <w:tc>
          <w:tcPr>
            <w:tcW w:w="3681" w:type="dxa"/>
            <w:tcBorders>
              <w:top w:val="single" w:sz="4" w:space="0" w:color="auto"/>
              <w:left w:val="single" w:sz="4" w:space="0" w:color="auto"/>
              <w:bottom w:val="single" w:sz="4" w:space="0" w:color="auto"/>
              <w:right w:val="single" w:sz="4" w:space="0" w:color="auto"/>
            </w:tcBorders>
          </w:tcPr>
          <w:p w14:paraId="06DF8E4C" w14:textId="6497D1A7" w:rsidR="00D0530F" w:rsidRDefault="00D0530F" w:rsidP="00D0530F">
            <w:r w:rsidRPr="0059667F">
              <w:t>Samoa Bureau of Statistics</w:t>
            </w:r>
          </w:p>
        </w:tc>
        <w:tc>
          <w:tcPr>
            <w:tcW w:w="2438" w:type="dxa"/>
            <w:tcBorders>
              <w:top w:val="single" w:sz="4" w:space="0" w:color="auto"/>
              <w:left w:val="single" w:sz="4" w:space="0" w:color="auto"/>
              <w:bottom w:val="single" w:sz="4" w:space="0" w:color="auto"/>
              <w:right w:val="single" w:sz="4" w:space="0" w:color="auto"/>
            </w:tcBorders>
          </w:tcPr>
          <w:p w14:paraId="4962B541" w14:textId="2F52EF3A" w:rsidR="00D0530F" w:rsidRDefault="00D0530F" w:rsidP="00D0530F">
            <w:proofErr w:type="spellStart"/>
            <w:r>
              <w:t>Taiaopo</w:t>
            </w:r>
            <w:proofErr w:type="spellEnd"/>
            <w:r>
              <w:t xml:space="preserve"> Faumuina</w:t>
            </w:r>
          </w:p>
        </w:tc>
        <w:tc>
          <w:tcPr>
            <w:tcW w:w="4224" w:type="dxa"/>
            <w:tcBorders>
              <w:top w:val="single" w:sz="4" w:space="0" w:color="auto"/>
              <w:left w:val="single" w:sz="4" w:space="0" w:color="auto"/>
              <w:bottom w:val="single" w:sz="4" w:space="0" w:color="auto"/>
              <w:right w:val="single" w:sz="4" w:space="0" w:color="auto"/>
            </w:tcBorders>
          </w:tcPr>
          <w:p w14:paraId="6AD04891" w14:textId="1BB04BB4" w:rsidR="00D0530F" w:rsidRDefault="00D0530F" w:rsidP="00D0530F">
            <w:pPr>
              <w:pStyle w:val="NoSpacing"/>
            </w:pPr>
            <w:r>
              <w:t>Acting Chief Executive Officer, Census, Survey &amp; Demography Division</w:t>
            </w:r>
          </w:p>
        </w:tc>
      </w:tr>
      <w:tr w:rsidR="00D0530F" w14:paraId="1E22B271" w14:textId="77777777" w:rsidTr="00651F15">
        <w:tc>
          <w:tcPr>
            <w:tcW w:w="3681" w:type="dxa"/>
            <w:tcBorders>
              <w:top w:val="single" w:sz="4" w:space="0" w:color="auto"/>
              <w:left w:val="single" w:sz="4" w:space="0" w:color="auto"/>
              <w:bottom w:val="single" w:sz="4" w:space="0" w:color="auto"/>
              <w:right w:val="single" w:sz="4" w:space="0" w:color="auto"/>
            </w:tcBorders>
          </w:tcPr>
          <w:p w14:paraId="21FF8DF7" w14:textId="555504BE" w:rsidR="00D0530F" w:rsidRDefault="00D0530F" w:rsidP="00D0530F">
            <w:r>
              <w:t>Ministry of Finance</w:t>
            </w:r>
          </w:p>
        </w:tc>
        <w:tc>
          <w:tcPr>
            <w:tcW w:w="2438" w:type="dxa"/>
            <w:tcBorders>
              <w:top w:val="single" w:sz="4" w:space="0" w:color="auto"/>
              <w:left w:val="single" w:sz="4" w:space="0" w:color="auto"/>
              <w:bottom w:val="single" w:sz="4" w:space="0" w:color="auto"/>
              <w:right w:val="single" w:sz="4" w:space="0" w:color="auto"/>
            </w:tcBorders>
          </w:tcPr>
          <w:p w14:paraId="63F60F13" w14:textId="39A3CA63" w:rsidR="00D0530F" w:rsidRDefault="00D0530F" w:rsidP="00D0530F">
            <w:proofErr w:type="spellStart"/>
            <w:r w:rsidRPr="000A0D79">
              <w:t>Lilomaiava</w:t>
            </w:r>
            <w:proofErr w:type="spellEnd"/>
            <w:r w:rsidRPr="000A0D79">
              <w:t xml:space="preserve"> Sam</w:t>
            </w:r>
          </w:p>
        </w:tc>
        <w:tc>
          <w:tcPr>
            <w:tcW w:w="4224" w:type="dxa"/>
            <w:tcBorders>
              <w:top w:val="single" w:sz="4" w:space="0" w:color="auto"/>
              <w:left w:val="single" w:sz="4" w:space="0" w:color="auto"/>
              <w:bottom w:val="single" w:sz="4" w:space="0" w:color="auto"/>
              <w:right w:val="single" w:sz="4" w:space="0" w:color="auto"/>
            </w:tcBorders>
          </w:tcPr>
          <w:p w14:paraId="71AD3DA4" w14:textId="5B97F7E1" w:rsidR="00D0530F" w:rsidRDefault="00D0530F" w:rsidP="00D0530F">
            <w:pPr>
              <w:pStyle w:val="NoSpacing"/>
            </w:pPr>
            <w:r w:rsidRPr="000A0D79">
              <w:t>Acting Chief Executive Officer - Economic Policy &amp; Planning Div</w:t>
            </w:r>
            <w:r>
              <w:t>ision</w:t>
            </w:r>
          </w:p>
        </w:tc>
      </w:tr>
      <w:tr w:rsidR="00D0530F" w14:paraId="7EF93AC7" w14:textId="77777777" w:rsidTr="00651F15">
        <w:tc>
          <w:tcPr>
            <w:tcW w:w="3681" w:type="dxa"/>
            <w:tcBorders>
              <w:top w:val="single" w:sz="4" w:space="0" w:color="auto"/>
              <w:left w:val="single" w:sz="4" w:space="0" w:color="auto"/>
              <w:bottom w:val="single" w:sz="4" w:space="0" w:color="auto"/>
              <w:right w:val="single" w:sz="4" w:space="0" w:color="auto"/>
            </w:tcBorders>
          </w:tcPr>
          <w:p w14:paraId="623D1D55" w14:textId="700D4A40" w:rsidR="00D0530F" w:rsidRDefault="00D0530F" w:rsidP="00D0530F">
            <w:r w:rsidRPr="0059667F">
              <w:t>Samoa Red Cross</w:t>
            </w:r>
          </w:p>
        </w:tc>
        <w:tc>
          <w:tcPr>
            <w:tcW w:w="2438" w:type="dxa"/>
            <w:tcBorders>
              <w:top w:val="single" w:sz="4" w:space="0" w:color="auto"/>
              <w:left w:val="single" w:sz="4" w:space="0" w:color="auto"/>
              <w:bottom w:val="single" w:sz="4" w:space="0" w:color="auto"/>
              <w:right w:val="single" w:sz="4" w:space="0" w:color="auto"/>
            </w:tcBorders>
          </w:tcPr>
          <w:p w14:paraId="5D9B404F" w14:textId="48E67F72" w:rsidR="00D0530F" w:rsidRDefault="00D0530F" w:rsidP="00D0530F">
            <w:proofErr w:type="spellStart"/>
            <w:r>
              <w:t>Maualaivao</w:t>
            </w:r>
            <w:proofErr w:type="spellEnd"/>
            <w:r>
              <w:t xml:space="preserve"> </w:t>
            </w:r>
            <w:proofErr w:type="spellStart"/>
            <w:r>
              <w:t>Tautala</w:t>
            </w:r>
            <w:proofErr w:type="spellEnd"/>
          </w:p>
        </w:tc>
        <w:tc>
          <w:tcPr>
            <w:tcW w:w="4224" w:type="dxa"/>
            <w:tcBorders>
              <w:top w:val="single" w:sz="4" w:space="0" w:color="auto"/>
              <w:left w:val="single" w:sz="4" w:space="0" w:color="auto"/>
              <w:bottom w:val="single" w:sz="4" w:space="0" w:color="auto"/>
              <w:right w:val="single" w:sz="4" w:space="0" w:color="auto"/>
            </w:tcBorders>
          </w:tcPr>
          <w:p w14:paraId="27FF0F43" w14:textId="4DB41E8A" w:rsidR="00D0530F" w:rsidRDefault="00D0530F" w:rsidP="00D0530F">
            <w:pPr>
              <w:pStyle w:val="NoSpacing"/>
            </w:pPr>
            <w:r>
              <w:t>Executive Director</w:t>
            </w:r>
          </w:p>
        </w:tc>
      </w:tr>
      <w:tr w:rsidR="00D0530F" w14:paraId="0942ACFF" w14:textId="77777777" w:rsidTr="00651F15">
        <w:tc>
          <w:tcPr>
            <w:tcW w:w="3681" w:type="dxa"/>
            <w:tcBorders>
              <w:top w:val="single" w:sz="4" w:space="0" w:color="auto"/>
              <w:left w:val="single" w:sz="4" w:space="0" w:color="auto"/>
              <w:bottom w:val="single" w:sz="4" w:space="0" w:color="auto"/>
              <w:right w:val="single" w:sz="4" w:space="0" w:color="auto"/>
            </w:tcBorders>
          </w:tcPr>
          <w:p w14:paraId="449AD2DD" w14:textId="12048414" w:rsidR="00D0530F" w:rsidRDefault="00D0530F" w:rsidP="00D0530F">
            <w:r w:rsidRPr="0059667F">
              <w:t>National Human Rights Institute</w:t>
            </w:r>
          </w:p>
        </w:tc>
        <w:tc>
          <w:tcPr>
            <w:tcW w:w="2438" w:type="dxa"/>
            <w:tcBorders>
              <w:top w:val="single" w:sz="4" w:space="0" w:color="auto"/>
              <w:left w:val="single" w:sz="4" w:space="0" w:color="auto"/>
              <w:bottom w:val="single" w:sz="4" w:space="0" w:color="auto"/>
              <w:right w:val="single" w:sz="4" w:space="0" w:color="auto"/>
            </w:tcBorders>
          </w:tcPr>
          <w:p w14:paraId="029833BE" w14:textId="524BB4FA" w:rsidR="00D0530F" w:rsidRDefault="00D0530F" w:rsidP="00D0530F">
            <w:proofErr w:type="spellStart"/>
            <w:r>
              <w:t>Loukinikini</w:t>
            </w:r>
            <w:proofErr w:type="spellEnd"/>
            <w:r>
              <w:t xml:space="preserve"> </w:t>
            </w:r>
            <w:proofErr w:type="spellStart"/>
            <w:r>
              <w:t>Vili</w:t>
            </w:r>
            <w:proofErr w:type="spellEnd"/>
          </w:p>
        </w:tc>
        <w:tc>
          <w:tcPr>
            <w:tcW w:w="4224" w:type="dxa"/>
            <w:tcBorders>
              <w:top w:val="single" w:sz="4" w:space="0" w:color="auto"/>
              <w:left w:val="single" w:sz="4" w:space="0" w:color="auto"/>
              <w:bottom w:val="single" w:sz="4" w:space="0" w:color="auto"/>
              <w:right w:val="single" w:sz="4" w:space="0" w:color="auto"/>
            </w:tcBorders>
          </w:tcPr>
          <w:p w14:paraId="2405B021" w14:textId="3D6AC020" w:rsidR="00D0530F" w:rsidRDefault="00D0530F" w:rsidP="00D0530F">
            <w:pPr>
              <w:pStyle w:val="NoSpacing"/>
            </w:pPr>
            <w:r>
              <w:t>Director</w:t>
            </w:r>
          </w:p>
        </w:tc>
      </w:tr>
      <w:tr w:rsidR="00D0530F" w14:paraId="5AD9EC12" w14:textId="77777777" w:rsidTr="00651F15">
        <w:tc>
          <w:tcPr>
            <w:tcW w:w="3681" w:type="dxa"/>
            <w:tcBorders>
              <w:top w:val="single" w:sz="4" w:space="0" w:color="auto"/>
              <w:left w:val="single" w:sz="4" w:space="0" w:color="auto"/>
              <w:bottom w:val="single" w:sz="4" w:space="0" w:color="auto"/>
              <w:right w:val="single" w:sz="4" w:space="0" w:color="auto"/>
            </w:tcBorders>
          </w:tcPr>
          <w:p w14:paraId="0E0458DA" w14:textId="3B19AC3E" w:rsidR="00D0530F" w:rsidRDefault="00D0530F" w:rsidP="00D0530F">
            <w:proofErr w:type="spellStart"/>
            <w:r w:rsidRPr="0059667F">
              <w:t>Nuanua</w:t>
            </w:r>
            <w:proofErr w:type="spellEnd"/>
            <w:r w:rsidRPr="0059667F">
              <w:t xml:space="preserve"> o le </w:t>
            </w:r>
            <w:proofErr w:type="spellStart"/>
            <w:r w:rsidRPr="0059667F">
              <w:t>Alofa</w:t>
            </w:r>
            <w:proofErr w:type="spellEnd"/>
          </w:p>
        </w:tc>
        <w:tc>
          <w:tcPr>
            <w:tcW w:w="2438" w:type="dxa"/>
            <w:tcBorders>
              <w:top w:val="single" w:sz="4" w:space="0" w:color="auto"/>
              <w:left w:val="single" w:sz="4" w:space="0" w:color="auto"/>
              <w:bottom w:val="single" w:sz="4" w:space="0" w:color="auto"/>
              <w:right w:val="single" w:sz="4" w:space="0" w:color="auto"/>
            </w:tcBorders>
          </w:tcPr>
          <w:p w14:paraId="57D14A3B" w14:textId="62F1A7A1" w:rsidR="00D0530F" w:rsidRDefault="00D0530F" w:rsidP="00D0530F">
            <w:r>
              <w:t xml:space="preserve">Andrew </w:t>
            </w:r>
            <w:proofErr w:type="spellStart"/>
            <w:r>
              <w:t>Taofi</w:t>
            </w:r>
            <w:proofErr w:type="spellEnd"/>
          </w:p>
        </w:tc>
        <w:tc>
          <w:tcPr>
            <w:tcW w:w="4224" w:type="dxa"/>
            <w:tcBorders>
              <w:top w:val="single" w:sz="4" w:space="0" w:color="auto"/>
              <w:left w:val="single" w:sz="4" w:space="0" w:color="auto"/>
              <w:bottom w:val="single" w:sz="4" w:space="0" w:color="auto"/>
              <w:right w:val="single" w:sz="4" w:space="0" w:color="auto"/>
            </w:tcBorders>
          </w:tcPr>
          <w:p w14:paraId="1319ABA1" w14:textId="6BB8B4E9" w:rsidR="00D0530F" w:rsidRDefault="00D0530F" w:rsidP="00D0530F">
            <w:pPr>
              <w:pStyle w:val="NoSpacing"/>
            </w:pPr>
            <w:r>
              <w:t>Program Officer</w:t>
            </w:r>
          </w:p>
        </w:tc>
      </w:tr>
      <w:tr w:rsidR="00D0530F" w14:paraId="42FE1F77" w14:textId="77777777" w:rsidTr="00651F15">
        <w:tc>
          <w:tcPr>
            <w:tcW w:w="3681" w:type="dxa"/>
            <w:tcBorders>
              <w:top w:val="single" w:sz="4" w:space="0" w:color="auto"/>
              <w:left w:val="single" w:sz="4" w:space="0" w:color="auto"/>
              <w:bottom w:val="single" w:sz="4" w:space="0" w:color="auto"/>
              <w:right w:val="single" w:sz="4" w:space="0" w:color="auto"/>
            </w:tcBorders>
          </w:tcPr>
          <w:p w14:paraId="6A483E18" w14:textId="0700E8EC" w:rsidR="00D0530F" w:rsidRPr="00D0530F" w:rsidRDefault="00D0530F" w:rsidP="00D0530F">
            <w:pPr>
              <w:rPr>
                <w:b/>
              </w:rPr>
            </w:pPr>
            <w:r>
              <w:rPr>
                <w:b/>
              </w:rPr>
              <w:t xml:space="preserve">Solomon Islands </w:t>
            </w:r>
          </w:p>
        </w:tc>
        <w:tc>
          <w:tcPr>
            <w:tcW w:w="2438" w:type="dxa"/>
            <w:tcBorders>
              <w:top w:val="single" w:sz="4" w:space="0" w:color="auto"/>
              <w:left w:val="single" w:sz="4" w:space="0" w:color="auto"/>
              <w:bottom w:val="single" w:sz="4" w:space="0" w:color="auto"/>
              <w:right w:val="single" w:sz="4" w:space="0" w:color="auto"/>
            </w:tcBorders>
          </w:tcPr>
          <w:p w14:paraId="708302AC" w14:textId="77777777" w:rsidR="00D0530F" w:rsidRDefault="00D0530F" w:rsidP="00D0530F"/>
        </w:tc>
        <w:tc>
          <w:tcPr>
            <w:tcW w:w="4224" w:type="dxa"/>
            <w:tcBorders>
              <w:top w:val="single" w:sz="4" w:space="0" w:color="auto"/>
              <w:left w:val="single" w:sz="4" w:space="0" w:color="auto"/>
              <w:bottom w:val="single" w:sz="4" w:space="0" w:color="auto"/>
              <w:right w:val="single" w:sz="4" w:space="0" w:color="auto"/>
            </w:tcBorders>
          </w:tcPr>
          <w:p w14:paraId="6D0A6629" w14:textId="77777777" w:rsidR="00D0530F" w:rsidRDefault="00D0530F" w:rsidP="00D0530F">
            <w:pPr>
              <w:pStyle w:val="NoSpacing"/>
            </w:pPr>
          </w:p>
        </w:tc>
      </w:tr>
      <w:tr w:rsidR="00D0530F" w14:paraId="49DE420B" w14:textId="77777777" w:rsidTr="00651F15">
        <w:tc>
          <w:tcPr>
            <w:tcW w:w="3681" w:type="dxa"/>
            <w:tcBorders>
              <w:top w:val="single" w:sz="4" w:space="0" w:color="auto"/>
              <w:left w:val="single" w:sz="4" w:space="0" w:color="auto"/>
              <w:bottom w:val="nil"/>
              <w:right w:val="single" w:sz="4" w:space="0" w:color="auto"/>
            </w:tcBorders>
          </w:tcPr>
          <w:p w14:paraId="2EB7384B" w14:textId="7A4D58BC" w:rsidR="00D0530F" w:rsidRPr="00D0530F" w:rsidRDefault="00D0530F" w:rsidP="00D0530F">
            <w:r>
              <w:t>Ministry of Health</w:t>
            </w:r>
          </w:p>
        </w:tc>
        <w:tc>
          <w:tcPr>
            <w:tcW w:w="2438" w:type="dxa"/>
            <w:tcBorders>
              <w:top w:val="single" w:sz="4" w:space="0" w:color="auto"/>
              <w:left w:val="single" w:sz="4" w:space="0" w:color="auto"/>
              <w:bottom w:val="single" w:sz="4" w:space="0" w:color="auto"/>
              <w:right w:val="single" w:sz="4" w:space="0" w:color="auto"/>
            </w:tcBorders>
          </w:tcPr>
          <w:p w14:paraId="45F75CA7" w14:textId="65DE7E54" w:rsidR="00D0530F" w:rsidRDefault="00D0530F" w:rsidP="00D0530F">
            <w:proofErr w:type="spellStart"/>
            <w:r>
              <w:t>Nemia</w:t>
            </w:r>
            <w:proofErr w:type="spellEnd"/>
            <w:r>
              <w:t xml:space="preserve"> </w:t>
            </w:r>
            <w:proofErr w:type="spellStart"/>
            <w:r>
              <w:t>Bainivalu</w:t>
            </w:r>
            <w:proofErr w:type="spellEnd"/>
          </w:p>
        </w:tc>
        <w:tc>
          <w:tcPr>
            <w:tcW w:w="4224" w:type="dxa"/>
            <w:tcBorders>
              <w:top w:val="single" w:sz="4" w:space="0" w:color="auto"/>
              <w:left w:val="single" w:sz="4" w:space="0" w:color="auto"/>
              <w:bottom w:val="single" w:sz="4" w:space="0" w:color="auto"/>
              <w:right w:val="single" w:sz="4" w:space="0" w:color="auto"/>
            </w:tcBorders>
          </w:tcPr>
          <w:p w14:paraId="3DAA507B" w14:textId="23A14B56" w:rsidR="00D0530F" w:rsidRDefault="00D0530F" w:rsidP="00D0530F">
            <w:pPr>
              <w:pStyle w:val="NoSpacing"/>
            </w:pPr>
            <w:r>
              <w:rPr>
                <w:lang w:eastAsia="en-AU"/>
              </w:rPr>
              <w:t>Undersecretary for Health</w:t>
            </w:r>
          </w:p>
        </w:tc>
      </w:tr>
      <w:tr w:rsidR="00D0530F" w14:paraId="530D4D0A" w14:textId="77777777" w:rsidTr="00651F15">
        <w:tc>
          <w:tcPr>
            <w:tcW w:w="3681" w:type="dxa"/>
            <w:tcBorders>
              <w:top w:val="nil"/>
              <w:left w:val="single" w:sz="4" w:space="0" w:color="auto"/>
              <w:bottom w:val="nil"/>
              <w:right w:val="single" w:sz="4" w:space="0" w:color="auto"/>
            </w:tcBorders>
          </w:tcPr>
          <w:p w14:paraId="03BEFB59" w14:textId="77777777" w:rsidR="00D0530F" w:rsidRDefault="00D0530F" w:rsidP="00D0530F">
            <w:pPr>
              <w:rPr>
                <w:b/>
              </w:rPr>
            </w:pPr>
          </w:p>
        </w:tc>
        <w:tc>
          <w:tcPr>
            <w:tcW w:w="2438" w:type="dxa"/>
            <w:tcBorders>
              <w:top w:val="single" w:sz="4" w:space="0" w:color="auto"/>
              <w:left w:val="single" w:sz="4" w:space="0" w:color="auto"/>
              <w:bottom w:val="single" w:sz="4" w:space="0" w:color="auto"/>
              <w:right w:val="single" w:sz="4" w:space="0" w:color="auto"/>
            </w:tcBorders>
          </w:tcPr>
          <w:p w14:paraId="50BD32E3" w14:textId="7DD3EE84" w:rsidR="00D0530F" w:rsidRDefault="00D0530F" w:rsidP="00D0530F">
            <w:proofErr w:type="spellStart"/>
            <w:r>
              <w:t>Divinal</w:t>
            </w:r>
            <w:proofErr w:type="spellEnd"/>
            <w:r>
              <w:t xml:space="preserve"> </w:t>
            </w:r>
            <w:proofErr w:type="spellStart"/>
            <w:r>
              <w:t>Ogaoga</w:t>
            </w:r>
            <w:proofErr w:type="spellEnd"/>
          </w:p>
        </w:tc>
        <w:tc>
          <w:tcPr>
            <w:tcW w:w="4224" w:type="dxa"/>
            <w:tcBorders>
              <w:top w:val="single" w:sz="4" w:space="0" w:color="auto"/>
              <w:left w:val="single" w:sz="4" w:space="0" w:color="auto"/>
              <w:bottom w:val="single" w:sz="4" w:space="0" w:color="auto"/>
              <w:right w:val="single" w:sz="4" w:space="0" w:color="auto"/>
            </w:tcBorders>
          </w:tcPr>
          <w:p w14:paraId="05561917" w14:textId="46723AB5" w:rsidR="00D0530F" w:rsidRDefault="00D0530F" w:rsidP="00D0530F">
            <w:pPr>
              <w:pStyle w:val="NoSpacing"/>
            </w:pPr>
            <w:r>
              <w:t>Director, RMNCAH Division</w:t>
            </w:r>
          </w:p>
        </w:tc>
      </w:tr>
      <w:tr w:rsidR="00D0530F" w14:paraId="068EE032" w14:textId="77777777" w:rsidTr="00651F15">
        <w:tc>
          <w:tcPr>
            <w:tcW w:w="3681" w:type="dxa"/>
            <w:tcBorders>
              <w:top w:val="nil"/>
              <w:left w:val="single" w:sz="4" w:space="0" w:color="auto"/>
              <w:bottom w:val="nil"/>
              <w:right w:val="single" w:sz="4" w:space="0" w:color="auto"/>
            </w:tcBorders>
          </w:tcPr>
          <w:p w14:paraId="48997842" w14:textId="77777777" w:rsidR="00D0530F" w:rsidRDefault="00D0530F" w:rsidP="00D0530F">
            <w:pPr>
              <w:rPr>
                <w:b/>
              </w:rPr>
            </w:pPr>
          </w:p>
        </w:tc>
        <w:tc>
          <w:tcPr>
            <w:tcW w:w="2438" w:type="dxa"/>
            <w:tcBorders>
              <w:top w:val="single" w:sz="4" w:space="0" w:color="auto"/>
              <w:left w:val="single" w:sz="4" w:space="0" w:color="auto"/>
              <w:bottom w:val="single" w:sz="4" w:space="0" w:color="auto"/>
              <w:right w:val="single" w:sz="4" w:space="0" w:color="auto"/>
            </w:tcBorders>
          </w:tcPr>
          <w:p w14:paraId="42A75A76" w14:textId="27431C3B" w:rsidR="00D0530F" w:rsidRDefault="00D0530F" w:rsidP="00D0530F">
            <w:r>
              <w:t xml:space="preserve">Esther </w:t>
            </w:r>
            <w:proofErr w:type="spellStart"/>
            <w:r>
              <w:t>Nevenga</w:t>
            </w:r>
            <w:proofErr w:type="spellEnd"/>
            <w:r>
              <w:t xml:space="preserve"> </w:t>
            </w:r>
          </w:p>
        </w:tc>
        <w:tc>
          <w:tcPr>
            <w:tcW w:w="4224" w:type="dxa"/>
            <w:tcBorders>
              <w:top w:val="single" w:sz="4" w:space="0" w:color="auto"/>
              <w:left w:val="single" w:sz="4" w:space="0" w:color="auto"/>
              <w:bottom w:val="single" w:sz="4" w:space="0" w:color="auto"/>
              <w:right w:val="single" w:sz="4" w:space="0" w:color="auto"/>
            </w:tcBorders>
          </w:tcPr>
          <w:p w14:paraId="29463C95" w14:textId="549EBB2E" w:rsidR="00D0530F" w:rsidRDefault="00D0530F" w:rsidP="00D0530F">
            <w:pPr>
              <w:pStyle w:val="NoSpacing"/>
            </w:pPr>
            <w:r>
              <w:t>FP Focal Person, MHMS</w:t>
            </w:r>
          </w:p>
        </w:tc>
      </w:tr>
      <w:tr w:rsidR="00D0530F" w14:paraId="59BDD933" w14:textId="77777777" w:rsidTr="00651F15">
        <w:tc>
          <w:tcPr>
            <w:tcW w:w="3681" w:type="dxa"/>
            <w:tcBorders>
              <w:top w:val="nil"/>
              <w:left w:val="single" w:sz="4" w:space="0" w:color="auto"/>
              <w:bottom w:val="nil"/>
              <w:right w:val="single" w:sz="4" w:space="0" w:color="auto"/>
            </w:tcBorders>
          </w:tcPr>
          <w:p w14:paraId="147FC33C" w14:textId="77777777" w:rsidR="00D0530F" w:rsidRDefault="00D0530F" w:rsidP="00D0530F">
            <w:pPr>
              <w:rPr>
                <w:b/>
              </w:rPr>
            </w:pPr>
          </w:p>
        </w:tc>
        <w:tc>
          <w:tcPr>
            <w:tcW w:w="2438" w:type="dxa"/>
            <w:tcBorders>
              <w:top w:val="single" w:sz="4" w:space="0" w:color="auto"/>
              <w:left w:val="single" w:sz="4" w:space="0" w:color="auto"/>
              <w:bottom w:val="single" w:sz="4" w:space="0" w:color="auto"/>
              <w:right w:val="single" w:sz="4" w:space="0" w:color="auto"/>
            </w:tcBorders>
          </w:tcPr>
          <w:p w14:paraId="047197C9" w14:textId="687FB2F1" w:rsidR="00D0530F" w:rsidRDefault="00D0530F" w:rsidP="00D0530F">
            <w:r>
              <w:t xml:space="preserve">Nancy </w:t>
            </w:r>
            <w:proofErr w:type="spellStart"/>
            <w:r>
              <w:t>Pego</w:t>
            </w:r>
            <w:proofErr w:type="spellEnd"/>
          </w:p>
        </w:tc>
        <w:tc>
          <w:tcPr>
            <w:tcW w:w="4224" w:type="dxa"/>
            <w:tcBorders>
              <w:top w:val="single" w:sz="4" w:space="0" w:color="auto"/>
              <w:left w:val="single" w:sz="4" w:space="0" w:color="auto"/>
              <w:bottom w:val="single" w:sz="4" w:space="0" w:color="auto"/>
              <w:right w:val="single" w:sz="4" w:space="0" w:color="auto"/>
            </w:tcBorders>
          </w:tcPr>
          <w:p w14:paraId="14D8BC56" w14:textId="0600C296" w:rsidR="00D0530F" w:rsidRDefault="00D0530F" w:rsidP="00D0530F">
            <w:pPr>
              <w:pStyle w:val="NoSpacing"/>
            </w:pPr>
            <w:r>
              <w:t>Adolescent Health Manager</w:t>
            </w:r>
          </w:p>
        </w:tc>
      </w:tr>
      <w:tr w:rsidR="00D0530F" w14:paraId="66B6A522" w14:textId="77777777" w:rsidTr="00651F15">
        <w:tc>
          <w:tcPr>
            <w:tcW w:w="3681" w:type="dxa"/>
            <w:tcBorders>
              <w:top w:val="nil"/>
              <w:left w:val="single" w:sz="4" w:space="0" w:color="auto"/>
              <w:bottom w:val="single" w:sz="4" w:space="0" w:color="auto"/>
              <w:right w:val="single" w:sz="4" w:space="0" w:color="auto"/>
            </w:tcBorders>
          </w:tcPr>
          <w:p w14:paraId="73C7970D" w14:textId="77777777" w:rsidR="00D0530F" w:rsidRDefault="00D0530F" w:rsidP="00D0530F">
            <w:pPr>
              <w:rPr>
                <w:b/>
              </w:rPr>
            </w:pPr>
          </w:p>
        </w:tc>
        <w:tc>
          <w:tcPr>
            <w:tcW w:w="2438" w:type="dxa"/>
            <w:tcBorders>
              <w:top w:val="single" w:sz="4" w:space="0" w:color="auto"/>
              <w:left w:val="single" w:sz="4" w:space="0" w:color="auto"/>
              <w:bottom w:val="single" w:sz="4" w:space="0" w:color="auto"/>
              <w:right w:val="single" w:sz="4" w:space="0" w:color="auto"/>
            </w:tcBorders>
          </w:tcPr>
          <w:p w14:paraId="4AFAC83B" w14:textId="6635B1B5" w:rsidR="00D0530F" w:rsidRDefault="00D0530F" w:rsidP="00D0530F">
            <w:proofErr w:type="spellStart"/>
            <w:r>
              <w:t>Baakai</w:t>
            </w:r>
            <w:proofErr w:type="spellEnd"/>
            <w:r>
              <w:t xml:space="preserve"> </w:t>
            </w:r>
            <w:proofErr w:type="spellStart"/>
            <w:r>
              <w:t>Kamorki</w:t>
            </w:r>
            <w:proofErr w:type="spellEnd"/>
          </w:p>
        </w:tc>
        <w:tc>
          <w:tcPr>
            <w:tcW w:w="4224" w:type="dxa"/>
            <w:tcBorders>
              <w:top w:val="single" w:sz="4" w:space="0" w:color="auto"/>
              <w:left w:val="single" w:sz="4" w:space="0" w:color="auto"/>
              <w:bottom w:val="single" w:sz="4" w:space="0" w:color="auto"/>
              <w:right w:val="single" w:sz="4" w:space="0" w:color="auto"/>
            </w:tcBorders>
          </w:tcPr>
          <w:p w14:paraId="11E058AD" w14:textId="34EF55F4" w:rsidR="00D0530F" w:rsidRDefault="00D0530F" w:rsidP="00D0530F">
            <w:pPr>
              <w:pStyle w:val="NoSpacing"/>
            </w:pPr>
            <w:r>
              <w:t>Chief Statistician and Manager, HIS</w:t>
            </w:r>
          </w:p>
        </w:tc>
      </w:tr>
      <w:tr w:rsidR="00D0530F" w14:paraId="37E4CB11" w14:textId="77777777" w:rsidTr="00651F15">
        <w:tc>
          <w:tcPr>
            <w:tcW w:w="3681" w:type="dxa"/>
            <w:tcBorders>
              <w:top w:val="single" w:sz="4" w:space="0" w:color="auto"/>
              <w:left w:val="single" w:sz="4" w:space="0" w:color="auto"/>
              <w:bottom w:val="single" w:sz="4" w:space="0" w:color="auto"/>
              <w:right w:val="single" w:sz="4" w:space="0" w:color="auto"/>
            </w:tcBorders>
          </w:tcPr>
          <w:p w14:paraId="5BFFEB8E" w14:textId="77777777" w:rsidR="00D0530F" w:rsidRDefault="00D0530F" w:rsidP="00D0530F">
            <w:pPr>
              <w:rPr>
                <w:b/>
              </w:rPr>
            </w:pPr>
          </w:p>
        </w:tc>
        <w:tc>
          <w:tcPr>
            <w:tcW w:w="2438" w:type="dxa"/>
            <w:tcBorders>
              <w:top w:val="single" w:sz="4" w:space="0" w:color="auto"/>
              <w:left w:val="single" w:sz="4" w:space="0" w:color="auto"/>
              <w:bottom w:val="single" w:sz="4" w:space="0" w:color="auto"/>
              <w:right w:val="single" w:sz="4" w:space="0" w:color="auto"/>
            </w:tcBorders>
          </w:tcPr>
          <w:p w14:paraId="03FC9EDA" w14:textId="5CC14C61" w:rsidR="00D0530F" w:rsidRDefault="00D0530F" w:rsidP="00D0530F">
            <w:proofErr w:type="spellStart"/>
            <w:r>
              <w:t>Nashley</w:t>
            </w:r>
            <w:proofErr w:type="spellEnd"/>
            <w:r>
              <w:t xml:space="preserve"> </w:t>
            </w:r>
            <w:proofErr w:type="spellStart"/>
            <w:r>
              <w:t>Vozoto</w:t>
            </w:r>
            <w:proofErr w:type="spellEnd"/>
          </w:p>
        </w:tc>
        <w:tc>
          <w:tcPr>
            <w:tcW w:w="4224" w:type="dxa"/>
            <w:tcBorders>
              <w:top w:val="single" w:sz="4" w:space="0" w:color="auto"/>
              <w:left w:val="single" w:sz="4" w:space="0" w:color="auto"/>
              <w:bottom w:val="single" w:sz="4" w:space="0" w:color="auto"/>
              <w:right w:val="single" w:sz="4" w:space="0" w:color="auto"/>
            </w:tcBorders>
          </w:tcPr>
          <w:p w14:paraId="0D66B2C4" w14:textId="7E9BFDCD" w:rsidR="00D0530F" w:rsidRDefault="00D0530F" w:rsidP="00D0530F">
            <w:pPr>
              <w:pStyle w:val="NoSpacing"/>
            </w:pPr>
            <w:r>
              <w:t>GBV Focal Person, Social Welfare Office</w:t>
            </w:r>
          </w:p>
        </w:tc>
      </w:tr>
      <w:tr w:rsidR="00D0530F" w14:paraId="06B4CAA9" w14:textId="77777777" w:rsidTr="00651F15">
        <w:tc>
          <w:tcPr>
            <w:tcW w:w="3681" w:type="dxa"/>
            <w:tcBorders>
              <w:top w:val="single" w:sz="4" w:space="0" w:color="auto"/>
              <w:left w:val="single" w:sz="4" w:space="0" w:color="auto"/>
              <w:bottom w:val="single" w:sz="4" w:space="0" w:color="auto"/>
              <w:right w:val="single" w:sz="4" w:space="0" w:color="auto"/>
            </w:tcBorders>
          </w:tcPr>
          <w:p w14:paraId="7F5DE199" w14:textId="77777777" w:rsidR="00D0530F" w:rsidRDefault="00D0530F" w:rsidP="00D0530F">
            <w:pPr>
              <w:rPr>
                <w:b/>
              </w:rPr>
            </w:pPr>
          </w:p>
        </w:tc>
        <w:tc>
          <w:tcPr>
            <w:tcW w:w="2438" w:type="dxa"/>
            <w:tcBorders>
              <w:top w:val="single" w:sz="4" w:space="0" w:color="auto"/>
              <w:left w:val="single" w:sz="4" w:space="0" w:color="auto"/>
              <w:bottom w:val="single" w:sz="4" w:space="0" w:color="auto"/>
              <w:right w:val="single" w:sz="4" w:space="0" w:color="auto"/>
            </w:tcBorders>
          </w:tcPr>
          <w:p w14:paraId="4FA49820" w14:textId="41649623" w:rsidR="00D0530F" w:rsidRDefault="00D0530F" w:rsidP="00D0530F">
            <w:r>
              <w:t xml:space="preserve">Timmy </w:t>
            </w:r>
            <w:proofErr w:type="spellStart"/>
            <w:r>
              <w:t>Manea</w:t>
            </w:r>
            <w:proofErr w:type="spellEnd"/>
          </w:p>
        </w:tc>
        <w:tc>
          <w:tcPr>
            <w:tcW w:w="4224" w:type="dxa"/>
            <w:tcBorders>
              <w:top w:val="single" w:sz="4" w:space="0" w:color="auto"/>
              <w:left w:val="single" w:sz="4" w:space="0" w:color="auto"/>
              <w:bottom w:val="single" w:sz="4" w:space="0" w:color="auto"/>
              <w:right w:val="single" w:sz="4" w:space="0" w:color="auto"/>
            </w:tcBorders>
          </w:tcPr>
          <w:p w14:paraId="786CF30A" w14:textId="4AE08F83" w:rsidR="00D0530F" w:rsidRDefault="00D0530F" w:rsidP="00D0530F">
            <w:pPr>
              <w:pStyle w:val="NoSpacing"/>
            </w:pPr>
            <w:r>
              <w:t>Director, National Pharmacy Services and Acting Manager, National Medical Stores</w:t>
            </w:r>
          </w:p>
        </w:tc>
      </w:tr>
      <w:tr w:rsidR="00D0530F" w14:paraId="48563718" w14:textId="77777777" w:rsidTr="00651F15">
        <w:tc>
          <w:tcPr>
            <w:tcW w:w="3681" w:type="dxa"/>
            <w:tcBorders>
              <w:top w:val="single" w:sz="4" w:space="0" w:color="auto"/>
              <w:left w:val="single" w:sz="4" w:space="0" w:color="auto"/>
              <w:bottom w:val="single" w:sz="4" w:space="0" w:color="auto"/>
              <w:right w:val="single" w:sz="4" w:space="0" w:color="auto"/>
            </w:tcBorders>
          </w:tcPr>
          <w:p w14:paraId="7A594A22" w14:textId="77777777" w:rsidR="00D0530F" w:rsidRDefault="00D0530F" w:rsidP="00D0530F">
            <w:pPr>
              <w:rPr>
                <w:rFonts w:cs="Calibri"/>
                <w:szCs w:val="22"/>
                <w:lang w:eastAsia="en-AU" w:bidi="ar-SA"/>
              </w:rPr>
            </w:pPr>
            <w:r>
              <w:rPr>
                <w:rFonts w:ascii="Arial" w:hAnsi="Arial" w:cs="Arial"/>
                <w:color w:val="222222"/>
                <w:sz w:val="20"/>
                <w:szCs w:val="20"/>
                <w:shd w:val="clear" w:color="auto" w:fill="FFFFFF"/>
              </w:rPr>
              <w:t xml:space="preserve">Solomon Island Planned Parenthood Association </w:t>
            </w:r>
          </w:p>
          <w:p w14:paraId="43A648E9" w14:textId="77777777" w:rsidR="00D0530F" w:rsidRDefault="00D0530F" w:rsidP="00D0530F">
            <w:pPr>
              <w:rPr>
                <w:b/>
              </w:rPr>
            </w:pPr>
          </w:p>
        </w:tc>
        <w:tc>
          <w:tcPr>
            <w:tcW w:w="2438" w:type="dxa"/>
            <w:tcBorders>
              <w:top w:val="single" w:sz="4" w:space="0" w:color="auto"/>
              <w:left w:val="single" w:sz="4" w:space="0" w:color="auto"/>
              <w:bottom w:val="single" w:sz="4" w:space="0" w:color="auto"/>
              <w:right w:val="single" w:sz="4" w:space="0" w:color="auto"/>
            </w:tcBorders>
          </w:tcPr>
          <w:p w14:paraId="5D47F001" w14:textId="4E7DFA54" w:rsidR="00D0530F" w:rsidRDefault="00D0530F" w:rsidP="00D0530F">
            <w:r>
              <w:rPr>
                <w:rFonts w:ascii="Arial" w:hAnsi="Arial" w:cs="Arial"/>
                <w:color w:val="222222"/>
                <w:sz w:val="20"/>
                <w:szCs w:val="20"/>
                <w:shd w:val="clear" w:color="auto" w:fill="FFFFFF"/>
              </w:rPr>
              <w:t xml:space="preserve">Ben </w:t>
            </w:r>
            <w:proofErr w:type="spellStart"/>
            <w:r>
              <w:rPr>
                <w:rFonts w:ascii="Arial" w:hAnsi="Arial" w:cs="Arial"/>
                <w:color w:val="222222"/>
                <w:sz w:val="20"/>
                <w:szCs w:val="20"/>
                <w:shd w:val="clear" w:color="auto" w:fill="FFFFFF"/>
              </w:rPr>
              <w:t>Angoa</w:t>
            </w:r>
            <w:proofErr w:type="spellEnd"/>
          </w:p>
        </w:tc>
        <w:tc>
          <w:tcPr>
            <w:tcW w:w="4224" w:type="dxa"/>
            <w:tcBorders>
              <w:top w:val="single" w:sz="4" w:space="0" w:color="auto"/>
              <w:left w:val="single" w:sz="4" w:space="0" w:color="auto"/>
              <w:bottom w:val="single" w:sz="4" w:space="0" w:color="auto"/>
              <w:right w:val="single" w:sz="4" w:space="0" w:color="auto"/>
            </w:tcBorders>
          </w:tcPr>
          <w:p w14:paraId="2BCF3CA4" w14:textId="51F94BA5" w:rsidR="00D0530F" w:rsidRDefault="00D0530F" w:rsidP="00D0530F">
            <w:pPr>
              <w:pStyle w:val="NoSpacing"/>
            </w:pPr>
            <w:r>
              <w:rPr>
                <w:rFonts w:ascii="Arial" w:hAnsi="Arial" w:cs="Arial"/>
                <w:color w:val="222222"/>
                <w:sz w:val="20"/>
                <w:szCs w:val="20"/>
                <w:shd w:val="clear" w:color="auto" w:fill="FFFFFF"/>
              </w:rPr>
              <w:t>Executive Director</w:t>
            </w:r>
          </w:p>
        </w:tc>
      </w:tr>
      <w:tr w:rsidR="00D0530F" w14:paraId="2657D771" w14:textId="77777777" w:rsidTr="00651F15">
        <w:tc>
          <w:tcPr>
            <w:tcW w:w="3681" w:type="dxa"/>
            <w:tcBorders>
              <w:top w:val="single" w:sz="4" w:space="0" w:color="auto"/>
              <w:left w:val="single" w:sz="4" w:space="0" w:color="auto"/>
              <w:bottom w:val="single" w:sz="4" w:space="0" w:color="auto"/>
              <w:right w:val="single" w:sz="4" w:space="0" w:color="auto"/>
            </w:tcBorders>
          </w:tcPr>
          <w:p w14:paraId="7D39279C" w14:textId="63D7DEB1" w:rsidR="00D0530F" w:rsidRDefault="00D0530F" w:rsidP="00D0530F">
            <w:pPr>
              <w:rPr>
                <w:b/>
              </w:rPr>
            </w:pPr>
            <w:r w:rsidRPr="00EA4049">
              <w:rPr>
                <w:szCs w:val="22"/>
              </w:rPr>
              <w:t>Ministry of National Planning and Development Coordination</w:t>
            </w:r>
          </w:p>
        </w:tc>
        <w:tc>
          <w:tcPr>
            <w:tcW w:w="2438" w:type="dxa"/>
            <w:tcBorders>
              <w:top w:val="single" w:sz="4" w:space="0" w:color="auto"/>
              <w:left w:val="single" w:sz="4" w:space="0" w:color="auto"/>
              <w:bottom w:val="single" w:sz="4" w:space="0" w:color="auto"/>
              <w:right w:val="single" w:sz="4" w:space="0" w:color="auto"/>
            </w:tcBorders>
          </w:tcPr>
          <w:p w14:paraId="14B196F7" w14:textId="6B871FC3" w:rsidR="00D0530F" w:rsidRDefault="00D0530F" w:rsidP="00D0530F">
            <w:r>
              <w:t xml:space="preserve">Samuel </w:t>
            </w:r>
            <w:proofErr w:type="spellStart"/>
            <w:r>
              <w:t>Aruhu</w:t>
            </w:r>
            <w:proofErr w:type="spellEnd"/>
          </w:p>
        </w:tc>
        <w:tc>
          <w:tcPr>
            <w:tcW w:w="4224" w:type="dxa"/>
            <w:tcBorders>
              <w:top w:val="single" w:sz="4" w:space="0" w:color="auto"/>
              <w:left w:val="single" w:sz="4" w:space="0" w:color="auto"/>
              <w:bottom w:val="single" w:sz="4" w:space="0" w:color="auto"/>
              <w:right w:val="single" w:sz="4" w:space="0" w:color="auto"/>
            </w:tcBorders>
          </w:tcPr>
          <w:p w14:paraId="7BF94EFA" w14:textId="39DA7885" w:rsidR="00D0530F" w:rsidRDefault="00D0530F" w:rsidP="00D0530F">
            <w:pPr>
              <w:pStyle w:val="NoSpacing"/>
            </w:pPr>
            <w:r>
              <w:t>Director, Social Development and Governance Division</w:t>
            </w:r>
          </w:p>
        </w:tc>
      </w:tr>
      <w:tr w:rsidR="00D0530F" w14:paraId="48153D85" w14:textId="77777777" w:rsidTr="00651F15">
        <w:tc>
          <w:tcPr>
            <w:tcW w:w="3681" w:type="dxa"/>
            <w:tcBorders>
              <w:top w:val="single" w:sz="4" w:space="0" w:color="auto"/>
              <w:left w:val="single" w:sz="4" w:space="0" w:color="auto"/>
              <w:bottom w:val="single" w:sz="4" w:space="0" w:color="auto"/>
              <w:right w:val="single" w:sz="4" w:space="0" w:color="auto"/>
            </w:tcBorders>
          </w:tcPr>
          <w:p w14:paraId="152DAB4C" w14:textId="0D4E69C0" w:rsidR="00D0530F" w:rsidRDefault="00D0530F" w:rsidP="00D0530F">
            <w:pPr>
              <w:rPr>
                <w:b/>
              </w:rPr>
            </w:pPr>
            <w:r>
              <w:t>Ministry of Women, Youth, Children and Family Affairs</w:t>
            </w:r>
          </w:p>
        </w:tc>
        <w:tc>
          <w:tcPr>
            <w:tcW w:w="2438" w:type="dxa"/>
            <w:tcBorders>
              <w:top w:val="single" w:sz="4" w:space="0" w:color="auto"/>
              <w:left w:val="single" w:sz="4" w:space="0" w:color="auto"/>
              <w:bottom w:val="single" w:sz="4" w:space="0" w:color="auto"/>
              <w:right w:val="single" w:sz="4" w:space="0" w:color="auto"/>
            </w:tcBorders>
          </w:tcPr>
          <w:p w14:paraId="14112E4C" w14:textId="143B9FA7" w:rsidR="00D0530F" w:rsidRDefault="00D0530F" w:rsidP="00D0530F">
            <w:r>
              <w:t xml:space="preserve">Emily </w:t>
            </w:r>
            <w:proofErr w:type="spellStart"/>
            <w:r>
              <w:t>Darafo’oa</w:t>
            </w:r>
            <w:proofErr w:type="spellEnd"/>
          </w:p>
        </w:tc>
        <w:tc>
          <w:tcPr>
            <w:tcW w:w="4224" w:type="dxa"/>
            <w:tcBorders>
              <w:top w:val="single" w:sz="4" w:space="0" w:color="auto"/>
              <w:left w:val="single" w:sz="4" w:space="0" w:color="auto"/>
              <w:bottom w:val="single" w:sz="4" w:space="0" w:color="auto"/>
              <w:right w:val="single" w:sz="4" w:space="0" w:color="auto"/>
            </w:tcBorders>
          </w:tcPr>
          <w:p w14:paraId="7229C91C" w14:textId="4E688649" w:rsidR="00D0530F" w:rsidRDefault="00D0530F" w:rsidP="00D0530F">
            <w:pPr>
              <w:pStyle w:val="NoSpacing"/>
            </w:pPr>
            <w:r>
              <w:t>Youth Research Officer</w:t>
            </w:r>
          </w:p>
        </w:tc>
      </w:tr>
      <w:tr w:rsidR="00D0530F" w14:paraId="4F3C1B00" w14:textId="77777777" w:rsidTr="00651F15">
        <w:tc>
          <w:tcPr>
            <w:tcW w:w="3681" w:type="dxa"/>
            <w:tcBorders>
              <w:top w:val="single" w:sz="4" w:space="0" w:color="auto"/>
              <w:left w:val="single" w:sz="4" w:space="0" w:color="auto"/>
              <w:bottom w:val="single" w:sz="4" w:space="0" w:color="auto"/>
              <w:right w:val="single" w:sz="4" w:space="0" w:color="auto"/>
            </w:tcBorders>
          </w:tcPr>
          <w:p w14:paraId="213C0922" w14:textId="2B9A7653" w:rsidR="00D0530F" w:rsidRPr="00D0530F" w:rsidRDefault="00D0530F" w:rsidP="00D0530F">
            <w:pPr>
              <w:rPr>
                <w:b/>
              </w:rPr>
            </w:pPr>
            <w:r>
              <w:rPr>
                <w:b/>
              </w:rPr>
              <w:t>Tonga</w:t>
            </w:r>
          </w:p>
        </w:tc>
        <w:tc>
          <w:tcPr>
            <w:tcW w:w="2438" w:type="dxa"/>
            <w:tcBorders>
              <w:top w:val="single" w:sz="4" w:space="0" w:color="auto"/>
              <w:left w:val="single" w:sz="4" w:space="0" w:color="auto"/>
              <w:bottom w:val="single" w:sz="4" w:space="0" w:color="auto"/>
              <w:right w:val="single" w:sz="4" w:space="0" w:color="auto"/>
            </w:tcBorders>
          </w:tcPr>
          <w:p w14:paraId="173731F3" w14:textId="77777777" w:rsidR="00D0530F" w:rsidRDefault="00D0530F" w:rsidP="00D0530F"/>
        </w:tc>
        <w:tc>
          <w:tcPr>
            <w:tcW w:w="4224" w:type="dxa"/>
            <w:tcBorders>
              <w:top w:val="single" w:sz="4" w:space="0" w:color="auto"/>
              <w:left w:val="single" w:sz="4" w:space="0" w:color="auto"/>
              <w:bottom w:val="single" w:sz="4" w:space="0" w:color="auto"/>
              <w:right w:val="single" w:sz="4" w:space="0" w:color="auto"/>
            </w:tcBorders>
          </w:tcPr>
          <w:p w14:paraId="3B83ED87" w14:textId="77777777" w:rsidR="00D0530F" w:rsidRDefault="00D0530F" w:rsidP="00D0530F">
            <w:pPr>
              <w:pStyle w:val="NoSpacing"/>
            </w:pPr>
          </w:p>
        </w:tc>
      </w:tr>
      <w:tr w:rsidR="00D0530F" w14:paraId="11203DF7" w14:textId="77777777" w:rsidTr="00651F15">
        <w:tc>
          <w:tcPr>
            <w:tcW w:w="3681" w:type="dxa"/>
            <w:tcBorders>
              <w:top w:val="single" w:sz="4" w:space="0" w:color="auto"/>
              <w:left w:val="single" w:sz="4" w:space="0" w:color="auto"/>
              <w:bottom w:val="nil"/>
              <w:right w:val="single" w:sz="4" w:space="0" w:color="auto"/>
            </w:tcBorders>
          </w:tcPr>
          <w:p w14:paraId="3D3E0B9F" w14:textId="1555AE89" w:rsidR="00D0530F" w:rsidRPr="00D0530F" w:rsidRDefault="00D0530F" w:rsidP="00D0530F">
            <w:r>
              <w:t>Ministry of Health</w:t>
            </w:r>
          </w:p>
        </w:tc>
        <w:tc>
          <w:tcPr>
            <w:tcW w:w="2438" w:type="dxa"/>
            <w:tcBorders>
              <w:top w:val="single" w:sz="4" w:space="0" w:color="auto"/>
              <w:left w:val="single" w:sz="4" w:space="0" w:color="auto"/>
              <w:bottom w:val="single" w:sz="4" w:space="0" w:color="auto"/>
              <w:right w:val="single" w:sz="4" w:space="0" w:color="auto"/>
            </w:tcBorders>
          </w:tcPr>
          <w:p w14:paraId="1050AF3A" w14:textId="39CE623D" w:rsidR="00D0530F" w:rsidRDefault="00D0530F" w:rsidP="00D0530F">
            <w:proofErr w:type="spellStart"/>
            <w:r>
              <w:t>Ma’ake</w:t>
            </w:r>
            <w:proofErr w:type="spellEnd"/>
            <w:r>
              <w:t xml:space="preserve"> Tupou</w:t>
            </w:r>
          </w:p>
        </w:tc>
        <w:tc>
          <w:tcPr>
            <w:tcW w:w="4224" w:type="dxa"/>
            <w:tcBorders>
              <w:top w:val="single" w:sz="4" w:space="0" w:color="auto"/>
              <w:left w:val="single" w:sz="4" w:space="0" w:color="auto"/>
              <w:bottom w:val="single" w:sz="4" w:space="0" w:color="auto"/>
              <w:right w:val="single" w:sz="4" w:space="0" w:color="auto"/>
            </w:tcBorders>
          </w:tcPr>
          <w:p w14:paraId="025EFD18" w14:textId="04029750" w:rsidR="00D0530F" w:rsidRDefault="00D0530F" w:rsidP="00D0530F">
            <w:pPr>
              <w:pStyle w:val="NoSpacing"/>
            </w:pPr>
            <w:r>
              <w:t>Obstetric Specialist</w:t>
            </w:r>
          </w:p>
        </w:tc>
      </w:tr>
      <w:tr w:rsidR="00D0530F" w14:paraId="6DCB3CC9" w14:textId="77777777" w:rsidTr="00651F15">
        <w:tc>
          <w:tcPr>
            <w:tcW w:w="3681" w:type="dxa"/>
            <w:tcBorders>
              <w:top w:val="nil"/>
              <w:left w:val="single" w:sz="4" w:space="0" w:color="auto"/>
              <w:bottom w:val="nil"/>
              <w:right w:val="single" w:sz="4" w:space="0" w:color="auto"/>
            </w:tcBorders>
          </w:tcPr>
          <w:p w14:paraId="463A4520" w14:textId="77777777" w:rsidR="00D0530F" w:rsidRDefault="00D0530F" w:rsidP="00D0530F">
            <w:pPr>
              <w:rPr>
                <w:b/>
              </w:rPr>
            </w:pPr>
          </w:p>
        </w:tc>
        <w:tc>
          <w:tcPr>
            <w:tcW w:w="2438" w:type="dxa"/>
            <w:tcBorders>
              <w:top w:val="single" w:sz="4" w:space="0" w:color="auto"/>
              <w:left w:val="single" w:sz="4" w:space="0" w:color="auto"/>
              <w:bottom w:val="single" w:sz="4" w:space="0" w:color="auto"/>
              <w:right w:val="single" w:sz="4" w:space="0" w:color="auto"/>
            </w:tcBorders>
          </w:tcPr>
          <w:p w14:paraId="447AAE99" w14:textId="711F7053" w:rsidR="00D0530F" w:rsidRDefault="00D0530F" w:rsidP="00D0530F">
            <w:proofErr w:type="spellStart"/>
            <w:r>
              <w:t>Afu</w:t>
            </w:r>
            <w:proofErr w:type="spellEnd"/>
            <w:r>
              <w:t xml:space="preserve"> </w:t>
            </w:r>
            <w:proofErr w:type="spellStart"/>
            <w:r>
              <w:t>Tei</w:t>
            </w:r>
            <w:proofErr w:type="spellEnd"/>
          </w:p>
        </w:tc>
        <w:tc>
          <w:tcPr>
            <w:tcW w:w="4224" w:type="dxa"/>
            <w:tcBorders>
              <w:top w:val="single" w:sz="4" w:space="0" w:color="auto"/>
              <w:left w:val="single" w:sz="4" w:space="0" w:color="auto"/>
              <w:bottom w:val="single" w:sz="4" w:space="0" w:color="auto"/>
              <w:right w:val="single" w:sz="4" w:space="0" w:color="auto"/>
            </w:tcBorders>
          </w:tcPr>
          <w:p w14:paraId="3188F27C" w14:textId="5E252526" w:rsidR="00D0530F" w:rsidRDefault="00D0530F" w:rsidP="00D0530F">
            <w:pPr>
              <w:pStyle w:val="NoSpacing"/>
            </w:pPr>
            <w:r>
              <w:t>SRH Nurse</w:t>
            </w:r>
          </w:p>
        </w:tc>
      </w:tr>
      <w:tr w:rsidR="00D0530F" w14:paraId="2B42E3A9" w14:textId="77777777" w:rsidTr="00651F15">
        <w:tc>
          <w:tcPr>
            <w:tcW w:w="3681" w:type="dxa"/>
            <w:tcBorders>
              <w:top w:val="nil"/>
              <w:left w:val="single" w:sz="4" w:space="0" w:color="auto"/>
              <w:bottom w:val="nil"/>
              <w:right w:val="single" w:sz="4" w:space="0" w:color="auto"/>
            </w:tcBorders>
          </w:tcPr>
          <w:p w14:paraId="22A6238B" w14:textId="77777777" w:rsidR="00D0530F" w:rsidRDefault="00D0530F" w:rsidP="00D0530F">
            <w:pPr>
              <w:rPr>
                <w:b/>
              </w:rPr>
            </w:pPr>
          </w:p>
        </w:tc>
        <w:tc>
          <w:tcPr>
            <w:tcW w:w="2438" w:type="dxa"/>
            <w:tcBorders>
              <w:top w:val="single" w:sz="4" w:space="0" w:color="auto"/>
              <w:left w:val="single" w:sz="4" w:space="0" w:color="auto"/>
              <w:bottom w:val="single" w:sz="4" w:space="0" w:color="auto"/>
              <w:right w:val="single" w:sz="4" w:space="0" w:color="auto"/>
            </w:tcBorders>
          </w:tcPr>
          <w:p w14:paraId="5AAE4185" w14:textId="520F0C87" w:rsidR="00D0530F" w:rsidRDefault="00D0530F" w:rsidP="00D0530F">
            <w:proofErr w:type="spellStart"/>
            <w:r>
              <w:rPr>
                <w:rFonts w:cstheme="minorHAnsi"/>
              </w:rPr>
              <w:t>Taufa</w:t>
            </w:r>
            <w:proofErr w:type="spellEnd"/>
            <w:r>
              <w:rPr>
                <w:rFonts w:cstheme="minorHAnsi"/>
              </w:rPr>
              <w:t xml:space="preserve"> </w:t>
            </w:r>
            <w:proofErr w:type="spellStart"/>
            <w:r>
              <w:rPr>
                <w:rFonts w:cstheme="minorHAnsi"/>
              </w:rPr>
              <w:t>Mone</w:t>
            </w:r>
            <w:proofErr w:type="spellEnd"/>
          </w:p>
        </w:tc>
        <w:tc>
          <w:tcPr>
            <w:tcW w:w="4224" w:type="dxa"/>
            <w:tcBorders>
              <w:top w:val="single" w:sz="4" w:space="0" w:color="auto"/>
              <w:left w:val="single" w:sz="4" w:space="0" w:color="auto"/>
              <w:bottom w:val="single" w:sz="4" w:space="0" w:color="auto"/>
              <w:right w:val="single" w:sz="4" w:space="0" w:color="auto"/>
            </w:tcBorders>
          </w:tcPr>
          <w:p w14:paraId="6A1463BB" w14:textId="26607C33" w:rsidR="00D0530F" w:rsidRDefault="00D0530F" w:rsidP="00D0530F">
            <w:pPr>
              <w:pStyle w:val="NoSpacing"/>
            </w:pPr>
            <w:r>
              <w:rPr>
                <w:rFonts w:cstheme="minorHAnsi"/>
              </w:rPr>
              <w:t>Supervising Nurse, Public Health</w:t>
            </w:r>
          </w:p>
        </w:tc>
      </w:tr>
      <w:tr w:rsidR="00D0530F" w14:paraId="0E3B146D" w14:textId="77777777" w:rsidTr="00651F15">
        <w:tc>
          <w:tcPr>
            <w:tcW w:w="3681" w:type="dxa"/>
            <w:tcBorders>
              <w:top w:val="nil"/>
              <w:left w:val="single" w:sz="4" w:space="0" w:color="auto"/>
              <w:bottom w:val="nil"/>
              <w:right w:val="single" w:sz="4" w:space="0" w:color="auto"/>
            </w:tcBorders>
          </w:tcPr>
          <w:p w14:paraId="162003D1" w14:textId="77777777" w:rsidR="00D0530F" w:rsidRDefault="00D0530F" w:rsidP="00D0530F">
            <w:pPr>
              <w:rPr>
                <w:b/>
              </w:rPr>
            </w:pPr>
          </w:p>
        </w:tc>
        <w:tc>
          <w:tcPr>
            <w:tcW w:w="2438" w:type="dxa"/>
            <w:tcBorders>
              <w:top w:val="single" w:sz="4" w:space="0" w:color="auto"/>
              <w:left w:val="single" w:sz="4" w:space="0" w:color="auto"/>
              <w:bottom w:val="single" w:sz="4" w:space="0" w:color="auto"/>
              <w:right w:val="single" w:sz="4" w:space="0" w:color="auto"/>
            </w:tcBorders>
          </w:tcPr>
          <w:p w14:paraId="653F2637" w14:textId="5E896C3E" w:rsidR="00D0530F" w:rsidRDefault="00D0530F" w:rsidP="00D0530F">
            <w:proofErr w:type="spellStart"/>
            <w:r>
              <w:t>Katalina</w:t>
            </w:r>
            <w:proofErr w:type="spellEnd"/>
            <w:r>
              <w:t xml:space="preserve"> </w:t>
            </w:r>
            <w:proofErr w:type="spellStart"/>
            <w:r>
              <w:t>Malolo</w:t>
            </w:r>
            <w:proofErr w:type="spellEnd"/>
          </w:p>
        </w:tc>
        <w:tc>
          <w:tcPr>
            <w:tcW w:w="4224" w:type="dxa"/>
            <w:tcBorders>
              <w:top w:val="single" w:sz="4" w:space="0" w:color="auto"/>
              <w:left w:val="single" w:sz="4" w:space="0" w:color="auto"/>
              <w:bottom w:val="single" w:sz="4" w:space="0" w:color="auto"/>
              <w:right w:val="single" w:sz="4" w:space="0" w:color="auto"/>
            </w:tcBorders>
          </w:tcPr>
          <w:p w14:paraId="42A9FC26" w14:textId="590A7DCF" w:rsidR="00D0530F" w:rsidRDefault="00D0530F" w:rsidP="00D0530F">
            <w:pPr>
              <w:pStyle w:val="NoSpacing"/>
            </w:pPr>
            <w:r>
              <w:t>Recipient Midwife Training</w:t>
            </w:r>
          </w:p>
        </w:tc>
      </w:tr>
      <w:tr w:rsidR="00D0530F" w14:paraId="1E9B6D11" w14:textId="77777777" w:rsidTr="00651F15">
        <w:tc>
          <w:tcPr>
            <w:tcW w:w="3681" w:type="dxa"/>
            <w:tcBorders>
              <w:top w:val="nil"/>
              <w:left w:val="single" w:sz="4" w:space="0" w:color="auto"/>
              <w:bottom w:val="single" w:sz="4" w:space="0" w:color="auto"/>
              <w:right w:val="single" w:sz="4" w:space="0" w:color="auto"/>
            </w:tcBorders>
          </w:tcPr>
          <w:p w14:paraId="1D9D1CA5" w14:textId="77777777" w:rsidR="00D0530F" w:rsidRDefault="00D0530F" w:rsidP="00D0530F">
            <w:pPr>
              <w:rPr>
                <w:b/>
              </w:rPr>
            </w:pPr>
          </w:p>
        </w:tc>
        <w:tc>
          <w:tcPr>
            <w:tcW w:w="2438" w:type="dxa"/>
            <w:tcBorders>
              <w:top w:val="single" w:sz="4" w:space="0" w:color="auto"/>
              <w:left w:val="single" w:sz="4" w:space="0" w:color="auto"/>
              <w:bottom w:val="single" w:sz="4" w:space="0" w:color="auto"/>
              <w:right w:val="single" w:sz="4" w:space="0" w:color="auto"/>
            </w:tcBorders>
          </w:tcPr>
          <w:p w14:paraId="2F60A5A2" w14:textId="4BB3E3BE" w:rsidR="00D0530F" w:rsidRDefault="00D0530F" w:rsidP="00D0530F">
            <w:proofErr w:type="spellStart"/>
            <w:r>
              <w:t>Melenaite</w:t>
            </w:r>
            <w:proofErr w:type="spellEnd"/>
            <w:r>
              <w:t xml:space="preserve"> </w:t>
            </w:r>
            <w:proofErr w:type="spellStart"/>
            <w:r>
              <w:t>Mahe</w:t>
            </w:r>
            <w:proofErr w:type="spellEnd"/>
          </w:p>
        </w:tc>
        <w:tc>
          <w:tcPr>
            <w:tcW w:w="4224" w:type="dxa"/>
            <w:tcBorders>
              <w:top w:val="single" w:sz="4" w:space="0" w:color="auto"/>
              <w:left w:val="single" w:sz="4" w:space="0" w:color="auto"/>
              <w:bottom w:val="single" w:sz="4" w:space="0" w:color="auto"/>
              <w:right w:val="single" w:sz="4" w:space="0" w:color="auto"/>
            </w:tcBorders>
          </w:tcPr>
          <w:p w14:paraId="29BEFA77" w14:textId="4F34BD33" w:rsidR="00D0530F" w:rsidRDefault="00D0530F" w:rsidP="00D0530F">
            <w:pPr>
              <w:pStyle w:val="NoSpacing"/>
            </w:pPr>
            <w:r>
              <w:t>Chief Pharmacist, Pharmacy Warehouse</w:t>
            </w:r>
          </w:p>
        </w:tc>
      </w:tr>
      <w:tr w:rsidR="00D0530F" w14:paraId="69B6C787" w14:textId="77777777" w:rsidTr="00651F15">
        <w:tc>
          <w:tcPr>
            <w:tcW w:w="3681" w:type="dxa"/>
            <w:tcBorders>
              <w:top w:val="single" w:sz="4" w:space="0" w:color="auto"/>
              <w:left w:val="single" w:sz="4" w:space="0" w:color="auto"/>
              <w:bottom w:val="nil"/>
              <w:right w:val="single" w:sz="4" w:space="0" w:color="auto"/>
            </w:tcBorders>
          </w:tcPr>
          <w:p w14:paraId="0996D9C4" w14:textId="2F7671BE" w:rsidR="00D0530F" w:rsidRDefault="00D0530F" w:rsidP="00D0530F">
            <w:pPr>
              <w:rPr>
                <w:b/>
              </w:rPr>
            </w:pPr>
            <w:r>
              <w:t>UNFPA Field Office</w:t>
            </w:r>
          </w:p>
        </w:tc>
        <w:tc>
          <w:tcPr>
            <w:tcW w:w="2438" w:type="dxa"/>
            <w:tcBorders>
              <w:top w:val="single" w:sz="4" w:space="0" w:color="auto"/>
              <w:left w:val="single" w:sz="4" w:space="0" w:color="auto"/>
              <w:bottom w:val="single" w:sz="4" w:space="0" w:color="auto"/>
              <w:right w:val="single" w:sz="4" w:space="0" w:color="auto"/>
            </w:tcBorders>
          </w:tcPr>
          <w:p w14:paraId="7B2CF769" w14:textId="1DE8688F" w:rsidR="00D0530F" w:rsidRDefault="00D0530F" w:rsidP="00D0530F">
            <w:proofErr w:type="spellStart"/>
            <w:r>
              <w:t>Elisi</w:t>
            </w:r>
            <w:proofErr w:type="spellEnd"/>
            <w:r>
              <w:t xml:space="preserve"> Tupou</w:t>
            </w:r>
          </w:p>
        </w:tc>
        <w:tc>
          <w:tcPr>
            <w:tcW w:w="4224" w:type="dxa"/>
            <w:tcBorders>
              <w:top w:val="single" w:sz="4" w:space="0" w:color="auto"/>
              <w:left w:val="single" w:sz="4" w:space="0" w:color="auto"/>
              <w:bottom w:val="single" w:sz="4" w:space="0" w:color="auto"/>
              <w:right w:val="single" w:sz="4" w:space="0" w:color="auto"/>
            </w:tcBorders>
          </w:tcPr>
          <w:p w14:paraId="071C74BA" w14:textId="256A5C7F" w:rsidR="00D0530F" w:rsidRDefault="00D0530F" w:rsidP="00D0530F">
            <w:pPr>
              <w:pStyle w:val="NoSpacing"/>
            </w:pPr>
            <w:r>
              <w:t>Program Analyst</w:t>
            </w:r>
          </w:p>
        </w:tc>
      </w:tr>
      <w:tr w:rsidR="00D0530F" w14:paraId="5BE28079" w14:textId="77777777" w:rsidTr="00651F15">
        <w:tc>
          <w:tcPr>
            <w:tcW w:w="3681" w:type="dxa"/>
            <w:tcBorders>
              <w:top w:val="nil"/>
              <w:left w:val="single" w:sz="4" w:space="0" w:color="auto"/>
              <w:bottom w:val="single" w:sz="4" w:space="0" w:color="auto"/>
              <w:right w:val="single" w:sz="4" w:space="0" w:color="auto"/>
            </w:tcBorders>
          </w:tcPr>
          <w:p w14:paraId="2BDEA8AD" w14:textId="77777777" w:rsidR="00D0530F" w:rsidRDefault="00D0530F" w:rsidP="00D0530F">
            <w:pPr>
              <w:rPr>
                <w:b/>
              </w:rPr>
            </w:pPr>
          </w:p>
        </w:tc>
        <w:tc>
          <w:tcPr>
            <w:tcW w:w="2438" w:type="dxa"/>
            <w:tcBorders>
              <w:top w:val="single" w:sz="4" w:space="0" w:color="auto"/>
              <w:left w:val="single" w:sz="4" w:space="0" w:color="auto"/>
              <w:bottom w:val="single" w:sz="4" w:space="0" w:color="auto"/>
              <w:right w:val="single" w:sz="4" w:space="0" w:color="auto"/>
            </w:tcBorders>
          </w:tcPr>
          <w:p w14:paraId="17F9BA89" w14:textId="18A31229" w:rsidR="00D0530F" w:rsidRDefault="00D0530F" w:rsidP="00D0530F">
            <w:proofErr w:type="spellStart"/>
            <w:r>
              <w:t>Talahiva</w:t>
            </w:r>
            <w:proofErr w:type="spellEnd"/>
            <w:r>
              <w:t xml:space="preserve"> Fine</w:t>
            </w:r>
          </w:p>
        </w:tc>
        <w:tc>
          <w:tcPr>
            <w:tcW w:w="4224" w:type="dxa"/>
            <w:tcBorders>
              <w:top w:val="single" w:sz="4" w:space="0" w:color="auto"/>
              <w:left w:val="single" w:sz="4" w:space="0" w:color="auto"/>
              <w:bottom w:val="single" w:sz="4" w:space="0" w:color="auto"/>
              <w:right w:val="single" w:sz="4" w:space="0" w:color="auto"/>
            </w:tcBorders>
          </w:tcPr>
          <w:p w14:paraId="6275CA65" w14:textId="198FB495" w:rsidR="00D0530F" w:rsidRDefault="00D0530F" w:rsidP="00D0530F">
            <w:pPr>
              <w:pStyle w:val="NoSpacing"/>
            </w:pPr>
            <w:r>
              <w:t>Life Skills Officer</w:t>
            </w:r>
          </w:p>
        </w:tc>
      </w:tr>
      <w:tr w:rsidR="00D0530F" w14:paraId="325CA2B1" w14:textId="77777777" w:rsidTr="00651F15">
        <w:tc>
          <w:tcPr>
            <w:tcW w:w="3681" w:type="dxa"/>
            <w:tcBorders>
              <w:top w:val="single" w:sz="4" w:space="0" w:color="auto"/>
              <w:left w:val="single" w:sz="4" w:space="0" w:color="auto"/>
              <w:bottom w:val="nil"/>
              <w:right w:val="single" w:sz="4" w:space="0" w:color="auto"/>
            </w:tcBorders>
          </w:tcPr>
          <w:p w14:paraId="4DCDE259" w14:textId="05A85A10" w:rsidR="00D0530F" w:rsidRDefault="00D0530F" w:rsidP="00D0530F">
            <w:pPr>
              <w:rPr>
                <w:b/>
              </w:rPr>
            </w:pPr>
            <w:r>
              <w:t>Tonga Statistics Department</w:t>
            </w:r>
          </w:p>
        </w:tc>
        <w:tc>
          <w:tcPr>
            <w:tcW w:w="2438" w:type="dxa"/>
            <w:tcBorders>
              <w:top w:val="single" w:sz="4" w:space="0" w:color="auto"/>
              <w:left w:val="single" w:sz="4" w:space="0" w:color="auto"/>
              <w:bottom w:val="single" w:sz="4" w:space="0" w:color="auto"/>
              <w:right w:val="single" w:sz="4" w:space="0" w:color="auto"/>
            </w:tcBorders>
          </w:tcPr>
          <w:p w14:paraId="6E71412D" w14:textId="4C3B2177" w:rsidR="00D0530F" w:rsidRDefault="00D0530F" w:rsidP="00D0530F">
            <w:proofErr w:type="spellStart"/>
            <w:r>
              <w:t>Lusia</w:t>
            </w:r>
            <w:proofErr w:type="spellEnd"/>
            <w:r>
              <w:t xml:space="preserve"> </w:t>
            </w:r>
            <w:proofErr w:type="spellStart"/>
            <w:r>
              <w:t>Kaitapu</w:t>
            </w:r>
            <w:proofErr w:type="spellEnd"/>
          </w:p>
        </w:tc>
        <w:tc>
          <w:tcPr>
            <w:tcW w:w="4224" w:type="dxa"/>
            <w:tcBorders>
              <w:top w:val="single" w:sz="4" w:space="0" w:color="auto"/>
              <w:left w:val="single" w:sz="4" w:space="0" w:color="auto"/>
              <w:bottom w:val="single" w:sz="4" w:space="0" w:color="auto"/>
              <w:right w:val="single" w:sz="4" w:space="0" w:color="auto"/>
            </w:tcBorders>
          </w:tcPr>
          <w:p w14:paraId="09DE5B2E" w14:textId="137FB1D8" w:rsidR="00D0530F" w:rsidRDefault="00D0530F" w:rsidP="00D0530F">
            <w:pPr>
              <w:pStyle w:val="NoSpacing"/>
            </w:pPr>
            <w:r>
              <w:t>Data Analyst</w:t>
            </w:r>
          </w:p>
        </w:tc>
      </w:tr>
      <w:tr w:rsidR="008B6BB6" w14:paraId="2BF3FD78" w14:textId="77777777" w:rsidTr="00651F15">
        <w:tc>
          <w:tcPr>
            <w:tcW w:w="3681" w:type="dxa"/>
            <w:tcBorders>
              <w:top w:val="nil"/>
              <w:left w:val="single" w:sz="4" w:space="0" w:color="auto"/>
              <w:bottom w:val="single" w:sz="4" w:space="0" w:color="auto"/>
              <w:right w:val="single" w:sz="4" w:space="0" w:color="auto"/>
            </w:tcBorders>
          </w:tcPr>
          <w:p w14:paraId="3BC18150" w14:textId="77777777" w:rsidR="008B6BB6" w:rsidRDefault="008B6BB6" w:rsidP="008B6BB6">
            <w:pPr>
              <w:rPr>
                <w:b/>
              </w:rPr>
            </w:pPr>
          </w:p>
        </w:tc>
        <w:tc>
          <w:tcPr>
            <w:tcW w:w="2438" w:type="dxa"/>
            <w:tcBorders>
              <w:top w:val="single" w:sz="4" w:space="0" w:color="auto"/>
              <w:left w:val="single" w:sz="4" w:space="0" w:color="auto"/>
              <w:bottom w:val="single" w:sz="4" w:space="0" w:color="auto"/>
              <w:right w:val="single" w:sz="4" w:space="0" w:color="auto"/>
            </w:tcBorders>
          </w:tcPr>
          <w:p w14:paraId="098AB88D" w14:textId="2CC96970" w:rsidR="008B6BB6" w:rsidRDefault="008B6BB6" w:rsidP="008B6BB6">
            <w:proofErr w:type="spellStart"/>
            <w:r>
              <w:t>Veapina</w:t>
            </w:r>
            <w:proofErr w:type="spellEnd"/>
            <w:r>
              <w:t xml:space="preserve"> </w:t>
            </w:r>
            <w:proofErr w:type="spellStart"/>
            <w:r>
              <w:t>Uasike</w:t>
            </w:r>
            <w:proofErr w:type="spellEnd"/>
          </w:p>
        </w:tc>
        <w:tc>
          <w:tcPr>
            <w:tcW w:w="4224" w:type="dxa"/>
            <w:tcBorders>
              <w:top w:val="single" w:sz="4" w:space="0" w:color="auto"/>
              <w:left w:val="single" w:sz="4" w:space="0" w:color="auto"/>
              <w:bottom w:val="single" w:sz="4" w:space="0" w:color="auto"/>
              <w:right w:val="single" w:sz="4" w:space="0" w:color="auto"/>
            </w:tcBorders>
          </w:tcPr>
          <w:p w14:paraId="29D6AE93" w14:textId="45DEBD7C" w:rsidR="008B6BB6" w:rsidRDefault="008B6BB6" w:rsidP="008B6BB6">
            <w:pPr>
              <w:pStyle w:val="NoSpacing"/>
            </w:pPr>
            <w:r>
              <w:t>Data Analyst</w:t>
            </w:r>
          </w:p>
        </w:tc>
      </w:tr>
      <w:tr w:rsidR="008B6BB6" w14:paraId="31BE76B8" w14:textId="77777777" w:rsidTr="00651F15">
        <w:tc>
          <w:tcPr>
            <w:tcW w:w="3681" w:type="dxa"/>
            <w:tcBorders>
              <w:top w:val="single" w:sz="4" w:space="0" w:color="auto"/>
              <w:left w:val="single" w:sz="4" w:space="0" w:color="auto"/>
              <w:bottom w:val="single" w:sz="4" w:space="0" w:color="auto"/>
              <w:right w:val="single" w:sz="4" w:space="0" w:color="auto"/>
            </w:tcBorders>
          </w:tcPr>
          <w:p w14:paraId="758AA2BE" w14:textId="19BF0223" w:rsidR="008B6BB6" w:rsidRDefault="008B6BB6" w:rsidP="008B6BB6">
            <w:pPr>
              <w:rPr>
                <w:b/>
              </w:rPr>
            </w:pPr>
            <w:r w:rsidRPr="00210666">
              <w:t>Ministry of Internal Affairs</w:t>
            </w:r>
          </w:p>
        </w:tc>
        <w:tc>
          <w:tcPr>
            <w:tcW w:w="2438" w:type="dxa"/>
            <w:tcBorders>
              <w:top w:val="single" w:sz="4" w:space="0" w:color="auto"/>
              <w:left w:val="single" w:sz="4" w:space="0" w:color="auto"/>
              <w:bottom w:val="single" w:sz="4" w:space="0" w:color="auto"/>
              <w:right w:val="single" w:sz="4" w:space="0" w:color="auto"/>
            </w:tcBorders>
          </w:tcPr>
          <w:p w14:paraId="62924E21" w14:textId="553F96C4" w:rsidR="008B6BB6" w:rsidRDefault="008B6BB6" w:rsidP="008B6BB6">
            <w:proofErr w:type="spellStart"/>
            <w:r>
              <w:t>Sinama</w:t>
            </w:r>
            <w:proofErr w:type="spellEnd"/>
            <w:r>
              <w:t xml:space="preserve"> Tupou</w:t>
            </w:r>
          </w:p>
        </w:tc>
        <w:tc>
          <w:tcPr>
            <w:tcW w:w="4224" w:type="dxa"/>
            <w:tcBorders>
              <w:top w:val="single" w:sz="4" w:space="0" w:color="auto"/>
              <w:left w:val="single" w:sz="4" w:space="0" w:color="auto"/>
              <w:bottom w:val="single" w:sz="4" w:space="0" w:color="auto"/>
              <w:right w:val="single" w:sz="4" w:space="0" w:color="auto"/>
            </w:tcBorders>
          </w:tcPr>
          <w:p w14:paraId="21CC329D" w14:textId="0387CC40" w:rsidR="008B6BB6" w:rsidRDefault="008B6BB6" w:rsidP="008B6BB6">
            <w:pPr>
              <w:pStyle w:val="NoSpacing"/>
            </w:pPr>
            <w:r>
              <w:t>Head, Youth Division</w:t>
            </w:r>
          </w:p>
        </w:tc>
      </w:tr>
      <w:tr w:rsidR="008B6BB6" w14:paraId="39F579A4" w14:textId="77777777" w:rsidTr="00651F15">
        <w:tc>
          <w:tcPr>
            <w:tcW w:w="3681" w:type="dxa"/>
            <w:tcBorders>
              <w:top w:val="single" w:sz="4" w:space="0" w:color="auto"/>
              <w:left w:val="single" w:sz="4" w:space="0" w:color="auto"/>
              <w:bottom w:val="single" w:sz="4" w:space="0" w:color="auto"/>
              <w:right w:val="single" w:sz="4" w:space="0" w:color="auto"/>
            </w:tcBorders>
          </w:tcPr>
          <w:p w14:paraId="5F74412D" w14:textId="6768288C" w:rsidR="008B6BB6" w:rsidRPr="00210666" w:rsidRDefault="008B6BB6" w:rsidP="008B6BB6">
            <w:r>
              <w:t>Ministry of Finance</w:t>
            </w:r>
          </w:p>
        </w:tc>
        <w:tc>
          <w:tcPr>
            <w:tcW w:w="2438" w:type="dxa"/>
            <w:tcBorders>
              <w:top w:val="single" w:sz="4" w:space="0" w:color="auto"/>
              <w:left w:val="single" w:sz="4" w:space="0" w:color="auto"/>
              <w:bottom w:val="single" w:sz="4" w:space="0" w:color="auto"/>
              <w:right w:val="single" w:sz="4" w:space="0" w:color="auto"/>
            </w:tcBorders>
          </w:tcPr>
          <w:p w14:paraId="09F554A9" w14:textId="21E87F3E" w:rsidR="008B6BB6" w:rsidRDefault="008B6BB6" w:rsidP="008B6BB6">
            <w:proofErr w:type="spellStart"/>
            <w:r>
              <w:t>Tu’itamala</w:t>
            </w:r>
            <w:proofErr w:type="spellEnd"/>
            <w:r>
              <w:t xml:space="preserve"> </w:t>
            </w:r>
            <w:proofErr w:type="spellStart"/>
            <w:r>
              <w:t>Vaka</w:t>
            </w:r>
            <w:proofErr w:type="spellEnd"/>
          </w:p>
        </w:tc>
        <w:tc>
          <w:tcPr>
            <w:tcW w:w="4224" w:type="dxa"/>
            <w:tcBorders>
              <w:top w:val="single" w:sz="4" w:space="0" w:color="auto"/>
              <w:left w:val="single" w:sz="4" w:space="0" w:color="auto"/>
              <w:bottom w:val="single" w:sz="4" w:space="0" w:color="auto"/>
              <w:right w:val="single" w:sz="4" w:space="0" w:color="auto"/>
            </w:tcBorders>
          </w:tcPr>
          <w:p w14:paraId="23BD8DCB" w14:textId="6F663514" w:rsidR="008B6BB6" w:rsidRDefault="008B6BB6" w:rsidP="008B6BB6">
            <w:pPr>
              <w:pStyle w:val="NoSpacing"/>
            </w:pPr>
            <w:r>
              <w:t>Director</w:t>
            </w:r>
          </w:p>
        </w:tc>
      </w:tr>
      <w:tr w:rsidR="008B6BB6" w14:paraId="14FBD981" w14:textId="77777777" w:rsidTr="00651F15">
        <w:tc>
          <w:tcPr>
            <w:tcW w:w="3681" w:type="dxa"/>
            <w:tcBorders>
              <w:top w:val="single" w:sz="4" w:space="0" w:color="auto"/>
              <w:left w:val="single" w:sz="4" w:space="0" w:color="auto"/>
              <w:bottom w:val="nil"/>
              <w:right w:val="single" w:sz="4" w:space="0" w:color="auto"/>
            </w:tcBorders>
          </w:tcPr>
          <w:p w14:paraId="16EA8A5F" w14:textId="1CD3E7C2" w:rsidR="008B6BB6" w:rsidRDefault="008B6BB6" w:rsidP="008B6BB6">
            <w:r>
              <w:t xml:space="preserve">Tonga </w:t>
            </w:r>
            <w:proofErr w:type="spellStart"/>
            <w:r>
              <w:t>Leitis</w:t>
            </w:r>
            <w:proofErr w:type="spellEnd"/>
            <w:r>
              <w:t xml:space="preserve"> Association</w:t>
            </w:r>
          </w:p>
        </w:tc>
        <w:tc>
          <w:tcPr>
            <w:tcW w:w="2438" w:type="dxa"/>
            <w:tcBorders>
              <w:top w:val="single" w:sz="4" w:space="0" w:color="auto"/>
              <w:left w:val="single" w:sz="4" w:space="0" w:color="auto"/>
              <w:bottom w:val="single" w:sz="4" w:space="0" w:color="auto"/>
              <w:right w:val="single" w:sz="4" w:space="0" w:color="auto"/>
            </w:tcBorders>
          </w:tcPr>
          <w:p w14:paraId="3ECB2D69" w14:textId="086EB24E" w:rsidR="008B6BB6" w:rsidRDefault="008B6BB6" w:rsidP="008B6BB6">
            <w:r>
              <w:t xml:space="preserve">Cruella </w:t>
            </w:r>
            <w:proofErr w:type="spellStart"/>
            <w:r>
              <w:t>Tu’Inukuafe</w:t>
            </w:r>
            <w:proofErr w:type="spellEnd"/>
          </w:p>
        </w:tc>
        <w:tc>
          <w:tcPr>
            <w:tcW w:w="4224" w:type="dxa"/>
            <w:tcBorders>
              <w:top w:val="single" w:sz="4" w:space="0" w:color="auto"/>
              <w:left w:val="single" w:sz="4" w:space="0" w:color="auto"/>
              <w:bottom w:val="single" w:sz="4" w:space="0" w:color="auto"/>
              <w:right w:val="single" w:sz="4" w:space="0" w:color="auto"/>
            </w:tcBorders>
          </w:tcPr>
          <w:p w14:paraId="1399F940" w14:textId="19BB0FFD" w:rsidR="008B6BB6" w:rsidRDefault="008B6BB6" w:rsidP="008B6BB6">
            <w:pPr>
              <w:pStyle w:val="NoSpacing"/>
            </w:pPr>
            <w:r>
              <w:t>Vice President, Program Manager</w:t>
            </w:r>
          </w:p>
        </w:tc>
      </w:tr>
      <w:tr w:rsidR="008B6BB6" w14:paraId="59E4D055" w14:textId="77777777" w:rsidTr="00651F15">
        <w:tc>
          <w:tcPr>
            <w:tcW w:w="3681" w:type="dxa"/>
            <w:tcBorders>
              <w:top w:val="nil"/>
              <w:left w:val="single" w:sz="4" w:space="0" w:color="auto"/>
              <w:bottom w:val="single" w:sz="4" w:space="0" w:color="auto"/>
              <w:right w:val="single" w:sz="4" w:space="0" w:color="auto"/>
            </w:tcBorders>
          </w:tcPr>
          <w:p w14:paraId="46D1AB49" w14:textId="77777777" w:rsidR="008B6BB6" w:rsidRDefault="008B6BB6" w:rsidP="008B6BB6"/>
        </w:tc>
        <w:tc>
          <w:tcPr>
            <w:tcW w:w="2438" w:type="dxa"/>
            <w:tcBorders>
              <w:top w:val="single" w:sz="4" w:space="0" w:color="auto"/>
              <w:left w:val="single" w:sz="4" w:space="0" w:color="auto"/>
              <w:bottom w:val="single" w:sz="4" w:space="0" w:color="auto"/>
              <w:right w:val="single" w:sz="4" w:space="0" w:color="auto"/>
            </w:tcBorders>
          </w:tcPr>
          <w:p w14:paraId="74A4F2CC" w14:textId="507627B2" w:rsidR="008B6BB6" w:rsidRDefault="008B6BB6" w:rsidP="008B6BB6">
            <w:r>
              <w:t xml:space="preserve">Jason </w:t>
            </w:r>
            <w:proofErr w:type="spellStart"/>
            <w:r>
              <w:t>Heimuli</w:t>
            </w:r>
            <w:proofErr w:type="spellEnd"/>
          </w:p>
        </w:tc>
        <w:tc>
          <w:tcPr>
            <w:tcW w:w="4224" w:type="dxa"/>
            <w:tcBorders>
              <w:top w:val="single" w:sz="4" w:space="0" w:color="auto"/>
              <w:left w:val="single" w:sz="4" w:space="0" w:color="auto"/>
              <w:bottom w:val="single" w:sz="4" w:space="0" w:color="auto"/>
              <w:right w:val="single" w:sz="4" w:space="0" w:color="auto"/>
            </w:tcBorders>
          </w:tcPr>
          <w:p w14:paraId="77036FCC" w14:textId="5FDDBE77" w:rsidR="008B6BB6" w:rsidRDefault="008B6BB6" w:rsidP="008B6BB6">
            <w:pPr>
              <w:pStyle w:val="NoSpacing"/>
            </w:pPr>
            <w:r>
              <w:t>Senior Program Officer</w:t>
            </w:r>
          </w:p>
        </w:tc>
      </w:tr>
      <w:tr w:rsidR="008B6BB6" w14:paraId="43FE67AF" w14:textId="77777777" w:rsidTr="00651F15">
        <w:tc>
          <w:tcPr>
            <w:tcW w:w="3681" w:type="dxa"/>
            <w:tcBorders>
              <w:top w:val="single" w:sz="4" w:space="0" w:color="auto"/>
              <w:left w:val="single" w:sz="4" w:space="0" w:color="auto"/>
              <w:bottom w:val="single" w:sz="4" w:space="0" w:color="auto"/>
              <w:right w:val="single" w:sz="4" w:space="0" w:color="auto"/>
            </w:tcBorders>
          </w:tcPr>
          <w:p w14:paraId="1A0EAADA" w14:textId="128B4826" w:rsidR="008B6BB6" w:rsidRDefault="008B6BB6" w:rsidP="008B6BB6">
            <w:r>
              <w:t xml:space="preserve">Queen </w:t>
            </w:r>
            <w:proofErr w:type="spellStart"/>
            <w:r>
              <w:t>Salote</w:t>
            </w:r>
            <w:proofErr w:type="spellEnd"/>
            <w:r>
              <w:t xml:space="preserve"> School of Nursing</w:t>
            </w:r>
          </w:p>
        </w:tc>
        <w:tc>
          <w:tcPr>
            <w:tcW w:w="2438" w:type="dxa"/>
            <w:tcBorders>
              <w:top w:val="single" w:sz="4" w:space="0" w:color="auto"/>
              <w:left w:val="single" w:sz="4" w:space="0" w:color="auto"/>
              <w:bottom w:val="single" w:sz="4" w:space="0" w:color="auto"/>
              <w:right w:val="single" w:sz="4" w:space="0" w:color="auto"/>
            </w:tcBorders>
          </w:tcPr>
          <w:p w14:paraId="3FBD3C3F" w14:textId="045BA7A9" w:rsidR="008B6BB6" w:rsidRDefault="008B6BB6" w:rsidP="008B6BB6">
            <w:proofErr w:type="spellStart"/>
            <w:r>
              <w:t>Tilema</w:t>
            </w:r>
            <w:proofErr w:type="spellEnd"/>
            <w:r>
              <w:t xml:space="preserve"> </w:t>
            </w:r>
            <w:proofErr w:type="spellStart"/>
            <w:r>
              <w:t>Cama</w:t>
            </w:r>
            <w:proofErr w:type="spellEnd"/>
          </w:p>
        </w:tc>
        <w:tc>
          <w:tcPr>
            <w:tcW w:w="4224" w:type="dxa"/>
            <w:tcBorders>
              <w:top w:val="single" w:sz="4" w:space="0" w:color="auto"/>
              <w:left w:val="single" w:sz="4" w:space="0" w:color="auto"/>
              <w:bottom w:val="single" w:sz="4" w:space="0" w:color="auto"/>
              <w:right w:val="single" w:sz="4" w:space="0" w:color="auto"/>
            </w:tcBorders>
          </w:tcPr>
          <w:p w14:paraId="59BD0890" w14:textId="4B3BA74E" w:rsidR="008B6BB6" w:rsidRDefault="008B6BB6" w:rsidP="008B6BB6">
            <w:pPr>
              <w:pStyle w:val="NoSpacing"/>
            </w:pPr>
            <w:r>
              <w:t>Lecturer</w:t>
            </w:r>
          </w:p>
        </w:tc>
      </w:tr>
      <w:tr w:rsidR="008B6BB6" w14:paraId="5937579C" w14:textId="77777777" w:rsidTr="00651F15">
        <w:tc>
          <w:tcPr>
            <w:tcW w:w="3681" w:type="dxa"/>
            <w:tcBorders>
              <w:top w:val="single" w:sz="4" w:space="0" w:color="auto"/>
              <w:left w:val="single" w:sz="4" w:space="0" w:color="auto"/>
              <w:bottom w:val="nil"/>
              <w:right w:val="single" w:sz="4" w:space="0" w:color="auto"/>
            </w:tcBorders>
          </w:tcPr>
          <w:p w14:paraId="070731E3" w14:textId="424015FE" w:rsidR="008B6BB6" w:rsidRDefault="008B6BB6" w:rsidP="008B6BB6">
            <w:r>
              <w:t>Beneficiary</w:t>
            </w:r>
          </w:p>
        </w:tc>
        <w:tc>
          <w:tcPr>
            <w:tcW w:w="2438" w:type="dxa"/>
            <w:tcBorders>
              <w:top w:val="single" w:sz="4" w:space="0" w:color="auto"/>
              <w:left w:val="single" w:sz="4" w:space="0" w:color="auto"/>
              <w:bottom w:val="single" w:sz="4" w:space="0" w:color="auto"/>
              <w:right w:val="single" w:sz="4" w:space="0" w:color="auto"/>
            </w:tcBorders>
          </w:tcPr>
          <w:p w14:paraId="3A118338" w14:textId="1B21014C" w:rsidR="008B6BB6" w:rsidRDefault="008B6BB6" w:rsidP="008B6BB6">
            <w:proofErr w:type="spellStart"/>
            <w:r>
              <w:t>Anaseini</w:t>
            </w:r>
            <w:proofErr w:type="spellEnd"/>
            <w:r>
              <w:t xml:space="preserve"> </w:t>
            </w:r>
            <w:proofErr w:type="spellStart"/>
            <w:r>
              <w:t>Ulakai</w:t>
            </w:r>
            <w:proofErr w:type="spellEnd"/>
          </w:p>
        </w:tc>
        <w:tc>
          <w:tcPr>
            <w:tcW w:w="4224" w:type="dxa"/>
            <w:tcBorders>
              <w:top w:val="single" w:sz="4" w:space="0" w:color="auto"/>
              <w:left w:val="single" w:sz="4" w:space="0" w:color="auto"/>
              <w:bottom w:val="single" w:sz="4" w:space="0" w:color="auto"/>
              <w:right w:val="single" w:sz="4" w:space="0" w:color="auto"/>
            </w:tcBorders>
          </w:tcPr>
          <w:p w14:paraId="4CE3C632" w14:textId="5C3B8252" w:rsidR="008B6BB6" w:rsidRDefault="008B6BB6" w:rsidP="008B6BB6">
            <w:pPr>
              <w:pStyle w:val="NoSpacing"/>
            </w:pPr>
            <w:r>
              <w:t>Youth Champion</w:t>
            </w:r>
          </w:p>
        </w:tc>
      </w:tr>
      <w:tr w:rsidR="008B6BB6" w14:paraId="4461AA11" w14:textId="77777777" w:rsidTr="00651F15">
        <w:tc>
          <w:tcPr>
            <w:tcW w:w="3681" w:type="dxa"/>
            <w:tcBorders>
              <w:top w:val="nil"/>
              <w:left w:val="single" w:sz="4" w:space="0" w:color="auto"/>
              <w:bottom w:val="single" w:sz="4" w:space="0" w:color="auto"/>
              <w:right w:val="single" w:sz="4" w:space="0" w:color="auto"/>
            </w:tcBorders>
          </w:tcPr>
          <w:p w14:paraId="3C65FB6B" w14:textId="77777777" w:rsidR="008B6BB6" w:rsidRDefault="008B6BB6" w:rsidP="008B6BB6"/>
        </w:tc>
        <w:tc>
          <w:tcPr>
            <w:tcW w:w="2438" w:type="dxa"/>
            <w:tcBorders>
              <w:top w:val="single" w:sz="4" w:space="0" w:color="auto"/>
              <w:left w:val="single" w:sz="4" w:space="0" w:color="auto"/>
              <w:bottom w:val="single" w:sz="4" w:space="0" w:color="auto"/>
              <w:right w:val="single" w:sz="4" w:space="0" w:color="auto"/>
            </w:tcBorders>
          </w:tcPr>
          <w:p w14:paraId="2F6B0B58" w14:textId="72036917" w:rsidR="008B6BB6" w:rsidRDefault="008B6BB6" w:rsidP="008B6BB6">
            <w:r>
              <w:t>Elizabeth Kite</w:t>
            </w:r>
          </w:p>
        </w:tc>
        <w:tc>
          <w:tcPr>
            <w:tcW w:w="4224" w:type="dxa"/>
            <w:tcBorders>
              <w:top w:val="single" w:sz="4" w:space="0" w:color="auto"/>
              <w:left w:val="single" w:sz="4" w:space="0" w:color="auto"/>
              <w:bottom w:val="single" w:sz="4" w:space="0" w:color="auto"/>
              <w:right w:val="single" w:sz="4" w:space="0" w:color="auto"/>
            </w:tcBorders>
          </w:tcPr>
          <w:p w14:paraId="389EEFC8" w14:textId="07E38761" w:rsidR="008B6BB6" w:rsidRDefault="008B6BB6" w:rsidP="008B6BB6">
            <w:pPr>
              <w:pStyle w:val="NoSpacing"/>
            </w:pPr>
            <w:r>
              <w:t>Youth Leader</w:t>
            </w:r>
          </w:p>
        </w:tc>
      </w:tr>
      <w:tr w:rsidR="008B6BB6" w14:paraId="1762ED14" w14:textId="77777777" w:rsidTr="00651F15">
        <w:tc>
          <w:tcPr>
            <w:tcW w:w="3681" w:type="dxa"/>
            <w:tcBorders>
              <w:top w:val="single" w:sz="4" w:space="0" w:color="auto"/>
              <w:left w:val="single" w:sz="4" w:space="0" w:color="auto"/>
              <w:bottom w:val="nil"/>
              <w:right w:val="single" w:sz="4" w:space="0" w:color="auto"/>
            </w:tcBorders>
          </w:tcPr>
          <w:p w14:paraId="5FB269FF" w14:textId="61B5A6A3" w:rsidR="008B6BB6" w:rsidRDefault="008B6BB6" w:rsidP="008B6BB6">
            <w:r>
              <w:t>Talitha</w:t>
            </w:r>
          </w:p>
        </w:tc>
        <w:tc>
          <w:tcPr>
            <w:tcW w:w="2438" w:type="dxa"/>
            <w:tcBorders>
              <w:top w:val="single" w:sz="4" w:space="0" w:color="auto"/>
              <w:left w:val="single" w:sz="4" w:space="0" w:color="auto"/>
              <w:bottom w:val="single" w:sz="4" w:space="0" w:color="auto"/>
              <w:right w:val="single" w:sz="4" w:space="0" w:color="auto"/>
            </w:tcBorders>
          </w:tcPr>
          <w:p w14:paraId="5A994236" w14:textId="6E156FC6" w:rsidR="008B6BB6" w:rsidRDefault="008B6BB6" w:rsidP="008B6BB6">
            <w:r>
              <w:t xml:space="preserve">Vanessa </w:t>
            </w:r>
            <w:proofErr w:type="spellStart"/>
            <w:r>
              <w:t>Heleta</w:t>
            </w:r>
            <w:proofErr w:type="spellEnd"/>
          </w:p>
        </w:tc>
        <w:tc>
          <w:tcPr>
            <w:tcW w:w="4224" w:type="dxa"/>
            <w:tcBorders>
              <w:top w:val="single" w:sz="4" w:space="0" w:color="auto"/>
              <w:left w:val="single" w:sz="4" w:space="0" w:color="auto"/>
              <w:bottom w:val="single" w:sz="4" w:space="0" w:color="auto"/>
              <w:right w:val="single" w:sz="4" w:space="0" w:color="auto"/>
            </w:tcBorders>
          </w:tcPr>
          <w:p w14:paraId="448E0502" w14:textId="476E043A" w:rsidR="008B6BB6" w:rsidRDefault="008B6BB6" w:rsidP="008B6BB6">
            <w:pPr>
              <w:pStyle w:val="NoSpacing"/>
            </w:pPr>
            <w:r>
              <w:t>Director, Program Manager</w:t>
            </w:r>
          </w:p>
        </w:tc>
      </w:tr>
      <w:tr w:rsidR="008B6BB6" w14:paraId="4AF6F76B" w14:textId="77777777" w:rsidTr="00651F15">
        <w:tc>
          <w:tcPr>
            <w:tcW w:w="3681" w:type="dxa"/>
            <w:tcBorders>
              <w:top w:val="nil"/>
              <w:left w:val="single" w:sz="4" w:space="0" w:color="auto"/>
              <w:bottom w:val="single" w:sz="4" w:space="0" w:color="auto"/>
              <w:right w:val="single" w:sz="4" w:space="0" w:color="auto"/>
            </w:tcBorders>
          </w:tcPr>
          <w:p w14:paraId="21E4903B" w14:textId="77777777" w:rsidR="008B6BB6" w:rsidRDefault="008B6BB6" w:rsidP="008B6BB6"/>
        </w:tc>
        <w:tc>
          <w:tcPr>
            <w:tcW w:w="2438" w:type="dxa"/>
            <w:tcBorders>
              <w:top w:val="single" w:sz="4" w:space="0" w:color="auto"/>
              <w:left w:val="single" w:sz="4" w:space="0" w:color="auto"/>
              <w:bottom w:val="single" w:sz="4" w:space="0" w:color="auto"/>
              <w:right w:val="single" w:sz="4" w:space="0" w:color="auto"/>
            </w:tcBorders>
          </w:tcPr>
          <w:p w14:paraId="587DEAF1" w14:textId="62A5044D" w:rsidR="008B6BB6" w:rsidRDefault="008B6BB6" w:rsidP="008B6BB6">
            <w:proofErr w:type="spellStart"/>
            <w:r>
              <w:t>Alokuoulu</w:t>
            </w:r>
            <w:proofErr w:type="spellEnd"/>
            <w:r>
              <w:t xml:space="preserve"> </w:t>
            </w:r>
            <w:proofErr w:type="spellStart"/>
            <w:r>
              <w:t>Ulukivaiola</w:t>
            </w:r>
            <w:proofErr w:type="spellEnd"/>
          </w:p>
        </w:tc>
        <w:tc>
          <w:tcPr>
            <w:tcW w:w="4224" w:type="dxa"/>
            <w:tcBorders>
              <w:top w:val="single" w:sz="4" w:space="0" w:color="auto"/>
              <w:left w:val="single" w:sz="4" w:space="0" w:color="auto"/>
              <w:bottom w:val="single" w:sz="4" w:space="0" w:color="auto"/>
              <w:right w:val="single" w:sz="4" w:space="0" w:color="auto"/>
            </w:tcBorders>
          </w:tcPr>
          <w:p w14:paraId="71AB12A3" w14:textId="6FA2F901" w:rsidR="008B6BB6" w:rsidRDefault="008B6BB6" w:rsidP="008B6BB6">
            <w:pPr>
              <w:pStyle w:val="NoSpacing"/>
            </w:pPr>
            <w:r>
              <w:t>Program Officer</w:t>
            </w:r>
          </w:p>
        </w:tc>
      </w:tr>
      <w:tr w:rsidR="008B6BB6" w14:paraId="4E601806" w14:textId="77777777" w:rsidTr="00651F15">
        <w:tc>
          <w:tcPr>
            <w:tcW w:w="3681" w:type="dxa"/>
            <w:tcBorders>
              <w:top w:val="single" w:sz="4" w:space="0" w:color="auto"/>
              <w:left w:val="single" w:sz="4" w:space="0" w:color="auto"/>
              <w:bottom w:val="single" w:sz="4" w:space="0" w:color="auto"/>
              <w:right w:val="single" w:sz="4" w:space="0" w:color="auto"/>
            </w:tcBorders>
          </w:tcPr>
          <w:p w14:paraId="617720D9" w14:textId="705C9E63" w:rsidR="008B6BB6" w:rsidRPr="008B6BB6" w:rsidRDefault="008B6BB6" w:rsidP="008B6BB6">
            <w:pPr>
              <w:rPr>
                <w:b/>
              </w:rPr>
            </w:pPr>
            <w:r>
              <w:rPr>
                <w:b/>
              </w:rPr>
              <w:t>Vanuatu</w:t>
            </w:r>
          </w:p>
        </w:tc>
        <w:tc>
          <w:tcPr>
            <w:tcW w:w="2438" w:type="dxa"/>
            <w:tcBorders>
              <w:top w:val="single" w:sz="4" w:space="0" w:color="auto"/>
              <w:left w:val="single" w:sz="4" w:space="0" w:color="auto"/>
              <w:bottom w:val="single" w:sz="4" w:space="0" w:color="auto"/>
              <w:right w:val="single" w:sz="4" w:space="0" w:color="auto"/>
            </w:tcBorders>
          </w:tcPr>
          <w:p w14:paraId="32340F99" w14:textId="77777777" w:rsidR="008B6BB6" w:rsidRDefault="008B6BB6" w:rsidP="008B6BB6"/>
        </w:tc>
        <w:tc>
          <w:tcPr>
            <w:tcW w:w="4224" w:type="dxa"/>
            <w:tcBorders>
              <w:top w:val="single" w:sz="4" w:space="0" w:color="auto"/>
              <w:left w:val="single" w:sz="4" w:space="0" w:color="auto"/>
              <w:bottom w:val="single" w:sz="4" w:space="0" w:color="auto"/>
              <w:right w:val="single" w:sz="4" w:space="0" w:color="auto"/>
            </w:tcBorders>
          </w:tcPr>
          <w:p w14:paraId="124724EB" w14:textId="77777777" w:rsidR="008B6BB6" w:rsidRDefault="008B6BB6" w:rsidP="008B6BB6">
            <w:pPr>
              <w:pStyle w:val="NoSpacing"/>
            </w:pPr>
          </w:p>
        </w:tc>
      </w:tr>
      <w:tr w:rsidR="008B6BB6" w14:paraId="20008EB0" w14:textId="77777777" w:rsidTr="00651F15">
        <w:tc>
          <w:tcPr>
            <w:tcW w:w="3681" w:type="dxa"/>
            <w:tcBorders>
              <w:top w:val="single" w:sz="4" w:space="0" w:color="auto"/>
              <w:left w:val="single" w:sz="4" w:space="0" w:color="auto"/>
              <w:bottom w:val="single" w:sz="4" w:space="0" w:color="auto"/>
              <w:right w:val="single" w:sz="4" w:space="0" w:color="auto"/>
            </w:tcBorders>
          </w:tcPr>
          <w:p w14:paraId="457EB9B4" w14:textId="78A4C2D4" w:rsidR="008B6BB6" w:rsidRPr="008B6BB6" w:rsidRDefault="008B6BB6" w:rsidP="008B6BB6">
            <w:r>
              <w:t>Ministry of Health</w:t>
            </w:r>
          </w:p>
        </w:tc>
        <w:tc>
          <w:tcPr>
            <w:tcW w:w="2438" w:type="dxa"/>
            <w:tcBorders>
              <w:top w:val="single" w:sz="4" w:space="0" w:color="auto"/>
              <w:left w:val="single" w:sz="4" w:space="0" w:color="auto"/>
              <w:bottom w:val="single" w:sz="4" w:space="0" w:color="auto"/>
              <w:right w:val="single" w:sz="4" w:space="0" w:color="auto"/>
            </w:tcBorders>
          </w:tcPr>
          <w:p w14:paraId="29A70EC0" w14:textId="161C859F" w:rsidR="008B6BB6" w:rsidRDefault="008B6BB6" w:rsidP="008B6BB6">
            <w:r w:rsidRPr="006D79CC">
              <w:rPr>
                <w:rFonts w:cstheme="minorHAnsi"/>
              </w:rPr>
              <w:t xml:space="preserve">Len </w:t>
            </w:r>
            <w:proofErr w:type="spellStart"/>
            <w:r w:rsidRPr="006D79CC">
              <w:rPr>
                <w:rFonts w:cstheme="minorHAnsi"/>
              </w:rPr>
              <w:t>Tarivonda</w:t>
            </w:r>
            <w:proofErr w:type="spellEnd"/>
          </w:p>
        </w:tc>
        <w:tc>
          <w:tcPr>
            <w:tcW w:w="4224" w:type="dxa"/>
            <w:tcBorders>
              <w:top w:val="single" w:sz="4" w:space="0" w:color="auto"/>
              <w:left w:val="single" w:sz="4" w:space="0" w:color="auto"/>
              <w:bottom w:val="single" w:sz="4" w:space="0" w:color="auto"/>
              <w:right w:val="single" w:sz="4" w:space="0" w:color="auto"/>
            </w:tcBorders>
          </w:tcPr>
          <w:p w14:paraId="08EDA5DC" w14:textId="5F3EEAD1" w:rsidR="008B6BB6" w:rsidRDefault="008B6BB6" w:rsidP="008B6BB6">
            <w:pPr>
              <w:pStyle w:val="NoSpacing"/>
            </w:pPr>
            <w:r w:rsidRPr="006D79CC">
              <w:rPr>
                <w:rFonts w:cstheme="minorHAnsi"/>
              </w:rPr>
              <w:t>Director, Department of Public Health</w:t>
            </w:r>
          </w:p>
        </w:tc>
      </w:tr>
      <w:tr w:rsidR="008B6BB6" w14:paraId="0B0BDED9" w14:textId="77777777" w:rsidTr="00651F15">
        <w:tc>
          <w:tcPr>
            <w:tcW w:w="3681" w:type="dxa"/>
            <w:tcBorders>
              <w:top w:val="single" w:sz="4" w:space="0" w:color="auto"/>
              <w:left w:val="single" w:sz="4" w:space="0" w:color="auto"/>
              <w:bottom w:val="single" w:sz="4" w:space="0" w:color="auto"/>
              <w:right w:val="single" w:sz="4" w:space="0" w:color="auto"/>
            </w:tcBorders>
          </w:tcPr>
          <w:p w14:paraId="12871373" w14:textId="77777777" w:rsidR="008B6BB6" w:rsidRDefault="008B6BB6" w:rsidP="008B6BB6">
            <w:pPr>
              <w:rPr>
                <w:b/>
              </w:rPr>
            </w:pPr>
          </w:p>
        </w:tc>
        <w:tc>
          <w:tcPr>
            <w:tcW w:w="2438" w:type="dxa"/>
            <w:tcBorders>
              <w:top w:val="single" w:sz="4" w:space="0" w:color="auto"/>
              <w:left w:val="single" w:sz="4" w:space="0" w:color="auto"/>
              <w:bottom w:val="single" w:sz="4" w:space="0" w:color="auto"/>
              <w:right w:val="single" w:sz="4" w:space="0" w:color="auto"/>
            </w:tcBorders>
          </w:tcPr>
          <w:p w14:paraId="6301D38E" w14:textId="0BC34DC3" w:rsidR="008B6BB6" w:rsidRDefault="008B6BB6" w:rsidP="008B6BB6">
            <w:r>
              <w:t xml:space="preserve">Sam </w:t>
            </w:r>
            <w:proofErr w:type="spellStart"/>
            <w:r>
              <w:t>Mahit</w:t>
            </w:r>
            <w:proofErr w:type="spellEnd"/>
          </w:p>
        </w:tc>
        <w:tc>
          <w:tcPr>
            <w:tcW w:w="4224" w:type="dxa"/>
            <w:tcBorders>
              <w:top w:val="single" w:sz="4" w:space="0" w:color="auto"/>
              <w:left w:val="single" w:sz="4" w:space="0" w:color="auto"/>
              <w:bottom w:val="single" w:sz="4" w:space="0" w:color="auto"/>
              <w:right w:val="single" w:sz="4" w:space="0" w:color="auto"/>
            </w:tcBorders>
          </w:tcPr>
          <w:p w14:paraId="581DD1F1" w14:textId="5E8AF2A7" w:rsidR="008B6BB6" w:rsidRDefault="008B6BB6" w:rsidP="008B6BB6">
            <w:pPr>
              <w:pStyle w:val="NoSpacing"/>
            </w:pPr>
            <w:r>
              <w:t>Reproductive Health Focal Point</w:t>
            </w:r>
          </w:p>
        </w:tc>
      </w:tr>
      <w:tr w:rsidR="008B6BB6" w14:paraId="5117D8C4" w14:textId="77777777" w:rsidTr="00651F15">
        <w:tc>
          <w:tcPr>
            <w:tcW w:w="3681" w:type="dxa"/>
            <w:tcBorders>
              <w:top w:val="single" w:sz="4" w:space="0" w:color="auto"/>
              <w:left w:val="single" w:sz="4" w:space="0" w:color="auto"/>
              <w:bottom w:val="single" w:sz="4" w:space="0" w:color="auto"/>
              <w:right w:val="single" w:sz="4" w:space="0" w:color="auto"/>
            </w:tcBorders>
          </w:tcPr>
          <w:p w14:paraId="3872DCA9" w14:textId="77777777" w:rsidR="008B6BB6" w:rsidRDefault="008B6BB6" w:rsidP="008B6BB6">
            <w:pPr>
              <w:rPr>
                <w:b/>
              </w:rPr>
            </w:pPr>
          </w:p>
        </w:tc>
        <w:tc>
          <w:tcPr>
            <w:tcW w:w="2438" w:type="dxa"/>
            <w:tcBorders>
              <w:top w:val="single" w:sz="4" w:space="0" w:color="auto"/>
              <w:left w:val="single" w:sz="4" w:space="0" w:color="auto"/>
              <w:bottom w:val="single" w:sz="4" w:space="0" w:color="auto"/>
              <w:right w:val="single" w:sz="4" w:space="0" w:color="auto"/>
            </w:tcBorders>
          </w:tcPr>
          <w:p w14:paraId="29880215" w14:textId="1AE3CB1F" w:rsidR="008B6BB6" w:rsidRDefault="008B6BB6" w:rsidP="008B6BB6">
            <w:proofErr w:type="spellStart"/>
            <w:r>
              <w:t>Lolyne</w:t>
            </w:r>
            <w:proofErr w:type="spellEnd"/>
            <w:r>
              <w:t xml:space="preserve"> Jeremiah</w:t>
            </w:r>
          </w:p>
        </w:tc>
        <w:tc>
          <w:tcPr>
            <w:tcW w:w="4224" w:type="dxa"/>
            <w:tcBorders>
              <w:top w:val="single" w:sz="4" w:space="0" w:color="auto"/>
              <w:left w:val="single" w:sz="4" w:space="0" w:color="auto"/>
              <w:bottom w:val="single" w:sz="4" w:space="0" w:color="auto"/>
              <w:right w:val="single" w:sz="4" w:space="0" w:color="auto"/>
            </w:tcBorders>
          </w:tcPr>
          <w:p w14:paraId="61C4AC6E" w14:textId="2FF417AA" w:rsidR="008B6BB6" w:rsidRDefault="008B6BB6" w:rsidP="008B6BB6">
            <w:pPr>
              <w:pStyle w:val="NoSpacing"/>
            </w:pPr>
            <w:r>
              <w:t>Public Health Manager, TAFEA Province</w:t>
            </w:r>
          </w:p>
        </w:tc>
      </w:tr>
      <w:tr w:rsidR="008B6BB6" w14:paraId="74B9C5FC" w14:textId="77777777" w:rsidTr="00651F15">
        <w:tc>
          <w:tcPr>
            <w:tcW w:w="3681" w:type="dxa"/>
            <w:tcBorders>
              <w:top w:val="single" w:sz="4" w:space="0" w:color="auto"/>
              <w:left w:val="single" w:sz="4" w:space="0" w:color="auto"/>
              <w:bottom w:val="single" w:sz="4" w:space="0" w:color="auto"/>
              <w:right w:val="single" w:sz="4" w:space="0" w:color="auto"/>
            </w:tcBorders>
          </w:tcPr>
          <w:p w14:paraId="03A7E3A2" w14:textId="77777777" w:rsidR="008B6BB6" w:rsidRDefault="008B6BB6" w:rsidP="008B6BB6">
            <w:pPr>
              <w:rPr>
                <w:b/>
              </w:rPr>
            </w:pPr>
          </w:p>
        </w:tc>
        <w:tc>
          <w:tcPr>
            <w:tcW w:w="2438" w:type="dxa"/>
            <w:tcBorders>
              <w:top w:val="single" w:sz="4" w:space="0" w:color="auto"/>
              <w:left w:val="single" w:sz="4" w:space="0" w:color="auto"/>
              <w:bottom w:val="single" w:sz="4" w:space="0" w:color="auto"/>
              <w:right w:val="single" w:sz="4" w:space="0" w:color="auto"/>
            </w:tcBorders>
          </w:tcPr>
          <w:p w14:paraId="5AD47812" w14:textId="15ED447E" w:rsidR="008B6BB6" w:rsidRDefault="008B6BB6" w:rsidP="008B6BB6">
            <w:proofErr w:type="spellStart"/>
            <w:r>
              <w:t>Lematuk</w:t>
            </w:r>
            <w:proofErr w:type="spellEnd"/>
            <w:r>
              <w:t xml:space="preserve"> Michael</w:t>
            </w:r>
          </w:p>
        </w:tc>
        <w:tc>
          <w:tcPr>
            <w:tcW w:w="4224" w:type="dxa"/>
            <w:tcBorders>
              <w:top w:val="single" w:sz="4" w:space="0" w:color="auto"/>
              <w:left w:val="single" w:sz="4" w:space="0" w:color="auto"/>
              <w:bottom w:val="single" w:sz="4" w:space="0" w:color="auto"/>
              <w:right w:val="single" w:sz="4" w:space="0" w:color="auto"/>
            </w:tcBorders>
          </w:tcPr>
          <w:p w14:paraId="240F298D" w14:textId="4A6957A3" w:rsidR="008B6BB6" w:rsidRDefault="008B6BB6" w:rsidP="008B6BB6">
            <w:pPr>
              <w:pStyle w:val="NoSpacing"/>
            </w:pPr>
            <w:r>
              <w:t>Midwife, SHEFA Province</w:t>
            </w:r>
          </w:p>
        </w:tc>
      </w:tr>
      <w:tr w:rsidR="008B6BB6" w14:paraId="1DF560A3" w14:textId="77777777" w:rsidTr="00651F15">
        <w:tc>
          <w:tcPr>
            <w:tcW w:w="3681" w:type="dxa"/>
            <w:tcBorders>
              <w:top w:val="single" w:sz="4" w:space="0" w:color="auto"/>
              <w:left w:val="single" w:sz="4" w:space="0" w:color="auto"/>
              <w:bottom w:val="single" w:sz="4" w:space="0" w:color="auto"/>
              <w:right w:val="single" w:sz="4" w:space="0" w:color="auto"/>
            </w:tcBorders>
          </w:tcPr>
          <w:p w14:paraId="7D6362CB" w14:textId="77777777" w:rsidR="008B6BB6" w:rsidRDefault="008B6BB6" w:rsidP="008B6BB6">
            <w:pPr>
              <w:rPr>
                <w:b/>
              </w:rPr>
            </w:pPr>
          </w:p>
        </w:tc>
        <w:tc>
          <w:tcPr>
            <w:tcW w:w="2438" w:type="dxa"/>
            <w:tcBorders>
              <w:top w:val="single" w:sz="4" w:space="0" w:color="auto"/>
              <w:left w:val="single" w:sz="4" w:space="0" w:color="auto"/>
              <w:bottom w:val="single" w:sz="4" w:space="0" w:color="auto"/>
              <w:right w:val="single" w:sz="4" w:space="0" w:color="auto"/>
            </w:tcBorders>
          </w:tcPr>
          <w:p w14:paraId="68D1F34A" w14:textId="698902A3" w:rsidR="008B6BB6" w:rsidRDefault="008B6BB6" w:rsidP="008B6BB6">
            <w:r>
              <w:t xml:space="preserve">Wilson </w:t>
            </w:r>
            <w:proofErr w:type="spellStart"/>
            <w:r>
              <w:t>Lilip</w:t>
            </w:r>
            <w:proofErr w:type="spellEnd"/>
          </w:p>
        </w:tc>
        <w:tc>
          <w:tcPr>
            <w:tcW w:w="4224" w:type="dxa"/>
            <w:tcBorders>
              <w:top w:val="single" w:sz="4" w:space="0" w:color="auto"/>
              <w:left w:val="single" w:sz="4" w:space="0" w:color="auto"/>
              <w:bottom w:val="single" w:sz="4" w:space="0" w:color="auto"/>
              <w:right w:val="single" w:sz="4" w:space="0" w:color="auto"/>
            </w:tcBorders>
          </w:tcPr>
          <w:p w14:paraId="596F4D4D" w14:textId="4837149C" w:rsidR="008B6BB6" w:rsidRDefault="008B6BB6" w:rsidP="008B6BB6">
            <w:pPr>
              <w:pStyle w:val="NoSpacing"/>
            </w:pPr>
            <w:r>
              <w:t>Central Medical Store</w:t>
            </w:r>
          </w:p>
        </w:tc>
      </w:tr>
      <w:tr w:rsidR="008B6BB6" w14:paraId="0BC4C25C" w14:textId="77777777" w:rsidTr="00651F15">
        <w:tc>
          <w:tcPr>
            <w:tcW w:w="3681" w:type="dxa"/>
            <w:tcBorders>
              <w:top w:val="single" w:sz="4" w:space="0" w:color="auto"/>
              <w:left w:val="single" w:sz="4" w:space="0" w:color="auto"/>
              <w:bottom w:val="single" w:sz="4" w:space="0" w:color="auto"/>
              <w:right w:val="single" w:sz="4" w:space="0" w:color="auto"/>
            </w:tcBorders>
          </w:tcPr>
          <w:p w14:paraId="7164606F" w14:textId="77777777" w:rsidR="008B6BB6" w:rsidRDefault="008B6BB6" w:rsidP="008B6BB6">
            <w:pPr>
              <w:rPr>
                <w:b/>
              </w:rPr>
            </w:pPr>
          </w:p>
        </w:tc>
        <w:tc>
          <w:tcPr>
            <w:tcW w:w="2438" w:type="dxa"/>
            <w:tcBorders>
              <w:top w:val="single" w:sz="4" w:space="0" w:color="auto"/>
              <w:left w:val="single" w:sz="4" w:space="0" w:color="auto"/>
              <w:bottom w:val="single" w:sz="4" w:space="0" w:color="auto"/>
              <w:right w:val="single" w:sz="4" w:space="0" w:color="auto"/>
            </w:tcBorders>
          </w:tcPr>
          <w:p w14:paraId="32D46D8C" w14:textId="1660F15B" w:rsidR="008B6BB6" w:rsidRDefault="008B6BB6" w:rsidP="008B6BB6">
            <w:proofErr w:type="spellStart"/>
            <w:r>
              <w:t>Mahlon</w:t>
            </w:r>
            <w:proofErr w:type="spellEnd"/>
            <w:r>
              <w:t xml:space="preserve"> Tari</w:t>
            </w:r>
          </w:p>
        </w:tc>
        <w:tc>
          <w:tcPr>
            <w:tcW w:w="4224" w:type="dxa"/>
            <w:tcBorders>
              <w:top w:val="single" w:sz="4" w:space="0" w:color="auto"/>
              <w:left w:val="single" w:sz="4" w:space="0" w:color="auto"/>
              <w:bottom w:val="single" w:sz="4" w:space="0" w:color="auto"/>
              <w:right w:val="single" w:sz="4" w:space="0" w:color="auto"/>
            </w:tcBorders>
          </w:tcPr>
          <w:p w14:paraId="1A7B6B01" w14:textId="2017F0CD" w:rsidR="008B6BB6" w:rsidRDefault="008B6BB6" w:rsidP="008B6BB6">
            <w:pPr>
              <w:pStyle w:val="NoSpacing"/>
            </w:pPr>
            <w:r>
              <w:t>Manager HIS</w:t>
            </w:r>
          </w:p>
        </w:tc>
      </w:tr>
      <w:tr w:rsidR="008B6BB6" w14:paraId="7673AE08" w14:textId="77777777" w:rsidTr="00651F15">
        <w:tc>
          <w:tcPr>
            <w:tcW w:w="3681" w:type="dxa"/>
            <w:tcBorders>
              <w:top w:val="single" w:sz="4" w:space="0" w:color="auto"/>
              <w:left w:val="single" w:sz="4" w:space="0" w:color="auto"/>
              <w:bottom w:val="single" w:sz="4" w:space="0" w:color="auto"/>
              <w:right w:val="single" w:sz="4" w:space="0" w:color="auto"/>
            </w:tcBorders>
          </w:tcPr>
          <w:p w14:paraId="133618DC" w14:textId="4570A855" w:rsidR="008B6BB6" w:rsidRDefault="008B6BB6" w:rsidP="008B6BB6">
            <w:pPr>
              <w:rPr>
                <w:b/>
              </w:rPr>
            </w:pPr>
            <w:r>
              <w:t>DSPPAC</w:t>
            </w:r>
          </w:p>
        </w:tc>
        <w:tc>
          <w:tcPr>
            <w:tcW w:w="2438" w:type="dxa"/>
            <w:tcBorders>
              <w:top w:val="single" w:sz="4" w:space="0" w:color="auto"/>
              <w:left w:val="single" w:sz="4" w:space="0" w:color="auto"/>
              <w:bottom w:val="single" w:sz="4" w:space="0" w:color="auto"/>
              <w:right w:val="single" w:sz="4" w:space="0" w:color="auto"/>
            </w:tcBorders>
          </w:tcPr>
          <w:p w14:paraId="1D647947" w14:textId="0DF6B0B5" w:rsidR="008B6BB6" w:rsidRDefault="008B6BB6" w:rsidP="008B6BB6">
            <w:proofErr w:type="spellStart"/>
            <w:r>
              <w:t>Viran</w:t>
            </w:r>
            <w:proofErr w:type="spellEnd"/>
            <w:r>
              <w:t xml:space="preserve"> </w:t>
            </w:r>
            <w:proofErr w:type="spellStart"/>
            <w:r>
              <w:t>Toviu</w:t>
            </w:r>
            <w:proofErr w:type="spellEnd"/>
          </w:p>
        </w:tc>
        <w:tc>
          <w:tcPr>
            <w:tcW w:w="4224" w:type="dxa"/>
            <w:tcBorders>
              <w:top w:val="single" w:sz="4" w:space="0" w:color="auto"/>
              <w:left w:val="single" w:sz="4" w:space="0" w:color="auto"/>
              <w:bottom w:val="single" w:sz="4" w:space="0" w:color="auto"/>
              <w:right w:val="single" w:sz="4" w:space="0" w:color="auto"/>
            </w:tcBorders>
          </w:tcPr>
          <w:p w14:paraId="328D6BF7" w14:textId="4BE5C27B" w:rsidR="008B6BB6" w:rsidRDefault="008B6BB6" w:rsidP="008B6BB6">
            <w:pPr>
              <w:pStyle w:val="NoSpacing"/>
            </w:pPr>
            <w:r>
              <w:t>Senior Analyst Health and Population</w:t>
            </w:r>
          </w:p>
        </w:tc>
      </w:tr>
      <w:tr w:rsidR="008B6BB6" w14:paraId="1CEBA504" w14:textId="77777777" w:rsidTr="00651F15">
        <w:tc>
          <w:tcPr>
            <w:tcW w:w="3681" w:type="dxa"/>
            <w:tcBorders>
              <w:top w:val="single" w:sz="4" w:space="0" w:color="auto"/>
              <w:left w:val="single" w:sz="4" w:space="0" w:color="auto"/>
              <w:bottom w:val="single" w:sz="4" w:space="0" w:color="auto"/>
              <w:right w:val="single" w:sz="4" w:space="0" w:color="auto"/>
            </w:tcBorders>
          </w:tcPr>
          <w:p w14:paraId="530D052D" w14:textId="17265A8E" w:rsidR="008B6BB6" w:rsidRDefault="008B6BB6" w:rsidP="008B6BB6">
            <w:r>
              <w:t>Ministry of Education</w:t>
            </w:r>
          </w:p>
        </w:tc>
        <w:tc>
          <w:tcPr>
            <w:tcW w:w="2438" w:type="dxa"/>
            <w:tcBorders>
              <w:top w:val="single" w:sz="4" w:space="0" w:color="auto"/>
              <w:left w:val="single" w:sz="4" w:space="0" w:color="auto"/>
              <w:bottom w:val="single" w:sz="4" w:space="0" w:color="auto"/>
              <w:right w:val="single" w:sz="4" w:space="0" w:color="auto"/>
            </w:tcBorders>
          </w:tcPr>
          <w:p w14:paraId="358C6990" w14:textId="356CB3BB" w:rsidR="008B6BB6" w:rsidRDefault="008B6BB6" w:rsidP="008B6BB6">
            <w:proofErr w:type="spellStart"/>
            <w:r>
              <w:t>Filicity</w:t>
            </w:r>
            <w:proofErr w:type="spellEnd"/>
            <w:r>
              <w:t xml:space="preserve"> </w:t>
            </w:r>
            <w:proofErr w:type="spellStart"/>
            <w:r>
              <w:t>Nilwo</w:t>
            </w:r>
            <w:proofErr w:type="spellEnd"/>
          </w:p>
        </w:tc>
        <w:tc>
          <w:tcPr>
            <w:tcW w:w="4224" w:type="dxa"/>
            <w:tcBorders>
              <w:top w:val="single" w:sz="4" w:space="0" w:color="auto"/>
              <w:left w:val="single" w:sz="4" w:space="0" w:color="auto"/>
              <w:bottom w:val="single" w:sz="4" w:space="0" w:color="auto"/>
              <w:right w:val="single" w:sz="4" w:space="0" w:color="auto"/>
            </w:tcBorders>
          </w:tcPr>
          <w:p w14:paraId="66BA8776" w14:textId="2637E4FA" w:rsidR="008B6BB6" w:rsidRDefault="008B6BB6" w:rsidP="008B6BB6">
            <w:pPr>
              <w:pStyle w:val="NoSpacing"/>
            </w:pPr>
            <w:r>
              <w:t>Principal Education Officer</w:t>
            </w:r>
          </w:p>
        </w:tc>
      </w:tr>
      <w:tr w:rsidR="008B6BB6" w14:paraId="7C5885C5" w14:textId="77777777" w:rsidTr="00651F15">
        <w:tc>
          <w:tcPr>
            <w:tcW w:w="3681" w:type="dxa"/>
            <w:tcBorders>
              <w:top w:val="single" w:sz="4" w:space="0" w:color="auto"/>
              <w:left w:val="single" w:sz="4" w:space="0" w:color="auto"/>
              <w:bottom w:val="single" w:sz="4" w:space="0" w:color="auto"/>
              <w:right w:val="single" w:sz="4" w:space="0" w:color="auto"/>
            </w:tcBorders>
          </w:tcPr>
          <w:p w14:paraId="602DA03E" w14:textId="3DE15710" w:rsidR="008B6BB6" w:rsidRDefault="008B6BB6" w:rsidP="008B6BB6">
            <w:r>
              <w:t>Ministry of Finance</w:t>
            </w:r>
          </w:p>
        </w:tc>
        <w:tc>
          <w:tcPr>
            <w:tcW w:w="2438" w:type="dxa"/>
            <w:tcBorders>
              <w:top w:val="single" w:sz="4" w:space="0" w:color="auto"/>
              <w:left w:val="single" w:sz="4" w:space="0" w:color="auto"/>
              <w:bottom w:val="single" w:sz="4" w:space="0" w:color="auto"/>
              <w:right w:val="single" w:sz="4" w:space="0" w:color="auto"/>
            </w:tcBorders>
          </w:tcPr>
          <w:p w14:paraId="51694D5A" w14:textId="68E16623" w:rsidR="008B6BB6" w:rsidRDefault="008B6BB6" w:rsidP="008B6BB6">
            <w:r>
              <w:t>Andy Calo</w:t>
            </w:r>
          </w:p>
        </w:tc>
        <w:tc>
          <w:tcPr>
            <w:tcW w:w="4224" w:type="dxa"/>
            <w:tcBorders>
              <w:top w:val="single" w:sz="4" w:space="0" w:color="auto"/>
              <w:left w:val="single" w:sz="4" w:space="0" w:color="auto"/>
              <w:bottom w:val="single" w:sz="4" w:space="0" w:color="auto"/>
              <w:right w:val="single" w:sz="4" w:space="0" w:color="auto"/>
            </w:tcBorders>
          </w:tcPr>
          <w:p w14:paraId="4FC965F0" w14:textId="2A183205" w:rsidR="008B6BB6" w:rsidRDefault="008B6BB6" w:rsidP="008B6BB6">
            <w:pPr>
              <w:pStyle w:val="NoSpacing"/>
            </w:pPr>
            <w:r>
              <w:t>Director, National Statistics Office</w:t>
            </w:r>
          </w:p>
        </w:tc>
      </w:tr>
      <w:tr w:rsidR="008B6BB6" w14:paraId="0CFE04F6" w14:textId="77777777" w:rsidTr="00651F15">
        <w:tc>
          <w:tcPr>
            <w:tcW w:w="3681" w:type="dxa"/>
            <w:tcBorders>
              <w:top w:val="single" w:sz="4" w:space="0" w:color="auto"/>
              <w:left w:val="single" w:sz="4" w:space="0" w:color="auto"/>
              <w:bottom w:val="single" w:sz="4" w:space="0" w:color="auto"/>
              <w:right w:val="single" w:sz="4" w:space="0" w:color="auto"/>
            </w:tcBorders>
          </w:tcPr>
          <w:p w14:paraId="147561D4" w14:textId="77777777" w:rsidR="008B6BB6" w:rsidRDefault="008B6BB6" w:rsidP="008B6BB6"/>
        </w:tc>
        <w:tc>
          <w:tcPr>
            <w:tcW w:w="2438" w:type="dxa"/>
            <w:tcBorders>
              <w:top w:val="single" w:sz="4" w:space="0" w:color="auto"/>
              <w:left w:val="single" w:sz="4" w:space="0" w:color="auto"/>
              <w:bottom w:val="single" w:sz="4" w:space="0" w:color="auto"/>
              <w:right w:val="single" w:sz="4" w:space="0" w:color="auto"/>
            </w:tcBorders>
          </w:tcPr>
          <w:p w14:paraId="7636BF14" w14:textId="081110C3" w:rsidR="008B6BB6" w:rsidRDefault="008B6BB6" w:rsidP="008B6BB6">
            <w:proofErr w:type="spellStart"/>
            <w:r>
              <w:t>Charlington</w:t>
            </w:r>
            <w:proofErr w:type="spellEnd"/>
            <w:r>
              <w:t xml:space="preserve"> Leo</w:t>
            </w:r>
          </w:p>
        </w:tc>
        <w:tc>
          <w:tcPr>
            <w:tcW w:w="4224" w:type="dxa"/>
            <w:tcBorders>
              <w:top w:val="single" w:sz="4" w:space="0" w:color="auto"/>
              <w:left w:val="single" w:sz="4" w:space="0" w:color="auto"/>
              <w:bottom w:val="single" w:sz="4" w:space="0" w:color="auto"/>
              <w:right w:val="single" w:sz="4" w:space="0" w:color="auto"/>
            </w:tcBorders>
          </w:tcPr>
          <w:p w14:paraId="2D4D63E5" w14:textId="11BCAF95" w:rsidR="008B6BB6" w:rsidRDefault="008B6BB6" w:rsidP="008B6BB6">
            <w:pPr>
              <w:pStyle w:val="NoSpacing"/>
            </w:pPr>
            <w:r>
              <w:t>Senior Social and Environment Statistician</w:t>
            </w:r>
          </w:p>
        </w:tc>
      </w:tr>
      <w:tr w:rsidR="008B6BB6" w14:paraId="4A81B44A" w14:textId="77777777" w:rsidTr="00651F15">
        <w:tc>
          <w:tcPr>
            <w:tcW w:w="3681" w:type="dxa"/>
            <w:tcBorders>
              <w:top w:val="single" w:sz="4" w:space="0" w:color="auto"/>
              <w:left w:val="single" w:sz="4" w:space="0" w:color="auto"/>
              <w:bottom w:val="single" w:sz="4" w:space="0" w:color="auto"/>
              <w:right w:val="single" w:sz="4" w:space="0" w:color="auto"/>
            </w:tcBorders>
          </w:tcPr>
          <w:p w14:paraId="6EFF9F3F" w14:textId="77777777" w:rsidR="008B6BB6" w:rsidRDefault="008B6BB6" w:rsidP="008B6BB6"/>
        </w:tc>
        <w:tc>
          <w:tcPr>
            <w:tcW w:w="2438" w:type="dxa"/>
            <w:tcBorders>
              <w:top w:val="single" w:sz="4" w:space="0" w:color="auto"/>
              <w:left w:val="single" w:sz="4" w:space="0" w:color="auto"/>
              <w:bottom w:val="single" w:sz="4" w:space="0" w:color="auto"/>
              <w:right w:val="single" w:sz="4" w:space="0" w:color="auto"/>
            </w:tcBorders>
          </w:tcPr>
          <w:p w14:paraId="5F8D19B6" w14:textId="6CEE5A90" w:rsidR="008B6BB6" w:rsidRDefault="008B6BB6" w:rsidP="008B6BB6">
            <w:r>
              <w:t>Susie Mento</w:t>
            </w:r>
          </w:p>
        </w:tc>
        <w:tc>
          <w:tcPr>
            <w:tcW w:w="4224" w:type="dxa"/>
            <w:tcBorders>
              <w:top w:val="single" w:sz="4" w:space="0" w:color="auto"/>
              <w:left w:val="single" w:sz="4" w:space="0" w:color="auto"/>
              <w:bottom w:val="single" w:sz="4" w:space="0" w:color="auto"/>
              <w:right w:val="single" w:sz="4" w:space="0" w:color="auto"/>
            </w:tcBorders>
          </w:tcPr>
          <w:p w14:paraId="432055A0" w14:textId="0F1544CB" w:rsidR="008B6BB6" w:rsidRDefault="008B6BB6" w:rsidP="008B6BB6">
            <w:pPr>
              <w:pStyle w:val="NoSpacing"/>
            </w:pPr>
            <w:r>
              <w:t>Environmental Statistician</w:t>
            </w:r>
          </w:p>
        </w:tc>
      </w:tr>
      <w:tr w:rsidR="008B6BB6" w14:paraId="4F092901" w14:textId="77777777" w:rsidTr="00651F15">
        <w:tc>
          <w:tcPr>
            <w:tcW w:w="3681" w:type="dxa"/>
            <w:tcBorders>
              <w:top w:val="single" w:sz="4" w:space="0" w:color="auto"/>
              <w:left w:val="single" w:sz="4" w:space="0" w:color="auto"/>
              <w:bottom w:val="single" w:sz="4" w:space="0" w:color="auto"/>
              <w:right w:val="single" w:sz="4" w:space="0" w:color="auto"/>
            </w:tcBorders>
          </w:tcPr>
          <w:p w14:paraId="5A1EA2FA" w14:textId="77777777" w:rsidR="008B6BB6" w:rsidRDefault="008B6BB6" w:rsidP="008B6BB6"/>
        </w:tc>
        <w:tc>
          <w:tcPr>
            <w:tcW w:w="2438" w:type="dxa"/>
            <w:tcBorders>
              <w:top w:val="single" w:sz="4" w:space="0" w:color="auto"/>
              <w:left w:val="single" w:sz="4" w:space="0" w:color="auto"/>
              <w:bottom w:val="single" w:sz="4" w:space="0" w:color="auto"/>
              <w:right w:val="single" w:sz="4" w:space="0" w:color="auto"/>
            </w:tcBorders>
          </w:tcPr>
          <w:p w14:paraId="645F2A5C" w14:textId="2D76D817" w:rsidR="008B6BB6" w:rsidRDefault="008B6BB6" w:rsidP="008B6BB6">
            <w:proofErr w:type="spellStart"/>
            <w:r>
              <w:t>Aspind</w:t>
            </w:r>
            <w:proofErr w:type="spellEnd"/>
            <w:r>
              <w:t xml:space="preserve"> Amos</w:t>
            </w:r>
          </w:p>
        </w:tc>
        <w:tc>
          <w:tcPr>
            <w:tcW w:w="4224" w:type="dxa"/>
            <w:tcBorders>
              <w:top w:val="single" w:sz="4" w:space="0" w:color="auto"/>
              <w:left w:val="single" w:sz="4" w:space="0" w:color="auto"/>
              <w:bottom w:val="single" w:sz="4" w:space="0" w:color="auto"/>
              <w:right w:val="single" w:sz="4" w:space="0" w:color="auto"/>
            </w:tcBorders>
          </w:tcPr>
          <w:p w14:paraId="31E8E796" w14:textId="434CC432" w:rsidR="008B6BB6" w:rsidRDefault="008B6BB6" w:rsidP="008B6BB6">
            <w:pPr>
              <w:pStyle w:val="NoSpacing"/>
            </w:pPr>
            <w:r>
              <w:rPr>
                <w:rFonts w:cstheme="minorHAnsi"/>
              </w:rPr>
              <w:t>Administration and Finance Manager</w:t>
            </w:r>
          </w:p>
        </w:tc>
      </w:tr>
      <w:tr w:rsidR="008B6BB6" w14:paraId="31688AE1" w14:textId="77777777" w:rsidTr="00651F15">
        <w:tc>
          <w:tcPr>
            <w:tcW w:w="3681" w:type="dxa"/>
            <w:tcBorders>
              <w:top w:val="single" w:sz="4" w:space="0" w:color="auto"/>
              <w:left w:val="single" w:sz="4" w:space="0" w:color="auto"/>
              <w:bottom w:val="single" w:sz="4" w:space="0" w:color="auto"/>
              <w:right w:val="single" w:sz="4" w:space="0" w:color="auto"/>
            </w:tcBorders>
          </w:tcPr>
          <w:p w14:paraId="44337964" w14:textId="1C34B0A7" w:rsidR="008B6BB6" w:rsidRDefault="008B6BB6" w:rsidP="008B6BB6">
            <w:r>
              <w:t>Ministry of Youth</w:t>
            </w:r>
          </w:p>
        </w:tc>
        <w:tc>
          <w:tcPr>
            <w:tcW w:w="2438" w:type="dxa"/>
            <w:tcBorders>
              <w:top w:val="single" w:sz="4" w:space="0" w:color="auto"/>
              <w:left w:val="single" w:sz="4" w:space="0" w:color="auto"/>
              <w:bottom w:val="single" w:sz="4" w:space="0" w:color="auto"/>
              <w:right w:val="single" w:sz="4" w:space="0" w:color="auto"/>
            </w:tcBorders>
          </w:tcPr>
          <w:p w14:paraId="05C4B930" w14:textId="21445304" w:rsidR="008B6BB6" w:rsidRDefault="008B6BB6" w:rsidP="008B6BB6">
            <w:r>
              <w:t>Joe Calo</w:t>
            </w:r>
          </w:p>
        </w:tc>
        <w:tc>
          <w:tcPr>
            <w:tcW w:w="4224" w:type="dxa"/>
            <w:tcBorders>
              <w:top w:val="single" w:sz="4" w:space="0" w:color="auto"/>
              <w:left w:val="single" w:sz="4" w:space="0" w:color="auto"/>
              <w:bottom w:val="single" w:sz="4" w:space="0" w:color="auto"/>
              <w:right w:val="single" w:sz="4" w:space="0" w:color="auto"/>
            </w:tcBorders>
          </w:tcPr>
          <w:p w14:paraId="67012154" w14:textId="553185FC" w:rsidR="008B6BB6" w:rsidRDefault="008B6BB6" w:rsidP="008B6BB6">
            <w:pPr>
              <w:pStyle w:val="NoSpacing"/>
              <w:rPr>
                <w:rFonts w:cstheme="minorHAnsi"/>
              </w:rPr>
            </w:pPr>
            <w:r>
              <w:t>Principal Administrator</w:t>
            </w:r>
          </w:p>
        </w:tc>
      </w:tr>
      <w:tr w:rsidR="008B6BB6" w14:paraId="5886EC8C" w14:textId="77777777" w:rsidTr="00651F15">
        <w:tc>
          <w:tcPr>
            <w:tcW w:w="3681" w:type="dxa"/>
            <w:tcBorders>
              <w:top w:val="single" w:sz="4" w:space="0" w:color="auto"/>
              <w:left w:val="single" w:sz="4" w:space="0" w:color="auto"/>
              <w:bottom w:val="single" w:sz="4" w:space="0" w:color="auto"/>
              <w:right w:val="single" w:sz="4" w:space="0" w:color="auto"/>
            </w:tcBorders>
          </w:tcPr>
          <w:p w14:paraId="158375EF" w14:textId="77777777" w:rsidR="008B6BB6" w:rsidRDefault="008B6BB6" w:rsidP="008B6BB6"/>
        </w:tc>
        <w:tc>
          <w:tcPr>
            <w:tcW w:w="2438" w:type="dxa"/>
            <w:tcBorders>
              <w:top w:val="single" w:sz="4" w:space="0" w:color="auto"/>
              <w:left w:val="single" w:sz="4" w:space="0" w:color="auto"/>
              <w:bottom w:val="single" w:sz="4" w:space="0" w:color="auto"/>
              <w:right w:val="single" w:sz="4" w:space="0" w:color="auto"/>
            </w:tcBorders>
          </w:tcPr>
          <w:p w14:paraId="6F500CCA" w14:textId="4B2D9232" w:rsidR="008B6BB6" w:rsidRDefault="008B6BB6" w:rsidP="008B6BB6">
            <w:proofErr w:type="spellStart"/>
            <w:r>
              <w:t>Regianna</w:t>
            </w:r>
            <w:proofErr w:type="spellEnd"/>
            <w:r>
              <w:t xml:space="preserve"> </w:t>
            </w:r>
            <w:proofErr w:type="spellStart"/>
            <w:r>
              <w:t>Iakula</w:t>
            </w:r>
            <w:proofErr w:type="spellEnd"/>
          </w:p>
        </w:tc>
        <w:tc>
          <w:tcPr>
            <w:tcW w:w="4224" w:type="dxa"/>
            <w:tcBorders>
              <w:top w:val="single" w:sz="4" w:space="0" w:color="auto"/>
              <w:left w:val="single" w:sz="4" w:space="0" w:color="auto"/>
              <w:bottom w:val="single" w:sz="4" w:space="0" w:color="auto"/>
              <w:right w:val="single" w:sz="4" w:space="0" w:color="auto"/>
            </w:tcBorders>
          </w:tcPr>
          <w:p w14:paraId="6D079FB6" w14:textId="2E4E721D" w:rsidR="008B6BB6" w:rsidRDefault="008B6BB6" w:rsidP="008B6BB6">
            <w:pPr>
              <w:pStyle w:val="NoSpacing"/>
            </w:pPr>
            <w:r>
              <w:t>Youth Data Registrar/ Finance Officer</w:t>
            </w:r>
          </w:p>
        </w:tc>
      </w:tr>
      <w:tr w:rsidR="00071404" w14:paraId="0A46C0F5" w14:textId="77777777" w:rsidTr="00651F15">
        <w:tc>
          <w:tcPr>
            <w:tcW w:w="3681" w:type="dxa"/>
            <w:tcBorders>
              <w:top w:val="single" w:sz="4" w:space="0" w:color="auto"/>
              <w:left w:val="single" w:sz="4" w:space="0" w:color="auto"/>
              <w:bottom w:val="single" w:sz="4" w:space="0" w:color="auto"/>
              <w:right w:val="single" w:sz="4" w:space="0" w:color="auto"/>
            </w:tcBorders>
          </w:tcPr>
          <w:p w14:paraId="617598D9" w14:textId="5515F011" w:rsidR="00071404" w:rsidRDefault="00071404" w:rsidP="00071404">
            <w:r>
              <w:t>Vanuatu Society for Disabled People</w:t>
            </w:r>
          </w:p>
        </w:tc>
        <w:tc>
          <w:tcPr>
            <w:tcW w:w="2438" w:type="dxa"/>
            <w:tcBorders>
              <w:top w:val="single" w:sz="4" w:space="0" w:color="auto"/>
              <w:left w:val="single" w:sz="4" w:space="0" w:color="auto"/>
              <w:bottom w:val="single" w:sz="4" w:space="0" w:color="auto"/>
              <w:right w:val="single" w:sz="4" w:space="0" w:color="auto"/>
            </w:tcBorders>
          </w:tcPr>
          <w:p w14:paraId="77759CD0" w14:textId="7AF25E09" w:rsidR="00071404" w:rsidRDefault="00071404" w:rsidP="00071404">
            <w:r>
              <w:t xml:space="preserve">Judith </w:t>
            </w:r>
            <w:proofErr w:type="spellStart"/>
            <w:r>
              <w:t>Iakavai</w:t>
            </w:r>
            <w:proofErr w:type="spellEnd"/>
          </w:p>
        </w:tc>
        <w:tc>
          <w:tcPr>
            <w:tcW w:w="4224" w:type="dxa"/>
            <w:tcBorders>
              <w:top w:val="single" w:sz="4" w:space="0" w:color="auto"/>
              <w:left w:val="single" w:sz="4" w:space="0" w:color="auto"/>
              <w:bottom w:val="single" w:sz="4" w:space="0" w:color="auto"/>
              <w:right w:val="single" w:sz="4" w:space="0" w:color="auto"/>
            </w:tcBorders>
          </w:tcPr>
          <w:p w14:paraId="760DCB8C" w14:textId="299C1DF3" w:rsidR="00071404" w:rsidRDefault="00071404" w:rsidP="00071404">
            <w:pPr>
              <w:pStyle w:val="NoSpacing"/>
            </w:pPr>
            <w:r>
              <w:t>Program Manager</w:t>
            </w:r>
          </w:p>
        </w:tc>
      </w:tr>
      <w:tr w:rsidR="00071404" w14:paraId="3407C456" w14:textId="77777777" w:rsidTr="00651F15">
        <w:tc>
          <w:tcPr>
            <w:tcW w:w="3681" w:type="dxa"/>
            <w:tcBorders>
              <w:top w:val="single" w:sz="4" w:space="0" w:color="auto"/>
              <w:left w:val="single" w:sz="4" w:space="0" w:color="auto"/>
              <w:bottom w:val="single" w:sz="4" w:space="0" w:color="auto"/>
              <w:right w:val="single" w:sz="4" w:space="0" w:color="auto"/>
            </w:tcBorders>
          </w:tcPr>
          <w:p w14:paraId="522F09D6" w14:textId="77777777" w:rsidR="00071404" w:rsidRDefault="00071404" w:rsidP="00071404"/>
        </w:tc>
        <w:tc>
          <w:tcPr>
            <w:tcW w:w="2438" w:type="dxa"/>
            <w:tcBorders>
              <w:top w:val="single" w:sz="4" w:space="0" w:color="auto"/>
              <w:left w:val="single" w:sz="4" w:space="0" w:color="auto"/>
              <w:bottom w:val="single" w:sz="4" w:space="0" w:color="auto"/>
              <w:right w:val="single" w:sz="4" w:space="0" w:color="auto"/>
            </w:tcBorders>
          </w:tcPr>
          <w:p w14:paraId="71994170" w14:textId="575C1F80" w:rsidR="00071404" w:rsidRDefault="00071404" w:rsidP="00071404">
            <w:proofErr w:type="spellStart"/>
            <w:r>
              <w:t>Ashiana</w:t>
            </w:r>
            <w:proofErr w:type="spellEnd"/>
            <w:r>
              <w:t xml:space="preserve"> Basil</w:t>
            </w:r>
          </w:p>
        </w:tc>
        <w:tc>
          <w:tcPr>
            <w:tcW w:w="4224" w:type="dxa"/>
            <w:tcBorders>
              <w:top w:val="single" w:sz="4" w:space="0" w:color="auto"/>
              <w:left w:val="single" w:sz="4" w:space="0" w:color="auto"/>
              <w:bottom w:val="single" w:sz="4" w:space="0" w:color="auto"/>
              <w:right w:val="single" w:sz="4" w:space="0" w:color="auto"/>
            </w:tcBorders>
          </w:tcPr>
          <w:p w14:paraId="1F7058B4" w14:textId="70E508A1" w:rsidR="00071404" w:rsidRDefault="00071404" w:rsidP="00071404">
            <w:pPr>
              <w:pStyle w:val="NoSpacing"/>
            </w:pPr>
            <w:r>
              <w:t>Community Based ID Team Leader</w:t>
            </w:r>
          </w:p>
        </w:tc>
      </w:tr>
      <w:tr w:rsidR="00071404" w14:paraId="1E631CC0" w14:textId="77777777" w:rsidTr="00651F15">
        <w:tc>
          <w:tcPr>
            <w:tcW w:w="3681" w:type="dxa"/>
            <w:tcBorders>
              <w:top w:val="single" w:sz="4" w:space="0" w:color="auto"/>
              <w:left w:val="single" w:sz="4" w:space="0" w:color="auto"/>
              <w:bottom w:val="single" w:sz="4" w:space="0" w:color="auto"/>
              <w:right w:val="single" w:sz="4" w:space="0" w:color="auto"/>
            </w:tcBorders>
          </w:tcPr>
          <w:p w14:paraId="73E7C2CB" w14:textId="02308DDE" w:rsidR="00071404" w:rsidRDefault="00071404" w:rsidP="00071404">
            <w:r>
              <w:t>UNFPA Vila</w:t>
            </w:r>
          </w:p>
        </w:tc>
        <w:tc>
          <w:tcPr>
            <w:tcW w:w="2438" w:type="dxa"/>
            <w:tcBorders>
              <w:top w:val="single" w:sz="4" w:space="0" w:color="auto"/>
              <w:left w:val="single" w:sz="4" w:space="0" w:color="auto"/>
              <w:bottom w:val="single" w:sz="4" w:space="0" w:color="auto"/>
              <w:right w:val="single" w:sz="4" w:space="0" w:color="auto"/>
            </w:tcBorders>
          </w:tcPr>
          <w:p w14:paraId="1D28E953" w14:textId="1BBF29DC" w:rsidR="00071404" w:rsidRDefault="00071404" w:rsidP="00071404">
            <w:r>
              <w:t>Emily Deed</w:t>
            </w:r>
          </w:p>
        </w:tc>
        <w:tc>
          <w:tcPr>
            <w:tcW w:w="4224" w:type="dxa"/>
            <w:tcBorders>
              <w:top w:val="single" w:sz="4" w:space="0" w:color="auto"/>
              <w:left w:val="single" w:sz="4" w:space="0" w:color="auto"/>
              <w:bottom w:val="single" w:sz="4" w:space="0" w:color="auto"/>
              <w:right w:val="single" w:sz="4" w:space="0" w:color="auto"/>
            </w:tcBorders>
          </w:tcPr>
          <w:p w14:paraId="458BC721" w14:textId="0FB596D9" w:rsidR="00071404" w:rsidRDefault="00071404" w:rsidP="00071404">
            <w:pPr>
              <w:pStyle w:val="NoSpacing"/>
            </w:pPr>
            <w:r>
              <w:t>SRH Specialist</w:t>
            </w:r>
          </w:p>
        </w:tc>
      </w:tr>
      <w:tr w:rsidR="00071404" w14:paraId="3A5D5175" w14:textId="77777777" w:rsidTr="00651F15">
        <w:tc>
          <w:tcPr>
            <w:tcW w:w="3681" w:type="dxa"/>
            <w:tcBorders>
              <w:top w:val="single" w:sz="4" w:space="0" w:color="auto"/>
              <w:left w:val="single" w:sz="4" w:space="0" w:color="auto"/>
              <w:bottom w:val="single" w:sz="4" w:space="0" w:color="auto"/>
              <w:right w:val="single" w:sz="4" w:space="0" w:color="auto"/>
            </w:tcBorders>
          </w:tcPr>
          <w:p w14:paraId="7EF4C3F4" w14:textId="290AC767" w:rsidR="00071404" w:rsidRDefault="00071404" w:rsidP="00071404">
            <w:r>
              <w:lastRenderedPageBreak/>
              <w:t>Vanuatu Health Program</w:t>
            </w:r>
          </w:p>
        </w:tc>
        <w:tc>
          <w:tcPr>
            <w:tcW w:w="2438" w:type="dxa"/>
            <w:tcBorders>
              <w:top w:val="single" w:sz="4" w:space="0" w:color="auto"/>
              <w:left w:val="single" w:sz="4" w:space="0" w:color="auto"/>
              <w:bottom w:val="single" w:sz="4" w:space="0" w:color="auto"/>
              <w:right w:val="single" w:sz="4" w:space="0" w:color="auto"/>
            </w:tcBorders>
          </w:tcPr>
          <w:p w14:paraId="0F0E5A0F" w14:textId="1D90825A" w:rsidR="00071404" w:rsidRDefault="00071404" w:rsidP="00071404">
            <w:r>
              <w:t>Geoff Clark</w:t>
            </w:r>
          </w:p>
        </w:tc>
        <w:tc>
          <w:tcPr>
            <w:tcW w:w="4224" w:type="dxa"/>
            <w:tcBorders>
              <w:top w:val="single" w:sz="4" w:space="0" w:color="auto"/>
              <w:left w:val="single" w:sz="4" w:space="0" w:color="auto"/>
              <w:bottom w:val="single" w:sz="4" w:space="0" w:color="auto"/>
              <w:right w:val="single" w:sz="4" w:space="0" w:color="auto"/>
            </w:tcBorders>
          </w:tcPr>
          <w:p w14:paraId="34A1B303" w14:textId="4BE5788F" w:rsidR="00071404" w:rsidRDefault="00071404" w:rsidP="00071404">
            <w:pPr>
              <w:pStyle w:val="NoSpacing"/>
            </w:pPr>
            <w:r>
              <w:t>Team Leader</w:t>
            </w:r>
          </w:p>
        </w:tc>
      </w:tr>
    </w:tbl>
    <w:p w14:paraId="574B4135" w14:textId="77777777" w:rsidR="00CF4448" w:rsidRDefault="00CF4448" w:rsidP="003C7DAE"/>
    <w:p w14:paraId="7973B1B9" w14:textId="77777777" w:rsidR="00CF4448" w:rsidRPr="003C7DAE" w:rsidRDefault="00CF4448" w:rsidP="003C7DAE"/>
    <w:p w14:paraId="66760A74" w14:textId="77777777" w:rsidR="003C7DAE" w:rsidRPr="003C7DAE" w:rsidRDefault="003C7DAE" w:rsidP="003C7DAE"/>
    <w:p w14:paraId="597BF4E8" w14:textId="77777777" w:rsidR="003C7DAE" w:rsidRPr="003C7DAE" w:rsidRDefault="003C7DAE" w:rsidP="003C7DAE"/>
    <w:p w14:paraId="036F5049" w14:textId="77777777" w:rsidR="00CF4448" w:rsidRDefault="00CF4448">
      <w:pPr>
        <w:spacing w:after="160" w:line="259" w:lineRule="auto"/>
      </w:pPr>
      <w:r>
        <w:br w:type="page"/>
      </w:r>
    </w:p>
    <w:p w14:paraId="6067B87D" w14:textId="77777777" w:rsidR="003C7DAE" w:rsidRPr="003C7DAE" w:rsidRDefault="00CF4448" w:rsidP="00714E9A">
      <w:pPr>
        <w:pStyle w:val="NumberedLevel1heading"/>
        <w:ind w:left="360" w:firstLine="0"/>
        <w:jc w:val="left"/>
      </w:pPr>
      <w:bookmarkStart w:id="48" w:name="_Toc76630106"/>
      <w:r>
        <w:lastRenderedPageBreak/>
        <w:t xml:space="preserve">Annex 3: List of </w:t>
      </w:r>
      <w:r w:rsidR="00125E43">
        <w:t xml:space="preserve">TA Program </w:t>
      </w:r>
      <w:r>
        <w:t>Implementing Partners, Sub Recipients and Regional Implementing Partners</w:t>
      </w:r>
      <w:bookmarkEnd w:id="48"/>
    </w:p>
    <w:p w14:paraId="061D878E" w14:textId="77777777" w:rsidR="00CF4448" w:rsidRPr="003C7DAE" w:rsidRDefault="00CF4448" w:rsidP="003C7DAE"/>
    <w:tbl>
      <w:tblPr>
        <w:tblStyle w:val="TableGrid"/>
        <w:tblW w:w="0" w:type="auto"/>
        <w:tblLook w:val="04A0" w:firstRow="1" w:lastRow="0" w:firstColumn="1" w:lastColumn="0" w:noHBand="0" w:noVBand="1"/>
      </w:tblPr>
      <w:tblGrid>
        <w:gridCol w:w="1162"/>
        <w:gridCol w:w="1114"/>
        <w:gridCol w:w="1462"/>
        <w:gridCol w:w="1377"/>
        <w:gridCol w:w="1220"/>
        <w:gridCol w:w="1343"/>
        <w:gridCol w:w="1338"/>
      </w:tblGrid>
      <w:tr w:rsidR="00BF1949" w:rsidRPr="0010030A" w14:paraId="3D598CB6" w14:textId="77777777" w:rsidTr="00426EC6">
        <w:tc>
          <w:tcPr>
            <w:tcW w:w="1162" w:type="dxa"/>
            <w:shd w:val="clear" w:color="auto" w:fill="FF0000"/>
          </w:tcPr>
          <w:p w14:paraId="35E5F488" w14:textId="77777777" w:rsidR="0084201F" w:rsidRPr="00D57C05" w:rsidRDefault="0084201F" w:rsidP="009E0765">
            <w:pPr>
              <w:pStyle w:val="NoSpacing"/>
              <w:rPr>
                <w:rFonts w:cstheme="minorHAnsi"/>
                <w:b/>
                <w:bCs/>
              </w:rPr>
            </w:pPr>
            <w:bookmarkStart w:id="49" w:name="_Hlk48144385"/>
            <w:r w:rsidRPr="00D57C05">
              <w:rPr>
                <w:rFonts w:cstheme="minorHAnsi"/>
                <w:b/>
                <w:bCs/>
              </w:rPr>
              <w:t>Fiji</w:t>
            </w:r>
          </w:p>
        </w:tc>
        <w:tc>
          <w:tcPr>
            <w:tcW w:w="1114" w:type="dxa"/>
            <w:shd w:val="clear" w:color="auto" w:fill="FF0000"/>
          </w:tcPr>
          <w:p w14:paraId="51E2C3BF" w14:textId="77777777" w:rsidR="0084201F" w:rsidRPr="00D57C05" w:rsidRDefault="0084201F" w:rsidP="009E0765">
            <w:pPr>
              <w:pStyle w:val="NoSpacing"/>
              <w:rPr>
                <w:rFonts w:cstheme="minorHAnsi"/>
                <w:b/>
                <w:bCs/>
              </w:rPr>
            </w:pPr>
            <w:r w:rsidRPr="00D57C05">
              <w:rPr>
                <w:rFonts w:cstheme="minorHAnsi"/>
                <w:b/>
                <w:bCs/>
              </w:rPr>
              <w:t>Kiribati</w:t>
            </w:r>
          </w:p>
        </w:tc>
        <w:tc>
          <w:tcPr>
            <w:tcW w:w="1462" w:type="dxa"/>
            <w:shd w:val="clear" w:color="auto" w:fill="FF0000"/>
          </w:tcPr>
          <w:p w14:paraId="037C5506" w14:textId="77777777" w:rsidR="0084201F" w:rsidRPr="00D57C05" w:rsidRDefault="0084201F" w:rsidP="009E0765">
            <w:pPr>
              <w:pStyle w:val="NoSpacing"/>
              <w:rPr>
                <w:rFonts w:cstheme="minorHAnsi"/>
                <w:b/>
                <w:bCs/>
              </w:rPr>
            </w:pPr>
            <w:r w:rsidRPr="00D57C05">
              <w:rPr>
                <w:rFonts w:cstheme="minorHAnsi"/>
                <w:b/>
                <w:bCs/>
              </w:rPr>
              <w:t>Samoa</w:t>
            </w:r>
          </w:p>
        </w:tc>
        <w:tc>
          <w:tcPr>
            <w:tcW w:w="1377" w:type="dxa"/>
            <w:shd w:val="clear" w:color="auto" w:fill="FF0000"/>
          </w:tcPr>
          <w:p w14:paraId="53D68A77" w14:textId="77777777" w:rsidR="0084201F" w:rsidRPr="00D57C05" w:rsidRDefault="0084201F" w:rsidP="009E0765">
            <w:pPr>
              <w:pStyle w:val="NoSpacing"/>
              <w:rPr>
                <w:rFonts w:cstheme="minorHAnsi"/>
                <w:b/>
                <w:bCs/>
              </w:rPr>
            </w:pPr>
            <w:r w:rsidRPr="00D57C05">
              <w:rPr>
                <w:rFonts w:cstheme="minorHAnsi"/>
                <w:b/>
                <w:bCs/>
              </w:rPr>
              <w:t>Solomon Islands</w:t>
            </w:r>
          </w:p>
        </w:tc>
        <w:tc>
          <w:tcPr>
            <w:tcW w:w="1220" w:type="dxa"/>
            <w:shd w:val="clear" w:color="auto" w:fill="FF0000"/>
          </w:tcPr>
          <w:p w14:paraId="688AD56A" w14:textId="77777777" w:rsidR="0084201F" w:rsidRPr="00D57C05" w:rsidRDefault="0084201F" w:rsidP="009E0765">
            <w:pPr>
              <w:pStyle w:val="NoSpacing"/>
              <w:rPr>
                <w:rFonts w:cstheme="minorHAnsi"/>
                <w:b/>
                <w:bCs/>
              </w:rPr>
            </w:pPr>
            <w:r w:rsidRPr="00D57C05">
              <w:rPr>
                <w:rFonts w:cstheme="minorHAnsi"/>
                <w:b/>
                <w:bCs/>
              </w:rPr>
              <w:t>Tonga</w:t>
            </w:r>
          </w:p>
        </w:tc>
        <w:tc>
          <w:tcPr>
            <w:tcW w:w="1343" w:type="dxa"/>
            <w:shd w:val="clear" w:color="auto" w:fill="FF0000"/>
          </w:tcPr>
          <w:p w14:paraId="312A29B6" w14:textId="77777777" w:rsidR="0084201F" w:rsidRPr="00D57C05" w:rsidRDefault="0084201F" w:rsidP="009E0765">
            <w:pPr>
              <w:pStyle w:val="NoSpacing"/>
              <w:rPr>
                <w:rFonts w:cstheme="minorHAnsi"/>
                <w:b/>
                <w:bCs/>
              </w:rPr>
            </w:pPr>
            <w:r w:rsidRPr="00D57C05">
              <w:rPr>
                <w:rFonts w:cstheme="minorHAnsi"/>
                <w:b/>
                <w:bCs/>
              </w:rPr>
              <w:t>Vanuatu</w:t>
            </w:r>
          </w:p>
        </w:tc>
        <w:tc>
          <w:tcPr>
            <w:tcW w:w="1338" w:type="dxa"/>
            <w:shd w:val="clear" w:color="auto" w:fill="FF0000"/>
          </w:tcPr>
          <w:p w14:paraId="398EFBAA" w14:textId="77777777" w:rsidR="0084201F" w:rsidRPr="00D57C05" w:rsidRDefault="0084201F" w:rsidP="009E0765">
            <w:pPr>
              <w:pStyle w:val="NoSpacing"/>
              <w:rPr>
                <w:rFonts w:cstheme="minorHAnsi"/>
                <w:b/>
                <w:bCs/>
              </w:rPr>
            </w:pPr>
            <w:r w:rsidRPr="00D57C05">
              <w:rPr>
                <w:rFonts w:cstheme="minorHAnsi"/>
                <w:b/>
                <w:bCs/>
              </w:rPr>
              <w:t>Regional IPs</w:t>
            </w:r>
          </w:p>
        </w:tc>
      </w:tr>
      <w:tr w:rsidR="00BF1949" w:rsidRPr="0010030A" w14:paraId="5A6F6024" w14:textId="77777777" w:rsidTr="009E0765">
        <w:trPr>
          <w:trHeight w:val="6592"/>
        </w:trPr>
        <w:tc>
          <w:tcPr>
            <w:tcW w:w="1162" w:type="dxa"/>
          </w:tcPr>
          <w:p w14:paraId="2F7807CC" w14:textId="77777777" w:rsidR="0084201F" w:rsidRDefault="0084201F" w:rsidP="009E0765">
            <w:pPr>
              <w:pStyle w:val="NoSpacing"/>
              <w:rPr>
                <w:rFonts w:cstheme="minorHAnsi"/>
                <w:sz w:val="20"/>
                <w:szCs w:val="20"/>
              </w:rPr>
            </w:pPr>
            <w:r w:rsidRPr="0010030A">
              <w:rPr>
                <w:rFonts w:cstheme="minorHAnsi"/>
                <w:sz w:val="20"/>
                <w:szCs w:val="20"/>
              </w:rPr>
              <w:t>Ministry of Health</w:t>
            </w:r>
            <w:r>
              <w:rPr>
                <w:rFonts w:cstheme="minorHAnsi"/>
                <w:sz w:val="20"/>
                <w:szCs w:val="20"/>
              </w:rPr>
              <w:t xml:space="preserve"> (MOH)</w:t>
            </w:r>
          </w:p>
          <w:p w14:paraId="2ACFE33E" w14:textId="77777777" w:rsidR="0084201F" w:rsidRPr="0010030A" w:rsidRDefault="0084201F" w:rsidP="009E0765">
            <w:pPr>
              <w:pStyle w:val="NoSpacing"/>
              <w:rPr>
                <w:rFonts w:cstheme="minorHAnsi"/>
                <w:sz w:val="20"/>
                <w:szCs w:val="20"/>
              </w:rPr>
            </w:pPr>
          </w:p>
          <w:p w14:paraId="044D9BF7" w14:textId="77777777" w:rsidR="0084201F" w:rsidRDefault="0084201F" w:rsidP="009E0765">
            <w:pPr>
              <w:pStyle w:val="NoSpacing"/>
              <w:rPr>
                <w:rFonts w:cstheme="minorHAnsi"/>
                <w:color w:val="211D1E"/>
                <w:sz w:val="20"/>
                <w:szCs w:val="20"/>
              </w:rPr>
            </w:pPr>
            <w:r w:rsidRPr="0010030A">
              <w:rPr>
                <w:rFonts w:cstheme="minorHAnsi"/>
                <w:sz w:val="20"/>
                <w:szCs w:val="20"/>
              </w:rPr>
              <w:t xml:space="preserve">Ministry of Women, </w:t>
            </w:r>
            <w:r w:rsidRPr="0010030A">
              <w:rPr>
                <w:rFonts w:cstheme="minorHAnsi"/>
                <w:color w:val="211D1E"/>
                <w:sz w:val="20"/>
                <w:szCs w:val="20"/>
              </w:rPr>
              <w:t>Children and Poverty Alleviation</w:t>
            </w:r>
          </w:p>
          <w:p w14:paraId="30650F6C" w14:textId="77777777" w:rsidR="0084201F" w:rsidRPr="0010030A" w:rsidRDefault="0084201F" w:rsidP="009E0765">
            <w:pPr>
              <w:pStyle w:val="NoSpacing"/>
              <w:rPr>
                <w:rFonts w:cstheme="minorHAnsi"/>
                <w:sz w:val="20"/>
                <w:szCs w:val="20"/>
              </w:rPr>
            </w:pPr>
            <w:r>
              <w:rPr>
                <w:rFonts w:cstheme="minorHAnsi"/>
                <w:color w:val="211D1E"/>
                <w:sz w:val="20"/>
                <w:szCs w:val="20"/>
              </w:rPr>
              <w:t>(MWCPA)</w:t>
            </w:r>
          </w:p>
          <w:p w14:paraId="300D8105" w14:textId="77777777" w:rsidR="0084201F" w:rsidRDefault="0084201F" w:rsidP="009E0765">
            <w:pPr>
              <w:pStyle w:val="NoSpacing"/>
              <w:rPr>
                <w:rFonts w:cstheme="minorHAnsi"/>
                <w:sz w:val="20"/>
                <w:szCs w:val="20"/>
              </w:rPr>
            </w:pPr>
          </w:p>
          <w:p w14:paraId="111B6E0B" w14:textId="77777777" w:rsidR="0084201F" w:rsidRPr="0010030A" w:rsidRDefault="0084201F" w:rsidP="009E0765">
            <w:pPr>
              <w:pStyle w:val="NoSpacing"/>
              <w:rPr>
                <w:rFonts w:cstheme="minorHAnsi"/>
                <w:sz w:val="20"/>
                <w:szCs w:val="20"/>
              </w:rPr>
            </w:pPr>
            <w:r w:rsidRPr="0010030A">
              <w:rPr>
                <w:rFonts w:cstheme="minorHAnsi"/>
                <w:sz w:val="20"/>
                <w:szCs w:val="20"/>
              </w:rPr>
              <w:t>Ministry of Youth</w:t>
            </w:r>
            <w:r>
              <w:rPr>
                <w:rFonts w:cstheme="minorHAnsi"/>
                <w:sz w:val="20"/>
                <w:szCs w:val="20"/>
              </w:rPr>
              <w:t xml:space="preserve"> (MOY)</w:t>
            </w:r>
          </w:p>
        </w:tc>
        <w:tc>
          <w:tcPr>
            <w:tcW w:w="1114" w:type="dxa"/>
          </w:tcPr>
          <w:p w14:paraId="64594B93" w14:textId="77777777" w:rsidR="0084201F" w:rsidRDefault="0084201F" w:rsidP="009E0765">
            <w:pPr>
              <w:pStyle w:val="NoSpacing"/>
              <w:rPr>
                <w:rFonts w:cstheme="minorHAnsi"/>
                <w:sz w:val="20"/>
                <w:szCs w:val="20"/>
              </w:rPr>
            </w:pPr>
            <w:r w:rsidRPr="0010030A">
              <w:rPr>
                <w:rFonts w:cstheme="minorHAnsi"/>
                <w:sz w:val="20"/>
                <w:szCs w:val="20"/>
              </w:rPr>
              <w:t>Ministry of Health and Medical Services</w:t>
            </w:r>
          </w:p>
          <w:p w14:paraId="50B52D5A" w14:textId="77777777" w:rsidR="0084201F" w:rsidRPr="0010030A" w:rsidRDefault="0084201F" w:rsidP="009E0765">
            <w:pPr>
              <w:pStyle w:val="NoSpacing"/>
              <w:rPr>
                <w:rFonts w:cstheme="minorHAnsi"/>
                <w:sz w:val="20"/>
                <w:szCs w:val="20"/>
              </w:rPr>
            </w:pPr>
            <w:r>
              <w:rPr>
                <w:rFonts w:cstheme="minorHAnsi"/>
                <w:sz w:val="20"/>
                <w:szCs w:val="20"/>
              </w:rPr>
              <w:t>(MHMS)</w:t>
            </w:r>
          </w:p>
          <w:p w14:paraId="5199C590" w14:textId="77777777" w:rsidR="0084201F" w:rsidRDefault="0084201F" w:rsidP="009E0765">
            <w:pPr>
              <w:pStyle w:val="NoSpacing"/>
              <w:rPr>
                <w:rFonts w:cstheme="minorHAnsi"/>
                <w:sz w:val="20"/>
                <w:szCs w:val="20"/>
              </w:rPr>
            </w:pPr>
          </w:p>
          <w:p w14:paraId="133D066C" w14:textId="77777777" w:rsidR="0084201F" w:rsidRPr="0010030A" w:rsidRDefault="0084201F" w:rsidP="009E0765">
            <w:pPr>
              <w:pStyle w:val="NoSpacing"/>
              <w:rPr>
                <w:rFonts w:cstheme="minorHAnsi"/>
                <w:sz w:val="20"/>
                <w:szCs w:val="20"/>
              </w:rPr>
            </w:pPr>
            <w:r w:rsidRPr="0010030A">
              <w:rPr>
                <w:rFonts w:cstheme="minorHAnsi"/>
                <w:sz w:val="20"/>
                <w:szCs w:val="20"/>
              </w:rPr>
              <w:t>National Statistics Office</w:t>
            </w:r>
            <w:r>
              <w:rPr>
                <w:rFonts w:cstheme="minorHAnsi"/>
                <w:sz w:val="20"/>
                <w:szCs w:val="20"/>
              </w:rPr>
              <w:t xml:space="preserve"> (NSO)</w:t>
            </w:r>
          </w:p>
          <w:p w14:paraId="272C204C" w14:textId="77777777" w:rsidR="0084201F" w:rsidRDefault="0084201F" w:rsidP="009E0765">
            <w:pPr>
              <w:pStyle w:val="NoSpacing"/>
              <w:rPr>
                <w:rFonts w:cstheme="minorHAnsi"/>
                <w:sz w:val="20"/>
                <w:szCs w:val="20"/>
              </w:rPr>
            </w:pPr>
          </w:p>
          <w:p w14:paraId="62DFCCE3" w14:textId="77777777" w:rsidR="0084201F" w:rsidRPr="0010030A" w:rsidRDefault="0084201F" w:rsidP="009E0765">
            <w:pPr>
              <w:pStyle w:val="NoSpacing"/>
              <w:rPr>
                <w:rFonts w:cstheme="minorHAnsi"/>
                <w:sz w:val="20"/>
                <w:szCs w:val="20"/>
              </w:rPr>
            </w:pPr>
            <w:r w:rsidRPr="0010030A">
              <w:rPr>
                <w:rFonts w:cstheme="minorHAnsi"/>
                <w:sz w:val="20"/>
                <w:szCs w:val="20"/>
              </w:rPr>
              <w:t xml:space="preserve">Ministry of Women, </w:t>
            </w:r>
            <w:r w:rsidRPr="0010030A">
              <w:rPr>
                <w:rFonts w:eastAsia="Calibri" w:cstheme="minorHAnsi"/>
                <w:sz w:val="20"/>
                <w:szCs w:val="20"/>
                <w:highlight w:val="white"/>
              </w:rPr>
              <w:t>Youth, Sports and Social Affairs</w:t>
            </w:r>
          </w:p>
          <w:p w14:paraId="3EC41308" w14:textId="77777777" w:rsidR="0084201F" w:rsidRDefault="0084201F" w:rsidP="009E0765">
            <w:pPr>
              <w:pStyle w:val="NoSpacing"/>
              <w:rPr>
                <w:rFonts w:cstheme="minorHAnsi"/>
                <w:sz w:val="20"/>
                <w:szCs w:val="20"/>
              </w:rPr>
            </w:pPr>
            <w:r>
              <w:rPr>
                <w:rFonts w:cstheme="minorHAnsi"/>
                <w:sz w:val="20"/>
                <w:szCs w:val="20"/>
              </w:rPr>
              <w:t>(MWYSSA)</w:t>
            </w:r>
          </w:p>
          <w:p w14:paraId="031AE956" w14:textId="77777777" w:rsidR="0084201F" w:rsidRDefault="0084201F" w:rsidP="009E0765">
            <w:pPr>
              <w:pStyle w:val="NoSpacing"/>
              <w:rPr>
                <w:rFonts w:cstheme="minorHAnsi"/>
                <w:sz w:val="20"/>
                <w:szCs w:val="20"/>
              </w:rPr>
            </w:pPr>
          </w:p>
          <w:p w14:paraId="3A762A09" w14:textId="77777777" w:rsidR="0084201F" w:rsidRPr="0010030A" w:rsidRDefault="0084201F" w:rsidP="009E0765">
            <w:pPr>
              <w:pStyle w:val="NoSpacing"/>
              <w:rPr>
                <w:rFonts w:cstheme="minorHAnsi"/>
                <w:sz w:val="20"/>
                <w:szCs w:val="20"/>
              </w:rPr>
            </w:pPr>
            <w:r w:rsidRPr="0010030A">
              <w:rPr>
                <w:rFonts w:cstheme="minorHAnsi"/>
                <w:sz w:val="20"/>
                <w:szCs w:val="20"/>
              </w:rPr>
              <w:t>Ministry of Education</w:t>
            </w:r>
            <w:r>
              <w:rPr>
                <w:rFonts w:cstheme="minorHAnsi"/>
                <w:sz w:val="20"/>
                <w:szCs w:val="20"/>
              </w:rPr>
              <w:t xml:space="preserve"> (MOE)</w:t>
            </w:r>
          </w:p>
        </w:tc>
        <w:tc>
          <w:tcPr>
            <w:tcW w:w="1462" w:type="dxa"/>
          </w:tcPr>
          <w:p w14:paraId="62377209" w14:textId="77777777" w:rsidR="0084201F" w:rsidRDefault="0084201F" w:rsidP="009E0765">
            <w:pPr>
              <w:pStyle w:val="NoSpacing"/>
              <w:rPr>
                <w:rFonts w:cstheme="minorHAnsi"/>
                <w:sz w:val="20"/>
                <w:szCs w:val="20"/>
              </w:rPr>
            </w:pPr>
            <w:r w:rsidRPr="0010030A">
              <w:rPr>
                <w:rFonts w:cstheme="minorHAnsi"/>
                <w:sz w:val="20"/>
                <w:szCs w:val="20"/>
              </w:rPr>
              <w:t>Ministry of Finance (non-implementing)</w:t>
            </w:r>
          </w:p>
          <w:p w14:paraId="041EC127" w14:textId="77777777" w:rsidR="0084201F" w:rsidRPr="0010030A" w:rsidRDefault="0084201F" w:rsidP="009E0765">
            <w:pPr>
              <w:pStyle w:val="NoSpacing"/>
              <w:rPr>
                <w:rFonts w:cstheme="minorHAnsi"/>
                <w:sz w:val="20"/>
                <w:szCs w:val="20"/>
              </w:rPr>
            </w:pPr>
            <w:r>
              <w:rPr>
                <w:rFonts w:cstheme="minorHAnsi"/>
                <w:sz w:val="20"/>
                <w:szCs w:val="20"/>
              </w:rPr>
              <w:t>(MOF)</w:t>
            </w:r>
          </w:p>
          <w:p w14:paraId="2AE4AEA4" w14:textId="77777777" w:rsidR="0084201F" w:rsidRDefault="0084201F" w:rsidP="009E0765">
            <w:pPr>
              <w:pStyle w:val="NoSpacing"/>
              <w:rPr>
                <w:rFonts w:cstheme="minorHAnsi"/>
                <w:sz w:val="20"/>
                <w:szCs w:val="20"/>
              </w:rPr>
            </w:pPr>
          </w:p>
          <w:p w14:paraId="220C8945" w14:textId="77777777" w:rsidR="0084201F" w:rsidRPr="0010030A" w:rsidRDefault="0084201F" w:rsidP="009E0765">
            <w:pPr>
              <w:pStyle w:val="NoSpacing"/>
              <w:rPr>
                <w:rFonts w:cstheme="minorHAnsi"/>
                <w:sz w:val="20"/>
                <w:szCs w:val="20"/>
              </w:rPr>
            </w:pPr>
            <w:r w:rsidRPr="0010030A">
              <w:rPr>
                <w:rFonts w:cstheme="minorHAnsi"/>
                <w:sz w:val="20"/>
                <w:szCs w:val="20"/>
              </w:rPr>
              <w:t>Ministry of Health</w:t>
            </w:r>
            <w:r>
              <w:rPr>
                <w:rFonts w:cstheme="minorHAnsi"/>
                <w:sz w:val="20"/>
                <w:szCs w:val="20"/>
              </w:rPr>
              <w:t xml:space="preserve"> (MOH)</w:t>
            </w:r>
          </w:p>
          <w:p w14:paraId="55FADEAD" w14:textId="77777777" w:rsidR="0084201F" w:rsidRDefault="0084201F" w:rsidP="009E0765">
            <w:pPr>
              <w:pStyle w:val="NoSpacing"/>
              <w:rPr>
                <w:rFonts w:cstheme="minorHAnsi"/>
                <w:sz w:val="20"/>
                <w:szCs w:val="20"/>
              </w:rPr>
            </w:pPr>
          </w:p>
          <w:p w14:paraId="143D7F0C" w14:textId="77777777" w:rsidR="0084201F" w:rsidRDefault="0084201F" w:rsidP="009E0765">
            <w:pPr>
              <w:pStyle w:val="NoSpacing"/>
              <w:rPr>
                <w:rFonts w:eastAsia="Calibri" w:cstheme="minorHAnsi"/>
                <w:sz w:val="20"/>
                <w:szCs w:val="20"/>
              </w:rPr>
            </w:pPr>
            <w:r w:rsidRPr="0010030A">
              <w:rPr>
                <w:rFonts w:cstheme="minorHAnsi"/>
                <w:sz w:val="20"/>
                <w:szCs w:val="20"/>
              </w:rPr>
              <w:t xml:space="preserve">Ministry of </w:t>
            </w:r>
            <w:r w:rsidRPr="0010030A">
              <w:rPr>
                <w:rFonts w:eastAsia="Calibri" w:cstheme="minorHAnsi"/>
                <w:sz w:val="20"/>
                <w:szCs w:val="20"/>
              </w:rPr>
              <w:t>Women, Community and Social Development</w:t>
            </w:r>
          </w:p>
          <w:p w14:paraId="163FADED" w14:textId="77777777" w:rsidR="0084201F" w:rsidRPr="0010030A" w:rsidRDefault="0084201F" w:rsidP="009E0765">
            <w:pPr>
              <w:pStyle w:val="NoSpacing"/>
              <w:rPr>
                <w:rFonts w:cstheme="minorHAnsi"/>
                <w:sz w:val="20"/>
                <w:szCs w:val="20"/>
              </w:rPr>
            </w:pPr>
            <w:r>
              <w:rPr>
                <w:rFonts w:eastAsia="Calibri" w:cstheme="minorHAnsi"/>
                <w:sz w:val="20"/>
                <w:szCs w:val="20"/>
              </w:rPr>
              <w:t>(MWCSD)</w:t>
            </w:r>
          </w:p>
          <w:p w14:paraId="24002A47" w14:textId="77777777" w:rsidR="0084201F" w:rsidRDefault="0084201F" w:rsidP="009E0765">
            <w:pPr>
              <w:pStyle w:val="NoSpacing"/>
              <w:rPr>
                <w:rFonts w:cstheme="minorHAnsi"/>
                <w:sz w:val="20"/>
                <w:szCs w:val="20"/>
              </w:rPr>
            </w:pPr>
          </w:p>
          <w:p w14:paraId="35629CB7" w14:textId="77777777" w:rsidR="0084201F" w:rsidRPr="0010030A" w:rsidRDefault="0084201F" w:rsidP="009E0765">
            <w:pPr>
              <w:pStyle w:val="NoSpacing"/>
              <w:rPr>
                <w:rFonts w:cstheme="minorHAnsi"/>
                <w:sz w:val="20"/>
                <w:szCs w:val="20"/>
              </w:rPr>
            </w:pPr>
            <w:r w:rsidRPr="0010030A">
              <w:rPr>
                <w:rFonts w:cstheme="minorHAnsi"/>
                <w:sz w:val="20"/>
                <w:szCs w:val="20"/>
              </w:rPr>
              <w:t>Ministry of E</w:t>
            </w:r>
            <w:r w:rsidRPr="0010030A">
              <w:rPr>
                <w:rFonts w:cstheme="minorHAnsi"/>
                <w:sz w:val="20"/>
                <w:szCs w:val="20"/>
                <w:highlight w:val="white"/>
              </w:rPr>
              <w:t>ducation, Sport and Culture</w:t>
            </w:r>
            <w:r>
              <w:rPr>
                <w:rFonts w:cstheme="minorHAnsi"/>
                <w:sz w:val="20"/>
                <w:szCs w:val="20"/>
              </w:rPr>
              <w:t xml:space="preserve"> (MESC)</w:t>
            </w:r>
          </w:p>
          <w:p w14:paraId="2322F7CB" w14:textId="77777777" w:rsidR="0084201F" w:rsidRDefault="0084201F" w:rsidP="009E0765">
            <w:pPr>
              <w:pStyle w:val="NoSpacing"/>
              <w:rPr>
                <w:rFonts w:cstheme="minorHAnsi"/>
                <w:sz w:val="20"/>
                <w:szCs w:val="20"/>
              </w:rPr>
            </w:pPr>
          </w:p>
          <w:p w14:paraId="0F88DC06" w14:textId="77777777" w:rsidR="0084201F" w:rsidRPr="0010030A" w:rsidRDefault="0084201F" w:rsidP="009E0765">
            <w:pPr>
              <w:pStyle w:val="NoSpacing"/>
              <w:rPr>
                <w:rFonts w:cstheme="minorHAnsi"/>
                <w:sz w:val="20"/>
                <w:szCs w:val="20"/>
              </w:rPr>
            </w:pPr>
            <w:r w:rsidRPr="0010030A">
              <w:rPr>
                <w:rFonts w:cstheme="minorHAnsi"/>
                <w:sz w:val="20"/>
                <w:szCs w:val="20"/>
              </w:rPr>
              <w:t>Samoa Bureau of Statistics</w:t>
            </w:r>
            <w:r>
              <w:rPr>
                <w:rFonts w:cstheme="minorHAnsi"/>
                <w:sz w:val="20"/>
                <w:szCs w:val="20"/>
              </w:rPr>
              <w:t xml:space="preserve"> (SBS)</w:t>
            </w:r>
          </w:p>
          <w:p w14:paraId="106D8B47" w14:textId="77777777" w:rsidR="0084201F" w:rsidRDefault="0084201F" w:rsidP="009E0765">
            <w:pPr>
              <w:pStyle w:val="NoSpacing"/>
              <w:rPr>
                <w:rFonts w:cstheme="minorHAnsi"/>
                <w:sz w:val="20"/>
                <w:szCs w:val="20"/>
              </w:rPr>
            </w:pPr>
          </w:p>
          <w:p w14:paraId="5584E601" w14:textId="77777777" w:rsidR="0084201F" w:rsidRPr="0010030A" w:rsidRDefault="0084201F" w:rsidP="009E0765">
            <w:pPr>
              <w:pStyle w:val="NoSpacing"/>
              <w:rPr>
                <w:rFonts w:cstheme="minorHAnsi"/>
                <w:sz w:val="20"/>
                <w:szCs w:val="20"/>
              </w:rPr>
            </w:pPr>
            <w:r w:rsidRPr="0010030A">
              <w:rPr>
                <w:rFonts w:cstheme="minorHAnsi"/>
                <w:sz w:val="20"/>
                <w:szCs w:val="20"/>
              </w:rPr>
              <w:t>National Human Rights Institute</w:t>
            </w:r>
            <w:r>
              <w:rPr>
                <w:rFonts w:cstheme="minorHAnsi"/>
                <w:sz w:val="20"/>
                <w:szCs w:val="20"/>
              </w:rPr>
              <w:t xml:space="preserve"> (NHRI)</w:t>
            </w:r>
          </w:p>
          <w:p w14:paraId="66788B94" w14:textId="77777777" w:rsidR="0084201F" w:rsidRDefault="0084201F" w:rsidP="009E0765">
            <w:pPr>
              <w:pStyle w:val="NoSpacing"/>
              <w:rPr>
                <w:rFonts w:cstheme="minorHAnsi"/>
                <w:sz w:val="20"/>
                <w:szCs w:val="20"/>
              </w:rPr>
            </w:pPr>
          </w:p>
          <w:p w14:paraId="398F9717" w14:textId="77777777" w:rsidR="0084201F" w:rsidRPr="0010030A" w:rsidRDefault="0084201F" w:rsidP="009E0765">
            <w:pPr>
              <w:pStyle w:val="NoSpacing"/>
              <w:rPr>
                <w:rFonts w:cstheme="minorHAnsi"/>
                <w:sz w:val="20"/>
                <w:szCs w:val="20"/>
              </w:rPr>
            </w:pPr>
            <w:r w:rsidRPr="0010030A">
              <w:rPr>
                <w:rFonts w:cstheme="minorHAnsi"/>
                <w:sz w:val="20"/>
                <w:szCs w:val="20"/>
              </w:rPr>
              <w:t>Samoa Family Health Association</w:t>
            </w:r>
          </w:p>
          <w:p w14:paraId="54A41D87" w14:textId="77777777" w:rsidR="0084201F" w:rsidRDefault="0084201F" w:rsidP="009E0765">
            <w:pPr>
              <w:pStyle w:val="NoSpacing"/>
              <w:rPr>
                <w:rFonts w:cstheme="minorHAnsi"/>
                <w:sz w:val="20"/>
                <w:szCs w:val="20"/>
              </w:rPr>
            </w:pPr>
            <w:r>
              <w:rPr>
                <w:rFonts w:cstheme="minorHAnsi"/>
                <w:sz w:val="20"/>
                <w:szCs w:val="20"/>
              </w:rPr>
              <w:t>(SFHA)</w:t>
            </w:r>
          </w:p>
          <w:p w14:paraId="370DAB85" w14:textId="77777777" w:rsidR="0084201F" w:rsidRDefault="0084201F" w:rsidP="009E0765">
            <w:pPr>
              <w:pStyle w:val="NoSpacing"/>
              <w:rPr>
                <w:rFonts w:cstheme="minorHAnsi"/>
                <w:sz w:val="20"/>
                <w:szCs w:val="20"/>
              </w:rPr>
            </w:pPr>
          </w:p>
          <w:p w14:paraId="2279E13D" w14:textId="77777777" w:rsidR="0084201F" w:rsidRPr="0010030A" w:rsidRDefault="0084201F" w:rsidP="009E0765">
            <w:pPr>
              <w:pStyle w:val="NoSpacing"/>
              <w:rPr>
                <w:rFonts w:cstheme="minorHAnsi"/>
                <w:sz w:val="20"/>
                <w:szCs w:val="20"/>
              </w:rPr>
            </w:pPr>
            <w:r w:rsidRPr="0010030A">
              <w:rPr>
                <w:rFonts w:cstheme="minorHAnsi"/>
                <w:sz w:val="20"/>
                <w:szCs w:val="20"/>
              </w:rPr>
              <w:t>Samoa Red Cross Society</w:t>
            </w:r>
          </w:p>
          <w:p w14:paraId="38C2A56C" w14:textId="77777777" w:rsidR="0084201F" w:rsidRDefault="0084201F" w:rsidP="009E0765">
            <w:pPr>
              <w:pStyle w:val="NoSpacing"/>
              <w:rPr>
                <w:rFonts w:cstheme="minorHAnsi"/>
                <w:sz w:val="20"/>
                <w:szCs w:val="20"/>
              </w:rPr>
            </w:pPr>
            <w:r>
              <w:rPr>
                <w:rFonts w:cstheme="minorHAnsi"/>
                <w:sz w:val="20"/>
                <w:szCs w:val="20"/>
              </w:rPr>
              <w:t>(SRCS)</w:t>
            </w:r>
          </w:p>
          <w:p w14:paraId="1E50E5EC" w14:textId="77777777" w:rsidR="0084201F" w:rsidRDefault="0084201F" w:rsidP="009E0765">
            <w:pPr>
              <w:pStyle w:val="NoSpacing"/>
              <w:rPr>
                <w:rFonts w:cstheme="minorHAnsi"/>
                <w:sz w:val="20"/>
                <w:szCs w:val="20"/>
              </w:rPr>
            </w:pPr>
          </w:p>
          <w:p w14:paraId="20913F5D" w14:textId="77777777" w:rsidR="0084201F" w:rsidRPr="0010030A" w:rsidRDefault="0084201F" w:rsidP="009E0765">
            <w:pPr>
              <w:pStyle w:val="NoSpacing"/>
              <w:rPr>
                <w:rFonts w:cstheme="minorHAnsi"/>
                <w:sz w:val="20"/>
                <w:szCs w:val="20"/>
              </w:rPr>
            </w:pPr>
            <w:r w:rsidRPr="0010030A">
              <w:rPr>
                <w:rFonts w:cstheme="minorHAnsi"/>
                <w:sz w:val="20"/>
                <w:szCs w:val="20"/>
              </w:rPr>
              <w:t xml:space="preserve">Samoa </w:t>
            </w:r>
            <w:proofErr w:type="spellStart"/>
            <w:r w:rsidRPr="0010030A">
              <w:rPr>
                <w:rFonts w:cstheme="minorHAnsi"/>
                <w:sz w:val="20"/>
                <w:szCs w:val="20"/>
              </w:rPr>
              <w:t>Faafafine</w:t>
            </w:r>
            <w:proofErr w:type="spellEnd"/>
            <w:r w:rsidRPr="0010030A">
              <w:rPr>
                <w:rFonts w:cstheme="minorHAnsi"/>
                <w:sz w:val="20"/>
                <w:szCs w:val="20"/>
              </w:rPr>
              <w:t xml:space="preserve"> Association</w:t>
            </w:r>
            <w:r>
              <w:rPr>
                <w:rFonts w:cstheme="minorHAnsi"/>
                <w:sz w:val="20"/>
                <w:szCs w:val="20"/>
              </w:rPr>
              <w:t xml:space="preserve"> (SFA)</w:t>
            </w:r>
          </w:p>
        </w:tc>
        <w:tc>
          <w:tcPr>
            <w:tcW w:w="1377" w:type="dxa"/>
          </w:tcPr>
          <w:p w14:paraId="7F38A833" w14:textId="77777777" w:rsidR="0084201F" w:rsidRDefault="0084201F" w:rsidP="009E0765">
            <w:pPr>
              <w:pStyle w:val="NoSpacing"/>
              <w:rPr>
                <w:rFonts w:cstheme="minorHAnsi"/>
                <w:sz w:val="20"/>
                <w:szCs w:val="20"/>
              </w:rPr>
            </w:pPr>
            <w:r w:rsidRPr="0010030A">
              <w:rPr>
                <w:rFonts w:cstheme="minorHAnsi"/>
                <w:sz w:val="20"/>
                <w:szCs w:val="20"/>
              </w:rPr>
              <w:t>Ministry of Health and Medical Services</w:t>
            </w:r>
          </w:p>
          <w:p w14:paraId="3B99AF6D" w14:textId="77777777" w:rsidR="0084201F" w:rsidRPr="0010030A" w:rsidRDefault="0084201F" w:rsidP="009E0765">
            <w:pPr>
              <w:pStyle w:val="NoSpacing"/>
              <w:rPr>
                <w:rFonts w:cstheme="minorHAnsi"/>
                <w:sz w:val="20"/>
                <w:szCs w:val="20"/>
              </w:rPr>
            </w:pPr>
            <w:r>
              <w:rPr>
                <w:rFonts w:cstheme="minorHAnsi"/>
                <w:sz w:val="20"/>
                <w:szCs w:val="20"/>
              </w:rPr>
              <w:t>(MHMS)</w:t>
            </w:r>
          </w:p>
          <w:p w14:paraId="11EBCF07" w14:textId="77777777" w:rsidR="0084201F" w:rsidRDefault="0084201F" w:rsidP="009E0765">
            <w:pPr>
              <w:pStyle w:val="NoSpacing"/>
              <w:rPr>
                <w:rFonts w:cstheme="minorHAnsi"/>
                <w:sz w:val="20"/>
                <w:szCs w:val="20"/>
              </w:rPr>
            </w:pPr>
          </w:p>
          <w:p w14:paraId="1E71FEA3" w14:textId="77777777" w:rsidR="0084201F" w:rsidRPr="0010030A" w:rsidRDefault="0084201F" w:rsidP="009E0765">
            <w:pPr>
              <w:pStyle w:val="NoSpacing"/>
              <w:rPr>
                <w:rFonts w:cstheme="minorHAnsi"/>
                <w:sz w:val="20"/>
                <w:szCs w:val="20"/>
              </w:rPr>
            </w:pPr>
            <w:r w:rsidRPr="0010030A">
              <w:rPr>
                <w:rFonts w:cstheme="minorHAnsi"/>
                <w:sz w:val="20"/>
                <w:szCs w:val="20"/>
              </w:rPr>
              <w:t xml:space="preserve">Ministry of </w:t>
            </w:r>
            <w:r w:rsidR="00BF1949">
              <w:rPr>
                <w:rFonts w:cstheme="minorHAnsi"/>
                <w:sz w:val="20"/>
                <w:szCs w:val="20"/>
              </w:rPr>
              <w:t xml:space="preserve">National Planning and Development </w:t>
            </w:r>
            <w:r w:rsidR="00940D4C">
              <w:rPr>
                <w:rFonts w:cstheme="minorHAnsi"/>
                <w:sz w:val="20"/>
                <w:szCs w:val="20"/>
              </w:rPr>
              <w:t>Coordination (</w:t>
            </w:r>
            <w:r w:rsidR="00BF1949">
              <w:rPr>
                <w:rFonts w:cstheme="minorHAnsi"/>
                <w:sz w:val="20"/>
                <w:szCs w:val="20"/>
              </w:rPr>
              <w:t xml:space="preserve">MNPDC) </w:t>
            </w:r>
          </w:p>
          <w:p w14:paraId="16426472" w14:textId="77777777" w:rsidR="0084201F" w:rsidRDefault="0084201F" w:rsidP="009E0765">
            <w:pPr>
              <w:pStyle w:val="NoSpacing"/>
              <w:rPr>
                <w:rFonts w:cstheme="minorHAnsi"/>
                <w:sz w:val="20"/>
                <w:szCs w:val="20"/>
              </w:rPr>
            </w:pPr>
          </w:p>
          <w:p w14:paraId="0C1429DB" w14:textId="77777777" w:rsidR="0084201F" w:rsidRDefault="0084201F" w:rsidP="009E0765">
            <w:pPr>
              <w:pStyle w:val="NoSpacing"/>
              <w:rPr>
                <w:rFonts w:cstheme="minorHAnsi"/>
                <w:sz w:val="20"/>
                <w:szCs w:val="20"/>
              </w:rPr>
            </w:pPr>
          </w:p>
          <w:p w14:paraId="7C967220" w14:textId="77777777" w:rsidR="0084201F" w:rsidRPr="0010030A" w:rsidRDefault="0084201F" w:rsidP="009E0765">
            <w:pPr>
              <w:pStyle w:val="NoSpacing"/>
              <w:rPr>
                <w:rFonts w:cstheme="minorHAnsi"/>
                <w:sz w:val="20"/>
                <w:szCs w:val="20"/>
              </w:rPr>
            </w:pPr>
            <w:r w:rsidRPr="0010030A">
              <w:rPr>
                <w:rFonts w:cstheme="minorHAnsi"/>
                <w:sz w:val="20"/>
                <w:szCs w:val="20"/>
              </w:rPr>
              <w:t>SI National Statistics Office</w:t>
            </w:r>
            <w:r>
              <w:rPr>
                <w:rFonts w:cstheme="minorHAnsi"/>
                <w:sz w:val="20"/>
                <w:szCs w:val="20"/>
              </w:rPr>
              <w:t xml:space="preserve"> (SINSO)</w:t>
            </w:r>
          </w:p>
          <w:p w14:paraId="32A51EFA" w14:textId="77777777" w:rsidR="0084201F" w:rsidRDefault="0084201F" w:rsidP="009E0765">
            <w:pPr>
              <w:pStyle w:val="NoSpacing"/>
              <w:rPr>
                <w:rFonts w:cstheme="minorHAnsi"/>
                <w:sz w:val="20"/>
                <w:szCs w:val="20"/>
              </w:rPr>
            </w:pPr>
          </w:p>
          <w:p w14:paraId="03A21F49" w14:textId="77777777" w:rsidR="0084201F" w:rsidRPr="0010030A" w:rsidRDefault="0084201F" w:rsidP="009E0765">
            <w:pPr>
              <w:pStyle w:val="NoSpacing"/>
              <w:rPr>
                <w:rFonts w:cstheme="minorHAnsi"/>
                <w:sz w:val="20"/>
                <w:szCs w:val="20"/>
              </w:rPr>
            </w:pPr>
            <w:r w:rsidRPr="0010030A">
              <w:rPr>
                <w:rFonts w:cstheme="minorHAnsi"/>
                <w:sz w:val="20"/>
                <w:szCs w:val="20"/>
              </w:rPr>
              <w:t>Ministry of Finance and Treasury</w:t>
            </w:r>
            <w:r>
              <w:rPr>
                <w:rFonts w:cstheme="minorHAnsi"/>
                <w:sz w:val="20"/>
                <w:szCs w:val="20"/>
              </w:rPr>
              <w:t xml:space="preserve"> (MOFT)</w:t>
            </w:r>
          </w:p>
          <w:p w14:paraId="7D96EB6A" w14:textId="77777777" w:rsidR="0084201F" w:rsidRDefault="0084201F" w:rsidP="009E0765">
            <w:pPr>
              <w:pStyle w:val="NoSpacing"/>
              <w:rPr>
                <w:rFonts w:cstheme="minorHAnsi"/>
                <w:sz w:val="20"/>
                <w:szCs w:val="20"/>
              </w:rPr>
            </w:pPr>
          </w:p>
          <w:p w14:paraId="21D22EAE" w14:textId="77777777" w:rsidR="0084201F" w:rsidRPr="0010030A" w:rsidRDefault="0084201F" w:rsidP="009E0765">
            <w:pPr>
              <w:pStyle w:val="NoSpacing"/>
              <w:rPr>
                <w:rFonts w:cstheme="minorHAnsi"/>
                <w:sz w:val="20"/>
                <w:szCs w:val="20"/>
              </w:rPr>
            </w:pPr>
            <w:r w:rsidRPr="0010030A">
              <w:rPr>
                <w:rFonts w:cstheme="minorHAnsi"/>
                <w:sz w:val="20"/>
                <w:szCs w:val="20"/>
              </w:rPr>
              <w:t>Ministry of Education</w:t>
            </w:r>
            <w:r>
              <w:rPr>
                <w:rFonts w:cstheme="minorHAnsi"/>
                <w:sz w:val="20"/>
                <w:szCs w:val="20"/>
              </w:rPr>
              <w:t xml:space="preserve"> (MOE)</w:t>
            </w:r>
          </w:p>
          <w:p w14:paraId="175595B7" w14:textId="77777777" w:rsidR="0084201F" w:rsidRDefault="0084201F" w:rsidP="009E0765">
            <w:pPr>
              <w:pStyle w:val="NoSpacing"/>
              <w:rPr>
                <w:rFonts w:cstheme="minorHAnsi"/>
                <w:sz w:val="20"/>
                <w:szCs w:val="20"/>
              </w:rPr>
            </w:pPr>
          </w:p>
          <w:p w14:paraId="495D526A" w14:textId="77777777" w:rsidR="0084201F" w:rsidRPr="0010030A" w:rsidRDefault="0084201F" w:rsidP="009E0765">
            <w:pPr>
              <w:pStyle w:val="NoSpacing"/>
              <w:rPr>
                <w:rFonts w:cstheme="minorHAnsi"/>
                <w:sz w:val="20"/>
                <w:szCs w:val="20"/>
              </w:rPr>
            </w:pPr>
            <w:r w:rsidRPr="0010030A">
              <w:rPr>
                <w:rFonts w:cstheme="minorHAnsi"/>
                <w:sz w:val="20"/>
                <w:szCs w:val="20"/>
              </w:rPr>
              <w:t xml:space="preserve">Ministry of </w:t>
            </w:r>
            <w:r w:rsidRPr="0010030A">
              <w:rPr>
                <w:rFonts w:eastAsia="Calibri" w:cstheme="minorHAnsi"/>
                <w:sz w:val="20"/>
                <w:szCs w:val="20"/>
                <w:highlight w:val="white"/>
              </w:rPr>
              <w:t>Women, Youth, Children and Family Affairs</w:t>
            </w:r>
            <w:r>
              <w:rPr>
                <w:rFonts w:eastAsia="Calibri" w:cstheme="minorHAnsi"/>
                <w:sz w:val="20"/>
                <w:szCs w:val="20"/>
              </w:rPr>
              <w:t xml:space="preserve"> (MWYCFA)</w:t>
            </w:r>
          </w:p>
        </w:tc>
        <w:tc>
          <w:tcPr>
            <w:tcW w:w="1220" w:type="dxa"/>
          </w:tcPr>
          <w:p w14:paraId="1C2F8A8C" w14:textId="77777777" w:rsidR="0084201F" w:rsidRDefault="0084201F" w:rsidP="009E0765">
            <w:pPr>
              <w:pStyle w:val="NoSpacing"/>
              <w:rPr>
                <w:rFonts w:cstheme="minorHAnsi"/>
                <w:sz w:val="20"/>
                <w:szCs w:val="20"/>
              </w:rPr>
            </w:pPr>
            <w:r w:rsidRPr="0010030A">
              <w:rPr>
                <w:rFonts w:cstheme="minorHAnsi"/>
                <w:sz w:val="20"/>
                <w:szCs w:val="20"/>
              </w:rPr>
              <w:t>Ministry of Health</w:t>
            </w:r>
            <w:r>
              <w:rPr>
                <w:rFonts w:cstheme="minorHAnsi"/>
                <w:sz w:val="20"/>
                <w:szCs w:val="20"/>
              </w:rPr>
              <w:t xml:space="preserve"> (MOH)</w:t>
            </w:r>
          </w:p>
          <w:p w14:paraId="66E2CEC2" w14:textId="77777777" w:rsidR="0084201F" w:rsidRPr="0010030A" w:rsidRDefault="0084201F" w:rsidP="009E0765">
            <w:pPr>
              <w:pStyle w:val="NoSpacing"/>
              <w:rPr>
                <w:rFonts w:cstheme="minorHAnsi"/>
                <w:sz w:val="20"/>
                <w:szCs w:val="20"/>
              </w:rPr>
            </w:pPr>
          </w:p>
          <w:p w14:paraId="2622E7A2" w14:textId="77777777" w:rsidR="0084201F" w:rsidRPr="0010030A" w:rsidRDefault="0084201F" w:rsidP="009E0765">
            <w:pPr>
              <w:pStyle w:val="NoSpacing"/>
              <w:rPr>
                <w:rFonts w:cstheme="minorHAnsi"/>
                <w:sz w:val="20"/>
                <w:szCs w:val="20"/>
              </w:rPr>
            </w:pPr>
            <w:r w:rsidRPr="0010030A">
              <w:rPr>
                <w:rFonts w:cstheme="minorHAnsi"/>
                <w:sz w:val="20"/>
                <w:szCs w:val="20"/>
              </w:rPr>
              <w:t>Tonga Family Health Association</w:t>
            </w:r>
          </w:p>
          <w:p w14:paraId="241CEEB2" w14:textId="77777777" w:rsidR="0084201F" w:rsidRDefault="0084201F" w:rsidP="009E0765">
            <w:pPr>
              <w:pStyle w:val="NoSpacing"/>
              <w:rPr>
                <w:rFonts w:cstheme="minorHAnsi"/>
                <w:sz w:val="20"/>
                <w:szCs w:val="20"/>
              </w:rPr>
            </w:pPr>
            <w:r>
              <w:rPr>
                <w:rFonts w:cstheme="minorHAnsi"/>
                <w:sz w:val="20"/>
                <w:szCs w:val="20"/>
              </w:rPr>
              <w:t>(TFHA)</w:t>
            </w:r>
          </w:p>
          <w:p w14:paraId="04FDE907" w14:textId="77777777" w:rsidR="0084201F" w:rsidRDefault="0084201F" w:rsidP="009E0765">
            <w:pPr>
              <w:pStyle w:val="NoSpacing"/>
              <w:rPr>
                <w:rFonts w:cstheme="minorHAnsi"/>
                <w:sz w:val="20"/>
                <w:szCs w:val="20"/>
              </w:rPr>
            </w:pPr>
          </w:p>
          <w:p w14:paraId="1BE1542A" w14:textId="77777777" w:rsidR="0084201F" w:rsidRPr="0010030A" w:rsidRDefault="0084201F" w:rsidP="009E0765">
            <w:pPr>
              <w:pStyle w:val="NoSpacing"/>
              <w:rPr>
                <w:rFonts w:cstheme="minorHAnsi"/>
                <w:sz w:val="20"/>
                <w:szCs w:val="20"/>
              </w:rPr>
            </w:pPr>
            <w:r w:rsidRPr="0010030A">
              <w:rPr>
                <w:rFonts w:cstheme="minorHAnsi"/>
                <w:sz w:val="20"/>
                <w:szCs w:val="20"/>
              </w:rPr>
              <w:t>Parliament of Tonga</w:t>
            </w:r>
          </w:p>
          <w:p w14:paraId="2E667F97" w14:textId="77777777" w:rsidR="0084201F" w:rsidRDefault="0084201F" w:rsidP="009E0765">
            <w:pPr>
              <w:pStyle w:val="NoSpacing"/>
              <w:rPr>
                <w:rFonts w:cstheme="minorHAnsi"/>
                <w:sz w:val="20"/>
                <w:szCs w:val="20"/>
              </w:rPr>
            </w:pPr>
          </w:p>
          <w:p w14:paraId="2D397D67" w14:textId="77777777" w:rsidR="0084201F" w:rsidRDefault="0084201F" w:rsidP="009E0765">
            <w:pPr>
              <w:pStyle w:val="NoSpacing"/>
              <w:rPr>
                <w:rFonts w:cstheme="minorHAnsi"/>
                <w:sz w:val="20"/>
                <w:szCs w:val="20"/>
              </w:rPr>
            </w:pPr>
            <w:r w:rsidRPr="0010030A">
              <w:rPr>
                <w:rFonts w:cstheme="minorHAnsi"/>
                <w:sz w:val="20"/>
                <w:szCs w:val="20"/>
              </w:rPr>
              <w:t xml:space="preserve">Tonga </w:t>
            </w:r>
            <w:proofErr w:type="spellStart"/>
            <w:r w:rsidRPr="0010030A">
              <w:rPr>
                <w:rFonts w:cstheme="minorHAnsi"/>
                <w:sz w:val="20"/>
                <w:szCs w:val="20"/>
              </w:rPr>
              <w:t>Leiti</w:t>
            </w:r>
            <w:proofErr w:type="spellEnd"/>
            <w:r w:rsidRPr="0010030A">
              <w:rPr>
                <w:rFonts w:cstheme="minorHAnsi"/>
                <w:sz w:val="20"/>
                <w:szCs w:val="20"/>
              </w:rPr>
              <w:t xml:space="preserve"> Association</w:t>
            </w:r>
          </w:p>
          <w:p w14:paraId="118C9F14" w14:textId="77777777" w:rsidR="0084201F" w:rsidRDefault="0084201F" w:rsidP="009E0765">
            <w:pPr>
              <w:pStyle w:val="NoSpacing"/>
              <w:rPr>
                <w:rFonts w:cstheme="minorHAnsi"/>
                <w:sz w:val="20"/>
                <w:szCs w:val="20"/>
              </w:rPr>
            </w:pPr>
            <w:r>
              <w:rPr>
                <w:rFonts w:cstheme="minorHAnsi"/>
                <w:sz w:val="20"/>
                <w:szCs w:val="20"/>
              </w:rPr>
              <w:t>(TLA)</w:t>
            </w:r>
          </w:p>
          <w:p w14:paraId="5ABF80C1" w14:textId="77777777" w:rsidR="0084201F" w:rsidRPr="0010030A" w:rsidRDefault="0084201F" w:rsidP="009E0765">
            <w:pPr>
              <w:pStyle w:val="NoSpacing"/>
              <w:rPr>
                <w:rFonts w:cstheme="minorHAnsi"/>
                <w:sz w:val="20"/>
                <w:szCs w:val="20"/>
              </w:rPr>
            </w:pPr>
          </w:p>
          <w:p w14:paraId="7FBB58AE" w14:textId="77777777" w:rsidR="0084201F" w:rsidRPr="0010030A" w:rsidRDefault="0084201F" w:rsidP="009E0765">
            <w:pPr>
              <w:pStyle w:val="NoSpacing"/>
              <w:rPr>
                <w:rFonts w:cstheme="minorHAnsi"/>
                <w:sz w:val="20"/>
                <w:szCs w:val="20"/>
              </w:rPr>
            </w:pPr>
            <w:r w:rsidRPr="0010030A">
              <w:rPr>
                <w:rFonts w:cstheme="minorHAnsi"/>
                <w:sz w:val="20"/>
                <w:szCs w:val="20"/>
              </w:rPr>
              <w:t>Talitha</w:t>
            </w:r>
          </w:p>
        </w:tc>
        <w:tc>
          <w:tcPr>
            <w:tcW w:w="1343" w:type="dxa"/>
          </w:tcPr>
          <w:p w14:paraId="514612FB" w14:textId="77777777" w:rsidR="0084201F" w:rsidRPr="0010030A" w:rsidRDefault="0084201F" w:rsidP="009E0765">
            <w:pPr>
              <w:pStyle w:val="NoSpacing"/>
              <w:rPr>
                <w:rFonts w:cstheme="minorHAnsi"/>
                <w:sz w:val="20"/>
                <w:szCs w:val="20"/>
              </w:rPr>
            </w:pPr>
            <w:r w:rsidRPr="0010030A">
              <w:rPr>
                <w:rFonts w:cstheme="minorHAnsi"/>
                <w:sz w:val="20"/>
                <w:szCs w:val="20"/>
              </w:rPr>
              <w:t>Ministry of Health and Medical Services</w:t>
            </w:r>
            <w:r w:rsidR="00BF1949">
              <w:rPr>
                <w:rFonts w:cstheme="minorHAnsi"/>
                <w:sz w:val="20"/>
                <w:szCs w:val="20"/>
              </w:rPr>
              <w:t xml:space="preserve"> </w:t>
            </w:r>
            <w:r>
              <w:rPr>
                <w:rFonts w:cstheme="minorHAnsi"/>
                <w:sz w:val="20"/>
                <w:szCs w:val="20"/>
              </w:rPr>
              <w:t>(MHMS)</w:t>
            </w:r>
          </w:p>
          <w:p w14:paraId="0853061F" w14:textId="77777777" w:rsidR="0084201F" w:rsidRDefault="0084201F" w:rsidP="009E0765">
            <w:pPr>
              <w:pStyle w:val="NoSpacing"/>
              <w:rPr>
                <w:rFonts w:cstheme="minorHAnsi"/>
                <w:sz w:val="20"/>
                <w:szCs w:val="20"/>
              </w:rPr>
            </w:pPr>
          </w:p>
          <w:p w14:paraId="741E8C0E" w14:textId="77777777" w:rsidR="0084201F" w:rsidRDefault="0084201F" w:rsidP="009E0765">
            <w:pPr>
              <w:pStyle w:val="NoSpacing"/>
              <w:rPr>
                <w:rFonts w:cstheme="minorHAnsi"/>
                <w:sz w:val="20"/>
                <w:szCs w:val="20"/>
              </w:rPr>
            </w:pPr>
            <w:r w:rsidRPr="0010030A">
              <w:rPr>
                <w:rFonts w:cstheme="minorHAnsi"/>
                <w:sz w:val="20"/>
                <w:szCs w:val="20"/>
              </w:rPr>
              <w:t>Vanuatu National Statistics Office</w:t>
            </w:r>
          </w:p>
          <w:p w14:paraId="52EFE926" w14:textId="77777777" w:rsidR="0084201F" w:rsidRPr="0010030A" w:rsidRDefault="0084201F" w:rsidP="009E0765">
            <w:pPr>
              <w:pStyle w:val="NoSpacing"/>
              <w:rPr>
                <w:rFonts w:cstheme="minorHAnsi"/>
                <w:sz w:val="20"/>
                <w:szCs w:val="20"/>
              </w:rPr>
            </w:pPr>
            <w:r>
              <w:rPr>
                <w:rFonts w:cstheme="minorHAnsi"/>
                <w:sz w:val="20"/>
                <w:szCs w:val="20"/>
              </w:rPr>
              <w:t>(VNSO)</w:t>
            </w:r>
          </w:p>
          <w:p w14:paraId="58D03E94" w14:textId="77777777" w:rsidR="0084201F" w:rsidRDefault="0084201F" w:rsidP="009E0765">
            <w:pPr>
              <w:pStyle w:val="NoSpacing"/>
              <w:rPr>
                <w:rFonts w:cstheme="minorHAnsi"/>
                <w:sz w:val="20"/>
                <w:szCs w:val="20"/>
              </w:rPr>
            </w:pPr>
          </w:p>
          <w:p w14:paraId="47FDA38F" w14:textId="77777777" w:rsidR="0084201F" w:rsidRPr="0010030A" w:rsidRDefault="0084201F" w:rsidP="009E0765">
            <w:pPr>
              <w:pStyle w:val="NoSpacing"/>
              <w:rPr>
                <w:rFonts w:cstheme="minorHAnsi"/>
                <w:sz w:val="20"/>
                <w:szCs w:val="20"/>
              </w:rPr>
            </w:pPr>
            <w:r w:rsidRPr="0010030A">
              <w:rPr>
                <w:rFonts w:cstheme="minorHAnsi"/>
                <w:sz w:val="20"/>
                <w:szCs w:val="20"/>
              </w:rPr>
              <w:t>Vanuatu National Youth Council</w:t>
            </w:r>
          </w:p>
          <w:p w14:paraId="68787F16" w14:textId="77777777" w:rsidR="0084201F" w:rsidRDefault="0084201F" w:rsidP="009E0765">
            <w:pPr>
              <w:pStyle w:val="NoSpacing"/>
              <w:rPr>
                <w:rFonts w:cstheme="minorHAnsi"/>
                <w:sz w:val="20"/>
                <w:szCs w:val="20"/>
                <w:shd w:val="clear" w:color="auto" w:fill="FFFFFF"/>
              </w:rPr>
            </w:pPr>
            <w:r>
              <w:rPr>
                <w:rFonts w:cstheme="minorHAnsi"/>
                <w:sz w:val="20"/>
                <w:szCs w:val="20"/>
                <w:shd w:val="clear" w:color="auto" w:fill="FFFFFF"/>
              </w:rPr>
              <w:t>(VNYC)</w:t>
            </w:r>
          </w:p>
          <w:p w14:paraId="71B05C89" w14:textId="77777777" w:rsidR="0084201F" w:rsidRDefault="0084201F" w:rsidP="009E0765">
            <w:pPr>
              <w:pStyle w:val="NoSpacing"/>
              <w:rPr>
                <w:rFonts w:cstheme="minorHAnsi"/>
                <w:sz w:val="20"/>
                <w:szCs w:val="20"/>
                <w:shd w:val="clear" w:color="auto" w:fill="FFFFFF"/>
              </w:rPr>
            </w:pPr>
          </w:p>
          <w:p w14:paraId="15DAE30A" w14:textId="77777777" w:rsidR="0084201F" w:rsidRPr="0010030A" w:rsidRDefault="0084201F" w:rsidP="009E0765">
            <w:pPr>
              <w:pStyle w:val="NoSpacing"/>
              <w:rPr>
                <w:rFonts w:cstheme="minorHAnsi"/>
                <w:sz w:val="20"/>
                <w:szCs w:val="20"/>
              </w:rPr>
            </w:pPr>
            <w:r w:rsidRPr="0010030A">
              <w:rPr>
                <w:rFonts w:cstheme="minorHAnsi"/>
                <w:sz w:val="20"/>
                <w:szCs w:val="20"/>
                <w:shd w:val="clear" w:color="auto" w:fill="FFFFFF"/>
              </w:rPr>
              <w:t>Department of Strategic Policy Planning and Aid Coordination</w:t>
            </w:r>
          </w:p>
          <w:p w14:paraId="0944C66F" w14:textId="77777777" w:rsidR="0084201F" w:rsidRDefault="0084201F" w:rsidP="009E0765">
            <w:pPr>
              <w:pStyle w:val="NoSpacing"/>
              <w:rPr>
                <w:rFonts w:cstheme="minorHAnsi"/>
                <w:sz w:val="20"/>
                <w:szCs w:val="20"/>
              </w:rPr>
            </w:pPr>
            <w:r>
              <w:rPr>
                <w:rFonts w:cstheme="minorHAnsi"/>
                <w:sz w:val="20"/>
                <w:szCs w:val="20"/>
              </w:rPr>
              <w:t>(DSPPAC)</w:t>
            </w:r>
          </w:p>
          <w:p w14:paraId="2E7D54F6" w14:textId="77777777" w:rsidR="0084201F" w:rsidRDefault="0084201F" w:rsidP="009E0765">
            <w:pPr>
              <w:pStyle w:val="NoSpacing"/>
              <w:rPr>
                <w:rFonts w:cstheme="minorHAnsi"/>
                <w:sz w:val="20"/>
                <w:szCs w:val="20"/>
              </w:rPr>
            </w:pPr>
          </w:p>
          <w:p w14:paraId="19312388" w14:textId="77777777" w:rsidR="0084201F" w:rsidRPr="0010030A" w:rsidRDefault="0084201F" w:rsidP="009E0765">
            <w:pPr>
              <w:pStyle w:val="NoSpacing"/>
              <w:rPr>
                <w:rFonts w:cstheme="minorHAnsi"/>
                <w:sz w:val="20"/>
                <w:szCs w:val="20"/>
              </w:rPr>
            </w:pPr>
            <w:r w:rsidRPr="0010030A">
              <w:rPr>
                <w:rFonts w:cstheme="minorHAnsi"/>
                <w:sz w:val="20"/>
                <w:szCs w:val="20"/>
              </w:rPr>
              <w:t>Ministry of Youth and Sports</w:t>
            </w:r>
            <w:r>
              <w:rPr>
                <w:rFonts w:cstheme="minorHAnsi"/>
                <w:sz w:val="20"/>
                <w:szCs w:val="20"/>
              </w:rPr>
              <w:t xml:space="preserve"> (MYS)</w:t>
            </w:r>
          </w:p>
        </w:tc>
        <w:tc>
          <w:tcPr>
            <w:tcW w:w="1338" w:type="dxa"/>
          </w:tcPr>
          <w:p w14:paraId="0D2CDACC" w14:textId="77777777" w:rsidR="0084201F" w:rsidRPr="0010030A" w:rsidRDefault="0084201F" w:rsidP="009E0765">
            <w:pPr>
              <w:pStyle w:val="NoSpacing"/>
              <w:rPr>
                <w:rFonts w:cstheme="minorHAnsi"/>
                <w:sz w:val="20"/>
                <w:szCs w:val="20"/>
              </w:rPr>
            </w:pPr>
            <w:r w:rsidRPr="0010030A">
              <w:rPr>
                <w:rFonts w:cstheme="minorHAnsi"/>
                <w:color w:val="313131"/>
                <w:sz w:val="20"/>
                <w:szCs w:val="20"/>
                <w:shd w:val="clear" w:color="auto" w:fill="FFFFFF"/>
              </w:rPr>
              <w:t>John Snow International (JSI),</w:t>
            </w:r>
          </w:p>
          <w:p w14:paraId="0CD2750A" w14:textId="77777777" w:rsidR="0084201F" w:rsidRDefault="0084201F" w:rsidP="009E0765">
            <w:pPr>
              <w:pStyle w:val="NoSpacing"/>
              <w:rPr>
                <w:rFonts w:cstheme="minorHAnsi"/>
                <w:color w:val="313131"/>
                <w:sz w:val="20"/>
                <w:szCs w:val="20"/>
                <w:shd w:val="clear" w:color="auto" w:fill="FFFFFF"/>
              </w:rPr>
            </w:pPr>
          </w:p>
          <w:p w14:paraId="00E0CB91" w14:textId="77777777" w:rsidR="0084201F" w:rsidRPr="0010030A" w:rsidRDefault="0084201F" w:rsidP="009E0765">
            <w:pPr>
              <w:pStyle w:val="NoSpacing"/>
              <w:rPr>
                <w:rFonts w:cstheme="minorHAnsi"/>
                <w:sz w:val="20"/>
                <w:szCs w:val="20"/>
              </w:rPr>
            </w:pPr>
            <w:r w:rsidRPr="0010030A">
              <w:rPr>
                <w:rFonts w:cstheme="minorHAnsi"/>
                <w:color w:val="313131"/>
                <w:sz w:val="20"/>
                <w:szCs w:val="20"/>
                <w:shd w:val="clear" w:color="auto" w:fill="FFFFFF"/>
              </w:rPr>
              <w:t>Australian Broadcasting Corporation (ABC)</w:t>
            </w:r>
          </w:p>
          <w:p w14:paraId="4AEE1F5D" w14:textId="77777777" w:rsidR="0084201F" w:rsidRDefault="0084201F" w:rsidP="009E0765">
            <w:pPr>
              <w:pStyle w:val="NoSpacing"/>
              <w:rPr>
                <w:rFonts w:cstheme="minorHAnsi"/>
                <w:sz w:val="20"/>
                <w:szCs w:val="20"/>
              </w:rPr>
            </w:pPr>
          </w:p>
          <w:p w14:paraId="2C361AA3" w14:textId="77777777" w:rsidR="0084201F" w:rsidRPr="0010030A" w:rsidRDefault="0084201F" w:rsidP="009E0765">
            <w:pPr>
              <w:pStyle w:val="NoSpacing"/>
              <w:rPr>
                <w:rFonts w:cstheme="minorHAnsi"/>
                <w:sz w:val="20"/>
                <w:szCs w:val="20"/>
              </w:rPr>
            </w:pPr>
            <w:r w:rsidRPr="0010030A">
              <w:rPr>
                <w:rFonts w:cstheme="minorHAnsi"/>
                <w:sz w:val="20"/>
                <w:szCs w:val="20"/>
              </w:rPr>
              <w:t>Family Planning NSW (FPNSW)</w:t>
            </w:r>
          </w:p>
          <w:p w14:paraId="32A8BB14" w14:textId="77777777" w:rsidR="0084201F" w:rsidRDefault="0084201F" w:rsidP="009E0765">
            <w:pPr>
              <w:pStyle w:val="NoSpacing"/>
              <w:rPr>
                <w:rFonts w:cstheme="minorHAnsi"/>
                <w:sz w:val="20"/>
                <w:szCs w:val="20"/>
              </w:rPr>
            </w:pPr>
          </w:p>
          <w:p w14:paraId="0E1DBC45" w14:textId="77777777" w:rsidR="0084201F" w:rsidRPr="0010030A" w:rsidRDefault="0084201F" w:rsidP="009E0765">
            <w:pPr>
              <w:pStyle w:val="NoSpacing"/>
              <w:rPr>
                <w:rFonts w:cstheme="minorHAnsi"/>
                <w:sz w:val="20"/>
                <w:szCs w:val="20"/>
              </w:rPr>
            </w:pPr>
            <w:r w:rsidRPr="0010030A">
              <w:rPr>
                <w:rFonts w:cstheme="minorHAnsi"/>
                <w:sz w:val="20"/>
                <w:szCs w:val="20"/>
              </w:rPr>
              <w:t>IPPF Sub Regional Office of the Pacific (SROP)</w:t>
            </w:r>
          </w:p>
          <w:p w14:paraId="25CC59EA" w14:textId="77777777" w:rsidR="0084201F" w:rsidRDefault="0084201F" w:rsidP="009E0765">
            <w:pPr>
              <w:pStyle w:val="NoSpacing"/>
              <w:rPr>
                <w:rFonts w:cstheme="minorHAnsi"/>
                <w:sz w:val="20"/>
                <w:szCs w:val="20"/>
              </w:rPr>
            </w:pPr>
          </w:p>
          <w:p w14:paraId="2BA23E5A" w14:textId="77777777" w:rsidR="0084201F" w:rsidRDefault="0084201F" w:rsidP="009E0765">
            <w:pPr>
              <w:pStyle w:val="NoSpacing"/>
              <w:rPr>
                <w:rFonts w:cstheme="minorHAnsi"/>
                <w:sz w:val="20"/>
                <w:szCs w:val="20"/>
              </w:rPr>
            </w:pPr>
            <w:r w:rsidRPr="0010030A">
              <w:rPr>
                <w:rFonts w:cstheme="minorHAnsi"/>
                <w:sz w:val="20"/>
                <w:szCs w:val="20"/>
              </w:rPr>
              <w:t>World Vision</w:t>
            </w:r>
          </w:p>
          <w:p w14:paraId="0A3EBC18" w14:textId="77777777" w:rsidR="0084201F" w:rsidRDefault="0084201F" w:rsidP="009E0765">
            <w:pPr>
              <w:pStyle w:val="NoSpacing"/>
              <w:rPr>
                <w:rFonts w:cstheme="minorHAnsi"/>
                <w:sz w:val="20"/>
                <w:szCs w:val="20"/>
              </w:rPr>
            </w:pPr>
            <w:r>
              <w:rPr>
                <w:rFonts w:cstheme="minorHAnsi"/>
                <w:sz w:val="20"/>
                <w:szCs w:val="20"/>
              </w:rPr>
              <w:t>International (WVI)</w:t>
            </w:r>
          </w:p>
          <w:p w14:paraId="23C29D71" w14:textId="77777777" w:rsidR="0084201F" w:rsidRPr="0010030A" w:rsidRDefault="0084201F" w:rsidP="009E0765">
            <w:pPr>
              <w:pStyle w:val="NoSpacing"/>
              <w:rPr>
                <w:rFonts w:cstheme="minorHAnsi"/>
                <w:sz w:val="20"/>
                <w:szCs w:val="20"/>
              </w:rPr>
            </w:pPr>
          </w:p>
          <w:p w14:paraId="7C1EBEC8" w14:textId="77777777" w:rsidR="0084201F" w:rsidRPr="0010030A" w:rsidRDefault="0084201F" w:rsidP="009E0765">
            <w:pPr>
              <w:pStyle w:val="NoSpacing"/>
              <w:rPr>
                <w:rFonts w:cstheme="minorHAnsi"/>
                <w:sz w:val="20"/>
                <w:szCs w:val="20"/>
              </w:rPr>
            </w:pPr>
            <w:r w:rsidRPr="0010030A">
              <w:rPr>
                <w:rFonts w:cstheme="minorHAnsi"/>
                <w:sz w:val="20"/>
                <w:szCs w:val="20"/>
              </w:rPr>
              <w:t>Care</w:t>
            </w:r>
            <w:r>
              <w:rPr>
                <w:rFonts w:cstheme="minorHAnsi"/>
                <w:sz w:val="20"/>
                <w:szCs w:val="20"/>
              </w:rPr>
              <w:t xml:space="preserve"> International</w:t>
            </w:r>
            <w:r w:rsidRPr="0010030A">
              <w:rPr>
                <w:rFonts w:cstheme="minorHAnsi"/>
                <w:sz w:val="20"/>
                <w:szCs w:val="20"/>
              </w:rPr>
              <w:t xml:space="preserve"> (Vanuatu)</w:t>
            </w:r>
          </w:p>
          <w:p w14:paraId="4289EA7A" w14:textId="77777777" w:rsidR="0084201F" w:rsidRDefault="0084201F" w:rsidP="009E0765">
            <w:pPr>
              <w:pStyle w:val="NoSpacing"/>
              <w:rPr>
                <w:rFonts w:cstheme="minorHAnsi"/>
                <w:sz w:val="20"/>
                <w:szCs w:val="20"/>
              </w:rPr>
            </w:pPr>
          </w:p>
          <w:p w14:paraId="3FF532D8" w14:textId="77777777" w:rsidR="0084201F" w:rsidRPr="0010030A" w:rsidRDefault="0084201F" w:rsidP="009E0765">
            <w:pPr>
              <w:pStyle w:val="NoSpacing"/>
              <w:rPr>
                <w:rFonts w:cstheme="minorHAnsi"/>
                <w:sz w:val="20"/>
                <w:szCs w:val="20"/>
              </w:rPr>
            </w:pPr>
            <w:r w:rsidRPr="0010030A">
              <w:rPr>
                <w:rFonts w:cstheme="minorHAnsi"/>
                <w:sz w:val="20"/>
                <w:szCs w:val="20"/>
              </w:rPr>
              <w:t>Nossal</w:t>
            </w:r>
          </w:p>
          <w:p w14:paraId="3CAC7138" w14:textId="77777777" w:rsidR="0084201F" w:rsidRDefault="0084201F" w:rsidP="009E0765">
            <w:pPr>
              <w:pStyle w:val="NoSpacing"/>
              <w:rPr>
                <w:rFonts w:cstheme="minorHAnsi"/>
                <w:sz w:val="20"/>
                <w:szCs w:val="20"/>
              </w:rPr>
            </w:pPr>
          </w:p>
          <w:p w14:paraId="3E8048A3" w14:textId="77777777" w:rsidR="0084201F" w:rsidRPr="0010030A" w:rsidRDefault="0084201F" w:rsidP="009E0765">
            <w:pPr>
              <w:pStyle w:val="NoSpacing"/>
              <w:rPr>
                <w:rFonts w:cstheme="minorHAnsi"/>
                <w:sz w:val="20"/>
                <w:szCs w:val="20"/>
              </w:rPr>
            </w:pPr>
            <w:r w:rsidRPr="0010030A">
              <w:rPr>
                <w:rFonts w:cstheme="minorHAnsi"/>
                <w:sz w:val="20"/>
                <w:szCs w:val="20"/>
              </w:rPr>
              <w:t>Burnet</w:t>
            </w:r>
          </w:p>
        </w:tc>
      </w:tr>
      <w:bookmarkEnd w:id="49"/>
    </w:tbl>
    <w:p w14:paraId="7DC8377D" w14:textId="77777777" w:rsidR="003C7DAE" w:rsidRPr="003C7DAE" w:rsidRDefault="003C7DAE" w:rsidP="003C7DAE"/>
    <w:p w14:paraId="0505C4A1" w14:textId="77777777" w:rsidR="003C7DAE" w:rsidRPr="003C7DAE" w:rsidRDefault="003C7DAE" w:rsidP="003C7DAE"/>
    <w:p w14:paraId="4954FEAC" w14:textId="77777777" w:rsidR="00714E9A" w:rsidRDefault="00714E9A" w:rsidP="000B4E0A">
      <w:pPr>
        <w:sectPr w:rsidR="00714E9A" w:rsidSect="00527F27">
          <w:pgSz w:w="11907" w:h="16839" w:code="9"/>
          <w:pgMar w:top="720" w:right="720" w:bottom="720" w:left="720" w:header="709" w:footer="709" w:gutter="0"/>
          <w:cols w:space="708"/>
          <w:docGrid w:linePitch="360"/>
        </w:sectPr>
      </w:pPr>
    </w:p>
    <w:p w14:paraId="5CBAF070" w14:textId="77777777" w:rsidR="0084201F" w:rsidRDefault="0084201F" w:rsidP="000B4E0A"/>
    <w:p w14:paraId="0AA6DE5E" w14:textId="77777777" w:rsidR="0084201F" w:rsidRDefault="0084201F" w:rsidP="00714E9A">
      <w:pPr>
        <w:pStyle w:val="NumberedLevel1heading"/>
        <w:ind w:left="0" w:firstLine="0"/>
        <w:jc w:val="left"/>
      </w:pPr>
      <w:bookmarkStart w:id="50" w:name="_Toc76630107"/>
      <w:r>
        <w:t xml:space="preserve">Annex 4: </w:t>
      </w:r>
      <w:r w:rsidR="00125E43">
        <w:t xml:space="preserve">Synergies with </w:t>
      </w:r>
      <w:r>
        <w:t>Related Program and Projects</w:t>
      </w:r>
      <w:bookmarkEnd w:id="50"/>
    </w:p>
    <w:p w14:paraId="3EAD8248" w14:textId="77777777" w:rsidR="0084201F" w:rsidRDefault="0084201F" w:rsidP="0084201F"/>
    <w:tbl>
      <w:tblPr>
        <w:tblStyle w:val="TableGrid"/>
        <w:tblW w:w="0" w:type="auto"/>
        <w:tblLook w:val="04A0" w:firstRow="1" w:lastRow="0" w:firstColumn="1" w:lastColumn="0" w:noHBand="0" w:noVBand="1"/>
      </w:tblPr>
      <w:tblGrid>
        <w:gridCol w:w="1748"/>
        <w:gridCol w:w="1075"/>
        <w:gridCol w:w="2275"/>
        <w:gridCol w:w="2552"/>
        <w:gridCol w:w="1366"/>
      </w:tblGrid>
      <w:tr w:rsidR="00125E43" w14:paraId="6AC3D554" w14:textId="77777777" w:rsidTr="000E3964">
        <w:trPr>
          <w:tblHeader/>
        </w:trPr>
        <w:tc>
          <w:tcPr>
            <w:tcW w:w="1748" w:type="dxa"/>
            <w:shd w:val="clear" w:color="auto" w:fill="FF0000"/>
          </w:tcPr>
          <w:p w14:paraId="216BDE99" w14:textId="77777777" w:rsidR="00125E43" w:rsidRPr="00D57C05" w:rsidRDefault="00125E43" w:rsidP="009E0765">
            <w:pPr>
              <w:jc w:val="center"/>
              <w:rPr>
                <w:b/>
                <w:bCs/>
                <w:lang w:val="en-US"/>
              </w:rPr>
            </w:pPr>
            <w:r w:rsidRPr="00D57C05">
              <w:rPr>
                <w:b/>
                <w:bCs/>
                <w:lang w:val="en-US"/>
              </w:rPr>
              <w:t>Program</w:t>
            </w:r>
          </w:p>
        </w:tc>
        <w:tc>
          <w:tcPr>
            <w:tcW w:w="1075" w:type="dxa"/>
            <w:shd w:val="clear" w:color="auto" w:fill="FF0000"/>
          </w:tcPr>
          <w:p w14:paraId="42475046" w14:textId="77777777" w:rsidR="00125E43" w:rsidRPr="00D57C05" w:rsidRDefault="00125E43" w:rsidP="009E0765">
            <w:pPr>
              <w:jc w:val="center"/>
              <w:rPr>
                <w:b/>
                <w:bCs/>
                <w:lang w:val="en-US"/>
              </w:rPr>
            </w:pPr>
            <w:r w:rsidRPr="00D57C05">
              <w:rPr>
                <w:b/>
                <w:bCs/>
                <w:lang w:val="en-US"/>
              </w:rPr>
              <w:t>Funds</w:t>
            </w:r>
          </w:p>
        </w:tc>
        <w:tc>
          <w:tcPr>
            <w:tcW w:w="2275" w:type="dxa"/>
            <w:shd w:val="clear" w:color="auto" w:fill="FF0000"/>
          </w:tcPr>
          <w:p w14:paraId="44DF6C37" w14:textId="77777777" w:rsidR="00125E43" w:rsidRPr="00D57C05" w:rsidRDefault="00125E43" w:rsidP="009E0765">
            <w:pPr>
              <w:jc w:val="center"/>
              <w:rPr>
                <w:b/>
                <w:bCs/>
                <w:lang w:val="en-US"/>
              </w:rPr>
            </w:pPr>
            <w:r w:rsidRPr="00D57C05">
              <w:rPr>
                <w:b/>
                <w:bCs/>
                <w:lang w:val="en-US"/>
              </w:rPr>
              <w:t>Objectives</w:t>
            </w:r>
          </w:p>
        </w:tc>
        <w:tc>
          <w:tcPr>
            <w:tcW w:w="2552" w:type="dxa"/>
            <w:shd w:val="clear" w:color="auto" w:fill="FF0000"/>
          </w:tcPr>
          <w:p w14:paraId="4A474B34" w14:textId="77777777" w:rsidR="00125E43" w:rsidRPr="00D57C05" w:rsidRDefault="00125E43" w:rsidP="009E0765">
            <w:pPr>
              <w:jc w:val="center"/>
              <w:rPr>
                <w:b/>
                <w:bCs/>
                <w:lang w:val="en-US"/>
              </w:rPr>
            </w:pPr>
            <w:r w:rsidRPr="00D57C05">
              <w:rPr>
                <w:b/>
                <w:bCs/>
                <w:lang w:val="en-US"/>
              </w:rPr>
              <w:t>Related to TA – how?</w:t>
            </w:r>
          </w:p>
        </w:tc>
        <w:tc>
          <w:tcPr>
            <w:tcW w:w="1366" w:type="dxa"/>
            <w:shd w:val="clear" w:color="auto" w:fill="FF0000"/>
          </w:tcPr>
          <w:p w14:paraId="2C1CDFD6" w14:textId="77777777" w:rsidR="00125E43" w:rsidRPr="00D57C05" w:rsidRDefault="00125E43" w:rsidP="009E0765">
            <w:pPr>
              <w:tabs>
                <w:tab w:val="left" w:pos="276"/>
              </w:tabs>
              <w:rPr>
                <w:b/>
                <w:bCs/>
                <w:lang w:val="en-US"/>
              </w:rPr>
            </w:pPr>
            <w:r w:rsidRPr="00D57C05">
              <w:rPr>
                <w:b/>
                <w:bCs/>
                <w:lang w:val="en-US"/>
              </w:rPr>
              <w:tab/>
              <w:t>Locations</w:t>
            </w:r>
          </w:p>
        </w:tc>
      </w:tr>
      <w:tr w:rsidR="00482467" w14:paraId="6A82F769" w14:textId="77777777" w:rsidTr="009E0765">
        <w:tc>
          <w:tcPr>
            <w:tcW w:w="1748" w:type="dxa"/>
          </w:tcPr>
          <w:p w14:paraId="75DBE761" w14:textId="77777777" w:rsidR="00482467" w:rsidRDefault="00482467" w:rsidP="00482467">
            <w:pPr>
              <w:rPr>
                <w:b/>
                <w:bCs/>
              </w:rPr>
            </w:pPr>
            <w:r w:rsidRPr="00482467">
              <w:rPr>
                <w:b/>
                <w:bCs/>
              </w:rPr>
              <w:t>UNFPA PSRO Sub Regional Program 6 (S</w:t>
            </w:r>
            <w:r w:rsidR="008500E6">
              <w:rPr>
                <w:b/>
                <w:bCs/>
              </w:rPr>
              <w:t>R</w:t>
            </w:r>
            <w:r w:rsidRPr="00482467">
              <w:rPr>
                <w:b/>
                <w:bCs/>
              </w:rPr>
              <w:t>P6)</w:t>
            </w:r>
          </w:p>
          <w:p w14:paraId="10487BB6" w14:textId="77777777" w:rsidR="00482467" w:rsidRPr="00482467" w:rsidRDefault="00482467" w:rsidP="00482467">
            <w:pPr>
              <w:rPr>
                <w:b/>
                <w:bCs/>
                <w:lang w:val="en-US"/>
              </w:rPr>
            </w:pPr>
            <w:r>
              <w:rPr>
                <w:b/>
                <w:bCs/>
                <w:lang w:val="en-US"/>
              </w:rPr>
              <w:t>2018-2022</w:t>
            </w:r>
          </w:p>
        </w:tc>
        <w:tc>
          <w:tcPr>
            <w:tcW w:w="1075" w:type="dxa"/>
          </w:tcPr>
          <w:p w14:paraId="47BEB82E" w14:textId="77777777" w:rsidR="00482467" w:rsidRDefault="00482467" w:rsidP="00482467">
            <w:pPr>
              <w:rPr>
                <w:lang w:val="en-US"/>
              </w:rPr>
            </w:pPr>
            <w:r>
              <w:rPr>
                <w:lang w:val="en-US"/>
              </w:rPr>
              <w:t>USD 30m</w:t>
            </w:r>
            <w:r>
              <w:rPr>
                <w:rStyle w:val="FootnoteReference"/>
                <w:lang w:val="en-US"/>
              </w:rPr>
              <w:footnoteReference w:id="32"/>
            </w:r>
          </w:p>
        </w:tc>
        <w:tc>
          <w:tcPr>
            <w:tcW w:w="2275" w:type="dxa"/>
          </w:tcPr>
          <w:p w14:paraId="7AAC85FD" w14:textId="77777777" w:rsidR="00482467" w:rsidRDefault="00482467" w:rsidP="008500E6">
            <w:pPr>
              <w:spacing w:after="23" w:line="256" w:lineRule="auto"/>
              <w:ind w:right="116"/>
              <w:rPr>
                <w:lang w:val="en-US"/>
              </w:rPr>
            </w:pPr>
            <w:r>
              <w:t>Components:  To integrate SRH services; gender equality and empowerment of women and girls; data for sustainable development</w:t>
            </w:r>
          </w:p>
        </w:tc>
        <w:tc>
          <w:tcPr>
            <w:tcW w:w="2552" w:type="dxa"/>
          </w:tcPr>
          <w:p w14:paraId="479D2D7A" w14:textId="77777777" w:rsidR="00482467" w:rsidRDefault="008500E6" w:rsidP="00482467">
            <w:pPr>
              <w:rPr>
                <w:lang w:val="en-US"/>
              </w:rPr>
            </w:pPr>
            <w:r>
              <w:rPr>
                <w:lang w:val="en-US"/>
              </w:rPr>
              <w:t>TA Program is nested inside SRP6 but outcomes and activities are different; joint reporting on implementation</w:t>
            </w:r>
          </w:p>
        </w:tc>
        <w:tc>
          <w:tcPr>
            <w:tcW w:w="1366" w:type="dxa"/>
          </w:tcPr>
          <w:p w14:paraId="73E670D1" w14:textId="77777777" w:rsidR="00482467" w:rsidRDefault="00482467" w:rsidP="00482467">
            <w:pPr>
              <w:rPr>
                <w:lang w:val="en-US"/>
              </w:rPr>
            </w:pPr>
            <w:r>
              <w:rPr>
                <w:lang w:val="en-US"/>
              </w:rPr>
              <w:t>14 Pacific countries including the 6 TA countries</w:t>
            </w:r>
          </w:p>
        </w:tc>
      </w:tr>
      <w:tr w:rsidR="00482467" w14:paraId="7015F11B" w14:textId="77777777" w:rsidTr="009E0765">
        <w:tc>
          <w:tcPr>
            <w:tcW w:w="1748" w:type="dxa"/>
          </w:tcPr>
          <w:p w14:paraId="3D5A7027" w14:textId="77777777" w:rsidR="00482467" w:rsidRDefault="008500E6" w:rsidP="008500E6">
            <w:pPr>
              <w:rPr>
                <w:b/>
                <w:bCs/>
              </w:rPr>
            </w:pPr>
            <w:r w:rsidRPr="008500E6">
              <w:rPr>
                <w:b/>
                <w:bCs/>
              </w:rPr>
              <w:t>Pacific Regional SRH Program (PRSRHP)</w:t>
            </w:r>
          </w:p>
          <w:p w14:paraId="518D6F6B" w14:textId="77777777" w:rsidR="008500E6" w:rsidRPr="008500E6" w:rsidRDefault="008500E6" w:rsidP="008500E6">
            <w:pPr>
              <w:rPr>
                <w:b/>
                <w:bCs/>
                <w:lang w:val="en-US"/>
              </w:rPr>
            </w:pPr>
            <w:r w:rsidRPr="008500E6">
              <w:rPr>
                <w:b/>
                <w:bCs/>
              </w:rPr>
              <w:t>2014-2019</w:t>
            </w:r>
            <w:r>
              <w:rPr>
                <w:b/>
                <w:bCs/>
              </w:rPr>
              <w:t xml:space="preserve"> </w:t>
            </w:r>
            <w:r w:rsidRPr="008500E6">
              <w:rPr>
                <w:b/>
                <w:bCs/>
              </w:rPr>
              <w:t>(extension to Sept 2020)</w:t>
            </w:r>
          </w:p>
        </w:tc>
        <w:tc>
          <w:tcPr>
            <w:tcW w:w="1075" w:type="dxa"/>
          </w:tcPr>
          <w:p w14:paraId="39F84140" w14:textId="77777777" w:rsidR="00482467" w:rsidRDefault="008500E6" w:rsidP="00482467">
            <w:pPr>
              <w:rPr>
                <w:lang w:val="en-US"/>
              </w:rPr>
            </w:pPr>
            <w:r>
              <w:t>NZD 6 million</w:t>
            </w:r>
          </w:p>
        </w:tc>
        <w:tc>
          <w:tcPr>
            <w:tcW w:w="2275" w:type="dxa"/>
          </w:tcPr>
          <w:p w14:paraId="03EC04E0" w14:textId="77777777" w:rsidR="00482467" w:rsidRDefault="008500E6" w:rsidP="00482467">
            <w:pPr>
              <w:rPr>
                <w:lang w:val="en-US"/>
              </w:rPr>
            </w:pPr>
            <w:r>
              <w:t xml:space="preserve">To increase SRH service supply, SRH demand, and improving the enabling environment to work towards universal access to integrated adolescent and youth SRH services and enjoyment of SRH rights </w:t>
            </w:r>
          </w:p>
        </w:tc>
        <w:tc>
          <w:tcPr>
            <w:tcW w:w="2552" w:type="dxa"/>
          </w:tcPr>
          <w:p w14:paraId="1083C9F0" w14:textId="77777777" w:rsidR="00482467" w:rsidRDefault="008500E6" w:rsidP="00482467">
            <w:pPr>
              <w:rPr>
                <w:lang w:val="en-US"/>
              </w:rPr>
            </w:pPr>
            <w:r>
              <w:rPr>
                <w:lang w:val="en-US"/>
              </w:rPr>
              <w:t>Emphasis on SRH services and FLE; joint workplans with TA Program</w:t>
            </w:r>
          </w:p>
        </w:tc>
        <w:tc>
          <w:tcPr>
            <w:tcW w:w="1366" w:type="dxa"/>
          </w:tcPr>
          <w:p w14:paraId="2AE6B762" w14:textId="77777777" w:rsidR="00482467" w:rsidRDefault="008500E6" w:rsidP="00482467">
            <w:pPr>
              <w:rPr>
                <w:lang w:val="en-US"/>
              </w:rPr>
            </w:pPr>
            <w:r>
              <w:rPr>
                <w:lang w:val="en-US"/>
              </w:rPr>
              <w:t>Kiribati, Samoa, Solomon Islands, Tonga, Vanuatu</w:t>
            </w:r>
          </w:p>
        </w:tc>
      </w:tr>
      <w:tr w:rsidR="00482467" w14:paraId="0969C3ED" w14:textId="77777777" w:rsidTr="009E0765">
        <w:tc>
          <w:tcPr>
            <w:tcW w:w="1748" w:type="dxa"/>
          </w:tcPr>
          <w:p w14:paraId="14CF9617" w14:textId="77777777" w:rsidR="00482467" w:rsidRDefault="00482467" w:rsidP="00482467">
            <w:pPr>
              <w:rPr>
                <w:b/>
                <w:bCs/>
                <w:lang w:val="en-US"/>
              </w:rPr>
            </w:pPr>
            <w:r>
              <w:rPr>
                <w:b/>
                <w:bCs/>
                <w:lang w:val="en-US"/>
              </w:rPr>
              <w:t>UNFPA Supplies Program (2018-2022)</w:t>
            </w:r>
          </w:p>
        </w:tc>
        <w:tc>
          <w:tcPr>
            <w:tcW w:w="1075" w:type="dxa"/>
          </w:tcPr>
          <w:p w14:paraId="7ABDBECD" w14:textId="77777777" w:rsidR="00482467" w:rsidRDefault="00482467" w:rsidP="00482467">
            <w:pPr>
              <w:rPr>
                <w:lang w:val="en-US"/>
              </w:rPr>
            </w:pPr>
          </w:p>
          <w:p w14:paraId="5C4DC57E" w14:textId="77777777" w:rsidR="00482467" w:rsidRPr="00E11124" w:rsidRDefault="00482467" w:rsidP="00482467">
            <w:pPr>
              <w:rPr>
                <w:lang w:val="en-US"/>
              </w:rPr>
            </w:pPr>
            <w:r>
              <w:rPr>
                <w:lang w:val="en-US"/>
              </w:rPr>
              <w:t>USD 3.5 million</w:t>
            </w:r>
          </w:p>
        </w:tc>
        <w:tc>
          <w:tcPr>
            <w:tcW w:w="2275" w:type="dxa"/>
          </w:tcPr>
          <w:p w14:paraId="2E9E58E7" w14:textId="77777777" w:rsidR="00482467" w:rsidRPr="00E11124" w:rsidRDefault="00482467" w:rsidP="00482467">
            <w:pPr>
              <w:rPr>
                <w:lang w:val="en-US"/>
              </w:rPr>
            </w:pPr>
            <w:r>
              <w:rPr>
                <w:lang w:val="en-US"/>
              </w:rPr>
              <w:t xml:space="preserve">Strengthen national supply chains </w:t>
            </w:r>
          </w:p>
        </w:tc>
        <w:tc>
          <w:tcPr>
            <w:tcW w:w="2552" w:type="dxa"/>
          </w:tcPr>
          <w:p w14:paraId="0BC55F80" w14:textId="77777777" w:rsidR="00482467" w:rsidRPr="00E11124" w:rsidRDefault="00482467" w:rsidP="00482467">
            <w:pPr>
              <w:rPr>
                <w:lang w:val="en-US"/>
              </w:rPr>
            </w:pPr>
            <w:r>
              <w:rPr>
                <w:lang w:val="en-US"/>
              </w:rPr>
              <w:t>Ensure sustainable supply of a broad mix of contraceptives, and other RH commodities</w:t>
            </w:r>
          </w:p>
        </w:tc>
        <w:tc>
          <w:tcPr>
            <w:tcW w:w="1366" w:type="dxa"/>
          </w:tcPr>
          <w:p w14:paraId="2DED7337" w14:textId="77777777" w:rsidR="00482467" w:rsidRPr="00E11124" w:rsidRDefault="00482467" w:rsidP="00482467">
            <w:pPr>
              <w:rPr>
                <w:lang w:val="en-US"/>
              </w:rPr>
            </w:pPr>
            <w:r>
              <w:rPr>
                <w:lang w:val="en-US"/>
              </w:rPr>
              <w:t>TA six countries plus 8 others</w:t>
            </w:r>
          </w:p>
        </w:tc>
      </w:tr>
      <w:tr w:rsidR="00482467" w14:paraId="1D34F34E" w14:textId="77777777" w:rsidTr="009E0765">
        <w:tc>
          <w:tcPr>
            <w:tcW w:w="1748" w:type="dxa"/>
          </w:tcPr>
          <w:p w14:paraId="398DFE64" w14:textId="77777777" w:rsidR="00482467" w:rsidRDefault="00482467" w:rsidP="00482467">
            <w:pPr>
              <w:rPr>
                <w:b/>
                <w:bCs/>
                <w:lang w:val="en-US"/>
              </w:rPr>
            </w:pPr>
            <w:r>
              <w:rPr>
                <w:b/>
                <w:bCs/>
                <w:lang w:val="en-US"/>
              </w:rPr>
              <w:t>IPPF SPRINT (2007-2021)</w:t>
            </w:r>
          </w:p>
        </w:tc>
        <w:tc>
          <w:tcPr>
            <w:tcW w:w="1075" w:type="dxa"/>
          </w:tcPr>
          <w:p w14:paraId="17650B03" w14:textId="77777777" w:rsidR="00482467" w:rsidRPr="00E11124" w:rsidRDefault="00482467" w:rsidP="00482467">
            <w:pPr>
              <w:rPr>
                <w:lang w:val="en-US"/>
              </w:rPr>
            </w:pPr>
            <w:r>
              <w:rPr>
                <w:lang w:val="en-US"/>
              </w:rPr>
              <w:t>AUD 35 million</w:t>
            </w:r>
          </w:p>
        </w:tc>
        <w:tc>
          <w:tcPr>
            <w:tcW w:w="2275" w:type="dxa"/>
          </w:tcPr>
          <w:p w14:paraId="1A642CE9" w14:textId="77777777" w:rsidR="00482467" w:rsidRPr="00E11124" w:rsidRDefault="00482467" w:rsidP="00482467">
            <w:pPr>
              <w:rPr>
                <w:lang w:val="en-US"/>
              </w:rPr>
            </w:pPr>
            <w:r>
              <w:rPr>
                <w:shd w:val="clear" w:color="auto" w:fill="FFFFFF"/>
              </w:rPr>
              <w:t>Addresses access to SRH in crisis and post-crisis settings - provide safer environments for women to give birth, HIV prevention, family planning services, prevention of sexual violence and assistance to survivors of violence.</w:t>
            </w:r>
          </w:p>
        </w:tc>
        <w:tc>
          <w:tcPr>
            <w:tcW w:w="2552" w:type="dxa"/>
          </w:tcPr>
          <w:p w14:paraId="101BB0AD" w14:textId="77777777" w:rsidR="00482467" w:rsidRPr="009237DE" w:rsidRDefault="00482467" w:rsidP="00482467">
            <w:pPr>
              <w:rPr>
                <w:lang w:val="en-US"/>
              </w:rPr>
            </w:pPr>
            <w:r>
              <w:rPr>
                <w:lang w:val="en-US"/>
              </w:rPr>
              <w:t>SPRINT provides training in Minimum Initial Services Package (MISP);</w:t>
            </w:r>
            <w:r w:rsidR="009237DE">
              <w:rPr>
                <w:lang w:val="en-US"/>
              </w:rPr>
              <w:t xml:space="preserve"> a</w:t>
            </w:r>
            <w:r>
              <w:rPr>
                <w:lang w:val="en-US"/>
              </w:rPr>
              <w:t>nd s</w:t>
            </w:r>
            <w:proofErr w:type="spellStart"/>
            <w:r w:rsidRPr="004F0230">
              <w:rPr>
                <w:rFonts w:cstheme="minorHAnsi"/>
                <w:color w:val="313131"/>
                <w:shd w:val="clear" w:color="auto" w:fill="FFFFFF"/>
              </w:rPr>
              <w:t>upports</w:t>
            </w:r>
            <w:proofErr w:type="spellEnd"/>
            <w:r w:rsidRPr="004F0230">
              <w:rPr>
                <w:rFonts w:cstheme="minorHAnsi"/>
                <w:color w:val="313131"/>
                <w:shd w:val="clear" w:color="auto" w:fill="FFFFFF"/>
              </w:rPr>
              <w:t xml:space="preserve"> national governments to integrate </w:t>
            </w:r>
            <w:r>
              <w:rPr>
                <w:rFonts w:cstheme="minorHAnsi"/>
                <w:color w:val="313131"/>
                <w:shd w:val="clear" w:color="auto" w:fill="FFFFFF"/>
              </w:rPr>
              <w:t>SRH</w:t>
            </w:r>
            <w:r w:rsidRPr="004F0230">
              <w:rPr>
                <w:rFonts w:cstheme="minorHAnsi"/>
                <w:color w:val="313131"/>
                <w:shd w:val="clear" w:color="auto" w:fill="FFFFFF"/>
              </w:rPr>
              <w:t xml:space="preserve"> into national disaster management policies</w:t>
            </w:r>
          </w:p>
        </w:tc>
        <w:tc>
          <w:tcPr>
            <w:tcW w:w="1366" w:type="dxa"/>
          </w:tcPr>
          <w:p w14:paraId="1155A202" w14:textId="77777777" w:rsidR="00482467" w:rsidRPr="00E11124" w:rsidRDefault="00482467" w:rsidP="00482467">
            <w:pPr>
              <w:rPr>
                <w:lang w:val="en-US"/>
              </w:rPr>
            </w:pPr>
            <w:r>
              <w:rPr>
                <w:lang w:val="en-US"/>
              </w:rPr>
              <w:t>Global (incl. Pacific)</w:t>
            </w:r>
          </w:p>
        </w:tc>
      </w:tr>
      <w:tr w:rsidR="00482467" w14:paraId="5A585354" w14:textId="77777777" w:rsidTr="009E0765">
        <w:tc>
          <w:tcPr>
            <w:tcW w:w="1748" w:type="dxa"/>
          </w:tcPr>
          <w:p w14:paraId="1366C33E" w14:textId="77777777" w:rsidR="00482467" w:rsidRDefault="00482467" w:rsidP="00482467">
            <w:pPr>
              <w:rPr>
                <w:b/>
                <w:bCs/>
                <w:lang w:val="en-US"/>
              </w:rPr>
            </w:pPr>
            <w:r>
              <w:rPr>
                <w:b/>
                <w:bCs/>
                <w:lang w:val="en-US"/>
              </w:rPr>
              <w:lastRenderedPageBreak/>
              <w:t>Pacific Women</w:t>
            </w:r>
          </w:p>
          <w:p w14:paraId="685CD512" w14:textId="77777777" w:rsidR="00482467" w:rsidRDefault="00482467" w:rsidP="00482467">
            <w:pPr>
              <w:rPr>
                <w:b/>
                <w:bCs/>
                <w:lang w:val="en-US"/>
              </w:rPr>
            </w:pPr>
            <w:r>
              <w:rPr>
                <w:b/>
                <w:bCs/>
                <w:lang w:val="en-US"/>
              </w:rPr>
              <w:t>Shaping Pacific Development</w:t>
            </w:r>
          </w:p>
          <w:p w14:paraId="4C67128B" w14:textId="77777777" w:rsidR="00482467" w:rsidRDefault="00482467" w:rsidP="00482467">
            <w:pPr>
              <w:rPr>
                <w:b/>
                <w:bCs/>
                <w:lang w:val="en-US"/>
              </w:rPr>
            </w:pPr>
            <w:r>
              <w:rPr>
                <w:b/>
                <w:bCs/>
                <w:lang w:val="en-US"/>
              </w:rPr>
              <w:t>(2017-2022)</w:t>
            </w:r>
          </w:p>
        </w:tc>
        <w:tc>
          <w:tcPr>
            <w:tcW w:w="1075" w:type="dxa"/>
          </w:tcPr>
          <w:p w14:paraId="293F33C4" w14:textId="77777777" w:rsidR="00482467" w:rsidRDefault="00482467" w:rsidP="00482467">
            <w:pPr>
              <w:rPr>
                <w:lang w:val="en-US"/>
              </w:rPr>
            </w:pPr>
            <w:r>
              <w:rPr>
                <w:lang w:val="en-US"/>
              </w:rPr>
              <w:t>AUD 320 million</w:t>
            </w:r>
          </w:p>
          <w:p w14:paraId="78B1B4CD" w14:textId="77777777" w:rsidR="00482467" w:rsidRPr="00E11124" w:rsidRDefault="00482467" w:rsidP="00482467">
            <w:pPr>
              <w:rPr>
                <w:lang w:val="en-US"/>
              </w:rPr>
            </w:pPr>
            <w:r>
              <w:rPr>
                <w:lang w:val="en-US"/>
              </w:rPr>
              <w:t>(70% for country level activities)</w:t>
            </w:r>
          </w:p>
        </w:tc>
        <w:tc>
          <w:tcPr>
            <w:tcW w:w="2275" w:type="dxa"/>
          </w:tcPr>
          <w:p w14:paraId="54720B11" w14:textId="77777777" w:rsidR="00482467" w:rsidRPr="00E11124" w:rsidRDefault="00482467" w:rsidP="00482467">
            <w:pPr>
              <w:rPr>
                <w:lang w:val="en-US"/>
              </w:rPr>
            </w:pPr>
            <w:r>
              <w:t>Violence against women is reduced and survivors of violence have access to support services and to justice.</w:t>
            </w:r>
          </w:p>
        </w:tc>
        <w:tc>
          <w:tcPr>
            <w:tcW w:w="2552" w:type="dxa"/>
          </w:tcPr>
          <w:p w14:paraId="361F68E9" w14:textId="77777777" w:rsidR="00482467" w:rsidRPr="00E11124" w:rsidRDefault="00482467" w:rsidP="00482467">
            <w:pPr>
              <w:rPr>
                <w:lang w:val="en-US"/>
              </w:rPr>
            </w:pPr>
            <w:r>
              <w:t>Provides strategies and activities to reduce violence against women and expanded support services</w:t>
            </w:r>
          </w:p>
        </w:tc>
        <w:tc>
          <w:tcPr>
            <w:tcW w:w="1366" w:type="dxa"/>
          </w:tcPr>
          <w:p w14:paraId="6E089566" w14:textId="77777777" w:rsidR="00482467" w:rsidRPr="00E11124" w:rsidRDefault="00482467" w:rsidP="00482467">
            <w:pPr>
              <w:rPr>
                <w:lang w:val="en-US"/>
              </w:rPr>
            </w:pPr>
            <w:r>
              <w:t>14 countries in the Pacific, including TA six countries</w:t>
            </w:r>
          </w:p>
        </w:tc>
      </w:tr>
      <w:tr w:rsidR="00482467" w14:paraId="1BA4ED0F" w14:textId="77777777" w:rsidTr="009E0765">
        <w:tc>
          <w:tcPr>
            <w:tcW w:w="1748" w:type="dxa"/>
          </w:tcPr>
          <w:p w14:paraId="09819F4D" w14:textId="77777777" w:rsidR="00482467" w:rsidRDefault="00482467" w:rsidP="00482467">
            <w:pPr>
              <w:rPr>
                <w:b/>
                <w:bCs/>
                <w:lang w:val="en-US"/>
              </w:rPr>
            </w:pPr>
            <w:r>
              <w:rPr>
                <w:b/>
                <w:bCs/>
                <w:lang w:val="en-US"/>
              </w:rPr>
              <w:t>Vanuatu Health Program</w:t>
            </w:r>
            <w:r w:rsidR="00743B97">
              <w:rPr>
                <w:b/>
                <w:bCs/>
                <w:lang w:val="en-US"/>
              </w:rPr>
              <w:t xml:space="preserve"> (VHP)</w:t>
            </w:r>
          </w:p>
          <w:p w14:paraId="4CC90205" w14:textId="77777777" w:rsidR="00482467" w:rsidRDefault="00482467" w:rsidP="00482467">
            <w:pPr>
              <w:rPr>
                <w:b/>
                <w:bCs/>
                <w:lang w:val="en-US"/>
              </w:rPr>
            </w:pPr>
            <w:r>
              <w:rPr>
                <w:b/>
                <w:bCs/>
                <w:lang w:val="en-US"/>
              </w:rPr>
              <w:t>(2019-2023)</w:t>
            </w:r>
          </w:p>
        </w:tc>
        <w:tc>
          <w:tcPr>
            <w:tcW w:w="1075" w:type="dxa"/>
          </w:tcPr>
          <w:p w14:paraId="565F6ABB" w14:textId="77777777" w:rsidR="00482467" w:rsidRDefault="00482467" w:rsidP="00482467">
            <w:pPr>
              <w:rPr>
                <w:lang w:val="en-US"/>
              </w:rPr>
            </w:pPr>
            <w:r>
              <w:rPr>
                <w:lang w:val="en-US"/>
              </w:rPr>
              <w:t xml:space="preserve">AUD 25 million </w:t>
            </w:r>
          </w:p>
        </w:tc>
        <w:tc>
          <w:tcPr>
            <w:tcW w:w="2275" w:type="dxa"/>
          </w:tcPr>
          <w:p w14:paraId="258E7DDF" w14:textId="77777777" w:rsidR="00482467" w:rsidRDefault="00482467" w:rsidP="00482467">
            <w:pPr>
              <w:rPr>
                <w:lang w:val="en-US"/>
              </w:rPr>
            </w:pPr>
            <w:r>
              <w:rPr>
                <w:lang w:val="en-US"/>
              </w:rPr>
              <w:t>Responds to MOH immediate priorities while working on systemic changes needed for sustainability.</w:t>
            </w:r>
          </w:p>
          <w:p w14:paraId="667FAA1A" w14:textId="77777777" w:rsidR="00482467" w:rsidRDefault="00482467" w:rsidP="00482467">
            <w:pPr>
              <w:rPr>
                <w:lang w:val="en-US"/>
              </w:rPr>
            </w:pPr>
            <w:r>
              <w:rPr>
                <w:lang w:val="en-US"/>
              </w:rPr>
              <w:t>4 components:</w:t>
            </w:r>
          </w:p>
          <w:p w14:paraId="4AAD9C55" w14:textId="77777777" w:rsidR="00482467" w:rsidRDefault="00482467" w:rsidP="00482467">
            <w:pPr>
              <w:pStyle w:val="NoSpacing"/>
              <w:rPr>
                <w:lang w:val="en-US"/>
              </w:rPr>
            </w:pPr>
            <w:r>
              <w:rPr>
                <w:lang w:val="en-US"/>
              </w:rPr>
              <w:t xml:space="preserve">1.Corporate services; 2.PHC priorities; </w:t>
            </w:r>
          </w:p>
          <w:p w14:paraId="01535082" w14:textId="77777777" w:rsidR="00482467" w:rsidRDefault="00482467" w:rsidP="00482467">
            <w:pPr>
              <w:pStyle w:val="NoSpacing"/>
              <w:rPr>
                <w:lang w:val="en-US"/>
              </w:rPr>
            </w:pPr>
            <w:r>
              <w:rPr>
                <w:lang w:val="en-US"/>
              </w:rPr>
              <w:t>3. Provincial focus (PHC);</w:t>
            </w:r>
          </w:p>
          <w:p w14:paraId="744446B7" w14:textId="77777777" w:rsidR="00482467" w:rsidRDefault="00482467" w:rsidP="00482467">
            <w:pPr>
              <w:pStyle w:val="NoSpacing"/>
              <w:rPr>
                <w:lang w:val="en-US"/>
              </w:rPr>
            </w:pPr>
            <w:r>
              <w:rPr>
                <w:lang w:val="en-US"/>
              </w:rPr>
              <w:t>4. Workforce development</w:t>
            </w:r>
          </w:p>
        </w:tc>
        <w:tc>
          <w:tcPr>
            <w:tcW w:w="2552" w:type="dxa"/>
          </w:tcPr>
          <w:p w14:paraId="7A59E339" w14:textId="77777777" w:rsidR="00482467" w:rsidRDefault="00482467" w:rsidP="00482467">
            <w:r>
              <w:t>Vanuatu government prioritises strengthening the FP program and reducing unmet need. This priority could be included in VHP to cover all SDPs in all provinces</w:t>
            </w:r>
            <w:r w:rsidR="00077027">
              <w:t>.</w:t>
            </w:r>
          </w:p>
          <w:p w14:paraId="656EFA1D" w14:textId="77777777" w:rsidR="00077027" w:rsidRDefault="00077027" w:rsidP="00482467">
            <w:r>
              <w:t>WHO is a partner in this program, strengthening the HIS.</w:t>
            </w:r>
          </w:p>
        </w:tc>
        <w:tc>
          <w:tcPr>
            <w:tcW w:w="1366" w:type="dxa"/>
          </w:tcPr>
          <w:p w14:paraId="6D7E26D7" w14:textId="77777777" w:rsidR="00482467" w:rsidRDefault="00482467" w:rsidP="00482467">
            <w:r>
              <w:t>Vanuatu – 2 provinces at a time</w:t>
            </w:r>
          </w:p>
        </w:tc>
      </w:tr>
      <w:tr w:rsidR="00482467" w14:paraId="5B131374" w14:textId="77777777" w:rsidTr="009E0765">
        <w:tc>
          <w:tcPr>
            <w:tcW w:w="1748" w:type="dxa"/>
          </w:tcPr>
          <w:p w14:paraId="2127221B" w14:textId="77777777" w:rsidR="00482467" w:rsidRDefault="00482467" w:rsidP="00482467">
            <w:pPr>
              <w:rPr>
                <w:b/>
                <w:bCs/>
                <w:lang w:val="en-US"/>
              </w:rPr>
            </w:pPr>
            <w:r>
              <w:rPr>
                <w:b/>
                <w:bCs/>
                <w:lang w:val="en-US"/>
              </w:rPr>
              <w:t>Impact Project Samoa</w:t>
            </w:r>
          </w:p>
          <w:p w14:paraId="75542E7C" w14:textId="77777777" w:rsidR="00482467" w:rsidRDefault="00482467" w:rsidP="00482467">
            <w:pPr>
              <w:rPr>
                <w:b/>
                <w:bCs/>
                <w:lang w:val="en-US"/>
              </w:rPr>
            </w:pPr>
            <w:r>
              <w:rPr>
                <w:b/>
                <w:bCs/>
                <w:lang w:val="en-US"/>
              </w:rPr>
              <w:t>(2017-2020)</w:t>
            </w:r>
          </w:p>
          <w:p w14:paraId="39885298" w14:textId="77777777" w:rsidR="00482467" w:rsidRDefault="00482467" w:rsidP="00482467">
            <w:pPr>
              <w:rPr>
                <w:b/>
                <w:bCs/>
                <w:lang w:val="en-US"/>
              </w:rPr>
            </w:pPr>
          </w:p>
        </w:tc>
        <w:tc>
          <w:tcPr>
            <w:tcW w:w="1075" w:type="dxa"/>
          </w:tcPr>
          <w:p w14:paraId="3DD55B53" w14:textId="77777777" w:rsidR="00482467" w:rsidRDefault="00482467" w:rsidP="00482467">
            <w:pPr>
              <w:rPr>
                <w:lang w:val="en-US"/>
              </w:rPr>
            </w:pPr>
            <w:r>
              <w:rPr>
                <w:lang w:val="en-US"/>
              </w:rPr>
              <w:t xml:space="preserve"> AUD 5 million</w:t>
            </w:r>
          </w:p>
        </w:tc>
        <w:tc>
          <w:tcPr>
            <w:tcW w:w="2275" w:type="dxa"/>
          </w:tcPr>
          <w:p w14:paraId="3D1D4B48" w14:textId="77777777" w:rsidR="00482467" w:rsidRDefault="00482467" w:rsidP="00482467">
            <w:pPr>
              <w:rPr>
                <w:lang w:val="en-US"/>
              </w:rPr>
            </w:pPr>
            <w:r>
              <w:rPr>
                <w:lang w:val="en-US"/>
              </w:rPr>
              <w:t>Outreach to 41 villages quarterly; Uses youth engagement strategy to reach young people; joint planning and peer education for youth with SRCS</w:t>
            </w:r>
          </w:p>
        </w:tc>
        <w:tc>
          <w:tcPr>
            <w:tcW w:w="2552" w:type="dxa"/>
          </w:tcPr>
          <w:p w14:paraId="27DDD19D" w14:textId="77777777" w:rsidR="00482467" w:rsidRDefault="00482467" w:rsidP="00482467">
            <w:r>
              <w:t xml:space="preserve">Samoa Govt has a target of 80% women using contraceptives by 2030; SFHA could do more to support FP/SRH including training SDP staff. </w:t>
            </w:r>
          </w:p>
        </w:tc>
        <w:tc>
          <w:tcPr>
            <w:tcW w:w="1366" w:type="dxa"/>
          </w:tcPr>
          <w:p w14:paraId="03BF4051" w14:textId="77777777" w:rsidR="00482467" w:rsidRDefault="00482467" w:rsidP="00482467">
            <w:r>
              <w:t>Samoa</w:t>
            </w:r>
          </w:p>
        </w:tc>
      </w:tr>
      <w:tr w:rsidR="00482467" w14:paraId="5EFCC926" w14:textId="77777777" w:rsidTr="009E0765">
        <w:tc>
          <w:tcPr>
            <w:tcW w:w="1748" w:type="dxa"/>
          </w:tcPr>
          <w:p w14:paraId="05DE338B" w14:textId="77777777" w:rsidR="00482467" w:rsidRDefault="00482467" w:rsidP="00482467">
            <w:pPr>
              <w:rPr>
                <w:b/>
                <w:bCs/>
                <w:lang w:val="en-US"/>
              </w:rPr>
            </w:pPr>
            <w:r>
              <w:rPr>
                <w:b/>
                <w:bCs/>
                <w:lang w:val="en-US"/>
              </w:rPr>
              <w:t>Samoa Health Program (2013-2022)</w:t>
            </w:r>
          </w:p>
        </w:tc>
        <w:tc>
          <w:tcPr>
            <w:tcW w:w="1075" w:type="dxa"/>
          </w:tcPr>
          <w:p w14:paraId="386C0C46" w14:textId="77777777" w:rsidR="00482467" w:rsidRDefault="00482467" w:rsidP="00482467">
            <w:pPr>
              <w:rPr>
                <w:lang w:val="en-US"/>
              </w:rPr>
            </w:pPr>
            <w:r>
              <w:rPr>
                <w:lang w:val="en-US"/>
              </w:rPr>
              <w:t>AUD 9.2 million</w:t>
            </w:r>
          </w:p>
        </w:tc>
        <w:tc>
          <w:tcPr>
            <w:tcW w:w="2275" w:type="dxa"/>
          </w:tcPr>
          <w:p w14:paraId="241FBCC9" w14:textId="77777777" w:rsidR="00482467" w:rsidRDefault="00482467" w:rsidP="00482467">
            <w:pPr>
              <w:rPr>
                <w:lang w:val="en-US"/>
              </w:rPr>
            </w:pPr>
            <w:r>
              <w:rPr>
                <w:lang w:val="en-US"/>
              </w:rPr>
              <w:t>Focus on PHC; improve leadership and governance; improve SRH outcomes.</w:t>
            </w:r>
          </w:p>
          <w:p w14:paraId="709A3F50" w14:textId="77777777" w:rsidR="00482467" w:rsidRDefault="00482467" w:rsidP="00482467">
            <w:pPr>
              <w:rPr>
                <w:lang w:val="en-US"/>
              </w:rPr>
            </w:pPr>
            <w:r>
              <w:rPr>
                <w:lang w:val="en-US"/>
              </w:rPr>
              <w:t xml:space="preserve">DFAT Aid Investment Plan 2018-2019 </w:t>
            </w:r>
            <w:proofErr w:type="spellStart"/>
            <w:r>
              <w:rPr>
                <w:lang w:val="en-US"/>
              </w:rPr>
              <w:t>prioritises</w:t>
            </w:r>
            <w:proofErr w:type="spellEnd"/>
            <w:r>
              <w:rPr>
                <w:lang w:val="en-US"/>
              </w:rPr>
              <w:t xml:space="preserve"> use of civil society initiatives as a strategic priority.</w:t>
            </w:r>
          </w:p>
          <w:p w14:paraId="687BC729" w14:textId="77777777" w:rsidR="00482467" w:rsidRDefault="00482467" w:rsidP="00482467">
            <w:pPr>
              <w:rPr>
                <w:lang w:val="en-US"/>
              </w:rPr>
            </w:pPr>
            <w:r>
              <w:rPr>
                <w:lang w:val="en-US"/>
              </w:rPr>
              <w:t>Includes Samoa Impact Project implemented by SFHA</w:t>
            </w:r>
          </w:p>
        </w:tc>
        <w:tc>
          <w:tcPr>
            <w:tcW w:w="2552" w:type="dxa"/>
          </w:tcPr>
          <w:p w14:paraId="6F946DB2" w14:textId="77777777" w:rsidR="00482467" w:rsidRDefault="00482467" w:rsidP="00482467">
            <w:r>
              <w:t>SFHA Impact Program (above) aims to increase SRH services through static clinics by 5%; and increase by 2% SRH services provided through quality assured SRH outreach services</w:t>
            </w:r>
          </w:p>
        </w:tc>
        <w:tc>
          <w:tcPr>
            <w:tcW w:w="1366" w:type="dxa"/>
          </w:tcPr>
          <w:p w14:paraId="2C4144E5" w14:textId="77777777" w:rsidR="00482467" w:rsidRDefault="00482467" w:rsidP="00482467">
            <w:r>
              <w:t>Samoa</w:t>
            </w:r>
          </w:p>
        </w:tc>
      </w:tr>
      <w:tr w:rsidR="00482467" w14:paraId="411F8BE7" w14:textId="77777777" w:rsidTr="009E0765">
        <w:tc>
          <w:tcPr>
            <w:tcW w:w="1748" w:type="dxa"/>
          </w:tcPr>
          <w:p w14:paraId="22BDAD58" w14:textId="77777777" w:rsidR="00482467" w:rsidRDefault="00482467" w:rsidP="00482467">
            <w:pPr>
              <w:rPr>
                <w:b/>
                <w:bCs/>
                <w:lang w:val="en-US"/>
              </w:rPr>
            </w:pPr>
            <w:r>
              <w:rPr>
                <w:b/>
                <w:bCs/>
                <w:lang w:val="en-US"/>
              </w:rPr>
              <w:lastRenderedPageBreak/>
              <w:t>Solomon Islands Health Sector Support Program</w:t>
            </w:r>
            <w:r w:rsidR="00BA7508">
              <w:rPr>
                <w:b/>
                <w:bCs/>
                <w:lang w:val="en-US"/>
              </w:rPr>
              <w:t xml:space="preserve"> (HSSP)</w:t>
            </w:r>
          </w:p>
          <w:p w14:paraId="61AFCA14" w14:textId="77777777" w:rsidR="00482467" w:rsidRDefault="00482467" w:rsidP="00482467">
            <w:pPr>
              <w:rPr>
                <w:b/>
                <w:bCs/>
                <w:lang w:val="en-US"/>
              </w:rPr>
            </w:pPr>
            <w:r>
              <w:rPr>
                <w:b/>
                <w:bCs/>
                <w:lang w:val="en-US"/>
              </w:rPr>
              <w:t>2016-2020</w:t>
            </w:r>
          </w:p>
        </w:tc>
        <w:tc>
          <w:tcPr>
            <w:tcW w:w="1075" w:type="dxa"/>
          </w:tcPr>
          <w:p w14:paraId="2FE85B8D" w14:textId="77777777" w:rsidR="00482467" w:rsidRDefault="00482467" w:rsidP="00482467">
            <w:pPr>
              <w:rPr>
                <w:lang w:val="en-US"/>
              </w:rPr>
            </w:pPr>
            <w:r>
              <w:rPr>
                <w:lang w:val="en-US"/>
              </w:rPr>
              <w:t>AUD 66 million</w:t>
            </w:r>
          </w:p>
        </w:tc>
        <w:tc>
          <w:tcPr>
            <w:tcW w:w="2275" w:type="dxa"/>
          </w:tcPr>
          <w:p w14:paraId="000CF47D" w14:textId="77777777" w:rsidR="00482467" w:rsidRDefault="00482467" w:rsidP="00482467">
            <w:pPr>
              <w:rPr>
                <w:lang w:val="en-US"/>
              </w:rPr>
            </w:pPr>
            <w:r>
              <w:rPr>
                <w:lang w:val="en-US"/>
              </w:rPr>
              <w:t>To improve access to quality UHC; improved quantity and quality of PHC services; stronger health system to support service delivery; reforms to health system for sustainability</w:t>
            </w:r>
          </w:p>
        </w:tc>
        <w:tc>
          <w:tcPr>
            <w:tcW w:w="2552" w:type="dxa"/>
          </w:tcPr>
          <w:p w14:paraId="0C0BFEBC" w14:textId="77777777" w:rsidR="00482467" w:rsidRDefault="00482467" w:rsidP="00482467">
            <w:r>
              <w:t>Family Health Committee helps drives the program; established MDSR reporting and GBV clinical guidelines  and training (2016); stock availability system in place and monitored; one indicator is # FP contacts/1000 population; increase in contraceptive contacts seen at SDPs; and outreach activities increased.</w:t>
            </w:r>
          </w:p>
          <w:p w14:paraId="433822ED" w14:textId="77777777" w:rsidR="00482467" w:rsidRDefault="00482467" w:rsidP="00482467">
            <w:r>
              <w:t xml:space="preserve">New health program by Dec 2020 with continued use of SIG systems, including general sector budget support. </w:t>
            </w:r>
          </w:p>
        </w:tc>
        <w:tc>
          <w:tcPr>
            <w:tcW w:w="1366" w:type="dxa"/>
          </w:tcPr>
          <w:p w14:paraId="5BA0C12C" w14:textId="77777777" w:rsidR="00482467" w:rsidRDefault="00482467" w:rsidP="00482467">
            <w:r>
              <w:t>Solomon Islands – all provinces</w:t>
            </w:r>
          </w:p>
        </w:tc>
      </w:tr>
      <w:tr w:rsidR="00482467" w14:paraId="4A01C53C" w14:textId="77777777" w:rsidTr="009E0765">
        <w:tc>
          <w:tcPr>
            <w:tcW w:w="1748" w:type="dxa"/>
          </w:tcPr>
          <w:p w14:paraId="7246EB5D" w14:textId="77777777" w:rsidR="00482467" w:rsidRDefault="00482467" w:rsidP="00482467">
            <w:pPr>
              <w:rPr>
                <w:b/>
                <w:bCs/>
                <w:lang w:val="en-US"/>
              </w:rPr>
            </w:pPr>
            <w:r>
              <w:rPr>
                <w:b/>
                <w:bCs/>
                <w:lang w:val="en-US"/>
              </w:rPr>
              <w:t>Fiji Program Support Facility (2017-2022) Public Private Partnership in the Health Sector</w:t>
            </w:r>
          </w:p>
        </w:tc>
        <w:tc>
          <w:tcPr>
            <w:tcW w:w="1075" w:type="dxa"/>
          </w:tcPr>
          <w:p w14:paraId="25C055CF" w14:textId="77777777" w:rsidR="00482467" w:rsidRDefault="00482467" w:rsidP="00482467">
            <w:pPr>
              <w:rPr>
                <w:lang w:val="en-US"/>
              </w:rPr>
            </w:pPr>
            <w:r>
              <w:rPr>
                <w:lang w:val="en-US"/>
              </w:rPr>
              <w:t>AUD 25 million</w:t>
            </w:r>
          </w:p>
        </w:tc>
        <w:tc>
          <w:tcPr>
            <w:tcW w:w="2275" w:type="dxa"/>
          </w:tcPr>
          <w:p w14:paraId="5EA8A5F6" w14:textId="77777777" w:rsidR="00482467" w:rsidRDefault="00482467" w:rsidP="00482467">
            <w:pPr>
              <w:rPr>
                <w:lang w:val="en-US"/>
              </w:rPr>
            </w:pPr>
            <w:r>
              <w:rPr>
                <w:lang w:val="en-US"/>
              </w:rPr>
              <w:t>Work with Fijian Govt to increase capacity and efficiency of health system; support Fiji to respond to NCD epidemic; focus on cost effective PHC and prevention; midwife training; community level program in NCD and mental health; emergency preparation and response</w:t>
            </w:r>
          </w:p>
        </w:tc>
        <w:tc>
          <w:tcPr>
            <w:tcW w:w="2552" w:type="dxa"/>
          </w:tcPr>
          <w:p w14:paraId="06F3BE50" w14:textId="77777777" w:rsidR="00482467" w:rsidRDefault="00482467" w:rsidP="00482467">
            <w:r>
              <w:t>Midwives trained in SRHR also; community program mechanisms could be used for FP/SRHR; more use of CSOs</w:t>
            </w:r>
          </w:p>
        </w:tc>
        <w:tc>
          <w:tcPr>
            <w:tcW w:w="1366" w:type="dxa"/>
          </w:tcPr>
          <w:p w14:paraId="4FD8C4C6" w14:textId="77777777" w:rsidR="00482467" w:rsidRDefault="00482467" w:rsidP="00482467">
            <w:r>
              <w:t>Fiji</w:t>
            </w:r>
          </w:p>
        </w:tc>
      </w:tr>
      <w:tr w:rsidR="00482467" w14:paraId="40468ECD" w14:textId="77777777" w:rsidTr="009E0765">
        <w:tc>
          <w:tcPr>
            <w:tcW w:w="1748" w:type="dxa"/>
          </w:tcPr>
          <w:p w14:paraId="40F85874" w14:textId="77777777" w:rsidR="00482467" w:rsidRDefault="00482467" w:rsidP="00482467">
            <w:pPr>
              <w:rPr>
                <w:b/>
                <w:bCs/>
                <w:lang w:val="en-US"/>
              </w:rPr>
            </w:pPr>
            <w:r>
              <w:rPr>
                <w:b/>
                <w:bCs/>
                <w:lang w:val="en-US"/>
              </w:rPr>
              <w:t>Tonga Health Systems Support Program (Phase 11)</w:t>
            </w:r>
          </w:p>
          <w:p w14:paraId="126622D3" w14:textId="77777777" w:rsidR="00482467" w:rsidRDefault="00482467" w:rsidP="00482467">
            <w:pPr>
              <w:rPr>
                <w:b/>
                <w:bCs/>
                <w:lang w:val="en-US"/>
              </w:rPr>
            </w:pPr>
            <w:r>
              <w:rPr>
                <w:b/>
                <w:bCs/>
                <w:lang w:val="en-US"/>
              </w:rPr>
              <w:t>(2015-2020)</w:t>
            </w:r>
          </w:p>
        </w:tc>
        <w:tc>
          <w:tcPr>
            <w:tcW w:w="1075" w:type="dxa"/>
          </w:tcPr>
          <w:p w14:paraId="7352B378" w14:textId="77777777" w:rsidR="00482467" w:rsidRDefault="00482467" w:rsidP="00482467">
            <w:pPr>
              <w:rPr>
                <w:lang w:val="en-US"/>
              </w:rPr>
            </w:pPr>
            <w:r>
              <w:rPr>
                <w:lang w:val="en-US"/>
              </w:rPr>
              <w:t>AUD 17 million</w:t>
            </w:r>
          </w:p>
        </w:tc>
        <w:tc>
          <w:tcPr>
            <w:tcW w:w="2275" w:type="dxa"/>
          </w:tcPr>
          <w:p w14:paraId="46BBF2FC" w14:textId="77777777" w:rsidR="00482467" w:rsidRDefault="00482467" w:rsidP="00482467">
            <w:pPr>
              <w:rPr>
                <w:lang w:val="en-US"/>
              </w:rPr>
            </w:pPr>
            <w:r>
              <w:rPr>
                <w:lang w:val="en-US"/>
              </w:rPr>
              <w:t>Includes: management of NCD in PHC; NCD health promotion; support for mental health and disability services. Additional support to be given for data collection and analysis</w:t>
            </w:r>
          </w:p>
        </w:tc>
        <w:tc>
          <w:tcPr>
            <w:tcW w:w="2552" w:type="dxa"/>
          </w:tcPr>
          <w:p w14:paraId="33659912" w14:textId="77777777" w:rsidR="00482467" w:rsidRDefault="00482467" w:rsidP="00482467">
            <w:r>
              <w:t xml:space="preserve">Strategies for implementation of NCD BCC and IEC resources could be adapted for FP/SRH. Improvements to HIS and data collection could benefit TA </w:t>
            </w:r>
            <w:r w:rsidR="00940D4C">
              <w:t>program if</w:t>
            </w:r>
            <w:r>
              <w:t xml:space="preserve"> FP/SRH data collection and indicators included.</w:t>
            </w:r>
          </w:p>
        </w:tc>
        <w:tc>
          <w:tcPr>
            <w:tcW w:w="1366" w:type="dxa"/>
          </w:tcPr>
          <w:p w14:paraId="5BAE141D" w14:textId="77777777" w:rsidR="00482467" w:rsidRDefault="00482467" w:rsidP="00482467">
            <w:r>
              <w:t>Tonga</w:t>
            </w:r>
          </w:p>
        </w:tc>
      </w:tr>
    </w:tbl>
    <w:p w14:paraId="6DE12862" w14:textId="77777777" w:rsidR="00125E43" w:rsidRPr="00125E43" w:rsidRDefault="00F87AA9" w:rsidP="00714E9A">
      <w:pPr>
        <w:pStyle w:val="NumberedLevel1heading"/>
        <w:ind w:left="0" w:firstLine="0"/>
        <w:jc w:val="left"/>
      </w:pPr>
      <w:bookmarkStart w:id="51" w:name="_Toc76630108"/>
      <w:r>
        <w:lastRenderedPageBreak/>
        <w:t xml:space="preserve">Annex 5: </w:t>
      </w:r>
      <w:r w:rsidR="000E3964">
        <w:t xml:space="preserve">Synergies across Related Programs with Shared </w:t>
      </w:r>
      <w:r w:rsidR="00125E43" w:rsidRPr="00125E43">
        <w:t>Implementing Partners</w:t>
      </w:r>
      <w:bookmarkEnd w:id="51"/>
      <w:r w:rsidR="000E3964">
        <w:t xml:space="preserve"> </w:t>
      </w:r>
    </w:p>
    <w:tbl>
      <w:tblPr>
        <w:tblStyle w:val="GridTable4"/>
        <w:tblW w:w="8931" w:type="dxa"/>
        <w:tblLook w:val="04A0" w:firstRow="1" w:lastRow="0" w:firstColumn="1" w:lastColumn="0" w:noHBand="0" w:noVBand="1"/>
      </w:tblPr>
      <w:tblGrid>
        <w:gridCol w:w="4248"/>
        <w:gridCol w:w="1701"/>
        <w:gridCol w:w="1134"/>
        <w:gridCol w:w="1848"/>
      </w:tblGrid>
      <w:tr w:rsidR="00125E43" w:rsidRPr="00982E44" w14:paraId="60C20411" w14:textId="77777777" w:rsidTr="00E4259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48" w:type="dxa"/>
            <w:noWrap/>
            <w:hideMark/>
          </w:tcPr>
          <w:p w14:paraId="71D7369A" w14:textId="77777777" w:rsidR="00125E43" w:rsidRPr="005F68D1" w:rsidRDefault="00125E43" w:rsidP="009E0765">
            <w:pPr>
              <w:spacing w:after="0" w:line="240" w:lineRule="auto"/>
              <w:jc w:val="center"/>
              <w:rPr>
                <w:rFonts w:cstheme="minorHAnsi"/>
                <w:b w:val="0"/>
                <w:bCs w:val="0"/>
                <w:sz w:val="24"/>
                <w:lang w:eastAsia="en-AU"/>
              </w:rPr>
            </w:pPr>
            <w:r w:rsidRPr="005F68D1">
              <w:rPr>
                <w:rFonts w:cstheme="minorHAnsi"/>
                <w:b w:val="0"/>
                <w:bCs w:val="0"/>
                <w:sz w:val="24"/>
                <w:lang w:eastAsia="en-AU"/>
              </w:rPr>
              <w:t>Implementing Partners</w:t>
            </w:r>
            <w:r w:rsidR="00F87AA9" w:rsidRPr="005F68D1">
              <w:rPr>
                <w:rFonts w:cstheme="minorHAnsi"/>
                <w:b w:val="0"/>
                <w:bCs w:val="0"/>
                <w:sz w:val="24"/>
                <w:lang w:eastAsia="en-AU"/>
              </w:rPr>
              <w:t xml:space="preserve"> </w:t>
            </w:r>
          </w:p>
        </w:tc>
        <w:tc>
          <w:tcPr>
            <w:tcW w:w="1701" w:type="dxa"/>
            <w:hideMark/>
          </w:tcPr>
          <w:p w14:paraId="6856ADA6" w14:textId="77777777" w:rsidR="00125E43" w:rsidRPr="005F68D1" w:rsidRDefault="00125E43" w:rsidP="009E07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lang w:eastAsia="en-AU"/>
              </w:rPr>
            </w:pPr>
            <w:r w:rsidRPr="005F68D1">
              <w:rPr>
                <w:rFonts w:cstheme="minorHAnsi"/>
                <w:b w:val="0"/>
                <w:bCs w:val="0"/>
                <w:sz w:val="24"/>
                <w:lang w:eastAsia="en-AU"/>
              </w:rPr>
              <w:t xml:space="preserve">DFAT </w:t>
            </w:r>
            <w:r w:rsidR="000E3964" w:rsidRPr="005F68D1">
              <w:rPr>
                <w:rFonts w:cstheme="minorHAnsi"/>
                <w:b w:val="0"/>
                <w:bCs w:val="0"/>
                <w:sz w:val="24"/>
                <w:lang w:eastAsia="en-AU"/>
              </w:rPr>
              <w:t xml:space="preserve">TA Program </w:t>
            </w:r>
            <w:r w:rsidRPr="005F68D1">
              <w:rPr>
                <w:rFonts w:cstheme="minorHAnsi"/>
                <w:b w:val="0"/>
                <w:bCs w:val="0"/>
                <w:sz w:val="24"/>
                <w:lang w:eastAsia="en-AU"/>
              </w:rPr>
              <w:t>(2018-onwards)</w:t>
            </w:r>
          </w:p>
        </w:tc>
        <w:tc>
          <w:tcPr>
            <w:tcW w:w="1134" w:type="dxa"/>
            <w:hideMark/>
          </w:tcPr>
          <w:p w14:paraId="6050B54F" w14:textId="77777777" w:rsidR="00125E43" w:rsidRPr="005F68D1" w:rsidRDefault="00125E43" w:rsidP="009E07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lang w:eastAsia="en-AU"/>
              </w:rPr>
            </w:pPr>
            <w:r w:rsidRPr="005F68D1">
              <w:rPr>
                <w:rFonts w:cstheme="minorHAnsi"/>
                <w:b w:val="0"/>
                <w:bCs w:val="0"/>
                <w:sz w:val="24"/>
                <w:lang w:eastAsia="en-AU"/>
              </w:rPr>
              <w:t>MFAT</w:t>
            </w:r>
            <w:r w:rsidR="000E3964" w:rsidRPr="005F68D1">
              <w:rPr>
                <w:rFonts w:cstheme="minorHAnsi"/>
                <w:b w:val="0"/>
                <w:bCs w:val="0"/>
                <w:sz w:val="24"/>
                <w:lang w:eastAsia="en-AU"/>
              </w:rPr>
              <w:t xml:space="preserve"> PRSRH Program</w:t>
            </w:r>
          </w:p>
        </w:tc>
        <w:tc>
          <w:tcPr>
            <w:tcW w:w="1848" w:type="dxa"/>
            <w:hideMark/>
          </w:tcPr>
          <w:p w14:paraId="13488925" w14:textId="77777777" w:rsidR="00125E43" w:rsidRPr="005F68D1" w:rsidRDefault="00125E43" w:rsidP="009E07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lang w:eastAsia="en-AU"/>
              </w:rPr>
            </w:pPr>
            <w:r w:rsidRPr="005F68D1">
              <w:rPr>
                <w:rFonts w:cstheme="minorHAnsi"/>
                <w:b w:val="0"/>
                <w:bCs w:val="0"/>
                <w:sz w:val="24"/>
                <w:lang w:eastAsia="en-AU"/>
              </w:rPr>
              <w:t>UNFPA Core and Other Resources during SRP6</w:t>
            </w:r>
          </w:p>
        </w:tc>
      </w:tr>
      <w:tr w:rsidR="00125E43" w:rsidRPr="00982E44" w14:paraId="51666F1E" w14:textId="77777777" w:rsidTr="00E425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0E22DFCA" w14:textId="77777777" w:rsidR="00125E43" w:rsidRPr="00982E44" w:rsidRDefault="00125E43" w:rsidP="009E0765">
            <w:pPr>
              <w:spacing w:after="0" w:line="240" w:lineRule="auto"/>
              <w:rPr>
                <w:rFonts w:cstheme="minorHAnsi"/>
                <w:b w:val="0"/>
                <w:bCs w:val="0"/>
                <w:color w:val="000000"/>
                <w:sz w:val="20"/>
                <w:szCs w:val="20"/>
                <w:lang w:eastAsia="en-AU"/>
              </w:rPr>
            </w:pPr>
            <w:r w:rsidRPr="00982E44">
              <w:rPr>
                <w:rFonts w:cstheme="minorHAnsi"/>
                <w:b w:val="0"/>
                <w:bCs w:val="0"/>
                <w:color w:val="000000"/>
                <w:sz w:val="20"/>
                <w:szCs w:val="20"/>
                <w:lang w:eastAsia="en-AU"/>
              </w:rPr>
              <w:t>Tonga</w:t>
            </w:r>
          </w:p>
        </w:tc>
        <w:tc>
          <w:tcPr>
            <w:tcW w:w="1701" w:type="dxa"/>
            <w:noWrap/>
            <w:hideMark/>
          </w:tcPr>
          <w:p w14:paraId="6AEFF32A"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134" w:type="dxa"/>
            <w:noWrap/>
            <w:hideMark/>
          </w:tcPr>
          <w:p w14:paraId="12508799"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366EBD71"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r>
      <w:tr w:rsidR="00125E43" w:rsidRPr="00982E44" w14:paraId="4B07298B" w14:textId="77777777" w:rsidTr="00E4259E">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61C1AE49"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M</w:t>
            </w:r>
            <w:r>
              <w:rPr>
                <w:rFonts w:cstheme="minorHAnsi"/>
                <w:color w:val="000000"/>
                <w:sz w:val="20"/>
                <w:szCs w:val="20"/>
                <w:lang w:eastAsia="en-AU"/>
              </w:rPr>
              <w:t>inistry of Health</w:t>
            </w:r>
          </w:p>
        </w:tc>
        <w:tc>
          <w:tcPr>
            <w:tcW w:w="1701" w:type="dxa"/>
            <w:noWrap/>
            <w:hideMark/>
          </w:tcPr>
          <w:p w14:paraId="5E47FEEF"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0B0BFD8E"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xml:space="preserve">X  </w:t>
            </w:r>
          </w:p>
        </w:tc>
        <w:tc>
          <w:tcPr>
            <w:tcW w:w="1848" w:type="dxa"/>
            <w:noWrap/>
            <w:hideMark/>
          </w:tcPr>
          <w:p w14:paraId="660AE52F"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r>
      <w:tr w:rsidR="00125E43" w:rsidRPr="00982E44" w14:paraId="5CFDFA04" w14:textId="77777777" w:rsidTr="00E425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6CD1A1CB" w14:textId="77777777" w:rsidR="00125E43" w:rsidRPr="00982E44" w:rsidRDefault="00125E43" w:rsidP="009E0765">
            <w:pPr>
              <w:spacing w:after="0" w:line="240" w:lineRule="auto"/>
              <w:rPr>
                <w:rFonts w:cstheme="minorHAnsi"/>
                <w:b w:val="0"/>
                <w:bCs w:val="0"/>
                <w:color w:val="000000"/>
                <w:sz w:val="20"/>
                <w:szCs w:val="20"/>
                <w:lang w:eastAsia="en-AU"/>
              </w:rPr>
            </w:pPr>
            <w:r w:rsidRPr="00982E44">
              <w:rPr>
                <w:rFonts w:cstheme="minorHAnsi"/>
                <w:b w:val="0"/>
                <w:bCs w:val="0"/>
                <w:color w:val="000000"/>
                <w:sz w:val="20"/>
                <w:szCs w:val="20"/>
                <w:lang w:eastAsia="en-AU"/>
              </w:rPr>
              <w:t>Fiji</w:t>
            </w:r>
          </w:p>
        </w:tc>
        <w:tc>
          <w:tcPr>
            <w:tcW w:w="1701" w:type="dxa"/>
            <w:noWrap/>
            <w:hideMark/>
          </w:tcPr>
          <w:p w14:paraId="4138E2F4"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134" w:type="dxa"/>
            <w:noWrap/>
            <w:hideMark/>
          </w:tcPr>
          <w:p w14:paraId="3E678E5F"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25CDA349"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r>
      <w:tr w:rsidR="00125E43" w:rsidRPr="00982E44" w14:paraId="0EEAEA17" w14:textId="77777777" w:rsidTr="00E4259E">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166D44C5"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M</w:t>
            </w:r>
            <w:r>
              <w:rPr>
                <w:rFonts w:cstheme="minorHAnsi"/>
                <w:color w:val="000000"/>
                <w:sz w:val="20"/>
                <w:szCs w:val="20"/>
                <w:lang w:eastAsia="en-AU"/>
              </w:rPr>
              <w:t>inistry of Health</w:t>
            </w:r>
          </w:p>
        </w:tc>
        <w:tc>
          <w:tcPr>
            <w:tcW w:w="1701" w:type="dxa"/>
            <w:noWrap/>
            <w:hideMark/>
          </w:tcPr>
          <w:p w14:paraId="78F400D2"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43D06E87"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2E2CFCCC"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r>
      <w:tr w:rsidR="00125E43" w:rsidRPr="00982E44" w14:paraId="233D9B48" w14:textId="77777777" w:rsidTr="00E425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65232EDF"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M</w:t>
            </w:r>
            <w:r>
              <w:rPr>
                <w:rFonts w:cstheme="minorHAnsi"/>
                <w:color w:val="000000"/>
                <w:sz w:val="20"/>
                <w:szCs w:val="20"/>
                <w:lang w:eastAsia="en-AU"/>
              </w:rPr>
              <w:t>inistry of Women</w:t>
            </w:r>
          </w:p>
        </w:tc>
        <w:tc>
          <w:tcPr>
            <w:tcW w:w="1701" w:type="dxa"/>
            <w:noWrap/>
            <w:hideMark/>
          </w:tcPr>
          <w:p w14:paraId="11CA1BE6"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119CF5D6"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4D8FDDD2"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r>
      <w:tr w:rsidR="00125E43" w:rsidRPr="00982E44" w14:paraId="1D8B545F" w14:textId="77777777" w:rsidTr="00E4259E">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0D7AD268"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M</w:t>
            </w:r>
            <w:r>
              <w:rPr>
                <w:rFonts w:cstheme="minorHAnsi"/>
                <w:color w:val="000000"/>
                <w:sz w:val="20"/>
                <w:szCs w:val="20"/>
                <w:lang w:eastAsia="en-AU"/>
              </w:rPr>
              <w:t>inistry of Youth</w:t>
            </w:r>
          </w:p>
        </w:tc>
        <w:tc>
          <w:tcPr>
            <w:tcW w:w="1701" w:type="dxa"/>
            <w:noWrap/>
            <w:hideMark/>
          </w:tcPr>
          <w:p w14:paraId="3BE68A91"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165EABA7"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48EBEA61"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r>
      <w:tr w:rsidR="00125E43" w:rsidRPr="00982E44" w14:paraId="4C26F062" w14:textId="77777777" w:rsidTr="00E425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05307EC8" w14:textId="77777777" w:rsidR="00125E43" w:rsidRPr="00982E44" w:rsidRDefault="00125E43" w:rsidP="009E0765">
            <w:pPr>
              <w:spacing w:after="0" w:line="240" w:lineRule="auto"/>
              <w:rPr>
                <w:rFonts w:cstheme="minorHAnsi"/>
                <w:b w:val="0"/>
                <w:bCs w:val="0"/>
                <w:color w:val="000000"/>
                <w:sz w:val="20"/>
                <w:szCs w:val="20"/>
                <w:lang w:eastAsia="en-AU"/>
              </w:rPr>
            </w:pPr>
            <w:r w:rsidRPr="00982E44">
              <w:rPr>
                <w:rFonts w:cstheme="minorHAnsi"/>
                <w:b w:val="0"/>
                <w:bCs w:val="0"/>
                <w:color w:val="000000"/>
                <w:sz w:val="20"/>
                <w:szCs w:val="20"/>
                <w:lang w:eastAsia="en-AU"/>
              </w:rPr>
              <w:t>Kiribati</w:t>
            </w:r>
          </w:p>
        </w:tc>
        <w:tc>
          <w:tcPr>
            <w:tcW w:w="1701" w:type="dxa"/>
            <w:noWrap/>
            <w:hideMark/>
          </w:tcPr>
          <w:p w14:paraId="307C6FF6"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134" w:type="dxa"/>
            <w:noWrap/>
            <w:hideMark/>
          </w:tcPr>
          <w:p w14:paraId="30DFF7C6"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1B3144BE"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r>
      <w:tr w:rsidR="00125E43" w:rsidRPr="00982E44" w14:paraId="75E733BE" w14:textId="77777777" w:rsidTr="00E4259E">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0CE0C4C2"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M</w:t>
            </w:r>
            <w:r>
              <w:rPr>
                <w:rFonts w:cstheme="minorHAnsi"/>
                <w:color w:val="000000"/>
                <w:sz w:val="20"/>
                <w:szCs w:val="20"/>
                <w:lang w:eastAsia="en-AU"/>
              </w:rPr>
              <w:t>inistry of Health and Medical Services</w:t>
            </w:r>
          </w:p>
        </w:tc>
        <w:tc>
          <w:tcPr>
            <w:tcW w:w="1701" w:type="dxa"/>
            <w:noWrap/>
            <w:hideMark/>
          </w:tcPr>
          <w:p w14:paraId="25E90232"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77060915"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848" w:type="dxa"/>
            <w:noWrap/>
            <w:hideMark/>
          </w:tcPr>
          <w:p w14:paraId="3D97716D"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r>
      <w:tr w:rsidR="00125E43" w:rsidRPr="00982E44" w14:paraId="113937B2" w14:textId="77777777" w:rsidTr="00E425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41B8F55D"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M</w:t>
            </w:r>
            <w:r>
              <w:rPr>
                <w:rFonts w:cstheme="minorHAnsi"/>
                <w:color w:val="000000"/>
                <w:sz w:val="20"/>
                <w:szCs w:val="20"/>
                <w:lang w:eastAsia="en-AU"/>
              </w:rPr>
              <w:t>inistry of Finance</w:t>
            </w:r>
          </w:p>
        </w:tc>
        <w:tc>
          <w:tcPr>
            <w:tcW w:w="1701" w:type="dxa"/>
            <w:noWrap/>
            <w:hideMark/>
          </w:tcPr>
          <w:p w14:paraId="6FA9B5A4"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5CAA5202"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0D18F344"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r>
      <w:tr w:rsidR="00125E43" w:rsidRPr="00982E44" w14:paraId="0CF85BF8" w14:textId="77777777" w:rsidTr="00E4259E">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5B1A5FC9"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M</w:t>
            </w:r>
            <w:r>
              <w:rPr>
                <w:rFonts w:cstheme="minorHAnsi"/>
                <w:color w:val="000000"/>
                <w:sz w:val="20"/>
                <w:szCs w:val="20"/>
                <w:lang w:eastAsia="en-AU"/>
              </w:rPr>
              <w:t>inistry of Women, Youth and Social Affairs</w:t>
            </w:r>
          </w:p>
        </w:tc>
        <w:tc>
          <w:tcPr>
            <w:tcW w:w="1701" w:type="dxa"/>
            <w:noWrap/>
            <w:hideMark/>
          </w:tcPr>
          <w:p w14:paraId="1DD97DBC"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3BB9555C"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848" w:type="dxa"/>
            <w:noWrap/>
            <w:hideMark/>
          </w:tcPr>
          <w:p w14:paraId="500C8FE0"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r>
      <w:tr w:rsidR="00125E43" w:rsidRPr="00982E44" w14:paraId="48E1BACE" w14:textId="77777777" w:rsidTr="00E425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2EECF989"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M</w:t>
            </w:r>
            <w:r>
              <w:rPr>
                <w:rFonts w:cstheme="minorHAnsi"/>
                <w:color w:val="000000"/>
                <w:sz w:val="20"/>
                <w:szCs w:val="20"/>
                <w:lang w:eastAsia="en-AU"/>
              </w:rPr>
              <w:t>inistry of Education</w:t>
            </w:r>
          </w:p>
        </w:tc>
        <w:tc>
          <w:tcPr>
            <w:tcW w:w="1701" w:type="dxa"/>
            <w:noWrap/>
            <w:hideMark/>
          </w:tcPr>
          <w:p w14:paraId="542DB856"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7905A497"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848" w:type="dxa"/>
            <w:noWrap/>
            <w:hideMark/>
          </w:tcPr>
          <w:p w14:paraId="68881D87"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r>
      <w:tr w:rsidR="00125E43" w:rsidRPr="00982E44" w14:paraId="61F9F91E" w14:textId="77777777" w:rsidTr="00E4259E">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16C846DB" w14:textId="77777777" w:rsidR="00125E43" w:rsidRPr="00982E44" w:rsidRDefault="00125E43" w:rsidP="009E0765">
            <w:pPr>
              <w:spacing w:after="0" w:line="240" w:lineRule="auto"/>
              <w:rPr>
                <w:rFonts w:cstheme="minorHAnsi"/>
                <w:b w:val="0"/>
                <w:bCs w:val="0"/>
                <w:color w:val="000000"/>
                <w:sz w:val="20"/>
                <w:szCs w:val="20"/>
                <w:lang w:eastAsia="en-AU"/>
              </w:rPr>
            </w:pPr>
            <w:r w:rsidRPr="00982E44">
              <w:rPr>
                <w:rFonts w:cstheme="minorHAnsi"/>
                <w:b w:val="0"/>
                <w:bCs w:val="0"/>
                <w:color w:val="000000"/>
                <w:sz w:val="20"/>
                <w:szCs w:val="20"/>
                <w:lang w:eastAsia="en-AU"/>
              </w:rPr>
              <w:t>Vanuatu</w:t>
            </w:r>
          </w:p>
        </w:tc>
        <w:tc>
          <w:tcPr>
            <w:tcW w:w="1701" w:type="dxa"/>
            <w:noWrap/>
            <w:hideMark/>
          </w:tcPr>
          <w:p w14:paraId="1C53071E"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134" w:type="dxa"/>
            <w:noWrap/>
            <w:hideMark/>
          </w:tcPr>
          <w:p w14:paraId="3844CF48"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42D0DEA3"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r>
      <w:tr w:rsidR="00125E43" w:rsidRPr="00982E44" w14:paraId="51A6C6E7" w14:textId="77777777" w:rsidTr="00E425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4DD6CEF0"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M</w:t>
            </w:r>
            <w:r>
              <w:rPr>
                <w:rFonts w:cstheme="minorHAnsi"/>
                <w:color w:val="000000"/>
                <w:sz w:val="20"/>
                <w:szCs w:val="20"/>
                <w:lang w:eastAsia="en-AU"/>
              </w:rPr>
              <w:t>inistry of Health</w:t>
            </w:r>
          </w:p>
        </w:tc>
        <w:tc>
          <w:tcPr>
            <w:tcW w:w="1701" w:type="dxa"/>
            <w:noWrap/>
            <w:hideMark/>
          </w:tcPr>
          <w:p w14:paraId="44CD9B43"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1ECA3D85"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4FA6EB89"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r>
      <w:tr w:rsidR="00125E43" w:rsidRPr="00982E44" w14:paraId="31C4C992" w14:textId="77777777" w:rsidTr="00E4259E">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0629677C"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V</w:t>
            </w:r>
            <w:r>
              <w:rPr>
                <w:rFonts w:cstheme="minorHAnsi"/>
                <w:color w:val="000000"/>
                <w:sz w:val="20"/>
                <w:szCs w:val="20"/>
                <w:lang w:eastAsia="en-AU"/>
              </w:rPr>
              <w:t>anuatu National Statistics Office</w:t>
            </w:r>
          </w:p>
        </w:tc>
        <w:tc>
          <w:tcPr>
            <w:tcW w:w="1701" w:type="dxa"/>
            <w:noWrap/>
            <w:hideMark/>
          </w:tcPr>
          <w:p w14:paraId="7D73B22C"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5A872FAE"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848" w:type="dxa"/>
            <w:noWrap/>
            <w:hideMark/>
          </w:tcPr>
          <w:p w14:paraId="0F3CFD0E"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r>
      <w:tr w:rsidR="00125E43" w:rsidRPr="00982E44" w14:paraId="60587335" w14:textId="77777777" w:rsidTr="00E425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6575A474"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M</w:t>
            </w:r>
            <w:r>
              <w:rPr>
                <w:rFonts w:cstheme="minorHAnsi"/>
                <w:color w:val="000000"/>
                <w:sz w:val="20"/>
                <w:szCs w:val="20"/>
                <w:lang w:eastAsia="en-AU"/>
              </w:rPr>
              <w:t>inistry of Education and Training</w:t>
            </w:r>
          </w:p>
        </w:tc>
        <w:tc>
          <w:tcPr>
            <w:tcW w:w="1701" w:type="dxa"/>
            <w:noWrap/>
            <w:hideMark/>
          </w:tcPr>
          <w:p w14:paraId="6D32DBBE"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5324ED8D"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848" w:type="dxa"/>
            <w:noWrap/>
            <w:hideMark/>
          </w:tcPr>
          <w:p w14:paraId="4ABA18DB"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r>
      <w:tr w:rsidR="00125E43" w:rsidRPr="00982E44" w14:paraId="19CC07B2" w14:textId="77777777" w:rsidTr="00E4259E">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3C489670"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M</w:t>
            </w:r>
            <w:r>
              <w:rPr>
                <w:rFonts w:cstheme="minorHAnsi"/>
                <w:color w:val="000000"/>
                <w:sz w:val="20"/>
                <w:szCs w:val="20"/>
                <w:lang w:eastAsia="en-AU"/>
              </w:rPr>
              <w:t>inistry of Youth</w:t>
            </w:r>
          </w:p>
        </w:tc>
        <w:tc>
          <w:tcPr>
            <w:tcW w:w="1701" w:type="dxa"/>
            <w:noWrap/>
            <w:hideMark/>
          </w:tcPr>
          <w:p w14:paraId="47C02CE4"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3286F761"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848" w:type="dxa"/>
            <w:noWrap/>
            <w:hideMark/>
          </w:tcPr>
          <w:p w14:paraId="7ECD01D3"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r>
      <w:tr w:rsidR="00125E43" w:rsidRPr="00982E44" w14:paraId="0BC3F536" w14:textId="77777777" w:rsidTr="00E425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434FFDDF" w14:textId="77777777" w:rsidR="00125E43" w:rsidRPr="00982E44" w:rsidRDefault="00125E43" w:rsidP="009E0765">
            <w:pPr>
              <w:spacing w:after="0" w:line="240" w:lineRule="auto"/>
              <w:rPr>
                <w:rFonts w:cstheme="minorHAnsi"/>
                <w:b w:val="0"/>
                <w:bCs w:val="0"/>
                <w:color w:val="000000"/>
                <w:sz w:val="20"/>
                <w:szCs w:val="20"/>
                <w:lang w:eastAsia="en-AU"/>
              </w:rPr>
            </w:pPr>
            <w:r w:rsidRPr="00982E44">
              <w:rPr>
                <w:rFonts w:cstheme="minorHAnsi"/>
                <w:b w:val="0"/>
                <w:bCs w:val="0"/>
                <w:color w:val="000000"/>
                <w:sz w:val="20"/>
                <w:szCs w:val="20"/>
                <w:lang w:eastAsia="en-AU"/>
              </w:rPr>
              <w:t>Solomon Islands</w:t>
            </w:r>
          </w:p>
        </w:tc>
        <w:tc>
          <w:tcPr>
            <w:tcW w:w="1701" w:type="dxa"/>
            <w:noWrap/>
            <w:hideMark/>
          </w:tcPr>
          <w:p w14:paraId="6ECB356A"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134" w:type="dxa"/>
            <w:noWrap/>
            <w:hideMark/>
          </w:tcPr>
          <w:p w14:paraId="04CD28CF"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4DA34612"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r>
      <w:tr w:rsidR="00125E43" w:rsidRPr="00982E44" w14:paraId="7907F442" w14:textId="77777777" w:rsidTr="00E4259E">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77A2D5D5"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M</w:t>
            </w:r>
            <w:r>
              <w:rPr>
                <w:rFonts w:cstheme="minorHAnsi"/>
                <w:color w:val="000000"/>
                <w:sz w:val="20"/>
                <w:szCs w:val="20"/>
                <w:lang w:eastAsia="en-AU"/>
              </w:rPr>
              <w:t>inistry of Health and Medical Services</w:t>
            </w:r>
          </w:p>
        </w:tc>
        <w:tc>
          <w:tcPr>
            <w:tcW w:w="1701" w:type="dxa"/>
            <w:noWrap/>
            <w:hideMark/>
          </w:tcPr>
          <w:p w14:paraId="3CF23594"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32FE4981"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848" w:type="dxa"/>
            <w:noWrap/>
            <w:hideMark/>
          </w:tcPr>
          <w:p w14:paraId="6056B26D"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r>
      <w:tr w:rsidR="00125E43" w:rsidRPr="00982E44" w14:paraId="26701233" w14:textId="77777777" w:rsidTr="00E425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41328110"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M</w:t>
            </w:r>
            <w:r>
              <w:rPr>
                <w:rFonts w:cstheme="minorHAnsi"/>
                <w:color w:val="000000"/>
                <w:sz w:val="20"/>
                <w:szCs w:val="20"/>
                <w:lang w:eastAsia="en-AU"/>
              </w:rPr>
              <w:t>inistry of Development Planning and Aid Coordination</w:t>
            </w:r>
          </w:p>
        </w:tc>
        <w:tc>
          <w:tcPr>
            <w:tcW w:w="1701" w:type="dxa"/>
            <w:noWrap/>
            <w:hideMark/>
          </w:tcPr>
          <w:p w14:paraId="498E0AAB"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693C2360"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4326113C"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r>
      <w:tr w:rsidR="00125E43" w:rsidRPr="00982E44" w14:paraId="708F41F8" w14:textId="77777777" w:rsidTr="00E4259E">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3476FB7B" w14:textId="77777777" w:rsidR="00125E43" w:rsidRPr="00982E44" w:rsidRDefault="00125E43" w:rsidP="009E0765">
            <w:pPr>
              <w:spacing w:after="0" w:line="240" w:lineRule="auto"/>
              <w:rPr>
                <w:rFonts w:cstheme="minorHAnsi"/>
                <w:b w:val="0"/>
                <w:bCs w:val="0"/>
                <w:color w:val="000000"/>
                <w:sz w:val="20"/>
                <w:szCs w:val="20"/>
                <w:lang w:eastAsia="en-AU"/>
              </w:rPr>
            </w:pPr>
            <w:r w:rsidRPr="00982E44">
              <w:rPr>
                <w:rFonts w:cstheme="minorHAnsi"/>
                <w:b w:val="0"/>
                <w:bCs w:val="0"/>
                <w:color w:val="000000"/>
                <w:sz w:val="20"/>
                <w:szCs w:val="20"/>
                <w:lang w:eastAsia="en-AU"/>
              </w:rPr>
              <w:t>Samoa</w:t>
            </w:r>
          </w:p>
        </w:tc>
        <w:tc>
          <w:tcPr>
            <w:tcW w:w="1701" w:type="dxa"/>
            <w:noWrap/>
            <w:hideMark/>
          </w:tcPr>
          <w:p w14:paraId="539A6610"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134" w:type="dxa"/>
            <w:noWrap/>
            <w:hideMark/>
          </w:tcPr>
          <w:p w14:paraId="654A5F7C"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713DF28F"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r>
      <w:tr w:rsidR="00125E43" w:rsidRPr="00982E44" w14:paraId="7BFF005F" w14:textId="77777777" w:rsidTr="00E425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42E2C832"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M</w:t>
            </w:r>
            <w:r>
              <w:rPr>
                <w:rFonts w:cstheme="minorHAnsi"/>
                <w:color w:val="000000"/>
                <w:sz w:val="20"/>
                <w:szCs w:val="20"/>
                <w:lang w:eastAsia="en-AU"/>
              </w:rPr>
              <w:t>inistry of Finance</w:t>
            </w:r>
          </w:p>
        </w:tc>
        <w:tc>
          <w:tcPr>
            <w:tcW w:w="1701" w:type="dxa"/>
            <w:noWrap/>
            <w:hideMark/>
          </w:tcPr>
          <w:p w14:paraId="1126FECF"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2009FA1B"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848" w:type="dxa"/>
            <w:noWrap/>
            <w:hideMark/>
          </w:tcPr>
          <w:p w14:paraId="39CCAC69"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r>
      <w:tr w:rsidR="00125E43" w:rsidRPr="00982E44" w14:paraId="3E22CCA4" w14:textId="77777777" w:rsidTr="00E4259E">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00BE409D" w14:textId="77777777" w:rsidR="00125E43" w:rsidRPr="00982E44" w:rsidRDefault="00125E43" w:rsidP="009E0765">
            <w:pPr>
              <w:spacing w:after="0" w:line="240" w:lineRule="auto"/>
              <w:rPr>
                <w:rFonts w:cstheme="minorHAnsi"/>
                <w:b w:val="0"/>
                <w:bCs w:val="0"/>
                <w:color w:val="000000"/>
                <w:sz w:val="20"/>
                <w:szCs w:val="20"/>
                <w:lang w:eastAsia="en-AU"/>
              </w:rPr>
            </w:pPr>
            <w:r w:rsidRPr="00982E44">
              <w:rPr>
                <w:rFonts w:cstheme="minorHAnsi"/>
                <w:b w:val="0"/>
                <w:bCs w:val="0"/>
                <w:color w:val="000000"/>
                <w:sz w:val="20"/>
                <w:szCs w:val="20"/>
                <w:lang w:eastAsia="en-AU"/>
              </w:rPr>
              <w:t>Regional I</w:t>
            </w:r>
            <w:r>
              <w:rPr>
                <w:rFonts w:cstheme="minorHAnsi"/>
                <w:b w:val="0"/>
                <w:bCs w:val="0"/>
                <w:color w:val="000000"/>
                <w:sz w:val="20"/>
                <w:szCs w:val="20"/>
                <w:lang w:eastAsia="en-AU"/>
              </w:rPr>
              <w:t>P</w:t>
            </w:r>
            <w:r w:rsidRPr="00982E44">
              <w:rPr>
                <w:rFonts w:cstheme="minorHAnsi"/>
                <w:b w:val="0"/>
                <w:bCs w:val="0"/>
                <w:color w:val="000000"/>
                <w:sz w:val="20"/>
                <w:szCs w:val="20"/>
                <w:lang w:eastAsia="en-AU"/>
              </w:rPr>
              <w:t>s</w:t>
            </w:r>
          </w:p>
        </w:tc>
        <w:tc>
          <w:tcPr>
            <w:tcW w:w="1701" w:type="dxa"/>
            <w:noWrap/>
            <w:hideMark/>
          </w:tcPr>
          <w:p w14:paraId="1DC18381"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134" w:type="dxa"/>
            <w:noWrap/>
            <w:hideMark/>
          </w:tcPr>
          <w:p w14:paraId="23DEB5BF"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31EF231D"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r>
      <w:tr w:rsidR="00125E43" w:rsidRPr="00982E44" w14:paraId="52C5705C" w14:textId="77777777" w:rsidTr="00E425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58117B24"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S</w:t>
            </w:r>
            <w:r>
              <w:rPr>
                <w:rFonts w:cstheme="minorHAnsi"/>
                <w:color w:val="000000"/>
                <w:sz w:val="20"/>
                <w:szCs w:val="20"/>
                <w:lang w:eastAsia="en-AU"/>
              </w:rPr>
              <w:t>ecretariat of the Pacific Community (SPC)</w:t>
            </w:r>
          </w:p>
        </w:tc>
        <w:tc>
          <w:tcPr>
            <w:tcW w:w="1701" w:type="dxa"/>
            <w:noWrap/>
            <w:hideMark/>
          </w:tcPr>
          <w:p w14:paraId="31AE0838"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134" w:type="dxa"/>
            <w:noWrap/>
            <w:hideMark/>
          </w:tcPr>
          <w:p w14:paraId="7C7E14A5"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0BEB0903"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r>
      <w:tr w:rsidR="00125E43" w:rsidRPr="00982E44" w14:paraId="6E842A25" w14:textId="77777777" w:rsidTr="00E4259E">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7B746311"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UNICEF</w:t>
            </w:r>
          </w:p>
        </w:tc>
        <w:tc>
          <w:tcPr>
            <w:tcW w:w="1701" w:type="dxa"/>
            <w:noWrap/>
            <w:hideMark/>
          </w:tcPr>
          <w:p w14:paraId="3B0987B9"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134" w:type="dxa"/>
            <w:noWrap/>
            <w:hideMark/>
          </w:tcPr>
          <w:p w14:paraId="77A8AA7B"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848" w:type="dxa"/>
            <w:noWrap/>
            <w:hideMark/>
          </w:tcPr>
          <w:p w14:paraId="1CA12E91"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r>
      <w:tr w:rsidR="00125E43" w:rsidRPr="00982E44" w14:paraId="584D9A08" w14:textId="77777777" w:rsidTr="00E425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5F51B37E"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J</w:t>
            </w:r>
            <w:r>
              <w:rPr>
                <w:rFonts w:cstheme="minorHAnsi"/>
                <w:color w:val="000000"/>
                <w:sz w:val="20"/>
                <w:szCs w:val="20"/>
                <w:lang w:eastAsia="en-AU"/>
              </w:rPr>
              <w:t>ohn Snow International (J</w:t>
            </w:r>
            <w:r w:rsidRPr="00982E44">
              <w:rPr>
                <w:rFonts w:cstheme="minorHAnsi"/>
                <w:color w:val="000000"/>
                <w:sz w:val="20"/>
                <w:szCs w:val="20"/>
                <w:lang w:eastAsia="en-AU"/>
              </w:rPr>
              <w:t>SI</w:t>
            </w:r>
            <w:r>
              <w:rPr>
                <w:rFonts w:cstheme="minorHAnsi"/>
                <w:color w:val="000000"/>
                <w:sz w:val="20"/>
                <w:szCs w:val="20"/>
                <w:lang w:eastAsia="en-AU"/>
              </w:rPr>
              <w:t>)</w:t>
            </w:r>
          </w:p>
        </w:tc>
        <w:tc>
          <w:tcPr>
            <w:tcW w:w="1701" w:type="dxa"/>
            <w:noWrap/>
            <w:hideMark/>
          </w:tcPr>
          <w:p w14:paraId="5C5FD1E5"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63043853"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33F1A4D7"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r>
      <w:tr w:rsidR="00125E43" w:rsidRPr="00982E44" w14:paraId="6814BFEB" w14:textId="77777777" w:rsidTr="00E4259E">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341AFB26"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A</w:t>
            </w:r>
            <w:r>
              <w:rPr>
                <w:rFonts w:cstheme="minorHAnsi"/>
                <w:color w:val="000000"/>
                <w:sz w:val="20"/>
                <w:szCs w:val="20"/>
                <w:lang w:eastAsia="en-AU"/>
              </w:rPr>
              <w:t>ustralian Broadcasting Commission (A</w:t>
            </w:r>
            <w:r w:rsidRPr="00982E44">
              <w:rPr>
                <w:rFonts w:cstheme="minorHAnsi"/>
                <w:color w:val="000000"/>
                <w:sz w:val="20"/>
                <w:szCs w:val="20"/>
                <w:lang w:eastAsia="en-AU"/>
              </w:rPr>
              <w:t>BC</w:t>
            </w:r>
            <w:r>
              <w:rPr>
                <w:rFonts w:cstheme="minorHAnsi"/>
                <w:color w:val="000000"/>
                <w:sz w:val="20"/>
                <w:szCs w:val="20"/>
                <w:lang w:eastAsia="en-AU"/>
              </w:rPr>
              <w:t>)</w:t>
            </w:r>
          </w:p>
        </w:tc>
        <w:tc>
          <w:tcPr>
            <w:tcW w:w="1701" w:type="dxa"/>
            <w:noWrap/>
            <w:hideMark/>
          </w:tcPr>
          <w:p w14:paraId="0A21BD45"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4B66B916"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3ED76399"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r>
      <w:tr w:rsidR="00125E43" w:rsidRPr="00982E44" w14:paraId="64133302" w14:textId="77777777" w:rsidTr="00E425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7F138451"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Burnet</w:t>
            </w:r>
          </w:p>
        </w:tc>
        <w:tc>
          <w:tcPr>
            <w:tcW w:w="1701" w:type="dxa"/>
            <w:noWrap/>
            <w:hideMark/>
          </w:tcPr>
          <w:p w14:paraId="2AC8117C"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585397D7"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19F4EC1F"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r>
      <w:tr w:rsidR="00125E43" w:rsidRPr="00982E44" w14:paraId="5D188A2E" w14:textId="77777777" w:rsidTr="00E4259E">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4F98B415"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Nossal</w:t>
            </w:r>
          </w:p>
        </w:tc>
        <w:tc>
          <w:tcPr>
            <w:tcW w:w="1701" w:type="dxa"/>
            <w:noWrap/>
            <w:hideMark/>
          </w:tcPr>
          <w:p w14:paraId="30417A19"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5AF5DD35"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25342913"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r>
      <w:tr w:rsidR="00125E43" w:rsidRPr="00982E44" w14:paraId="4D66A9D7" w14:textId="77777777" w:rsidTr="00E425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1179DD1B"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F</w:t>
            </w:r>
            <w:r>
              <w:rPr>
                <w:rFonts w:cstheme="minorHAnsi"/>
                <w:color w:val="000000"/>
                <w:sz w:val="20"/>
                <w:szCs w:val="20"/>
                <w:lang w:eastAsia="en-AU"/>
              </w:rPr>
              <w:t>amily Planning New South Wales (F</w:t>
            </w:r>
            <w:r w:rsidRPr="00982E44">
              <w:rPr>
                <w:rFonts w:cstheme="minorHAnsi"/>
                <w:color w:val="000000"/>
                <w:sz w:val="20"/>
                <w:szCs w:val="20"/>
                <w:lang w:eastAsia="en-AU"/>
              </w:rPr>
              <w:t>PNSW</w:t>
            </w:r>
            <w:r>
              <w:rPr>
                <w:rFonts w:cstheme="minorHAnsi"/>
                <w:color w:val="000000"/>
                <w:sz w:val="20"/>
                <w:szCs w:val="20"/>
                <w:lang w:eastAsia="en-AU"/>
              </w:rPr>
              <w:t>)</w:t>
            </w:r>
          </w:p>
        </w:tc>
        <w:tc>
          <w:tcPr>
            <w:tcW w:w="1701" w:type="dxa"/>
            <w:noWrap/>
            <w:hideMark/>
          </w:tcPr>
          <w:p w14:paraId="0B2418D9"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02D9ED9D"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7D7D5D06"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r>
      <w:tr w:rsidR="00125E43" w:rsidRPr="00982E44" w14:paraId="66B40DB8" w14:textId="77777777" w:rsidTr="00E4259E">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768E74D8"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IPPF S</w:t>
            </w:r>
            <w:r>
              <w:rPr>
                <w:rFonts w:cstheme="minorHAnsi"/>
                <w:color w:val="000000"/>
                <w:sz w:val="20"/>
                <w:szCs w:val="20"/>
                <w:lang w:eastAsia="en-AU"/>
              </w:rPr>
              <w:t>ub-Regional Office of the Pacific (S</w:t>
            </w:r>
            <w:r w:rsidRPr="00982E44">
              <w:rPr>
                <w:rFonts w:cstheme="minorHAnsi"/>
                <w:color w:val="000000"/>
                <w:sz w:val="20"/>
                <w:szCs w:val="20"/>
                <w:lang w:eastAsia="en-AU"/>
              </w:rPr>
              <w:t>ROP</w:t>
            </w:r>
            <w:r>
              <w:rPr>
                <w:rFonts w:cstheme="minorHAnsi"/>
                <w:color w:val="000000"/>
                <w:sz w:val="20"/>
                <w:szCs w:val="20"/>
                <w:lang w:eastAsia="en-AU"/>
              </w:rPr>
              <w:t>)</w:t>
            </w:r>
          </w:p>
        </w:tc>
        <w:tc>
          <w:tcPr>
            <w:tcW w:w="1701" w:type="dxa"/>
            <w:noWrap/>
            <w:hideMark/>
          </w:tcPr>
          <w:p w14:paraId="52257735"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025B0619"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79059863"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r>
      <w:tr w:rsidR="00125E43" w:rsidRPr="00982E44" w14:paraId="792B5BA7" w14:textId="77777777" w:rsidTr="00E425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247F3113"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World Vision</w:t>
            </w:r>
          </w:p>
        </w:tc>
        <w:tc>
          <w:tcPr>
            <w:tcW w:w="1701" w:type="dxa"/>
            <w:noWrap/>
            <w:hideMark/>
          </w:tcPr>
          <w:p w14:paraId="3E8A6897"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5EDB35A8"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1AA64ED7"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r>
      <w:tr w:rsidR="00125E43" w:rsidRPr="00982E44" w14:paraId="2872ABCB" w14:textId="77777777" w:rsidTr="00E4259E">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0F6815CC"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CARE</w:t>
            </w:r>
          </w:p>
        </w:tc>
        <w:tc>
          <w:tcPr>
            <w:tcW w:w="1701" w:type="dxa"/>
            <w:noWrap/>
            <w:hideMark/>
          </w:tcPr>
          <w:p w14:paraId="2718FDF7"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04D3B1D1"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48596489" w14:textId="77777777" w:rsidR="00125E43" w:rsidRPr="00982E44" w:rsidRDefault="00125E43" w:rsidP="009E0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r>
      <w:tr w:rsidR="00125E43" w:rsidRPr="00982E44" w14:paraId="0CA069B0" w14:textId="77777777" w:rsidTr="00E425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14:paraId="52356449" w14:textId="77777777" w:rsidR="00125E43" w:rsidRPr="00982E44" w:rsidRDefault="00125E43" w:rsidP="009E0765">
            <w:pPr>
              <w:spacing w:after="0" w:line="240" w:lineRule="auto"/>
              <w:rPr>
                <w:rFonts w:cstheme="minorHAnsi"/>
                <w:color w:val="000000"/>
                <w:sz w:val="20"/>
                <w:szCs w:val="20"/>
                <w:lang w:eastAsia="en-AU"/>
              </w:rPr>
            </w:pPr>
            <w:r w:rsidRPr="00982E44">
              <w:rPr>
                <w:rFonts w:cstheme="minorHAnsi"/>
                <w:color w:val="000000"/>
                <w:sz w:val="20"/>
                <w:szCs w:val="20"/>
                <w:lang w:eastAsia="en-AU"/>
              </w:rPr>
              <w:t>WEI</w:t>
            </w:r>
            <w:r>
              <w:rPr>
                <w:rFonts w:cstheme="minorHAnsi"/>
                <w:color w:val="000000"/>
                <w:sz w:val="20"/>
                <w:szCs w:val="20"/>
                <w:lang w:eastAsia="en-AU"/>
              </w:rPr>
              <w:t xml:space="preserve"> (Women Enabled International)</w:t>
            </w:r>
          </w:p>
        </w:tc>
        <w:tc>
          <w:tcPr>
            <w:tcW w:w="1701" w:type="dxa"/>
            <w:noWrap/>
            <w:hideMark/>
          </w:tcPr>
          <w:p w14:paraId="655520AE"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X</w:t>
            </w:r>
          </w:p>
        </w:tc>
        <w:tc>
          <w:tcPr>
            <w:tcW w:w="1134" w:type="dxa"/>
            <w:noWrap/>
            <w:hideMark/>
          </w:tcPr>
          <w:p w14:paraId="0DD39D17"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c>
          <w:tcPr>
            <w:tcW w:w="1848" w:type="dxa"/>
            <w:noWrap/>
            <w:hideMark/>
          </w:tcPr>
          <w:p w14:paraId="0A3E21B9" w14:textId="77777777" w:rsidR="00125E43" w:rsidRPr="00982E44" w:rsidRDefault="00125E43" w:rsidP="009E076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eastAsia="en-AU"/>
              </w:rPr>
            </w:pPr>
            <w:r w:rsidRPr="00982E44">
              <w:rPr>
                <w:rFonts w:cstheme="minorHAnsi"/>
                <w:color w:val="000000"/>
                <w:sz w:val="20"/>
                <w:szCs w:val="20"/>
                <w:lang w:eastAsia="en-AU"/>
              </w:rPr>
              <w:t> </w:t>
            </w:r>
          </w:p>
        </w:tc>
      </w:tr>
    </w:tbl>
    <w:p w14:paraId="01033040" w14:textId="77777777" w:rsidR="00125E43" w:rsidRPr="00C53DF5" w:rsidRDefault="00C53DF5" w:rsidP="0084201F">
      <w:pPr>
        <w:rPr>
          <w:b/>
          <w:bCs/>
          <w:sz w:val="18"/>
          <w:szCs w:val="18"/>
        </w:rPr>
      </w:pPr>
      <w:r w:rsidRPr="00C53DF5">
        <w:rPr>
          <w:b/>
          <w:bCs/>
          <w:sz w:val="18"/>
          <w:szCs w:val="18"/>
        </w:rPr>
        <w:t>Source: DFAT Health Policy Unit, 2020</w:t>
      </w:r>
    </w:p>
    <w:p w14:paraId="725EBA46" w14:textId="77777777" w:rsidR="00714E9A" w:rsidRDefault="00714E9A">
      <w:pPr>
        <w:spacing w:after="160" w:line="259" w:lineRule="auto"/>
        <w:sectPr w:rsidR="00714E9A" w:rsidSect="00527F27">
          <w:pgSz w:w="11907" w:h="16839" w:code="9"/>
          <w:pgMar w:top="720" w:right="720" w:bottom="720" w:left="720" w:header="709" w:footer="709" w:gutter="0"/>
          <w:cols w:space="708"/>
          <w:docGrid w:linePitch="360"/>
        </w:sectPr>
      </w:pPr>
    </w:p>
    <w:p w14:paraId="6F300B1B" w14:textId="1C9B3111" w:rsidR="000A340B" w:rsidRDefault="000E3964" w:rsidP="000B4E0A">
      <w:pPr>
        <w:pStyle w:val="NumberedLevel1heading"/>
        <w:ind w:left="0" w:firstLine="0"/>
        <w:jc w:val="left"/>
      </w:pPr>
      <w:bookmarkStart w:id="52" w:name="_Toc76630109"/>
      <w:r>
        <w:lastRenderedPageBreak/>
        <w:t xml:space="preserve">Annex </w:t>
      </w:r>
      <w:r w:rsidR="00F87AA9">
        <w:t>6</w:t>
      </w:r>
      <w:r>
        <w:t xml:space="preserve">: </w:t>
      </w:r>
      <w:r w:rsidR="000A340B">
        <w:t>Consolidated HFRSA Results</w:t>
      </w:r>
      <w:bookmarkEnd w:id="52"/>
    </w:p>
    <w:tbl>
      <w:tblPr>
        <w:tblStyle w:val="TableGrid"/>
        <w:tblW w:w="5000" w:type="pct"/>
        <w:tblLook w:val="04A0" w:firstRow="1" w:lastRow="0" w:firstColumn="1" w:lastColumn="0" w:noHBand="0" w:noVBand="1"/>
      </w:tblPr>
      <w:tblGrid>
        <w:gridCol w:w="5812"/>
        <w:gridCol w:w="1272"/>
        <w:gridCol w:w="1167"/>
        <w:gridCol w:w="1106"/>
        <w:gridCol w:w="1100"/>
      </w:tblGrid>
      <w:tr w:rsidR="000A340B" w14:paraId="0EB02C2F" w14:textId="77777777" w:rsidTr="00651F15">
        <w:trPr>
          <w:tblHeader/>
        </w:trPr>
        <w:tc>
          <w:tcPr>
            <w:tcW w:w="2779" w:type="pct"/>
            <w:shd w:val="clear" w:color="auto" w:fill="FF0000"/>
          </w:tcPr>
          <w:p w14:paraId="2126FC1A" w14:textId="77777777" w:rsidR="000A340B" w:rsidRPr="00D57C05" w:rsidRDefault="000A340B" w:rsidP="00F87AA9">
            <w:pPr>
              <w:pStyle w:val="NoSpacing"/>
              <w:rPr>
                <w:b/>
                <w:bCs/>
              </w:rPr>
            </w:pPr>
            <w:r w:rsidRPr="00D57C05">
              <w:rPr>
                <w:b/>
                <w:bCs/>
              </w:rPr>
              <w:t>Service assessed</w:t>
            </w:r>
          </w:p>
        </w:tc>
        <w:tc>
          <w:tcPr>
            <w:tcW w:w="608" w:type="pct"/>
            <w:shd w:val="clear" w:color="auto" w:fill="FF0000"/>
          </w:tcPr>
          <w:p w14:paraId="6FA23D7F" w14:textId="77777777" w:rsidR="000A340B" w:rsidRPr="00D57C05" w:rsidRDefault="000A340B" w:rsidP="00F87AA9">
            <w:pPr>
              <w:pStyle w:val="NoSpacing"/>
              <w:rPr>
                <w:b/>
                <w:bCs/>
              </w:rPr>
            </w:pPr>
            <w:r w:rsidRPr="00D57C05">
              <w:rPr>
                <w:b/>
                <w:bCs/>
              </w:rPr>
              <w:t>Fiji</w:t>
            </w:r>
          </w:p>
        </w:tc>
        <w:tc>
          <w:tcPr>
            <w:tcW w:w="558" w:type="pct"/>
            <w:shd w:val="clear" w:color="auto" w:fill="FF0000"/>
          </w:tcPr>
          <w:p w14:paraId="3E1E18FD" w14:textId="77777777" w:rsidR="000A340B" w:rsidRPr="00D57C05" w:rsidRDefault="000A340B" w:rsidP="00F87AA9">
            <w:pPr>
              <w:pStyle w:val="NoSpacing"/>
              <w:rPr>
                <w:b/>
                <w:bCs/>
              </w:rPr>
            </w:pPr>
            <w:r w:rsidRPr="00D57C05">
              <w:rPr>
                <w:b/>
                <w:bCs/>
              </w:rPr>
              <w:t>Kiribati</w:t>
            </w:r>
          </w:p>
        </w:tc>
        <w:tc>
          <w:tcPr>
            <w:tcW w:w="529" w:type="pct"/>
            <w:shd w:val="clear" w:color="auto" w:fill="FF0000"/>
          </w:tcPr>
          <w:p w14:paraId="23B17276" w14:textId="77777777" w:rsidR="000A340B" w:rsidRPr="00D57C05" w:rsidRDefault="000A340B" w:rsidP="00F87AA9">
            <w:pPr>
              <w:pStyle w:val="NoSpacing"/>
              <w:rPr>
                <w:b/>
                <w:bCs/>
              </w:rPr>
            </w:pPr>
            <w:r w:rsidRPr="00D57C05">
              <w:rPr>
                <w:b/>
                <w:bCs/>
              </w:rPr>
              <w:t>Samoa</w:t>
            </w:r>
          </w:p>
        </w:tc>
        <w:tc>
          <w:tcPr>
            <w:tcW w:w="526" w:type="pct"/>
            <w:shd w:val="clear" w:color="auto" w:fill="FF0000"/>
          </w:tcPr>
          <w:p w14:paraId="6980D675" w14:textId="77777777" w:rsidR="000A340B" w:rsidRPr="00D57C05" w:rsidRDefault="000A340B" w:rsidP="00F87AA9">
            <w:pPr>
              <w:pStyle w:val="NoSpacing"/>
              <w:rPr>
                <w:b/>
                <w:bCs/>
              </w:rPr>
            </w:pPr>
            <w:r w:rsidRPr="00D57C05">
              <w:rPr>
                <w:b/>
                <w:bCs/>
              </w:rPr>
              <w:t>Tonga</w:t>
            </w:r>
          </w:p>
        </w:tc>
      </w:tr>
      <w:tr w:rsidR="000A340B" w14:paraId="19D4493F" w14:textId="77777777" w:rsidTr="00651F15">
        <w:tc>
          <w:tcPr>
            <w:tcW w:w="2779" w:type="pct"/>
            <w:tcBorders>
              <w:bottom w:val="single" w:sz="4" w:space="0" w:color="auto"/>
            </w:tcBorders>
          </w:tcPr>
          <w:p w14:paraId="179BCD36" w14:textId="77777777" w:rsidR="000A340B" w:rsidRPr="008C10F9" w:rsidRDefault="000A340B" w:rsidP="00F87AA9">
            <w:pPr>
              <w:pStyle w:val="NoSpacing"/>
            </w:pPr>
            <w:r w:rsidRPr="008C10F9">
              <w:t>No. of SDPs</w:t>
            </w:r>
          </w:p>
        </w:tc>
        <w:tc>
          <w:tcPr>
            <w:tcW w:w="608" w:type="pct"/>
            <w:tcBorders>
              <w:bottom w:val="single" w:sz="4" w:space="0" w:color="auto"/>
            </w:tcBorders>
          </w:tcPr>
          <w:p w14:paraId="4F1C44B1" w14:textId="77777777" w:rsidR="000A340B" w:rsidRPr="002519C6" w:rsidRDefault="000A340B" w:rsidP="00F87AA9">
            <w:pPr>
              <w:pStyle w:val="NoSpacing"/>
              <w:rPr>
                <w:b/>
                <w:bCs/>
              </w:rPr>
            </w:pPr>
            <w:r>
              <w:rPr>
                <w:b/>
                <w:bCs/>
              </w:rPr>
              <w:t>212</w:t>
            </w:r>
          </w:p>
        </w:tc>
        <w:tc>
          <w:tcPr>
            <w:tcW w:w="558" w:type="pct"/>
            <w:tcBorders>
              <w:bottom w:val="single" w:sz="4" w:space="0" w:color="auto"/>
            </w:tcBorders>
          </w:tcPr>
          <w:p w14:paraId="0A841D5C" w14:textId="77777777" w:rsidR="000A340B" w:rsidRPr="002519C6" w:rsidRDefault="000A340B" w:rsidP="00F87AA9">
            <w:pPr>
              <w:pStyle w:val="NoSpacing"/>
              <w:rPr>
                <w:b/>
                <w:bCs/>
              </w:rPr>
            </w:pPr>
            <w:r>
              <w:rPr>
                <w:b/>
                <w:bCs/>
              </w:rPr>
              <w:t>112</w:t>
            </w:r>
          </w:p>
        </w:tc>
        <w:tc>
          <w:tcPr>
            <w:tcW w:w="529" w:type="pct"/>
            <w:tcBorders>
              <w:bottom w:val="single" w:sz="4" w:space="0" w:color="auto"/>
            </w:tcBorders>
          </w:tcPr>
          <w:p w14:paraId="09670AD9" w14:textId="77777777" w:rsidR="000A340B" w:rsidRPr="002519C6" w:rsidRDefault="000A340B" w:rsidP="00F87AA9">
            <w:pPr>
              <w:pStyle w:val="NoSpacing"/>
              <w:rPr>
                <w:b/>
                <w:bCs/>
              </w:rPr>
            </w:pPr>
            <w:r>
              <w:rPr>
                <w:b/>
                <w:bCs/>
              </w:rPr>
              <w:t>14</w:t>
            </w:r>
          </w:p>
        </w:tc>
        <w:tc>
          <w:tcPr>
            <w:tcW w:w="526" w:type="pct"/>
            <w:tcBorders>
              <w:bottom w:val="single" w:sz="4" w:space="0" w:color="auto"/>
            </w:tcBorders>
          </w:tcPr>
          <w:p w14:paraId="5117D1B1" w14:textId="77777777" w:rsidR="000A340B" w:rsidRPr="002519C6" w:rsidRDefault="000A340B" w:rsidP="00F87AA9">
            <w:pPr>
              <w:pStyle w:val="NoSpacing"/>
              <w:rPr>
                <w:b/>
                <w:bCs/>
              </w:rPr>
            </w:pPr>
            <w:r>
              <w:rPr>
                <w:b/>
                <w:bCs/>
              </w:rPr>
              <w:t>31</w:t>
            </w:r>
          </w:p>
        </w:tc>
      </w:tr>
      <w:tr w:rsidR="00651F15" w14:paraId="36072FD3" w14:textId="77777777" w:rsidTr="00651F15">
        <w:tc>
          <w:tcPr>
            <w:tcW w:w="2779" w:type="pct"/>
            <w:tcBorders>
              <w:top w:val="single" w:sz="4" w:space="0" w:color="auto"/>
              <w:left w:val="single" w:sz="4" w:space="0" w:color="auto"/>
              <w:bottom w:val="single" w:sz="4" w:space="0" w:color="auto"/>
              <w:right w:val="nil"/>
            </w:tcBorders>
          </w:tcPr>
          <w:p w14:paraId="099E841B" w14:textId="77777777" w:rsidR="00651F15" w:rsidRPr="00651F15" w:rsidRDefault="00651F15" w:rsidP="00F87AA9">
            <w:pPr>
              <w:pStyle w:val="NoSpacing"/>
              <w:rPr>
                <w:b/>
                <w:bCs/>
              </w:rPr>
            </w:pPr>
            <w:r w:rsidRPr="00651F15">
              <w:rPr>
                <w:b/>
                <w:bCs/>
              </w:rPr>
              <w:t>FP Service Provision:</w:t>
            </w:r>
          </w:p>
        </w:tc>
        <w:tc>
          <w:tcPr>
            <w:tcW w:w="608" w:type="pct"/>
            <w:tcBorders>
              <w:top w:val="single" w:sz="4" w:space="0" w:color="auto"/>
              <w:left w:val="nil"/>
              <w:bottom w:val="single" w:sz="4" w:space="0" w:color="auto"/>
              <w:right w:val="nil"/>
            </w:tcBorders>
          </w:tcPr>
          <w:p w14:paraId="3E5FE008" w14:textId="77777777" w:rsidR="00651F15" w:rsidRPr="00651F15" w:rsidRDefault="00651F15" w:rsidP="00F87AA9">
            <w:pPr>
              <w:pStyle w:val="NoSpacing"/>
              <w:rPr>
                <w:b/>
                <w:bCs/>
              </w:rPr>
            </w:pPr>
          </w:p>
        </w:tc>
        <w:tc>
          <w:tcPr>
            <w:tcW w:w="558" w:type="pct"/>
            <w:tcBorders>
              <w:top w:val="single" w:sz="4" w:space="0" w:color="auto"/>
              <w:left w:val="nil"/>
              <w:bottom w:val="single" w:sz="4" w:space="0" w:color="auto"/>
              <w:right w:val="nil"/>
            </w:tcBorders>
          </w:tcPr>
          <w:p w14:paraId="46DC1AB5" w14:textId="0C83FBCF" w:rsidR="00651F15" w:rsidRPr="00651F15" w:rsidRDefault="00651F15" w:rsidP="00F87AA9">
            <w:pPr>
              <w:pStyle w:val="NoSpacing"/>
              <w:rPr>
                <w:b/>
                <w:bCs/>
              </w:rPr>
            </w:pPr>
          </w:p>
        </w:tc>
        <w:tc>
          <w:tcPr>
            <w:tcW w:w="529" w:type="pct"/>
            <w:tcBorders>
              <w:top w:val="single" w:sz="4" w:space="0" w:color="auto"/>
              <w:left w:val="nil"/>
              <w:bottom w:val="single" w:sz="4" w:space="0" w:color="auto"/>
              <w:right w:val="nil"/>
            </w:tcBorders>
          </w:tcPr>
          <w:p w14:paraId="549252EC" w14:textId="77777777" w:rsidR="00651F15" w:rsidRPr="00651F15" w:rsidRDefault="00651F15" w:rsidP="00F87AA9">
            <w:pPr>
              <w:pStyle w:val="NoSpacing"/>
              <w:rPr>
                <w:b/>
                <w:bCs/>
              </w:rPr>
            </w:pPr>
          </w:p>
        </w:tc>
        <w:tc>
          <w:tcPr>
            <w:tcW w:w="526" w:type="pct"/>
            <w:tcBorders>
              <w:top w:val="single" w:sz="4" w:space="0" w:color="auto"/>
              <w:left w:val="nil"/>
              <w:bottom w:val="single" w:sz="4" w:space="0" w:color="auto"/>
              <w:right w:val="single" w:sz="4" w:space="0" w:color="auto"/>
            </w:tcBorders>
          </w:tcPr>
          <w:p w14:paraId="000AB67B" w14:textId="65F71FF8" w:rsidR="00651F15" w:rsidRPr="00651F15" w:rsidRDefault="00651F15" w:rsidP="00F87AA9">
            <w:pPr>
              <w:pStyle w:val="NoSpacing"/>
              <w:rPr>
                <w:b/>
                <w:bCs/>
              </w:rPr>
            </w:pPr>
          </w:p>
        </w:tc>
      </w:tr>
      <w:tr w:rsidR="000A340B" w14:paraId="3EA417BC" w14:textId="77777777" w:rsidTr="00651F15">
        <w:tc>
          <w:tcPr>
            <w:tcW w:w="2779" w:type="pct"/>
            <w:tcBorders>
              <w:top w:val="single" w:sz="4" w:space="0" w:color="auto"/>
            </w:tcBorders>
          </w:tcPr>
          <w:p w14:paraId="4CC292C3" w14:textId="77777777" w:rsidR="000A340B" w:rsidRDefault="00C53DF5" w:rsidP="00F87AA9">
            <w:pPr>
              <w:pStyle w:val="NoSpacing"/>
            </w:pPr>
            <w:r>
              <w:t>SDP</w:t>
            </w:r>
            <w:r w:rsidR="004F56C7">
              <w:t xml:space="preserve"> p</w:t>
            </w:r>
            <w:r w:rsidR="000A340B">
              <w:t>rovide</w:t>
            </w:r>
            <w:r w:rsidR="004F56C7">
              <w:t>s</w:t>
            </w:r>
            <w:r w:rsidR="000A340B">
              <w:t xml:space="preserve"> FP services</w:t>
            </w:r>
          </w:p>
        </w:tc>
        <w:tc>
          <w:tcPr>
            <w:tcW w:w="608" w:type="pct"/>
            <w:tcBorders>
              <w:top w:val="single" w:sz="4" w:space="0" w:color="auto"/>
            </w:tcBorders>
          </w:tcPr>
          <w:p w14:paraId="5F851389" w14:textId="77777777" w:rsidR="000A340B" w:rsidRDefault="000A340B" w:rsidP="00F87AA9">
            <w:pPr>
              <w:pStyle w:val="NoSpacing"/>
            </w:pPr>
            <w:r>
              <w:t>95%</w:t>
            </w:r>
          </w:p>
        </w:tc>
        <w:tc>
          <w:tcPr>
            <w:tcW w:w="558" w:type="pct"/>
            <w:tcBorders>
              <w:top w:val="single" w:sz="4" w:space="0" w:color="auto"/>
            </w:tcBorders>
          </w:tcPr>
          <w:p w14:paraId="0F4B60AA" w14:textId="77777777" w:rsidR="000A340B" w:rsidRDefault="000A340B" w:rsidP="00F87AA9">
            <w:pPr>
              <w:pStyle w:val="NoSpacing"/>
            </w:pPr>
            <w:r>
              <w:t>97%</w:t>
            </w:r>
          </w:p>
        </w:tc>
        <w:tc>
          <w:tcPr>
            <w:tcW w:w="529" w:type="pct"/>
            <w:tcBorders>
              <w:top w:val="single" w:sz="4" w:space="0" w:color="auto"/>
            </w:tcBorders>
          </w:tcPr>
          <w:p w14:paraId="59C810D4" w14:textId="77777777" w:rsidR="000A340B" w:rsidRDefault="000A340B" w:rsidP="00F87AA9">
            <w:pPr>
              <w:pStyle w:val="NoSpacing"/>
            </w:pPr>
            <w:r>
              <w:t>100%</w:t>
            </w:r>
          </w:p>
        </w:tc>
        <w:tc>
          <w:tcPr>
            <w:tcW w:w="526" w:type="pct"/>
            <w:tcBorders>
              <w:top w:val="single" w:sz="4" w:space="0" w:color="auto"/>
            </w:tcBorders>
          </w:tcPr>
          <w:p w14:paraId="6B3A8242" w14:textId="77777777" w:rsidR="000A340B" w:rsidRDefault="000A340B" w:rsidP="00F87AA9">
            <w:pPr>
              <w:pStyle w:val="NoSpacing"/>
            </w:pPr>
            <w:r>
              <w:t>100%</w:t>
            </w:r>
          </w:p>
        </w:tc>
      </w:tr>
      <w:tr w:rsidR="000A340B" w14:paraId="67B3105C" w14:textId="77777777" w:rsidTr="00651F15">
        <w:tc>
          <w:tcPr>
            <w:tcW w:w="2779" w:type="pct"/>
          </w:tcPr>
          <w:p w14:paraId="382F6795" w14:textId="77777777" w:rsidR="000A340B" w:rsidRDefault="004F56C7" w:rsidP="00F87AA9">
            <w:pPr>
              <w:pStyle w:val="NoSpacing"/>
            </w:pPr>
            <w:r>
              <w:t>SDP p</w:t>
            </w:r>
            <w:r w:rsidR="000A340B">
              <w:t>rovide</w:t>
            </w:r>
            <w:r>
              <w:t>s</w:t>
            </w:r>
            <w:r w:rsidR="000A340B">
              <w:t xml:space="preserve"> trained FP staff</w:t>
            </w:r>
          </w:p>
        </w:tc>
        <w:tc>
          <w:tcPr>
            <w:tcW w:w="608" w:type="pct"/>
          </w:tcPr>
          <w:p w14:paraId="0DA58245" w14:textId="77777777" w:rsidR="000A340B" w:rsidRDefault="000A340B" w:rsidP="00F87AA9">
            <w:pPr>
              <w:pStyle w:val="NoSpacing"/>
            </w:pPr>
            <w:r>
              <w:t>93%</w:t>
            </w:r>
          </w:p>
        </w:tc>
        <w:tc>
          <w:tcPr>
            <w:tcW w:w="558" w:type="pct"/>
          </w:tcPr>
          <w:p w14:paraId="21833AF4" w14:textId="77777777" w:rsidR="000A340B" w:rsidRDefault="000A340B" w:rsidP="00F87AA9">
            <w:pPr>
              <w:pStyle w:val="NoSpacing"/>
            </w:pPr>
            <w:r>
              <w:t>87%</w:t>
            </w:r>
          </w:p>
        </w:tc>
        <w:tc>
          <w:tcPr>
            <w:tcW w:w="529" w:type="pct"/>
          </w:tcPr>
          <w:p w14:paraId="42796AB9" w14:textId="77777777" w:rsidR="000A340B" w:rsidRDefault="000A340B" w:rsidP="00F87AA9">
            <w:pPr>
              <w:pStyle w:val="NoSpacing"/>
            </w:pPr>
            <w:r>
              <w:t>100%</w:t>
            </w:r>
          </w:p>
        </w:tc>
        <w:tc>
          <w:tcPr>
            <w:tcW w:w="526" w:type="pct"/>
          </w:tcPr>
          <w:p w14:paraId="47000B01" w14:textId="77777777" w:rsidR="000A340B" w:rsidRDefault="000A340B" w:rsidP="00F87AA9">
            <w:pPr>
              <w:pStyle w:val="NoSpacing"/>
            </w:pPr>
            <w:r>
              <w:t>90%</w:t>
            </w:r>
          </w:p>
        </w:tc>
      </w:tr>
      <w:tr w:rsidR="000A340B" w14:paraId="49856175" w14:textId="77777777" w:rsidTr="00651F15">
        <w:tc>
          <w:tcPr>
            <w:tcW w:w="2779" w:type="pct"/>
          </w:tcPr>
          <w:p w14:paraId="5B8781F2" w14:textId="77777777" w:rsidR="000A340B" w:rsidRDefault="004F56C7" w:rsidP="00F87AA9">
            <w:pPr>
              <w:pStyle w:val="NoSpacing"/>
            </w:pPr>
            <w:r>
              <w:t xml:space="preserve">SDP has </w:t>
            </w:r>
            <w:r w:rsidR="000A340B">
              <w:t>FP Guidelines</w:t>
            </w:r>
          </w:p>
        </w:tc>
        <w:tc>
          <w:tcPr>
            <w:tcW w:w="608" w:type="pct"/>
          </w:tcPr>
          <w:p w14:paraId="789109A9" w14:textId="77777777" w:rsidR="000A340B" w:rsidRDefault="000A340B" w:rsidP="00F87AA9">
            <w:pPr>
              <w:pStyle w:val="NoSpacing"/>
            </w:pPr>
            <w:r>
              <w:t>49%</w:t>
            </w:r>
          </w:p>
        </w:tc>
        <w:tc>
          <w:tcPr>
            <w:tcW w:w="558" w:type="pct"/>
          </w:tcPr>
          <w:p w14:paraId="6F2C960C" w14:textId="77777777" w:rsidR="000A340B" w:rsidRDefault="000A340B" w:rsidP="00F87AA9">
            <w:pPr>
              <w:pStyle w:val="NoSpacing"/>
            </w:pPr>
            <w:r>
              <w:t>53%</w:t>
            </w:r>
          </w:p>
        </w:tc>
        <w:tc>
          <w:tcPr>
            <w:tcW w:w="529" w:type="pct"/>
          </w:tcPr>
          <w:p w14:paraId="1C853BBA" w14:textId="77777777" w:rsidR="000A340B" w:rsidRDefault="000A340B" w:rsidP="00F87AA9">
            <w:pPr>
              <w:pStyle w:val="NoSpacing"/>
            </w:pPr>
            <w:r>
              <w:t>1005</w:t>
            </w:r>
          </w:p>
        </w:tc>
        <w:tc>
          <w:tcPr>
            <w:tcW w:w="526" w:type="pct"/>
          </w:tcPr>
          <w:p w14:paraId="3E5121AB" w14:textId="77777777" w:rsidR="000A340B" w:rsidRDefault="000A340B" w:rsidP="00F87AA9">
            <w:pPr>
              <w:pStyle w:val="NoSpacing"/>
            </w:pPr>
            <w:r>
              <w:t>83%</w:t>
            </w:r>
          </w:p>
        </w:tc>
      </w:tr>
      <w:tr w:rsidR="000A340B" w14:paraId="240E19F1" w14:textId="77777777" w:rsidTr="00651F15">
        <w:tc>
          <w:tcPr>
            <w:tcW w:w="2779" w:type="pct"/>
          </w:tcPr>
          <w:p w14:paraId="1CF89228" w14:textId="77777777" w:rsidR="000A340B" w:rsidRDefault="004F56C7" w:rsidP="00F87AA9">
            <w:pPr>
              <w:pStyle w:val="NoSpacing"/>
            </w:pPr>
            <w:r>
              <w:t>SDP has</w:t>
            </w:r>
            <w:r w:rsidR="000A340B">
              <w:t xml:space="preserve"> </w:t>
            </w:r>
            <w:r>
              <w:t>at least 3</w:t>
            </w:r>
            <w:r w:rsidR="000A340B">
              <w:t xml:space="preserve"> FP methods (primary facility)</w:t>
            </w:r>
          </w:p>
        </w:tc>
        <w:tc>
          <w:tcPr>
            <w:tcW w:w="608" w:type="pct"/>
          </w:tcPr>
          <w:p w14:paraId="070BDB68" w14:textId="77777777" w:rsidR="000A340B" w:rsidRDefault="000A340B" w:rsidP="00F87AA9">
            <w:pPr>
              <w:pStyle w:val="NoSpacing"/>
            </w:pPr>
            <w:r>
              <w:t>87%</w:t>
            </w:r>
          </w:p>
        </w:tc>
        <w:tc>
          <w:tcPr>
            <w:tcW w:w="558" w:type="pct"/>
          </w:tcPr>
          <w:p w14:paraId="6CECD435" w14:textId="77777777" w:rsidR="000A340B" w:rsidRDefault="000A340B" w:rsidP="00F87AA9">
            <w:pPr>
              <w:pStyle w:val="NoSpacing"/>
            </w:pPr>
            <w:r>
              <w:t>74%</w:t>
            </w:r>
          </w:p>
        </w:tc>
        <w:tc>
          <w:tcPr>
            <w:tcW w:w="529" w:type="pct"/>
          </w:tcPr>
          <w:p w14:paraId="5495F4A2" w14:textId="77777777" w:rsidR="000A340B" w:rsidRDefault="000A340B" w:rsidP="00F87AA9">
            <w:pPr>
              <w:pStyle w:val="NoSpacing"/>
            </w:pPr>
            <w:r>
              <w:t>100%</w:t>
            </w:r>
          </w:p>
        </w:tc>
        <w:tc>
          <w:tcPr>
            <w:tcW w:w="526" w:type="pct"/>
          </w:tcPr>
          <w:p w14:paraId="17D6BC9A" w14:textId="77777777" w:rsidR="000A340B" w:rsidRDefault="000A340B" w:rsidP="00F87AA9">
            <w:pPr>
              <w:pStyle w:val="NoSpacing"/>
            </w:pPr>
            <w:r>
              <w:t>92%</w:t>
            </w:r>
          </w:p>
        </w:tc>
      </w:tr>
      <w:tr w:rsidR="000A340B" w14:paraId="1C23FB3C" w14:textId="77777777" w:rsidTr="00651F15">
        <w:tc>
          <w:tcPr>
            <w:tcW w:w="2779" w:type="pct"/>
          </w:tcPr>
          <w:p w14:paraId="4C05FCA8" w14:textId="77777777" w:rsidR="000A340B" w:rsidRDefault="004F56C7" w:rsidP="00F87AA9">
            <w:pPr>
              <w:pStyle w:val="NoSpacing"/>
            </w:pPr>
            <w:r>
              <w:t xml:space="preserve">SDP has at least </w:t>
            </w:r>
            <w:r w:rsidR="000A340B">
              <w:t>5 FP methods (secondary/tertiary)</w:t>
            </w:r>
          </w:p>
        </w:tc>
        <w:tc>
          <w:tcPr>
            <w:tcW w:w="608" w:type="pct"/>
          </w:tcPr>
          <w:p w14:paraId="1CBA8529" w14:textId="77777777" w:rsidR="000A340B" w:rsidRDefault="000A340B" w:rsidP="00F87AA9">
            <w:pPr>
              <w:pStyle w:val="NoSpacing"/>
            </w:pPr>
            <w:r>
              <w:t>39%</w:t>
            </w:r>
          </w:p>
        </w:tc>
        <w:tc>
          <w:tcPr>
            <w:tcW w:w="558" w:type="pct"/>
          </w:tcPr>
          <w:p w14:paraId="3A933E5A" w14:textId="77777777" w:rsidR="000A340B" w:rsidRDefault="000A340B" w:rsidP="00F87AA9">
            <w:pPr>
              <w:pStyle w:val="NoSpacing"/>
            </w:pPr>
            <w:r>
              <w:t>50%</w:t>
            </w:r>
          </w:p>
        </w:tc>
        <w:tc>
          <w:tcPr>
            <w:tcW w:w="529" w:type="pct"/>
          </w:tcPr>
          <w:p w14:paraId="3DCBCEF9" w14:textId="77777777" w:rsidR="000A340B" w:rsidRDefault="000A340B" w:rsidP="00F87AA9">
            <w:pPr>
              <w:pStyle w:val="NoSpacing"/>
            </w:pPr>
            <w:r>
              <w:t>75%</w:t>
            </w:r>
          </w:p>
        </w:tc>
        <w:tc>
          <w:tcPr>
            <w:tcW w:w="526" w:type="pct"/>
          </w:tcPr>
          <w:p w14:paraId="4ECFFCD9" w14:textId="77777777" w:rsidR="000A340B" w:rsidRDefault="000A340B" w:rsidP="00F87AA9">
            <w:pPr>
              <w:pStyle w:val="NoSpacing"/>
            </w:pPr>
            <w:r>
              <w:t>75%</w:t>
            </w:r>
          </w:p>
        </w:tc>
      </w:tr>
      <w:tr w:rsidR="000A340B" w14:paraId="5646952D" w14:textId="77777777" w:rsidTr="00651F15">
        <w:tc>
          <w:tcPr>
            <w:tcW w:w="2779" w:type="pct"/>
          </w:tcPr>
          <w:p w14:paraId="2B69DD94" w14:textId="77777777" w:rsidR="000A340B" w:rsidRDefault="004F56C7" w:rsidP="00F87AA9">
            <w:pPr>
              <w:pStyle w:val="NoSpacing"/>
            </w:pPr>
            <w:r>
              <w:t xml:space="preserve">SDP is </w:t>
            </w:r>
            <w:r w:rsidR="000A340B">
              <w:t>FP service ready</w:t>
            </w:r>
          </w:p>
        </w:tc>
        <w:tc>
          <w:tcPr>
            <w:tcW w:w="608" w:type="pct"/>
          </w:tcPr>
          <w:p w14:paraId="176633C3" w14:textId="77777777" w:rsidR="000A340B" w:rsidRDefault="000A340B" w:rsidP="00F87AA9">
            <w:pPr>
              <w:pStyle w:val="NoSpacing"/>
            </w:pPr>
            <w:r>
              <w:t>19%</w:t>
            </w:r>
          </w:p>
        </w:tc>
        <w:tc>
          <w:tcPr>
            <w:tcW w:w="558" w:type="pct"/>
          </w:tcPr>
          <w:p w14:paraId="46DC6DC5" w14:textId="77777777" w:rsidR="000A340B" w:rsidRDefault="000A340B" w:rsidP="00F87AA9">
            <w:pPr>
              <w:pStyle w:val="NoSpacing"/>
            </w:pPr>
            <w:r>
              <w:t>17%</w:t>
            </w:r>
          </w:p>
        </w:tc>
        <w:tc>
          <w:tcPr>
            <w:tcW w:w="529" w:type="pct"/>
          </w:tcPr>
          <w:p w14:paraId="116C05AC" w14:textId="77777777" w:rsidR="000A340B" w:rsidRDefault="000A340B" w:rsidP="00F87AA9">
            <w:pPr>
              <w:pStyle w:val="NoSpacing"/>
            </w:pPr>
            <w:r>
              <w:t>100%</w:t>
            </w:r>
          </w:p>
        </w:tc>
        <w:tc>
          <w:tcPr>
            <w:tcW w:w="526" w:type="pct"/>
          </w:tcPr>
          <w:p w14:paraId="7822488F" w14:textId="77777777" w:rsidR="000A340B" w:rsidRDefault="000A340B" w:rsidP="00F87AA9">
            <w:pPr>
              <w:pStyle w:val="NoSpacing"/>
            </w:pPr>
            <w:r>
              <w:t>43%</w:t>
            </w:r>
          </w:p>
        </w:tc>
      </w:tr>
      <w:tr w:rsidR="000A340B" w14:paraId="60578601" w14:textId="77777777" w:rsidTr="00651F15">
        <w:tc>
          <w:tcPr>
            <w:tcW w:w="2779" w:type="pct"/>
          </w:tcPr>
          <w:p w14:paraId="6CD5C9AB" w14:textId="77777777" w:rsidR="000A340B" w:rsidRDefault="009511E6" w:rsidP="00F87AA9">
            <w:pPr>
              <w:pStyle w:val="NoSpacing"/>
            </w:pPr>
            <w:r>
              <w:t>SDP has had s</w:t>
            </w:r>
            <w:r w:rsidR="000A340B">
              <w:t>tockouts of FP products last 6 months</w:t>
            </w:r>
          </w:p>
        </w:tc>
        <w:tc>
          <w:tcPr>
            <w:tcW w:w="608" w:type="pct"/>
          </w:tcPr>
          <w:p w14:paraId="60A69BA8" w14:textId="77777777" w:rsidR="000A340B" w:rsidRDefault="000A340B" w:rsidP="00F87AA9">
            <w:pPr>
              <w:pStyle w:val="NoSpacing"/>
            </w:pPr>
            <w:r>
              <w:t>59%</w:t>
            </w:r>
          </w:p>
        </w:tc>
        <w:tc>
          <w:tcPr>
            <w:tcW w:w="558" w:type="pct"/>
          </w:tcPr>
          <w:p w14:paraId="72AE63A8" w14:textId="77777777" w:rsidR="000A340B" w:rsidRDefault="000A340B" w:rsidP="00F87AA9">
            <w:pPr>
              <w:pStyle w:val="NoSpacing"/>
            </w:pPr>
            <w:r>
              <w:t>44%</w:t>
            </w:r>
          </w:p>
        </w:tc>
        <w:tc>
          <w:tcPr>
            <w:tcW w:w="529" w:type="pct"/>
          </w:tcPr>
          <w:p w14:paraId="273205E4" w14:textId="77777777" w:rsidR="000A340B" w:rsidRDefault="000A340B" w:rsidP="00F87AA9">
            <w:pPr>
              <w:pStyle w:val="NoSpacing"/>
            </w:pPr>
            <w:r>
              <w:t>36%</w:t>
            </w:r>
          </w:p>
        </w:tc>
        <w:tc>
          <w:tcPr>
            <w:tcW w:w="526" w:type="pct"/>
          </w:tcPr>
          <w:p w14:paraId="4518B7FF" w14:textId="77777777" w:rsidR="000A340B" w:rsidRDefault="000A340B" w:rsidP="00F87AA9">
            <w:pPr>
              <w:pStyle w:val="NoSpacing"/>
            </w:pPr>
            <w:r>
              <w:t>80%</w:t>
            </w:r>
          </w:p>
        </w:tc>
      </w:tr>
      <w:tr w:rsidR="000A340B" w14:paraId="4B29FBE2" w14:textId="77777777" w:rsidTr="00B3686F">
        <w:tc>
          <w:tcPr>
            <w:tcW w:w="2779" w:type="pct"/>
            <w:tcBorders>
              <w:bottom w:val="single" w:sz="4" w:space="0" w:color="auto"/>
            </w:tcBorders>
          </w:tcPr>
          <w:p w14:paraId="18BCC270" w14:textId="77777777" w:rsidR="000A340B" w:rsidRDefault="000A340B" w:rsidP="00F87AA9">
            <w:pPr>
              <w:pStyle w:val="NoSpacing"/>
            </w:pPr>
            <w:r>
              <w:t xml:space="preserve">New </w:t>
            </w:r>
            <w:r w:rsidR="009511E6">
              <w:t xml:space="preserve">FP </w:t>
            </w:r>
            <w:r>
              <w:t xml:space="preserve">users/acceptors last 6 months/number of facilities </w:t>
            </w:r>
          </w:p>
        </w:tc>
        <w:tc>
          <w:tcPr>
            <w:tcW w:w="608" w:type="pct"/>
            <w:tcBorders>
              <w:bottom w:val="single" w:sz="4" w:space="0" w:color="auto"/>
            </w:tcBorders>
          </w:tcPr>
          <w:p w14:paraId="1C7BEFA6" w14:textId="77777777" w:rsidR="000A340B" w:rsidRDefault="000A340B" w:rsidP="00F87AA9">
            <w:pPr>
              <w:pStyle w:val="NoSpacing"/>
            </w:pPr>
            <w:r>
              <w:t>3962/189 facilities</w:t>
            </w:r>
          </w:p>
        </w:tc>
        <w:tc>
          <w:tcPr>
            <w:tcW w:w="558" w:type="pct"/>
            <w:tcBorders>
              <w:bottom w:val="single" w:sz="4" w:space="0" w:color="auto"/>
            </w:tcBorders>
          </w:tcPr>
          <w:p w14:paraId="59A5662E" w14:textId="77777777" w:rsidR="000A340B" w:rsidRDefault="000A340B" w:rsidP="00F87AA9">
            <w:pPr>
              <w:pStyle w:val="NoSpacing"/>
            </w:pPr>
            <w:r>
              <w:t>480/88 facilities</w:t>
            </w:r>
          </w:p>
        </w:tc>
        <w:tc>
          <w:tcPr>
            <w:tcW w:w="529" w:type="pct"/>
            <w:tcBorders>
              <w:bottom w:val="single" w:sz="4" w:space="0" w:color="auto"/>
            </w:tcBorders>
          </w:tcPr>
          <w:p w14:paraId="394DD95D" w14:textId="77777777" w:rsidR="000A340B" w:rsidRDefault="000A340B" w:rsidP="00F87AA9">
            <w:pPr>
              <w:pStyle w:val="NoSpacing"/>
            </w:pPr>
            <w:r>
              <w:t>783/14 facilities</w:t>
            </w:r>
          </w:p>
        </w:tc>
        <w:tc>
          <w:tcPr>
            <w:tcW w:w="526" w:type="pct"/>
            <w:tcBorders>
              <w:bottom w:val="single" w:sz="4" w:space="0" w:color="auto"/>
            </w:tcBorders>
          </w:tcPr>
          <w:p w14:paraId="7A9898C7" w14:textId="77777777" w:rsidR="000A340B" w:rsidRDefault="000A340B" w:rsidP="00F87AA9">
            <w:pPr>
              <w:pStyle w:val="NoSpacing"/>
            </w:pPr>
            <w:r>
              <w:t>308/25 facilities</w:t>
            </w:r>
          </w:p>
        </w:tc>
      </w:tr>
      <w:tr w:rsidR="00651F15" w14:paraId="33B4E4E9" w14:textId="77777777" w:rsidTr="00B3686F">
        <w:tc>
          <w:tcPr>
            <w:tcW w:w="2779" w:type="pct"/>
            <w:tcBorders>
              <w:top w:val="single" w:sz="4" w:space="0" w:color="auto"/>
              <w:left w:val="single" w:sz="4" w:space="0" w:color="auto"/>
              <w:bottom w:val="single" w:sz="4" w:space="0" w:color="auto"/>
              <w:right w:val="nil"/>
            </w:tcBorders>
          </w:tcPr>
          <w:p w14:paraId="29841E73" w14:textId="77777777" w:rsidR="00651F15" w:rsidRPr="00B3686F" w:rsidRDefault="00651F15" w:rsidP="00F87AA9">
            <w:pPr>
              <w:pStyle w:val="NoSpacing"/>
              <w:rPr>
                <w:b/>
                <w:bCs/>
              </w:rPr>
            </w:pPr>
            <w:r w:rsidRPr="00B3686F">
              <w:rPr>
                <w:b/>
                <w:bCs/>
              </w:rPr>
              <w:t>FP Products:</w:t>
            </w:r>
          </w:p>
        </w:tc>
        <w:tc>
          <w:tcPr>
            <w:tcW w:w="608" w:type="pct"/>
            <w:tcBorders>
              <w:top w:val="single" w:sz="4" w:space="0" w:color="auto"/>
              <w:left w:val="nil"/>
              <w:bottom w:val="single" w:sz="4" w:space="0" w:color="auto"/>
              <w:right w:val="nil"/>
            </w:tcBorders>
          </w:tcPr>
          <w:p w14:paraId="6D378680" w14:textId="77777777" w:rsidR="00651F15" w:rsidRPr="00B3686F" w:rsidRDefault="00651F15" w:rsidP="00F87AA9">
            <w:pPr>
              <w:pStyle w:val="NoSpacing"/>
              <w:rPr>
                <w:b/>
                <w:bCs/>
              </w:rPr>
            </w:pPr>
          </w:p>
        </w:tc>
        <w:tc>
          <w:tcPr>
            <w:tcW w:w="558" w:type="pct"/>
            <w:tcBorders>
              <w:top w:val="single" w:sz="4" w:space="0" w:color="auto"/>
              <w:left w:val="nil"/>
              <w:bottom w:val="single" w:sz="4" w:space="0" w:color="auto"/>
              <w:right w:val="nil"/>
            </w:tcBorders>
          </w:tcPr>
          <w:p w14:paraId="5DF100A0" w14:textId="459B2DC4" w:rsidR="00651F15" w:rsidRPr="00B3686F" w:rsidRDefault="00651F15" w:rsidP="00F87AA9">
            <w:pPr>
              <w:pStyle w:val="NoSpacing"/>
              <w:rPr>
                <w:b/>
                <w:bCs/>
              </w:rPr>
            </w:pPr>
          </w:p>
        </w:tc>
        <w:tc>
          <w:tcPr>
            <w:tcW w:w="529" w:type="pct"/>
            <w:tcBorders>
              <w:top w:val="single" w:sz="4" w:space="0" w:color="auto"/>
              <w:left w:val="nil"/>
              <w:bottom w:val="single" w:sz="4" w:space="0" w:color="auto"/>
              <w:right w:val="nil"/>
            </w:tcBorders>
          </w:tcPr>
          <w:p w14:paraId="049790D0" w14:textId="77777777" w:rsidR="00651F15" w:rsidRPr="00B3686F" w:rsidRDefault="00651F15" w:rsidP="00F87AA9">
            <w:pPr>
              <w:pStyle w:val="NoSpacing"/>
              <w:rPr>
                <w:b/>
                <w:bCs/>
              </w:rPr>
            </w:pPr>
          </w:p>
        </w:tc>
        <w:tc>
          <w:tcPr>
            <w:tcW w:w="526" w:type="pct"/>
            <w:tcBorders>
              <w:top w:val="single" w:sz="4" w:space="0" w:color="auto"/>
              <w:left w:val="nil"/>
              <w:bottom w:val="single" w:sz="4" w:space="0" w:color="auto"/>
              <w:right w:val="single" w:sz="4" w:space="0" w:color="auto"/>
            </w:tcBorders>
          </w:tcPr>
          <w:p w14:paraId="24B0F507" w14:textId="1CBFC93B" w:rsidR="00651F15" w:rsidRPr="00B3686F" w:rsidRDefault="00651F15" w:rsidP="00F87AA9">
            <w:pPr>
              <w:pStyle w:val="NoSpacing"/>
              <w:rPr>
                <w:b/>
                <w:bCs/>
              </w:rPr>
            </w:pPr>
          </w:p>
        </w:tc>
      </w:tr>
      <w:tr w:rsidR="000A340B" w14:paraId="24BA7BB9" w14:textId="77777777" w:rsidTr="00B3686F">
        <w:tc>
          <w:tcPr>
            <w:tcW w:w="2779" w:type="pct"/>
            <w:tcBorders>
              <w:top w:val="single" w:sz="4" w:space="0" w:color="auto"/>
            </w:tcBorders>
          </w:tcPr>
          <w:p w14:paraId="3DBE908B" w14:textId="77777777" w:rsidR="000A340B" w:rsidRDefault="000A340B" w:rsidP="00F87AA9">
            <w:pPr>
              <w:pStyle w:val="NoSpacing"/>
            </w:pPr>
            <w:r>
              <w:t>Male condoms</w:t>
            </w:r>
          </w:p>
        </w:tc>
        <w:tc>
          <w:tcPr>
            <w:tcW w:w="608" w:type="pct"/>
            <w:tcBorders>
              <w:top w:val="single" w:sz="4" w:space="0" w:color="auto"/>
            </w:tcBorders>
          </w:tcPr>
          <w:p w14:paraId="52BBEC6D" w14:textId="77777777" w:rsidR="000A340B" w:rsidRDefault="000A340B" w:rsidP="00F87AA9">
            <w:pPr>
              <w:pStyle w:val="NoSpacing"/>
            </w:pPr>
            <w:r>
              <w:t>98%</w:t>
            </w:r>
          </w:p>
        </w:tc>
        <w:tc>
          <w:tcPr>
            <w:tcW w:w="558" w:type="pct"/>
            <w:tcBorders>
              <w:top w:val="single" w:sz="4" w:space="0" w:color="auto"/>
            </w:tcBorders>
          </w:tcPr>
          <w:p w14:paraId="0E69F9D4" w14:textId="77777777" w:rsidR="000A340B" w:rsidRDefault="000A340B" w:rsidP="00F87AA9">
            <w:pPr>
              <w:pStyle w:val="NoSpacing"/>
            </w:pPr>
            <w:r>
              <w:t>86%</w:t>
            </w:r>
          </w:p>
        </w:tc>
        <w:tc>
          <w:tcPr>
            <w:tcW w:w="529" w:type="pct"/>
            <w:tcBorders>
              <w:top w:val="single" w:sz="4" w:space="0" w:color="auto"/>
            </w:tcBorders>
          </w:tcPr>
          <w:p w14:paraId="12A1E088" w14:textId="77777777" w:rsidR="000A340B" w:rsidRDefault="000A340B" w:rsidP="00F87AA9">
            <w:pPr>
              <w:pStyle w:val="NoSpacing"/>
            </w:pPr>
            <w:r>
              <w:t>100%</w:t>
            </w:r>
          </w:p>
        </w:tc>
        <w:tc>
          <w:tcPr>
            <w:tcW w:w="526" w:type="pct"/>
            <w:tcBorders>
              <w:top w:val="single" w:sz="4" w:space="0" w:color="auto"/>
            </w:tcBorders>
          </w:tcPr>
          <w:p w14:paraId="672F82D1" w14:textId="77777777" w:rsidR="000A340B" w:rsidRDefault="000A340B" w:rsidP="00F87AA9">
            <w:pPr>
              <w:pStyle w:val="NoSpacing"/>
            </w:pPr>
            <w:r>
              <w:t>100%</w:t>
            </w:r>
          </w:p>
        </w:tc>
      </w:tr>
      <w:tr w:rsidR="000A340B" w14:paraId="224A25A5" w14:textId="77777777" w:rsidTr="00651F15">
        <w:tc>
          <w:tcPr>
            <w:tcW w:w="2779" w:type="pct"/>
          </w:tcPr>
          <w:p w14:paraId="21291BFC" w14:textId="77777777" w:rsidR="000A340B" w:rsidRDefault="000A340B" w:rsidP="00F87AA9">
            <w:pPr>
              <w:pStyle w:val="NoSpacing"/>
            </w:pPr>
            <w:r>
              <w:t>Female condoms</w:t>
            </w:r>
          </w:p>
        </w:tc>
        <w:tc>
          <w:tcPr>
            <w:tcW w:w="608" w:type="pct"/>
          </w:tcPr>
          <w:p w14:paraId="412359BB" w14:textId="77777777" w:rsidR="000A340B" w:rsidRDefault="000A340B" w:rsidP="00F87AA9">
            <w:pPr>
              <w:pStyle w:val="NoSpacing"/>
            </w:pPr>
            <w:r>
              <w:t>9%</w:t>
            </w:r>
          </w:p>
        </w:tc>
        <w:tc>
          <w:tcPr>
            <w:tcW w:w="558" w:type="pct"/>
          </w:tcPr>
          <w:p w14:paraId="043623D8" w14:textId="77777777" w:rsidR="000A340B" w:rsidRDefault="000A340B" w:rsidP="00F87AA9">
            <w:pPr>
              <w:pStyle w:val="NoSpacing"/>
            </w:pPr>
            <w:r>
              <w:t>33%</w:t>
            </w:r>
          </w:p>
        </w:tc>
        <w:tc>
          <w:tcPr>
            <w:tcW w:w="529" w:type="pct"/>
          </w:tcPr>
          <w:p w14:paraId="2C09BED5" w14:textId="77777777" w:rsidR="000A340B" w:rsidRDefault="000A340B" w:rsidP="00F87AA9">
            <w:pPr>
              <w:pStyle w:val="NoSpacing"/>
            </w:pPr>
            <w:r>
              <w:t>0%</w:t>
            </w:r>
          </w:p>
        </w:tc>
        <w:tc>
          <w:tcPr>
            <w:tcW w:w="526" w:type="pct"/>
          </w:tcPr>
          <w:p w14:paraId="0CEAAF0C" w14:textId="77777777" w:rsidR="000A340B" w:rsidRDefault="000A340B" w:rsidP="00F87AA9">
            <w:pPr>
              <w:pStyle w:val="NoSpacing"/>
            </w:pPr>
            <w:r>
              <w:t>60%</w:t>
            </w:r>
          </w:p>
        </w:tc>
      </w:tr>
      <w:tr w:rsidR="000A340B" w14:paraId="32E325EA" w14:textId="77777777" w:rsidTr="00651F15">
        <w:tc>
          <w:tcPr>
            <w:tcW w:w="2779" w:type="pct"/>
          </w:tcPr>
          <w:p w14:paraId="1192ECF5" w14:textId="77777777" w:rsidR="000A340B" w:rsidRDefault="000A340B" w:rsidP="00F87AA9">
            <w:pPr>
              <w:pStyle w:val="NoSpacing"/>
            </w:pPr>
            <w:r>
              <w:t>Oral Contraceptive Pills</w:t>
            </w:r>
          </w:p>
        </w:tc>
        <w:tc>
          <w:tcPr>
            <w:tcW w:w="608" w:type="pct"/>
          </w:tcPr>
          <w:p w14:paraId="4C992774" w14:textId="77777777" w:rsidR="000A340B" w:rsidRDefault="000A340B" w:rsidP="00F87AA9">
            <w:pPr>
              <w:pStyle w:val="NoSpacing"/>
            </w:pPr>
            <w:r>
              <w:t>92%</w:t>
            </w:r>
          </w:p>
        </w:tc>
        <w:tc>
          <w:tcPr>
            <w:tcW w:w="558" w:type="pct"/>
          </w:tcPr>
          <w:p w14:paraId="2A8B6CAD" w14:textId="77777777" w:rsidR="000A340B" w:rsidRDefault="000A340B" w:rsidP="00F87AA9">
            <w:pPr>
              <w:pStyle w:val="NoSpacing"/>
            </w:pPr>
            <w:r>
              <w:t>77%</w:t>
            </w:r>
          </w:p>
        </w:tc>
        <w:tc>
          <w:tcPr>
            <w:tcW w:w="529" w:type="pct"/>
          </w:tcPr>
          <w:p w14:paraId="41D4F307" w14:textId="77777777" w:rsidR="000A340B" w:rsidRDefault="000A340B" w:rsidP="00F87AA9">
            <w:pPr>
              <w:pStyle w:val="NoSpacing"/>
            </w:pPr>
            <w:r>
              <w:t>100%</w:t>
            </w:r>
          </w:p>
        </w:tc>
        <w:tc>
          <w:tcPr>
            <w:tcW w:w="526" w:type="pct"/>
          </w:tcPr>
          <w:p w14:paraId="217C26A4" w14:textId="77777777" w:rsidR="000A340B" w:rsidRDefault="000A340B" w:rsidP="00F87AA9">
            <w:pPr>
              <w:pStyle w:val="NoSpacing"/>
            </w:pPr>
            <w:r>
              <w:t>97%</w:t>
            </w:r>
          </w:p>
        </w:tc>
      </w:tr>
      <w:tr w:rsidR="000A340B" w14:paraId="6A9E595D" w14:textId="77777777" w:rsidTr="00651F15">
        <w:tc>
          <w:tcPr>
            <w:tcW w:w="2779" w:type="pct"/>
          </w:tcPr>
          <w:p w14:paraId="4F324EA9" w14:textId="77777777" w:rsidR="000A340B" w:rsidRDefault="000A340B" w:rsidP="00F87AA9">
            <w:pPr>
              <w:pStyle w:val="NoSpacing"/>
            </w:pPr>
            <w:r>
              <w:t>Progestin only pills</w:t>
            </w:r>
          </w:p>
        </w:tc>
        <w:tc>
          <w:tcPr>
            <w:tcW w:w="608" w:type="pct"/>
          </w:tcPr>
          <w:p w14:paraId="58007C44" w14:textId="77777777" w:rsidR="000A340B" w:rsidRDefault="000A340B" w:rsidP="00F87AA9">
            <w:pPr>
              <w:pStyle w:val="NoSpacing"/>
            </w:pPr>
            <w:r>
              <w:t>91%</w:t>
            </w:r>
          </w:p>
        </w:tc>
        <w:tc>
          <w:tcPr>
            <w:tcW w:w="558" w:type="pct"/>
          </w:tcPr>
          <w:p w14:paraId="25AC127F" w14:textId="77777777" w:rsidR="000A340B" w:rsidRDefault="000A340B" w:rsidP="00F87AA9">
            <w:pPr>
              <w:pStyle w:val="NoSpacing"/>
            </w:pPr>
            <w:r>
              <w:t>68%</w:t>
            </w:r>
          </w:p>
        </w:tc>
        <w:tc>
          <w:tcPr>
            <w:tcW w:w="529" w:type="pct"/>
          </w:tcPr>
          <w:p w14:paraId="554E6B27" w14:textId="77777777" w:rsidR="000A340B" w:rsidRDefault="000A340B" w:rsidP="00F87AA9">
            <w:pPr>
              <w:pStyle w:val="NoSpacing"/>
            </w:pPr>
            <w:r>
              <w:t>100%</w:t>
            </w:r>
          </w:p>
        </w:tc>
        <w:tc>
          <w:tcPr>
            <w:tcW w:w="526" w:type="pct"/>
          </w:tcPr>
          <w:p w14:paraId="3C7188EA" w14:textId="77777777" w:rsidR="000A340B" w:rsidRDefault="000A340B" w:rsidP="00F87AA9">
            <w:pPr>
              <w:pStyle w:val="NoSpacing"/>
            </w:pPr>
            <w:r>
              <w:t>93%</w:t>
            </w:r>
          </w:p>
        </w:tc>
      </w:tr>
      <w:tr w:rsidR="000A340B" w14:paraId="71AA26C3" w14:textId="77777777" w:rsidTr="00651F15">
        <w:tc>
          <w:tcPr>
            <w:tcW w:w="2779" w:type="pct"/>
          </w:tcPr>
          <w:p w14:paraId="57D73540" w14:textId="77777777" w:rsidR="000A340B" w:rsidRDefault="000A340B" w:rsidP="00F87AA9">
            <w:pPr>
              <w:pStyle w:val="NoSpacing"/>
            </w:pPr>
            <w:r>
              <w:t>Injectables (Depo Provera)</w:t>
            </w:r>
          </w:p>
        </w:tc>
        <w:tc>
          <w:tcPr>
            <w:tcW w:w="608" w:type="pct"/>
          </w:tcPr>
          <w:p w14:paraId="7622CABD" w14:textId="77777777" w:rsidR="000A340B" w:rsidRDefault="000A340B" w:rsidP="00F87AA9">
            <w:pPr>
              <w:pStyle w:val="NoSpacing"/>
            </w:pPr>
            <w:r>
              <w:t>97%</w:t>
            </w:r>
          </w:p>
        </w:tc>
        <w:tc>
          <w:tcPr>
            <w:tcW w:w="558" w:type="pct"/>
          </w:tcPr>
          <w:p w14:paraId="2FC8A37B" w14:textId="77777777" w:rsidR="000A340B" w:rsidRDefault="000A340B" w:rsidP="00F87AA9">
            <w:pPr>
              <w:pStyle w:val="NoSpacing"/>
            </w:pPr>
            <w:r>
              <w:t>92%</w:t>
            </w:r>
          </w:p>
        </w:tc>
        <w:tc>
          <w:tcPr>
            <w:tcW w:w="529" w:type="pct"/>
          </w:tcPr>
          <w:p w14:paraId="3F347209" w14:textId="77777777" w:rsidR="000A340B" w:rsidRDefault="000A340B" w:rsidP="00F87AA9">
            <w:pPr>
              <w:pStyle w:val="NoSpacing"/>
            </w:pPr>
            <w:r>
              <w:t>100%</w:t>
            </w:r>
          </w:p>
        </w:tc>
        <w:tc>
          <w:tcPr>
            <w:tcW w:w="526" w:type="pct"/>
          </w:tcPr>
          <w:p w14:paraId="5A07A0A1" w14:textId="77777777" w:rsidR="000A340B" w:rsidRDefault="000A340B" w:rsidP="00F87AA9">
            <w:pPr>
              <w:pStyle w:val="NoSpacing"/>
            </w:pPr>
            <w:r>
              <w:t>100%</w:t>
            </w:r>
          </w:p>
        </w:tc>
      </w:tr>
      <w:tr w:rsidR="000A340B" w14:paraId="44794805" w14:textId="77777777" w:rsidTr="00651F15">
        <w:tc>
          <w:tcPr>
            <w:tcW w:w="2779" w:type="pct"/>
          </w:tcPr>
          <w:p w14:paraId="279E04B9" w14:textId="77777777" w:rsidR="000A340B" w:rsidRDefault="000A340B" w:rsidP="00F87AA9">
            <w:pPr>
              <w:pStyle w:val="NoSpacing"/>
            </w:pPr>
            <w:r>
              <w:t>Emergency Contraception (EC)</w:t>
            </w:r>
          </w:p>
        </w:tc>
        <w:tc>
          <w:tcPr>
            <w:tcW w:w="608" w:type="pct"/>
          </w:tcPr>
          <w:p w14:paraId="7427E6AD" w14:textId="77777777" w:rsidR="000A340B" w:rsidRDefault="000A340B" w:rsidP="00F87AA9">
            <w:pPr>
              <w:pStyle w:val="NoSpacing"/>
            </w:pPr>
            <w:r>
              <w:t>57%</w:t>
            </w:r>
          </w:p>
        </w:tc>
        <w:tc>
          <w:tcPr>
            <w:tcW w:w="558" w:type="pct"/>
          </w:tcPr>
          <w:p w14:paraId="39C960E7" w14:textId="77777777" w:rsidR="000A340B" w:rsidRDefault="000A340B" w:rsidP="00F87AA9">
            <w:pPr>
              <w:pStyle w:val="NoSpacing"/>
            </w:pPr>
            <w:r>
              <w:t>51%</w:t>
            </w:r>
          </w:p>
        </w:tc>
        <w:tc>
          <w:tcPr>
            <w:tcW w:w="529" w:type="pct"/>
          </w:tcPr>
          <w:p w14:paraId="7D9740AD" w14:textId="77777777" w:rsidR="000A340B" w:rsidRDefault="000A340B" w:rsidP="00F87AA9">
            <w:pPr>
              <w:pStyle w:val="NoSpacing"/>
            </w:pPr>
            <w:r>
              <w:t>36%</w:t>
            </w:r>
          </w:p>
        </w:tc>
        <w:tc>
          <w:tcPr>
            <w:tcW w:w="526" w:type="pct"/>
          </w:tcPr>
          <w:p w14:paraId="2E9926FB" w14:textId="77777777" w:rsidR="000A340B" w:rsidRDefault="000A340B" w:rsidP="00F87AA9">
            <w:pPr>
              <w:pStyle w:val="NoSpacing"/>
            </w:pPr>
            <w:r>
              <w:t>90%</w:t>
            </w:r>
          </w:p>
        </w:tc>
      </w:tr>
      <w:tr w:rsidR="000A340B" w14:paraId="34AE661B" w14:textId="77777777" w:rsidTr="00651F15">
        <w:tc>
          <w:tcPr>
            <w:tcW w:w="2779" w:type="pct"/>
          </w:tcPr>
          <w:p w14:paraId="7BCCC3AD" w14:textId="77777777" w:rsidR="000A340B" w:rsidRDefault="000A340B" w:rsidP="00F87AA9">
            <w:pPr>
              <w:pStyle w:val="NoSpacing"/>
            </w:pPr>
            <w:r>
              <w:t>Implants (</w:t>
            </w:r>
            <w:proofErr w:type="spellStart"/>
            <w:r>
              <w:t>Jadelle</w:t>
            </w:r>
            <w:proofErr w:type="spellEnd"/>
            <w:r>
              <w:t>)</w:t>
            </w:r>
          </w:p>
        </w:tc>
        <w:tc>
          <w:tcPr>
            <w:tcW w:w="608" w:type="pct"/>
          </w:tcPr>
          <w:p w14:paraId="797BB835" w14:textId="77777777" w:rsidR="000A340B" w:rsidRDefault="000A340B" w:rsidP="00F87AA9">
            <w:pPr>
              <w:pStyle w:val="NoSpacing"/>
            </w:pPr>
            <w:r>
              <w:t>48%</w:t>
            </w:r>
          </w:p>
        </w:tc>
        <w:tc>
          <w:tcPr>
            <w:tcW w:w="558" w:type="pct"/>
          </w:tcPr>
          <w:p w14:paraId="1A56CCE8" w14:textId="77777777" w:rsidR="000A340B" w:rsidRDefault="000A340B" w:rsidP="00F87AA9">
            <w:pPr>
              <w:pStyle w:val="NoSpacing"/>
            </w:pPr>
            <w:r>
              <w:t>89%</w:t>
            </w:r>
          </w:p>
        </w:tc>
        <w:tc>
          <w:tcPr>
            <w:tcW w:w="529" w:type="pct"/>
          </w:tcPr>
          <w:p w14:paraId="0EFF994E" w14:textId="77777777" w:rsidR="000A340B" w:rsidRDefault="000A340B" w:rsidP="00F87AA9">
            <w:pPr>
              <w:pStyle w:val="NoSpacing"/>
            </w:pPr>
            <w:r>
              <w:t>79%</w:t>
            </w:r>
          </w:p>
        </w:tc>
        <w:tc>
          <w:tcPr>
            <w:tcW w:w="526" w:type="pct"/>
          </w:tcPr>
          <w:p w14:paraId="7EA90193" w14:textId="77777777" w:rsidR="000A340B" w:rsidRDefault="000A340B" w:rsidP="00F87AA9">
            <w:pPr>
              <w:pStyle w:val="NoSpacing"/>
            </w:pPr>
            <w:r>
              <w:t>13%</w:t>
            </w:r>
          </w:p>
        </w:tc>
      </w:tr>
      <w:tr w:rsidR="000A340B" w14:paraId="31251161" w14:textId="77777777" w:rsidTr="00B3686F">
        <w:tc>
          <w:tcPr>
            <w:tcW w:w="2779" w:type="pct"/>
          </w:tcPr>
          <w:p w14:paraId="218FDD79" w14:textId="77777777" w:rsidR="000A340B" w:rsidRDefault="000A340B" w:rsidP="00F87AA9">
            <w:pPr>
              <w:pStyle w:val="NoSpacing"/>
            </w:pPr>
            <w:r>
              <w:t>IUDs</w:t>
            </w:r>
          </w:p>
        </w:tc>
        <w:tc>
          <w:tcPr>
            <w:tcW w:w="608" w:type="pct"/>
            <w:tcBorders>
              <w:bottom w:val="single" w:sz="4" w:space="0" w:color="auto"/>
            </w:tcBorders>
          </w:tcPr>
          <w:p w14:paraId="27301F42" w14:textId="77777777" w:rsidR="000A340B" w:rsidRDefault="000A340B" w:rsidP="00F87AA9">
            <w:pPr>
              <w:pStyle w:val="NoSpacing"/>
            </w:pPr>
            <w:r>
              <w:t>24%</w:t>
            </w:r>
          </w:p>
        </w:tc>
        <w:tc>
          <w:tcPr>
            <w:tcW w:w="558" w:type="pct"/>
            <w:tcBorders>
              <w:bottom w:val="single" w:sz="4" w:space="0" w:color="auto"/>
            </w:tcBorders>
          </w:tcPr>
          <w:p w14:paraId="7C2BF892" w14:textId="77777777" w:rsidR="000A340B" w:rsidRDefault="000A340B" w:rsidP="00F87AA9">
            <w:pPr>
              <w:pStyle w:val="NoSpacing"/>
            </w:pPr>
            <w:r>
              <w:t>4%</w:t>
            </w:r>
          </w:p>
        </w:tc>
        <w:tc>
          <w:tcPr>
            <w:tcW w:w="529" w:type="pct"/>
            <w:tcBorders>
              <w:bottom w:val="single" w:sz="4" w:space="0" w:color="auto"/>
            </w:tcBorders>
          </w:tcPr>
          <w:p w14:paraId="3DEBF1D3" w14:textId="77777777" w:rsidR="000A340B" w:rsidRDefault="000A340B" w:rsidP="00F87AA9">
            <w:pPr>
              <w:pStyle w:val="NoSpacing"/>
            </w:pPr>
            <w:r>
              <w:t>71%</w:t>
            </w:r>
          </w:p>
        </w:tc>
        <w:tc>
          <w:tcPr>
            <w:tcW w:w="526" w:type="pct"/>
            <w:tcBorders>
              <w:bottom w:val="single" w:sz="4" w:space="0" w:color="auto"/>
            </w:tcBorders>
          </w:tcPr>
          <w:p w14:paraId="1FA8FE00" w14:textId="77777777" w:rsidR="000A340B" w:rsidRDefault="000A340B" w:rsidP="00F87AA9">
            <w:pPr>
              <w:pStyle w:val="NoSpacing"/>
            </w:pPr>
            <w:r>
              <w:t>83%</w:t>
            </w:r>
          </w:p>
        </w:tc>
      </w:tr>
      <w:tr w:rsidR="00B3686F" w14:paraId="25CF72C9" w14:textId="77777777" w:rsidTr="00B3686F">
        <w:tc>
          <w:tcPr>
            <w:tcW w:w="2779" w:type="pct"/>
            <w:tcBorders>
              <w:right w:val="nil"/>
            </w:tcBorders>
          </w:tcPr>
          <w:p w14:paraId="3E3C26A8" w14:textId="77777777" w:rsidR="00B3686F" w:rsidRDefault="00B3686F" w:rsidP="00F87AA9">
            <w:pPr>
              <w:pStyle w:val="NoSpacing"/>
            </w:pPr>
            <w:r w:rsidRPr="002519C6">
              <w:rPr>
                <w:b/>
                <w:bCs/>
              </w:rPr>
              <w:t>Guidelines for HIS reporting:</w:t>
            </w:r>
          </w:p>
        </w:tc>
        <w:tc>
          <w:tcPr>
            <w:tcW w:w="608" w:type="pct"/>
            <w:tcBorders>
              <w:top w:val="single" w:sz="4" w:space="0" w:color="auto"/>
              <w:left w:val="nil"/>
              <w:bottom w:val="single" w:sz="4" w:space="0" w:color="auto"/>
              <w:right w:val="nil"/>
            </w:tcBorders>
          </w:tcPr>
          <w:p w14:paraId="35A20ABB" w14:textId="77777777" w:rsidR="00B3686F" w:rsidRDefault="00B3686F" w:rsidP="00F87AA9">
            <w:pPr>
              <w:pStyle w:val="NoSpacing"/>
            </w:pPr>
          </w:p>
        </w:tc>
        <w:tc>
          <w:tcPr>
            <w:tcW w:w="558" w:type="pct"/>
            <w:tcBorders>
              <w:top w:val="single" w:sz="4" w:space="0" w:color="auto"/>
              <w:left w:val="nil"/>
              <w:bottom w:val="single" w:sz="4" w:space="0" w:color="auto"/>
              <w:right w:val="nil"/>
            </w:tcBorders>
          </w:tcPr>
          <w:p w14:paraId="1EADD996" w14:textId="042C616B" w:rsidR="00B3686F" w:rsidRDefault="00B3686F" w:rsidP="00F87AA9">
            <w:pPr>
              <w:pStyle w:val="NoSpacing"/>
            </w:pPr>
          </w:p>
        </w:tc>
        <w:tc>
          <w:tcPr>
            <w:tcW w:w="529" w:type="pct"/>
            <w:tcBorders>
              <w:top w:val="single" w:sz="4" w:space="0" w:color="auto"/>
              <w:left w:val="nil"/>
              <w:bottom w:val="single" w:sz="4" w:space="0" w:color="auto"/>
              <w:right w:val="nil"/>
            </w:tcBorders>
          </w:tcPr>
          <w:p w14:paraId="7B479502" w14:textId="77777777" w:rsidR="00B3686F" w:rsidRDefault="00B3686F" w:rsidP="00F87AA9">
            <w:pPr>
              <w:pStyle w:val="NoSpacing"/>
            </w:pPr>
          </w:p>
        </w:tc>
        <w:tc>
          <w:tcPr>
            <w:tcW w:w="526" w:type="pct"/>
            <w:tcBorders>
              <w:top w:val="single" w:sz="4" w:space="0" w:color="auto"/>
              <w:left w:val="nil"/>
              <w:bottom w:val="single" w:sz="4" w:space="0" w:color="auto"/>
              <w:right w:val="single" w:sz="4" w:space="0" w:color="auto"/>
            </w:tcBorders>
          </w:tcPr>
          <w:p w14:paraId="761885BC" w14:textId="19F586F8" w:rsidR="00B3686F" w:rsidRDefault="00B3686F" w:rsidP="00F87AA9">
            <w:pPr>
              <w:pStyle w:val="NoSpacing"/>
            </w:pPr>
          </w:p>
        </w:tc>
      </w:tr>
      <w:tr w:rsidR="000A340B" w14:paraId="65F6F3A8" w14:textId="77777777" w:rsidTr="00B3686F">
        <w:tc>
          <w:tcPr>
            <w:tcW w:w="2779" w:type="pct"/>
          </w:tcPr>
          <w:p w14:paraId="22735BAB" w14:textId="77777777" w:rsidR="000A340B" w:rsidRDefault="000A340B" w:rsidP="00F87AA9">
            <w:pPr>
              <w:pStyle w:val="NoSpacing"/>
            </w:pPr>
            <w:r>
              <w:t>Staff trained in logistics management</w:t>
            </w:r>
          </w:p>
        </w:tc>
        <w:tc>
          <w:tcPr>
            <w:tcW w:w="608" w:type="pct"/>
            <w:tcBorders>
              <w:top w:val="single" w:sz="4" w:space="0" w:color="auto"/>
            </w:tcBorders>
          </w:tcPr>
          <w:p w14:paraId="3E907002" w14:textId="77777777" w:rsidR="000A340B" w:rsidRDefault="000A340B" w:rsidP="00F87AA9">
            <w:pPr>
              <w:pStyle w:val="NoSpacing"/>
            </w:pPr>
            <w:r>
              <w:t>78%</w:t>
            </w:r>
          </w:p>
        </w:tc>
        <w:tc>
          <w:tcPr>
            <w:tcW w:w="558" w:type="pct"/>
            <w:tcBorders>
              <w:top w:val="single" w:sz="4" w:space="0" w:color="auto"/>
            </w:tcBorders>
          </w:tcPr>
          <w:p w14:paraId="4625E21B" w14:textId="77777777" w:rsidR="000A340B" w:rsidRDefault="000A340B" w:rsidP="00F87AA9">
            <w:pPr>
              <w:pStyle w:val="NoSpacing"/>
            </w:pPr>
            <w:r>
              <w:t>68%</w:t>
            </w:r>
          </w:p>
        </w:tc>
        <w:tc>
          <w:tcPr>
            <w:tcW w:w="529" w:type="pct"/>
            <w:tcBorders>
              <w:top w:val="single" w:sz="4" w:space="0" w:color="auto"/>
            </w:tcBorders>
          </w:tcPr>
          <w:p w14:paraId="365FF66F" w14:textId="77777777" w:rsidR="000A340B" w:rsidRDefault="000A340B" w:rsidP="00F87AA9">
            <w:pPr>
              <w:pStyle w:val="NoSpacing"/>
            </w:pPr>
            <w:r>
              <w:t>71%</w:t>
            </w:r>
          </w:p>
        </w:tc>
        <w:tc>
          <w:tcPr>
            <w:tcW w:w="526" w:type="pct"/>
            <w:tcBorders>
              <w:top w:val="single" w:sz="4" w:space="0" w:color="auto"/>
            </w:tcBorders>
          </w:tcPr>
          <w:p w14:paraId="1A7DC4E3" w14:textId="77777777" w:rsidR="000A340B" w:rsidRDefault="000A340B" w:rsidP="00F87AA9">
            <w:pPr>
              <w:pStyle w:val="NoSpacing"/>
            </w:pPr>
            <w:r>
              <w:t>42%</w:t>
            </w:r>
          </w:p>
        </w:tc>
      </w:tr>
      <w:tr w:rsidR="000A340B" w14:paraId="663232C3" w14:textId="77777777" w:rsidTr="00651F15">
        <w:tc>
          <w:tcPr>
            <w:tcW w:w="2779" w:type="pct"/>
          </w:tcPr>
          <w:p w14:paraId="4DEE60E7" w14:textId="77777777" w:rsidR="000A340B" w:rsidRDefault="000A340B" w:rsidP="00F87AA9">
            <w:pPr>
              <w:pStyle w:val="NoSpacing"/>
            </w:pPr>
            <w:r>
              <w:t>HIS tools for data collection/reporting</w:t>
            </w:r>
          </w:p>
        </w:tc>
        <w:tc>
          <w:tcPr>
            <w:tcW w:w="608" w:type="pct"/>
          </w:tcPr>
          <w:p w14:paraId="4D0854D6" w14:textId="77777777" w:rsidR="000A340B" w:rsidRDefault="000A340B" w:rsidP="00F87AA9">
            <w:pPr>
              <w:pStyle w:val="NoSpacing"/>
            </w:pPr>
            <w:r>
              <w:t>95%</w:t>
            </w:r>
          </w:p>
        </w:tc>
        <w:tc>
          <w:tcPr>
            <w:tcW w:w="558" w:type="pct"/>
          </w:tcPr>
          <w:p w14:paraId="53AB6431" w14:textId="77777777" w:rsidR="000A340B" w:rsidRDefault="000A340B" w:rsidP="00F87AA9">
            <w:pPr>
              <w:pStyle w:val="NoSpacing"/>
            </w:pPr>
            <w:r>
              <w:t>92%</w:t>
            </w:r>
          </w:p>
        </w:tc>
        <w:tc>
          <w:tcPr>
            <w:tcW w:w="529" w:type="pct"/>
          </w:tcPr>
          <w:p w14:paraId="712F8C75" w14:textId="77777777" w:rsidR="000A340B" w:rsidRDefault="000A340B" w:rsidP="00F87AA9">
            <w:pPr>
              <w:pStyle w:val="NoSpacing"/>
            </w:pPr>
            <w:r>
              <w:t>93%</w:t>
            </w:r>
          </w:p>
        </w:tc>
        <w:tc>
          <w:tcPr>
            <w:tcW w:w="526" w:type="pct"/>
          </w:tcPr>
          <w:p w14:paraId="482C4A7B" w14:textId="77777777" w:rsidR="000A340B" w:rsidRDefault="000A340B" w:rsidP="00F87AA9">
            <w:pPr>
              <w:pStyle w:val="NoSpacing"/>
            </w:pPr>
            <w:r>
              <w:t>93%</w:t>
            </w:r>
          </w:p>
        </w:tc>
      </w:tr>
      <w:tr w:rsidR="000A340B" w14:paraId="2BCEA053" w14:textId="77777777" w:rsidTr="00B3686F">
        <w:tc>
          <w:tcPr>
            <w:tcW w:w="2779" w:type="pct"/>
          </w:tcPr>
          <w:p w14:paraId="2ED25A21" w14:textId="77777777" w:rsidR="000A340B" w:rsidRDefault="000A340B" w:rsidP="00F87AA9">
            <w:pPr>
              <w:pStyle w:val="NoSpacing"/>
            </w:pPr>
            <w:r>
              <w:t>FP supervision in previous 6 months</w:t>
            </w:r>
          </w:p>
        </w:tc>
        <w:tc>
          <w:tcPr>
            <w:tcW w:w="608" w:type="pct"/>
            <w:tcBorders>
              <w:bottom w:val="single" w:sz="4" w:space="0" w:color="auto"/>
            </w:tcBorders>
          </w:tcPr>
          <w:p w14:paraId="56D85E0F" w14:textId="77777777" w:rsidR="000A340B" w:rsidRDefault="000A340B" w:rsidP="00F87AA9">
            <w:pPr>
              <w:pStyle w:val="NoSpacing"/>
            </w:pPr>
            <w:r>
              <w:t>49%</w:t>
            </w:r>
          </w:p>
        </w:tc>
        <w:tc>
          <w:tcPr>
            <w:tcW w:w="558" w:type="pct"/>
            <w:tcBorders>
              <w:bottom w:val="single" w:sz="4" w:space="0" w:color="auto"/>
            </w:tcBorders>
          </w:tcPr>
          <w:p w14:paraId="459D3686" w14:textId="77777777" w:rsidR="000A340B" w:rsidRDefault="000A340B" w:rsidP="00F87AA9">
            <w:pPr>
              <w:pStyle w:val="NoSpacing"/>
            </w:pPr>
            <w:r>
              <w:t>12%</w:t>
            </w:r>
          </w:p>
        </w:tc>
        <w:tc>
          <w:tcPr>
            <w:tcW w:w="529" w:type="pct"/>
            <w:tcBorders>
              <w:bottom w:val="single" w:sz="4" w:space="0" w:color="auto"/>
            </w:tcBorders>
          </w:tcPr>
          <w:p w14:paraId="3B417AB0" w14:textId="77777777" w:rsidR="000A340B" w:rsidRDefault="000A340B" w:rsidP="00F87AA9">
            <w:pPr>
              <w:pStyle w:val="NoSpacing"/>
            </w:pPr>
            <w:r>
              <w:t>64%</w:t>
            </w:r>
          </w:p>
        </w:tc>
        <w:tc>
          <w:tcPr>
            <w:tcW w:w="526" w:type="pct"/>
            <w:tcBorders>
              <w:bottom w:val="single" w:sz="4" w:space="0" w:color="auto"/>
            </w:tcBorders>
          </w:tcPr>
          <w:p w14:paraId="5A0C7AC4" w14:textId="77777777" w:rsidR="000A340B" w:rsidRDefault="000A340B" w:rsidP="00F87AA9">
            <w:pPr>
              <w:pStyle w:val="NoSpacing"/>
            </w:pPr>
            <w:r>
              <w:t>71%</w:t>
            </w:r>
          </w:p>
        </w:tc>
      </w:tr>
      <w:tr w:rsidR="00B3686F" w14:paraId="01F95077" w14:textId="77777777" w:rsidTr="00B3686F">
        <w:tc>
          <w:tcPr>
            <w:tcW w:w="2779" w:type="pct"/>
            <w:tcBorders>
              <w:right w:val="nil"/>
            </w:tcBorders>
          </w:tcPr>
          <w:p w14:paraId="1282D1EF" w14:textId="77777777" w:rsidR="00B3686F" w:rsidRDefault="00B3686F" w:rsidP="00F87AA9">
            <w:pPr>
              <w:pStyle w:val="NoSpacing"/>
            </w:pPr>
            <w:r w:rsidRPr="002519C6">
              <w:rPr>
                <w:b/>
                <w:bCs/>
              </w:rPr>
              <w:t>Integrated SRH Services Available:</w:t>
            </w:r>
          </w:p>
        </w:tc>
        <w:tc>
          <w:tcPr>
            <w:tcW w:w="608" w:type="pct"/>
            <w:tcBorders>
              <w:top w:val="single" w:sz="4" w:space="0" w:color="auto"/>
              <w:left w:val="nil"/>
              <w:bottom w:val="single" w:sz="4" w:space="0" w:color="auto"/>
              <w:right w:val="nil"/>
            </w:tcBorders>
          </w:tcPr>
          <w:p w14:paraId="2DF81B0A" w14:textId="77777777" w:rsidR="00B3686F" w:rsidRDefault="00B3686F" w:rsidP="00F87AA9">
            <w:pPr>
              <w:pStyle w:val="NoSpacing"/>
            </w:pPr>
          </w:p>
        </w:tc>
        <w:tc>
          <w:tcPr>
            <w:tcW w:w="558" w:type="pct"/>
            <w:tcBorders>
              <w:top w:val="single" w:sz="4" w:space="0" w:color="auto"/>
              <w:left w:val="nil"/>
              <w:bottom w:val="single" w:sz="4" w:space="0" w:color="auto"/>
              <w:right w:val="nil"/>
            </w:tcBorders>
          </w:tcPr>
          <w:p w14:paraId="22320854" w14:textId="77777777" w:rsidR="00B3686F" w:rsidRDefault="00B3686F" w:rsidP="00F87AA9">
            <w:pPr>
              <w:pStyle w:val="NoSpacing"/>
            </w:pPr>
          </w:p>
        </w:tc>
        <w:tc>
          <w:tcPr>
            <w:tcW w:w="529" w:type="pct"/>
            <w:tcBorders>
              <w:top w:val="single" w:sz="4" w:space="0" w:color="auto"/>
              <w:left w:val="nil"/>
              <w:bottom w:val="single" w:sz="4" w:space="0" w:color="auto"/>
              <w:right w:val="nil"/>
            </w:tcBorders>
          </w:tcPr>
          <w:p w14:paraId="46391AE8" w14:textId="77777777" w:rsidR="00B3686F" w:rsidRDefault="00B3686F" w:rsidP="00F87AA9">
            <w:pPr>
              <w:pStyle w:val="NoSpacing"/>
            </w:pPr>
          </w:p>
        </w:tc>
        <w:tc>
          <w:tcPr>
            <w:tcW w:w="526" w:type="pct"/>
            <w:tcBorders>
              <w:top w:val="single" w:sz="4" w:space="0" w:color="auto"/>
              <w:left w:val="nil"/>
              <w:bottom w:val="single" w:sz="4" w:space="0" w:color="auto"/>
              <w:right w:val="single" w:sz="4" w:space="0" w:color="auto"/>
            </w:tcBorders>
          </w:tcPr>
          <w:p w14:paraId="30E951F1" w14:textId="6ACFF00D" w:rsidR="00B3686F" w:rsidRDefault="00B3686F" w:rsidP="00F87AA9">
            <w:pPr>
              <w:pStyle w:val="NoSpacing"/>
            </w:pPr>
          </w:p>
        </w:tc>
      </w:tr>
      <w:tr w:rsidR="000A340B" w14:paraId="67A79B2C" w14:textId="77777777" w:rsidTr="00B3686F">
        <w:tc>
          <w:tcPr>
            <w:tcW w:w="2779" w:type="pct"/>
          </w:tcPr>
          <w:p w14:paraId="54908466" w14:textId="77777777" w:rsidR="000A340B" w:rsidRDefault="000A340B" w:rsidP="00F87AA9">
            <w:pPr>
              <w:pStyle w:val="NoSpacing"/>
            </w:pPr>
            <w:r>
              <w:t>FP</w:t>
            </w:r>
          </w:p>
        </w:tc>
        <w:tc>
          <w:tcPr>
            <w:tcW w:w="608" w:type="pct"/>
            <w:tcBorders>
              <w:top w:val="single" w:sz="4" w:space="0" w:color="auto"/>
            </w:tcBorders>
          </w:tcPr>
          <w:p w14:paraId="47342C7A" w14:textId="77777777" w:rsidR="000A340B" w:rsidRDefault="000A340B" w:rsidP="00F87AA9">
            <w:pPr>
              <w:pStyle w:val="NoSpacing"/>
            </w:pPr>
            <w:r>
              <w:t>95%</w:t>
            </w:r>
          </w:p>
        </w:tc>
        <w:tc>
          <w:tcPr>
            <w:tcW w:w="558" w:type="pct"/>
            <w:tcBorders>
              <w:top w:val="single" w:sz="4" w:space="0" w:color="auto"/>
            </w:tcBorders>
          </w:tcPr>
          <w:p w14:paraId="379B129F" w14:textId="77777777" w:rsidR="000A340B" w:rsidRDefault="000A340B" w:rsidP="00F87AA9">
            <w:pPr>
              <w:pStyle w:val="NoSpacing"/>
            </w:pPr>
            <w:r>
              <w:t>97%</w:t>
            </w:r>
          </w:p>
        </w:tc>
        <w:tc>
          <w:tcPr>
            <w:tcW w:w="529" w:type="pct"/>
            <w:tcBorders>
              <w:top w:val="single" w:sz="4" w:space="0" w:color="auto"/>
            </w:tcBorders>
          </w:tcPr>
          <w:p w14:paraId="5326307B" w14:textId="77777777" w:rsidR="000A340B" w:rsidRDefault="000A340B" w:rsidP="00F87AA9">
            <w:pPr>
              <w:pStyle w:val="NoSpacing"/>
            </w:pPr>
            <w:r>
              <w:t>100%</w:t>
            </w:r>
          </w:p>
        </w:tc>
        <w:tc>
          <w:tcPr>
            <w:tcW w:w="526" w:type="pct"/>
            <w:tcBorders>
              <w:top w:val="single" w:sz="4" w:space="0" w:color="auto"/>
            </w:tcBorders>
          </w:tcPr>
          <w:p w14:paraId="7B1ECCE6" w14:textId="77777777" w:rsidR="000A340B" w:rsidRDefault="000A340B" w:rsidP="00F87AA9">
            <w:pPr>
              <w:pStyle w:val="NoSpacing"/>
            </w:pPr>
            <w:r>
              <w:t>100%</w:t>
            </w:r>
          </w:p>
        </w:tc>
      </w:tr>
      <w:tr w:rsidR="000A340B" w14:paraId="78DAEB4B" w14:textId="77777777" w:rsidTr="00651F15">
        <w:tc>
          <w:tcPr>
            <w:tcW w:w="2779" w:type="pct"/>
          </w:tcPr>
          <w:p w14:paraId="23F8DE7F" w14:textId="77777777" w:rsidR="000A340B" w:rsidRDefault="000A340B" w:rsidP="00F87AA9">
            <w:pPr>
              <w:pStyle w:val="NoSpacing"/>
            </w:pPr>
            <w:r>
              <w:t>Cervical Cancer Screening</w:t>
            </w:r>
          </w:p>
        </w:tc>
        <w:tc>
          <w:tcPr>
            <w:tcW w:w="608" w:type="pct"/>
          </w:tcPr>
          <w:p w14:paraId="1D7C7D1D" w14:textId="77777777" w:rsidR="000A340B" w:rsidRDefault="000A340B" w:rsidP="00F87AA9">
            <w:pPr>
              <w:pStyle w:val="NoSpacing"/>
            </w:pPr>
            <w:r>
              <w:t>71%</w:t>
            </w:r>
          </w:p>
        </w:tc>
        <w:tc>
          <w:tcPr>
            <w:tcW w:w="558" w:type="pct"/>
          </w:tcPr>
          <w:p w14:paraId="4BD8863E" w14:textId="77777777" w:rsidR="000A340B" w:rsidRDefault="000A340B" w:rsidP="00F87AA9">
            <w:pPr>
              <w:pStyle w:val="NoSpacing"/>
            </w:pPr>
            <w:r>
              <w:t>16%</w:t>
            </w:r>
          </w:p>
        </w:tc>
        <w:tc>
          <w:tcPr>
            <w:tcW w:w="529" w:type="pct"/>
          </w:tcPr>
          <w:p w14:paraId="4CA2E804" w14:textId="77777777" w:rsidR="000A340B" w:rsidRDefault="000A340B" w:rsidP="00F87AA9">
            <w:pPr>
              <w:pStyle w:val="NoSpacing"/>
            </w:pPr>
            <w:r>
              <w:t>7%</w:t>
            </w:r>
          </w:p>
        </w:tc>
        <w:tc>
          <w:tcPr>
            <w:tcW w:w="526" w:type="pct"/>
          </w:tcPr>
          <w:p w14:paraId="20ABC616" w14:textId="77777777" w:rsidR="000A340B" w:rsidRDefault="000A340B" w:rsidP="00F87AA9">
            <w:pPr>
              <w:pStyle w:val="NoSpacing"/>
            </w:pPr>
            <w:r>
              <w:t>10%</w:t>
            </w:r>
          </w:p>
        </w:tc>
      </w:tr>
      <w:tr w:rsidR="000A340B" w14:paraId="56DA1520" w14:textId="77777777" w:rsidTr="00651F15">
        <w:tc>
          <w:tcPr>
            <w:tcW w:w="2779" w:type="pct"/>
          </w:tcPr>
          <w:p w14:paraId="01818A05" w14:textId="77777777" w:rsidR="000A340B" w:rsidRDefault="000A340B" w:rsidP="00F87AA9">
            <w:pPr>
              <w:pStyle w:val="NoSpacing"/>
            </w:pPr>
            <w:r>
              <w:t xml:space="preserve">Cervical Cancer screening guidelines </w:t>
            </w:r>
          </w:p>
        </w:tc>
        <w:tc>
          <w:tcPr>
            <w:tcW w:w="608" w:type="pct"/>
          </w:tcPr>
          <w:p w14:paraId="61989956" w14:textId="77777777" w:rsidR="000A340B" w:rsidRDefault="000A340B" w:rsidP="00F87AA9">
            <w:pPr>
              <w:pStyle w:val="NoSpacing"/>
            </w:pPr>
            <w:r>
              <w:t>34%</w:t>
            </w:r>
          </w:p>
        </w:tc>
        <w:tc>
          <w:tcPr>
            <w:tcW w:w="558" w:type="pct"/>
          </w:tcPr>
          <w:p w14:paraId="363F68F0" w14:textId="77777777" w:rsidR="000A340B" w:rsidRDefault="000A340B" w:rsidP="00F87AA9">
            <w:pPr>
              <w:pStyle w:val="NoSpacing"/>
            </w:pPr>
            <w:r>
              <w:t>16%</w:t>
            </w:r>
          </w:p>
        </w:tc>
        <w:tc>
          <w:tcPr>
            <w:tcW w:w="529" w:type="pct"/>
          </w:tcPr>
          <w:p w14:paraId="39A98552" w14:textId="77777777" w:rsidR="000A340B" w:rsidRDefault="000A340B" w:rsidP="00F87AA9">
            <w:pPr>
              <w:pStyle w:val="NoSpacing"/>
            </w:pPr>
            <w:r>
              <w:t>N/A</w:t>
            </w:r>
          </w:p>
        </w:tc>
        <w:tc>
          <w:tcPr>
            <w:tcW w:w="526" w:type="pct"/>
          </w:tcPr>
          <w:p w14:paraId="376C753A" w14:textId="77777777" w:rsidR="000A340B" w:rsidRDefault="000A340B" w:rsidP="00F87AA9">
            <w:pPr>
              <w:pStyle w:val="NoSpacing"/>
            </w:pPr>
            <w:r>
              <w:t>3%</w:t>
            </w:r>
          </w:p>
        </w:tc>
      </w:tr>
      <w:tr w:rsidR="000A340B" w14:paraId="3E173EE4" w14:textId="77777777" w:rsidTr="00651F15">
        <w:tc>
          <w:tcPr>
            <w:tcW w:w="2779" w:type="pct"/>
          </w:tcPr>
          <w:p w14:paraId="07694B6A" w14:textId="77777777" w:rsidR="000A340B" w:rsidRDefault="000A340B" w:rsidP="00F87AA9">
            <w:pPr>
              <w:pStyle w:val="NoSpacing"/>
            </w:pPr>
            <w:r>
              <w:t>AYFS</w:t>
            </w:r>
          </w:p>
        </w:tc>
        <w:tc>
          <w:tcPr>
            <w:tcW w:w="608" w:type="pct"/>
          </w:tcPr>
          <w:p w14:paraId="6D7ECC5D" w14:textId="77777777" w:rsidR="000A340B" w:rsidRDefault="000A340B" w:rsidP="00F87AA9">
            <w:pPr>
              <w:pStyle w:val="NoSpacing"/>
            </w:pPr>
            <w:r>
              <w:t>87%</w:t>
            </w:r>
          </w:p>
        </w:tc>
        <w:tc>
          <w:tcPr>
            <w:tcW w:w="558" w:type="pct"/>
          </w:tcPr>
          <w:p w14:paraId="34730818" w14:textId="77777777" w:rsidR="000A340B" w:rsidRDefault="000A340B" w:rsidP="00F87AA9">
            <w:pPr>
              <w:pStyle w:val="NoSpacing"/>
            </w:pPr>
            <w:r>
              <w:t>66%</w:t>
            </w:r>
          </w:p>
        </w:tc>
        <w:tc>
          <w:tcPr>
            <w:tcW w:w="529" w:type="pct"/>
          </w:tcPr>
          <w:p w14:paraId="3C0A4162" w14:textId="77777777" w:rsidR="000A340B" w:rsidRDefault="000A340B" w:rsidP="00F87AA9">
            <w:pPr>
              <w:pStyle w:val="NoSpacing"/>
            </w:pPr>
            <w:r>
              <w:t>86%</w:t>
            </w:r>
          </w:p>
        </w:tc>
        <w:tc>
          <w:tcPr>
            <w:tcW w:w="526" w:type="pct"/>
          </w:tcPr>
          <w:p w14:paraId="707B1D12" w14:textId="77777777" w:rsidR="000A340B" w:rsidRDefault="000A340B" w:rsidP="00F87AA9">
            <w:pPr>
              <w:pStyle w:val="NoSpacing"/>
            </w:pPr>
            <w:r>
              <w:t>87%</w:t>
            </w:r>
          </w:p>
        </w:tc>
      </w:tr>
      <w:tr w:rsidR="000A340B" w14:paraId="08260746" w14:textId="77777777" w:rsidTr="00651F15">
        <w:tc>
          <w:tcPr>
            <w:tcW w:w="2779" w:type="pct"/>
          </w:tcPr>
          <w:p w14:paraId="1CD47457" w14:textId="77777777" w:rsidR="000A340B" w:rsidRDefault="000A340B" w:rsidP="00F87AA9">
            <w:pPr>
              <w:pStyle w:val="NoSpacing"/>
            </w:pPr>
            <w:r>
              <w:t>HIV/STI</w:t>
            </w:r>
          </w:p>
        </w:tc>
        <w:tc>
          <w:tcPr>
            <w:tcW w:w="608" w:type="pct"/>
          </w:tcPr>
          <w:p w14:paraId="1D7FFA56" w14:textId="77777777" w:rsidR="000A340B" w:rsidRDefault="000A340B" w:rsidP="00F87AA9">
            <w:pPr>
              <w:pStyle w:val="NoSpacing"/>
            </w:pPr>
            <w:r>
              <w:t>63%</w:t>
            </w:r>
          </w:p>
        </w:tc>
        <w:tc>
          <w:tcPr>
            <w:tcW w:w="558" w:type="pct"/>
          </w:tcPr>
          <w:p w14:paraId="51B368B8" w14:textId="77777777" w:rsidR="000A340B" w:rsidRDefault="000A340B" w:rsidP="00F87AA9">
            <w:pPr>
              <w:pStyle w:val="NoSpacing"/>
            </w:pPr>
            <w:r>
              <w:t>64%</w:t>
            </w:r>
          </w:p>
        </w:tc>
        <w:tc>
          <w:tcPr>
            <w:tcW w:w="529" w:type="pct"/>
          </w:tcPr>
          <w:p w14:paraId="6AC52C83" w14:textId="77777777" w:rsidR="000A340B" w:rsidRDefault="000A340B" w:rsidP="00F87AA9">
            <w:pPr>
              <w:pStyle w:val="NoSpacing"/>
            </w:pPr>
            <w:r>
              <w:t>71%</w:t>
            </w:r>
          </w:p>
        </w:tc>
        <w:tc>
          <w:tcPr>
            <w:tcW w:w="526" w:type="pct"/>
          </w:tcPr>
          <w:p w14:paraId="29499D58" w14:textId="77777777" w:rsidR="000A340B" w:rsidRDefault="000A340B" w:rsidP="00F87AA9">
            <w:pPr>
              <w:pStyle w:val="NoSpacing"/>
            </w:pPr>
            <w:r>
              <w:t>16%</w:t>
            </w:r>
          </w:p>
        </w:tc>
      </w:tr>
      <w:tr w:rsidR="000A340B" w14:paraId="15E5568C" w14:textId="77777777" w:rsidTr="00651F15">
        <w:tc>
          <w:tcPr>
            <w:tcW w:w="2779" w:type="pct"/>
          </w:tcPr>
          <w:p w14:paraId="35F1B4CA" w14:textId="77777777" w:rsidR="000A340B" w:rsidRDefault="000A340B" w:rsidP="00F87AA9">
            <w:pPr>
              <w:pStyle w:val="NoSpacing"/>
            </w:pPr>
            <w:r>
              <w:t>ANC</w:t>
            </w:r>
          </w:p>
        </w:tc>
        <w:tc>
          <w:tcPr>
            <w:tcW w:w="608" w:type="pct"/>
          </w:tcPr>
          <w:p w14:paraId="14B1713E" w14:textId="77777777" w:rsidR="000A340B" w:rsidRDefault="000A340B" w:rsidP="00F87AA9">
            <w:pPr>
              <w:pStyle w:val="NoSpacing"/>
            </w:pPr>
            <w:r>
              <w:t>87%</w:t>
            </w:r>
          </w:p>
        </w:tc>
        <w:tc>
          <w:tcPr>
            <w:tcW w:w="558" w:type="pct"/>
          </w:tcPr>
          <w:p w14:paraId="7652126A" w14:textId="77777777" w:rsidR="000A340B" w:rsidRDefault="000A340B" w:rsidP="00F87AA9">
            <w:pPr>
              <w:pStyle w:val="NoSpacing"/>
            </w:pPr>
            <w:r>
              <w:t>98%</w:t>
            </w:r>
          </w:p>
        </w:tc>
        <w:tc>
          <w:tcPr>
            <w:tcW w:w="529" w:type="pct"/>
          </w:tcPr>
          <w:p w14:paraId="459963DE" w14:textId="77777777" w:rsidR="000A340B" w:rsidRDefault="000A340B" w:rsidP="00F87AA9">
            <w:pPr>
              <w:pStyle w:val="NoSpacing"/>
            </w:pPr>
            <w:r>
              <w:t>100%</w:t>
            </w:r>
          </w:p>
        </w:tc>
        <w:tc>
          <w:tcPr>
            <w:tcW w:w="526" w:type="pct"/>
          </w:tcPr>
          <w:p w14:paraId="28992320" w14:textId="77777777" w:rsidR="000A340B" w:rsidRDefault="000A340B" w:rsidP="00F87AA9">
            <w:pPr>
              <w:pStyle w:val="NoSpacing"/>
            </w:pPr>
            <w:r>
              <w:t>45%</w:t>
            </w:r>
          </w:p>
        </w:tc>
      </w:tr>
      <w:tr w:rsidR="000A340B" w14:paraId="0CC573AB" w14:textId="77777777" w:rsidTr="00651F15">
        <w:tc>
          <w:tcPr>
            <w:tcW w:w="2779" w:type="pct"/>
          </w:tcPr>
          <w:p w14:paraId="1A35FD1F" w14:textId="77777777" w:rsidR="000A340B" w:rsidRDefault="000A340B" w:rsidP="00F87AA9">
            <w:pPr>
              <w:pStyle w:val="NoSpacing"/>
            </w:pPr>
            <w:r>
              <w:t>Pregnancy test provided</w:t>
            </w:r>
          </w:p>
        </w:tc>
        <w:tc>
          <w:tcPr>
            <w:tcW w:w="608" w:type="pct"/>
          </w:tcPr>
          <w:p w14:paraId="243C53F2" w14:textId="77777777" w:rsidR="000A340B" w:rsidRDefault="000A340B" w:rsidP="00F87AA9">
            <w:pPr>
              <w:pStyle w:val="NoSpacing"/>
            </w:pPr>
            <w:r>
              <w:t>15%</w:t>
            </w:r>
          </w:p>
        </w:tc>
        <w:tc>
          <w:tcPr>
            <w:tcW w:w="558" w:type="pct"/>
          </w:tcPr>
          <w:p w14:paraId="396D41E8" w14:textId="77777777" w:rsidR="000A340B" w:rsidRDefault="000A340B" w:rsidP="00F87AA9">
            <w:pPr>
              <w:pStyle w:val="NoSpacing"/>
            </w:pPr>
            <w:r>
              <w:t>6%</w:t>
            </w:r>
          </w:p>
        </w:tc>
        <w:tc>
          <w:tcPr>
            <w:tcW w:w="529" w:type="pct"/>
          </w:tcPr>
          <w:p w14:paraId="2F8636B3" w14:textId="77777777" w:rsidR="000A340B" w:rsidRDefault="000A340B" w:rsidP="00F87AA9">
            <w:pPr>
              <w:pStyle w:val="NoSpacing"/>
            </w:pPr>
            <w:r>
              <w:t>N/A</w:t>
            </w:r>
          </w:p>
        </w:tc>
        <w:tc>
          <w:tcPr>
            <w:tcW w:w="526" w:type="pct"/>
          </w:tcPr>
          <w:p w14:paraId="4AED4D90" w14:textId="77777777" w:rsidR="000A340B" w:rsidRDefault="000A340B" w:rsidP="00F87AA9">
            <w:pPr>
              <w:pStyle w:val="NoSpacing"/>
            </w:pPr>
            <w:r>
              <w:t>57%</w:t>
            </w:r>
          </w:p>
        </w:tc>
      </w:tr>
      <w:tr w:rsidR="000A340B" w14:paraId="44B624EC" w14:textId="77777777" w:rsidTr="00651F15">
        <w:tc>
          <w:tcPr>
            <w:tcW w:w="2779" w:type="pct"/>
          </w:tcPr>
          <w:p w14:paraId="0DF31F3F" w14:textId="77777777" w:rsidR="000A340B" w:rsidRDefault="000A340B" w:rsidP="00F87AA9">
            <w:pPr>
              <w:pStyle w:val="NoSpacing"/>
            </w:pPr>
            <w:r>
              <w:t>PNC</w:t>
            </w:r>
          </w:p>
        </w:tc>
        <w:tc>
          <w:tcPr>
            <w:tcW w:w="608" w:type="pct"/>
          </w:tcPr>
          <w:p w14:paraId="4302693C" w14:textId="77777777" w:rsidR="000A340B" w:rsidRDefault="000A340B" w:rsidP="00F87AA9">
            <w:pPr>
              <w:pStyle w:val="NoSpacing"/>
            </w:pPr>
            <w:r>
              <w:t>81%</w:t>
            </w:r>
          </w:p>
        </w:tc>
        <w:tc>
          <w:tcPr>
            <w:tcW w:w="558" w:type="pct"/>
          </w:tcPr>
          <w:p w14:paraId="4E8C0939" w14:textId="77777777" w:rsidR="000A340B" w:rsidRDefault="000A340B" w:rsidP="00F87AA9">
            <w:pPr>
              <w:pStyle w:val="NoSpacing"/>
            </w:pPr>
            <w:r>
              <w:t>97%</w:t>
            </w:r>
          </w:p>
        </w:tc>
        <w:tc>
          <w:tcPr>
            <w:tcW w:w="529" w:type="pct"/>
          </w:tcPr>
          <w:p w14:paraId="6D4AB528" w14:textId="77777777" w:rsidR="000A340B" w:rsidRDefault="000A340B" w:rsidP="00F87AA9">
            <w:pPr>
              <w:pStyle w:val="NoSpacing"/>
            </w:pPr>
            <w:r>
              <w:t>100%</w:t>
            </w:r>
          </w:p>
        </w:tc>
        <w:tc>
          <w:tcPr>
            <w:tcW w:w="526" w:type="pct"/>
          </w:tcPr>
          <w:p w14:paraId="6614BD7C" w14:textId="77777777" w:rsidR="000A340B" w:rsidRDefault="000A340B" w:rsidP="00F87AA9">
            <w:pPr>
              <w:pStyle w:val="NoSpacing"/>
            </w:pPr>
            <w:r>
              <w:t>81%</w:t>
            </w:r>
          </w:p>
        </w:tc>
      </w:tr>
      <w:tr w:rsidR="000A340B" w14:paraId="269A5313" w14:textId="77777777" w:rsidTr="00651F15">
        <w:tc>
          <w:tcPr>
            <w:tcW w:w="2779" w:type="pct"/>
          </w:tcPr>
          <w:p w14:paraId="1AB35AA3" w14:textId="77777777" w:rsidR="000A340B" w:rsidRDefault="000A340B" w:rsidP="00F87AA9">
            <w:pPr>
              <w:pStyle w:val="NoSpacing"/>
            </w:pPr>
            <w:r>
              <w:t>PNC FP offered at 6 weeks</w:t>
            </w:r>
          </w:p>
        </w:tc>
        <w:tc>
          <w:tcPr>
            <w:tcW w:w="608" w:type="pct"/>
          </w:tcPr>
          <w:p w14:paraId="6DA8DE14" w14:textId="77777777" w:rsidR="000A340B" w:rsidRDefault="000A340B" w:rsidP="00F87AA9">
            <w:pPr>
              <w:pStyle w:val="NoSpacing"/>
            </w:pPr>
            <w:r>
              <w:t>91%</w:t>
            </w:r>
          </w:p>
        </w:tc>
        <w:tc>
          <w:tcPr>
            <w:tcW w:w="558" w:type="pct"/>
          </w:tcPr>
          <w:p w14:paraId="025C8E52" w14:textId="77777777" w:rsidR="000A340B" w:rsidRDefault="000A340B" w:rsidP="00F87AA9">
            <w:pPr>
              <w:pStyle w:val="NoSpacing"/>
            </w:pPr>
            <w:r>
              <w:t>94%</w:t>
            </w:r>
          </w:p>
        </w:tc>
        <w:tc>
          <w:tcPr>
            <w:tcW w:w="529" w:type="pct"/>
          </w:tcPr>
          <w:p w14:paraId="33CC8661" w14:textId="77777777" w:rsidR="000A340B" w:rsidRDefault="000A340B" w:rsidP="00F87AA9">
            <w:pPr>
              <w:pStyle w:val="NoSpacing"/>
            </w:pPr>
            <w:r>
              <w:t>100%</w:t>
            </w:r>
          </w:p>
        </w:tc>
        <w:tc>
          <w:tcPr>
            <w:tcW w:w="526" w:type="pct"/>
          </w:tcPr>
          <w:p w14:paraId="484BFF9F" w14:textId="77777777" w:rsidR="000A340B" w:rsidRDefault="000A340B" w:rsidP="00F87AA9">
            <w:pPr>
              <w:pStyle w:val="NoSpacing"/>
            </w:pPr>
            <w:r>
              <w:t>100%</w:t>
            </w:r>
          </w:p>
        </w:tc>
      </w:tr>
      <w:tr w:rsidR="000A340B" w14:paraId="36573646" w14:textId="77777777" w:rsidTr="00B3686F">
        <w:tc>
          <w:tcPr>
            <w:tcW w:w="2779" w:type="pct"/>
          </w:tcPr>
          <w:p w14:paraId="0971D15A" w14:textId="77777777" w:rsidR="000A340B" w:rsidRDefault="000A340B" w:rsidP="00F87AA9">
            <w:pPr>
              <w:pStyle w:val="NoSpacing"/>
            </w:pPr>
            <w:r>
              <w:t>GBV</w:t>
            </w:r>
          </w:p>
        </w:tc>
        <w:tc>
          <w:tcPr>
            <w:tcW w:w="608" w:type="pct"/>
            <w:tcBorders>
              <w:bottom w:val="single" w:sz="4" w:space="0" w:color="auto"/>
            </w:tcBorders>
          </w:tcPr>
          <w:p w14:paraId="6E792E2D" w14:textId="77777777" w:rsidR="000A340B" w:rsidRDefault="000A340B" w:rsidP="00F87AA9">
            <w:pPr>
              <w:pStyle w:val="NoSpacing"/>
            </w:pPr>
            <w:r>
              <w:t>74%</w:t>
            </w:r>
          </w:p>
        </w:tc>
        <w:tc>
          <w:tcPr>
            <w:tcW w:w="558" w:type="pct"/>
            <w:tcBorders>
              <w:bottom w:val="single" w:sz="4" w:space="0" w:color="auto"/>
            </w:tcBorders>
          </w:tcPr>
          <w:p w14:paraId="39ED754D" w14:textId="77777777" w:rsidR="000A340B" w:rsidRDefault="000A340B" w:rsidP="00F87AA9">
            <w:pPr>
              <w:pStyle w:val="NoSpacing"/>
            </w:pPr>
            <w:r>
              <w:t>72%</w:t>
            </w:r>
          </w:p>
        </w:tc>
        <w:tc>
          <w:tcPr>
            <w:tcW w:w="529" w:type="pct"/>
            <w:tcBorders>
              <w:bottom w:val="single" w:sz="4" w:space="0" w:color="auto"/>
            </w:tcBorders>
          </w:tcPr>
          <w:p w14:paraId="65B9D5AD" w14:textId="77777777" w:rsidR="000A340B" w:rsidRDefault="000A340B" w:rsidP="00F87AA9">
            <w:pPr>
              <w:pStyle w:val="NoSpacing"/>
            </w:pPr>
            <w:r>
              <w:t>57%</w:t>
            </w:r>
          </w:p>
        </w:tc>
        <w:tc>
          <w:tcPr>
            <w:tcW w:w="526" w:type="pct"/>
            <w:tcBorders>
              <w:bottom w:val="single" w:sz="4" w:space="0" w:color="auto"/>
            </w:tcBorders>
          </w:tcPr>
          <w:p w14:paraId="25472B5C" w14:textId="77777777" w:rsidR="000A340B" w:rsidRDefault="000A340B" w:rsidP="00F87AA9">
            <w:pPr>
              <w:pStyle w:val="NoSpacing"/>
            </w:pPr>
            <w:r>
              <w:t>58%</w:t>
            </w:r>
          </w:p>
        </w:tc>
      </w:tr>
      <w:tr w:rsidR="00B3686F" w14:paraId="3F3DDBF9" w14:textId="77777777" w:rsidTr="00B3686F">
        <w:tc>
          <w:tcPr>
            <w:tcW w:w="2779" w:type="pct"/>
            <w:tcBorders>
              <w:right w:val="nil"/>
            </w:tcBorders>
          </w:tcPr>
          <w:p w14:paraId="5705C3B5" w14:textId="77777777" w:rsidR="00B3686F" w:rsidRPr="002519C6" w:rsidRDefault="00B3686F" w:rsidP="00F87AA9">
            <w:pPr>
              <w:pStyle w:val="NoSpacing"/>
              <w:rPr>
                <w:b/>
                <w:bCs/>
              </w:rPr>
            </w:pPr>
            <w:r w:rsidRPr="002519C6">
              <w:rPr>
                <w:b/>
                <w:bCs/>
              </w:rPr>
              <w:t>Services for GBV Survivors:</w:t>
            </w:r>
          </w:p>
        </w:tc>
        <w:tc>
          <w:tcPr>
            <w:tcW w:w="608" w:type="pct"/>
            <w:tcBorders>
              <w:top w:val="single" w:sz="4" w:space="0" w:color="auto"/>
              <w:left w:val="nil"/>
              <w:bottom w:val="single" w:sz="4" w:space="0" w:color="auto"/>
              <w:right w:val="nil"/>
            </w:tcBorders>
          </w:tcPr>
          <w:p w14:paraId="55B473F5" w14:textId="77777777" w:rsidR="00B3686F" w:rsidRPr="00B3686F" w:rsidRDefault="00B3686F" w:rsidP="00F87AA9">
            <w:pPr>
              <w:pStyle w:val="NoSpacing"/>
              <w:rPr>
                <w:b/>
                <w:bCs/>
              </w:rPr>
            </w:pPr>
          </w:p>
        </w:tc>
        <w:tc>
          <w:tcPr>
            <w:tcW w:w="558" w:type="pct"/>
            <w:tcBorders>
              <w:top w:val="single" w:sz="4" w:space="0" w:color="auto"/>
              <w:left w:val="nil"/>
              <w:bottom w:val="single" w:sz="4" w:space="0" w:color="auto"/>
              <w:right w:val="nil"/>
            </w:tcBorders>
          </w:tcPr>
          <w:p w14:paraId="362DA916" w14:textId="1F8BEA9E" w:rsidR="00B3686F" w:rsidRPr="00B3686F" w:rsidRDefault="00B3686F" w:rsidP="00F87AA9">
            <w:pPr>
              <w:pStyle w:val="NoSpacing"/>
              <w:rPr>
                <w:b/>
                <w:bCs/>
              </w:rPr>
            </w:pPr>
          </w:p>
        </w:tc>
        <w:tc>
          <w:tcPr>
            <w:tcW w:w="529" w:type="pct"/>
            <w:tcBorders>
              <w:top w:val="single" w:sz="4" w:space="0" w:color="auto"/>
              <w:left w:val="nil"/>
              <w:bottom w:val="single" w:sz="4" w:space="0" w:color="auto"/>
              <w:right w:val="nil"/>
            </w:tcBorders>
          </w:tcPr>
          <w:p w14:paraId="3A847B1C" w14:textId="27710731" w:rsidR="00B3686F" w:rsidRPr="00B3686F" w:rsidRDefault="00B3686F" w:rsidP="00F87AA9">
            <w:pPr>
              <w:pStyle w:val="NoSpacing"/>
              <w:rPr>
                <w:b/>
                <w:bCs/>
              </w:rPr>
            </w:pPr>
          </w:p>
        </w:tc>
        <w:tc>
          <w:tcPr>
            <w:tcW w:w="526" w:type="pct"/>
            <w:tcBorders>
              <w:top w:val="single" w:sz="4" w:space="0" w:color="auto"/>
              <w:left w:val="nil"/>
              <w:bottom w:val="single" w:sz="4" w:space="0" w:color="auto"/>
              <w:right w:val="single" w:sz="4" w:space="0" w:color="auto"/>
            </w:tcBorders>
          </w:tcPr>
          <w:p w14:paraId="4AC9EAB4" w14:textId="49AADA46" w:rsidR="00B3686F" w:rsidRPr="00B3686F" w:rsidRDefault="00B3686F" w:rsidP="00F87AA9">
            <w:pPr>
              <w:pStyle w:val="NoSpacing"/>
              <w:rPr>
                <w:b/>
                <w:bCs/>
              </w:rPr>
            </w:pPr>
          </w:p>
        </w:tc>
      </w:tr>
      <w:tr w:rsidR="000A340B" w14:paraId="270F58E9" w14:textId="77777777" w:rsidTr="00B3686F">
        <w:tc>
          <w:tcPr>
            <w:tcW w:w="2779" w:type="pct"/>
          </w:tcPr>
          <w:p w14:paraId="432CBE77" w14:textId="77777777" w:rsidR="000A340B" w:rsidRDefault="000A340B" w:rsidP="00F87AA9">
            <w:pPr>
              <w:pStyle w:val="NoSpacing"/>
            </w:pPr>
            <w:r>
              <w:t>EC</w:t>
            </w:r>
          </w:p>
        </w:tc>
        <w:tc>
          <w:tcPr>
            <w:tcW w:w="608" w:type="pct"/>
            <w:tcBorders>
              <w:top w:val="single" w:sz="4" w:space="0" w:color="auto"/>
            </w:tcBorders>
          </w:tcPr>
          <w:p w14:paraId="2693C15C" w14:textId="77777777" w:rsidR="000A340B" w:rsidRDefault="000A340B" w:rsidP="00F87AA9">
            <w:pPr>
              <w:pStyle w:val="NoSpacing"/>
            </w:pPr>
            <w:r>
              <w:t>46%</w:t>
            </w:r>
          </w:p>
        </w:tc>
        <w:tc>
          <w:tcPr>
            <w:tcW w:w="558" w:type="pct"/>
            <w:tcBorders>
              <w:top w:val="single" w:sz="4" w:space="0" w:color="auto"/>
            </w:tcBorders>
          </w:tcPr>
          <w:p w14:paraId="0D6DB001" w14:textId="77777777" w:rsidR="000A340B" w:rsidRDefault="000A340B" w:rsidP="00F87AA9">
            <w:pPr>
              <w:pStyle w:val="NoSpacing"/>
            </w:pPr>
            <w:r>
              <w:t>75%</w:t>
            </w:r>
          </w:p>
        </w:tc>
        <w:tc>
          <w:tcPr>
            <w:tcW w:w="529" w:type="pct"/>
            <w:tcBorders>
              <w:top w:val="single" w:sz="4" w:space="0" w:color="auto"/>
            </w:tcBorders>
          </w:tcPr>
          <w:p w14:paraId="4405D813" w14:textId="77777777" w:rsidR="000A340B" w:rsidRDefault="000A340B" w:rsidP="00F87AA9">
            <w:pPr>
              <w:pStyle w:val="NoSpacing"/>
            </w:pPr>
            <w:r>
              <w:t>N/A</w:t>
            </w:r>
          </w:p>
        </w:tc>
        <w:tc>
          <w:tcPr>
            <w:tcW w:w="526" w:type="pct"/>
            <w:tcBorders>
              <w:top w:val="single" w:sz="4" w:space="0" w:color="auto"/>
            </w:tcBorders>
          </w:tcPr>
          <w:p w14:paraId="2F3F3635" w14:textId="77777777" w:rsidR="000A340B" w:rsidRDefault="000A340B" w:rsidP="00F87AA9">
            <w:pPr>
              <w:pStyle w:val="NoSpacing"/>
            </w:pPr>
            <w:r>
              <w:t>94%</w:t>
            </w:r>
          </w:p>
        </w:tc>
      </w:tr>
      <w:tr w:rsidR="000A340B" w14:paraId="61ADAA3A" w14:textId="77777777" w:rsidTr="00651F15">
        <w:tc>
          <w:tcPr>
            <w:tcW w:w="2779" w:type="pct"/>
          </w:tcPr>
          <w:p w14:paraId="12D2AB54" w14:textId="77777777" w:rsidR="000A340B" w:rsidRDefault="000A340B" w:rsidP="00F87AA9">
            <w:pPr>
              <w:pStyle w:val="NoSpacing"/>
            </w:pPr>
            <w:r>
              <w:t>Forensic Evidence Collection</w:t>
            </w:r>
          </w:p>
        </w:tc>
        <w:tc>
          <w:tcPr>
            <w:tcW w:w="608" w:type="pct"/>
          </w:tcPr>
          <w:p w14:paraId="37037056" w14:textId="77777777" w:rsidR="000A340B" w:rsidRDefault="000A340B" w:rsidP="00F87AA9">
            <w:pPr>
              <w:pStyle w:val="NoSpacing"/>
            </w:pPr>
            <w:r>
              <w:t>27%</w:t>
            </w:r>
          </w:p>
        </w:tc>
        <w:tc>
          <w:tcPr>
            <w:tcW w:w="558" w:type="pct"/>
          </w:tcPr>
          <w:p w14:paraId="19F95D46" w14:textId="77777777" w:rsidR="000A340B" w:rsidRDefault="000A340B" w:rsidP="00F87AA9">
            <w:pPr>
              <w:pStyle w:val="NoSpacing"/>
            </w:pPr>
            <w:r>
              <w:t>33%</w:t>
            </w:r>
          </w:p>
        </w:tc>
        <w:tc>
          <w:tcPr>
            <w:tcW w:w="529" w:type="pct"/>
          </w:tcPr>
          <w:p w14:paraId="0E7C0B98" w14:textId="77777777" w:rsidR="000A340B" w:rsidRDefault="000A340B" w:rsidP="00F87AA9">
            <w:pPr>
              <w:pStyle w:val="NoSpacing"/>
            </w:pPr>
            <w:r>
              <w:t>N/A</w:t>
            </w:r>
          </w:p>
        </w:tc>
        <w:tc>
          <w:tcPr>
            <w:tcW w:w="526" w:type="pct"/>
          </w:tcPr>
          <w:p w14:paraId="47D56C6F" w14:textId="77777777" w:rsidR="000A340B" w:rsidRDefault="000A340B" w:rsidP="00F87AA9">
            <w:pPr>
              <w:pStyle w:val="NoSpacing"/>
            </w:pPr>
            <w:r>
              <w:t>22%</w:t>
            </w:r>
          </w:p>
        </w:tc>
      </w:tr>
      <w:tr w:rsidR="000A340B" w14:paraId="142A879F" w14:textId="77777777" w:rsidTr="00651F15">
        <w:tc>
          <w:tcPr>
            <w:tcW w:w="2779" w:type="pct"/>
          </w:tcPr>
          <w:p w14:paraId="5E684CFC" w14:textId="77777777" w:rsidR="000A340B" w:rsidRDefault="000A340B" w:rsidP="00F87AA9">
            <w:pPr>
              <w:pStyle w:val="NoSpacing"/>
            </w:pPr>
            <w:r>
              <w:t>Hepatitis vaccine</w:t>
            </w:r>
          </w:p>
        </w:tc>
        <w:tc>
          <w:tcPr>
            <w:tcW w:w="608" w:type="pct"/>
          </w:tcPr>
          <w:p w14:paraId="625E382F" w14:textId="77777777" w:rsidR="000A340B" w:rsidRDefault="000A340B" w:rsidP="00F87AA9">
            <w:pPr>
              <w:pStyle w:val="NoSpacing"/>
            </w:pPr>
            <w:r>
              <w:t>27%</w:t>
            </w:r>
          </w:p>
        </w:tc>
        <w:tc>
          <w:tcPr>
            <w:tcW w:w="558" w:type="pct"/>
          </w:tcPr>
          <w:p w14:paraId="539E5EB4" w14:textId="77777777" w:rsidR="000A340B" w:rsidRDefault="000A340B" w:rsidP="00F87AA9">
            <w:pPr>
              <w:pStyle w:val="NoSpacing"/>
            </w:pPr>
            <w:r>
              <w:t>16%</w:t>
            </w:r>
          </w:p>
        </w:tc>
        <w:tc>
          <w:tcPr>
            <w:tcW w:w="529" w:type="pct"/>
          </w:tcPr>
          <w:p w14:paraId="7DA4145A" w14:textId="77777777" w:rsidR="000A340B" w:rsidRDefault="000A340B" w:rsidP="00F87AA9">
            <w:pPr>
              <w:pStyle w:val="NoSpacing"/>
            </w:pPr>
            <w:r>
              <w:t>N/A</w:t>
            </w:r>
          </w:p>
        </w:tc>
        <w:tc>
          <w:tcPr>
            <w:tcW w:w="526" w:type="pct"/>
          </w:tcPr>
          <w:p w14:paraId="1AADAF4B" w14:textId="77777777" w:rsidR="000A340B" w:rsidRDefault="000A340B" w:rsidP="00F87AA9">
            <w:pPr>
              <w:pStyle w:val="NoSpacing"/>
            </w:pPr>
            <w:r>
              <w:t>22%</w:t>
            </w:r>
          </w:p>
        </w:tc>
      </w:tr>
      <w:tr w:rsidR="000A340B" w14:paraId="0A543D59" w14:textId="77777777" w:rsidTr="00651F15">
        <w:tc>
          <w:tcPr>
            <w:tcW w:w="2779" w:type="pct"/>
          </w:tcPr>
          <w:p w14:paraId="3EA19B28" w14:textId="77777777" w:rsidR="000A340B" w:rsidRDefault="000A340B" w:rsidP="00F87AA9">
            <w:pPr>
              <w:pStyle w:val="NoSpacing"/>
            </w:pPr>
            <w:r>
              <w:t>Physical trauma assessment</w:t>
            </w:r>
          </w:p>
        </w:tc>
        <w:tc>
          <w:tcPr>
            <w:tcW w:w="608" w:type="pct"/>
          </w:tcPr>
          <w:p w14:paraId="58CA1071" w14:textId="77777777" w:rsidR="000A340B" w:rsidRDefault="000A340B" w:rsidP="00F87AA9">
            <w:pPr>
              <w:pStyle w:val="NoSpacing"/>
            </w:pPr>
            <w:r>
              <w:t>92%</w:t>
            </w:r>
          </w:p>
        </w:tc>
        <w:tc>
          <w:tcPr>
            <w:tcW w:w="558" w:type="pct"/>
          </w:tcPr>
          <w:p w14:paraId="5AE5A0C2" w14:textId="77777777" w:rsidR="000A340B" w:rsidRDefault="000A340B" w:rsidP="00F87AA9">
            <w:pPr>
              <w:pStyle w:val="NoSpacing"/>
            </w:pPr>
            <w:r>
              <w:t>78%</w:t>
            </w:r>
          </w:p>
        </w:tc>
        <w:tc>
          <w:tcPr>
            <w:tcW w:w="529" w:type="pct"/>
          </w:tcPr>
          <w:p w14:paraId="365506EC" w14:textId="77777777" w:rsidR="000A340B" w:rsidRDefault="000A340B" w:rsidP="00F87AA9">
            <w:pPr>
              <w:pStyle w:val="NoSpacing"/>
            </w:pPr>
            <w:r>
              <w:t>N/A</w:t>
            </w:r>
          </w:p>
        </w:tc>
        <w:tc>
          <w:tcPr>
            <w:tcW w:w="526" w:type="pct"/>
          </w:tcPr>
          <w:p w14:paraId="76F75A68" w14:textId="77777777" w:rsidR="000A340B" w:rsidRDefault="000A340B" w:rsidP="00F87AA9">
            <w:pPr>
              <w:pStyle w:val="NoSpacing"/>
            </w:pPr>
            <w:r>
              <w:t>83%</w:t>
            </w:r>
          </w:p>
        </w:tc>
      </w:tr>
      <w:tr w:rsidR="000A340B" w14:paraId="615A7CE7" w14:textId="77777777" w:rsidTr="00651F15">
        <w:tc>
          <w:tcPr>
            <w:tcW w:w="2779" w:type="pct"/>
          </w:tcPr>
          <w:p w14:paraId="5CC232A8" w14:textId="77777777" w:rsidR="000A340B" w:rsidRDefault="000A340B" w:rsidP="00F87AA9">
            <w:pPr>
              <w:pStyle w:val="NoSpacing"/>
            </w:pPr>
            <w:r>
              <w:t>Post Exposure Prophylaxis (PEP)</w:t>
            </w:r>
          </w:p>
        </w:tc>
        <w:tc>
          <w:tcPr>
            <w:tcW w:w="608" w:type="pct"/>
          </w:tcPr>
          <w:p w14:paraId="211E4122" w14:textId="77777777" w:rsidR="000A340B" w:rsidRDefault="000A340B" w:rsidP="00F87AA9">
            <w:pPr>
              <w:pStyle w:val="NoSpacing"/>
            </w:pPr>
            <w:r>
              <w:t>34%</w:t>
            </w:r>
          </w:p>
        </w:tc>
        <w:tc>
          <w:tcPr>
            <w:tcW w:w="558" w:type="pct"/>
          </w:tcPr>
          <w:p w14:paraId="20B5709F" w14:textId="77777777" w:rsidR="000A340B" w:rsidRDefault="000A340B" w:rsidP="00F87AA9">
            <w:pPr>
              <w:pStyle w:val="NoSpacing"/>
            </w:pPr>
            <w:r>
              <w:t>44%</w:t>
            </w:r>
          </w:p>
        </w:tc>
        <w:tc>
          <w:tcPr>
            <w:tcW w:w="529" w:type="pct"/>
          </w:tcPr>
          <w:p w14:paraId="6BAE513C" w14:textId="77777777" w:rsidR="000A340B" w:rsidRDefault="000A340B" w:rsidP="00F87AA9">
            <w:pPr>
              <w:pStyle w:val="NoSpacing"/>
            </w:pPr>
            <w:r>
              <w:t xml:space="preserve">38% </w:t>
            </w:r>
          </w:p>
        </w:tc>
        <w:tc>
          <w:tcPr>
            <w:tcW w:w="526" w:type="pct"/>
          </w:tcPr>
          <w:p w14:paraId="196F63F5" w14:textId="77777777" w:rsidR="000A340B" w:rsidRDefault="000A340B" w:rsidP="00F87AA9">
            <w:pPr>
              <w:pStyle w:val="NoSpacing"/>
            </w:pPr>
            <w:r>
              <w:t>44%</w:t>
            </w:r>
          </w:p>
        </w:tc>
      </w:tr>
      <w:tr w:rsidR="000A340B" w14:paraId="3D6C35CA" w14:textId="77777777" w:rsidTr="00651F15">
        <w:tc>
          <w:tcPr>
            <w:tcW w:w="2779" w:type="pct"/>
          </w:tcPr>
          <w:p w14:paraId="67768E05" w14:textId="77777777" w:rsidR="000A340B" w:rsidRDefault="000A340B" w:rsidP="00F87AA9">
            <w:pPr>
              <w:pStyle w:val="NoSpacing"/>
            </w:pPr>
            <w:r>
              <w:t>Psychological first aid/counselling</w:t>
            </w:r>
          </w:p>
        </w:tc>
        <w:tc>
          <w:tcPr>
            <w:tcW w:w="608" w:type="pct"/>
          </w:tcPr>
          <w:p w14:paraId="4A33496E" w14:textId="77777777" w:rsidR="000A340B" w:rsidRDefault="000A340B" w:rsidP="00F87AA9">
            <w:pPr>
              <w:pStyle w:val="NoSpacing"/>
            </w:pPr>
            <w:r>
              <w:t>82%</w:t>
            </w:r>
          </w:p>
        </w:tc>
        <w:tc>
          <w:tcPr>
            <w:tcW w:w="558" w:type="pct"/>
          </w:tcPr>
          <w:p w14:paraId="2C94E537" w14:textId="77777777" w:rsidR="000A340B" w:rsidRDefault="000A340B" w:rsidP="00F87AA9">
            <w:pPr>
              <w:pStyle w:val="NoSpacing"/>
            </w:pPr>
            <w:r>
              <w:t>62%</w:t>
            </w:r>
          </w:p>
        </w:tc>
        <w:tc>
          <w:tcPr>
            <w:tcW w:w="529" w:type="pct"/>
          </w:tcPr>
          <w:p w14:paraId="672A4A2B" w14:textId="77777777" w:rsidR="000A340B" w:rsidRDefault="000A340B" w:rsidP="00F87AA9">
            <w:pPr>
              <w:pStyle w:val="NoSpacing"/>
            </w:pPr>
            <w:r>
              <w:t>N/A</w:t>
            </w:r>
          </w:p>
        </w:tc>
        <w:tc>
          <w:tcPr>
            <w:tcW w:w="526" w:type="pct"/>
          </w:tcPr>
          <w:p w14:paraId="5C6C2FA2" w14:textId="77777777" w:rsidR="000A340B" w:rsidRDefault="000A340B" w:rsidP="00F87AA9">
            <w:pPr>
              <w:pStyle w:val="NoSpacing"/>
            </w:pPr>
            <w:r>
              <w:t>94%</w:t>
            </w:r>
          </w:p>
        </w:tc>
      </w:tr>
      <w:tr w:rsidR="000A340B" w14:paraId="75EA3921" w14:textId="77777777" w:rsidTr="00651F15">
        <w:tc>
          <w:tcPr>
            <w:tcW w:w="2779" w:type="pct"/>
          </w:tcPr>
          <w:p w14:paraId="7B585B59" w14:textId="77777777" w:rsidR="000A340B" w:rsidRDefault="000A340B" w:rsidP="00F87AA9">
            <w:pPr>
              <w:pStyle w:val="NoSpacing"/>
            </w:pPr>
            <w:r>
              <w:t>STI treatment</w:t>
            </w:r>
          </w:p>
        </w:tc>
        <w:tc>
          <w:tcPr>
            <w:tcW w:w="608" w:type="pct"/>
          </w:tcPr>
          <w:p w14:paraId="07B564CA" w14:textId="77777777" w:rsidR="000A340B" w:rsidRDefault="000A340B" w:rsidP="00F87AA9">
            <w:pPr>
              <w:pStyle w:val="NoSpacing"/>
            </w:pPr>
            <w:r>
              <w:t>74%</w:t>
            </w:r>
          </w:p>
        </w:tc>
        <w:tc>
          <w:tcPr>
            <w:tcW w:w="558" w:type="pct"/>
          </w:tcPr>
          <w:p w14:paraId="54E84BCF" w14:textId="77777777" w:rsidR="000A340B" w:rsidRDefault="000A340B" w:rsidP="00F87AA9">
            <w:pPr>
              <w:pStyle w:val="NoSpacing"/>
            </w:pPr>
            <w:r>
              <w:t>80%</w:t>
            </w:r>
          </w:p>
        </w:tc>
        <w:tc>
          <w:tcPr>
            <w:tcW w:w="529" w:type="pct"/>
          </w:tcPr>
          <w:p w14:paraId="6EB12767" w14:textId="77777777" w:rsidR="000A340B" w:rsidRDefault="000A340B" w:rsidP="00F87AA9">
            <w:pPr>
              <w:pStyle w:val="NoSpacing"/>
            </w:pPr>
            <w:r>
              <w:t>N/A</w:t>
            </w:r>
          </w:p>
        </w:tc>
        <w:tc>
          <w:tcPr>
            <w:tcW w:w="526" w:type="pct"/>
          </w:tcPr>
          <w:p w14:paraId="1D418724" w14:textId="77777777" w:rsidR="000A340B" w:rsidRDefault="000A340B" w:rsidP="00F87AA9">
            <w:pPr>
              <w:pStyle w:val="NoSpacing"/>
            </w:pPr>
            <w:r>
              <w:t>33%</w:t>
            </w:r>
          </w:p>
        </w:tc>
      </w:tr>
      <w:tr w:rsidR="000A340B" w14:paraId="11F3BC56" w14:textId="77777777" w:rsidTr="00B3686F">
        <w:tc>
          <w:tcPr>
            <w:tcW w:w="2779" w:type="pct"/>
            <w:tcBorders>
              <w:bottom w:val="single" w:sz="4" w:space="0" w:color="auto"/>
            </w:tcBorders>
          </w:tcPr>
          <w:p w14:paraId="359EAB03" w14:textId="77777777" w:rsidR="000A340B" w:rsidRDefault="000A340B" w:rsidP="00F87AA9">
            <w:pPr>
              <w:pStyle w:val="NoSpacing"/>
            </w:pPr>
            <w:r>
              <w:t>Tetanus Toxoid vaccine</w:t>
            </w:r>
          </w:p>
        </w:tc>
        <w:tc>
          <w:tcPr>
            <w:tcW w:w="608" w:type="pct"/>
            <w:tcBorders>
              <w:bottom w:val="single" w:sz="4" w:space="0" w:color="auto"/>
            </w:tcBorders>
          </w:tcPr>
          <w:p w14:paraId="23136E07" w14:textId="77777777" w:rsidR="000A340B" w:rsidRDefault="000A340B" w:rsidP="00F87AA9">
            <w:pPr>
              <w:pStyle w:val="NoSpacing"/>
            </w:pPr>
            <w:r>
              <w:t>75%</w:t>
            </w:r>
          </w:p>
        </w:tc>
        <w:tc>
          <w:tcPr>
            <w:tcW w:w="558" w:type="pct"/>
            <w:tcBorders>
              <w:bottom w:val="single" w:sz="4" w:space="0" w:color="auto"/>
            </w:tcBorders>
          </w:tcPr>
          <w:p w14:paraId="3B70D783" w14:textId="77777777" w:rsidR="000A340B" w:rsidRDefault="000A340B" w:rsidP="00F87AA9">
            <w:pPr>
              <w:pStyle w:val="NoSpacing"/>
            </w:pPr>
            <w:r>
              <w:t>74%</w:t>
            </w:r>
          </w:p>
        </w:tc>
        <w:tc>
          <w:tcPr>
            <w:tcW w:w="529" w:type="pct"/>
            <w:tcBorders>
              <w:bottom w:val="single" w:sz="4" w:space="0" w:color="auto"/>
            </w:tcBorders>
          </w:tcPr>
          <w:p w14:paraId="730895AD" w14:textId="77777777" w:rsidR="000A340B" w:rsidRDefault="000A340B" w:rsidP="00F87AA9">
            <w:pPr>
              <w:pStyle w:val="NoSpacing"/>
            </w:pPr>
            <w:r>
              <w:t>N/A</w:t>
            </w:r>
          </w:p>
        </w:tc>
        <w:tc>
          <w:tcPr>
            <w:tcW w:w="526" w:type="pct"/>
            <w:tcBorders>
              <w:bottom w:val="single" w:sz="4" w:space="0" w:color="auto"/>
            </w:tcBorders>
          </w:tcPr>
          <w:p w14:paraId="2B630CED" w14:textId="77777777" w:rsidR="000A340B" w:rsidRDefault="000A340B" w:rsidP="00F87AA9">
            <w:pPr>
              <w:pStyle w:val="NoSpacing"/>
            </w:pPr>
            <w:r>
              <w:t>50%</w:t>
            </w:r>
          </w:p>
        </w:tc>
      </w:tr>
      <w:tr w:rsidR="00B3686F" w14:paraId="1154F6D1" w14:textId="77777777" w:rsidTr="00B3686F">
        <w:tc>
          <w:tcPr>
            <w:tcW w:w="2779" w:type="pct"/>
            <w:tcBorders>
              <w:top w:val="single" w:sz="4" w:space="0" w:color="auto"/>
              <w:left w:val="single" w:sz="4" w:space="0" w:color="auto"/>
              <w:bottom w:val="single" w:sz="4" w:space="0" w:color="auto"/>
              <w:right w:val="nil"/>
            </w:tcBorders>
          </w:tcPr>
          <w:p w14:paraId="59F3C229" w14:textId="77777777" w:rsidR="00B3686F" w:rsidRPr="00B3686F" w:rsidRDefault="00B3686F" w:rsidP="00F87AA9">
            <w:pPr>
              <w:pStyle w:val="NoSpacing"/>
              <w:rPr>
                <w:b/>
                <w:bCs/>
              </w:rPr>
            </w:pPr>
            <w:r w:rsidRPr="00B3686F">
              <w:rPr>
                <w:b/>
                <w:bCs/>
              </w:rPr>
              <w:t>Youth Friendly services for adolescent and youth:</w:t>
            </w:r>
          </w:p>
        </w:tc>
        <w:tc>
          <w:tcPr>
            <w:tcW w:w="608" w:type="pct"/>
            <w:tcBorders>
              <w:top w:val="single" w:sz="4" w:space="0" w:color="auto"/>
              <w:left w:val="nil"/>
              <w:bottom w:val="single" w:sz="4" w:space="0" w:color="auto"/>
              <w:right w:val="nil"/>
            </w:tcBorders>
          </w:tcPr>
          <w:p w14:paraId="2CBECCFF" w14:textId="77777777" w:rsidR="00B3686F" w:rsidRPr="00B3686F" w:rsidRDefault="00B3686F" w:rsidP="00F87AA9">
            <w:pPr>
              <w:pStyle w:val="NoSpacing"/>
              <w:rPr>
                <w:b/>
                <w:bCs/>
              </w:rPr>
            </w:pPr>
          </w:p>
        </w:tc>
        <w:tc>
          <w:tcPr>
            <w:tcW w:w="558" w:type="pct"/>
            <w:tcBorders>
              <w:top w:val="single" w:sz="4" w:space="0" w:color="auto"/>
              <w:left w:val="nil"/>
              <w:bottom w:val="single" w:sz="4" w:space="0" w:color="auto"/>
              <w:right w:val="nil"/>
            </w:tcBorders>
          </w:tcPr>
          <w:p w14:paraId="453B82BB" w14:textId="32E24005" w:rsidR="00B3686F" w:rsidRPr="00B3686F" w:rsidRDefault="00B3686F" w:rsidP="00F87AA9">
            <w:pPr>
              <w:pStyle w:val="NoSpacing"/>
              <w:rPr>
                <w:b/>
                <w:bCs/>
              </w:rPr>
            </w:pPr>
          </w:p>
        </w:tc>
        <w:tc>
          <w:tcPr>
            <w:tcW w:w="529" w:type="pct"/>
            <w:tcBorders>
              <w:top w:val="single" w:sz="4" w:space="0" w:color="auto"/>
              <w:left w:val="nil"/>
              <w:bottom w:val="single" w:sz="4" w:space="0" w:color="auto"/>
              <w:right w:val="nil"/>
            </w:tcBorders>
          </w:tcPr>
          <w:p w14:paraId="5CADDDCA" w14:textId="77745706" w:rsidR="00B3686F" w:rsidRPr="00B3686F" w:rsidRDefault="00B3686F" w:rsidP="00F87AA9">
            <w:pPr>
              <w:pStyle w:val="NoSpacing"/>
              <w:rPr>
                <w:b/>
                <w:bCs/>
              </w:rPr>
            </w:pPr>
          </w:p>
        </w:tc>
        <w:tc>
          <w:tcPr>
            <w:tcW w:w="526" w:type="pct"/>
            <w:tcBorders>
              <w:top w:val="single" w:sz="4" w:space="0" w:color="auto"/>
              <w:left w:val="nil"/>
              <w:bottom w:val="single" w:sz="4" w:space="0" w:color="auto"/>
              <w:right w:val="single" w:sz="4" w:space="0" w:color="auto"/>
            </w:tcBorders>
          </w:tcPr>
          <w:p w14:paraId="4E8CF9B8" w14:textId="55C75FAA" w:rsidR="00B3686F" w:rsidRPr="00B3686F" w:rsidRDefault="00B3686F" w:rsidP="00F87AA9">
            <w:pPr>
              <w:pStyle w:val="NoSpacing"/>
              <w:rPr>
                <w:b/>
                <w:bCs/>
              </w:rPr>
            </w:pPr>
          </w:p>
        </w:tc>
      </w:tr>
      <w:tr w:rsidR="000A340B" w14:paraId="1D41EDE5" w14:textId="77777777" w:rsidTr="00B3686F">
        <w:tc>
          <w:tcPr>
            <w:tcW w:w="2779" w:type="pct"/>
            <w:tcBorders>
              <w:top w:val="single" w:sz="4" w:space="0" w:color="auto"/>
            </w:tcBorders>
          </w:tcPr>
          <w:p w14:paraId="038D63C8" w14:textId="77777777" w:rsidR="000A340B" w:rsidRDefault="000A340B" w:rsidP="00F87AA9">
            <w:pPr>
              <w:pStyle w:val="NoSpacing"/>
            </w:pPr>
            <w:r>
              <w:t>FP counselling</w:t>
            </w:r>
          </w:p>
        </w:tc>
        <w:tc>
          <w:tcPr>
            <w:tcW w:w="608" w:type="pct"/>
            <w:tcBorders>
              <w:top w:val="single" w:sz="4" w:space="0" w:color="auto"/>
            </w:tcBorders>
          </w:tcPr>
          <w:p w14:paraId="62399771" w14:textId="77777777" w:rsidR="000A340B" w:rsidRDefault="000A340B" w:rsidP="00F87AA9">
            <w:pPr>
              <w:pStyle w:val="NoSpacing"/>
            </w:pPr>
            <w:r>
              <w:t>92%</w:t>
            </w:r>
          </w:p>
        </w:tc>
        <w:tc>
          <w:tcPr>
            <w:tcW w:w="558" w:type="pct"/>
            <w:tcBorders>
              <w:top w:val="single" w:sz="4" w:space="0" w:color="auto"/>
            </w:tcBorders>
          </w:tcPr>
          <w:p w14:paraId="5673B532" w14:textId="77777777" w:rsidR="000A340B" w:rsidRDefault="000A340B" w:rsidP="00F87AA9">
            <w:pPr>
              <w:pStyle w:val="NoSpacing"/>
            </w:pPr>
            <w:r>
              <w:t>96%</w:t>
            </w:r>
          </w:p>
        </w:tc>
        <w:tc>
          <w:tcPr>
            <w:tcW w:w="529" w:type="pct"/>
            <w:tcBorders>
              <w:top w:val="single" w:sz="4" w:space="0" w:color="auto"/>
            </w:tcBorders>
          </w:tcPr>
          <w:p w14:paraId="2FFB35A1" w14:textId="77777777" w:rsidR="000A340B" w:rsidRDefault="000A340B" w:rsidP="00F87AA9">
            <w:pPr>
              <w:pStyle w:val="NoSpacing"/>
            </w:pPr>
            <w:r>
              <w:t>96%</w:t>
            </w:r>
          </w:p>
        </w:tc>
        <w:tc>
          <w:tcPr>
            <w:tcW w:w="526" w:type="pct"/>
            <w:tcBorders>
              <w:top w:val="single" w:sz="4" w:space="0" w:color="auto"/>
            </w:tcBorders>
          </w:tcPr>
          <w:p w14:paraId="53451BA2" w14:textId="77777777" w:rsidR="000A340B" w:rsidRDefault="000A340B" w:rsidP="00F87AA9">
            <w:pPr>
              <w:pStyle w:val="NoSpacing"/>
            </w:pPr>
            <w:r>
              <w:t>100%</w:t>
            </w:r>
          </w:p>
        </w:tc>
      </w:tr>
      <w:tr w:rsidR="000A340B" w14:paraId="23091CB2" w14:textId="77777777" w:rsidTr="00651F15">
        <w:tc>
          <w:tcPr>
            <w:tcW w:w="2779" w:type="pct"/>
          </w:tcPr>
          <w:p w14:paraId="05502E15" w14:textId="77777777" w:rsidR="000A340B" w:rsidRDefault="000A340B" w:rsidP="00F87AA9">
            <w:pPr>
              <w:pStyle w:val="NoSpacing"/>
            </w:pPr>
            <w:r>
              <w:t>HIV testing/counselling</w:t>
            </w:r>
          </w:p>
        </w:tc>
        <w:tc>
          <w:tcPr>
            <w:tcW w:w="608" w:type="pct"/>
          </w:tcPr>
          <w:p w14:paraId="70047E78" w14:textId="77777777" w:rsidR="000A340B" w:rsidRDefault="000A340B" w:rsidP="00F87AA9">
            <w:pPr>
              <w:pStyle w:val="NoSpacing"/>
            </w:pPr>
            <w:r>
              <w:t>43%</w:t>
            </w:r>
          </w:p>
        </w:tc>
        <w:tc>
          <w:tcPr>
            <w:tcW w:w="558" w:type="pct"/>
          </w:tcPr>
          <w:p w14:paraId="7774AD30" w14:textId="77777777" w:rsidR="000A340B" w:rsidRDefault="000A340B" w:rsidP="00F87AA9">
            <w:pPr>
              <w:pStyle w:val="NoSpacing"/>
            </w:pPr>
            <w:r>
              <w:t>49%</w:t>
            </w:r>
          </w:p>
        </w:tc>
        <w:tc>
          <w:tcPr>
            <w:tcW w:w="529" w:type="pct"/>
          </w:tcPr>
          <w:p w14:paraId="52250458" w14:textId="77777777" w:rsidR="000A340B" w:rsidRDefault="000A340B" w:rsidP="00F87AA9">
            <w:pPr>
              <w:pStyle w:val="NoSpacing"/>
            </w:pPr>
            <w:r>
              <w:t>49%</w:t>
            </w:r>
          </w:p>
        </w:tc>
        <w:tc>
          <w:tcPr>
            <w:tcW w:w="526" w:type="pct"/>
          </w:tcPr>
          <w:p w14:paraId="71249230" w14:textId="77777777" w:rsidR="000A340B" w:rsidRDefault="000A340B" w:rsidP="00F87AA9">
            <w:pPr>
              <w:pStyle w:val="NoSpacing"/>
            </w:pPr>
            <w:r>
              <w:t>26%</w:t>
            </w:r>
          </w:p>
        </w:tc>
      </w:tr>
      <w:tr w:rsidR="000A340B" w14:paraId="32FC0B2D" w14:textId="77777777" w:rsidTr="00651F15">
        <w:tc>
          <w:tcPr>
            <w:tcW w:w="2779" w:type="pct"/>
          </w:tcPr>
          <w:p w14:paraId="2F9EA9D0" w14:textId="77777777" w:rsidR="000A340B" w:rsidRDefault="000A340B" w:rsidP="00F87AA9">
            <w:pPr>
              <w:pStyle w:val="NoSpacing"/>
            </w:pPr>
            <w:r>
              <w:lastRenderedPageBreak/>
              <w:t>Condoms</w:t>
            </w:r>
          </w:p>
        </w:tc>
        <w:tc>
          <w:tcPr>
            <w:tcW w:w="608" w:type="pct"/>
          </w:tcPr>
          <w:p w14:paraId="74E55F89" w14:textId="77777777" w:rsidR="000A340B" w:rsidRDefault="000A340B" w:rsidP="00F87AA9">
            <w:pPr>
              <w:pStyle w:val="NoSpacing"/>
            </w:pPr>
            <w:r>
              <w:t>93%</w:t>
            </w:r>
          </w:p>
        </w:tc>
        <w:tc>
          <w:tcPr>
            <w:tcW w:w="558" w:type="pct"/>
          </w:tcPr>
          <w:p w14:paraId="1E8EF5D8" w14:textId="77777777" w:rsidR="000A340B" w:rsidRDefault="000A340B" w:rsidP="00F87AA9">
            <w:pPr>
              <w:pStyle w:val="NoSpacing"/>
            </w:pPr>
            <w:r>
              <w:t>95%</w:t>
            </w:r>
          </w:p>
        </w:tc>
        <w:tc>
          <w:tcPr>
            <w:tcW w:w="529" w:type="pct"/>
          </w:tcPr>
          <w:p w14:paraId="6D7A28AC" w14:textId="77777777" w:rsidR="000A340B" w:rsidRDefault="000A340B" w:rsidP="00F87AA9">
            <w:pPr>
              <w:pStyle w:val="NoSpacing"/>
            </w:pPr>
            <w:r>
              <w:t>95%</w:t>
            </w:r>
          </w:p>
        </w:tc>
        <w:tc>
          <w:tcPr>
            <w:tcW w:w="526" w:type="pct"/>
          </w:tcPr>
          <w:p w14:paraId="02773A16" w14:textId="77777777" w:rsidR="000A340B" w:rsidRDefault="000A340B" w:rsidP="00F87AA9">
            <w:pPr>
              <w:pStyle w:val="NoSpacing"/>
            </w:pPr>
            <w:r>
              <w:t>89%</w:t>
            </w:r>
          </w:p>
        </w:tc>
      </w:tr>
      <w:tr w:rsidR="000A340B" w14:paraId="380D7646" w14:textId="77777777" w:rsidTr="00651F15">
        <w:tc>
          <w:tcPr>
            <w:tcW w:w="2779" w:type="pct"/>
          </w:tcPr>
          <w:p w14:paraId="0A458523" w14:textId="77777777" w:rsidR="000A340B" w:rsidRDefault="000A340B" w:rsidP="00F87AA9">
            <w:pPr>
              <w:pStyle w:val="NoSpacing"/>
            </w:pPr>
            <w:r>
              <w:t>LARCS</w:t>
            </w:r>
          </w:p>
        </w:tc>
        <w:tc>
          <w:tcPr>
            <w:tcW w:w="608" w:type="pct"/>
          </w:tcPr>
          <w:p w14:paraId="28113448" w14:textId="77777777" w:rsidR="000A340B" w:rsidRDefault="000A340B" w:rsidP="00F87AA9">
            <w:pPr>
              <w:pStyle w:val="NoSpacing"/>
            </w:pPr>
            <w:r>
              <w:t>48%</w:t>
            </w:r>
          </w:p>
        </w:tc>
        <w:tc>
          <w:tcPr>
            <w:tcW w:w="558" w:type="pct"/>
          </w:tcPr>
          <w:p w14:paraId="370F7A36" w14:textId="77777777" w:rsidR="000A340B" w:rsidRDefault="000A340B" w:rsidP="00F87AA9">
            <w:pPr>
              <w:pStyle w:val="NoSpacing"/>
            </w:pPr>
            <w:r>
              <w:t>66%</w:t>
            </w:r>
          </w:p>
        </w:tc>
        <w:tc>
          <w:tcPr>
            <w:tcW w:w="529" w:type="pct"/>
          </w:tcPr>
          <w:p w14:paraId="67D02B1A" w14:textId="77777777" w:rsidR="000A340B" w:rsidRDefault="000A340B" w:rsidP="00F87AA9">
            <w:pPr>
              <w:pStyle w:val="NoSpacing"/>
            </w:pPr>
            <w:r>
              <w:t>66%</w:t>
            </w:r>
          </w:p>
        </w:tc>
        <w:tc>
          <w:tcPr>
            <w:tcW w:w="526" w:type="pct"/>
          </w:tcPr>
          <w:p w14:paraId="38127B35" w14:textId="77777777" w:rsidR="000A340B" w:rsidRDefault="000A340B" w:rsidP="00F87AA9">
            <w:pPr>
              <w:pStyle w:val="NoSpacing"/>
            </w:pPr>
            <w:r>
              <w:t>85%</w:t>
            </w:r>
          </w:p>
        </w:tc>
      </w:tr>
      <w:tr w:rsidR="000A340B" w14:paraId="2845CD1F" w14:textId="77777777" w:rsidTr="00651F15">
        <w:tc>
          <w:tcPr>
            <w:tcW w:w="2779" w:type="pct"/>
          </w:tcPr>
          <w:p w14:paraId="777F22FC" w14:textId="77777777" w:rsidR="000A340B" w:rsidRDefault="000A340B" w:rsidP="00F87AA9">
            <w:pPr>
              <w:pStyle w:val="NoSpacing"/>
            </w:pPr>
            <w:r>
              <w:t>STI treatment and counselling</w:t>
            </w:r>
          </w:p>
        </w:tc>
        <w:tc>
          <w:tcPr>
            <w:tcW w:w="608" w:type="pct"/>
          </w:tcPr>
          <w:p w14:paraId="636E094B" w14:textId="77777777" w:rsidR="000A340B" w:rsidRDefault="000A340B" w:rsidP="00F87AA9">
            <w:pPr>
              <w:pStyle w:val="NoSpacing"/>
            </w:pPr>
            <w:r>
              <w:t>85%</w:t>
            </w:r>
          </w:p>
        </w:tc>
        <w:tc>
          <w:tcPr>
            <w:tcW w:w="558" w:type="pct"/>
          </w:tcPr>
          <w:p w14:paraId="0F6763E2" w14:textId="77777777" w:rsidR="000A340B" w:rsidRDefault="000A340B" w:rsidP="00F87AA9">
            <w:pPr>
              <w:pStyle w:val="NoSpacing"/>
            </w:pPr>
            <w:r>
              <w:t>87%</w:t>
            </w:r>
          </w:p>
        </w:tc>
        <w:tc>
          <w:tcPr>
            <w:tcW w:w="529" w:type="pct"/>
          </w:tcPr>
          <w:p w14:paraId="0C6F7C38" w14:textId="77777777" w:rsidR="000A340B" w:rsidRDefault="000A340B" w:rsidP="00F87AA9">
            <w:pPr>
              <w:pStyle w:val="NoSpacing"/>
            </w:pPr>
            <w:r>
              <w:t>87%</w:t>
            </w:r>
          </w:p>
        </w:tc>
        <w:tc>
          <w:tcPr>
            <w:tcW w:w="526" w:type="pct"/>
          </w:tcPr>
          <w:p w14:paraId="2BFD1CC7" w14:textId="77777777" w:rsidR="000A340B" w:rsidRDefault="000A340B" w:rsidP="00F87AA9">
            <w:pPr>
              <w:pStyle w:val="NoSpacing"/>
            </w:pPr>
            <w:r>
              <w:t>33%</w:t>
            </w:r>
          </w:p>
        </w:tc>
      </w:tr>
      <w:tr w:rsidR="000A340B" w14:paraId="0F006CDD" w14:textId="77777777" w:rsidTr="00651F15">
        <w:tc>
          <w:tcPr>
            <w:tcW w:w="2779" w:type="pct"/>
          </w:tcPr>
          <w:p w14:paraId="18DAD509" w14:textId="77777777" w:rsidR="000A340B" w:rsidRDefault="000A340B" w:rsidP="00F87AA9">
            <w:pPr>
              <w:pStyle w:val="NoSpacing"/>
            </w:pPr>
            <w:r>
              <w:t>EC</w:t>
            </w:r>
          </w:p>
        </w:tc>
        <w:tc>
          <w:tcPr>
            <w:tcW w:w="608" w:type="pct"/>
          </w:tcPr>
          <w:p w14:paraId="1E2B8BA5" w14:textId="77777777" w:rsidR="000A340B" w:rsidRDefault="000A340B" w:rsidP="00F87AA9">
            <w:pPr>
              <w:pStyle w:val="NoSpacing"/>
            </w:pPr>
            <w:r>
              <w:t>52%</w:t>
            </w:r>
          </w:p>
        </w:tc>
        <w:tc>
          <w:tcPr>
            <w:tcW w:w="558" w:type="pct"/>
          </w:tcPr>
          <w:p w14:paraId="0798F676" w14:textId="77777777" w:rsidR="000A340B" w:rsidRDefault="000A340B" w:rsidP="00F87AA9">
            <w:pPr>
              <w:pStyle w:val="NoSpacing"/>
            </w:pPr>
            <w:r>
              <w:t>85%</w:t>
            </w:r>
          </w:p>
        </w:tc>
        <w:tc>
          <w:tcPr>
            <w:tcW w:w="529" w:type="pct"/>
          </w:tcPr>
          <w:p w14:paraId="1233C537" w14:textId="77777777" w:rsidR="000A340B" w:rsidRDefault="000A340B" w:rsidP="00F87AA9">
            <w:pPr>
              <w:pStyle w:val="NoSpacing"/>
            </w:pPr>
            <w:r>
              <w:t>85%</w:t>
            </w:r>
          </w:p>
        </w:tc>
        <w:tc>
          <w:tcPr>
            <w:tcW w:w="526" w:type="pct"/>
          </w:tcPr>
          <w:p w14:paraId="6721993B" w14:textId="77777777" w:rsidR="000A340B" w:rsidRDefault="000A340B" w:rsidP="00F87AA9">
            <w:pPr>
              <w:pStyle w:val="NoSpacing"/>
            </w:pPr>
            <w:r>
              <w:t>85%</w:t>
            </w:r>
          </w:p>
        </w:tc>
      </w:tr>
      <w:tr w:rsidR="000A340B" w14:paraId="2F55BE85" w14:textId="77777777" w:rsidTr="00651F15">
        <w:tc>
          <w:tcPr>
            <w:tcW w:w="2779" w:type="pct"/>
          </w:tcPr>
          <w:p w14:paraId="1E5D1A80" w14:textId="77777777" w:rsidR="000A340B" w:rsidRDefault="000A340B" w:rsidP="00F87AA9">
            <w:pPr>
              <w:pStyle w:val="NoSpacing"/>
            </w:pPr>
            <w:r>
              <w:t>Short term contraception</w:t>
            </w:r>
          </w:p>
        </w:tc>
        <w:tc>
          <w:tcPr>
            <w:tcW w:w="608" w:type="pct"/>
          </w:tcPr>
          <w:p w14:paraId="74CE6D86" w14:textId="77777777" w:rsidR="000A340B" w:rsidRDefault="000A340B" w:rsidP="00F87AA9">
            <w:pPr>
              <w:pStyle w:val="NoSpacing"/>
            </w:pPr>
            <w:r>
              <w:t>77%</w:t>
            </w:r>
          </w:p>
        </w:tc>
        <w:tc>
          <w:tcPr>
            <w:tcW w:w="558" w:type="pct"/>
          </w:tcPr>
          <w:p w14:paraId="2E4CA365" w14:textId="77777777" w:rsidR="000A340B" w:rsidRDefault="000A340B" w:rsidP="00F87AA9">
            <w:pPr>
              <w:pStyle w:val="NoSpacing"/>
            </w:pPr>
            <w:r>
              <w:t>77%</w:t>
            </w:r>
          </w:p>
        </w:tc>
        <w:tc>
          <w:tcPr>
            <w:tcW w:w="529" w:type="pct"/>
          </w:tcPr>
          <w:p w14:paraId="4D251AF4" w14:textId="77777777" w:rsidR="000A340B" w:rsidRDefault="000A340B" w:rsidP="00F87AA9">
            <w:pPr>
              <w:pStyle w:val="NoSpacing"/>
            </w:pPr>
            <w:r>
              <w:t>77%</w:t>
            </w:r>
          </w:p>
        </w:tc>
        <w:tc>
          <w:tcPr>
            <w:tcW w:w="526" w:type="pct"/>
          </w:tcPr>
          <w:p w14:paraId="2387E480" w14:textId="77777777" w:rsidR="000A340B" w:rsidRDefault="000A340B" w:rsidP="00F87AA9">
            <w:pPr>
              <w:pStyle w:val="NoSpacing"/>
            </w:pPr>
            <w:r>
              <w:t>82%</w:t>
            </w:r>
          </w:p>
        </w:tc>
      </w:tr>
      <w:tr w:rsidR="000A340B" w14:paraId="012C7F46" w14:textId="77777777" w:rsidTr="00B3686F">
        <w:tc>
          <w:tcPr>
            <w:tcW w:w="2779" w:type="pct"/>
            <w:tcBorders>
              <w:bottom w:val="single" w:sz="4" w:space="0" w:color="auto"/>
            </w:tcBorders>
          </w:tcPr>
          <w:p w14:paraId="077ABAC1" w14:textId="77777777" w:rsidR="000A340B" w:rsidRDefault="000A340B" w:rsidP="00F87AA9">
            <w:pPr>
              <w:pStyle w:val="NoSpacing"/>
            </w:pPr>
            <w:r>
              <w:t>Sexual GBV services</w:t>
            </w:r>
          </w:p>
        </w:tc>
        <w:tc>
          <w:tcPr>
            <w:tcW w:w="608" w:type="pct"/>
            <w:tcBorders>
              <w:bottom w:val="single" w:sz="4" w:space="0" w:color="auto"/>
            </w:tcBorders>
          </w:tcPr>
          <w:p w14:paraId="0A5B27B4" w14:textId="77777777" w:rsidR="000A340B" w:rsidRDefault="000A340B" w:rsidP="00F87AA9">
            <w:pPr>
              <w:pStyle w:val="NoSpacing"/>
            </w:pPr>
            <w:r>
              <w:t>57%</w:t>
            </w:r>
          </w:p>
        </w:tc>
        <w:tc>
          <w:tcPr>
            <w:tcW w:w="558" w:type="pct"/>
            <w:tcBorders>
              <w:bottom w:val="single" w:sz="4" w:space="0" w:color="auto"/>
            </w:tcBorders>
          </w:tcPr>
          <w:p w14:paraId="660ED099" w14:textId="77777777" w:rsidR="000A340B" w:rsidRDefault="000A340B" w:rsidP="00F87AA9">
            <w:pPr>
              <w:pStyle w:val="NoSpacing"/>
            </w:pPr>
            <w:r>
              <w:t>68%</w:t>
            </w:r>
          </w:p>
        </w:tc>
        <w:tc>
          <w:tcPr>
            <w:tcW w:w="529" w:type="pct"/>
            <w:tcBorders>
              <w:bottom w:val="single" w:sz="4" w:space="0" w:color="auto"/>
            </w:tcBorders>
          </w:tcPr>
          <w:p w14:paraId="61655DDD" w14:textId="77777777" w:rsidR="000A340B" w:rsidRDefault="000A340B" w:rsidP="00F87AA9">
            <w:pPr>
              <w:pStyle w:val="NoSpacing"/>
            </w:pPr>
            <w:r>
              <w:t>68%</w:t>
            </w:r>
          </w:p>
        </w:tc>
        <w:tc>
          <w:tcPr>
            <w:tcW w:w="526" w:type="pct"/>
            <w:tcBorders>
              <w:bottom w:val="single" w:sz="4" w:space="0" w:color="auto"/>
            </w:tcBorders>
          </w:tcPr>
          <w:p w14:paraId="08CED0CA" w14:textId="77777777" w:rsidR="000A340B" w:rsidRDefault="000A340B" w:rsidP="00F87AA9">
            <w:pPr>
              <w:pStyle w:val="NoSpacing"/>
            </w:pPr>
            <w:r>
              <w:t>67%</w:t>
            </w:r>
          </w:p>
        </w:tc>
      </w:tr>
      <w:tr w:rsidR="00B3686F" w14:paraId="67C57B9A" w14:textId="77777777" w:rsidTr="00B3686F">
        <w:tc>
          <w:tcPr>
            <w:tcW w:w="2779" w:type="pct"/>
            <w:tcBorders>
              <w:top w:val="single" w:sz="4" w:space="0" w:color="auto"/>
              <w:left w:val="single" w:sz="4" w:space="0" w:color="auto"/>
              <w:bottom w:val="single" w:sz="4" w:space="0" w:color="auto"/>
              <w:right w:val="nil"/>
            </w:tcBorders>
          </w:tcPr>
          <w:p w14:paraId="03FF6089" w14:textId="77777777" w:rsidR="00B3686F" w:rsidRPr="00B3686F" w:rsidRDefault="00B3686F" w:rsidP="00F87AA9">
            <w:pPr>
              <w:pStyle w:val="NoSpacing"/>
              <w:rPr>
                <w:b/>
                <w:bCs/>
              </w:rPr>
            </w:pPr>
            <w:r w:rsidRPr="00B3686F">
              <w:rPr>
                <w:b/>
                <w:bCs/>
              </w:rPr>
              <w:t>AYF services available:</w:t>
            </w:r>
          </w:p>
        </w:tc>
        <w:tc>
          <w:tcPr>
            <w:tcW w:w="608" w:type="pct"/>
            <w:tcBorders>
              <w:top w:val="single" w:sz="4" w:space="0" w:color="auto"/>
              <w:left w:val="nil"/>
              <w:bottom w:val="single" w:sz="4" w:space="0" w:color="auto"/>
              <w:right w:val="nil"/>
            </w:tcBorders>
          </w:tcPr>
          <w:p w14:paraId="6D022C3F" w14:textId="77777777" w:rsidR="00B3686F" w:rsidRPr="00B3686F" w:rsidRDefault="00B3686F" w:rsidP="00F87AA9">
            <w:pPr>
              <w:pStyle w:val="NoSpacing"/>
              <w:rPr>
                <w:b/>
                <w:bCs/>
              </w:rPr>
            </w:pPr>
          </w:p>
        </w:tc>
        <w:tc>
          <w:tcPr>
            <w:tcW w:w="558" w:type="pct"/>
            <w:tcBorders>
              <w:top w:val="single" w:sz="4" w:space="0" w:color="auto"/>
              <w:left w:val="nil"/>
              <w:bottom w:val="single" w:sz="4" w:space="0" w:color="auto"/>
              <w:right w:val="nil"/>
            </w:tcBorders>
          </w:tcPr>
          <w:p w14:paraId="404594CE" w14:textId="00202A44" w:rsidR="00B3686F" w:rsidRPr="00B3686F" w:rsidRDefault="00B3686F" w:rsidP="00F87AA9">
            <w:pPr>
              <w:pStyle w:val="NoSpacing"/>
              <w:rPr>
                <w:b/>
                <w:bCs/>
              </w:rPr>
            </w:pPr>
          </w:p>
        </w:tc>
        <w:tc>
          <w:tcPr>
            <w:tcW w:w="529" w:type="pct"/>
            <w:tcBorders>
              <w:top w:val="single" w:sz="4" w:space="0" w:color="auto"/>
              <w:left w:val="nil"/>
              <w:bottom w:val="single" w:sz="4" w:space="0" w:color="auto"/>
              <w:right w:val="nil"/>
            </w:tcBorders>
          </w:tcPr>
          <w:p w14:paraId="1C716CEB" w14:textId="6E57FB03" w:rsidR="00B3686F" w:rsidRPr="00B3686F" w:rsidRDefault="00B3686F" w:rsidP="00F87AA9">
            <w:pPr>
              <w:pStyle w:val="NoSpacing"/>
              <w:rPr>
                <w:b/>
                <w:bCs/>
              </w:rPr>
            </w:pPr>
          </w:p>
        </w:tc>
        <w:tc>
          <w:tcPr>
            <w:tcW w:w="526" w:type="pct"/>
            <w:tcBorders>
              <w:top w:val="single" w:sz="4" w:space="0" w:color="auto"/>
              <w:left w:val="nil"/>
              <w:bottom w:val="single" w:sz="4" w:space="0" w:color="auto"/>
              <w:right w:val="single" w:sz="4" w:space="0" w:color="auto"/>
            </w:tcBorders>
          </w:tcPr>
          <w:p w14:paraId="231B4226" w14:textId="4F7D7EAC" w:rsidR="00B3686F" w:rsidRPr="00B3686F" w:rsidRDefault="00B3686F" w:rsidP="00F87AA9">
            <w:pPr>
              <w:pStyle w:val="NoSpacing"/>
              <w:rPr>
                <w:b/>
                <w:bCs/>
              </w:rPr>
            </w:pPr>
          </w:p>
        </w:tc>
      </w:tr>
      <w:tr w:rsidR="000A340B" w14:paraId="2E90431E" w14:textId="77777777" w:rsidTr="00B3686F">
        <w:tc>
          <w:tcPr>
            <w:tcW w:w="2779" w:type="pct"/>
            <w:tcBorders>
              <w:top w:val="single" w:sz="4" w:space="0" w:color="auto"/>
            </w:tcBorders>
          </w:tcPr>
          <w:p w14:paraId="1E23B972" w14:textId="77777777" w:rsidR="000A340B" w:rsidRDefault="000A340B" w:rsidP="00F87AA9">
            <w:pPr>
              <w:pStyle w:val="NoSpacing"/>
            </w:pPr>
            <w:r>
              <w:t>AYF service provided</w:t>
            </w:r>
          </w:p>
        </w:tc>
        <w:tc>
          <w:tcPr>
            <w:tcW w:w="608" w:type="pct"/>
            <w:tcBorders>
              <w:top w:val="single" w:sz="4" w:space="0" w:color="auto"/>
            </w:tcBorders>
          </w:tcPr>
          <w:p w14:paraId="5B8E1B2F" w14:textId="77777777" w:rsidR="000A340B" w:rsidRDefault="000A340B" w:rsidP="00F87AA9">
            <w:pPr>
              <w:pStyle w:val="NoSpacing"/>
            </w:pPr>
            <w:r>
              <w:t>87%</w:t>
            </w:r>
          </w:p>
        </w:tc>
        <w:tc>
          <w:tcPr>
            <w:tcW w:w="558" w:type="pct"/>
            <w:tcBorders>
              <w:top w:val="single" w:sz="4" w:space="0" w:color="auto"/>
            </w:tcBorders>
          </w:tcPr>
          <w:p w14:paraId="75B5D2EE" w14:textId="77777777" w:rsidR="000A340B" w:rsidRDefault="000A340B" w:rsidP="00F87AA9">
            <w:pPr>
              <w:pStyle w:val="NoSpacing"/>
            </w:pPr>
            <w:r>
              <w:t>66%</w:t>
            </w:r>
          </w:p>
        </w:tc>
        <w:tc>
          <w:tcPr>
            <w:tcW w:w="529" w:type="pct"/>
            <w:tcBorders>
              <w:top w:val="single" w:sz="4" w:space="0" w:color="auto"/>
            </w:tcBorders>
          </w:tcPr>
          <w:p w14:paraId="5B69F423" w14:textId="77777777" w:rsidR="000A340B" w:rsidRDefault="000A340B" w:rsidP="00F87AA9">
            <w:pPr>
              <w:pStyle w:val="NoSpacing"/>
            </w:pPr>
            <w:r>
              <w:t>86%</w:t>
            </w:r>
          </w:p>
        </w:tc>
        <w:tc>
          <w:tcPr>
            <w:tcW w:w="526" w:type="pct"/>
            <w:tcBorders>
              <w:top w:val="single" w:sz="4" w:space="0" w:color="auto"/>
            </w:tcBorders>
          </w:tcPr>
          <w:p w14:paraId="0AC7D057" w14:textId="77777777" w:rsidR="000A340B" w:rsidRDefault="000A340B" w:rsidP="00F87AA9">
            <w:pPr>
              <w:pStyle w:val="NoSpacing"/>
            </w:pPr>
            <w:r>
              <w:t>87%</w:t>
            </w:r>
          </w:p>
        </w:tc>
      </w:tr>
      <w:tr w:rsidR="000A340B" w14:paraId="4CACCAC1" w14:textId="77777777" w:rsidTr="00651F15">
        <w:tc>
          <w:tcPr>
            <w:tcW w:w="2779" w:type="pct"/>
          </w:tcPr>
          <w:p w14:paraId="6F6BA180" w14:textId="77777777" w:rsidR="000A340B" w:rsidRDefault="000A340B" w:rsidP="00F87AA9">
            <w:pPr>
              <w:pStyle w:val="NoSpacing"/>
            </w:pPr>
            <w:r>
              <w:t>Staff trained in AYF</w:t>
            </w:r>
          </w:p>
        </w:tc>
        <w:tc>
          <w:tcPr>
            <w:tcW w:w="608" w:type="pct"/>
          </w:tcPr>
          <w:p w14:paraId="0F1F8FE8" w14:textId="77777777" w:rsidR="000A340B" w:rsidRDefault="000A340B" w:rsidP="00F87AA9">
            <w:pPr>
              <w:pStyle w:val="NoSpacing"/>
            </w:pPr>
            <w:r>
              <w:t>24%</w:t>
            </w:r>
          </w:p>
        </w:tc>
        <w:tc>
          <w:tcPr>
            <w:tcW w:w="558" w:type="pct"/>
          </w:tcPr>
          <w:p w14:paraId="48E07A0B" w14:textId="77777777" w:rsidR="000A340B" w:rsidRDefault="000A340B" w:rsidP="00F87AA9">
            <w:pPr>
              <w:pStyle w:val="NoSpacing"/>
            </w:pPr>
            <w:r>
              <w:t>33%</w:t>
            </w:r>
          </w:p>
        </w:tc>
        <w:tc>
          <w:tcPr>
            <w:tcW w:w="529" w:type="pct"/>
          </w:tcPr>
          <w:p w14:paraId="66B6CBC4" w14:textId="77777777" w:rsidR="000A340B" w:rsidRDefault="000A340B" w:rsidP="00F87AA9">
            <w:pPr>
              <w:pStyle w:val="NoSpacing"/>
            </w:pPr>
            <w:r>
              <w:t>71%</w:t>
            </w:r>
          </w:p>
        </w:tc>
        <w:tc>
          <w:tcPr>
            <w:tcW w:w="526" w:type="pct"/>
          </w:tcPr>
          <w:p w14:paraId="0DB3FAE5" w14:textId="77777777" w:rsidR="000A340B" w:rsidRDefault="000A340B" w:rsidP="00F87AA9">
            <w:pPr>
              <w:pStyle w:val="NoSpacing"/>
            </w:pPr>
            <w:r>
              <w:t>65%</w:t>
            </w:r>
          </w:p>
        </w:tc>
      </w:tr>
      <w:tr w:rsidR="000A340B" w14:paraId="70129662" w14:textId="77777777" w:rsidTr="00651F15">
        <w:tc>
          <w:tcPr>
            <w:tcW w:w="2779" w:type="pct"/>
          </w:tcPr>
          <w:p w14:paraId="1BEB245C" w14:textId="77777777" w:rsidR="000A340B" w:rsidRDefault="000A340B" w:rsidP="00F87AA9">
            <w:pPr>
              <w:pStyle w:val="NoSpacing"/>
            </w:pPr>
            <w:r>
              <w:t>AYF services free/subsidised</w:t>
            </w:r>
          </w:p>
        </w:tc>
        <w:tc>
          <w:tcPr>
            <w:tcW w:w="608" w:type="pct"/>
          </w:tcPr>
          <w:p w14:paraId="26DE9386" w14:textId="77777777" w:rsidR="000A340B" w:rsidRDefault="000A340B" w:rsidP="00F87AA9">
            <w:pPr>
              <w:pStyle w:val="NoSpacing"/>
            </w:pPr>
            <w:r>
              <w:t>96%</w:t>
            </w:r>
          </w:p>
        </w:tc>
        <w:tc>
          <w:tcPr>
            <w:tcW w:w="558" w:type="pct"/>
          </w:tcPr>
          <w:p w14:paraId="43CE34B3" w14:textId="77777777" w:rsidR="000A340B" w:rsidRDefault="000A340B" w:rsidP="00F87AA9">
            <w:pPr>
              <w:pStyle w:val="NoSpacing"/>
            </w:pPr>
            <w:r>
              <w:t>89%</w:t>
            </w:r>
          </w:p>
        </w:tc>
        <w:tc>
          <w:tcPr>
            <w:tcW w:w="529" w:type="pct"/>
          </w:tcPr>
          <w:p w14:paraId="58C899A2" w14:textId="77777777" w:rsidR="000A340B" w:rsidRDefault="000A340B" w:rsidP="00F87AA9">
            <w:pPr>
              <w:pStyle w:val="NoSpacing"/>
            </w:pPr>
            <w:r>
              <w:t>71%</w:t>
            </w:r>
          </w:p>
        </w:tc>
        <w:tc>
          <w:tcPr>
            <w:tcW w:w="526" w:type="pct"/>
          </w:tcPr>
          <w:p w14:paraId="22BAB731" w14:textId="77777777" w:rsidR="000A340B" w:rsidRDefault="000A340B" w:rsidP="00F87AA9">
            <w:pPr>
              <w:pStyle w:val="NoSpacing"/>
            </w:pPr>
            <w:r>
              <w:t>97%</w:t>
            </w:r>
          </w:p>
        </w:tc>
      </w:tr>
      <w:tr w:rsidR="000A340B" w14:paraId="66AD0DC1" w14:textId="77777777" w:rsidTr="00651F15">
        <w:tc>
          <w:tcPr>
            <w:tcW w:w="2779" w:type="pct"/>
          </w:tcPr>
          <w:p w14:paraId="142027AA" w14:textId="77777777" w:rsidR="000A340B" w:rsidRDefault="000A340B" w:rsidP="00F87AA9">
            <w:pPr>
              <w:pStyle w:val="NoSpacing"/>
            </w:pPr>
            <w:r>
              <w:t>Flexible working hours</w:t>
            </w:r>
          </w:p>
        </w:tc>
        <w:tc>
          <w:tcPr>
            <w:tcW w:w="608" w:type="pct"/>
          </w:tcPr>
          <w:p w14:paraId="309E5430" w14:textId="77777777" w:rsidR="000A340B" w:rsidRDefault="000A340B" w:rsidP="00F87AA9">
            <w:pPr>
              <w:pStyle w:val="NoSpacing"/>
            </w:pPr>
            <w:r>
              <w:t>33%</w:t>
            </w:r>
          </w:p>
        </w:tc>
        <w:tc>
          <w:tcPr>
            <w:tcW w:w="558" w:type="pct"/>
          </w:tcPr>
          <w:p w14:paraId="45108E74" w14:textId="77777777" w:rsidR="000A340B" w:rsidRDefault="000A340B" w:rsidP="00F87AA9">
            <w:pPr>
              <w:pStyle w:val="NoSpacing"/>
            </w:pPr>
            <w:r>
              <w:t>61%</w:t>
            </w:r>
          </w:p>
        </w:tc>
        <w:tc>
          <w:tcPr>
            <w:tcW w:w="529" w:type="pct"/>
          </w:tcPr>
          <w:p w14:paraId="2735C9E4" w14:textId="77777777" w:rsidR="000A340B" w:rsidRDefault="000A340B" w:rsidP="00F87AA9">
            <w:pPr>
              <w:pStyle w:val="NoSpacing"/>
            </w:pPr>
            <w:r>
              <w:t>50%</w:t>
            </w:r>
          </w:p>
        </w:tc>
        <w:tc>
          <w:tcPr>
            <w:tcW w:w="526" w:type="pct"/>
          </w:tcPr>
          <w:p w14:paraId="558EE9D2" w14:textId="77777777" w:rsidR="000A340B" w:rsidRDefault="000A340B" w:rsidP="00F87AA9">
            <w:pPr>
              <w:pStyle w:val="NoSpacing"/>
            </w:pPr>
            <w:r>
              <w:t>42%</w:t>
            </w:r>
          </w:p>
        </w:tc>
      </w:tr>
      <w:tr w:rsidR="000A340B" w14:paraId="1E21A91E" w14:textId="77777777" w:rsidTr="00651F15">
        <w:tc>
          <w:tcPr>
            <w:tcW w:w="2779" w:type="pct"/>
          </w:tcPr>
          <w:p w14:paraId="17F5979B" w14:textId="77777777" w:rsidR="000A340B" w:rsidRDefault="000A340B" w:rsidP="00F87AA9">
            <w:pPr>
              <w:pStyle w:val="NoSpacing"/>
            </w:pPr>
            <w:r>
              <w:t>AYF guidelines</w:t>
            </w:r>
          </w:p>
        </w:tc>
        <w:tc>
          <w:tcPr>
            <w:tcW w:w="608" w:type="pct"/>
          </w:tcPr>
          <w:p w14:paraId="43C5DDC4" w14:textId="77777777" w:rsidR="000A340B" w:rsidRDefault="000A340B" w:rsidP="00F87AA9">
            <w:pPr>
              <w:pStyle w:val="NoSpacing"/>
            </w:pPr>
            <w:r>
              <w:t>23%</w:t>
            </w:r>
          </w:p>
        </w:tc>
        <w:tc>
          <w:tcPr>
            <w:tcW w:w="558" w:type="pct"/>
          </w:tcPr>
          <w:p w14:paraId="18D9747C" w14:textId="77777777" w:rsidR="000A340B" w:rsidRDefault="000A340B" w:rsidP="00F87AA9">
            <w:pPr>
              <w:pStyle w:val="NoSpacing"/>
            </w:pPr>
            <w:r>
              <w:t>13%</w:t>
            </w:r>
          </w:p>
        </w:tc>
        <w:tc>
          <w:tcPr>
            <w:tcW w:w="529" w:type="pct"/>
          </w:tcPr>
          <w:p w14:paraId="69566913" w14:textId="77777777" w:rsidR="000A340B" w:rsidRDefault="000A340B" w:rsidP="00F87AA9">
            <w:pPr>
              <w:pStyle w:val="NoSpacing"/>
            </w:pPr>
            <w:r>
              <w:t>43%</w:t>
            </w:r>
          </w:p>
        </w:tc>
        <w:tc>
          <w:tcPr>
            <w:tcW w:w="526" w:type="pct"/>
          </w:tcPr>
          <w:p w14:paraId="3309E84D" w14:textId="77777777" w:rsidR="000A340B" w:rsidRDefault="000A340B" w:rsidP="00F87AA9">
            <w:pPr>
              <w:pStyle w:val="NoSpacing"/>
            </w:pPr>
            <w:r>
              <w:t>32%</w:t>
            </w:r>
          </w:p>
        </w:tc>
      </w:tr>
      <w:tr w:rsidR="000A340B" w14:paraId="2CDACA00" w14:textId="77777777" w:rsidTr="00651F15">
        <w:tc>
          <w:tcPr>
            <w:tcW w:w="2779" w:type="pct"/>
          </w:tcPr>
          <w:p w14:paraId="0C61A0E5" w14:textId="77777777" w:rsidR="000A340B" w:rsidRDefault="000A340B" w:rsidP="00F87AA9">
            <w:pPr>
              <w:pStyle w:val="NoSpacing"/>
            </w:pPr>
            <w:r>
              <w:t>Dedicated room</w:t>
            </w:r>
          </w:p>
        </w:tc>
        <w:tc>
          <w:tcPr>
            <w:tcW w:w="608" w:type="pct"/>
          </w:tcPr>
          <w:p w14:paraId="18661F20" w14:textId="77777777" w:rsidR="000A340B" w:rsidRDefault="000A340B" w:rsidP="00F87AA9">
            <w:pPr>
              <w:pStyle w:val="NoSpacing"/>
            </w:pPr>
            <w:r>
              <w:t>64%</w:t>
            </w:r>
          </w:p>
        </w:tc>
        <w:tc>
          <w:tcPr>
            <w:tcW w:w="558" w:type="pct"/>
          </w:tcPr>
          <w:p w14:paraId="20C4CF5E" w14:textId="77777777" w:rsidR="000A340B" w:rsidRDefault="000A340B" w:rsidP="00F87AA9">
            <w:pPr>
              <w:pStyle w:val="NoSpacing"/>
            </w:pPr>
            <w:r>
              <w:t>36%</w:t>
            </w:r>
          </w:p>
        </w:tc>
        <w:tc>
          <w:tcPr>
            <w:tcW w:w="529" w:type="pct"/>
          </w:tcPr>
          <w:p w14:paraId="3953FA3A" w14:textId="77777777" w:rsidR="000A340B" w:rsidRDefault="000A340B" w:rsidP="00F87AA9">
            <w:pPr>
              <w:pStyle w:val="NoSpacing"/>
            </w:pPr>
            <w:r>
              <w:t>43%</w:t>
            </w:r>
          </w:p>
        </w:tc>
        <w:tc>
          <w:tcPr>
            <w:tcW w:w="526" w:type="pct"/>
          </w:tcPr>
          <w:p w14:paraId="65B35BEF" w14:textId="77777777" w:rsidR="000A340B" w:rsidRDefault="000A340B" w:rsidP="00F87AA9">
            <w:pPr>
              <w:pStyle w:val="NoSpacing"/>
            </w:pPr>
            <w:r>
              <w:t>65%</w:t>
            </w:r>
          </w:p>
        </w:tc>
      </w:tr>
      <w:tr w:rsidR="000A340B" w14:paraId="0106EB86" w14:textId="77777777" w:rsidTr="00651F15">
        <w:tc>
          <w:tcPr>
            <w:tcW w:w="2779" w:type="pct"/>
          </w:tcPr>
          <w:p w14:paraId="6084243C" w14:textId="77777777" w:rsidR="000A340B" w:rsidRDefault="000A340B" w:rsidP="00F87AA9">
            <w:pPr>
              <w:pStyle w:val="NoSpacing"/>
            </w:pPr>
            <w:r>
              <w:t>IEC materials</w:t>
            </w:r>
          </w:p>
        </w:tc>
        <w:tc>
          <w:tcPr>
            <w:tcW w:w="608" w:type="pct"/>
          </w:tcPr>
          <w:p w14:paraId="486F0184" w14:textId="77777777" w:rsidR="000A340B" w:rsidRDefault="000A340B" w:rsidP="00F87AA9">
            <w:pPr>
              <w:pStyle w:val="NoSpacing"/>
            </w:pPr>
            <w:r>
              <w:t>43%</w:t>
            </w:r>
          </w:p>
        </w:tc>
        <w:tc>
          <w:tcPr>
            <w:tcW w:w="558" w:type="pct"/>
          </w:tcPr>
          <w:p w14:paraId="6599F81F" w14:textId="77777777" w:rsidR="000A340B" w:rsidRDefault="000A340B" w:rsidP="00F87AA9">
            <w:pPr>
              <w:pStyle w:val="NoSpacing"/>
            </w:pPr>
            <w:r>
              <w:t>24%</w:t>
            </w:r>
          </w:p>
        </w:tc>
        <w:tc>
          <w:tcPr>
            <w:tcW w:w="529" w:type="pct"/>
          </w:tcPr>
          <w:p w14:paraId="5ED0AEED" w14:textId="77777777" w:rsidR="000A340B" w:rsidRDefault="000A340B" w:rsidP="00F87AA9">
            <w:pPr>
              <w:pStyle w:val="NoSpacing"/>
            </w:pPr>
            <w:r>
              <w:t>29%</w:t>
            </w:r>
          </w:p>
        </w:tc>
        <w:tc>
          <w:tcPr>
            <w:tcW w:w="526" w:type="pct"/>
          </w:tcPr>
          <w:p w14:paraId="06D3A8FF" w14:textId="77777777" w:rsidR="000A340B" w:rsidRDefault="000A340B" w:rsidP="00F87AA9">
            <w:pPr>
              <w:pStyle w:val="NoSpacing"/>
            </w:pPr>
            <w:r>
              <w:t>36%</w:t>
            </w:r>
          </w:p>
        </w:tc>
      </w:tr>
      <w:tr w:rsidR="000A340B" w14:paraId="7BF84A2C" w14:textId="77777777" w:rsidTr="00651F15">
        <w:tc>
          <w:tcPr>
            <w:tcW w:w="2779" w:type="pct"/>
          </w:tcPr>
          <w:p w14:paraId="01861F98" w14:textId="77777777" w:rsidR="000A340B" w:rsidRDefault="000A340B" w:rsidP="00F87AA9">
            <w:pPr>
              <w:pStyle w:val="NoSpacing"/>
            </w:pPr>
            <w:r>
              <w:t>AYF service ready (to global standard)</w:t>
            </w:r>
          </w:p>
        </w:tc>
        <w:tc>
          <w:tcPr>
            <w:tcW w:w="608" w:type="pct"/>
          </w:tcPr>
          <w:p w14:paraId="1176A845" w14:textId="77777777" w:rsidR="000A340B" w:rsidRDefault="000A340B" w:rsidP="00F87AA9">
            <w:pPr>
              <w:pStyle w:val="NoSpacing"/>
            </w:pPr>
            <w:r>
              <w:t>3%</w:t>
            </w:r>
          </w:p>
        </w:tc>
        <w:tc>
          <w:tcPr>
            <w:tcW w:w="558" w:type="pct"/>
          </w:tcPr>
          <w:p w14:paraId="102217D3" w14:textId="77777777" w:rsidR="000A340B" w:rsidRDefault="000A340B" w:rsidP="00F87AA9">
            <w:pPr>
              <w:pStyle w:val="NoSpacing"/>
            </w:pPr>
            <w:r>
              <w:t>3%</w:t>
            </w:r>
          </w:p>
        </w:tc>
        <w:tc>
          <w:tcPr>
            <w:tcW w:w="529" w:type="pct"/>
          </w:tcPr>
          <w:p w14:paraId="06F8C00D" w14:textId="77777777" w:rsidR="000A340B" w:rsidRDefault="000A340B" w:rsidP="00F87AA9">
            <w:pPr>
              <w:pStyle w:val="NoSpacing"/>
            </w:pPr>
            <w:r>
              <w:t>0%</w:t>
            </w:r>
          </w:p>
        </w:tc>
        <w:tc>
          <w:tcPr>
            <w:tcW w:w="526" w:type="pct"/>
          </w:tcPr>
          <w:p w14:paraId="0FEC6C02" w14:textId="77777777" w:rsidR="000A340B" w:rsidRDefault="000A340B" w:rsidP="00F87AA9">
            <w:pPr>
              <w:pStyle w:val="NoSpacing"/>
            </w:pPr>
            <w:r>
              <w:t>7%</w:t>
            </w:r>
          </w:p>
        </w:tc>
      </w:tr>
      <w:tr w:rsidR="000A340B" w14:paraId="66DAB962" w14:textId="77777777" w:rsidTr="00651F15">
        <w:tc>
          <w:tcPr>
            <w:tcW w:w="2779" w:type="pct"/>
          </w:tcPr>
          <w:p w14:paraId="7F428071" w14:textId="77777777" w:rsidR="000A340B" w:rsidRDefault="000A340B" w:rsidP="00F87AA9">
            <w:pPr>
              <w:pStyle w:val="NoSpacing"/>
            </w:pPr>
          </w:p>
        </w:tc>
        <w:tc>
          <w:tcPr>
            <w:tcW w:w="608" w:type="pct"/>
          </w:tcPr>
          <w:p w14:paraId="35465A6D" w14:textId="77777777" w:rsidR="000A340B" w:rsidRDefault="000A340B" w:rsidP="00F87AA9">
            <w:pPr>
              <w:pStyle w:val="NoSpacing"/>
            </w:pPr>
          </w:p>
        </w:tc>
        <w:tc>
          <w:tcPr>
            <w:tcW w:w="558" w:type="pct"/>
          </w:tcPr>
          <w:p w14:paraId="6707C650" w14:textId="77777777" w:rsidR="000A340B" w:rsidRDefault="000A340B" w:rsidP="00F87AA9">
            <w:pPr>
              <w:pStyle w:val="NoSpacing"/>
            </w:pPr>
          </w:p>
        </w:tc>
        <w:tc>
          <w:tcPr>
            <w:tcW w:w="529" w:type="pct"/>
          </w:tcPr>
          <w:p w14:paraId="304FC62D" w14:textId="77777777" w:rsidR="000A340B" w:rsidRDefault="000A340B" w:rsidP="00F87AA9">
            <w:pPr>
              <w:pStyle w:val="NoSpacing"/>
            </w:pPr>
          </w:p>
        </w:tc>
        <w:tc>
          <w:tcPr>
            <w:tcW w:w="526" w:type="pct"/>
          </w:tcPr>
          <w:p w14:paraId="7F728163" w14:textId="77777777" w:rsidR="000A340B" w:rsidRDefault="000A340B" w:rsidP="00F87AA9">
            <w:pPr>
              <w:pStyle w:val="NoSpacing"/>
            </w:pPr>
          </w:p>
        </w:tc>
      </w:tr>
    </w:tbl>
    <w:p w14:paraId="7006DFB5" w14:textId="77777777" w:rsidR="000A340B" w:rsidRPr="000A340B" w:rsidRDefault="000A340B" w:rsidP="000A340B"/>
    <w:p w14:paraId="52C10D4D" w14:textId="77777777" w:rsidR="00714E9A" w:rsidRDefault="00E57889">
      <w:pPr>
        <w:spacing w:after="160" w:line="259" w:lineRule="auto"/>
        <w:sectPr w:rsidR="00714E9A" w:rsidSect="00527F27">
          <w:pgSz w:w="11907" w:h="16839" w:code="9"/>
          <w:pgMar w:top="720" w:right="720" w:bottom="720" w:left="720" w:header="709" w:footer="709" w:gutter="0"/>
          <w:cols w:space="708"/>
          <w:docGrid w:linePitch="360"/>
        </w:sectPr>
      </w:pPr>
      <w:r>
        <w:br w:type="page"/>
      </w:r>
    </w:p>
    <w:p w14:paraId="53282833" w14:textId="77777777" w:rsidR="000E3964" w:rsidRDefault="00F87AA9" w:rsidP="00714E9A">
      <w:pPr>
        <w:pStyle w:val="Title"/>
      </w:pPr>
      <w:bookmarkStart w:id="53" w:name="_Toc76630110"/>
      <w:r>
        <w:lastRenderedPageBreak/>
        <w:t>Annex 7:  C</w:t>
      </w:r>
      <w:r w:rsidR="00641509">
        <w:t>umulative</w:t>
      </w:r>
      <w:r w:rsidR="00AA7085">
        <w:t xml:space="preserve"> Data</w:t>
      </w:r>
      <w:r>
        <w:t xml:space="preserve"> Monitoring and Evaluation Framework</w:t>
      </w:r>
      <w:bookmarkEnd w:id="53"/>
    </w:p>
    <w:tbl>
      <w:tblPr>
        <w:tblStyle w:val="GridTable5Dark"/>
        <w:tblW w:w="4736" w:type="pct"/>
        <w:tblLayout w:type="fixed"/>
        <w:tblLook w:val="0020" w:firstRow="1" w:lastRow="0" w:firstColumn="0" w:lastColumn="0" w:noHBand="0" w:noVBand="0"/>
      </w:tblPr>
      <w:tblGrid>
        <w:gridCol w:w="1260"/>
        <w:gridCol w:w="1341"/>
        <w:gridCol w:w="1082"/>
        <w:gridCol w:w="994"/>
        <w:gridCol w:w="959"/>
        <w:gridCol w:w="962"/>
        <w:gridCol w:w="790"/>
        <w:gridCol w:w="869"/>
        <w:gridCol w:w="574"/>
        <w:gridCol w:w="796"/>
        <w:gridCol w:w="831"/>
        <w:gridCol w:w="825"/>
        <w:gridCol w:w="411"/>
        <w:gridCol w:w="434"/>
        <w:gridCol w:w="294"/>
        <w:gridCol w:w="624"/>
        <w:gridCol w:w="714"/>
        <w:gridCol w:w="816"/>
      </w:tblGrid>
      <w:tr w:rsidR="00095411" w:rsidRPr="00591CBB" w14:paraId="04A67CA6" w14:textId="77777777" w:rsidTr="00051F27">
        <w:trPr>
          <w:cnfStyle w:val="100000000000" w:firstRow="1" w:lastRow="0" w:firstColumn="0" w:lastColumn="0" w:oddVBand="0" w:evenVBand="0" w:oddHBand="0" w:evenHBand="0" w:firstRowFirstColumn="0" w:firstRowLastColumn="0" w:lastRowFirstColumn="0" w:lastRowLastColumn="0"/>
          <w:trHeight w:val="871"/>
        </w:trPr>
        <w:tc>
          <w:tcPr>
            <w:cnfStyle w:val="000010000000" w:firstRow="0" w:lastRow="0" w:firstColumn="0" w:lastColumn="0" w:oddVBand="1" w:evenVBand="0" w:oddHBand="0" w:evenHBand="0" w:firstRowFirstColumn="0" w:firstRowLastColumn="0" w:lastRowFirstColumn="0" w:lastRowLastColumn="0"/>
            <w:tcW w:w="432" w:type="pct"/>
          </w:tcPr>
          <w:p w14:paraId="469B1594" w14:textId="77777777" w:rsidR="00095411" w:rsidRPr="007348FD" w:rsidRDefault="00095411" w:rsidP="00591CBB">
            <w:pPr>
              <w:spacing w:after="160" w:line="259" w:lineRule="auto"/>
              <w:rPr>
                <w:rFonts w:ascii="Arial Narrow" w:hAnsi="Arial Narrow"/>
                <w:b w:val="0"/>
                <w:bCs w:val="0"/>
                <w:sz w:val="18"/>
                <w:szCs w:val="18"/>
              </w:rPr>
            </w:pPr>
          </w:p>
        </w:tc>
        <w:tc>
          <w:tcPr>
            <w:tcW w:w="460" w:type="pct"/>
          </w:tcPr>
          <w:p w14:paraId="46979B91" w14:textId="77777777" w:rsidR="00095411" w:rsidRPr="00E4259E" w:rsidRDefault="00095411" w:rsidP="00591CBB">
            <w:pPr>
              <w:spacing w:after="160" w:line="259" w:lineRule="auto"/>
              <w:cnfStyle w:val="100000000000" w:firstRow="1" w:lastRow="0" w:firstColumn="0" w:lastColumn="0" w:oddVBand="0" w:evenVBand="0" w:oddHBand="0" w:evenHBand="0" w:firstRowFirstColumn="0" w:firstRowLastColumn="0" w:lastRowFirstColumn="0" w:lastRowLastColumn="0"/>
              <w:rPr>
                <w:rFonts w:ascii="Arial Narrow" w:hAnsi="Arial Narrow"/>
                <w:bCs w:val="0"/>
                <w:sz w:val="18"/>
                <w:szCs w:val="18"/>
              </w:rPr>
            </w:pPr>
            <w:r w:rsidRPr="00E4259E">
              <w:rPr>
                <w:rFonts w:ascii="Arial Narrow" w:hAnsi="Arial Narrow"/>
                <w:bCs w:val="0"/>
                <w:sz w:val="18"/>
                <w:szCs w:val="18"/>
              </w:rPr>
              <w:t xml:space="preserve">Indicators </w:t>
            </w:r>
          </w:p>
        </w:tc>
        <w:tc>
          <w:tcPr>
            <w:cnfStyle w:val="000010000000" w:firstRow="0" w:lastRow="0" w:firstColumn="0" w:lastColumn="0" w:oddVBand="1" w:evenVBand="0" w:oddHBand="0" w:evenHBand="0" w:firstRowFirstColumn="0" w:firstRowLastColumn="0" w:lastRowFirstColumn="0" w:lastRowLastColumn="0"/>
            <w:tcW w:w="371" w:type="pct"/>
          </w:tcPr>
          <w:p w14:paraId="4137EA7C" w14:textId="77777777" w:rsidR="00095411" w:rsidRPr="00E4259E" w:rsidRDefault="00095411" w:rsidP="00591CBB">
            <w:pPr>
              <w:spacing w:after="160" w:line="259" w:lineRule="auto"/>
              <w:rPr>
                <w:rFonts w:ascii="Arial Narrow" w:hAnsi="Arial Narrow"/>
                <w:bCs w:val="0"/>
                <w:sz w:val="18"/>
                <w:szCs w:val="18"/>
              </w:rPr>
            </w:pPr>
            <w:r w:rsidRPr="00E4259E">
              <w:rPr>
                <w:rFonts w:ascii="Arial Narrow" w:hAnsi="Arial Narrow"/>
                <w:bCs w:val="0"/>
                <w:sz w:val="18"/>
                <w:szCs w:val="18"/>
              </w:rPr>
              <w:t>Desired Trend &amp; Progression</w:t>
            </w:r>
          </w:p>
        </w:tc>
        <w:tc>
          <w:tcPr>
            <w:tcW w:w="341" w:type="pct"/>
          </w:tcPr>
          <w:p w14:paraId="192B649A" w14:textId="77777777" w:rsidR="00095411" w:rsidRPr="00E4259E" w:rsidRDefault="00095411" w:rsidP="00591CBB">
            <w:pPr>
              <w:spacing w:after="160" w:line="259" w:lineRule="auto"/>
              <w:cnfStyle w:val="100000000000" w:firstRow="1" w:lastRow="0" w:firstColumn="0" w:lastColumn="0" w:oddVBand="0" w:evenVBand="0" w:oddHBand="0" w:evenHBand="0" w:firstRowFirstColumn="0" w:firstRowLastColumn="0" w:lastRowFirstColumn="0" w:lastRowLastColumn="0"/>
              <w:rPr>
                <w:rFonts w:ascii="Arial Narrow" w:hAnsi="Arial Narrow"/>
                <w:bCs w:val="0"/>
                <w:sz w:val="18"/>
                <w:szCs w:val="18"/>
              </w:rPr>
            </w:pPr>
            <w:r w:rsidRPr="00E4259E">
              <w:rPr>
                <w:rFonts w:ascii="Arial Narrow" w:hAnsi="Arial Narrow"/>
                <w:bCs w:val="0"/>
                <w:sz w:val="18"/>
                <w:szCs w:val="18"/>
              </w:rPr>
              <w:t>Country</w:t>
            </w:r>
          </w:p>
        </w:tc>
        <w:tc>
          <w:tcPr>
            <w:cnfStyle w:val="000010000000" w:firstRow="0" w:lastRow="0" w:firstColumn="0" w:lastColumn="0" w:oddVBand="1" w:evenVBand="0" w:oddHBand="0" w:evenHBand="0" w:firstRowFirstColumn="0" w:firstRowLastColumn="0" w:lastRowFirstColumn="0" w:lastRowLastColumn="0"/>
            <w:tcW w:w="329" w:type="pct"/>
          </w:tcPr>
          <w:p w14:paraId="30BF1B59" w14:textId="77777777" w:rsidR="00095411" w:rsidRPr="00E4259E" w:rsidRDefault="00095411" w:rsidP="00591CBB">
            <w:pPr>
              <w:spacing w:after="160" w:line="259" w:lineRule="auto"/>
              <w:rPr>
                <w:rFonts w:ascii="Arial Narrow" w:hAnsi="Arial Narrow"/>
                <w:bCs w:val="0"/>
                <w:sz w:val="18"/>
                <w:szCs w:val="18"/>
              </w:rPr>
            </w:pPr>
            <w:r w:rsidRPr="00E4259E">
              <w:rPr>
                <w:rFonts w:ascii="Arial Narrow" w:hAnsi="Arial Narrow"/>
                <w:bCs w:val="0"/>
                <w:sz w:val="18"/>
                <w:szCs w:val="18"/>
              </w:rPr>
              <w:t>Status</w:t>
            </w:r>
          </w:p>
        </w:tc>
        <w:tc>
          <w:tcPr>
            <w:tcW w:w="330" w:type="pct"/>
          </w:tcPr>
          <w:p w14:paraId="2E88F009" w14:textId="77777777" w:rsidR="00095411" w:rsidRPr="00E4259E" w:rsidRDefault="00095411" w:rsidP="00591CBB">
            <w:pPr>
              <w:spacing w:after="160" w:line="259" w:lineRule="auto"/>
              <w:cnfStyle w:val="100000000000" w:firstRow="1" w:lastRow="0" w:firstColumn="0" w:lastColumn="0" w:oddVBand="0" w:evenVBand="0" w:oddHBand="0" w:evenHBand="0" w:firstRowFirstColumn="0" w:firstRowLastColumn="0" w:lastRowFirstColumn="0" w:lastRowLastColumn="0"/>
              <w:rPr>
                <w:rFonts w:ascii="Arial Narrow" w:hAnsi="Arial Narrow"/>
                <w:bCs w:val="0"/>
                <w:sz w:val="18"/>
                <w:szCs w:val="18"/>
              </w:rPr>
            </w:pPr>
            <w:r w:rsidRPr="00E4259E">
              <w:rPr>
                <w:rFonts w:ascii="Arial Narrow" w:hAnsi="Arial Narrow"/>
                <w:bCs w:val="0"/>
                <w:sz w:val="18"/>
                <w:szCs w:val="18"/>
              </w:rPr>
              <w:t>Baseline (2017 or Near)</w:t>
            </w:r>
          </w:p>
        </w:tc>
        <w:tc>
          <w:tcPr>
            <w:cnfStyle w:val="000010000000" w:firstRow="0" w:lastRow="0" w:firstColumn="0" w:lastColumn="0" w:oddVBand="1" w:evenVBand="0" w:oddHBand="0" w:evenHBand="0" w:firstRowFirstColumn="0" w:firstRowLastColumn="0" w:lastRowFirstColumn="0" w:lastRowLastColumn="0"/>
            <w:tcW w:w="271" w:type="pct"/>
          </w:tcPr>
          <w:p w14:paraId="566D66C7" w14:textId="77777777" w:rsidR="00095411" w:rsidRPr="00E4259E" w:rsidRDefault="00095411" w:rsidP="00591CBB">
            <w:pPr>
              <w:spacing w:after="160" w:line="259" w:lineRule="auto"/>
              <w:rPr>
                <w:rFonts w:ascii="Arial Narrow" w:hAnsi="Arial Narrow"/>
                <w:bCs w:val="0"/>
                <w:sz w:val="18"/>
                <w:szCs w:val="18"/>
              </w:rPr>
            </w:pPr>
            <w:r w:rsidRPr="00E4259E">
              <w:rPr>
                <w:rFonts w:ascii="Arial Narrow" w:hAnsi="Arial Narrow"/>
                <w:bCs w:val="0"/>
                <w:sz w:val="18"/>
                <w:szCs w:val="18"/>
              </w:rPr>
              <w:t>2018</w:t>
            </w:r>
          </w:p>
        </w:tc>
        <w:tc>
          <w:tcPr>
            <w:tcW w:w="298" w:type="pct"/>
          </w:tcPr>
          <w:p w14:paraId="3E0CD482" w14:textId="77777777" w:rsidR="00095411" w:rsidRPr="00E4259E" w:rsidRDefault="00095411" w:rsidP="00591CBB">
            <w:pPr>
              <w:spacing w:after="160" w:line="259" w:lineRule="auto"/>
              <w:cnfStyle w:val="100000000000" w:firstRow="1" w:lastRow="0" w:firstColumn="0" w:lastColumn="0" w:oddVBand="0" w:evenVBand="0" w:oddHBand="0" w:evenHBand="0" w:firstRowFirstColumn="0" w:firstRowLastColumn="0" w:lastRowFirstColumn="0" w:lastRowLastColumn="0"/>
              <w:rPr>
                <w:rFonts w:ascii="Arial Narrow" w:hAnsi="Arial Narrow"/>
                <w:bCs w:val="0"/>
                <w:sz w:val="18"/>
                <w:szCs w:val="18"/>
              </w:rPr>
            </w:pPr>
            <w:r w:rsidRPr="00E4259E">
              <w:rPr>
                <w:rFonts w:ascii="Arial Narrow" w:hAnsi="Arial Narrow"/>
                <w:bCs w:val="0"/>
                <w:sz w:val="18"/>
                <w:szCs w:val="18"/>
              </w:rPr>
              <w:t>2019</w:t>
            </w:r>
          </w:p>
        </w:tc>
        <w:tc>
          <w:tcPr>
            <w:cnfStyle w:val="000010000000" w:firstRow="0" w:lastRow="0" w:firstColumn="0" w:lastColumn="0" w:oddVBand="1" w:evenVBand="0" w:oddHBand="0" w:evenHBand="0" w:firstRowFirstColumn="0" w:firstRowLastColumn="0" w:lastRowFirstColumn="0" w:lastRowLastColumn="0"/>
            <w:tcW w:w="197" w:type="pct"/>
          </w:tcPr>
          <w:p w14:paraId="0D414E81" w14:textId="77777777" w:rsidR="00095411" w:rsidRPr="00E4259E" w:rsidRDefault="00095411" w:rsidP="00591CBB">
            <w:pPr>
              <w:spacing w:after="160" w:line="259" w:lineRule="auto"/>
              <w:rPr>
                <w:rFonts w:ascii="Arial Narrow" w:hAnsi="Arial Narrow"/>
                <w:bCs w:val="0"/>
                <w:sz w:val="18"/>
                <w:szCs w:val="18"/>
              </w:rPr>
            </w:pPr>
            <w:r w:rsidRPr="00E4259E">
              <w:rPr>
                <w:rFonts w:ascii="Arial Narrow" w:hAnsi="Arial Narrow"/>
                <w:bCs w:val="0"/>
                <w:sz w:val="18"/>
                <w:szCs w:val="18"/>
              </w:rPr>
              <w:t>2020 Q1&amp;2 only</w:t>
            </w:r>
          </w:p>
        </w:tc>
        <w:tc>
          <w:tcPr>
            <w:tcW w:w="273" w:type="pct"/>
          </w:tcPr>
          <w:p w14:paraId="1D6D6516" w14:textId="77777777" w:rsidR="00095411" w:rsidRPr="00E4259E" w:rsidRDefault="00095411" w:rsidP="00591CBB">
            <w:pPr>
              <w:spacing w:after="160" w:line="259" w:lineRule="auto"/>
              <w:cnfStyle w:val="100000000000" w:firstRow="1" w:lastRow="0" w:firstColumn="0" w:lastColumn="0" w:oddVBand="0" w:evenVBand="0" w:oddHBand="0" w:evenHBand="0" w:firstRowFirstColumn="0" w:firstRowLastColumn="0" w:lastRowFirstColumn="0" w:lastRowLastColumn="0"/>
              <w:rPr>
                <w:rFonts w:ascii="Arial Narrow" w:hAnsi="Arial Narrow"/>
                <w:bCs w:val="0"/>
                <w:sz w:val="18"/>
                <w:szCs w:val="18"/>
              </w:rPr>
            </w:pPr>
            <w:r w:rsidRPr="00E4259E">
              <w:rPr>
                <w:rFonts w:ascii="Arial Narrow" w:hAnsi="Arial Narrow"/>
                <w:bCs w:val="0"/>
                <w:sz w:val="18"/>
                <w:szCs w:val="18"/>
              </w:rPr>
              <w:t>Year-to-Date</w:t>
            </w:r>
          </w:p>
        </w:tc>
        <w:tc>
          <w:tcPr>
            <w:cnfStyle w:val="000010000000" w:firstRow="0" w:lastRow="0" w:firstColumn="0" w:lastColumn="0" w:oddVBand="1" w:evenVBand="0" w:oddHBand="0" w:evenHBand="0" w:firstRowFirstColumn="0" w:firstRowLastColumn="0" w:lastRowFirstColumn="0" w:lastRowLastColumn="0"/>
            <w:tcW w:w="285" w:type="pct"/>
          </w:tcPr>
          <w:p w14:paraId="08CBB5A4" w14:textId="77777777" w:rsidR="00095411" w:rsidRPr="00E4259E" w:rsidRDefault="00095411" w:rsidP="00591CBB">
            <w:pPr>
              <w:spacing w:after="160" w:line="259" w:lineRule="auto"/>
              <w:rPr>
                <w:rFonts w:ascii="Arial Narrow" w:hAnsi="Arial Narrow"/>
                <w:bCs w:val="0"/>
                <w:sz w:val="18"/>
                <w:szCs w:val="18"/>
              </w:rPr>
            </w:pPr>
            <w:r w:rsidRPr="00E4259E">
              <w:rPr>
                <w:rFonts w:ascii="Arial Narrow" w:hAnsi="Arial Narrow"/>
                <w:bCs w:val="0"/>
                <w:sz w:val="18"/>
                <w:szCs w:val="18"/>
              </w:rPr>
              <w:t>%</w:t>
            </w:r>
          </w:p>
        </w:tc>
        <w:tc>
          <w:tcPr>
            <w:tcW w:w="283" w:type="pct"/>
          </w:tcPr>
          <w:p w14:paraId="1CB8293A" w14:textId="77777777" w:rsidR="00095411" w:rsidRPr="00E4259E" w:rsidRDefault="00095411" w:rsidP="00591CBB">
            <w:pPr>
              <w:spacing w:after="160" w:line="259" w:lineRule="auto"/>
              <w:cnfStyle w:val="100000000000" w:firstRow="1" w:lastRow="0" w:firstColumn="0" w:lastColumn="0" w:oddVBand="0" w:evenVBand="0" w:oddHBand="0" w:evenHBand="0" w:firstRowFirstColumn="0" w:firstRowLastColumn="0" w:lastRowFirstColumn="0" w:lastRowLastColumn="0"/>
              <w:rPr>
                <w:rFonts w:ascii="Arial Narrow" w:hAnsi="Arial Narrow"/>
                <w:bCs w:val="0"/>
                <w:sz w:val="18"/>
                <w:szCs w:val="18"/>
              </w:rPr>
            </w:pPr>
            <w:r w:rsidRPr="00E4259E">
              <w:rPr>
                <w:rFonts w:ascii="Arial Narrow" w:hAnsi="Arial Narrow"/>
                <w:bCs w:val="0"/>
                <w:sz w:val="18"/>
                <w:szCs w:val="18"/>
              </w:rPr>
              <w:t>Rated Progress</w:t>
            </w:r>
          </w:p>
        </w:tc>
        <w:tc>
          <w:tcPr>
            <w:cnfStyle w:val="000010000000" w:firstRow="0" w:lastRow="0" w:firstColumn="0" w:lastColumn="0" w:oddVBand="1" w:evenVBand="0" w:oddHBand="0" w:evenHBand="0" w:firstRowFirstColumn="0" w:firstRowLastColumn="0" w:lastRowFirstColumn="0" w:lastRowLastColumn="0"/>
            <w:tcW w:w="141" w:type="pct"/>
          </w:tcPr>
          <w:p w14:paraId="739D5FD4" w14:textId="076DDCB1" w:rsidR="00095411" w:rsidRPr="00E4259E" w:rsidRDefault="00095411" w:rsidP="00591CBB">
            <w:pPr>
              <w:spacing w:after="160" w:line="259" w:lineRule="auto"/>
              <w:rPr>
                <w:rFonts w:ascii="Arial Narrow" w:hAnsi="Arial Narrow"/>
                <w:b w:val="0"/>
                <w:sz w:val="18"/>
                <w:szCs w:val="18"/>
              </w:rPr>
            </w:pPr>
          </w:p>
        </w:tc>
        <w:tc>
          <w:tcPr>
            <w:tcW w:w="149" w:type="pct"/>
          </w:tcPr>
          <w:p w14:paraId="1E6AEF5F" w14:textId="77777777" w:rsidR="00095411" w:rsidRPr="00E4259E" w:rsidRDefault="00095411" w:rsidP="00591CBB">
            <w:pPr>
              <w:spacing w:after="160" w:line="259" w:lineRule="auto"/>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A041459" w14:textId="38548B25" w:rsidR="00095411" w:rsidRPr="00E4259E" w:rsidRDefault="00095411" w:rsidP="00591CBB">
            <w:pPr>
              <w:spacing w:after="160" w:line="259" w:lineRule="auto"/>
              <w:rPr>
                <w:rFonts w:ascii="Arial Narrow" w:hAnsi="Arial Narrow"/>
                <w:bCs w:val="0"/>
                <w:sz w:val="18"/>
                <w:szCs w:val="18"/>
              </w:rPr>
            </w:pPr>
          </w:p>
        </w:tc>
        <w:tc>
          <w:tcPr>
            <w:tcW w:w="214" w:type="pct"/>
          </w:tcPr>
          <w:p w14:paraId="598D3D8C" w14:textId="77777777" w:rsidR="00095411" w:rsidRPr="00E4259E" w:rsidRDefault="00095411" w:rsidP="00591CBB">
            <w:pPr>
              <w:spacing w:after="160" w:line="259" w:lineRule="auto"/>
              <w:cnfStyle w:val="100000000000" w:firstRow="1" w:lastRow="0" w:firstColumn="0" w:lastColumn="0" w:oddVBand="0" w:evenVBand="0" w:oddHBand="0" w:evenHBand="0" w:firstRowFirstColumn="0" w:firstRowLastColumn="0" w:lastRowFirstColumn="0" w:lastRowLastColumn="0"/>
              <w:rPr>
                <w:rFonts w:ascii="Arial Narrow" w:hAnsi="Arial Narrow"/>
                <w:bCs w:val="0"/>
                <w:sz w:val="18"/>
                <w:szCs w:val="18"/>
              </w:rPr>
            </w:pPr>
            <w:r w:rsidRPr="00E4259E">
              <w:rPr>
                <w:rFonts w:ascii="Arial Narrow" w:hAnsi="Arial Narrow"/>
                <w:bCs w:val="0"/>
                <w:sz w:val="18"/>
                <w:szCs w:val="18"/>
              </w:rPr>
              <w:t>2020</w:t>
            </w:r>
          </w:p>
        </w:tc>
        <w:tc>
          <w:tcPr>
            <w:cnfStyle w:val="000010000000" w:firstRow="0" w:lastRow="0" w:firstColumn="0" w:lastColumn="0" w:oddVBand="1" w:evenVBand="0" w:oddHBand="0" w:evenHBand="0" w:firstRowFirstColumn="0" w:firstRowLastColumn="0" w:lastRowFirstColumn="0" w:lastRowLastColumn="0"/>
            <w:tcW w:w="245" w:type="pct"/>
          </w:tcPr>
          <w:p w14:paraId="1A7F0BF0" w14:textId="77777777" w:rsidR="00095411" w:rsidRPr="00E4259E" w:rsidRDefault="00095411" w:rsidP="00591CBB">
            <w:pPr>
              <w:spacing w:after="160" w:line="259" w:lineRule="auto"/>
              <w:rPr>
                <w:rFonts w:ascii="Arial Narrow" w:hAnsi="Arial Narrow"/>
                <w:bCs w:val="0"/>
                <w:sz w:val="18"/>
                <w:szCs w:val="18"/>
              </w:rPr>
            </w:pPr>
            <w:r w:rsidRPr="00E4259E">
              <w:rPr>
                <w:rFonts w:ascii="Arial Narrow" w:hAnsi="Arial Narrow"/>
                <w:bCs w:val="0"/>
                <w:sz w:val="18"/>
                <w:szCs w:val="18"/>
              </w:rPr>
              <w:t>2021</w:t>
            </w:r>
          </w:p>
        </w:tc>
        <w:tc>
          <w:tcPr>
            <w:tcW w:w="280" w:type="pct"/>
          </w:tcPr>
          <w:p w14:paraId="44D2DFD1" w14:textId="1F48CB20" w:rsidR="00095411" w:rsidRPr="00E4259E" w:rsidRDefault="00095411" w:rsidP="00591CBB">
            <w:pPr>
              <w:spacing w:after="160" w:line="259" w:lineRule="auto"/>
              <w:cnfStyle w:val="100000000000" w:firstRow="1" w:lastRow="0" w:firstColumn="0" w:lastColumn="0" w:oddVBand="0" w:evenVBand="0" w:oddHBand="0" w:evenHBand="0" w:firstRowFirstColumn="0" w:firstRowLastColumn="0" w:lastRowFirstColumn="0" w:lastRowLastColumn="0"/>
              <w:rPr>
                <w:rFonts w:ascii="Arial Narrow" w:hAnsi="Arial Narrow"/>
                <w:bCs w:val="0"/>
                <w:sz w:val="18"/>
                <w:szCs w:val="18"/>
              </w:rPr>
            </w:pPr>
            <w:r>
              <w:rPr>
                <w:rFonts w:ascii="Arial Narrow" w:hAnsi="Arial Narrow"/>
                <w:bCs w:val="0"/>
                <w:sz w:val="18"/>
                <w:szCs w:val="18"/>
              </w:rPr>
              <w:t>2022</w:t>
            </w:r>
          </w:p>
        </w:tc>
      </w:tr>
      <w:tr w:rsidR="00095411" w:rsidRPr="00591CBB" w14:paraId="4EB714D6" w14:textId="77777777" w:rsidTr="00051F27">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432" w:type="pct"/>
          </w:tcPr>
          <w:p w14:paraId="02088EA0" w14:textId="77777777" w:rsidR="00095411" w:rsidRPr="007348FD" w:rsidRDefault="00095411" w:rsidP="00591CBB">
            <w:pPr>
              <w:spacing w:after="160" w:line="259" w:lineRule="auto"/>
              <w:rPr>
                <w:rFonts w:ascii="Arial Narrow" w:hAnsi="Arial Narrow"/>
                <w:b/>
                <w:bCs/>
                <w:sz w:val="18"/>
                <w:szCs w:val="18"/>
              </w:rPr>
            </w:pPr>
          </w:p>
        </w:tc>
        <w:tc>
          <w:tcPr>
            <w:tcW w:w="460" w:type="pct"/>
          </w:tcPr>
          <w:p w14:paraId="1D544AF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5CBEFF2"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BC0F31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743A09C6" w14:textId="77777777" w:rsidR="00095411" w:rsidRPr="007348FD" w:rsidRDefault="00095411" w:rsidP="00591CBB">
            <w:pPr>
              <w:spacing w:after="160" w:line="259" w:lineRule="auto"/>
              <w:rPr>
                <w:rFonts w:ascii="Arial Narrow" w:hAnsi="Arial Narrow"/>
                <w:b/>
                <w:bCs/>
                <w:sz w:val="18"/>
                <w:szCs w:val="18"/>
              </w:rPr>
            </w:pPr>
          </w:p>
        </w:tc>
        <w:tc>
          <w:tcPr>
            <w:tcW w:w="330" w:type="pct"/>
          </w:tcPr>
          <w:p w14:paraId="7195E40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1E596DA8" w14:textId="77777777" w:rsidR="00095411" w:rsidRPr="007348FD" w:rsidRDefault="00095411" w:rsidP="00591CBB">
            <w:pPr>
              <w:spacing w:after="160" w:line="259" w:lineRule="auto"/>
              <w:rPr>
                <w:rFonts w:ascii="Arial Narrow" w:hAnsi="Arial Narrow"/>
                <w:b/>
                <w:bCs/>
                <w:sz w:val="18"/>
                <w:szCs w:val="18"/>
              </w:rPr>
            </w:pPr>
          </w:p>
        </w:tc>
        <w:tc>
          <w:tcPr>
            <w:tcW w:w="298" w:type="pct"/>
          </w:tcPr>
          <w:p w14:paraId="67D097C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197" w:type="pct"/>
          </w:tcPr>
          <w:p w14:paraId="485B8DA7" w14:textId="77777777" w:rsidR="00095411" w:rsidRPr="007348FD" w:rsidRDefault="00095411" w:rsidP="00591CBB">
            <w:pPr>
              <w:spacing w:after="160" w:line="259" w:lineRule="auto"/>
              <w:rPr>
                <w:rFonts w:ascii="Arial Narrow" w:hAnsi="Arial Narrow"/>
                <w:b/>
                <w:bCs/>
                <w:sz w:val="18"/>
                <w:szCs w:val="18"/>
              </w:rPr>
            </w:pPr>
          </w:p>
        </w:tc>
        <w:tc>
          <w:tcPr>
            <w:tcW w:w="273" w:type="pct"/>
          </w:tcPr>
          <w:p w14:paraId="7B5609C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EC1BD0F" w14:textId="77777777" w:rsidR="00095411" w:rsidRPr="007348FD" w:rsidRDefault="00095411" w:rsidP="00591CBB">
            <w:pPr>
              <w:spacing w:after="160" w:line="259" w:lineRule="auto"/>
              <w:rPr>
                <w:rFonts w:ascii="Arial Narrow" w:hAnsi="Arial Narrow"/>
                <w:b/>
                <w:bCs/>
                <w:sz w:val="18"/>
                <w:szCs w:val="18"/>
              </w:rPr>
            </w:pPr>
          </w:p>
        </w:tc>
        <w:tc>
          <w:tcPr>
            <w:tcW w:w="283" w:type="pct"/>
          </w:tcPr>
          <w:p w14:paraId="597EB0E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C55808E" w14:textId="77777777" w:rsidR="00095411" w:rsidRPr="007348FD" w:rsidRDefault="00095411" w:rsidP="00591CBB">
            <w:pPr>
              <w:spacing w:after="160" w:line="259" w:lineRule="auto"/>
              <w:rPr>
                <w:rFonts w:ascii="Arial Narrow" w:hAnsi="Arial Narrow"/>
                <w:b/>
                <w:bCs/>
                <w:sz w:val="18"/>
                <w:szCs w:val="18"/>
              </w:rPr>
            </w:pPr>
          </w:p>
        </w:tc>
        <w:tc>
          <w:tcPr>
            <w:tcW w:w="149" w:type="pct"/>
          </w:tcPr>
          <w:p w14:paraId="2731C45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B462814" w14:textId="77777777" w:rsidR="00095411" w:rsidRPr="007348FD" w:rsidRDefault="00095411" w:rsidP="00591CBB">
            <w:pPr>
              <w:spacing w:after="160" w:line="259" w:lineRule="auto"/>
              <w:rPr>
                <w:rFonts w:ascii="Arial Narrow" w:hAnsi="Arial Narrow"/>
                <w:b/>
                <w:bCs/>
                <w:sz w:val="18"/>
                <w:szCs w:val="18"/>
              </w:rPr>
            </w:pPr>
          </w:p>
        </w:tc>
        <w:tc>
          <w:tcPr>
            <w:tcW w:w="214" w:type="pct"/>
          </w:tcPr>
          <w:p w14:paraId="0D7C656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7849F31B" w14:textId="77777777" w:rsidR="00095411" w:rsidRPr="007348FD" w:rsidRDefault="00095411" w:rsidP="00591CBB">
            <w:pPr>
              <w:spacing w:after="160" w:line="259" w:lineRule="auto"/>
              <w:rPr>
                <w:rFonts w:ascii="Arial Narrow" w:hAnsi="Arial Narrow"/>
                <w:b/>
                <w:bCs/>
                <w:sz w:val="18"/>
                <w:szCs w:val="18"/>
              </w:rPr>
            </w:pPr>
          </w:p>
        </w:tc>
        <w:tc>
          <w:tcPr>
            <w:tcW w:w="280" w:type="pct"/>
          </w:tcPr>
          <w:p w14:paraId="1F39A47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r>
      <w:tr w:rsidR="00095411" w:rsidRPr="00591CBB" w14:paraId="2F833051" w14:textId="77777777" w:rsidTr="00051F27">
        <w:trPr>
          <w:trHeight w:val="2177"/>
        </w:trPr>
        <w:tc>
          <w:tcPr>
            <w:cnfStyle w:val="000010000000" w:firstRow="0" w:lastRow="0" w:firstColumn="0" w:lastColumn="0" w:oddVBand="1" w:evenVBand="0" w:oddHBand="0" w:evenHBand="0" w:firstRowFirstColumn="0" w:firstRowLastColumn="0" w:lastRowFirstColumn="0" w:lastRowLastColumn="0"/>
            <w:tcW w:w="432" w:type="pct"/>
          </w:tcPr>
          <w:p w14:paraId="60A7268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b/>
                <w:bCs/>
                <w:sz w:val="18"/>
                <w:szCs w:val="18"/>
              </w:rPr>
              <w:t xml:space="preserve">Programme Goal: </w:t>
            </w:r>
          </w:p>
          <w:p w14:paraId="077D6874" w14:textId="77777777" w:rsidR="00095411" w:rsidRPr="007348FD" w:rsidRDefault="00095411" w:rsidP="00591CBB">
            <w:pPr>
              <w:spacing w:after="160" w:line="259" w:lineRule="auto"/>
              <w:rPr>
                <w:rFonts w:ascii="Arial Narrow" w:hAnsi="Arial Narrow"/>
                <w:sz w:val="18"/>
                <w:szCs w:val="18"/>
              </w:rPr>
            </w:pPr>
            <w:r>
              <w:rPr>
                <w:rFonts w:ascii="Arial Narrow" w:hAnsi="Arial Narrow"/>
                <w:sz w:val="18"/>
                <w:szCs w:val="18"/>
              </w:rPr>
              <w:t>T</w:t>
            </w:r>
            <w:r w:rsidRPr="007348FD">
              <w:rPr>
                <w:rFonts w:ascii="Arial Narrow" w:hAnsi="Arial Narrow"/>
                <w:sz w:val="18"/>
                <w:szCs w:val="18"/>
              </w:rPr>
              <w:t>ransformative change in the lives of women, adolescents and youth across the Pacific by 2022</w:t>
            </w:r>
          </w:p>
        </w:tc>
        <w:tc>
          <w:tcPr>
            <w:tcW w:w="460" w:type="pct"/>
          </w:tcPr>
          <w:p w14:paraId="711CDD1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 Number of unintended pregnancies averted</w:t>
            </w:r>
          </w:p>
        </w:tc>
        <w:tc>
          <w:tcPr>
            <w:cnfStyle w:val="000010000000" w:firstRow="0" w:lastRow="0" w:firstColumn="0" w:lastColumn="0" w:oddVBand="1" w:evenVBand="0" w:oddHBand="0" w:evenHBand="0" w:firstRowFirstColumn="0" w:firstRowLastColumn="0" w:lastRowFirstColumn="0" w:lastRowLastColumn="0"/>
            <w:tcW w:w="371" w:type="pct"/>
          </w:tcPr>
          <w:p w14:paraId="7B5AA8F9"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t>ø</w:t>
            </w:r>
          </w:p>
        </w:tc>
        <w:tc>
          <w:tcPr>
            <w:tcW w:w="341" w:type="pct"/>
          </w:tcPr>
          <w:p w14:paraId="60114EC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1307AE3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8B334D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12499</w:t>
            </w:r>
          </w:p>
        </w:tc>
        <w:tc>
          <w:tcPr>
            <w:cnfStyle w:val="000010000000" w:firstRow="0" w:lastRow="0" w:firstColumn="0" w:lastColumn="0" w:oddVBand="1" w:evenVBand="0" w:oddHBand="0" w:evenHBand="0" w:firstRowFirstColumn="0" w:firstRowLastColumn="0" w:lastRowFirstColumn="0" w:lastRowLastColumn="0"/>
            <w:tcW w:w="271" w:type="pct"/>
          </w:tcPr>
          <w:p w14:paraId="7E000E0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10877</w:t>
            </w:r>
          </w:p>
        </w:tc>
        <w:tc>
          <w:tcPr>
            <w:tcW w:w="298" w:type="pct"/>
          </w:tcPr>
          <w:p w14:paraId="6326F32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14599</w:t>
            </w:r>
          </w:p>
        </w:tc>
        <w:tc>
          <w:tcPr>
            <w:cnfStyle w:val="000010000000" w:firstRow="0" w:lastRow="0" w:firstColumn="0" w:lastColumn="0" w:oddVBand="1" w:evenVBand="0" w:oddHBand="0" w:evenHBand="0" w:firstRowFirstColumn="0" w:firstRowLastColumn="0" w:lastRowFirstColumn="0" w:lastRowLastColumn="0"/>
            <w:tcW w:w="197" w:type="pct"/>
          </w:tcPr>
          <w:p w14:paraId="684B7D2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8950</w:t>
            </w:r>
          </w:p>
        </w:tc>
        <w:tc>
          <w:tcPr>
            <w:tcW w:w="273" w:type="pct"/>
          </w:tcPr>
          <w:p w14:paraId="330E2F4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34,426</w:t>
            </w:r>
          </w:p>
        </w:tc>
        <w:tc>
          <w:tcPr>
            <w:cnfStyle w:val="000010000000" w:firstRow="0" w:lastRow="0" w:firstColumn="0" w:lastColumn="0" w:oddVBand="1" w:evenVBand="0" w:oddHBand="0" w:evenHBand="0" w:firstRowFirstColumn="0" w:firstRowLastColumn="0" w:lastRowFirstColumn="0" w:lastRowLastColumn="0"/>
            <w:tcW w:w="285" w:type="pct"/>
          </w:tcPr>
          <w:p w14:paraId="42383093" w14:textId="77777777" w:rsidR="00095411" w:rsidRPr="007348FD" w:rsidRDefault="00095411" w:rsidP="00591CBB">
            <w:pPr>
              <w:spacing w:after="160" w:line="259" w:lineRule="auto"/>
              <w:rPr>
                <w:rFonts w:ascii="Arial Narrow" w:hAnsi="Arial Narrow"/>
                <w:sz w:val="18"/>
                <w:szCs w:val="18"/>
              </w:rPr>
            </w:pPr>
          </w:p>
        </w:tc>
        <w:tc>
          <w:tcPr>
            <w:tcW w:w="283" w:type="pct"/>
          </w:tcPr>
          <w:p w14:paraId="00AC4E5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D456E3D" w14:textId="77777777" w:rsidR="00095411" w:rsidRPr="007348FD" w:rsidRDefault="00095411" w:rsidP="00591CBB">
            <w:pPr>
              <w:spacing w:after="160" w:line="259" w:lineRule="auto"/>
              <w:rPr>
                <w:rFonts w:ascii="Arial Narrow" w:hAnsi="Arial Narrow"/>
                <w:sz w:val="18"/>
                <w:szCs w:val="18"/>
              </w:rPr>
            </w:pPr>
          </w:p>
        </w:tc>
        <w:tc>
          <w:tcPr>
            <w:tcW w:w="149" w:type="pct"/>
          </w:tcPr>
          <w:p w14:paraId="1BA2FAD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67D1571" w14:textId="77777777" w:rsidR="00095411" w:rsidRPr="007348FD" w:rsidRDefault="00095411" w:rsidP="00591CBB">
            <w:pPr>
              <w:spacing w:after="160" w:line="259" w:lineRule="auto"/>
              <w:rPr>
                <w:rFonts w:ascii="Arial Narrow" w:hAnsi="Arial Narrow"/>
                <w:sz w:val="18"/>
                <w:szCs w:val="18"/>
              </w:rPr>
            </w:pPr>
          </w:p>
        </w:tc>
        <w:tc>
          <w:tcPr>
            <w:tcW w:w="214" w:type="pct"/>
          </w:tcPr>
          <w:p w14:paraId="17AC710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17900</w:t>
            </w:r>
          </w:p>
        </w:tc>
        <w:tc>
          <w:tcPr>
            <w:cnfStyle w:val="000010000000" w:firstRow="0" w:lastRow="0" w:firstColumn="0" w:lastColumn="0" w:oddVBand="1" w:evenVBand="0" w:oddHBand="0" w:evenHBand="0" w:firstRowFirstColumn="0" w:firstRowLastColumn="0" w:lastRowFirstColumn="0" w:lastRowLastColumn="0"/>
            <w:tcW w:w="245" w:type="pct"/>
          </w:tcPr>
          <w:p w14:paraId="4D78353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18950</w:t>
            </w:r>
          </w:p>
        </w:tc>
        <w:tc>
          <w:tcPr>
            <w:tcW w:w="280" w:type="pct"/>
          </w:tcPr>
          <w:p w14:paraId="176486FF" w14:textId="53B41B30"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20942</w:t>
            </w:r>
          </w:p>
        </w:tc>
      </w:tr>
      <w:tr w:rsidR="00095411" w:rsidRPr="00591CBB" w14:paraId="025F9FE9" w14:textId="77777777" w:rsidTr="00051F27">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432" w:type="pct"/>
          </w:tcPr>
          <w:p w14:paraId="56E169E4" w14:textId="77777777" w:rsidR="00095411" w:rsidRPr="007348FD" w:rsidRDefault="00095411" w:rsidP="00591CBB">
            <w:pPr>
              <w:spacing w:after="160" w:line="259" w:lineRule="auto"/>
              <w:rPr>
                <w:rFonts w:ascii="Arial Narrow" w:hAnsi="Arial Narrow"/>
                <w:sz w:val="18"/>
                <w:szCs w:val="18"/>
              </w:rPr>
            </w:pPr>
          </w:p>
        </w:tc>
        <w:tc>
          <w:tcPr>
            <w:tcW w:w="460" w:type="pct"/>
          </w:tcPr>
          <w:p w14:paraId="20A8413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1D9EE2F"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09364C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18F03A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268D2A0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5718</w:t>
            </w:r>
          </w:p>
        </w:tc>
        <w:tc>
          <w:tcPr>
            <w:cnfStyle w:val="000010000000" w:firstRow="0" w:lastRow="0" w:firstColumn="0" w:lastColumn="0" w:oddVBand="1" w:evenVBand="0" w:oddHBand="0" w:evenHBand="0" w:firstRowFirstColumn="0" w:firstRowLastColumn="0" w:lastRowFirstColumn="0" w:lastRowLastColumn="0"/>
            <w:tcW w:w="271" w:type="pct"/>
          </w:tcPr>
          <w:p w14:paraId="109296D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10877</w:t>
            </w:r>
          </w:p>
        </w:tc>
        <w:tc>
          <w:tcPr>
            <w:tcW w:w="298" w:type="pct"/>
          </w:tcPr>
          <w:p w14:paraId="62B10AA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24162</w:t>
            </w:r>
          </w:p>
        </w:tc>
        <w:tc>
          <w:tcPr>
            <w:cnfStyle w:val="000010000000" w:firstRow="0" w:lastRow="0" w:firstColumn="0" w:lastColumn="0" w:oddVBand="1" w:evenVBand="0" w:oddHBand="0" w:evenHBand="0" w:firstRowFirstColumn="0" w:firstRowLastColumn="0" w:lastRowFirstColumn="0" w:lastRowLastColumn="0"/>
            <w:tcW w:w="197" w:type="pct"/>
          </w:tcPr>
          <w:p w14:paraId="3CF24EA8" w14:textId="77777777" w:rsidR="00095411" w:rsidRPr="007348FD" w:rsidRDefault="00095411" w:rsidP="00591CBB">
            <w:pPr>
              <w:spacing w:after="160" w:line="259" w:lineRule="auto"/>
              <w:rPr>
                <w:rFonts w:ascii="Arial Narrow" w:hAnsi="Arial Narrow"/>
                <w:sz w:val="18"/>
                <w:szCs w:val="18"/>
              </w:rPr>
            </w:pPr>
          </w:p>
        </w:tc>
        <w:tc>
          <w:tcPr>
            <w:tcW w:w="273" w:type="pct"/>
          </w:tcPr>
          <w:p w14:paraId="36C0606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35,039</w:t>
            </w:r>
          </w:p>
        </w:tc>
        <w:tc>
          <w:tcPr>
            <w:cnfStyle w:val="000010000000" w:firstRow="0" w:lastRow="0" w:firstColumn="0" w:lastColumn="0" w:oddVBand="1" w:evenVBand="0" w:oddHBand="0" w:evenHBand="0" w:firstRowFirstColumn="0" w:firstRowLastColumn="0" w:lastRowFirstColumn="0" w:lastRowLastColumn="0"/>
            <w:tcW w:w="285" w:type="pct"/>
          </w:tcPr>
          <w:p w14:paraId="0D3EC29C" w14:textId="77777777" w:rsidR="00095411" w:rsidRPr="007348FD" w:rsidRDefault="00095411" w:rsidP="00591CBB">
            <w:pPr>
              <w:spacing w:after="160" w:line="259" w:lineRule="auto"/>
              <w:rPr>
                <w:rFonts w:ascii="Arial Narrow" w:hAnsi="Arial Narrow"/>
                <w:sz w:val="18"/>
                <w:szCs w:val="18"/>
              </w:rPr>
            </w:pPr>
          </w:p>
        </w:tc>
        <w:tc>
          <w:tcPr>
            <w:tcW w:w="283" w:type="pct"/>
          </w:tcPr>
          <w:p w14:paraId="3BBC8BD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4B4CFD7C" w14:textId="77777777" w:rsidR="00095411" w:rsidRPr="007348FD" w:rsidRDefault="00095411" w:rsidP="00591CBB">
            <w:pPr>
              <w:spacing w:after="160" w:line="259" w:lineRule="auto"/>
              <w:rPr>
                <w:rFonts w:ascii="Arial Narrow" w:hAnsi="Arial Narrow"/>
                <w:sz w:val="18"/>
                <w:szCs w:val="18"/>
              </w:rPr>
            </w:pPr>
          </w:p>
        </w:tc>
        <w:tc>
          <w:tcPr>
            <w:tcW w:w="149" w:type="pct"/>
          </w:tcPr>
          <w:p w14:paraId="63A5641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AFDFC0E" w14:textId="77777777" w:rsidR="00095411" w:rsidRPr="007348FD" w:rsidRDefault="00095411" w:rsidP="00591CBB">
            <w:pPr>
              <w:spacing w:after="160" w:line="259" w:lineRule="auto"/>
              <w:rPr>
                <w:rFonts w:ascii="Arial Narrow" w:hAnsi="Arial Narrow"/>
                <w:sz w:val="18"/>
                <w:szCs w:val="18"/>
              </w:rPr>
            </w:pPr>
          </w:p>
        </w:tc>
        <w:tc>
          <w:tcPr>
            <w:tcW w:w="214" w:type="pct"/>
          </w:tcPr>
          <w:p w14:paraId="5CBB914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22C15C16" w14:textId="77777777" w:rsidR="00095411" w:rsidRPr="007348FD" w:rsidRDefault="00095411" w:rsidP="00591CBB">
            <w:pPr>
              <w:spacing w:after="160" w:line="259" w:lineRule="auto"/>
              <w:rPr>
                <w:rFonts w:ascii="Arial Narrow" w:hAnsi="Arial Narrow"/>
                <w:sz w:val="18"/>
                <w:szCs w:val="18"/>
              </w:rPr>
            </w:pPr>
          </w:p>
        </w:tc>
        <w:tc>
          <w:tcPr>
            <w:tcW w:w="280" w:type="pct"/>
          </w:tcPr>
          <w:p w14:paraId="1DEA626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4C8A33B3"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298666AB" w14:textId="77777777" w:rsidR="00095411" w:rsidRPr="007348FD" w:rsidRDefault="00095411" w:rsidP="00591CBB">
            <w:pPr>
              <w:spacing w:after="160" w:line="259" w:lineRule="auto"/>
              <w:rPr>
                <w:rFonts w:ascii="Arial Narrow" w:hAnsi="Arial Narrow"/>
                <w:sz w:val="18"/>
                <w:szCs w:val="18"/>
              </w:rPr>
            </w:pPr>
          </w:p>
        </w:tc>
        <w:tc>
          <w:tcPr>
            <w:tcW w:w="460" w:type="pct"/>
          </w:tcPr>
          <w:p w14:paraId="241D6A5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7866421"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9BC008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5C6C4FB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23C280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1599</w:t>
            </w:r>
          </w:p>
        </w:tc>
        <w:tc>
          <w:tcPr>
            <w:cnfStyle w:val="000010000000" w:firstRow="0" w:lastRow="0" w:firstColumn="0" w:lastColumn="0" w:oddVBand="1" w:evenVBand="0" w:oddHBand="0" w:evenHBand="0" w:firstRowFirstColumn="0" w:firstRowLastColumn="0" w:lastRowFirstColumn="0" w:lastRowLastColumn="0"/>
            <w:tcW w:w="271" w:type="pct"/>
          </w:tcPr>
          <w:p w14:paraId="18D885F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4457</w:t>
            </w:r>
          </w:p>
        </w:tc>
        <w:tc>
          <w:tcPr>
            <w:tcW w:w="298" w:type="pct"/>
          </w:tcPr>
          <w:p w14:paraId="4598EE8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7310</w:t>
            </w:r>
          </w:p>
        </w:tc>
        <w:tc>
          <w:tcPr>
            <w:cnfStyle w:val="000010000000" w:firstRow="0" w:lastRow="0" w:firstColumn="0" w:lastColumn="0" w:oddVBand="1" w:evenVBand="0" w:oddHBand="0" w:evenHBand="0" w:firstRowFirstColumn="0" w:firstRowLastColumn="0" w:lastRowFirstColumn="0" w:lastRowLastColumn="0"/>
            <w:tcW w:w="197" w:type="pct"/>
          </w:tcPr>
          <w:p w14:paraId="1703DD6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5083</w:t>
            </w:r>
          </w:p>
        </w:tc>
        <w:tc>
          <w:tcPr>
            <w:tcW w:w="273" w:type="pct"/>
          </w:tcPr>
          <w:p w14:paraId="0A50A36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16,850</w:t>
            </w:r>
          </w:p>
        </w:tc>
        <w:tc>
          <w:tcPr>
            <w:cnfStyle w:val="000010000000" w:firstRow="0" w:lastRow="0" w:firstColumn="0" w:lastColumn="0" w:oddVBand="1" w:evenVBand="0" w:oddHBand="0" w:evenHBand="0" w:firstRowFirstColumn="0" w:firstRowLastColumn="0" w:lastRowFirstColumn="0" w:lastRowLastColumn="0"/>
            <w:tcW w:w="285" w:type="pct"/>
          </w:tcPr>
          <w:p w14:paraId="5298DBF0" w14:textId="77777777" w:rsidR="00095411" w:rsidRPr="007348FD" w:rsidRDefault="00095411" w:rsidP="00591CBB">
            <w:pPr>
              <w:spacing w:after="160" w:line="259" w:lineRule="auto"/>
              <w:rPr>
                <w:rFonts w:ascii="Arial Narrow" w:hAnsi="Arial Narrow"/>
                <w:sz w:val="18"/>
                <w:szCs w:val="18"/>
              </w:rPr>
            </w:pPr>
          </w:p>
        </w:tc>
        <w:tc>
          <w:tcPr>
            <w:tcW w:w="283" w:type="pct"/>
          </w:tcPr>
          <w:p w14:paraId="4D3A714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617E078" w14:textId="77777777" w:rsidR="00095411" w:rsidRPr="007348FD" w:rsidRDefault="00095411" w:rsidP="00591CBB">
            <w:pPr>
              <w:spacing w:after="160" w:line="259" w:lineRule="auto"/>
              <w:rPr>
                <w:rFonts w:ascii="Arial Narrow" w:hAnsi="Arial Narrow"/>
                <w:sz w:val="18"/>
                <w:szCs w:val="18"/>
              </w:rPr>
            </w:pPr>
          </w:p>
        </w:tc>
        <w:tc>
          <w:tcPr>
            <w:tcW w:w="149" w:type="pct"/>
          </w:tcPr>
          <w:p w14:paraId="6D0B403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63ABA25F" w14:textId="77777777" w:rsidR="00095411" w:rsidRPr="007348FD" w:rsidRDefault="00095411" w:rsidP="00591CBB">
            <w:pPr>
              <w:spacing w:after="160" w:line="259" w:lineRule="auto"/>
              <w:rPr>
                <w:rFonts w:ascii="Arial Narrow" w:hAnsi="Arial Narrow"/>
                <w:sz w:val="18"/>
                <w:szCs w:val="18"/>
              </w:rPr>
            </w:pPr>
          </w:p>
        </w:tc>
        <w:tc>
          <w:tcPr>
            <w:tcW w:w="214" w:type="pct"/>
          </w:tcPr>
          <w:p w14:paraId="4A81046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10165</w:t>
            </w:r>
          </w:p>
        </w:tc>
        <w:tc>
          <w:tcPr>
            <w:cnfStyle w:val="000010000000" w:firstRow="0" w:lastRow="0" w:firstColumn="0" w:lastColumn="0" w:oddVBand="1" w:evenVBand="0" w:oddHBand="0" w:evenHBand="0" w:firstRowFirstColumn="0" w:firstRowLastColumn="0" w:lastRowFirstColumn="0" w:lastRowLastColumn="0"/>
            <w:tcW w:w="245" w:type="pct"/>
          </w:tcPr>
          <w:p w14:paraId="5293DBB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13021</w:t>
            </w:r>
          </w:p>
        </w:tc>
        <w:tc>
          <w:tcPr>
            <w:tcW w:w="280" w:type="pct"/>
          </w:tcPr>
          <w:p w14:paraId="320A4E50" w14:textId="3C21DB53"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15876</w:t>
            </w:r>
          </w:p>
        </w:tc>
      </w:tr>
      <w:tr w:rsidR="00095411" w:rsidRPr="00591CBB" w14:paraId="36BBB95A"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6CEE3510" w14:textId="77777777" w:rsidR="00095411" w:rsidRPr="007348FD" w:rsidRDefault="00095411" w:rsidP="00591CBB">
            <w:pPr>
              <w:spacing w:after="160" w:line="259" w:lineRule="auto"/>
              <w:rPr>
                <w:rFonts w:ascii="Arial Narrow" w:hAnsi="Arial Narrow"/>
                <w:sz w:val="18"/>
                <w:szCs w:val="18"/>
              </w:rPr>
            </w:pPr>
          </w:p>
        </w:tc>
        <w:tc>
          <w:tcPr>
            <w:tcW w:w="460" w:type="pct"/>
          </w:tcPr>
          <w:p w14:paraId="09769B4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62ECA9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C1E71E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670542A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4FD9D08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3720</w:t>
            </w:r>
          </w:p>
        </w:tc>
        <w:tc>
          <w:tcPr>
            <w:cnfStyle w:val="000010000000" w:firstRow="0" w:lastRow="0" w:firstColumn="0" w:lastColumn="0" w:oddVBand="1" w:evenVBand="0" w:oddHBand="0" w:evenHBand="0" w:firstRowFirstColumn="0" w:firstRowLastColumn="0" w:lastRowFirstColumn="0" w:lastRowLastColumn="0"/>
            <w:tcW w:w="271" w:type="pct"/>
          </w:tcPr>
          <w:p w14:paraId="72210A0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1257</w:t>
            </w:r>
          </w:p>
        </w:tc>
        <w:tc>
          <w:tcPr>
            <w:tcW w:w="298" w:type="pct"/>
          </w:tcPr>
          <w:p w14:paraId="7889AF1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1072</w:t>
            </w:r>
          </w:p>
        </w:tc>
        <w:tc>
          <w:tcPr>
            <w:cnfStyle w:val="000010000000" w:firstRow="0" w:lastRow="0" w:firstColumn="0" w:lastColumn="0" w:oddVBand="1" w:evenVBand="0" w:oddHBand="0" w:evenHBand="0" w:firstRowFirstColumn="0" w:firstRowLastColumn="0" w:lastRowFirstColumn="0" w:lastRowLastColumn="0"/>
            <w:tcW w:w="197" w:type="pct"/>
          </w:tcPr>
          <w:p w14:paraId="550EE064" w14:textId="77777777" w:rsidR="00095411" w:rsidRPr="007348FD" w:rsidRDefault="00095411" w:rsidP="00591CBB">
            <w:pPr>
              <w:spacing w:after="160" w:line="259" w:lineRule="auto"/>
              <w:rPr>
                <w:rFonts w:ascii="Arial Narrow" w:hAnsi="Arial Narrow"/>
                <w:sz w:val="18"/>
                <w:szCs w:val="18"/>
              </w:rPr>
            </w:pPr>
          </w:p>
        </w:tc>
        <w:tc>
          <w:tcPr>
            <w:tcW w:w="273" w:type="pct"/>
          </w:tcPr>
          <w:p w14:paraId="36C350D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2,329 </w:t>
            </w:r>
          </w:p>
        </w:tc>
        <w:tc>
          <w:tcPr>
            <w:cnfStyle w:val="000010000000" w:firstRow="0" w:lastRow="0" w:firstColumn="0" w:lastColumn="0" w:oddVBand="1" w:evenVBand="0" w:oddHBand="0" w:evenHBand="0" w:firstRowFirstColumn="0" w:firstRowLastColumn="0" w:lastRowFirstColumn="0" w:lastRowLastColumn="0"/>
            <w:tcW w:w="285" w:type="pct"/>
          </w:tcPr>
          <w:p w14:paraId="7E01334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14%</w:t>
            </w:r>
          </w:p>
        </w:tc>
        <w:tc>
          <w:tcPr>
            <w:tcW w:w="283" w:type="pct"/>
          </w:tcPr>
          <w:p w14:paraId="0F1814B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9DF6AB4" w14:textId="77777777" w:rsidR="00095411" w:rsidRPr="007348FD" w:rsidRDefault="00095411" w:rsidP="00591CBB">
            <w:pPr>
              <w:spacing w:after="160" w:line="259" w:lineRule="auto"/>
              <w:rPr>
                <w:rFonts w:ascii="Arial Narrow" w:hAnsi="Arial Narrow"/>
                <w:sz w:val="18"/>
                <w:szCs w:val="18"/>
              </w:rPr>
            </w:pPr>
          </w:p>
        </w:tc>
        <w:tc>
          <w:tcPr>
            <w:tcW w:w="149" w:type="pct"/>
          </w:tcPr>
          <w:p w14:paraId="7B0D340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44922366" w14:textId="77777777" w:rsidR="00095411" w:rsidRPr="007348FD" w:rsidRDefault="00095411" w:rsidP="00591CBB">
            <w:pPr>
              <w:spacing w:after="160" w:line="259" w:lineRule="auto"/>
              <w:rPr>
                <w:rFonts w:ascii="Arial Narrow" w:hAnsi="Arial Narrow"/>
                <w:sz w:val="18"/>
                <w:szCs w:val="18"/>
              </w:rPr>
            </w:pPr>
          </w:p>
        </w:tc>
        <w:tc>
          <w:tcPr>
            <w:tcW w:w="214" w:type="pct"/>
          </w:tcPr>
          <w:p w14:paraId="3564C9B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769B13CB" w14:textId="77777777" w:rsidR="00095411" w:rsidRPr="007348FD" w:rsidRDefault="00095411" w:rsidP="00591CBB">
            <w:pPr>
              <w:spacing w:after="160" w:line="259" w:lineRule="auto"/>
              <w:rPr>
                <w:rFonts w:ascii="Arial Narrow" w:hAnsi="Arial Narrow"/>
                <w:sz w:val="18"/>
                <w:szCs w:val="18"/>
              </w:rPr>
            </w:pPr>
          </w:p>
        </w:tc>
        <w:tc>
          <w:tcPr>
            <w:tcW w:w="280" w:type="pct"/>
          </w:tcPr>
          <w:p w14:paraId="3717349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736A446F"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5AC27DD2" w14:textId="77777777" w:rsidR="00095411" w:rsidRPr="007348FD" w:rsidRDefault="00095411" w:rsidP="00591CBB">
            <w:pPr>
              <w:spacing w:after="160" w:line="259" w:lineRule="auto"/>
              <w:rPr>
                <w:rFonts w:ascii="Arial Narrow" w:hAnsi="Arial Narrow"/>
                <w:sz w:val="18"/>
                <w:szCs w:val="18"/>
              </w:rPr>
            </w:pPr>
          </w:p>
        </w:tc>
        <w:tc>
          <w:tcPr>
            <w:tcW w:w="460" w:type="pct"/>
          </w:tcPr>
          <w:p w14:paraId="7261D01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D798E73"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B5AA85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4FF823C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7D80BEB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771</w:t>
            </w:r>
          </w:p>
        </w:tc>
        <w:tc>
          <w:tcPr>
            <w:cnfStyle w:val="000010000000" w:firstRow="0" w:lastRow="0" w:firstColumn="0" w:lastColumn="0" w:oddVBand="1" w:evenVBand="0" w:oddHBand="0" w:evenHBand="0" w:firstRowFirstColumn="0" w:firstRowLastColumn="0" w:lastRowFirstColumn="0" w:lastRowLastColumn="0"/>
            <w:tcW w:w="271" w:type="pct"/>
          </w:tcPr>
          <w:p w14:paraId="4F223CC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855</w:t>
            </w:r>
          </w:p>
        </w:tc>
        <w:tc>
          <w:tcPr>
            <w:tcW w:w="298" w:type="pct"/>
          </w:tcPr>
          <w:p w14:paraId="6F81F87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940</w:t>
            </w:r>
          </w:p>
        </w:tc>
        <w:tc>
          <w:tcPr>
            <w:cnfStyle w:val="000010000000" w:firstRow="0" w:lastRow="0" w:firstColumn="0" w:lastColumn="0" w:oddVBand="1" w:evenVBand="0" w:oddHBand="0" w:evenHBand="0" w:firstRowFirstColumn="0" w:firstRowLastColumn="0" w:lastRowFirstColumn="0" w:lastRowLastColumn="0"/>
            <w:tcW w:w="197" w:type="pct"/>
          </w:tcPr>
          <w:p w14:paraId="68255E6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512</w:t>
            </w:r>
          </w:p>
        </w:tc>
        <w:tc>
          <w:tcPr>
            <w:tcW w:w="273" w:type="pct"/>
          </w:tcPr>
          <w:p w14:paraId="7CA3240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2,307 </w:t>
            </w:r>
          </w:p>
        </w:tc>
        <w:tc>
          <w:tcPr>
            <w:cnfStyle w:val="000010000000" w:firstRow="0" w:lastRow="0" w:firstColumn="0" w:lastColumn="0" w:oddVBand="1" w:evenVBand="0" w:oddHBand="0" w:evenHBand="0" w:firstRowFirstColumn="0" w:firstRowLastColumn="0" w:lastRowFirstColumn="0" w:lastRowLastColumn="0"/>
            <w:tcW w:w="285" w:type="pct"/>
          </w:tcPr>
          <w:p w14:paraId="19AA0A7F" w14:textId="77777777" w:rsidR="00095411" w:rsidRPr="007348FD" w:rsidRDefault="00095411" w:rsidP="00591CBB">
            <w:pPr>
              <w:spacing w:after="160" w:line="259" w:lineRule="auto"/>
              <w:rPr>
                <w:rFonts w:ascii="Arial Narrow" w:hAnsi="Arial Narrow"/>
                <w:sz w:val="18"/>
                <w:szCs w:val="18"/>
              </w:rPr>
            </w:pPr>
          </w:p>
        </w:tc>
        <w:tc>
          <w:tcPr>
            <w:tcW w:w="283" w:type="pct"/>
          </w:tcPr>
          <w:p w14:paraId="2B61579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06B2C0D" w14:textId="77777777" w:rsidR="00095411" w:rsidRPr="007348FD" w:rsidRDefault="00095411" w:rsidP="00591CBB">
            <w:pPr>
              <w:spacing w:after="160" w:line="259" w:lineRule="auto"/>
              <w:rPr>
                <w:rFonts w:ascii="Arial Narrow" w:hAnsi="Arial Narrow"/>
                <w:sz w:val="18"/>
                <w:szCs w:val="18"/>
              </w:rPr>
            </w:pPr>
          </w:p>
        </w:tc>
        <w:tc>
          <w:tcPr>
            <w:tcW w:w="149" w:type="pct"/>
          </w:tcPr>
          <w:p w14:paraId="3A85DEE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CC4A772" w14:textId="77777777" w:rsidR="00095411" w:rsidRPr="007348FD" w:rsidRDefault="00095411" w:rsidP="00591CBB">
            <w:pPr>
              <w:spacing w:after="160" w:line="259" w:lineRule="auto"/>
              <w:rPr>
                <w:rFonts w:ascii="Arial Narrow" w:hAnsi="Arial Narrow"/>
                <w:sz w:val="18"/>
                <w:szCs w:val="18"/>
              </w:rPr>
            </w:pPr>
          </w:p>
        </w:tc>
        <w:tc>
          <w:tcPr>
            <w:tcW w:w="214" w:type="pct"/>
          </w:tcPr>
          <w:p w14:paraId="5F58995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1024</w:t>
            </w:r>
          </w:p>
        </w:tc>
        <w:tc>
          <w:tcPr>
            <w:cnfStyle w:val="000010000000" w:firstRow="0" w:lastRow="0" w:firstColumn="0" w:lastColumn="0" w:oddVBand="1" w:evenVBand="0" w:oddHBand="0" w:evenHBand="0" w:firstRowFirstColumn="0" w:firstRowLastColumn="0" w:lastRowFirstColumn="0" w:lastRowLastColumn="0"/>
            <w:tcW w:w="245" w:type="pct"/>
          </w:tcPr>
          <w:p w14:paraId="650002D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1108.5</w:t>
            </w:r>
          </w:p>
        </w:tc>
        <w:tc>
          <w:tcPr>
            <w:tcW w:w="280" w:type="pct"/>
          </w:tcPr>
          <w:p w14:paraId="643F43D5" w14:textId="60723418"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1192.9</w:t>
            </w:r>
          </w:p>
        </w:tc>
      </w:tr>
      <w:tr w:rsidR="00095411" w:rsidRPr="00591CBB" w14:paraId="6F520D12"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4ED04C56" w14:textId="77777777" w:rsidR="00095411" w:rsidRPr="007348FD" w:rsidRDefault="00095411" w:rsidP="00591CBB">
            <w:pPr>
              <w:spacing w:after="160" w:line="259" w:lineRule="auto"/>
              <w:rPr>
                <w:rFonts w:ascii="Arial Narrow" w:hAnsi="Arial Narrow"/>
                <w:sz w:val="18"/>
                <w:szCs w:val="18"/>
              </w:rPr>
            </w:pPr>
          </w:p>
        </w:tc>
        <w:tc>
          <w:tcPr>
            <w:tcW w:w="460" w:type="pct"/>
          </w:tcPr>
          <w:p w14:paraId="280D5C6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39DC69D"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6D9328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057529F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7AD6801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1265</w:t>
            </w:r>
          </w:p>
        </w:tc>
        <w:tc>
          <w:tcPr>
            <w:cnfStyle w:val="000010000000" w:firstRow="0" w:lastRow="0" w:firstColumn="0" w:lastColumn="0" w:oddVBand="1" w:evenVBand="0" w:oddHBand="0" w:evenHBand="0" w:firstRowFirstColumn="0" w:firstRowLastColumn="0" w:lastRowFirstColumn="0" w:lastRowLastColumn="0"/>
            <w:tcW w:w="271" w:type="pct"/>
          </w:tcPr>
          <w:p w14:paraId="11FC595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855</w:t>
            </w:r>
          </w:p>
        </w:tc>
        <w:tc>
          <w:tcPr>
            <w:tcW w:w="298" w:type="pct"/>
          </w:tcPr>
          <w:p w14:paraId="18FBD23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1046</w:t>
            </w:r>
          </w:p>
        </w:tc>
        <w:tc>
          <w:tcPr>
            <w:cnfStyle w:val="000010000000" w:firstRow="0" w:lastRow="0" w:firstColumn="0" w:lastColumn="0" w:oddVBand="1" w:evenVBand="0" w:oddHBand="0" w:evenHBand="0" w:firstRowFirstColumn="0" w:firstRowLastColumn="0" w:lastRowFirstColumn="0" w:lastRowLastColumn="0"/>
            <w:tcW w:w="197" w:type="pct"/>
          </w:tcPr>
          <w:p w14:paraId="0FBD6F7D" w14:textId="77777777" w:rsidR="00095411" w:rsidRPr="007348FD" w:rsidRDefault="00095411" w:rsidP="00591CBB">
            <w:pPr>
              <w:spacing w:after="160" w:line="259" w:lineRule="auto"/>
              <w:rPr>
                <w:rFonts w:ascii="Arial Narrow" w:hAnsi="Arial Narrow"/>
                <w:sz w:val="18"/>
                <w:szCs w:val="18"/>
              </w:rPr>
            </w:pPr>
          </w:p>
        </w:tc>
        <w:tc>
          <w:tcPr>
            <w:tcW w:w="273" w:type="pct"/>
          </w:tcPr>
          <w:p w14:paraId="716AD58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1,901 </w:t>
            </w:r>
          </w:p>
        </w:tc>
        <w:tc>
          <w:tcPr>
            <w:cnfStyle w:val="000010000000" w:firstRow="0" w:lastRow="0" w:firstColumn="0" w:lastColumn="0" w:oddVBand="1" w:evenVBand="0" w:oddHBand="0" w:evenHBand="0" w:firstRowFirstColumn="0" w:firstRowLastColumn="0" w:lastRowFirstColumn="0" w:lastRowLastColumn="0"/>
            <w:tcW w:w="285" w:type="pct"/>
          </w:tcPr>
          <w:p w14:paraId="2A8E114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82%</w:t>
            </w:r>
          </w:p>
        </w:tc>
        <w:tc>
          <w:tcPr>
            <w:tcW w:w="283" w:type="pct"/>
          </w:tcPr>
          <w:p w14:paraId="2738BE7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46EF7229" w14:textId="77777777" w:rsidR="00095411" w:rsidRPr="007348FD" w:rsidRDefault="00095411" w:rsidP="00591CBB">
            <w:pPr>
              <w:spacing w:after="160" w:line="259" w:lineRule="auto"/>
              <w:rPr>
                <w:rFonts w:ascii="Arial Narrow" w:hAnsi="Arial Narrow"/>
                <w:sz w:val="18"/>
                <w:szCs w:val="18"/>
              </w:rPr>
            </w:pPr>
          </w:p>
        </w:tc>
        <w:tc>
          <w:tcPr>
            <w:tcW w:w="149" w:type="pct"/>
          </w:tcPr>
          <w:p w14:paraId="6AFB58B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786A1A5" w14:textId="77777777" w:rsidR="00095411" w:rsidRPr="007348FD" w:rsidRDefault="00095411" w:rsidP="00591CBB">
            <w:pPr>
              <w:spacing w:after="160" w:line="259" w:lineRule="auto"/>
              <w:rPr>
                <w:rFonts w:ascii="Arial Narrow" w:hAnsi="Arial Narrow"/>
                <w:sz w:val="18"/>
                <w:szCs w:val="18"/>
              </w:rPr>
            </w:pPr>
          </w:p>
        </w:tc>
        <w:tc>
          <w:tcPr>
            <w:tcW w:w="214" w:type="pct"/>
          </w:tcPr>
          <w:p w14:paraId="12F40FE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38121BE1" w14:textId="77777777" w:rsidR="00095411" w:rsidRPr="007348FD" w:rsidRDefault="00095411" w:rsidP="00591CBB">
            <w:pPr>
              <w:spacing w:after="160" w:line="259" w:lineRule="auto"/>
              <w:rPr>
                <w:rFonts w:ascii="Arial Narrow" w:hAnsi="Arial Narrow"/>
                <w:sz w:val="18"/>
                <w:szCs w:val="18"/>
              </w:rPr>
            </w:pPr>
          </w:p>
        </w:tc>
        <w:tc>
          <w:tcPr>
            <w:tcW w:w="280" w:type="pct"/>
          </w:tcPr>
          <w:p w14:paraId="0AEF518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0902D634"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39CC618D" w14:textId="77777777" w:rsidR="00095411" w:rsidRPr="007348FD" w:rsidRDefault="00095411" w:rsidP="00591CBB">
            <w:pPr>
              <w:spacing w:after="160" w:line="259" w:lineRule="auto"/>
              <w:rPr>
                <w:rFonts w:ascii="Arial Narrow" w:hAnsi="Arial Narrow"/>
                <w:sz w:val="18"/>
                <w:szCs w:val="18"/>
              </w:rPr>
            </w:pPr>
          </w:p>
        </w:tc>
        <w:tc>
          <w:tcPr>
            <w:tcW w:w="460" w:type="pct"/>
          </w:tcPr>
          <w:p w14:paraId="70C73B5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63D09CC"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EAD94C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34315C9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64B95BC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5619</w:t>
            </w:r>
          </w:p>
        </w:tc>
        <w:tc>
          <w:tcPr>
            <w:cnfStyle w:val="000010000000" w:firstRow="0" w:lastRow="0" w:firstColumn="0" w:lastColumn="0" w:oddVBand="1" w:evenVBand="0" w:oddHBand="0" w:evenHBand="0" w:firstRowFirstColumn="0" w:firstRowLastColumn="0" w:lastRowFirstColumn="0" w:lastRowLastColumn="0"/>
            <w:tcW w:w="271" w:type="pct"/>
          </w:tcPr>
          <w:p w14:paraId="3602BC1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7556</w:t>
            </w:r>
          </w:p>
        </w:tc>
        <w:tc>
          <w:tcPr>
            <w:tcW w:w="298" w:type="pct"/>
          </w:tcPr>
          <w:p w14:paraId="21F7375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9493</w:t>
            </w:r>
          </w:p>
        </w:tc>
        <w:tc>
          <w:tcPr>
            <w:cnfStyle w:val="000010000000" w:firstRow="0" w:lastRow="0" w:firstColumn="0" w:lastColumn="0" w:oddVBand="1" w:evenVBand="0" w:oddHBand="0" w:evenHBand="0" w:firstRowFirstColumn="0" w:firstRowLastColumn="0" w:lastRowFirstColumn="0" w:lastRowLastColumn="0"/>
            <w:tcW w:w="197" w:type="pct"/>
          </w:tcPr>
          <w:p w14:paraId="2412F52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5715</w:t>
            </w:r>
          </w:p>
        </w:tc>
        <w:tc>
          <w:tcPr>
            <w:tcW w:w="273" w:type="pct"/>
          </w:tcPr>
          <w:p w14:paraId="065385E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22,764</w:t>
            </w:r>
          </w:p>
        </w:tc>
        <w:tc>
          <w:tcPr>
            <w:cnfStyle w:val="000010000000" w:firstRow="0" w:lastRow="0" w:firstColumn="0" w:lastColumn="0" w:oddVBand="1" w:evenVBand="0" w:oddHBand="0" w:evenHBand="0" w:firstRowFirstColumn="0" w:firstRowLastColumn="0" w:lastRowFirstColumn="0" w:lastRowLastColumn="0"/>
            <w:tcW w:w="285" w:type="pct"/>
          </w:tcPr>
          <w:p w14:paraId="4D44B341" w14:textId="77777777" w:rsidR="00095411" w:rsidRPr="007348FD" w:rsidRDefault="00095411" w:rsidP="00591CBB">
            <w:pPr>
              <w:spacing w:after="160" w:line="259" w:lineRule="auto"/>
              <w:rPr>
                <w:rFonts w:ascii="Arial Narrow" w:hAnsi="Arial Narrow"/>
                <w:sz w:val="18"/>
                <w:szCs w:val="18"/>
              </w:rPr>
            </w:pPr>
          </w:p>
        </w:tc>
        <w:tc>
          <w:tcPr>
            <w:tcW w:w="283" w:type="pct"/>
          </w:tcPr>
          <w:p w14:paraId="5F9D914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ADAB093" w14:textId="77777777" w:rsidR="00095411" w:rsidRPr="007348FD" w:rsidRDefault="00095411" w:rsidP="00591CBB">
            <w:pPr>
              <w:spacing w:after="160" w:line="259" w:lineRule="auto"/>
              <w:rPr>
                <w:rFonts w:ascii="Arial Narrow" w:hAnsi="Arial Narrow"/>
                <w:sz w:val="18"/>
                <w:szCs w:val="18"/>
              </w:rPr>
            </w:pPr>
          </w:p>
        </w:tc>
        <w:tc>
          <w:tcPr>
            <w:tcW w:w="149" w:type="pct"/>
          </w:tcPr>
          <w:p w14:paraId="72B4CD3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D30D02E" w14:textId="77777777" w:rsidR="00095411" w:rsidRPr="007348FD" w:rsidRDefault="00095411" w:rsidP="00591CBB">
            <w:pPr>
              <w:spacing w:after="160" w:line="259" w:lineRule="auto"/>
              <w:rPr>
                <w:rFonts w:ascii="Arial Narrow" w:hAnsi="Arial Narrow"/>
                <w:sz w:val="18"/>
                <w:szCs w:val="18"/>
              </w:rPr>
            </w:pPr>
          </w:p>
        </w:tc>
        <w:tc>
          <w:tcPr>
            <w:tcW w:w="214" w:type="pct"/>
          </w:tcPr>
          <w:p w14:paraId="74AF467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11430</w:t>
            </w:r>
          </w:p>
        </w:tc>
        <w:tc>
          <w:tcPr>
            <w:cnfStyle w:val="000010000000" w:firstRow="0" w:lastRow="0" w:firstColumn="0" w:lastColumn="0" w:oddVBand="1" w:evenVBand="0" w:oddHBand="0" w:evenHBand="0" w:firstRowFirstColumn="0" w:firstRowLastColumn="0" w:lastRowFirstColumn="0" w:lastRowLastColumn="0"/>
            <w:tcW w:w="245" w:type="pct"/>
          </w:tcPr>
          <w:p w14:paraId="032ED6D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13367</w:t>
            </w:r>
          </w:p>
        </w:tc>
        <w:tc>
          <w:tcPr>
            <w:tcW w:w="280" w:type="pct"/>
          </w:tcPr>
          <w:p w14:paraId="05AD04BC" w14:textId="1BBE4E5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15304</w:t>
            </w:r>
          </w:p>
        </w:tc>
      </w:tr>
      <w:tr w:rsidR="00095411" w:rsidRPr="00591CBB" w14:paraId="35F563AE"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4CE039BE" w14:textId="77777777" w:rsidR="00095411" w:rsidRPr="007348FD" w:rsidRDefault="00095411" w:rsidP="00591CBB">
            <w:pPr>
              <w:spacing w:after="160" w:line="259" w:lineRule="auto"/>
              <w:rPr>
                <w:rFonts w:ascii="Arial Narrow" w:hAnsi="Arial Narrow"/>
                <w:sz w:val="18"/>
                <w:szCs w:val="18"/>
              </w:rPr>
            </w:pPr>
          </w:p>
        </w:tc>
        <w:tc>
          <w:tcPr>
            <w:tcW w:w="460" w:type="pct"/>
          </w:tcPr>
          <w:p w14:paraId="5114185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AF6DE82"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BC2E25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E71F78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3531BA4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5201</w:t>
            </w:r>
          </w:p>
        </w:tc>
        <w:tc>
          <w:tcPr>
            <w:cnfStyle w:val="000010000000" w:firstRow="0" w:lastRow="0" w:firstColumn="0" w:lastColumn="0" w:oddVBand="1" w:evenVBand="0" w:oddHBand="0" w:evenHBand="0" w:firstRowFirstColumn="0" w:firstRowLastColumn="0" w:lastRowFirstColumn="0" w:lastRowLastColumn="0"/>
            <w:tcW w:w="271" w:type="pct"/>
          </w:tcPr>
          <w:p w14:paraId="4FC5080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7556</w:t>
            </w:r>
          </w:p>
        </w:tc>
        <w:tc>
          <w:tcPr>
            <w:tcW w:w="298" w:type="pct"/>
          </w:tcPr>
          <w:p w14:paraId="54D17EC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7532</w:t>
            </w:r>
          </w:p>
        </w:tc>
        <w:tc>
          <w:tcPr>
            <w:cnfStyle w:val="000010000000" w:firstRow="0" w:lastRow="0" w:firstColumn="0" w:lastColumn="0" w:oddVBand="1" w:evenVBand="0" w:oddHBand="0" w:evenHBand="0" w:firstRowFirstColumn="0" w:firstRowLastColumn="0" w:lastRowFirstColumn="0" w:lastRowLastColumn="0"/>
            <w:tcW w:w="197" w:type="pct"/>
          </w:tcPr>
          <w:p w14:paraId="03FAA09F" w14:textId="77777777" w:rsidR="00095411" w:rsidRPr="007348FD" w:rsidRDefault="00095411" w:rsidP="00591CBB">
            <w:pPr>
              <w:spacing w:after="160" w:line="259" w:lineRule="auto"/>
              <w:rPr>
                <w:rFonts w:ascii="Arial Narrow" w:hAnsi="Arial Narrow"/>
                <w:sz w:val="18"/>
                <w:szCs w:val="18"/>
              </w:rPr>
            </w:pPr>
          </w:p>
        </w:tc>
        <w:tc>
          <w:tcPr>
            <w:tcW w:w="273" w:type="pct"/>
          </w:tcPr>
          <w:p w14:paraId="40F0A9E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15,088</w:t>
            </w:r>
          </w:p>
        </w:tc>
        <w:tc>
          <w:tcPr>
            <w:cnfStyle w:val="000010000000" w:firstRow="0" w:lastRow="0" w:firstColumn="0" w:lastColumn="0" w:oddVBand="1" w:evenVBand="0" w:oddHBand="0" w:evenHBand="0" w:firstRowFirstColumn="0" w:firstRowLastColumn="0" w:lastRowFirstColumn="0" w:lastRowLastColumn="0"/>
            <w:tcW w:w="285" w:type="pct"/>
          </w:tcPr>
          <w:p w14:paraId="6BB41C2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66%</w:t>
            </w:r>
          </w:p>
        </w:tc>
        <w:tc>
          <w:tcPr>
            <w:tcW w:w="283" w:type="pct"/>
          </w:tcPr>
          <w:p w14:paraId="77A9C8D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78A6F2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149" w:type="pct"/>
          </w:tcPr>
          <w:p w14:paraId="24D78BB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C1846DE" w14:textId="77777777" w:rsidR="00095411" w:rsidRPr="007348FD" w:rsidRDefault="00095411" w:rsidP="00591CBB">
            <w:pPr>
              <w:spacing w:after="160" w:line="259" w:lineRule="auto"/>
              <w:rPr>
                <w:rFonts w:ascii="Arial Narrow" w:hAnsi="Arial Narrow"/>
                <w:sz w:val="18"/>
                <w:szCs w:val="18"/>
              </w:rPr>
            </w:pPr>
          </w:p>
        </w:tc>
        <w:tc>
          <w:tcPr>
            <w:tcW w:w="214" w:type="pct"/>
          </w:tcPr>
          <w:p w14:paraId="4A63ACD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NA</w:t>
            </w:r>
          </w:p>
        </w:tc>
        <w:tc>
          <w:tcPr>
            <w:cnfStyle w:val="000010000000" w:firstRow="0" w:lastRow="0" w:firstColumn="0" w:lastColumn="0" w:oddVBand="1" w:evenVBand="0" w:oddHBand="0" w:evenHBand="0" w:firstRowFirstColumn="0" w:firstRowLastColumn="0" w:lastRowFirstColumn="0" w:lastRowLastColumn="0"/>
            <w:tcW w:w="245" w:type="pct"/>
          </w:tcPr>
          <w:p w14:paraId="6CEB3149" w14:textId="77777777" w:rsidR="00095411" w:rsidRPr="007348FD" w:rsidRDefault="00095411" w:rsidP="00591CBB">
            <w:pPr>
              <w:spacing w:after="160" w:line="259" w:lineRule="auto"/>
              <w:rPr>
                <w:rFonts w:ascii="Arial Narrow" w:hAnsi="Arial Narrow"/>
                <w:sz w:val="18"/>
                <w:szCs w:val="18"/>
              </w:rPr>
            </w:pPr>
          </w:p>
        </w:tc>
        <w:tc>
          <w:tcPr>
            <w:tcW w:w="280" w:type="pct"/>
          </w:tcPr>
          <w:p w14:paraId="381D36C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1CA9DE66"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21FDCB1A" w14:textId="77777777" w:rsidR="00095411" w:rsidRPr="007348FD" w:rsidRDefault="00095411" w:rsidP="00591CBB">
            <w:pPr>
              <w:spacing w:after="160" w:line="259" w:lineRule="auto"/>
              <w:rPr>
                <w:rFonts w:ascii="Arial Narrow" w:hAnsi="Arial Narrow"/>
                <w:sz w:val="18"/>
                <w:szCs w:val="18"/>
              </w:rPr>
            </w:pPr>
          </w:p>
        </w:tc>
        <w:tc>
          <w:tcPr>
            <w:tcW w:w="460" w:type="pct"/>
          </w:tcPr>
          <w:p w14:paraId="2065637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CA5767D"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2BF845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2844928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69B5791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530</w:t>
            </w:r>
          </w:p>
        </w:tc>
        <w:tc>
          <w:tcPr>
            <w:cnfStyle w:val="000010000000" w:firstRow="0" w:lastRow="0" w:firstColumn="0" w:lastColumn="0" w:oddVBand="1" w:evenVBand="0" w:oddHBand="0" w:evenHBand="0" w:firstRowFirstColumn="0" w:firstRowLastColumn="0" w:lastRowFirstColumn="0" w:lastRowLastColumn="0"/>
            <w:tcW w:w="271" w:type="pct"/>
          </w:tcPr>
          <w:p w14:paraId="71F253F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613</w:t>
            </w:r>
          </w:p>
        </w:tc>
        <w:tc>
          <w:tcPr>
            <w:tcW w:w="298" w:type="pct"/>
          </w:tcPr>
          <w:p w14:paraId="788C464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696</w:t>
            </w:r>
          </w:p>
        </w:tc>
        <w:tc>
          <w:tcPr>
            <w:cnfStyle w:val="000010000000" w:firstRow="0" w:lastRow="0" w:firstColumn="0" w:lastColumn="0" w:oddVBand="1" w:evenVBand="0" w:oddHBand="0" w:evenHBand="0" w:firstRowFirstColumn="0" w:firstRowLastColumn="0" w:lastRowFirstColumn="0" w:lastRowLastColumn="0"/>
            <w:tcW w:w="197" w:type="pct"/>
          </w:tcPr>
          <w:p w14:paraId="3871154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390</w:t>
            </w:r>
          </w:p>
        </w:tc>
        <w:tc>
          <w:tcPr>
            <w:tcW w:w="273" w:type="pct"/>
          </w:tcPr>
          <w:p w14:paraId="654AAFB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1,699 </w:t>
            </w:r>
          </w:p>
        </w:tc>
        <w:tc>
          <w:tcPr>
            <w:cnfStyle w:val="000010000000" w:firstRow="0" w:lastRow="0" w:firstColumn="0" w:lastColumn="0" w:oddVBand="1" w:evenVBand="0" w:oddHBand="0" w:evenHBand="0" w:firstRowFirstColumn="0" w:firstRowLastColumn="0" w:lastRowFirstColumn="0" w:lastRowLastColumn="0"/>
            <w:tcW w:w="285" w:type="pct"/>
          </w:tcPr>
          <w:p w14:paraId="7D430425" w14:textId="77777777" w:rsidR="00095411" w:rsidRPr="007348FD" w:rsidRDefault="00095411" w:rsidP="00591CBB">
            <w:pPr>
              <w:spacing w:after="160" w:line="259" w:lineRule="auto"/>
              <w:rPr>
                <w:rFonts w:ascii="Arial Narrow" w:hAnsi="Arial Narrow"/>
                <w:sz w:val="18"/>
                <w:szCs w:val="18"/>
              </w:rPr>
            </w:pPr>
          </w:p>
        </w:tc>
        <w:tc>
          <w:tcPr>
            <w:tcW w:w="283" w:type="pct"/>
          </w:tcPr>
          <w:p w14:paraId="0F03006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132ED66" w14:textId="77777777" w:rsidR="00095411" w:rsidRPr="007348FD" w:rsidRDefault="00095411" w:rsidP="00591CBB">
            <w:pPr>
              <w:spacing w:after="160" w:line="259" w:lineRule="auto"/>
              <w:rPr>
                <w:rFonts w:ascii="Arial Narrow" w:hAnsi="Arial Narrow"/>
                <w:sz w:val="18"/>
                <w:szCs w:val="18"/>
              </w:rPr>
            </w:pPr>
          </w:p>
        </w:tc>
        <w:tc>
          <w:tcPr>
            <w:tcW w:w="149" w:type="pct"/>
          </w:tcPr>
          <w:p w14:paraId="19CA193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935ADBD" w14:textId="77777777" w:rsidR="00095411" w:rsidRPr="007348FD" w:rsidRDefault="00095411" w:rsidP="00591CBB">
            <w:pPr>
              <w:spacing w:after="160" w:line="259" w:lineRule="auto"/>
              <w:rPr>
                <w:rFonts w:ascii="Arial Narrow" w:hAnsi="Arial Narrow"/>
                <w:sz w:val="18"/>
                <w:szCs w:val="18"/>
              </w:rPr>
            </w:pPr>
          </w:p>
        </w:tc>
        <w:tc>
          <w:tcPr>
            <w:tcW w:w="214" w:type="pct"/>
          </w:tcPr>
          <w:p w14:paraId="1B572CC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779</w:t>
            </w:r>
          </w:p>
        </w:tc>
        <w:tc>
          <w:tcPr>
            <w:cnfStyle w:val="000010000000" w:firstRow="0" w:lastRow="0" w:firstColumn="0" w:lastColumn="0" w:oddVBand="1" w:evenVBand="0" w:oddHBand="0" w:evenHBand="0" w:firstRowFirstColumn="0" w:firstRowLastColumn="0" w:lastRowFirstColumn="0" w:lastRowLastColumn="0"/>
            <w:tcW w:w="245" w:type="pct"/>
          </w:tcPr>
          <w:p w14:paraId="7A5E7D6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862</w:t>
            </w:r>
          </w:p>
        </w:tc>
        <w:tc>
          <w:tcPr>
            <w:tcW w:w="280" w:type="pct"/>
          </w:tcPr>
          <w:p w14:paraId="24C0142A" w14:textId="6204E1DD"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945</w:t>
            </w:r>
          </w:p>
        </w:tc>
      </w:tr>
      <w:tr w:rsidR="00095411" w:rsidRPr="00591CBB" w14:paraId="4942821A"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3BC5B557" w14:textId="77777777" w:rsidR="00095411" w:rsidRPr="007348FD" w:rsidRDefault="00095411" w:rsidP="00591CBB">
            <w:pPr>
              <w:spacing w:after="160" w:line="259" w:lineRule="auto"/>
              <w:rPr>
                <w:rFonts w:ascii="Arial Narrow" w:hAnsi="Arial Narrow"/>
                <w:sz w:val="18"/>
                <w:szCs w:val="18"/>
              </w:rPr>
            </w:pPr>
          </w:p>
        </w:tc>
        <w:tc>
          <w:tcPr>
            <w:tcW w:w="460" w:type="pct"/>
          </w:tcPr>
          <w:p w14:paraId="2ACA8C9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7816436"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9EE4B2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5C5E15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5362E69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958</w:t>
            </w:r>
          </w:p>
        </w:tc>
        <w:tc>
          <w:tcPr>
            <w:cnfStyle w:val="000010000000" w:firstRow="0" w:lastRow="0" w:firstColumn="0" w:lastColumn="0" w:oddVBand="1" w:evenVBand="0" w:oddHBand="0" w:evenHBand="0" w:firstRowFirstColumn="0" w:firstRowLastColumn="0" w:lastRowFirstColumn="0" w:lastRowLastColumn="0"/>
            <w:tcW w:w="271" w:type="pct"/>
          </w:tcPr>
          <w:p w14:paraId="14348E0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884</w:t>
            </w:r>
          </w:p>
        </w:tc>
        <w:tc>
          <w:tcPr>
            <w:tcW w:w="298" w:type="pct"/>
          </w:tcPr>
          <w:p w14:paraId="3F39DA0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552</w:t>
            </w:r>
          </w:p>
        </w:tc>
        <w:tc>
          <w:tcPr>
            <w:cnfStyle w:val="000010000000" w:firstRow="0" w:lastRow="0" w:firstColumn="0" w:lastColumn="0" w:oddVBand="1" w:evenVBand="0" w:oddHBand="0" w:evenHBand="0" w:firstRowFirstColumn="0" w:firstRowLastColumn="0" w:lastRowFirstColumn="0" w:lastRowLastColumn="0"/>
            <w:tcW w:w="197" w:type="pct"/>
          </w:tcPr>
          <w:p w14:paraId="296EAB9E" w14:textId="77777777" w:rsidR="00095411" w:rsidRPr="007348FD" w:rsidRDefault="00095411" w:rsidP="00591CBB">
            <w:pPr>
              <w:spacing w:after="160" w:line="259" w:lineRule="auto"/>
              <w:rPr>
                <w:rFonts w:ascii="Arial Narrow" w:hAnsi="Arial Narrow"/>
                <w:sz w:val="18"/>
                <w:szCs w:val="18"/>
              </w:rPr>
            </w:pPr>
          </w:p>
        </w:tc>
        <w:tc>
          <w:tcPr>
            <w:tcW w:w="273" w:type="pct"/>
          </w:tcPr>
          <w:p w14:paraId="15BA9B2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1,436 </w:t>
            </w:r>
          </w:p>
        </w:tc>
        <w:tc>
          <w:tcPr>
            <w:cnfStyle w:val="000010000000" w:firstRow="0" w:lastRow="0" w:firstColumn="0" w:lastColumn="0" w:oddVBand="1" w:evenVBand="0" w:oddHBand="0" w:evenHBand="0" w:firstRowFirstColumn="0" w:firstRowLastColumn="0" w:lastRowFirstColumn="0" w:lastRowLastColumn="0"/>
            <w:tcW w:w="285" w:type="pct"/>
          </w:tcPr>
          <w:p w14:paraId="32DED6F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85%</w:t>
            </w:r>
          </w:p>
        </w:tc>
        <w:tc>
          <w:tcPr>
            <w:tcW w:w="283" w:type="pct"/>
          </w:tcPr>
          <w:p w14:paraId="29E9E3F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0CDAC4C9" w14:textId="77777777" w:rsidR="00095411" w:rsidRPr="007348FD" w:rsidRDefault="00095411" w:rsidP="00591CBB">
            <w:pPr>
              <w:spacing w:after="160" w:line="259" w:lineRule="auto"/>
              <w:rPr>
                <w:rFonts w:ascii="Arial Narrow" w:hAnsi="Arial Narrow"/>
                <w:sz w:val="18"/>
                <w:szCs w:val="18"/>
              </w:rPr>
            </w:pPr>
          </w:p>
        </w:tc>
        <w:tc>
          <w:tcPr>
            <w:tcW w:w="149" w:type="pct"/>
          </w:tcPr>
          <w:p w14:paraId="3FBC0EE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C93F953" w14:textId="77777777" w:rsidR="00095411" w:rsidRPr="007348FD" w:rsidRDefault="00095411" w:rsidP="00591CBB">
            <w:pPr>
              <w:spacing w:after="160" w:line="259" w:lineRule="auto"/>
              <w:rPr>
                <w:rFonts w:ascii="Arial Narrow" w:hAnsi="Arial Narrow"/>
                <w:sz w:val="18"/>
                <w:szCs w:val="18"/>
              </w:rPr>
            </w:pPr>
          </w:p>
        </w:tc>
        <w:tc>
          <w:tcPr>
            <w:tcW w:w="214" w:type="pct"/>
          </w:tcPr>
          <w:p w14:paraId="43D0BD5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39FCAACB" w14:textId="77777777" w:rsidR="00095411" w:rsidRPr="007348FD" w:rsidRDefault="00095411" w:rsidP="00591CBB">
            <w:pPr>
              <w:spacing w:after="160" w:line="259" w:lineRule="auto"/>
              <w:rPr>
                <w:rFonts w:ascii="Arial Narrow" w:hAnsi="Arial Narrow"/>
                <w:sz w:val="18"/>
                <w:szCs w:val="18"/>
              </w:rPr>
            </w:pPr>
          </w:p>
        </w:tc>
        <w:tc>
          <w:tcPr>
            <w:tcW w:w="280" w:type="pct"/>
          </w:tcPr>
          <w:p w14:paraId="5CFFE24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1B24CA59" w14:textId="77777777" w:rsidTr="00051F27">
        <w:trPr>
          <w:trHeight w:val="228"/>
        </w:trPr>
        <w:tc>
          <w:tcPr>
            <w:cnfStyle w:val="000010000000" w:firstRow="0" w:lastRow="0" w:firstColumn="0" w:lastColumn="0" w:oddVBand="1" w:evenVBand="0" w:oddHBand="0" w:evenHBand="0" w:firstRowFirstColumn="0" w:firstRowLastColumn="0" w:lastRowFirstColumn="0" w:lastRowLastColumn="0"/>
            <w:tcW w:w="432" w:type="pct"/>
          </w:tcPr>
          <w:p w14:paraId="1785EBF3" w14:textId="77777777" w:rsidR="00095411" w:rsidRPr="007348FD" w:rsidRDefault="00095411" w:rsidP="00591CBB">
            <w:pPr>
              <w:spacing w:after="160" w:line="259" w:lineRule="auto"/>
              <w:rPr>
                <w:rFonts w:ascii="Arial Narrow" w:hAnsi="Arial Narrow"/>
                <w:sz w:val="18"/>
                <w:szCs w:val="18"/>
              </w:rPr>
            </w:pPr>
          </w:p>
        </w:tc>
        <w:tc>
          <w:tcPr>
            <w:tcW w:w="460" w:type="pct"/>
          </w:tcPr>
          <w:p w14:paraId="07B98E3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4918BA6"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EA75DF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45CB72C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8FE93F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2004</w:t>
            </w:r>
          </w:p>
        </w:tc>
        <w:tc>
          <w:tcPr>
            <w:cnfStyle w:val="000010000000" w:firstRow="0" w:lastRow="0" w:firstColumn="0" w:lastColumn="0" w:oddVBand="1" w:evenVBand="0" w:oddHBand="0" w:evenHBand="0" w:firstRowFirstColumn="0" w:firstRowLastColumn="0" w:lastRowFirstColumn="0" w:lastRowLastColumn="0"/>
            <w:tcW w:w="271" w:type="pct"/>
          </w:tcPr>
          <w:p w14:paraId="497FE8A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2119</w:t>
            </w:r>
          </w:p>
        </w:tc>
        <w:tc>
          <w:tcPr>
            <w:tcW w:w="298" w:type="pct"/>
          </w:tcPr>
          <w:p w14:paraId="4B0D8B7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2233</w:t>
            </w:r>
          </w:p>
        </w:tc>
        <w:tc>
          <w:tcPr>
            <w:cnfStyle w:val="000010000000" w:firstRow="0" w:lastRow="0" w:firstColumn="0" w:lastColumn="0" w:oddVBand="1" w:evenVBand="0" w:oddHBand="0" w:evenHBand="0" w:firstRowFirstColumn="0" w:firstRowLastColumn="0" w:lastRowFirstColumn="0" w:lastRowLastColumn="0"/>
            <w:tcW w:w="197" w:type="pct"/>
          </w:tcPr>
          <w:p w14:paraId="61AD0A0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1174</w:t>
            </w:r>
          </w:p>
        </w:tc>
        <w:tc>
          <w:tcPr>
            <w:tcW w:w="273" w:type="pct"/>
          </w:tcPr>
          <w:p w14:paraId="4667BE8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5,526 </w:t>
            </w:r>
          </w:p>
        </w:tc>
        <w:tc>
          <w:tcPr>
            <w:cnfStyle w:val="000010000000" w:firstRow="0" w:lastRow="0" w:firstColumn="0" w:lastColumn="0" w:oddVBand="1" w:evenVBand="0" w:oddHBand="0" w:evenHBand="0" w:firstRowFirstColumn="0" w:firstRowLastColumn="0" w:lastRowFirstColumn="0" w:lastRowLastColumn="0"/>
            <w:tcW w:w="285" w:type="pct"/>
          </w:tcPr>
          <w:p w14:paraId="150471FF" w14:textId="77777777" w:rsidR="00095411" w:rsidRPr="007348FD" w:rsidRDefault="00095411" w:rsidP="00591CBB">
            <w:pPr>
              <w:spacing w:after="160" w:line="259" w:lineRule="auto"/>
              <w:rPr>
                <w:rFonts w:ascii="Arial Narrow" w:hAnsi="Arial Narrow"/>
                <w:sz w:val="18"/>
                <w:szCs w:val="18"/>
              </w:rPr>
            </w:pPr>
          </w:p>
        </w:tc>
        <w:tc>
          <w:tcPr>
            <w:tcW w:w="283" w:type="pct"/>
          </w:tcPr>
          <w:p w14:paraId="6696054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4552CC4" w14:textId="77777777" w:rsidR="00095411" w:rsidRPr="007348FD" w:rsidRDefault="00095411" w:rsidP="00591CBB">
            <w:pPr>
              <w:spacing w:after="160" w:line="259" w:lineRule="auto"/>
              <w:rPr>
                <w:rFonts w:ascii="Arial Narrow" w:hAnsi="Arial Narrow"/>
                <w:sz w:val="18"/>
                <w:szCs w:val="18"/>
              </w:rPr>
            </w:pPr>
          </w:p>
        </w:tc>
        <w:tc>
          <w:tcPr>
            <w:tcW w:w="149" w:type="pct"/>
          </w:tcPr>
          <w:p w14:paraId="72A328F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867ED7C" w14:textId="77777777" w:rsidR="00095411" w:rsidRPr="007348FD" w:rsidRDefault="00095411" w:rsidP="00591CBB">
            <w:pPr>
              <w:spacing w:after="160" w:line="259" w:lineRule="auto"/>
              <w:rPr>
                <w:rFonts w:ascii="Arial Narrow" w:hAnsi="Arial Narrow"/>
                <w:sz w:val="18"/>
                <w:szCs w:val="18"/>
              </w:rPr>
            </w:pPr>
          </w:p>
        </w:tc>
        <w:tc>
          <w:tcPr>
            <w:tcW w:w="214" w:type="pct"/>
          </w:tcPr>
          <w:p w14:paraId="460EB93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2348</w:t>
            </w:r>
          </w:p>
        </w:tc>
        <w:tc>
          <w:tcPr>
            <w:cnfStyle w:val="000010000000" w:firstRow="0" w:lastRow="0" w:firstColumn="0" w:lastColumn="0" w:oddVBand="1" w:evenVBand="0" w:oddHBand="0" w:evenHBand="0" w:firstRowFirstColumn="0" w:firstRowLastColumn="0" w:lastRowFirstColumn="0" w:lastRowLastColumn="0"/>
            <w:tcW w:w="245" w:type="pct"/>
          </w:tcPr>
          <w:p w14:paraId="3DE34C1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2463</w:t>
            </w:r>
          </w:p>
        </w:tc>
        <w:tc>
          <w:tcPr>
            <w:tcW w:w="280" w:type="pct"/>
          </w:tcPr>
          <w:p w14:paraId="1B184D4B" w14:textId="55FDA2C1"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2577</w:t>
            </w:r>
          </w:p>
        </w:tc>
      </w:tr>
      <w:tr w:rsidR="00095411" w:rsidRPr="00591CBB" w14:paraId="7518A5B2" w14:textId="77777777" w:rsidTr="00051F27">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432" w:type="pct"/>
          </w:tcPr>
          <w:p w14:paraId="6D737506" w14:textId="77777777" w:rsidR="00095411" w:rsidRPr="007348FD" w:rsidRDefault="00095411" w:rsidP="00591CBB">
            <w:pPr>
              <w:spacing w:after="160" w:line="259" w:lineRule="auto"/>
              <w:rPr>
                <w:rFonts w:ascii="Arial Narrow" w:hAnsi="Arial Narrow"/>
                <w:sz w:val="18"/>
                <w:szCs w:val="18"/>
              </w:rPr>
            </w:pPr>
          </w:p>
        </w:tc>
        <w:tc>
          <w:tcPr>
            <w:tcW w:w="460" w:type="pct"/>
          </w:tcPr>
          <w:p w14:paraId="015D45F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251E606"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AF2777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52DD8B8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183DE96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3615</w:t>
            </w:r>
          </w:p>
        </w:tc>
        <w:tc>
          <w:tcPr>
            <w:cnfStyle w:val="000010000000" w:firstRow="0" w:lastRow="0" w:firstColumn="0" w:lastColumn="0" w:oddVBand="1" w:evenVBand="0" w:oddHBand="0" w:evenHBand="0" w:firstRowFirstColumn="0" w:firstRowLastColumn="0" w:lastRowFirstColumn="0" w:lastRowLastColumn="0"/>
            <w:tcW w:w="271" w:type="pct"/>
          </w:tcPr>
          <w:p w14:paraId="1A309CF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2782</w:t>
            </w:r>
          </w:p>
        </w:tc>
        <w:tc>
          <w:tcPr>
            <w:tcW w:w="298" w:type="pct"/>
          </w:tcPr>
          <w:p w14:paraId="56037E0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4194</w:t>
            </w:r>
          </w:p>
        </w:tc>
        <w:tc>
          <w:tcPr>
            <w:cnfStyle w:val="000010000000" w:firstRow="0" w:lastRow="0" w:firstColumn="0" w:lastColumn="0" w:oddVBand="1" w:evenVBand="0" w:oddHBand="0" w:evenHBand="0" w:firstRowFirstColumn="0" w:firstRowLastColumn="0" w:lastRowFirstColumn="0" w:lastRowLastColumn="0"/>
            <w:tcW w:w="197" w:type="pct"/>
          </w:tcPr>
          <w:p w14:paraId="5F07F1B8" w14:textId="77777777" w:rsidR="00095411" w:rsidRPr="007348FD" w:rsidRDefault="00095411" w:rsidP="00591CBB">
            <w:pPr>
              <w:spacing w:after="160" w:line="259" w:lineRule="auto"/>
              <w:rPr>
                <w:rFonts w:ascii="Arial Narrow" w:hAnsi="Arial Narrow"/>
                <w:sz w:val="18"/>
                <w:szCs w:val="18"/>
              </w:rPr>
            </w:pPr>
          </w:p>
        </w:tc>
        <w:tc>
          <w:tcPr>
            <w:tcW w:w="273" w:type="pct"/>
          </w:tcPr>
          <w:p w14:paraId="4ED10BB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6,976 </w:t>
            </w:r>
          </w:p>
        </w:tc>
        <w:tc>
          <w:tcPr>
            <w:cnfStyle w:val="000010000000" w:firstRow="0" w:lastRow="0" w:firstColumn="0" w:lastColumn="0" w:oddVBand="1" w:evenVBand="0" w:oddHBand="0" w:evenHBand="0" w:firstRowFirstColumn="0" w:firstRowLastColumn="0" w:lastRowFirstColumn="0" w:lastRowLastColumn="0"/>
            <w:tcW w:w="285" w:type="pct"/>
          </w:tcPr>
          <w:p w14:paraId="44BC4114" w14:textId="77777777" w:rsidR="00095411" w:rsidRPr="007348FD" w:rsidRDefault="00095411" w:rsidP="00591CBB">
            <w:pPr>
              <w:spacing w:after="160" w:line="259" w:lineRule="auto"/>
              <w:rPr>
                <w:rFonts w:ascii="Arial Narrow" w:hAnsi="Arial Narrow"/>
                <w:sz w:val="18"/>
                <w:szCs w:val="18"/>
              </w:rPr>
            </w:pPr>
          </w:p>
        </w:tc>
        <w:tc>
          <w:tcPr>
            <w:tcW w:w="283" w:type="pct"/>
          </w:tcPr>
          <w:p w14:paraId="051979E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3D6754E3" w14:textId="77777777" w:rsidR="00095411" w:rsidRPr="007348FD" w:rsidRDefault="00095411" w:rsidP="00591CBB">
            <w:pPr>
              <w:spacing w:after="160" w:line="259" w:lineRule="auto"/>
              <w:rPr>
                <w:rFonts w:ascii="Arial Narrow" w:hAnsi="Arial Narrow"/>
                <w:sz w:val="18"/>
                <w:szCs w:val="18"/>
              </w:rPr>
            </w:pPr>
          </w:p>
        </w:tc>
        <w:tc>
          <w:tcPr>
            <w:tcW w:w="149" w:type="pct"/>
          </w:tcPr>
          <w:p w14:paraId="40304F7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8669C79" w14:textId="77777777" w:rsidR="00095411" w:rsidRPr="007348FD" w:rsidRDefault="00095411" w:rsidP="00591CBB">
            <w:pPr>
              <w:spacing w:after="160" w:line="259" w:lineRule="auto"/>
              <w:rPr>
                <w:rFonts w:ascii="Arial Narrow" w:hAnsi="Arial Narrow"/>
                <w:sz w:val="18"/>
                <w:szCs w:val="18"/>
              </w:rPr>
            </w:pPr>
          </w:p>
        </w:tc>
        <w:tc>
          <w:tcPr>
            <w:tcW w:w="214" w:type="pct"/>
          </w:tcPr>
          <w:p w14:paraId="338D7F9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5663743A" w14:textId="77777777" w:rsidR="00095411" w:rsidRPr="007348FD" w:rsidRDefault="00095411" w:rsidP="00591CBB">
            <w:pPr>
              <w:spacing w:after="160" w:line="259" w:lineRule="auto"/>
              <w:rPr>
                <w:rFonts w:ascii="Arial Narrow" w:hAnsi="Arial Narrow"/>
                <w:sz w:val="18"/>
                <w:szCs w:val="18"/>
              </w:rPr>
            </w:pPr>
          </w:p>
        </w:tc>
        <w:tc>
          <w:tcPr>
            <w:tcW w:w="280" w:type="pct"/>
          </w:tcPr>
          <w:p w14:paraId="2CE0936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751B7E8D" w14:textId="77777777" w:rsidTr="00051F27">
        <w:trPr>
          <w:trHeight w:val="634"/>
        </w:trPr>
        <w:tc>
          <w:tcPr>
            <w:cnfStyle w:val="000010000000" w:firstRow="0" w:lastRow="0" w:firstColumn="0" w:lastColumn="0" w:oddVBand="1" w:evenVBand="0" w:oddHBand="0" w:evenHBand="0" w:firstRowFirstColumn="0" w:firstRowLastColumn="0" w:lastRowFirstColumn="0" w:lastRowLastColumn="0"/>
            <w:tcW w:w="432" w:type="pct"/>
          </w:tcPr>
          <w:p w14:paraId="4D999B18" w14:textId="77777777" w:rsidR="00095411" w:rsidRPr="007348FD" w:rsidRDefault="00095411" w:rsidP="00591CBB">
            <w:pPr>
              <w:spacing w:after="160" w:line="259" w:lineRule="auto"/>
              <w:rPr>
                <w:rFonts w:ascii="Arial Narrow" w:hAnsi="Arial Narrow"/>
                <w:sz w:val="18"/>
                <w:szCs w:val="18"/>
              </w:rPr>
            </w:pPr>
          </w:p>
        </w:tc>
        <w:tc>
          <w:tcPr>
            <w:tcW w:w="460" w:type="pct"/>
          </w:tcPr>
          <w:p w14:paraId="18DFC44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 Adol</w:t>
            </w:r>
            <w:r>
              <w:rPr>
                <w:rFonts w:ascii="Arial Narrow" w:hAnsi="Arial Narrow"/>
                <w:sz w:val="18"/>
                <w:szCs w:val="18"/>
              </w:rPr>
              <w:t>e</w:t>
            </w:r>
            <w:r w:rsidRPr="007348FD">
              <w:rPr>
                <w:rFonts w:ascii="Arial Narrow" w:hAnsi="Arial Narrow"/>
                <w:sz w:val="18"/>
                <w:szCs w:val="18"/>
              </w:rPr>
              <w:t>scent Birth Rate</w:t>
            </w:r>
          </w:p>
          <w:p w14:paraId="5B78D7F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601FD37"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t>ø</w:t>
            </w:r>
          </w:p>
        </w:tc>
        <w:tc>
          <w:tcPr>
            <w:tcW w:w="341" w:type="pct"/>
          </w:tcPr>
          <w:p w14:paraId="555C02B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Borders>
              <w:bottom w:val="nil"/>
            </w:tcBorders>
          </w:tcPr>
          <w:p w14:paraId="7F8288B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5E026BA" w14:textId="0CB7BAB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433A930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27.3</w:t>
            </w:r>
          </w:p>
        </w:tc>
        <w:tc>
          <w:tcPr>
            <w:tcW w:w="298" w:type="pct"/>
          </w:tcPr>
          <w:p w14:paraId="392724C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25.3</w:t>
            </w:r>
          </w:p>
        </w:tc>
        <w:tc>
          <w:tcPr>
            <w:cnfStyle w:val="000010000000" w:firstRow="0" w:lastRow="0" w:firstColumn="0" w:lastColumn="0" w:oddVBand="1" w:evenVBand="0" w:oddHBand="0" w:evenHBand="0" w:firstRowFirstColumn="0" w:firstRowLastColumn="0" w:lastRowFirstColumn="0" w:lastRowLastColumn="0"/>
            <w:tcW w:w="197" w:type="pct"/>
          </w:tcPr>
          <w:p w14:paraId="2DBA805F" w14:textId="77777777" w:rsidR="00095411" w:rsidRPr="007348FD" w:rsidRDefault="00095411" w:rsidP="00591CBB">
            <w:pPr>
              <w:spacing w:after="160" w:line="259" w:lineRule="auto"/>
              <w:rPr>
                <w:rFonts w:ascii="Arial Narrow" w:hAnsi="Arial Narrow"/>
                <w:sz w:val="18"/>
                <w:szCs w:val="18"/>
              </w:rPr>
            </w:pPr>
          </w:p>
        </w:tc>
        <w:tc>
          <w:tcPr>
            <w:tcW w:w="273" w:type="pct"/>
          </w:tcPr>
          <w:p w14:paraId="66DB781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C9A809E" w14:textId="77777777" w:rsidR="00095411" w:rsidRPr="007348FD" w:rsidRDefault="00095411" w:rsidP="00591CBB">
            <w:pPr>
              <w:spacing w:after="160" w:line="259" w:lineRule="auto"/>
              <w:rPr>
                <w:rFonts w:ascii="Arial Narrow" w:hAnsi="Arial Narrow"/>
                <w:sz w:val="18"/>
                <w:szCs w:val="18"/>
              </w:rPr>
            </w:pPr>
          </w:p>
        </w:tc>
        <w:tc>
          <w:tcPr>
            <w:tcW w:w="283" w:type="pct"/>
          </w:tcPr>
          <w:p w14:paraId="1E44EFB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5ACE970" w14:textId="77777777" w:rsidR="00095411" w:rsidRPr="007348FD" w:rsidRDefault="00095411" w:rsidP="00591CBB">
            <w:pPr>
              <w:spacing w:after="160" w:line="259" w:lineRule="auto"/>
              <w:rPr>
                <w:rFonts w:ascii="Arial Narrow" w:hAnsi="Arial Narrow"/>
                <w:sz w:val="18"/>
                <w:szCs w:val="18"/>
              </w:rPr>
            </w:pPr>
          </w:p>
        </w:tc>
        <w:tc>
          <w:tcPr>
            <w:tcW w:w="149" w:type="pct"/>
          </w:tcPr>
          <w:p w14:paraId="6584631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2DAA820" w14:textId="77777777" w:rsidR="00095411" w:rsidRPr="007348FD" w:rsidRDefault="00095411" w:rsidP="00591CBB">
            <w:pPr>
              <w:spacing w:after="160" w:line="259" w:lineRule="auto"/>
              <w:rPr>
                <w:rFonts w:ascii="Arial Narrow" w:hAnsi="Arial Narrow"/>
                <w:sz w:val="18"/>
                <w:szCs w:val="18"/>
              </w:rPr>
            </w:pPr>
          </w:p>
        </w:tc>
        <w:tc>
          <w:tcPr>
            <w:tcW w:w="214" w:type="pct"/>
          </w:tcPr>
          <w:p w14:paraId="397098A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23.28</w:t>
            </w:r>
          </w:p>
        </w:tc>
        <w:tc>
          <w:tcPr>
            <w:cnfStyle w:val="000010000000" w:firstRow="0" w:lastRow="0" w:firstColumn="0" w:lastColumn="0" w:oddVBand="1" w:evenVBand="0" w:oddHBand="0" w:evenHBand="0" w:firstRowFirstColumn="0" w:firstRowLastColumn="0" w:lastRowFirstColumn="0" w:lastRowLastColumn="0"/>
            <w:tcW w:w="245" w:type="pct"/>
          </w:tcPr>
          <w:p w14:paraId="2F9C63D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21.28</w:t>
            </w:r>
          </w:p>
        </w:tc>
        <w:tc>
          <w:tcPr>
            <w:tcW w:w="280" w:type="pct"/>
          </w:tcPr>
          <w:p w14:paraId="019740D3" w14:textId="6A060E0D"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19.28</w:t>
            </w:r>
          </w:p>
        </w:tc>
      </w:tr>
      <w:tr w:rsidR="00095411" w:rsidRPr="00591CBB" w14:paraId="7832E9F0" w14:textId="77777777" w:rsidTr="00051F27">
        <w:trPr>
          <w:cnfStyle w:val="000000100000" w:firstRow="0" w:lastRow="0" w:firstColumn="0" w:lastColumn="0" w:oddVBand="0" w:evenVBand="0" w:oddHBand="1" w:evenHBand="0" w:firstRowFirstColumn="0" w:firstRowLastColumn="0" w:lastRowFirstColumn="0" w:lastRowLastColumn="0"/>
          <w:trHeight w:val="634"/>
        </w:trPr>
        <w:tc>
          <w:tcPr>
            <w:cnfStyle w:val="000010000000" w:firstRow="0" w:lastRow="0" w:firstColumn="0" w:lastColumn="0" w:oddVBand="1" w:evenVBand="0" w:oddHBand="0" w:evenHBand="0" w:firstRowFirstColumn="0" w:firstRowLastColumn="0" w:lastRowFirstColumn="0" w:lastRowLastColumn="0"/>
            <w:tcW w:w="432" w:type="pct"/>
          </w:tcPr>
          <w:p w14:paraId="734C479A" w14:textId="77777777" w:rsidR="00095411" w:rsidRPr="007348FD" w:rsidRDefault="00095411" w:rsidP="00591CBB">
            <w:pPr>
              <w:spacing w:after="160" w:line="259" w:lineRule="auto"/>
              <w:rPr>
                <w:rFonts w:ascii="Arial Narrow" w:hAnsi="Arial Narrow"/>
                <w:sz w:val="18"/>
                <w:szCs w:val="18"/>
              </w:rPr>
            </w:pPr>
          </w:p>
        </w:tc>
        <w:tc>
          <w:tcPr>
            <w:tcW w:w="460" w:type="pct"/>
          </w:tcPr>
          <w:p w14:paraId="5063D54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0F917A0"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F0C160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Borders>
              <w:bottom w:val="nil"/>
            </w:tcBorders>
          </w:tcPr>
          <w:p w14:paraId="5DB55677" w14:textId="21936FD3" w:rsidR="00095411" w:rsidRPr="007348FD" w:rsidRDefault="00095411" w:rsidP="00591CBB">
            <w:pPr>
              <w:spacing w:after="160" w:line="259" w:lineRule="auto"/>
              <w:rPr>
                <w:rFonts w:ascii="Arial Narrow" w:hAnsi="Arial Narrow"/>
                <w:sz w:val="18"/>
                <w:szCs w:val="18"/>
              </w:rPr>
            </w:pPr>
            <w:r>
              <w:rPr>
                <w:rFonts w:ascii="Arial Narrow" w:hAnsi="Arial Narrow"/>
                <w:sz w:val="18"/>
                <w:szCs w:val="18"/>
              </w:rPr>
              <w:t xml:space="preserve">Actual </w:t>
            </w:r>
          </w:p>
        </w:tc>
        <w:tc>
          <w:tcPr>
            <w:tcW w:w="330" w:type="pct"/>
          </w:tcPr>
          <w:p w14:paraId="10C30A38" w14:textId="3688525F"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28.4</w:t>
            </w:r>
          </w:p>
        </w:tc>
        <w:tc>
          <w:tcPr>
            <w:cnfStyle w:val="000010000000" w:firstRow="0" w:lastRow="0" w:firstColumn="0" w:lastColumn="0" w:oddVBand="1" w:evenVBand="0" w:oddHBand="0" w:evenHBand="0" w:firstRowFirstColumn="0" w:firstRowLastColumn="0" w:lastRowFirstColumn="0" w:lastRowLastColumn="0"/>
            <w:tcW w:w="271" w:type="pct"/>
          </w:tcPr>
          <w:p w14:paraId="256BCAE8" w14:textId="0E6F8260" w:rsidR="00095411" w:rsidRPr="007348FD" w:rsidRDefault="00095411" w:rsidP="00591CBB">
            <w:pPr>
              <w:spacing w:after="160" w:line="259" w:lineRule="auto"/>
              <w:rPr>
                <w:rFonts w:ascii="Arial Narrow" w:hAnsi="Arial Narrow"/>
                <w:sz w:val="18"/>
                <w:szCs w:val="18"/>
              </w:rPr>
            </w:pPr>
            <w:r>
              <w:rPr>
                <w:rFonts w:ascii="Arial Narrow" w:hAnsi="Arial Narrow"/>
                <w:sz w:val="18"/>
                <w:szCs w:val="18"/>
              </w:rPr>
              <w:t>28.4</w:t>
            </w:r>
          </w:p>
        </w:tc>
        <w:tc>
          <w:tcPr>
            <w:tcW w:w="298" w:type="pct"/>
          </w:tcPr>
          <w:p w14:paraId="3353E17A" w14:textId="20465829"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NA</w:t>
            </w:r>
          </w:p>
        </w:tc>
        <w:tc>
          <w:tcPr>
            <w:cnfStyle w:val="000010000000" w:firstRow="0" w:lastRow="0" w:firstColumn="0" w:lastColumn="0" w:oddVBand="1" w:evenVBand="0" w:oddHBand="0" w:evenHBand="0" w:firstRowFirstColumn="0" w:firstRowLastColumn="0" w:lastRowFirstColumn="0" w:lastRowLastColumn="0"/>
            <w:tcW w:w="197" w:type="pct"/>
          </w:tcPr>
          <w:p w14:paraId="33FDCBD4" w14:textId="77777777" w:rsidR="00095411" w:rsidRPr="007348FD" w:rsidRDefault="00095411" w:rsidP="00591CBB">
            <w:pPr>
              <w:spacing w:after="160" w:line="259" w:lineRule="auto"/>
              <w:rPr>
                <w:rFonts w:ascii="Arial Narrow" w:hAnsi="Arial Narrow"/>
                <w:sz w:val="18"/>
                <w:szCs w:val="18"/>
              </w:rPr>
            </w:pPr>
          </w:p>
        </w:tc>
        <w:tc>
          <w:tcPr>
            <w:tcW w:w="273" w:type="pct"/>
          </w:tcPr>
          <w:p w14:paraId="2A815AE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F8A5146" w14:textId="77777777" w:rsidR="00095411" w:rsidRPr="007348FD" w:rsidRDefault="00095411" w:rsidP="00591CBB">
            <w:pPr>
              <w:spacing w:after="160" w:line="259" w:lineRule="auto"/>
              <w:rPr>
                <w:rFonts w:ascii="Arial Narrow" w:hAnsi="Arial Narrow"/>
                <w:sz w:val="18"/>
                <w:szCs w:val="18"/>
              </w:rPr>
            </w:pPr>
          </w:p>
        </w:tc>
        <w:tc>
          <w:tcPr>
            <w:tcW w:w="283" w:type="pct"/>
          </w:tcPr>
          <w:p w14:paraId="385CCB1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AE7F0F8" w14:textId="77777777" w:rsidR="00095411" w:rsidRPr="007348FD" w:rsidRDefault="00095411" w:rsidP="00591CBB">
            <w:pPr>
              <w:spacing w:after="160" w:line="259" w:lineRule="auto"/>
              <w:rPr>
                <w:rFonts w:ascii="Arial Narrow" w:hAnsi="Arial Narrow"/>
                <w:sz w:val="18"/>
                <w:szCs w:val="18"/>
              </w:rPr>
            </w:pPr>
          </w:p>
        </w:tc>
        <w:tc>
          <w:tcPr>
            <w:tcW w:w="149" w:type="pct"/>
          </w:tcPr>
          <w:p w14:paraId="0F143C1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6527B67" w14:textId="45B0F04A" w:rsidR="00095411" w:rsidRPr="007348FD" w:rsidRDefault="00095411" w:rsidP="00591CBB">
            <w:pPr>
              <w:spacing w:after="160" w:line="259" w:lineRule="auto"/>
              <w:rPr>
                <w:rFonts w:ascii="Arial Narrow" w:hAnsi="Arial Narrow"/>
                <w:sz w:val="18"/>
                <w:szCs w:val="18"/>
              </w:rPr>
            </w:pPr>
            <w:r>
              <w:rPr>
                <w:rFonts w:ascii="Arial Narrow" w:hAnsi="Arial Narrow"/>
                <w:sz w:val="18"/>
                <w:szCs w:val="18"/>
              </w:rPr>
              <w:t>1</w:t>
            </w:r>
          </w:p>
        </w:tc>
        <w:tc>
          <w:tcPr>
            <w:tcW w:w="214" w:type="pct"/>
          </w:tcPr>
          <w:p w14:paraId="7554DC9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53A01D5E" w14:textId="77777777" w:rsidR="00095411" w:rsidRPr="007348FD" w:rsidRDefault="00095411" w:rsidP="00591CBB">
            <w:pPr>
              <w:spacing w:after="160" w:line="259" w:lineRule="auto"/>
              <w:rPr>
                <w:rFonts w:ascii="Arial Narrow" w:hAnsi="Arial Narrow"/>
                <w:sz w:val="18"/>
                <w:szCs w:val="18"/>
              </w:rPr>
            </w:pPr>
          </w:p>
        </w:tc>
        <w:tc>
          <w:tcPr>
            <w:tcW w:w="280" w:type="pct"/>
          </w:tcPr>
          <w:p w14:paraId="3ADCB0B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0CFE0219" w14:textId="77777777" w:rsidTr="00051F27">
        <w:trPr>
          <w:trHeight w:val="634"/>
        </w:trPr>
        <w:tc>
          <w:tcPr>
            <w:cnfStyle w:val="000010000000" w:firstRow="0" w:lastRow="0" w:firstColumn="0" w:lastColumn="0" w:oddVBand="1" w:evenVBand="0" w:oddHBand="0" w:evenHBand="0" w:firstRowFirstColumn="0" w:firstRowLastColumn="0" w:lastRowFirstColumn="0" w:lastRowLastColumn="0"/>
            <w:tcW w:w="432" w:type="pct"/>
          </w:tcPr>
          <w:p w14:paraId="1A64D74F" w14:textId="77777777" w:rsidR="00095411" w:rsidRPr="007348FD" w:rsidRDefault="00095411" w:rsidP="00591CBB">
            <w:pPr>
              <w:spacing w:after="160" w:line="259" w:lineRule="auto"/>
              <w:rPr>
                <w:rFonts w:ascii="Arial Narrow" w:hAnsi="Arial Narrow"/>
                <w:sz w:val="18"/>
                <w:szCs w:val="18"/>
              </w:rPr>
            </w:pPr>
          </w:p>
        </w:tc>
        <w:tc>
          <w:tcPr>
            <w:tcW w:w="460" w:type="pct"/>
          </w:tcPr>
          <w:p w14:paraId="29A4B46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EA906C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5756E03" w14:textId="041E13D6" w:rsidR="00095411" w:rsidRPr="00B420FA"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Borders>
              <w:bottom w:val="nil"/>
            </w:tcBorders>
          </w:tcPr>
          <w:p w14:paraId="250A36A5" w14:textId="78FCDBF5" w:rsidR="00095411" w:rsidRDefault="00095411" w:rsidP="00591CBB">
            <w:pPr>
              <w:spacing w:after="160" w:line="259" w:lineRule="auto"/>
              <w:rPr>
                <w:rFonts w:ascii="Arial Narrow" w:hAnsi="Arial Narrow"/>
                <w:sz w:val="18"/>
                <w:szCs w:val="18"/>
              </w:rPr>
            </w:pPr>
            <w:r>
              <w:rPr>
                <w:rFonts w:ascii="Arial Narrow" w:hAnsi="Arial Narrow"/>
                <w:sz w:val="18"/>
                <w:szCs w:val="18"/>
              </w:rPr>
              <w:t>Planned</w:t>
            </w:r>
          </w:p>
        </w:tc>
        <w:tc>
          <w:tcPr>
            <w:tcW w:w="330" w:type="pct"/>
          </w:tcPr>
          <w:p w14:paraId="13DF0B58" w14:textId="77777777"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6EC2F9AB" w14:textId="507FDE58" w:rsidR="00095411" w:rsidRDefault="00095411" w:rsidP="00591CBB">
            <w:pPr>
              <w:spacing w:after="160" w:line="259" w:lineRule="auto"/>
              <w:rPr>
                <w:rFonts w:ascii="Arial Narrow" w:hAnsi="Arial Narrow"/>
                <w:sz w:val="18"/>
                <w:szCs w:val="18"/>
              </w:rPr>
            </w:pPr>
            <w:r>
              <w:rPr>
                <w:rFonts w:ascii="Arial Narrow" w:hAnsi="Arial Narrow"/>
                <w:sz w:val="18"/>
                <w:szCs w:val="18"/>
              </w:rPr>
              <w:t>43.2</w:t>
            </w:r>
          </w:p>
        </w:tc>
        <w:tc>
          <w:tcPr>
            <w:tcW w:w="298" w:type="pct"/>
          </w:tcPr>
          <w:p w14:paraId="48F118FF" w14:textId="5A9A7A1B"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41.2</w:t>
            </w:r>
          </w:p>
        </w:tc>
        <w:tc>
          <w:tcPr>
            <w:cnfStyle w:val="000010000000" w:firstRow="0" w:lastRow="0" w:firstColumn="0" w:lastColumn="0" w:oddVBand="1" w:evenVBand="0" w:oddHBand="0" w:evenHBand="0" w:firstRowFirstColumn="0" w:firstRowLastColumn="0" w:lastRowFirstColumn="0" w:lastRowLastColumn="0"/>
            <w:tcW w:w="197" w:type="pct"/>
          </w:tcPr>
          <w:p w14:paraId="6458BC7C" w14:textId="77777777" w:rsidR="00095411" w:rsidRPr="007348FD" w:rsidRDefault="00095411" w:rsidP="00591CBB">
            <w:pPr>
              <w:spacing w:after="160" w:line="259" w:lineRule="auto"/>
              <w:rPr>
                <w:rFonts w:ascii="Arial Narrow" w:hAnsi="Arial Narrow"/>
                <w:sz w:val="18"/>
                <w:szCs w:val="18"/>
              </w:rPr>
            </w:pPr>
          </w:p>
        </w:tc>
        <w:tc>
          <w:tcPr>
            <w:tcW w:w="273" w:type="pct"/>
          </w:tcPr>
          <w:p w14:paraId="3B43D6A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48FD828" w14:textId="77777777" w:rsidR="00095411" w:rsidRPr="007348FD" w:rsidRDefault="00095411" w:rsidP="00591CBB">
            <w:pPr>
              <w:spacing w:after="160" w:line="259" w:lineRule="auto"/>
              <w:rPr>
                <w:rFonts w:ascii="Arial Narrow" w:hAnsi="Arial Narrow"/>
                <w:sz w:val="18"/>
                <w:szCs w:val="18"/>
              </w:rPr>
            </w:pPr>
          </w:p>
        </w:tc>
        <w:tc>
          <w:tcPr>
            <w:tcW w:w="283" w:type="pct"/>
          </w:tcPr>
          <w:p w14:paraId="0D64558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D327542" w14:textId="77777777" w:rsidR="00095411" w:rsidRPr="007348FD" w:rsidRDefault="00095411" w:rsidP="00591CBB">
            <w:pPr>
              <w:spacing w:after="160" w:line="259" w:lineRule="auto"/>
              <w:rPr>
                <w:rFonts w:ascii="Arial Narrow" w:hAnsi="Arial Narrow"/>
                <w:sz w:val="18"/>
                <w:szCs w:val="18"/>
              </w:rPr>
            </w:pPr>
          </w:p>
        </w:tc>
        <w:tc>
          <w:tcPr>
            <w:tcW w:w="149" w:type="pct"/>
          </w:tcPr>
          <w:p w14:paraId="73C954E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DCBA373" w14:textId="77777777" w:rsidR="00095411" w:rsidRDefault="00095411" w:rsidP="00591CBB">
            <w:pPr>
              <w:spacing w:after="160" w:line="259" w:lineRule="auto"/>
              <w:rPr>
                <w:rFonts w:ascii="Arial Narrow" w:hAnsi="Arial Narrow"/>
                <w:sz w:val="18"/>
                <w:szCs w:val="18"/>
              </w:rPr>
            </w:pPr>
          </w:p>
        </w:tc>
        <w:tc>
          <w:tcPr>
            <w:tcW w:w="214" w:type="pct"/>
          </w:tcPr>
          <w:p w14:paraId="584A31CA" w14:textId="61EE9E8F"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39.2</w:t>
            </w:r>
          </w:p>
        </w:tc>
        <w:tc>
          <w:tcPr>
            <w:cnfStyle w:val="000010000000" w:firstRow="0" w:lastRow="0" w:firstColumn="0" w:lastColumn="0" w:oddVBand="1" w:evenVBand="0" w:oddHBand="0" w:evenHBand="0" w:firstRowFirstColumn="0" w:firstRowLastColumn="0" w:lastRowFirstColumn="0" w:lastRowLastColumn="0"/>
            <w:tcW w:w="245" w:type="pct"/>
          </w:tcPr>
          <w:p w14:paraId="3165095F" w14:textId="56E33CC9" w:rsidR="00095411" w:rsidRPr="007348FD" w:rsidRDefault="00095411" w:rsidP="00591CBB">
            <w:pPr>
              <w:spacing w:after="160" w:line="259" w:lineRule="auto"/>
              <w:rPr>
                <w:rFonts w:ascii="Arial Narrow" w:hAnsi="Arial Narrow"/>
                <w:sz w:val="18"/>
                <w:szCs w:val="18"/>
              </w:rPr>
            </w:pPr>
            <w:r>
              <w:rPr>
                <w:rFonts w:ascii="Arial Narrow" w:hAnsi="Arial Narrow"/>
                <w:sz w:val="18"/>
                <w:szCs w:val="18"/>
              </w:rPr>
              <w:t>37.2</w:t>
            </w:r>
          </w:p>
        </w:tc>
        <w:tc>
          <w:tcPr>
            <w:tcW w:w="280" w:type="pct"/>
          </w:tcPr>
          <w:p w14:paraId="472247DA" w14:textId="05947F2F"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35.2</w:t>
            </w:r>
          </w:p>
        </w:tc>
      </w:tr>
      <w:tr w:rsidR="00095411" w:rsidRPr="00591CBB" w14:paraId="4ACB99D8" w14:textId="77777777" w:rsidTr="00051F27">
        <w:trPr>
          <w:cnfStyle w:val="000000100000" w:firstRow="0" w:lastRow="0" w:firstColumn="0" w:lastColumn="0" w:oddVBand="0" w:evenVBand="0" w:oddHBand="1" w:evenHBand="0" w:firstRowFirstColumn="0" w:firstRowLastColumn="0" w:lastRowFirstColumn="0" w:lastRowLastColumn="0"/>
          <w:trHeight w:val="634"/>
        </w:trPr>
        <w:tc>
          <w:tcPr>
            <w:cnfStyle w:val="000010000000" w:firstRow="0" w:lastRow="0" w:firstColumn="0" w:lastColumn="0" w:oddVBand="1" w:evenVBand="0" w:oddHBand="0" w:evenHBand="0" w:firstRowFirstColumn="0" w:firstRowLastColumn="0" w:lastRowFirstColumn="0" w:lastRowLastColumn="0"/>
            <w:tcW w:w="432" w:type="pct"/>
          </w:tcPr>
          <w:p w14:paraId="6B03B7D8" w14:textId="77777777" w:rsidR="00095411" w:rsidRPr="007348FD" w:rsidRDefault="00095411" w:rsidP="00591CBB">
            <w:pPr>
              <w:spacing w:after="160" w:line="259" w:lineRule="auto"/>
              <w:rPr>
                <w:rFonts w:ascii="Arial Narrow" w:hAnsi="Arial Narrow"/>
                <w:sz w:val="18"/>
                <w:szCs w:val="18"/>
              </w:rPr>
            </w:pPr>
          </w:p>
        </w:tc>
        <w:tc>
          <w:tcPr>
            <w:tcW w:w="460" w:type="pct"/>
          </w:tcPr>
          <w:p w14:paraId="08B0CB3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170A64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9A75BC3" w14:textId="77777777"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Borders>
              <w:bottom w:val="nil"/>
            </w:tcBorders>
          </w:tcPr>
          <w:p w14:paraId="0478389D" w14:textId="32DACE6D" w:rsidR="00095411" w:rsidRDefault="00095411" w:rsidP="00591CBB">
            <w:pPr>
              <w:spacing w:after="160" w:line="259" w:lineRule="auto"/>
              <w:rPr>
                <w:rFonts w:ascii="Arial Narrow" w:hAnsi="Arial Narrow"/>
                <w:sz w:val="18"/>
                <w:szCs w:val="18"/>
              </w:rPr>
            </w:pPr>
            <w:r>
              <w:rPr>
                <w:rFonts w:ascii="Arial Narrow" w:hAnsi="Arial Narrow"/>
                <w:sz w:val="18"/>
                <w:szCs w:val="18"/>
              </w:rPr>
              <w:t>Actual</w:t>
            </w:r>
          </w:p>
        </w:tc>
        <w:tc>
          <w:tcPr>
            <w:tcW w:w="330" w:type="pct"/>
          </w:tcPr>
          <w:p w14:paraId="132085C7" w14:textId="16706BE1"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45.2</w:t>
            </w:r>
          </w:p>
        </w:tc>
        <w:tc>
          <w:tcPr>
            <w:cnfStyle w:val="000010000000" w:firstRow="0" w:lastRow="0" w:firstColumn="0" w:lastColumn="0" w:oddVBand="1" w:evenVBand="0" w:oddHBand="0" w:evenHBand="0" w:firstRowFirstColumn="0" w:firstRowLastColumn="0" w:lastRowFirstColumn="0" w:lastRowLastColumn="0"/>
            <w:tcW w:w="271" w:type="pct"/>
          </w:tcPr>
          <w:p w14:paraId="61B8D33F" w14:textId="520CB322" w:rsidR="00095411" w:rsidRDefault="00095411" w:rsidP="00591CBB">
            <w:pPr>
              <w:spacing w:after="160" w:line="259" w:lineRule="auto"/>
              <w:rPr>
                <w:rFonts w:ascii="Arial Narrow" w:hAnsi="Arial Narrow"/>
                <w:sz w:val="18"/>
                <w:szCs w:val="18"/>
              </w:rPr>
            </w:pPr>
            <w:r>
              <w:rPr>
                <w:rFonts w:ascii="Arial Narrow" w:hAnsi="Arial Narrow"/>
                <w:sz w:val="18"/>
                <w:szCs w:val="18"/>
              </w:rPr>
              <w:t>45.2</w:t>
            </w:r>
          </w:p>
        </w:tc>
        <w:tc>
          <w:tcPr>
            <w:tcW w:w="298" w:type="pct"/>
          </w:tcPr>
          <w:p w14:paraId="0A8CFB52" w14:textId="76FD37EE"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51</w:t>
            </w:r>
          </w:p>
        </w:tc>
        <w:tc>
          <w:tcPr>
            <w:cnfStyle w:val="000010000000" w:firstRow="0" w:lastRow="0" w:firstColumn="0" w:lastColumn="0" w:oddVBand="1" w:evenVBand="0" w:oddHBand="0" w:evenHBand="0" w:firstRowFirstColumn="0" w:firstRowLastColumn="0" w:lastRowFirstColumn="0" w:lastRowLastColumn="0"/>
            <w:tcW w:w="197" w:type="pct"/>
          </w:tcPr>
          <w:p w14:paraId="5D922DB0" w14:textId="77777777" w:rsidR="00095411" w:rsidRPr="007348FD" w:rsidRDefault="00095411" w:rsidP="00591CBB">
            <w:pPr>
              <w:spacing w:after="160" w:line="259" w:lineRule="auto"/>
              <w:rPr>
                <w:rFonts w:ascii="Arial Narrow" w:hAnsi="Arial Narrow"/>
                <w:sz w:val="18"/>
                <w:szCs w:val="18"/>
              </w:rPr>
            </w:pPr>
          </w:p>
        </w:tc>
        <w:tc>
          <w:tcPr>
            <w:tcW w:w="273" w:type="pct"/>
          </w:tcPr>
          <w:p w14:paraId="4BEF9BE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23D5E30" w14:textId="77777777" w:rsidR="00095411" w:rsidRPr="007348FD" w:rsidRDefault="00095411" w:rsidP="00591CBB">
            <w:pPr>
              <w:spacing w:after="160" w:line="259" w:lineRule="auto"/>
              <w:rPr>
                <w:rFonts w:ascii="Arial Narrow" w:hAnsi="Arial Narrow"/>
                <w:sz w:val="18"/>
                <w:szCs w:val="18"/>
              </w:rPr>
            </w:pPr>
          </w:p>
        </w:tc>
        <w:tc>
          <w:tcPr>
            <w:tcW w:w="283" w:type="pct"/>
          </w:tcPr>
          <w:p w14:paraId="47532CC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CE9CA39" w14:textId="77777777" w:rsidR="00095411" w:rsidRPr="007348FD" w:rsidRDefault="00095411" w:rsidP="00591CBB">
            <w:pPr>
              <w:spacing w:after="160" w:line="259" w:lineRule="auto"/>
              <w:rPr>
                <w:rFonts w:ascii="Arial Narrow" w:hAnsi="Arial Narrow"/>
                <w:sz w:val="18"/>
                <w:szCs w:val="18"/>
              </w:rPr>
            </w:pPr>
          </w:p>
        </w:tc>
        <w:tc>
          <w:tcPr>
            <w:tcW w:w="149" w:type="pct"/>
          </w:tcPr>
          <w:p w14:paraId="0FFFD72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64EEDDD2" w14:textId="6B57A4C3" w:rsidR="00095411" w:rsidRDefault="00095411" w:rsidP="00591CBB">
            <w:pPr>
              <w:spacing w:after="160" w:line="259" w:lineRule="auto"/>
              <w:rPr>
                <w:rFonts w:ascii="Arial Narrow" w:hAnsi="Arial Narrow"/>
                <w:sz w:val="18"/>
                <w:szCs w:val="18"/>
              </w:rPr>
            </w:pPr>
            <w:r>
              <w:rPr>
                <w:rFonts w:ascii="Arial Narrow" w:hAnsi="Arial Narrow"/>
                <w:sz w:val="18"/>
                <w:szCs w:val="18"/>
              </w:rPr>
              <w:t>1</w:t>
            </w:r>
          </w:p>
        </w:tc>
        <w:tc>
          <w:tcPr>
            <w:tcW w:w="214" w:type="pct"/>
          </w:tcPr>
          <w:p w14:paraId="3AC0A086" w14:textId="77777777"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0ADB095A" w14:textId="77777777" w:rsidR="00095411" w:rsidRDefault="00095411" w:rsidP="00591CBB">
            <w:pPr>
              <w:spacing w:after="160" w:line="259" w:lineRule="auto"/>
              <w:rPr>
                <w:rFonts w:ascii="Arial Narrow" w:hAnsi="Arial Narrow"/>
                <w:sz w:val="18"/>
                <w:szCs w:val="18"/>
              </w:rPr>
            </w:pPr>
          </w:p>
        </w:tc>
        <w:tc>
          <w:tcPr>
            <w:tcW w:w="280" w:type="pct"/>
          </w:tcPr>
          <w:p w14:paraId="5BC750AB" w14:textId="77777777"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58EF03A6" w14:textId="77777777" w:rsidTr="00051F27">
        <w:trPr>
          <w:trHeight w:val="634"/>
        </w:trPr>
        <w:tc>
          <w:tcPr>
            <w:cnfStyle w:val="000010000000" w:firstRow="0" w:lastRow="0" w:firstColumn="0" w:lastColumn="0" w:oddVBand="1" w:evenVBand="0" w:oddHBand="0" w:evenHBand="0" w:firstRowFirstColumn="0" w:firstRowLastColumn="0" w:lastRowFirstColumn="0" w:lastRowLastColumn="0"/>
            <w:tcW w:w="432" w:type="pct"/>
          </w:tcPr>
          <w:p w14:paraId="7CD535F6" w14:textId="77777777" w:rsidR="00095411" w:rsidRPr="007348FD" w:rsidRDefault="00095411" w:rsidP="00591CBB">
            <w:pPr>
              <w:spacing w:after="160" w:line="259" w:lineRule="auto"/>
              <w:rPr>
                <w:rFonts w:ascii="Arial Narrow" w:hAnsi="Arial Narrow"/>
                <w:sz w:val="18"/>
                <w:szCs w:val="18"/>
              </w:rPr>
            </w:pPr>
          </w:p>
        </w:tc>
        <w:tc>
          <w:tcPr>
            <w:tcW w:w="460" w:type="pct"/>
          </w:tcPr>
          <w:p w14:paraId="1A8424C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A842E20"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BEA6C2D" w14:textId="64277B3F"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Borders>
              <w:bottom w:val="nil"/>
            </w:tcBorders>
          </w:tcPr>
          <w:p w14:paraId="0B44B911" w14:textId="64CE8221" w:rsidR="00095411" w:rsidRDefault="00095411" w:rsidP="00591CBB">
            <w:pPr>
              <w:spacing w:after="160" w:line="259" w:lineRule="auto"/>
              <w:rPr>
                <w:rFonts w:ascii="Arial Narrow" w:hAnsi="Arial Narrow"/>
                <w:sz w:val="18"/>
                <w:szCs w:val="18"/>
              </w:rPr>
            </w:pPr>
            <w:r>
              <w:rPr>
                <w:rFonts w:ascii="Arial Narrow" w:hAnsi="Arial Narrow"/>
                <w:sz w:val="18"/>
                <w:szCs w:val="18"/>
              </w:rPr>
              <w:t xml:space="preserve">Planned </w:t>
            </w:r>
          </w:p>
        </w:tc>
        <w:tc>
          <w:tcPr>
            <w:tcW w:w="330" w:type="pct"/>
          </w:tcPr>
          <w:p w14:paraId="667C75EC" w14:textId="77777777"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4FC4DA24" w14:textId="3144CC46" w:rsidR="00095411" w:rsidRDefault="00095411" w:rsidP="00591CBB">
            <w:pPr>
              <w:spacing w:after="160" w:line="259" w:lineRule="auto"/>
              <w:rPr>
                <w:rFonts w:ascii="Arial Narrow" w:hAnsi="Arial Narrow"/>
                <w:sz w:val="18"/>
                <w:szCs w:val="18"/>
              </w:rPr>
            </w:pPr>
            <w:r>
              <w:rPr>
                <w:rFonts w:ascii="Arial Narrow" w:hAnsi="Arial Narrow"/>
                <w:sz w:val="18"/>
                <w:szCs w:val="18"/>
              </w:rPr>
              <w:t>53</w:t>
            </w:r>
          </w:p>
        </w:tc>
        <w:tc>
          <w:tcPr>
            <w:tcW w:w="298" w:type="pct"/>
          </w:tcPr>
          <w:p w14:paraId="4DF17723" w14:textId="129863BB"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51</w:t>
            </w:r>
          </w:p>
        </w:tc>
        <w:tc>
          <w:tcPr>
            <w:cnfStyle w:val="000010000000" w:firstRow="0" w:lastRow="0" w:firstColumn="0" w:lastColumn="0" w:oddVBand="1" w:evenVBand="0" w:oddHBand="0" w:evenHBand="0" w:firstRowFirstColumn="0" w:firstRowLastColumn="0" w:lastRowFirstColumn="0" w:lastRowLastColumn="0"/>
            <w:tcW w:w="197" w:type="pct"/>
          </w:tcPr>
          <w:p w14:paraId="43744E4F" w14:textId="77777777" w:rsidR="00095411" w:rsidRPr="007348FD" w:rsidRDefault="00095411" w:rsidP="00591CBB">
            <w:pPr>
              <w:spacing w:after="160" w:line="259" w:lineRule="auto"/>
              <w:rPr>
                <w:rFonts w:ascii="Arial Narrow" w:hAnsi="Arial Narrow"/>
                <w:sz w:val="18"/>
                <w:szCs w:val="18"/>
              </w:rPr>
            </w:pPr>
          </w:p>
        </w:tc>
        <w:tc>
          <w:tcPr>
            <w:tcW w:w="273" w:type="pct"/>
          </w:tcPr>
          <w:p w14:paraId="5FED094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38B0906" w14:textId="77777777" w:rsidR="00095411" w:rsidRPr="007348FD" w:rsidRDefault="00095411" w:rsidP="00591CBB">
            <w:pPr>
              <w:spacing w:after="160" w:line="259" w:lineRule="auto"/>
              <w:rPr>
                <w:rFonts w:ascii="Arial Narrow" w:hAnsi="Arial Narrow"/>
                <w:sz w:val="18"/>
                <w:szCs w:val="18"/>
              </w:rPr>
            </w:pPr>
          </w:p>
        </w:tc>
        <w:tc>
          <w:tcPr>
            <w:tcW w:w="283" w:type="pct"/>
          </w:tcPr>
          <w:p w14:paraId="27E5DF2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8AFC3CC" w14:textId="77777777" w:rsidR="00095411" w:rsidRPr="007348FD" w:rsidRDefault="00095411" w:rsidP="00591CBB">
            <w:pPr>
              <w:spacing w:after="160" w:line="259" w:lineRule="auto"/>
              <w:rPr>
                <w:rFonts w:ascii="Arial Narrow" w:hAnsi="Arial Narrow"/>
                <w:sz w:val="18"/>
                <w:szCs w:val="18"/>
              </w:rPr>
            </w:pPr>
          </w:p>
        </w:tc>
        <w:tc>
          <w:tcPr>
            <w:tcW w:w="149" w:type="pct"/>
          </w:tcPr>
          <w:p w14:paraId="49F74C0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F2C064D" w14:textId="77777777" w:rsidR="00095411" w:rsidRDefault="00095411" w:rsidP="00591CBB">
            <w:pPr>
              <w:spacing w:after="160" w:line="259" w:lineRule="auto"/>
              <w:rPr>
                <w:rFonts w:ascii="Arial Narrow" w:hAnsi="Arial Narrow"/>
                <w:sz w:val="18"/>
                <w:szCs w:val="18"/>
              </w:rPr>
            </w:pPr>
          </w:p>
        </w:tc>
        <w:tc>
          <w:tcPr>
            <w:tcW w:w="214" w:type="pct"/>
          </w:tcPr>
          <w:p w14:paraId="46FA9170" w14:textId="7D17726F"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49</w:t>
            </w:r>
          </w:p>
        </w:tc>
        <w:tc>
          <w:tcPr>
            <w:cnfStyle w:val="000010000000" w:firstRow="0" w:lastRow="0" w:firstColumn="0" w:lastColumn="0" w:oddVBand="1" w:evenVBand="0" w:oddHBand="0" w:evenHBand="0" w:firstRowFirstColumn="0" w:firstRowLastColumn="0" w:lastRowFirstColumn="0" w:lastRowLastColumn="0"/>
            <w:tcW w:w="245" w:type="pct"/>
          </w:tcPr>
          <w:p w14:paraId="15AA4AE2" w14:textId="6CDD074F" w:rsidR="00095411" w:rsidRDefault="00095411" w:rsidP="00591CBB">
            <w:pPr>
              <w:spacing w:after="160" w:line="259" w:lineRule="auto"/>
              <w:rPr>
                <w:rFonts w:ascii="Arial Narrow" w:hAnsi="Arial Narrow"/>
                <w:sz w:val="18"/>
                <w:szCs w:val="18"/>
              </w:rPr>
            </w:pPr>
            <w:r>
              <w:rPr>
                <w:rFonts w:ascii="Arial Narrow" w:hAnsi="Arial Narrow"/>
                <w:sz w:val="18"/>
                <w:szCs w:val="18"/>
              </w:rPr>
              <w:t>47</w:t>
            </w:r>
          </w:p>
        </w:tc>
        <w:tc>
          <w:tcPr>
            <w:tcW w:w="280" w:type="pct"/>
          </w:tcPr>
          <w:p w14:paraId="13E331B7" w14:textId="2189AAAB"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45</w:t>
            </w:r>
          </w:p>
        </w:tc>
      </w:tr>
      <w:tr w:rsidR="00095411" w:rsidRPr="00591CBB" w14:paraId="66F5CD7A" w14:textId="77777777" w:rsidTr="00051F27">
        <w:trPr>
          <w:cnfStyle w:val="000000100000" w:firstRow="0" w:lastRow="0" w:firstColumn="0" w:lastColumn="0" w:oddVBand="0" w:evenVBand="0" w:oddHBand="1" w:evenHBand="0" w:firstRowFirstColumn="0" w:firstRowLastColumn="0" w:lastRowFirstColumn="0" w:lastRowLastColumn="0"/>
          <w:trHeight w:val="634"/>
        </w:trPr>
        <w:tc>
          <w:tcPr>
            <w:cnfStyle w:val="000010000000" w:firstRow="0" w:lastRow="0" w:firstColumn="0" w:lastColumn="0" w:oddVBand="1" w:evenVBand="0" w:oddHBand="0" w:evenHBand="0" w:firstRowFirstColumn="0" w:firstRowLastColumn="0" w:lastRowFirstColumn="0" w:lastRowLastColumn="0"/>
            <w:tcW w:w="432" w:type="pct"/>
          </w:tcPr>
          <w:p w14:paraId="2E038E8F" w14:textId="77777777" w:rsidR="00095411" w:rsidRPr="007348FD" w:rsidRDefault="00095411" w:rsidP="00591CBB">
            <w:pPr>
              <w:spacing w:after="160" w:line="259" w:lineRule="auto"/>
              <w:rPr>
                <w:rFonts w:ascii="Arial Narrow" w:hAnsi="Arial Narrow"/>
                <w:sz w:val="18"/>
                <w:szCs w:val="18"/>
              </w:rPr>
            </w:pPr>
          </w:p>
        </w:tc>
        <w:tc>
          <w:tcPr>
            <w:tcW w:w="460" w:type="pct"/>
          </w:tcPr>
          <w:p w14:paraId="5980D6E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EC0EBF4"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A28C48A" w14:textId="77777777"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Borders>
              <w:bottom w:val="nil"/>
            </w:tcBorders>
          </w:tcPr>
          <w:p w14:paraId="59088DE4" w14:textId="6546347A" w:rsidR="00095411" w:rsidRDefault="00095411" w:rsidP="00591CBB">
            <w:pPr>
              <w:spacing w:after="160" w:line="259" w:lineRule="auto"/>
              <w:rPr>
                <w:rFonts w:ascii="Arial Narrow" w:hAnsi="Arial Narrow"/>
                <w:sz w:val="18"/>
                <w:szCs w:val="18"/>
              </w:rPr>
            </w:pPr>
            <w:r>
              <w:rPr>
                <w:rFonts w:ascii="Arial Narrow" w:hAnsi="Arial Narrow"/>
                <w:sz w:val="18"/>
                <w:szCs w:val="18"/>
              </w:rPr>
              <w:t>Actual</w:t>
            </w:r>
          </w:p>
        </w:tc>
        <w:tc>
          <w:tcPr>
            <w:tcW w:w="330" w:type="pct"/>
          </w:tcPr>
          <w:p w14:paraId="383840AA" w14:textId="3BF941A6"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56</w:t>
            </w:r>
          </w:p>
        </w:tc>
        <w:tc>
          <w:tcPr>
            <w:cnfStyle w:val="000010000000" w:firstRow="0" w:lastRow="0" w:firstColumn="0" w:lastColumn="0" w:oddVBand="1" w:evenVBand="0" w:oddHBand="0" w:evenHBand="0" w:firstRowFirstColumn="0" w:firstRowLastColumn="0" w:lastRowFirstColumn="0" w:lastRowLastColumn="0"/>
            <w:tcW w:w="271" w:type="pct"/>
          </w:tcPr>
          <w:p w14:paraId="6115959E" w14:textId="2BFCF926" w:rsidR="00095411" w:rsidRDefault="00095411" w:rsidP="00591CBB">
            <w:pPr>
              <w:spacing w:after="160" w:line="259" w:lineRule="auto"/>
              <w:rPr>
                <w:rFonts w:ascii="Arial Narrow" w:hAnsi="Arial Narrow"/>
                <w:sz w:val="18"/>
                <w:szCs w:val="18"/>
              </w:rPr>
            </w:pPr>
            <w:r>
              <w:rPr>
                <w:rFonts w:ascii="Arial Narrow" w:hAnsi="Arial Narrow"/>
                <w:sz w:val="18"/>
                <w:szCs w:val="18"/>
              </w:rPr>
              <w:t>56</w:t>
            </w:r>
          </w:p>
        </w:tc>
        <w:tc>
          <w:tcPr>
            <w:tcW w:w="298" w:type="pct"/>
          </w:tcPr>
          <w:p w14:paraId="1419C2C4" w14:textId="77777777"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97" w:type="pct"/>
          </w:tcPr>
          <w:p w14:paraId="3B51900D" w14:textId="451855B3" w:rsidR="00095411" w:rsidRPr="007348FD" w:rsidRDefault="00095411" w:rsidP="00591CBB">
            <w:pPr>
              <w:spacing w:after="160" w:line="259" w:lineRule="auto"/>
              <w:rPr>
                <w:rFonts w:ascii="Arial Narrow" w:hAnsi="Arial Narrow"/>
                <w:sz w:val="18"/>
                <w:szCs w:val="18"/>
              </w:rPr>
            </w:pPr>
            <w:r>
              <w:rPr>
                <w:rFonts w:ascii="Arial Narrow" w:hAnsi="Arial Narrow"/>
                <w:sz w:val="18"/>
                <w:szCs w:val="18"/>
              </w:rPr>
              <w:t>55</w:t>
            </w:r>
          </w:p>
        </w:tc>
        <w:tc>
          <w:tcPr>
            <w:tcW w:w="273" w:type="pct"/>
          </w:tcPr>
          <w:p w14:paraId="43101B1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BEB1492" w14:textId="77777777" w:rsidR="00095411" w:rsidRPr="007348FD" w:rsidRDefault="00095411" w:rsidP="00591CBB">
            <w:pPr>
              <w:spacing w:after="160" w:line="259" w:lineRule="auto"/>
              <w:rPr>
                <w:rFonts w:ascii="Arial Narrow" w:hAnsi="Arial Narrow"/>
                <w:sz w:val="18"/>
                <w:szCs w:val="18"/>
              </w:rPr>
            </w:pPr>
          </w:p>
        </w:tc>
        <w:tc>
          <w:tcPr>
            <w:tcW w:w="283" w:type="pct"/>
          </w:tcPr>
          <w:p w14:paraId="6481041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488065B" w14:textId="77777777" w:rsidR="00095411" w:rsidRPr="007348FD" w:rsidRDefault="00095411" w:rsidP="00591CBB">
            <w:pPr>
              <w:spacing w:after="160" w:line="259" w:lineRule="auto"/>
              <w:rPr>
                <w:rFonts w:ascii="Arial Narrow" w:hAnsi="Arial Narrow"/>
                <w:sz w:val="18"/>
                <w:szCs w:val="18"/>
              </w:rPr>
            </w:pPr>
          </w:p>
        </w:tc>
        <w:tc>
          <w:tcPr>
            <w:tcW w:w="149" w:type="pct"/>
          </w:tcPr>
          <w:p w14:paraId="3168BCE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A22EC31" w14:textId="519C9BF4" w:rsidR="00095411" w:rsidRDefault="00095411" w:rsidP="00591CBB">
            <w:pPr>
              <w:spacing w:after="160" w:line="259" w:lineRule="auto"/>
              <w:rPr>
                <w:rFonts w:ascii="Arial Narrow" w:hAnsi="Arial Narrow"/>
                <w:sz w:val="18"/>
                <w:szCs w:val="18"/>
              </w:rPr>
            </w:pPr>
            <w:r>
              <w:rPr>
                <w:rFonts w:ascii="Arial Narrow" w:hAnsi="Arial Narrow"/>
                <w:sz w:val="18"/>
                <w:szCs w:val="18"/>
              </w:rPr>
              <w:t>1</w:t>
            </w:r>
          </w:p>
        </w:tc>
        <w:tc>
          <w:tcPr>
            <w:tcW w:w="214" w:type="pct"/>
          </w:tcPr>
          <w:p w14:paraId="48CBCF38" w14:textId="28D499A0"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55</w:t>
            </w:r>
          </w:p>
        </w:tc>
        <w:tc>
          <w:tcPr>
            <w:cnfStyle w:val="000010000000" w:firstRow="0" w:lastRow="0" w:firstColumn="0" w:lastColumn="0" w:oddVBand="1" w:evenVBand="0" w:oddHBand="0" w:evenHBand="0" w:firstRowFirstColumn="0" w:firstRowLastColumn="0" w:lastRowFirstColumn="0" w:lastRowLastColumn="0"/>
            <w:tcW w:w="245" w:type="pct"/>
          </w:tcPr>
          <w:p w14:paraId="4DD972C1" w14:textId="77777777" w:rsidR="00095411" w:rsidRDefault="00095411" w:rsidP="00591CBB">
            <w:pPr>
              <w:spacing w:after="160" w:line="259" w:lineRule="auto"/>
              <w:rPr>
                <w:rFonts w:ascii="Arial Narrow" w:hAnsi="Arial Narrow"/>
                <w:sz w:val="18"/>
                <w:szCs w:val="18"/>
              </w:rPr>
            </w:pPr>
          </w:p>
        </w:tc>
        <w:tc>
          <w:tcPr>
            <w:tcW w:w="280" w:type="pct"/>
          </w:tcPr>
          <w:p w14:paraId="553DC10E" w14:textId="77777777"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1CF1ECE2" w14:textId="77777777" w:rsidTr="00051F27">
        <w:trPr>
          <w:trHeight w:val="634"/>
        </w:trPr>
        <w:tc>
          <w:tcPr>
            <w:cnfStyle w:val="000010000000" w:firstRow="0" w:lastRow="0" w:firstColumn="0" w:lastColumn="0" w:oddVBand="1" w:evenVBand="0" w:oddHBand="0" w:evenHBand="0" w:firstRowFirstColumn="0" w:firstRowLastColumn="0" w:lastRowFirstColumn="0" w:lastRowLastColumn="0"/>
            <w:tcW w:w="432" w:type="pct"/>
          </w:tcPr>
          <w:p w14:paraId="552E8D98" w14:textId="77777777" w:rsidR="00095411" w:rsidRPr="007348FD" w:rsidRDefault="00095411" w:rsidP="00591CBB">
            <w:pPr>
              <w:spacing w:after="160" w:line="259" w:lineRule="auto"/>
              <w:rPr>
                <w:rFonts w:ascii="Arial Narrow" w:hAnsi="Arial Narrow"/>
                <w:sz w:val="18"/>
                <w:szCs w:val="18"/>
              </w:rPr>
            </w:pPr>
          </w:p>
        </w:tc>
        <w:tc>
          <w:tcPr>
            <w:tcW w:w="460" w:type="pct"/>
          </w:tcPr>
          <w:p w14:paraId="75FADE1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4277C23"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9D22BBF" w14:textId="491569BA"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Borders>
              <w:bottom w:val="nil"/>
            </w:tcBorders>
          </w:tcPr>
          <w:p w14:paraId="3EE520D8" w14:textId="166F707F" w:rsidR="00095411" w:rsidRDefault="00095411" w:rsidP="00591CBB">
            <w:pPr>
              <w:spacing w:after="160" w:line="259" w:lineRule="auto"/>
              <w:rPr>
                <w:rFonts w:ascii="Arial Narrow" w:hAnsi="Arial Narrow"/>
                <w:sz w:val="18"/>
                <w:szCs w:val="18"/>
              </w:rPr>
            </w:pPr>
            <w:r>
              <w:rPr>
                <w:rFonts w:ascii="Arial Narrow" w:hAnsi="Arial Narrow"/>
                <w:sz w:val="18"/>
                <w:szCs w:val="18"/>
              </w:rPr>
              <w:t>Planned</w:t>
            </w:r>
          </w:p>
        </w:tc>
        <w:tc>
          <w:tcPr>
            <w:tcW w:w="330" w:type="pct"/>
          </w:tcPr>
          <w:p w14:paraId="7729CBDE" w14:textId="77777777"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197EF5D8" w14:textId="1E2C1CC1" w:rsidR="00095411" w:rsidRDefault="00095411" w:rsidP="00591CBB">
            <w:pPr>
              <w:spacing w:after="160" w:line="259" w:lineRule="auto"/>
              <w:rPr>
                <w:rFonts w:ascii="Arial Narrow" w:hAnsi="Arial Narrow"/>
                <w:sz w:val="18"/>
                <w:szCs w:val="18"/>
              </w:rPr>
            </w:pPr>
            <w:r>
              <w:rPr>
                <w:rFonts w:ascii="Arial Narrow" w:hAnsi="Arial Narrow"/>
                <w:sz w:val="18"/>
                <w:szCs w:val="18"/>
              </w:rPr>
              <w:t>74</w:t>
            </w:r>
          </w:p>
        </w:tc>
        <w:tc>
          <w:tcPr>
            <w:tcW w:w="298" w:type="pct"/>
          </w:tcPr>
          <w:p w14:paraId="36AA0C0D" w14:textId="4D2FC5C2"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71</w:t>
            </w:r>
          </w:p>
        </w:tc>
        <w:tc>
          <w:tcPr>
            <w:cnfStyle w:val="000010000000" w:firstRow="0" w:lastRow="0" w:firstColumn="0" w:lastColumn="0" w:oddVBand="1" w:evenVBand="0" w:oddHBand="0" w:evenHBand="0" w:firstRowFirstColumn="0" w:firstRowLastColumn="0" w:lastRowFirstColumn="0" w:lastRowLastColumn="0"/>
            <w:tcW w:w="197" w:type="pct"/>
          </w:tcPr>
          <w:p w14:paraId="349D2B7C" w14:textId="77777777" w:rsidR="00095411" w:rsidRDefault="00095411" w:rsidP="00591CBB">
            <w:pPr>
              <w:spacing w:after="160" w:line="259" w:lineRule="auto"/>
              <w:rPr>
                <w:rFonts w:ascii="Arial Narrow" w:hAnsi="Arial Narrow"/>
                <w:sz w:val="18"/>
                <w:szCs w:val="18"/>
              </w:rPr>
            </w:pPr>
          </w:p>
        </w:tc>
        <w:tc>
          <w:tcPr>
            <w:tcW w:w="273" w:type="pct"/>
          </w:tcPr>
          <w:p w14:paraId="0C9A08F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C55D7AD" w14:textId="77777777" w:rsidR="00095411" w:rsidRPr="007348FD" w:rsidRDefault="00095411" w:rsidP="00591CBB">
            <w:pPr>
              <w:spacing w:after="160" w:line="259" w:lineRule="auto"/>
              <w:rPr>
                <w:rFonts w:ascii="Arial Narrow" w:hAnsi="Arial Narrow"/>
                <w:sz w:val="18"/>
                <w:szCs w:val="18"/>
              </w:rPr>
            </w:pPr>
          </w:p>
        </w:tc>
        <w:tc>
          <w:tcPr>
            <w:tcW w:w="283" w:type="pct"/>
          </w:tcPr>
          <w:p w14:paraId="543FBE5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C752BA7" w14:textId="77777777" w:rsidR="00095411" w:rsidRPr="007348FD" w:rsidRDefault="00095411" w:rsidP="00591CBB">
            <w:pPr>
              <w:spacing w:after="160" w:line="259" w:lineRule="auto"/>
              <w:rPr>
                <w:rFonts w:ascii="Arial Narrow" w:hAnsi="Arial Narrow"/>
                <w:sz w:val="18"/>
                <w:szCs w:val="18"/>
              </w:rPr>
            </w:pPr>
          </w:p>
        </w:tc>
        <w:tc>
          <w:tcPr>
            <w:tcW w:w="149" w:type="pct"/>
          </w:tcPr>
          <w:p w14:paraId="261873A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31A4456" w14:textId="77777777" w:rsidR="00095411" w:rsidRDefault="00095411" w:rsidP="00591CBB">
            <w:pPr>
              <w:spacing w:after="160" w:line="259" w:lineRule="auto"/>
              <w:rPr>
                <w:rFonts w:ascii="Arial Narrow" w:hAnsi="Arial Narrow"/>
                <w:sz w:val="18"/>
                <w:szCs w:val="18"/>
              </w:rPr>
            </w:pPr>
          </w:p>
        </w:tc>
        <w:tc>
          <w:tcPr>
            <w:tcW w:w="214" w:type="pct"/>
          </w:tcPr>
          <w:p w14:paraId="71BC4937" w14:textId="0D87B001"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68</w:t>
            </w:r>
          </w:p>
        </w:tc>
        <w:tc>
          <w:tcPr>
            <w:cnfStyle w:val="000010000000" w:firstRow="0" w:lastRow="0" w:firstColumn="0" w:lastColumn="0" w:oddVBand="1" w:evenVBand="0" w:oddHBand="0" w:evenHBand="0" w:firstRowFirstColumn="0" w:firstRowLastColumn="0" w:lastRowFirstColumn="0" w:lastRowLastColumn="0"/>
            <w:tcW w:w="245" w:type="pct"/>
          </w:tcPr>
          <w:p w14:paraId="5F51C91A" w14:textId="75221C48" w:rsidR="00095411" w:rsidRDefault="00095411" w:rsidP="00591CBB">
            <w:pPr>
              <w:spacing w:after="160" w:line="259" w:lineRule="auto"/>
              <w:rPr>
                <w:rFonts w:ascii="Arial Narrow" w:hAnsi="Arial Narrow"/>
                <w:sz w:val="18"/>
                <w:szCs w:val="18"/>
              </w:rPr>
            </w:pPr>
            <w:r>
              <w:rPr>
                <w:rFonts w:ascii="Arial Narrow" w:hAnsi="Arial Narrow"/>
                <w:sz w:val="18"/>
                <w:szCs w:val="18"/>
              </w:rPr>
              <w:t>65</w:t>
            </w:r>
          </w:p>
        </w:tc>
        <w:tc>
          <w:tcPr>
            <w:tcW w:w="280" w:type="pct"/>
          </w:tcPr>
          <w:p w14:paraId="2B670A10" w14:textId="7744F161"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62</w:t>
            </w:r>
          </w:p>
        </w:tc>
      </w:tr>
      <w:tr w:rsidR="00095411" w:rsidRPr="00591CBB" w14:paraId="5D978D41" w14:textId="77777777" w:rsidTr="00051F27">
        <w:trPr>
          <w:cnfStyle w:val="000000100000" w:firstRow="0" w:lastRow="0" w:firstColumn="0" w:lastColumn="0" w:oddVBand="0" w:evenVBand="0" w:oddHBand="1" w:evenHBand="0" w:firstRowFirstColumn="0" w:firstRowLastColumn="0" w:lastRowFirstColumn="0" w:lastRowLastColumn="0"/>
          <w:trHeight w:val="634"/>
        </w:trPr>
        <w:tc>
          <w:tcPr>
            <w:cnfStyle w:val="000010000000" w:firstRow="0" w:lastRow="0" w:firstColumn="0" w:lastColumn="0" w:oddVBand="1" w:evenVBand="0" w:oddHBand="0" w:evenHBand="0" w:firstRowFirstColumn="0" w:firstRowLastColumn="0" w:lastRowFirstColumn="0" w:lastRowLastColumn="0"/>
            <w:tcW w:w="432" w:type="pct"/>
          </w:tcPr>
          <w:p w14:paraId="628AC847" w14:textId="77777777" w:rsidR="00095411" w:rsidRPr="007348FD" w:rsidRDefault="00095411" w:rsidP="00591CBB">
            <w:pPr>
              <w:spacing w:after="160" w:line="259" w:lineRule="auto"/>
              <w:rPr>
                <w:rFonts w:ascii="Arial Narrow" w:hAnsi="Arial Narrow"/>
                <w:sz w:val="18"/>
                <w:szCs w:val="18"/>
              </w:rPr>
            </w:pPr>
          </w:p>
        </w:tc>
        <w:tc>
          <w:tcPr>
            <w:tcW w:w="460" w:type="pct"/>
          </w:tcPr>
          <w:p w14:paraId="0132316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D9DD537"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B09A3E8" w14:textId="77777777"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Borders>
              <w:bottom w:val="nil"/>
            </w:tcBorders>
          </w:tcPr>
          <w:p w14:paraId="2BE1C324" w14:textId="05544859" w:rsidR="00095411" w:rsidRDefault="00095411" w:rsidP="00591CBB">
            <w:pPr>
              <w:spacing w:after="160" w:line="259" w:lineRule="auto"/>
              <w:rPr>
                <w:rFonts w:ascii="Arial Narrow" w:hAnsi="Arial Narrow"/>
                <w:sz w:val="18"/>
                <w:szCs w:val="18"/>
              </w:rPr>
            </w:pPr>
            <w:r>
              <w:rPr>
                <w:rFonts w:ascii="Arial Narrow" w:hAnsi="Arial Narrow"/>
                <w:sz w:val="18"/>
                <w:szCs w:val="18"/>
              </w:rPr>
              <w:t>Actual</w:t>
            </w:r>
          </w:p>
        </w:tc>
        <w:tc>
          <w:tcPr>
            <w:tcW w:w="330" w:type="pct"/>
          </w:tcPr>
          <w:p w14:paraId="0F07F6FA" w14:textId="71CFDDEB"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77</w:t>
            </w:r>
          </w:p>
        </w:tc>
        <w:tc>
          <w:tcPr>
            <w:cnfStyle w:val="000010000000" w:firstRow="0" w:lastRow="0" w:firstColumn="0" w:lastColumn="0" w:oddVBand="1" w:evenVBand="0" w:oddHBand="0" w:evenHBand="0" w:firstRowFirstColumn="0" w:firstRowLastColumn="0" w:lastRowFirstColumn="0" w:lastRowLastColumn="0"/>
            <w:tcW w:w="271" w:type="pct"/>
          </w:tcPr>
          <w:p w14:paraId="3F9A7F74" w14:textId="5973560B" w:rsidR="00095411" w:rsidRDefault="00095411" w:rsidP="00591CBB">
            <w:pPr>
              <w:spacing w:after="160" w:line="259" w:lineRule="auto"/>
              <w:rPr>
                <w:rFonts w:ascii="Arial Narrow" w:hAnsi="Arial Narrow"/>
                <w:sz w:val="18"/>
                <w:szCs w:val="18"/>
              </w:rPr>
            </w:pPr>
            <w:r>
              <w:rPr>
                <w:rFonts w:ascii="Arial Narrow" w:hAnsi="Arial Narrow"/>
                <w:sz w:val="18"/>
                <w:szCs w:val="18"/>
              </w:rPr>
              <w:t>77</w:t>
            </w:r>
          </w:p>
        </w:tc>
        <w:tc>
          <w:tcPr>
            <w:tcW w:w="298" w:type="pct"/>
          </w:tcPr>
          <w:p w14:paraId="25186C8B" w14:textId="77777777"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97" w:type="pct"/>
          </w:tcPr>
          <w:p w14:paraId="3508DD73" w14:textId="25BE853B" w:rsidR="00095411" w:rsidRDefault="00095411" w:rsidP="00591CBB">
            <w:pPr>
              <w:spacing w:after="160" w:line="259" w:lineRule="auto"/>
              <w:rPr>
                <w:rFonts w:ascii="Arial Narrow" w:hAnsi="Arial Narrow"/>
                <w:sz w:val="18"/>
                <w:szCs w:val="18"/>
              </w:rPr>
            </w:pPr>
            <w:r>
              <w:rPr>
                <w:rFonts w:ascii="Arial Narrow" w:hAnsi="Arial Narrow"/>
                <w:sz w:val="18"/>
                <w:szCs w:val="18"/>
              </w:rPr>
              <w:t>77</w:t>
            </w:r>
          </w:p>
        </w:tc>
        <w:tc>
          <w:tcPr>
            <w:tcW w:w="273" w:type="pct"/>
          </w:tcPr>
          <w:p w14:paraId="30244D2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BB0E333" w14:textId="77777777" w:rsidR="00095411" w:rsidRPr="007348FD" w:rsidRDefault="00095411" w:rsidP="00591CBB">
            <w:pPr>
              <w:spacing w:after="160" w:line="259" w:lineRule="auto"/>
              <w:rPr>
                <w:rFonts w:ascii="Arial Narrow" w:hAnsi="Arial Narrow"/>
                <w:sz w:val="18"/>
                <w:szCs w:val="18"/>
              </w:rPr>
            </w:pPr>
          </w:p>
        </w:tc>
        <w:tc>
          <w:tcPr>
            <w:tcW w:w="283" w:type="pct"/>
          </w:tcPr>
          <w:p w14:paraId="4C091C6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4938572" w14:textId="77777777" w:rsidR="00095411" w:rsidRPr="007348FD" w:rsidRDefault="00095411" w:rsidP="00591CBB">
            <w:pPr>
              <w:spacing w:after="160" w:line="259" w:lineRule="auto"/>
              <w:rPr>
                <w:rFonts w:ascii="Arial Narrow" w:hAnsi="Arial Narrow"/>
                <w:sz w:val="18"/>
                <w:szCs w:val="18"/>
              </w:rPr>
            </w:pPr>
          </w:p>
        </w:tc>
        <w:tc>
          <w:tcPr>
            <w:tcW w:w="149" w:type="pct"/>
          </w:tcPr>
          <w:p w14:paraId="7A731AB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CD4B014" w14:textId="1909ECC5" w:rsidR="00095411" w:rsidRDefault="00095411" w:rsidP="00591CBB">
            <w:pPr>
              <w:spacing w:after="160" w:line="259" w:lineRule="auto"/>
              <w:rPr>
                <w:rFonts w:ascii="Arial Narrow" w:hAnsi="Arial Narrow"/>
                <w:sz w:val="18"/>
                <w:szCs w:val="18"/>
              </w:rPr>
            </w:pPr>
            <w:r>
              <w:rPr>
                <w:rFonts w:ascii="Arial Narrow" w:hAnsi="Arial Narrow"/>
                <w:sz w:val="18"/>
                <w:szCs w:val="18"/>
              </w:rPr>
              <w:t>1</w:t>
            </w:r>
          </w:p>
        </w:tc>
        <w:tc>
          <w:tcPr>
            <w:tcW w:w="214" w:type="pct"/>
          </w:tcPr>
          <w:p w14:paraId="7673C1C2" w14:textId="51A74D37"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77</w:t>
            </w:r>
          </w:p>
        </w:tc>
        <w:tc>
          <w:tcPr>
            <w:cnfStyle w:val="000010000000" w:firstRow="0" w:lastRow="0" w:firstColumn="0" w:lastColumn="0" w:oddVBand="1" w:evenVBand="0" w:oddHBand="0" w:evenHBand="0" w:firstRowFirstColumn="0" w:firstRowLastColumn="0" w:lastRowFirstColumn="0" w:lastRowLastColumn="0"/>
            <w:tcW w:w="245" w:type="pct"/>
          </w:tcPr>
          <w:p w14:paraId="51DD2F27" w14:textId="77777777" w:rsidR="00095411" w:rsidRDefault="00095411" w:rsidP="00591CBB">
            <w:pPr>
              <w:spacing w:after="160" w:line="259" w:lineRule="auto"/>
              <w:rPr>
                <w:rFonts w:ascii="Arial Narrow" w:hAnsi="Arial Narrow"/>
                <w:sz w:val="18"/>
                <w:szCs w:val="18"/>
              </w:rPr>
            </w:pPr>
          </w:p>
        </w:tc>
        <w:tc>
          <w:tcPr>
            <w:tcW w:w="280" w:type="pct"/>
          </w:tcPr>
          <w:p w14:paraId="4FAE9133" w14:textId="77777777"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63F8973D" w14:textId="77777777" w:rsidTr="00051F27">
        <w:trPr>
          <w:trHeight w:val="634"/>
        </w:trPr>
        <w:tc>
          <w:tcPr>
            <w:cnfStyle w:val="000010000000" w:firstRow="0" w:lastRow="0" w:firstColumn="0" w:lastColumn="0" w:oddVBand="1" w:evenVBand="0" w:oddHBand="0" w:evenHBand="0" w:firstRowFirstColumn="0" w:firstRowLastColumn="0" w:lastRowFirstColumn="0" w:lastRowLastColumn="0"/>
            <w:tcW w:w="432" w:type="pct"/>
          </w:tcPr>
          <w:p w14:paraId="26C8F737" w14:textId="77777777" w:rsidR="00095411" w:rsidRPr="007348FD" w:rsidRDefault="00095411" w:rsidP="00591CBB">
            <w:pPr>
              <w:spacing w:after="160" w:line="259" w:lineRule="auto"/>
              <w:rPr>
                <w:rFonts w:ascii="Arial Narrow" w:hAnsi="Arial Narrow"/>
                <w:sz w:val="18"/>
                <w:szCs w:val="18"/>
              </w:rPr>
            </w:pPr>
          </w:p>
        </w:tc>
        <w:tc>
          <w:tcPr>
            <w:tcW w:w="460" w:type="pct"/>
          </w:tcPr>
          <w:p w14:paraId="06C0C75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CACC7C0"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B77D47B" w14:textId="531BA4CF"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Borders>
              <w:bottom w:val="nil"/>
            </w:tcBorders>
          </w:tcPr>
          <w:p w14:paraId="3F1F7AAE" w14:textId="39A95BFB" w:rsidR="00095411" w:rsidRDefault="00095411" w:rsidP="00591CBB">
            <w:pPr>
              <w:spacing w:after="160" w:line="259" w:lineRule="auto"/>
              <w:rPr>
                <w:rFonts w:ascii="Arial Narrow" w:hAnsi="Arial Narrow"/>
                <w:sz w:val="18"/>
                <w:szCs w:val="18"/>
              </w:rPr>
            </w:pPr>
            <w:r>
              <w:rPr>
                <w:rFonts w:ascii="Arial Narrow" w:hAnsi="Arial Narrow"/>
                <w:sz w:val="18"/>
                <w:szCs w:val="18"/>
              </w:rPr>
              <w:t>Planned</w:t>
            </w:r>
          </w:p>
        </w:tc>
        <w:tc>
          <w:tcPr>
            <w:tcW w:w="330" w:type="pct"/>
          </w:tcPr>
          <w:p w14:paraId="35B232C3" w14:textId="77777777"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10523C9B" w14:textId="2E2B9ABB" w:rsidR="00095411" w:rsidRDefault="00095411" w:rsidP="00591CBB">
            <w:pPr>
              <w:spacing w:after="160" w:line="259" w:lineRule="auto"/>
              <w:rPr>
                <w:rFonts w:ascii="Arial Narrow" w:hAnsi="Arial Narrow"/>
                <w:sz w:val="18"/>
                <w:szCs w:val="18"/>
              </w:rPr>
            </w:pPr>
            <w:r>
              <w:rPr>
                <w:rFonts w:ascii="Arial Narrow" w:hAnsi="Arial Narrow"/>
                <w:sz w:val="18"/>
                <w:szCs w:val="18"/>
              </w:rPr>
              <w:t>30</w:t>
            </w:r>
          </w:p>
        </w:tc>
        <w:tc>
          <w:tcPr>
            <w:tcW w:w="298" w:type="pct"/>
          </w:tcPr>
          <w:p w14:paraId="3DEBD103" w14:textId="5F9B7B27"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29</w:t>
            </w:r>
          </w:p>
        </w:tc>
        <w:tc>
          <w:tcPr>
            <w:cnfStyle w:val="000010000000" w:firstRow="0" w:lastRow="0" w:firstColumn="0" w:lastColumn="0" w:oddVBand="1" w:evenVBand="0" w:oddHBand="0" w:evenHBand="0" w:firstRowFirstColumn="0" w:firstRowLastColumn="0" w:lastRowFirstColumn="0" w:lastRowLastColumn="0"/>
            <w:tcW w:w="197" w:type="pct"/>
          </w:tcPr>
          <w:p w14:paraId="1ABE3D9A" w14:textId="77777777" w:rsidR="00095411" w:rsidRDefault="00095411" w:rsidP="00591CBB">
            <w:pPr>
              <w:spacing w:after="160" w:line="259" w:lineRule="auto"/>
              <w:rPr>
                <w:rFonts w:ascii="Arial Narrow" w:hAnsi="Arial Narrow"/>
                <w:sz w:val="18"/>
                <w:szCs w:val="18"/>
              </w:rPr>
            </w:pPr>
          </w:p>
        </w:tc>
        <w:tc>
          <w:tcPr>
            <w:tcW w:w="273" w:type="pct"/>
          </w:tcPr>
          <w:p w14:paraId="0F4E0AC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0010362" w14:textId="77777777" w:rsidR="00095411" w:rsidRPr="007348FD" w:rsidRDefault="00095411" w:rsidP="00591CBB">
            <w:pPr>
              <w:spacing w:after="160" w:line="259" w:lineRule="auto"/>
              <w:rPr>
                <w:rFonts w:ascii="Arial Narrow" w:hAnsi="Arial Narrow"/>
                <w:sz w:val="18"/>
                <w:szCs w:val="18"/>
              </w:rPr>
            </w:pPr>
          </w:p>
        </w:tc>
        <w:tc>
          <w:tcPr>
            <w:tcW w:w="283" w:type="pct"/>
          </w:tcPr>
          <w:p w14:paraId="01EBA73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8799515" w14:textId="77777777" w:rsidR="00095411" w:rsidRPr="007348FD" w:rsidRDefault="00095411" w:rsidP="00591CBB">
            <w:pPr>
              <w:spacing w:after="160" w:line="259" w:lineRule="auto"/>
              <w:rPr>
                <w:rFonts w:ascii="Arial Narrow" w:hAnsi="Arial Narrow"/>
                <w:sz w:val="18"/>
                <w:szCs w:val="18"/>
              </w:rPr>
            </w:pPr>
          </w:p>
        </w:tc>
        <w:tc>
          <w:tcPr>
            <w:tcW w:w="149" w:type="pct"/>
          </w:tcPr>
          <w:p w14:paraId="7B592CC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716EF10" w14:textId="77777777" w:rsidR="00095411" w:rsidRDefault="00095411" w:rsidP="00591CBB">
            <w:pPr>
              <w:spacing w:after="160" w:line="259" w:lineRule="auto"/>
              <w:rPr>
                <w:rFonts w:ascii="Arial Narrow" w:hAnsi="Arial Narrow"/>
                <w:sz w:val="18"/>
                <w:szCs w:val="18"/>
              </w:rPr>
            </w:pPr>
          </w:p>
        </w:tc>
        <w:tc>
          <w:tcPr>
            <w:tcW w:w="214" w:type="pct"/>
          </w:tcPr>
          <w:p w14:paraId="35DDF189" w14:textId="5B64EA83"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28</w:t>
            </w:r>
          </w:p>
        </w:tc>
        <w:tc>
          <w:tcPr>
            <w:cnfStyle w:val="000010000000" w:firstRow="0" w:lastRow="0" w:firstColumn="0" w:lastColumn="0" w:oddVBand="1" w:evenVBand="0" w:oddHBand="0" w:evenHBand="0" w:firstRowFirstColumn="0" w:firstRowLastColumn="0" w:lastRowFirstColumn="0" w:lastRowLastColumn="0"/>
            <w:tcW w:w="245" w:type="pct"/>
          </w:tcPr>
          <w:p w14:paraId="1E87DB81" w14:textId="235D1D49" w:rsidR="00095411" w:rsidRDefault="00095411" w:rsidP="00591CBB">
            <w:pPr>
              <w:spacing w:after="160" w:line="259" w:lineRule="auto"/>
              <w:rPr>
                <w:rFonts w:ascii="Arial Narrow" w:hAnsi="Arial Narrow"/>
                <w:sz w:val="18"/>
                <w:szCs w:val="18"/>
              </w:rPr>
            </w:pPr>
            <w:r>
              <w:rPr>
                <w:rFonts w:ascii="Arial Narrow" w:hAnsi="Arial Narrow"/>
                <w:sz w:val="18"/>
                <w:szCs w:val="18"/>
              </w:rPr>
              <w:t>27</w:t>
            </w:r>
          </w:p>
        </w:tc>
        <w:tc>
          <w:tcPr>
            <w:tcW w:w="280" w:type="pct"/>
          </w:tcPr>
          <w:p w14:paraId="1F88225A" w14:textId="626936E8"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26</w:t>
            </w:r>
          </w:p>
        </w:tc>
      </w:tr>
      <w:tr w:rsidR="00095411" w:rsidRPr="00591CBB" w14:paraId="5AD0246A" w14:textId="77777777" w:rsidTr="00051F27">
        <w:trPr>
          <w:cnfStyle w:val="000000100000" w:firstRow="0" w:lastRow="0" w:firstColumn="0" w:lastColumn="0" w:oddVBand="0" w:evenVBand="0" w:oddHBand="1" w:evenHBand="0" w:firstRowFirstColumn="0" w:firstRowLastColumn="0" w:lastRowFirstColumn="0" w:lastRowLastColumn="0"/>
          <w:trHeight w:val="634"/>
        </w:trPr>
        <w:tc>
          <w:tcPr>
            <w:cnfStyle w:val="000010000000" w:firstRow="0" w:lastRow="0" w:firstColumn="0" w:lastColumn="0" w:oddVBand="1" w:evenVBand="0" w:oddHBand="0" w:evenHBand="0" w:firstRowFirstColumn="0" w:firstRowLastColumn="0" w:lastRowFirstColumn="0" w:lastRowLastColumn="0"/>
            <w:tcW w:w="432" w:type="pct"/>
          </w:tcPr>
          <w:p w14:paraId="74C02629" w14:textId="77777777" w:rsidR="00095411" w:rsidRPr="007348FD" w:rsidRDefault="00095411" w:rsidP="00591CBB">
            <w:pPr>
              <w:spacing w:after="160" w:line="259" w:lineRule="auto"/>
              <w:rPr>
                <w:rFonts w:ascii="Arial Narrow" w:hAnsi="Arial Narrow"/>
                <w:sz w:val="18"/>
                <w:szCs w:val="18"/>
              </w:rPr>
            </w:pPr>
          </w:p>
        </w:tc>
        <w:tc>
          <w:tcPr>
            <w:tcW w:w="460" w:type="pct"/>
          </w:tcPr>
          <w:p w14:paraId="0A84D88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57265AB"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0B30952" w14:textId="77777777"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Borders>
              <w:bottom w:val="nil"/>
            </w:tcBorders>
          </w:tcPr>
          <w:p w14:paraId="5F794B1B" w14:textId="19FB2349" w:rsidR="00095411" w:rsidRDefault="00095411" w:rsidP="00591CBB">
            <w:pPr>
              <w:spacing w:after="160" w:line="259" w:lineRule="auto"/>
              <w:rPr>
                <w:rFonts w:ascii="Arial Narrow" w:hAnsi="Arial Narrow"/>
                <w:sz w:val="18"/>
                <w:szCs w:val="18"/>
              </w:rPr>
            </w:pPr>
            <w:r>
              <w:rPr>
                <w:rFonts w:ascii="Arial Narrow" w:hAnsi="Arial Narrow"/>
                <w:sz w:val="18"/>
                <w:szCs w:val="18"/>
              </w:rPr>
              <w:t>Actual</w:t>
            </w:r>
          </w:p>
        </w:tc>
        <w:tc>
          <w:tcPr>
            <w:tcW w:w="330" w:type="pct"/>
          </w:tcPr>
          <w:p w14:paraId="4B432D1D" w14:textId="160C3A95"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31.9</w:t>
            </w:r>
          </w:p>
        </w:tc>
        <w:tc>
          <w:tcPr>
            <w:cnfStyle w:val="000010000000" w:firstRow="0" w:lastRow="0" w:firstColumn="0" w:lastColumn="0" w:oddVBand="1" w:evenVBand="0" w:oddHBand="0" w:evenHBand="0" w:firstRowFirstColumn="0" w:firstRowLastColumn="0" w:lastRowFirstColumn="0" w:lastRowLastColumn="0"/>
            <w:tcW w:w="271" w:type="pct"/>
          </w:tcPr>
          <w:p w14:paraId="6B26975C" w14:textId="1C7B1511" w:rsidR="00095411" w:rsidRDefault="00095411" w:rsidP="00591CBB">
            <w:pPr>
              <w:spacing w:after="160" w:line="259" w:lineRule="auto"/>
              <w:rPr>
                <w:rFonts w:ascii="Arial Narrow" w:hAnsi="Arial Narrow"/>
                <w:sz w:val="18"/>
                <w:szCs w:val="18"/>
              </w:rPr>
            </w:pPr>
            <w:r>
              <w:rPr>
                <w:rFonts w:ascii="Arial Narrow" w:hAnsi="Arial Narrow"/>
                <w:sz w:val="18"/>
                <w:szCs w:val="18"/>
              </w:rPr>
              <w:t>31.9</w:t>
            </w:r>
          </w:p>
        </w:tc>
        <w:tc>
          <w:tcPr>
            <w:tcW w:w="298" w:type="pct"/>
          </w:tcPr>
          <w:p w14:paraId="42899EDB" w14:textId="6CEC7D04"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32</w:t>
            </w:r>
          </w:p>
        </w:tc>
        <w:tc>
          <w:tcPr>
            <w:cnfStyle w:val="000010000000" w:firstRow="0" w:lastRow="0" w:firstColumn="0" w:lastColumn="0" w:oddVBand="1" w:evenVBand="0" w:oddHBand="0" w:evenHBand="0" w:firstRowFirstColumn="0" w:firstRowLastColumn="0" w:lastRowFirstColumn="0" w:lastRowLastColumn="0"/>
            <w:tcW w:w="197" w:type="pct"/>
          </w:tcPr>
          <w:p w14:paraId="34A009E8" w14:textId="77777777" w:rsidR="00095411" w:rsidRDefault="00095411" w:rsidP="00591CBB">
            <w:pPr>
              <w:spacing w:after="160" w:line="259" w:lineRule="auto"/>
              <w:rPr>
                <w:rFonts w:ascii="Arial Narrow" w:hAnsi="Arial Narrow"/>
                <w:sz w:val="18"/>
                <w:szCs w:val="18"/>
              </w:rPr>
            </w:pPr>
          </w:p>
        </w:tc>
        <w:tc>
          <w:tcPr>
            <w:tcW w:w="273" w:type="pct"/>
          </w:tcPr>
          <w:p w14:paraId="7AA8D4A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9F326E5" w14:textId="77777777" w:rsidR="00095411" w:rsidRPr="007348FD" w:rsidRDefault="00095411" w:rsidP="00591CBB">
            <w:pPr>
              <w:spacing w:after="160" w:line="259" w:lineRule="auto"/>
              <w:rPr>
                <w:rFonts w:ascii="Arial Narrow" w:hAnsi="Arial Narrow"/>
                <w:sz w:val="18"/>
                <w:szCs w:val="18"/>
              </w:rPr>
            </w:pPr>
          </w:p>
        </w:tc>
        <w:tc>
          <w:tcPr>
            <w:tcW w:w="283" w:type="pct"/>
          </w:tcPr>
          <w:p w14:paraId="4027EE6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6F14BF1" w14:textId="77777777" w:rsidR="00095411" w:rsidRPr="007348FD" w:rsidRDefault="00095411" w:rsidP="00591CBB">
            <w:pPr>
              <w:spacing w:after="160" w:line="259" w:lineRule="auto"/>
              <w:rPr>
                <w:rFonts w:ascii="Arial Narrow" w:hAnsi="Arial Narrow"/>
                <w:sz w:val="18"/>
                <w:szCs w:val="18"/>
              </w:rPr>
            </w:pPr>
          </w:p>
        </w:tc>
        <w:tc>
          <w:tcPr>
            <w:tcW w:w="149" w:type="pct"/>
          </w:tcPr>
          <w:p w14:paraId="01FB3FA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EC6DBF7" w14:textId="4784FDB6" w:rsidR="00095411" w:rsidRDefault="00095411" w:rsidP="00591CBB">
            <w:pPr>
              <w:spacing w:after="160" w:line="259" w:lineRule="auto"/>
              <w:rPr>
                <w:rFonts w:ascii="Arial Narrow" w:hAnsi="Arial Narrow"/>
                <w:sz w:val="18"/>
                <w:szCs w:val="18"/>
              </w:rPr>
            </w:pPr>
            <w:r>
              <w:rPr>
                <w:rFonts w:ascii="Arial Narrow" w:hAnsi="Arial Narrow"/>
                <w:sz w:val="18"/>
                <w:szCs w:val="18"/>
              </w:rPr>
              <w:t>1</w:t>
            </w:r>
          </w:p>
        </w:tc>
        <w:tc>
          <w:tcPr>
            <w:tcW w:w="214" w:type="pct"/>
          </w:tcPr>
          <w:p w14:paraId="4DF15FD5" w14:textId="77777777"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3FF65BB3" w14:textId="77777777" w:rsidR="00095411" w:rsidRDefault="00095411" w:rsidP="00591CBB">
            <w:pPr>
              <w:spacing w:after="160" w:line="259" w:lineRule="auto"/>
              <w:rPr>
                <w:rFonts w:ascii="Arial Narrow" w:hAnsi="Arial Narrow"/>
                <w:sz w:val="18"/>
                <w:szCs w:val="18"/>
              </w:rPr>
            </w:pPr>
          </w:p>
        </w:tc>
        <w:tc>
          <w:tcPr>
            <w:tcW w:w="280" w:type="pct"/>
          </w:tcPr>
          <w:p w14:paraId="7BB2DD9D" w14:textId="77777777"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07753816" w14:textId="77777777" w:rsidTr="00051F27">
        <w:trPr>
          <w:trHeight w:val="634"/>
        </w:trPr>
        <w:tc>
          <w:tcPr>
            <w:cnfStyle w:val="000010000000" w:firstRow="0" w:lastRow="0" w:firstColumn="0" w:lastColumn="0" w:oddVBand="1" w:evenVBand="0" w:oddHBand="0" w:evenHBand="0" w:firstRowFirstColumn="0" w:firstRowLastColumn="0" w:lastRowFirstColumn="0" w:lastRowLastColumn="0"/>
            <w:tcW w:w="432" w:type="pct"/>
          </w:tcPr>
          <w:p w14:paraId="1C3C4883" w14:textId="77777777" w:rsidR="00095411" w:rsidRPr="007348FD" w:rsidRDefault="00095411" w:rsidP="00591CBB">
            <w:pPr>
              <w:spacing w:after="160" w:line="259" w:lineRule="auto"/>
              <w:rPr>
                <w:rFonts w:ascii="Arial Narrow" w:hAnsi="Arial Narrow"/>
                <w:sz w:val="18"/>
                <w:szCs w:val="18"/>
              </w:rPr>
            </w:pPr>
          </w:p>
        </w:tc>
        <w:tc>
          <w:tcPr>
            <w:tcW w:w="460" w:type="pct"/>
          </w:tcPr>
          <w:p w14:paraId="4FB6874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86FB543"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0898D5A" w14:textId="333D38DC"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Borders>
              <w:bottom w:val="nil"/>
            </w:tcBorders>
          </w:tcPr>
          <w:p w14:paraId="18009083" w14:textId="23A62359" w:rsidR="00095411" w:rsidRDefault="00095411" w:rsidP="00591CBB">
            <w:pPr>
              <w:spacing w:after="160" w:line="259" w:lineRule="auto"/>
              <w:rPr>
                <w:rFonts w:ascii="Arial Narrow" w:hAnsi="Arial Narrow"/>
                <w:sz w:val="18"/>
                <w:szCs w:val="18"/>
              </w:rPr>
            </w:pPr>
            <w:r>
              <w:rPr>
                <w:rFonts w:ascii="Arial Narrow" w:hAnsi="Arial Narrow"/>
                <w:sz w:val="18"/>
                <w:szCs w:val="18"/>
              </w:rPr>
              <w:t>Planned</w:t>
            </w:r>
          </w:p>
        </w:tc>
        <w:tc>
          <w:tcPr>
            <w:tcW w:w="330" w:type="pct"/>
          </w:tcPr>
          <w:p w14:paraId="68B4AAC2" w14:textId="77777777"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7607C504" w14:textId="145C2A12" w:rsidR="00095411" w:rsidRDefault="00095411" w:rsidP="00591CBB">
            <w:pPr>
              <w:spacing w:after="160" w:line="259" w:lineRule="auto"/>
              <w:rPr>
                <w:rFonts w:ascii="Arial Narrow" w:hAnsi="Arial Narrow"/>
                <w:sz w:val="18"/>
                <w:szCs w:val="18"/>
              </w:rPr>
            </w:pPr>
            <w:r>
              <w:rPr>
                <w:rFonts w:ascii="Arial Narrow" w:hAnsi="Arial Narrow"/>
                <w:sz w:val="18"/>
                <w:szCs w:val="18"/>
              </w:rPr>
              <w:t>79</w:t>
            </w:r>
          </w:p>
        </w:tc>
        <w:tc>
          <w:tcPr>
            <w:tcW w:w="298" w:type="pct"/>
          </w:tcPr>
          <w:p w14:paraId="231E23EA" w14:textId="1830BBB8"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76</w:t>
            </w:r>
          </w:p>
        </w:tc>
        <w:tc>
          <w:tcPr>
            <w:cnfStyle w:val="000010000000" w:firstRow="0" w:lastRow="0" w:firstColumn="0" w:lastColumn="0" w:oddVBand="1" w:evenVBand="0" w:oddHBand="0" w:evenHBand="0" w:firstRowFirstColumn="0" w:firstRowLastColumn="0" w:lastRowFirstColumn="0" w:lastRowLastColumn="0"/>
            <w:tcW w:w="197" w:type="pct"/>
          </w:tcPr>
          <w:p w14:paraId="56548C6B" w14:textId="77777777" w:rsidR="00095411" w:rsidRDefault="00095411" w:rsidP="00591CBB">
            <w:pPr>
              <w:spacing w:after="160" w:line="259" w:lineRule="auto"/>
              <w:rPr>
                <w:rFonts w:ascii="Arial Narrow" w:hAnsi="Arial Narrow"/>
                <w:sz w:val="18"/>
                <w:szCs w:val="18"/>
              </w:rPr>
            </w:pPr>
          </w:p>
        </w:tc>
        <w:tc>
          <w:tcPr>
            <w:tcW w:w="273" w:type="pct"/>
          </w:tcPr>
          <w:p w14:paraId="049BB87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5018885" w14:textId="77777777" w:rsidR="00095411" w:rsidRPr="007348FD" w:rsidRDefault="00095411" w:rsidP="00591CBB">
            <w:pPr>
              <w:spacing w:after="160" w:line="259" w:lineRule="auto"/>
              <w:rPr>
                <w:rFonts w:ascii="Arial Narrow" w:hAnsi="Arial Narrow"/>
                <w:sz w:val="18"/>
                <w:szCs w:val="18"/>
              </w:rPr>
            </w:pPr>
          </w:p>
        </w:tc>
        <w:tc>
          <w:tcPr>
            <w:tcW w:w="283" w:type="pct"/>
          </w:tcPr>
          <w:p w14:paraId="06DF52D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07A2453" w14:textId="77777777" w:rsidR="00095411" w:rsidRPr="007348FD" w:rsidRDefault="00095411" w:rsidP="00591CBB">
            <w:pPr>
              <w:spacing w:after="160" w:line="259" w:lineRule="auto"/>
              <w:rPr>
                <w:rFonts w:ascii="Arial Narrow" w:hAnsi="Arial Narrow"/>
                <w:sz w:val="18"/>
                <w:szCs w:val="18"/>
              </w:rPr>
            </w:pPr>
          </w:p>
        </w:tc>
        <w:tc>
          <w:tcPr>
            <w:tcW w:w="149" w:type="pct"/>
          </w:tcPr>
          <w:p w14:paraId="28D067A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E257A43" w14:textId="77777777" w:rsidR="00095411" w:rsidRDefault="00095411" w:rsidP="00591CBB">
            <w:pPr>
              <w:spacing w:after="160" w:line="259" w:lineRule="auto"/>
              <w:rPr>
                <w:rFonts w:ascii="Arial Narrow" w:hAnsi="Arial Narrow"/>
                <w:sz w:val="18"/>
                <w:szCs w:val="18"/>
              </w:rPr>
            </w:pPr>
          </w:p>
        </w:tc>
        <w:tc>
          <w:tcPr>
            <w:tcW w:w="214" w:type="pct"/>
          </w:tcPr>
          <w:p w14:paraId="5ED03B33" w14:textId="73925860"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73</w:t>
            </w:r>
          </w:p>
        </w:tc>
        <w:tc>
          <w:tcPr>
            <w:cnfStyle w:val="000010000000" w:firstRow="0" w:lastRow="0" w:firstColumn="0" w:lastColumn="0" w:oddVBand="1" w:evenVBand="0" w:oddHBand="0" w:evenHBand="0" w:firstRowFirstColumn="0" w:firstRowLastColumn="0" w:lastRowFirstColumn="0" w:lastRowLastColumn="0"/>
            <w:tcW w:w="245" w:type="pct"/>
          </w:tcPr>
          <w:p w14:paraId="757BEBB7" w14:textId="75ADBEC5" w:rsidR="00095411" w:rsidRDefault="00095411" w:rsidP="00591CBB">
            <w:pPr>
              <w:spacing w:after="160" w:line="259" w:lineRule="auto"/>
              <w:rPr>
                <w:rFonts w:ascii="Arial Narrow" w:hAnsi="Arial Narrow"/>
                <w:sz w:val="18"/>
                <w:szCs w:val="18"/>
              </w:rPr>
            </w:pPr>
            <w:r>
              <w:rPr>
                <w:rFonts w:ascii="Arial Narrow" w:hAnsi="Arial Narrow"/>
                <w:sz w:val="18"/>
                <w:szCs w:val="18"/>
              </w:rPr>
              <w:t>71</w:t>
            </w:r>
          </w:p>
        </w:tc>
        <w:tc>
          <w:tcPr>
            <w:tcW w:w="280" w:type="pct"/>
          </w:tcPr>
          <w:p w14:paraId="7187D6B7" w14:textId="48BB5DE4"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68</w:t>
            </w:r>
          </w:p>
        </w:tc>
      </w:tr>
      <w:tr w:rsidR="00095411" w:rsidRPr="00591CBB" w14:paraId="7D4DF9FD" w14:textId="77777777" w:rsidTr="00051F27">
        <w:trPr>
          <w:cnfStyle w:val="000000100000" w:firstRow="0" w:lastRow="0" w:firstColumn="0" w:lastColumn="0" w:oddVBand="0" w:evenVBand="0" w:oddHBand="1" w:evenHBand="0" w:firstRowFirstColumn="0" w:firstRowLastColumn="0" w:lastRowFirstColumn="0" w:lastRowLastColumn="0"/>
          <w:trHeight w:val="634"/>
        </w:trPr>
        <w:tc>
          <w:tcPr>
            <w:cnfStyle w:val="000010000000" w:firstRow="0" w:lastRow="0" w:firstColumn="0" w:lastColumn="0" w:oddVBand="1" w:evenVBand="0" w:oddHBand="0" w:evenHBand="0" w:firstRowFirstColumn="0" w:firstRowLastColumn="0" w:lastRowFirstColumn="0" w:lastRowLastColumn="0"/>
            <w:tcW w:w="432" w:type="pct"/>
          </w:tcPr>
          <w:p w14:paraId="6B3FCCB6" w14:textId="77777777" w:rsidR="00095411" w:rsidRPr="007348FD" w:rsidRDefault="00095411" w:rsidP="00591CBB">
            <w:pPr>
              <w:spacing w:after="160" w:line="259" w:lineRule="auto"/>
              <w:rPr>
                <w:rFonts w:ascii="Arial Narrow" w:hAnsi="Arial Narrow"/>
                <w:sz w:val="18"/>
                <w:szCs w:val="18"/>
              </w:rPr>
            </w:pPr>
          </w:p>
        </w:tc>
        <w:tc>
          <w:tcPr>
            <w:tcW w:w="460" w:type="pct"/>
          </w:tcPr>
          <w:p w14:paraId="099D4F3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2F4B670"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107CF24" w14:textId="77777777"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Borders>
              <w:bottom w:val="nil"/>
            </w:tcBorders>
          </w:tcPr>
          <w:p w14:paraId="13A253A6" w14:textId="21CED267" w:rsidR="00095411" w:rsidRDefault="00095411" w:rsidP="00591CBB">
            <w:pPr>
              <w:spacing w:after="160" w:line="259" w:lineRule="auto"/>
              <w:rPr>
                <w:rFonts w:ascii="Arial Narrow" w:hAnsi="Arial Narrow"/>
                <w:sz w:val="18"/>
                <w:szCs w:val="18"/>
              </w:rPr>
            </w:pPr>
            <w:r>
              <w:rPr>
                <w:rFonts w:ascii="Arial Narrow" w:hAnsi="Arial Narrow"/>
                <w:sz w:val="18"/>
                <w:szCs w:val="18"/>
              </w:rPr>
              <w:t>Actual</w:t>
            </w:r>
          </w:p>
        </w:tc>
        <w:tc>
          <w:tcPr>
            <w:tcW w:w="330" w:type="pct"/>
          </w:tcPr>
          <w:p w14:paraId="556FCA4A" w14:textId="10CE4618"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81</w:t>
            </w:r>
          </w:p>
        </w:tc>
        <w:tc>
          <w:tcPr>
            <w:cnfStyle w:val="000010000000" w:firstRow="0" w:lastRow="0" w:firstColumn="0" w:lastColumn="0" w:oddVBand="1" w:evenVBand="0" w:oddHBand="0" w:evenHBand="0" w:firstRowFirstColumn="0" w:firstRowLastColumn="0" w:lastRowFirstColumn="0" w:lastRowLastColumn="0"/>
            <w:tcW w:w="271" w:type="pct"/>
          </w:tcPr>
          <w:p w14:paraId="3CB0618F" w14:textId="0FF0CD17" w:rsidR="00095411" w:rsidRDefault="00095411" w:rsidP="00591CBB">
            <w:pPr>
              <w:spacing w:after="160" w:line="259" w:lineRule="auto"/>
              <w:rPr>
                <w:rFonts w:ascii="Arial Narrow" w:hAnsi="Arial Narrow"/>
                <w:sz w:val="18"/>
                <w:szCs w:val="18"/>
              </w:rPr>
            </w:pPr>
            <w:r>
              <w:rPr>
                <w:rFonts w:ascii="Arial Narrow" w:hAnsi="Arial Narrow"/>
                <w:sz w:val="18"/>
                <w:szCs w:val="18"/>
              </w:rPr>
              <w:t>81</w:t>
            </w:r>
          </w:p>
        </w:tc>
        <w:tc>
          <w:tcPr>
            <w:tcW w:w="298" w:type="pct"/>
          </w:tcPr>
          <w:p w14:paraId="559B7B45" w14:textId="77777777"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97" w:type="pct"/>
          </w:tcPr>
          <w:p w14:paraId="48D4FB7B" w14:textId="77777777" w:rsidR="00095411" w:rsidRDefault="00095411" w:rsidP="00591CBB">
            <w:pPr>
              <w:spacing w:after="160" w:line="259" w:lineRule="auto"/>
              <w:rPr>
                <w:rFonts w:ascii="Arial Narrow" w:hAnsi="Arial Narrow"/>
                <w:sz w:val="18"/>
                <w:szCs w:val="18"/>
              </w:rPr>
            </w:pPr>
          </w:p>
        </w:tc>
        <w:tc>
          <w:tcPr>
            <w:tcW w:w="273" w:type="pct"/>
          </w:tcPr>
          <w:p w14:paraId="2DC0695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996D9CB" w14:textId="77777777" w:rsidR="00095411" w:rsidRPr="007348FD" w:rsidRDefault="00095411" w:rsidP="00591CBB">
            <w:pPr>
              <w:spacing w:after="160" w:line="259" w:lineRule="auto"/>
              <w:rPr>
                <w:rFonts w:ascii="Arial Narrow" w:hAnsi="Arial Narrow"/>
                <w:sz w:val="18"/>
                <w:szCs w:val="18"/>
              </w:rPr>
            </w:pPr>
          </w:p>
        </w:tc>
        <w:tc>
          <w:tcPr>
            <w:tcW w:w="283" w:type="pct"/>
          </w:tcPr>
          <w:p w14:paraId="3B2E25C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46B0AE4" w14:textId="77777777" w:rsidR="00095411" w:rsidRPr="007348FD" w:rsidRDefault="00095411" w:rsidP="00591CBB">
            <w:pPr>
              <w:spacing w:after="160" w:line="259" w:lineRule="auto"/>
              <w:rPr>
                <w:rFonts w:ascii="Arial Narrow" w:hAnsi="Arial Narrow"/>
                <w:sz w:val="18"/>
                <w:szCs w:val="18"/>
              </w:rPr>
            </w:pPr>
          </w:p>
        </w:tc>
        <w:tc>
          <w:tcPr>
            <w:tcW w:w="149" w:type="pct"/>
          </w:tcPr>
          <w:p w14:paraId="498DCC5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FE59EE4" w14:textId="23F8ABA5" w:rsidR="00095411" w:rsidRDefault="00095411" w:rsidP="00591CBB">
            <w:pPr>
              <w:spacing w:after="160" w:line="259" w:lineRule="auto"/>
              <w:rPr>
                <w:rFonts w:ascii="Arial Narrow" w:hAnsi="Arial Narrow"/>
                <w:sz w:val="18"/>
                <w:szCs w:val="18"/>
              </w:rPr>
            </w:pPr>
            <w:r>
              <w:rPr>
                <w:rFonts w:ascii="Arial Narrow" w:hAnsi="Arial Narrow"/>
                <w:sz w:val="18"/>
                <w:szCs w:val="18"/>
              </w:rPr>
              <w:t>1</w:t>
            </w:r>
          </w:p>
        </w:tc>
        <w:tc>
          <w:tcPr>
            <w:tcW w:w="214" w:type="pct"/>
          </w:tcPr>
          <w:p w14:paraId="070D76E2" w14:textId="5FA7506F"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PHC</w:t>
            </w:r>
          </w:p>
        </w:tc>
        <w:tc>
          <w:tcPr>
            <w:cnfStyle w:val="000010000000" w:firstRow="0" w:lastRow="0" w:firstColumn="0" w:lastColumn="0" w:oddVBand="1" w:evenVBand="0" w:oddHBand="0" w:evenHBand="0" w:firstRowFirstColumn="0" w:firstRowLastColumn="0" w:lastRowFirstColumn="0" w:lastRowLastColumn="0"/>
            <w:tcW w:w="245" w:type="pct"/>
          </w:tcPr>
          <w:p w14:paraId="2A967EB7" w14:textId="77777777" w:rsidR="00095411" w:rsidRDefault="00095411" w:rsidP="00591CBB">
            <w:pPr>
              <w:spacing w:after="160" w:line="259" w:lineRule="auto"/>
              <w:rPr>
                <w:rFonts w:ascii="Arial Narrow" w:hAnsi="Arial Narrow"/>
                <w:sz w:val="18"/>
                <w:szCs w:val="18"/>
              </w:rPr>
            </w:pPr>
          </w:p>
        </w:tc>
        <w:tc>
          <w:tcPr>
            <w:tcW w:w="280" w:type="pct"/>
          </w:tcPr>
          <w:p w14:paraId="1049A453" w14:textId="77777777"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76DCA397" w14:textId="77777777" w:rsidTr="00051F27">
        <w:trPr>
          <w:trHeight w:val="634"/>
        </w:trPr>
        <w:tc>
          <w:tcPr>
            <w:cnfStyle w:val="000010000000" w:firstRow="0" w:lastRow="0" w:firstColumn="0" w:lastColumn="0" w:oddVBand="1" w:evenVBand="0" w:oddHBand="0" w:evenHBand="0" w:firstRowFirstColumn="0" w:firstRowLastColumn="0" w:lastRowFirstColumn="0" w:lastRowLastColumn="0"/>
            <w:tcW w:w="432" w:type="pct"/>
          </w:tcPr>
          <w:p w14:paraId="0592C6A5" w14:textId="77777777" w:rsidR="00095411" w:rsidRPr="007348FD" w:rsidRDefault="00095411" w:rsidP="00C7183D">
            <w:pPr>
              <w:spacing w:after="160" w:line="259" w:lineRule="auto"/>
              <w:rPr>
                <w:rFonts w:ascii="Arial Narrow" w:hAnsi="Arial Narrow"/>
                <w:sz w:val="18"/>
                <w:szCs w:val="18"/>
              </w:rPr>
            </w:pPr>
            <w:r w:rsidRPr="007348FD">
              <w:rPr>
                <w:rFonts w:ascii="Arial Narrow" w:hAnsi="Arial Narrow"/>
                <w:b/>
                <w:bCs/>
                <w:sz w:val="18"/>
                <w:szCs w:val="18"/>
              </w:rPr>
              <w:t xml:space="preserve">Programme Objective: </w:t>
            </w:r>
          </w:p>
          <w:p w14:paraId="6ADB5280" w14:textId="77777777" w:rsidR="00095411" w:rsidRPr="007348FD" w:rsidRDefault="00095411" w:rsidP="00C7183D">
            <w:pPr>
              <w:spacing w:after="160" w:line="259" w:lineRule="auto"/>
              <w:rPr>
                <w:rFonts w:ascii="Arial Narrow" w:hAnsi="Arial Narrow"/>
                <w:sz w:val="18"/>
                <w:szCs w:val="18"/>
              </w:rPr>
            </w:pPr>
          </w:p>
          <w:p w14:paraId="7AF8D8EE" w14:textId="77777777" w:rsidR="00095411" w:rsidRPr="007348FD" w:rsidRDefault="00095411" w:rsidP="00C7183D">
            <w:pPr>
              <w:spacing w:after="160" w:line="259" w:lineRule="auto"/>
              <w:rPr>
                <w:rFonts w:ascii="Arial Narrow" w:hAnsi="Arial Narrow"/>
                <w:sz w:val="18"/>
                <w:szCs w:val="18"/>
              </w:rPr>
            </w:pPr>
            <w:r w:rsidRPr="007348FD">
              <w:rPr>
                <w:rFonts w:ascii="Arial Narrow" w:hAnsi="Arial Narrow"/>
                <w:sz w:val="18"/>
                <w:szCs w:val="18"/>
              </w:rPr>
              <w:lastRenderedPageBreak/>
              <w:t>To move unmet need for family planning in the Pacific towards zero by 2022</w:t>
            </w:r>
          </w:p>
          <w:p w14:paraId="02907805" w14:textId="77777777" w:rsidR="00095411" w:rsidRPr="007348FD" w:rsidRDefault="00095411" w:rsidP="00591CBB">
            <w:pPr>
              <w:spacing w:after="160" w:line="259" w:lineRule="auto"/>
              <w:rPr>
                <w:rFonts w:ascii="Arial Narrow" w:hAnsi="Arial Narrow"/>
                <w:sz w:val="18"/>
                <w:szCs w:val="18"/>
              </w:rPr>
            </w:pPr>
          </w:p>
        </w:tc>
        <w:tc>
          <w:tcPr>
            <w:tcW w:w="460" w:type="pct"/>
          </w:tcPr>
          <w:p w14:paraId="7B590239" w14:textId="209C3482"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lastRenderedPageBreak/>
              <w:t xml:space="preserve">3. Proportion of women of reproductive age (15-49) who have their need </w:t>
            </w:r>
            <w:r w:rsidRPr="007348FD">
              <w:rPr>
                <w:rFonts w:ascii="Arial Narrow" w:hAnsi="Arial Narrow"/>
                <w:sz w:val="18"/>
                <w:szCs w:val="18"/>
              </w:rPr>
              <w:lastRenderedPageBreak/>
              <w:t xml:space="preserve">for family planning satisfied with modern methods. </w:t>
            </w:r>
            <w:r w:rsidRPr="007348FD">
              <w:rPr>
                <w:rFonts w:ascii="Arial Narrow" w:hAnsi="Arial Narrow"/>
                <w:b/>
                <w:bCs/>
                <w:sz w:val="18"/>
                <w:szCs w:val="18"/>
              </w:rPr>
              <w:t>[UNFPA Supplies Indicator 1]</w:t>
            </w:r>
          </w:p>
        </w:tc>
        <w:tc>
          <w:tcPr>
            <w:cnfStyle w:val="000010000000" w:firstRow="0" w:lastRow="0" w:firstColumn="0" w:lastColumn="0" w:oddVBand="1" w:evenVBand="0" w:oddHBand="0" w:evenHBand="0" w:firstRowFirstColumn="0" w:firstRowLastColumn="0" w:lastRowFirstColumn="0" w:lastRowLastColumn="0"/>
            <w:tcW w:w="371" w:type="pct"/>
          </w:tcPr>
          <w:p w14:paraId="20B73D92" w14:textId="64A0BBE9"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lastRenderedPageBreak/>
              <w:t>ö</w:t>
            </w:r>
          </w:p>
        </w:tc>
        <w:tc>
          <w:tcPr>
            <w:tcW w:w="341" w:type="pct"/>
          </w:tcPr>
          <w:p w14:paraId="30C1D3FF" w14:textId="1418DFCE"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Borders>
              <w:bottom w:val="nil"/>
            </w:tcBorders>
          </w:tcPr>
          <w:p w14:paraId="16EE9BD4" w14:textId="181A27A2" w:rsidR="00095411" w:rsidRDefault="00095411" w:rsidP="00591CBB">
            <w:pPr>
              <w:spacing w:after="160" w:line="259" w:lineRule="auto"/>
              <w:rPr>
                <w:rFonts w:ascii="Arial Narrow" w:hAnsi="Arial Narrow"/>
                <w:sz w:val="18"/>
                <w:szCs w:val="18"/>
              </w:rPr>
            </w:pPr>
            <w:r>
              <w:rPr>
                <w:rFonts w:ascii="Arial Narrow" w:hAnsi="Arial Narrow"/>
                <w:sz w:val="18"/>
                <w:szCs w:val="18"/>
              </w:rPr>
              <w:t>Planned</w:t>
            </w:r>
          </w:p>
        </w:tc>
        <w:tc>
          <w:tcPr>
            <w:tcW w:w="330" w:type="pct"/>
          </w:tcPr>
          <w:p w14:paraId="5ADCE4B6" w14:textId="77777777"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673F0C02" w14:textId="10FABD2D" w:rsidR="00095411" w:rsidRDefault="00095411" w:rsidP="00591CBB">
            <w:pPr>
              <w:spacing w:after="160" w:line="259" w:lineRule="auto"/>
              <w:rPr>
                <w:rFonts w:ascii="Arial Narrow" w:hAnsi="Arial Narrow"/>
                <w:sz w:val="18"/>
                <w:szCs w:val="18"/>
              </w:rPr>
            </w:pPr>
            <w:r>
              <w:rPr>
                <w:rFonts w:ascii="Arial Narrow" w:hAnsi="Arial Narrow"/>
                <w:sz w:val="18"/>
                <w:szCs w:val="18"/>
              </w:rPr>
              <w:t>71.8</w:t>
            </w:r>
          </w:p>
        </w:tc>
        <w:tc>
          <w:tcPr>
            <w:tcW w:w="298" w:type="pct"/>
          </w:tcPr>
          <w:p w14:paraId="78BC8629" w14:textId="2F5A9A46"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72.6</w:t>
            </w:r>
          </w:p>
        </w:tc>
        <w:tc>
          <w:tcPr>
            <w:cnfStyle w:val="000010000000" w:firstRow="0" w:lastRow="0" w:firstColumn="0" w:lastColumn="0" w:oddVBand="1" w:evenVBand="0" w:oddHBand="0" w:evenHBand="0" w:firstRowFirstColumn="0" w:firstRowLastColumn="0" w:lastRowFirstColumn="0" w:lastRowLastColumn="0"/>
            <w:tcW w:w="197" w:type="pct"/>
          </w:tcPr>
          <w:p w14:paraId="7373C023" w14:textId="77777777" w:rsidR="00095411" w:rsidRDefault="00095411" w:rsidP="00591CBB">
            <w:pPr>
              <w:spacing w:after="160" w:line="259" w:lineRule="auto"/>
              <w:rPr>
                <w:rFonts w:ascii="Arial Narrow" w:hAnsi="Arial Narrow"/>
                <w:sz w:val="18"/>
                <w:szCs w:val="18"/>
              </w:rPr>
            </w:pPr>
          </w:p>
        </w:tc>
        <w:tc>
          <w:tcPr>
            <w:tcW w:w="273" w:type="pct"/>
          </w:tcPr>
          <w:p w14:paraId="3A9EF8A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FB4D9FA" w14:textId="77777777" w:rsidR="00095411" w:rsidRPr="007348FD" w:rsidRDefault="00095411" w:rsidP="00591CBB">
            <w:pPr>
              <w:spacing w:after="160" w:line="259" w:lineRule="auto"/>
              <w:rPr>
                <w:rFonts w:ascii="Arial Narrow" w:hAnsi="Arial Narrow"/>
                <w:sz w:val="18"/>
                <w:szCs w:val="18"/>
              </w:rPr>
            </w:pPr>
          </w:p>
        </w:tc>
        <w:tc>
          <w:tcPr>
            <w:tcW w:w="283" w:type="pct"/>
          </w:tcPr>
          <w:p w14:paraId="581B537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B5CE733" w14:textId="77777777" w:rsidR="00095411" w:rsidRPr="007348FD" w:rsidRDefault="00095411" w:rsidP="00591CBB">
            <w:pPr>
              <w:spacing w:after="160" w:line="259" w:lineRule="auto"/>
              <w:rPr>
                <w:rFonts w:ascii="Arial Narrow" w:hAnsi="Arial Narrow"/>
                <w:sz w:val="18"/>
                <w:szCs w:val="18"/>
              </w:rPr>
            </w:pPr>
          </w:p>
        </w:tc>
        <w:tc>
          <w:tcPr>
            <w:tcW w:w="149" w:type="pct"/>
          </w:tcPr>
          <w:p w14:paraId="261E5E8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61C3F92" w14:textId="77777777" w:rsidR="00095411" w:rsidRDefault="00095411" w:rsidP="00591CBB">
            <w:pPr>
              <w:spacing w:after="160" w:line="259" w:lineRule="auto"/>
              <w:rPr>
                <w:rFonts w:ascii="Arial Narrow" w:hAnsi="Arial Narrow"/>
                <w:sz w:val="18"/>
                <w:szCs w:val="18"/>
              </w:rPr>
            </w:pPr>
          </w:p>
        </w:tc>
        <w:tc>
          <w:tcPr>
            <w:tcW w:w="214" w:type="pct"/>
          </w:tcPr>
          <w:p w14:paraId="34BFB389" w14:textId="765CB737"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73.3</w:t>
            </w:r>
          </w:p>
        </w:tc>
        <w:tc>
          <w:tcPr>
            <w:cnfStyle w:val="000010000000" w:firstRow="0" w:lastRow="0" w:firstColumn="0" w:lastColumn="0" w:oddVBand="1" w:evenVBand="0" w:oddHBand="0" w:evenHBand="0" w:firstRowFirstColumn="0" w:firstRowLastColumn="0" w:lastRowFirstColumn="0" w:lastRowLastColumn="0"/>
            <w:tcW w:w="245" w:type="pct"/>
          </w:tcPr>
          <w:p w14:paraId="39574D09" w14:textId="481174F5" w:rsidR="00095411" w:rsidRDefault="00095411" w:rsidP="00591CBB">
            <w:pPr>
              <w:spacing w:after="160" w:line="259" w:lineRule="auto"/>
              <w:rPr>
                <w:rFonts w:ascii="Arial Narrow" w:hAnsi="Arial Narrow"/>
                <w:sz w:val="18"/>
                <w:szCs w:val="18"/>
              </w:rPr>
            </w:pPr>
            <w:r>
              <w:rPr>
                <w:rFonts w:ascii="Arial Narrow" w:hAnsi="Arial Narrow"/>
                <w:sz w:val="18"/>
                <w:szCs w:val="18"/>
              </w:rPr>
              <w:t>74.0</w:t>
            </w:r>
          </w:p>
        </w:tc>
        <w:tc>
          <w:tcPr>
            <w:tcW w:w="280" w:type="pct"/>
          </w:tcPr>
          <w:p w14:paraId="35AE7E03" w14:textId="09A8E343"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74.7</w:t>
            </w:r>
          </w:p>
        </w:tc>
      </w:tr>
      <w:tr w:rsidR="00095411" w:rsidRPr="00591CBB" w14:paraId="38C6F3B4" w14:textId="77777777" w:rsidTr="00051F27">
        <w:trPr>
          <w:cnfStyle w:val="000000100000" w:firstRow="0" w:lastRow="0" w:firstColumn="0" w:lastColumn="0" w:oddVBand="0" w:evenVBand="0" w:oddHBand="1" w:evenHBand="0" w:firstRowFirstColumn="0" w:firstRowLastColumn="0" w:lastRowFirstColumn="0" w:lastRowLastColumn="0"/>
          <w:trHeight w:val="634"/>
        </w:trPr>
        <w:tc>
          <w:tcPr>
            <w:cnfStyle w:val="000010000000" w:firstRow="0" w:lastRow="0" w:firstColumn="0" w:lastColumn="0" w:oddVBand="1" w:evenVBand="0" w:oddHBand="0" w:evenHBand="0" w:firstRowFirstColumn="0" w:firstRowLastColumn="0" w:lastRowFirstColumn="0" w:lastRowLastColumn="0"/>
            <w:tcW w:w="432" w:type="pct"/>
          </w:tcPr>
          <w:p w14:paraId="5D50486B" w14:textId="77777777" w:rsidR="00095411" w:rsidRPr="007348FD" w:rsidRDefault="00095411" w:rsidP="00C7183D">
            <w:pPr>
              <w:spacing w:after="160" w:line="259" w:lineRule="auto"/>
              <w:rPr>
                <w:rFonts w:ascii="Arial Narrow" w:hAnsi="Arial Narrow"/>
                <w:b/>
                <w:bCs/>
                <w:sz w:val="18"/>
                <w:szCs w:val="18"/>
              </w:rPr>
            </w:pPr>
          </w:p>
        </w:tc>
        <w:tc>
          <w:tcPr>
            <w:tcW w:w="460" w:type="pct"/>
          </w:tcPr>
          <w:p w14:paraId="6BF7105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03A5018"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81F59A5" w14:textId="77777777"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Borders>
              <w:bottom w:val="nil"/>
            </w:tcBorders>
          </w:tcPr>
          <w:p w14:paraId="45BF003C" w14:textId="306035D9" w:rsidR="00095411" w:rsidRDefault="00095411" w:rsidP="00591CBB">
            <w:pPr>
              <w:spacing w:after="160" w:line="259" w:lineRule="auto"/>
              <w:rPr>
                <w:rFonts w:ascii="Arial Narrow" w:hAnsi="Arial Narrow"/>
                <w:sz w:val="18"/>
                <w:szCs w:val="18"/>
              </w:rPr>
            </w:pPr>
            <w:r>
              <w:rPr>
                <w:rFonts w:ascii="Arial Narrow" w:hAnsi="Arial Narrow"/>
                <w:sz w:val="18"/>
                <w:szCs w:val="18"/>
              </w:rPr>
              <w:t>Actual</w:t>
            </w:r>
          </w:p>
        </w:tc>
        <w:tc>
          <w:tcPr>
            <w:tcW w:w="330" w:type="pct"/>
          </w:tcPr>
          <w:p w14:paraId="4B78D83C" w14:textId="4254D145"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71</w:t>
            </w:r>
          </w:p>
        </w:tc>
        <w:tc>
          <w:tcPr>
            <w:cnfStyle w:val="000010000000" w:firstRow="0" w:lastRow="0" w:firstColumn="0" w:lastColumn="0" w:oddVBand="1" w:evenVBand="0" w:oddHBand="0" w:evenHBand="0" w:firstRowFirstColumn="0" w:firstRowLastColumn="0" w:lastRowFirstColumn="0" w:lastRowLastColumn="0"/>
            <w:tcW w:w="271" w:type="pct"/>
          </w:tcPr>
          <w:p w14:paraId="760C58D9" w14:textId="07B20729" w:rsidR="00095411" w:rsidRDefault="00095411" w:rsidP="00591CBB">
            <w:pPr>
              <w:spacing w:after="160" w:line="259" w:lineRule="auto"/>
              <w:rPr>
                <w:rFonts w:ascii="Arial Narrow" w:hAnsi="Arial Narrow"/>
                <w:sz w:val="18"/>
                <w:szCs w:val="18"/>
              </w:rPr>
            </w:pPr>
            <w:r>
              <w:rPr>
                <w:rFonts w:ascii="Arial Narrow" w:hAnsi="Arial Narrow"/>
                <w:sz w:val="18"/>
                <w:szCs w:val="18"/>
              </w:rPr>
              <w:t>71</w:t>
            </w:r>
          </w:p>
        </w:tc>
        <w:tc>
          <w:tcPr>
            <w:tcW w:w="298" w:type="pct"/>
          </w:tcPr>
          <w:p w14:paraId="52B981FB" w14:textId="393B7DCD"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MICS/DHS</w:t>
            </w:r>
          </w:p>
        </w:tc>
        <w:tc>
          <w:tcPr>
            <w:cnfStyle w:val="000010000000" w:firstRow="0" w:lastRow="0" w:firstColumn="0" w:lastColumn="0" w:oddVBand="1" w:evenVBand="0" w:oddHBand="0" w:evenHBand="0" w:firstRowFirstColumn="0" w:firstRowLastColumn="0" w:lastRowFirstColumn="0" w:lastRowLastColumn="0"/>
            <w:tcW w:w="197" w:type="pct"/>
          </w:tcPr>
          <w:p w14:paraId="31BC4B7B" w14:textId="77777777" w:rsidR="00095411" w:rsidRDefault="00095411" w:rsidP="00591CBB">
            <w:pPr>
              <w:spacing w:after="160" w:line="259" w:lineRule="auto"/>
              <w:rPr>
                <w:rFonts w:ascii="Arial Narrow" w:hAnsi="Arial Narrow"/>
                <w:sz w:val="18"/>
                <w:szCs w:val="18"/>
              </w:rPr>
            </w:pPr>
          </w:p>
        </w:tc>
        <w:tc>
          <w:tcPr>
            <w:tcW w:w="273" w:type="pct"/>
          </w:tcPr>
          <w:p w14:paraId="1FA88A9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FD9CC0D" w14:textId="77777777" w:rsidR="00095411" w:rsidRPr="007348FD" w:rsidRDefault="00095411" w:rsidP="00591CBB">
            <w:pPr>
              <w:spacing w:after="160" w:line="259" w:lineRule="auto"/>
              <w:rPr>
                <w:rFonts w:ascii="Arial Narrow" w:hAnsi="Arial Narrow"/>
                <w:sz w:val="18"/>
                <w:szCs w:val="18"/>
              </w:rPr>
            </w:pPr>
          </w:p>
        </w:tc>
        <w:tc>
          <w:tcPr>
            <w:tcW w:w="283" w:type="pct"/>
          </w:tcPr>
          <w:p w14:paraId="0175D89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1036988" w14:textId="77777777" w:rsidR="00095411" w:rsidRPr="007348FD" w:rsidRDefault="00095411" w:rsidP="00591CBB">
            <w:pPr>
              <w:spacing w:after="160" w:line="259" w:lineRule="auto"/>
              <w:rPr>
                <w:rFonts w:ascii="Arial Narrow" w:hAnsi="Arial Narrow"/>
                <w:sz w:val="18"/>
                <w:szCs w:val="18"/>
              </w:rPr>
            </w:pPr>
          </w:p>
        </w:tc>
        <w:tc>
          <w:tcPr>
            <w:tcW w:w="149" w:type="pct"/>
          </w:tcPr>
          <w:p w14:paraId="1AF45B3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B5C96BA" w14:textId="3A560308" w:rsidR="00095411" w:rsidRDefault="00095411" w:rsidP="00591CBB">
            <w:pPr>
              <w:spacing w:after="160" w:line="259" w:lineRule="auto"/>
              <w:rPr>
                <w:rFonts w:ascii="Arial Narrow" w:hAnsi="Arial Narrow"/>
                <w:sz w:val="18"/>
                <w:szCs w:val="18"/>
              </w:rPr>
            </w:pPr>
            <w:r>
              <w:rPr>
                <w:rFonts w:ascii="Arial Narrow" w:hAnsi="Arial Narrow"/>
                <w:sz w:val="18"/>
                <w:szCs w:val="18"/>
              </w:rPr>
              <w:t>1</w:t>
            </w:r>
          </w:p>
        </w:tc>
        <w:tc>
          <w:tcPr>
            <w:tcW w:w="214" w:type="pct"/>
          </w:tcPr>
          <w:p w14:paraId="1A0F26D1" w14:textId="77777777"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5250D576" w14:textId="77777777" w:rsidR="00095411" w:rsidRDefault="00095411" w:rsidP="00591CBB">
            <w:pPr>
              <w:spacing w:after="160" w:line="259" w:lineRule="auto"/>
              <w:rPr>
                <w:rFonts w:ascii="Arial Narrow" w:hAnsi="Arial Narrow"/>
                <w:sz w:val="18"/>
                <w:szCs w:val="18"/>
              </w:rPr>
            </w:pPr>
          </w:p>
        </w:tc>
        <w:tc>
          <w:tcPr>
            <w:tcW w:w="280" w:type="pct"/>
          </w:tcPr>
          <w:p w14:paraId="63B001FE" w14:textId="77777777" w:rsidR="00095411"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6786B407" w14:textId="77777777" w:rsidTr="00051F27">
        <w:trPr>
          <w:trHeight w:val="634"/>
        </w:trPr>
        <w:tc>
          <w:tcPr>
            <w:cnfStyle w:val="000010000000" w:firstRow="0" w:lastRow="0" w:firstColumn="0" w:lastColumn="0" w:oddVBand="1" w:evenVBand="0" w:oddHBand="0" w:evenHBand="0" w:firstRowFirstColumn="0" w:firstRowLastColumn="0" w:lastRowFirstColumn="0" w:lastRowLastColumn="0"/>
            <w:tcW w:w="432" w:type="pct"/>
          </w:tcPr>
          <w:p w14:paraId="04E1CC18" w14:textId="77777777" w:rsidR="00095411" w:rsidRPr="007348FD" w:rsidRDefault="00095411" w:rsidP="00C7183D">
            <w:pPr>
              <w:spacing w:after="160" w:line="259" w:lineRule="auto"/>
              <w:rPr>
                <w:rFonts w:ascii="Arial Narrow" w:hAnsi="Arial Narrow"/>
                <w:b/>
                <w:bCs/>
                <w:sz w:val="18"/>
                <w:szCs w:val="18"/>
              </w:rPr>
            </w:pPr>
          </w:p>
        </w:tc>
        <w:tc>
          <w:tcPr>
            <w:tcW w:w="460" w:type="pct"/>
          </w:tcPr>
          <w:p w14:paraId="655F750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A18A1B9"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E01016F" w14:textId="510D6574"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Borders>
              <w:bottom w:val="nil"/>
            </w:tcBorders>
          </w:tcPr>
          <w:p w14:paraId="47A0E740" w14:textId="623A540A" w:rsidR="00095411" w:rsidRDefault="00095411" w:rsidP="00591CBB">
            <w:pPr>
              <w:spacing w:after="160" w:line="259" w:lineRule="auto"/>
              <w:rPr>
                <w:rFonts w:ascii="Arial Narrow" w:hAnsi="Arial Narrow"/>
                <w:sz w:val="18"/>
                <w:szCs w:val="18"/>
              </w:rPr>
            </w:pPr>
            <w:r>
              <w:rPr>
                <w:rFonts w:ascii="Arial Narrow" w:hAnsi="Arial Narrow"/>
                <w:sz w:val="18"/>
                <w:szCs w:val="18"/>
              </w:rPr>
              <w:t>Planned</w:t>
            </w:r>
          </w:p>
        </w:tc>
        <w:tc>
          <w:tcPr>
            <w:tcW w:w="330" w:type="pct"/>
          </w:tcPr>
          <w:p w14:paraId="02D4599F" w14:textId="77777777"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277ED44C" w14:textId="1B6ACD20" w:rsidR="00095411" w:rsidRDefault="00095411" w:rsidP="00591CBB">
            <w:pPr>
              <w:spacing w:after="160" w:line="259" w:lineRule="auto"/>
              <w:rPr>
                <w:rFonts w:ascii="Arial Narrow" w:hAnsi="Arial Narrow"/>
                <w:sz w:val="18"/>
                <w:szCs w:val="18"/>
              </w:rPr>
            </w:pPr>
            <w:r>
              <w:rPr>
                <w:rFonts w:ascii="Arial Narrow" w:hAnsi="Arial Narrow"/>
                <w:sz w:val="18"/>
                <w:szCs w:val="18"/>
              </w:rPr>
              <w:t>39.6</w:t>
            </w:r>
          </w:p>
        </w:tc>
        <w:tc>
          <w:tcPr>
            <w:tcW w:w="298" w:type="pct"/>
          </w:tcPr>
          <w:p w14:paraId="47A32F8B" w14:textId="7DF123D9"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41.2</w:t>
            </w:r>
          </w:p>
        </w:tc>
        <w:tc>
          <w:tcPr>
            <w:cnfStyle w:val="000010000000" w:firstRow="0" w:lastRow="0" w:firstColumn="0" w:lastColumn="0" w:oddVBand="1" w:evenVBand="0" w:oddHBand="0" w:evenHBand="0" w:firstRowFirstColumn="0" w:firstRowLastColumn="0" w:lastRowFirstColumn="0" w:lastRowLastColumn="0"/>
            <w:tcW w:w="197" w:type="pct"/>
          </w:tcPr>
          <w:p w14:paraId="5A63C05C" w14:textId="77777777" w:rsidR="00095411" w:rsidRDefault="00095411" w:rsidP="00591CBB">
            <w:pPr>
              <w:spacing w:after="160" w:line="259" w:lineRule="auto"/>
              <w:rPr>
                <w:rFonts w:ascii="Arial Narrow" w:hAnsi="Arial Narrow"/>
                <w:sz w:val="18"/>
                <w:szCs w:val="18"/>
              </w:rPr>
            </w:pPr>
          </w:p>
        </w:tc>
        <w:tc>
          <w:tcPr>
            <w:tcW w:w="273" w:type="pct"/>
          </w:tcPr>
          <w:p w14:paraId="3FD7739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77A76D2" w14:textId="77777777" w:rsidR="00095411" w:rsidRPr="007348FD" w:rsidRDefault="00095411" w:rsidP="00591CBB">
            <w:pPr>
              <w:spacing w:after="160" w:line="259" w:lineRule="auto"/>
              <w:rPr>
                <w:rFonts w:ascii="Arial Narrow" w:hAnsi="Arial Narrow"/>
                <w:sz w:val="18"/>
                <w:szCs w:val="18"/>
              </w:rPr>
            </w:pPr>
          </w:p>
        </w:tc>
        <w:tc>
          <w:tcPr>
            <w:tcW w:w="283" w:type="pct"/>
          </w:tcPr>
          <w:p w14:paraId="402D1FA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E23D01D" w14:textId="77777777" w:rsidR="00095411" w:rsidRPr="007348FD" w:rsidRDefault="00095411" w:rsidP="00591CBB">
            <w:pPr>
              <w:spacing w:after="160" w:line="259" w:lineRule="auto"/>
              <w:rPr>
                <w:rFonts w:ascii="Arial Narrow" w:hAnsi="Arial Narrow"/>
                <w:sz w:val="18"/>
                <w:szCs w:val="18"/>
              </w:rPr>
            </w:pPr>
          </w:p>
        </w:tc>
        <w:tc>
          <w:tcPr>
            <w:tcW w:w="149" w:type="pct"/>
          </w:tcPr>
          <w:p w14:paraId="5EF3B3D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64707A3" w14:textId="77777777" w:rsidR="00095411" w:rsidRDefault="00095411" w:rsidP="00591CBB">
            <w:pPr>
              <w:spacing w:after="160" w:line="259" w:lineRule="auto"/>
              <w:rPr>
                <w:rFonts w:ascii="Arial Narrow" w:hAnsi="Arial Narrow"/>
                <w:sz w:val="18"/>
                <w:szCs w:val="18"/>
              </w:rPr>
            </w:pPr>
          </w:p>
        </w:tc>
        <w:tc>
          <w:tcPr>
            <w:tcW w:w="214" w:type="pct"/>
          </w:tcPr>
          <w:p w14:paraId="2DFCCB76" w14:textId="4ECE7D3E"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42.7</w:t>
            </w:r>
          </w:p>
        </w:tc>
        <w:tc>
          <w:tcPr>
            <w:cnfStyle w:val="000010000000" w:firstRow="0" w:lastRow="0" w:firstColumn="0" w:lastColumn="0" w:oddVBand="1" w:evenVBand="0" w:oddHBand="0" w:evenHBand="0" w:firstRowFirstColumn="0" w:firstRowLastColumn="0" w:lastRowFirstColumn="0" w:lastRowLastColumn="0"/>
            <w:tcW w:w="245" w:type="pct"/>
          </w:tcPr>
          <w:p w14:paraId="56164023" w14:textId="063E5638" w:rsidR="00095411" w:rsidRDefault="00095411" w:rsidP="00591CBB">
            <w:pPr>
              <w:spacing w:after="160" w:line="259" w:lineRule="auto"/>
              <w:rPr>
                <w:rFonts w:ascii="Arial Narrow" w:hAnsi="Arial Narrow"/>
                <w:sz w:val="18"/>
                <w:szCs w:val="18"/>
              </w:rPr>
            </w:pPr>
            <w:r>
              <w:rPr>
                <w:rFonts w:ascii="Arial Narrow" w:hAnsi="Arial Narrow"/>
                <w:sz w:val="18"/>
                <w:szCs w:val="18"/>
              </w:rPr>
              <w:t>44.1</w:t>
            </w:r>
          </w:p>
        </w:tc>
        <w:tc>
          <w:tcPr>
            <w:tcW w:w="280" w:type="pct"/>
          </w:tcPr>
          <w:p w14:paraId="0364A7BE" w14:textId="10CAEB5B"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45.5</w:t>
            </w:r>
          </w:p>
        </w:tc>
      </w:tr>
      <w:tr w:rsidR="00095411" w:rsidRPr="00591CBB" w14:paraId="2773B372"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0B14F29F" w14:textId="77777777" w:rsidR="00095411" w:rsidRPr="007348FD" w:rsidRDefault="00095411" w:rsidP="00591CBB">
            <w:pPr>
              <w:spacing w:after="160" w:line="259" w:lineRule="auto"/>
              <w:rPr>
                <w:rFonts w:ascii="Arial Narrow" w:hAnsi="Arial Narrow"/>
                <w:sz w:val="18"/>
                <w:szCs w:val="18"/>
              </w:rPr>
            </w:pPr>
          </w:p>
        </w:tc>
        <w:tc>
          <w:tcPr>
            <w:tcW w:w="460" w:type="pct"/>
          </w:tcPr>
          <w:p w14:paraId="3DAC7DC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D610D3D"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F45928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1B126BA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2CB8CB1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37.9</w:t>
            </w:r>
          </w:p>
        </w:tc>
        <w:tc>
          <w:tcPr>
            <w:cnfStyle w:val="000010000000" w:firstRow="0" w:lastRow="0" w:firstColumn="0" w:lastColumn="0" w:oddVBand="1" w:evenVBand="0" w:oddHBand="0" w:evenHBand="0" w:firstRowFirstColumn="0" w:firstRowLastColumn="0" w:lastRowFirstColumn="0" w:lastRowLastColumn="0"/>
            <w:tcW w:w="271" w:type="pct"/>
          </w:tcPr>
          <w:p w14:paraId="48553BD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37.9</w:t>
            </w:r>
          </w:p>
        </w:tc>
        <w:tc>
          <w:tcPr>
            <w:tcW w:w="298" w:type="pct"/>
          </w:tcPr>
          <w:p w14:paraId="08E6010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53.6</w:t>
            </w:r>
          </w:p>
        </w:tc>
        <w:tc>
          <w:tcPr>
            <w:cnfStyle w:val="000010000000" w:firstRow="0" w:lastRow="0" w:firstColumn="0" w:lastColumn="0" w:oddVBand="1" w:evenVBand="0" w:oddHBand="0" w:evenHBand="0" w:firstRowFirstColumn="0" w:firstRowLastColumn="0" w:lastRowFirstColumn="0" w:lastRowLastColumn="0"/>
            <w:tcW w:w="197" w:type="pct"/>
          </w:tcPr>
          <w:p w14:paraId="7AC11891" w14:textId="77777777" w:rsidR="00095411" w:rsidRPr="007348FD" w:rsidRDefault="00095411" w:rsidP="00591CBB">
            <w:pPr>
              <w:spacing w:after="160" w:line="259" w:lineRule="auto"/>
              <w:rPr>
                <w:rFonts w:ascii="Arial Narrow" w:hAnsi="Arial Narrow"/>
                <w:sz w:val="18"/>
                <w:szCs w:val="18"/>
              </w:rPr>
            </w:pPr>
          </w:p>
        </w:tc>
        <w:tc>
          <w:tcPr>
            <w:tcW w:w="273" w:type="pct"/>
          </w:tcPr>
          <w:p w14:paraId="5CD85C0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34F3B00" w14:textId="77777777" w:rsidR="00095411" w:rsidRPr="007348FD" w:rsidRDefault="00095411" w:rsidP="00591CBB">
            <w:pPr>
              <w:spacing w:after="160" w:line="259" w:lineRule="auto"/>
              <w:rPr>
                <w:rFonts w:ascii="Arial Narrow" w:hAnsi="Arial Narrow"/>
                <w:sz w:val="18"/>
                <w:szCs w:val="18"/>
              </w:rPr>
            </w:pPr>
          </w:p>
        </w:tc>
        <w:tc>
          <w:tcPr>
            <w:tcW w:w="283" w:type="pct"/>
          </w:tcPr>
          <w:p w14:paraId="419773A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A3B8814" w14:textId="77777777" w:rsidR="00095411" w:rsidRPr="007348FD" w:rsidRDefault="00095411" w:rsidP="00591CBB">
            <w:pPr>
              <w:spacing w:after="160" w:line="259" w:lineRule="auto"/>
              <w:rPr>
                <w:rFonts w:ascii="Arial Narrow" w:hAnsi="Arial Narrow"/>
                <w:sz w:val="18"/>
                <w:szCs w:val="18"/>
              </w:rPr>
            </w:pPr>
          </w:p>
        </w:tc>
        <w:tc>
          <w:tcPr>
            <w:tcW w:w="149" w:type="pct"/>
          </w:tcPr>
          <w:p w14:paraId="08E067F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402575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w:t>
            </w:r>
          </w:p>
        </w:tc>
        <w:tc>
          <w:tcPr>
            <w:tcW w:w="214" w:type="pct"/>
          </w:tcPr>
          <w:p w14:paraId="08DE475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5263325D" w14:textId="77777777" w:rsidR="00095411" w:rsidRPr="007348FD" w:rsidRDefault="00095411" w:rsidP="00591CBB">
            <w:pPr>
              <w:spacing w:after="160" w:line="259" w:lineRule="auto"/>
              <w:rPr>
                <w:rFonts w:ascii="Arial Narrow" w:hAnsi="Arial Narrow"/>
                <w:sz w:val="18"/>
                <w:szCs w:val="18"/>
              </w:rPr>
            </w:pPr>
          </w:p>
        </w:tc>
        <w:tc>
          <w:tcPr>
            <w:tcW w:w="280" w:type="pct"/>
          </w:tcPr>
          <w:p w14:paraId="2A957CA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1897809C"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71F7D18E" w14:textId="77777777" w:rsidR="00095411" w:rsidRPr="007348FD" w:rsidRDefault="00095411" w:rsidP="00591CBB">
            <w:pPr>
              <w:spacing w:after="160" w:line="259" w:lineRule="auto"/>
              <w:rPr>
                <w:rFonts w:ascii="Arial Narrow" w:hAnsi="Arial Narrow"/>
                <w:sz w:val="18"/>
                <w:szCs w:val="18"/>
              </w:rPr>
            </w:pPr>
          </w:p>
        </w:tc>
        <w:tc>
          <w:tcPr>
            <w:tcW w:w="460" w:type="pct"/>
          </w:tcPr>
          <w:p w14:paraId="4B2F1AC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92387EE"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322996B" w14:textId="1A23715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31645D30" w14:textId="5B148D1E" w:rsidR="00095411" w:rsidRPr="007348FD" w:rsidRDefault="00095411" w:rsidP="00591CBB">
            <w:pPr>
              <w:spacing w:after="160" w:line="259" w:lineRule="auto"/>
              <w:rPr>
                <w:rFonts w:ascii="Arial Narrow" w:hAnsi="Arial Narrow"/>
                <w:sz w:val="18"/>
                <w:szCs w:val="18"/>
              </w:rPr>
            </w:pPr>
            <w:r>
              <w:rPr>
                <w:rFonts w:ascii="Arial Narrow" w:hAnsi="Arial Narrow"/>
                <w:sz w:val="18"/>
                <w:szCs w:val="18"/>
              </w:rPr>
              <w:t>Planned</w:t>
            </w:r>
          </w:p>
        </w:tc>
        <w:tc>
          <w:tcPr>
            <w:tcW w:w="330" w:type="pct"/>
          </w:tcPr>
          <w:p w14:paraId="7257C09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2B837B7B" w14:textId="5F0DD200" w:rsidR="00095411" w:rsidRPr="007348FD" w:rsidRDefault="00095411" w:rsidP="00591CBB">
            <w:pPr>
              <w:spacing w:after="160" w:line="259" w:lineRule="auto"/>
              <w:rPr>
                <w:rFonts w:ascii="Arial Narrow" w:hAnsi="Arial Narrow"/>
                <w:sz w:val="18"/>
                <w:szCs w:val="18"/>
              </w:rPr>
            </w:pPr>
            <w:r>
              <w:rPr>
                <w:rFonts w:ascii="Arial Narrow" w:hAnsi="Arial Narrow"/>
                <w:sz w:val="18"/>
                <w:szCs w:val="18"/>
              </w:rPr>
              <w:t>29.3</w:t>
            </w:r>
          </w:p>
        </w:tc>
        <w:tc>
          <w:tcPr>
            <w:tcW w:w="298" w:type="pct"/>
          </w:tcPr>
          <w:p w14:paraId="6E24DA73" w14:textId="1C22881C"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30.6</w:t>
            </w:r>
          </w:p>
        </w:tc>
        <w:tc>
          <w:tcPr>
            <w:cnfStyle w:val="000010000000" w:firstRow="0" w:lastRow="0" w:firstColumn="0" w:lastColumn="0" w:oddVBand="1" w:evenVBand="0" w:oddHBand="0" w:evenHBand="0" w:firstRowFirstColumn="0" w:firstRowLastColumn="0" w:lastRowFirstColumn="0" w:lastRowLastColumn="0"/>
            <w:tcW w:w="197" w:type="pct"/>
          </w:tcPr>
          <w:p w14:paraId="16DD5388" w14:textId="77777777" w:rsidR="00095411" w:rsidRPr="007348FD" w:rsidRDefault="00095411" w:rsidP="00591CBB">
            <w:pPr>
              <w:spacing w:after="160" w:line="259" w:lineRule="auto"/>
              <w:rPr>
                <w:rFonts w:ascii="Arial Narrow" w:hAnsi="Arial Narrow"/>
                <w:sz w:val="18"/>
                <w:szCs w:val="18"/>
              </w:rPr>
            </w:pPr>
          </w:p>
        </w:tc>
        <w:tc>
          <w:tcPr>
            <w:tcW w:w="273" w:type="pct"/>
          </w:tcPr>
          <w:p w14:paraId="43DA55A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A14F249" w14:textId="77777777" w:rsidR="00095411" w:rsidRPr="007348FD" w:rsidRDefault="00095411" w:rsidP="00591CBB">
            <w:pPr>
              <w:spacing w:after="160" w:line="259" w:lineRule="auto"/>
              <w:rPr>
                <w:rFonts w:ascii="Arial Narrow" w:hAnsi="Arial Narrow"/>
                <w:sz w:val="18"/>
                <w:szCs w:val="18"/>
              </w:rPr>
            </w:pPr>
          </w:p>
        </w:tc>
        <w:tc>
          <w:tcPr>
            <w:tcW w:w="283" w:type="pct"/>
          </w:tcPr>
          <w:p w14:paraId="009FB5B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A0ABCC5" w14:textId="77777777" w:rsidR="00095411" w:rsidRPr="007348FD" w:rsidRDefault="00095411" w:rsidP="00591CBB">
            <w:pPr>
              <w:spacing w:after="160" w:line="259" w:lineRule="auto"/>
              <w:rPr>
                <w:rFonts w:ascii="Arial Narrow" w:hAnsi="Arial Narrow"/>
                <w:sz w:val="18"/>
                <w:szCs w:val="18"/>
              </w:rPr>
            </w:pPr>
          </w:p>
        </w:tc>
        <w:tc>
          <w:tcPr>
            <w:tcW w:w="149" w:type="pct"/>
          </w:tcPr>
          <w:p w14:paraId="58F8872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165508C" w14:textId="77777777" w:rsidR="00095411" w:rsidRPr="007348FD" w:rsidRDefault="00095411" w:rsidP="00591CBB">
            <w:pPr>
              <w:spacing w:after="160" w:line="259" w:lineRule="auto"/>
              <w:rPr>
                <w:rFonts w:ascii="Arial Narrow" w:hAnsi="Arial Narrow"/>
                <w:sz w:val="18"/>
                <w:szCs w:val="18"/>
              </w:rPr>
            </w:pPr>
          </w:p>
        </w:tc>
        <w:tc>
          <w:tcPr>
            <w:tcW w:w="214" w:type="pct"/>
          </w:tcPr>
          <w:p w14:paraId="36CFF290" w14:textId="6A293513"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31.8</w:t>
            </w:r>
          </w:p>
        </w:tc>
        <w:tc>
          <w:tcPr>
            <w:cnfStyle w:val="000010000000" w:firstRow="0" w:lastRow="0" w:firstColumn="0" w:lastColumn="0" w:oddVBand="1" w:evenVBand="0" w:oddHBand="0" w:evenHBand="0" w:firstRowFirstColumn="0" w:firstRowLastColumn="0" w:lastRowFirstColumn="0" w:lastRowLastColumn="0"/>
            <w:tcW w:w="245" w:type="pct"/>
          </w:tcPr>
          <w:p w14:paraId="629940C6" w14:textId="07D6698F" w:rsidR="00095411" w:rsidRPr="007348FD" w:rsidRDefault="00095411" w:rsidP="00591CBB">
            <w:pPr>
              <w:spacing w:after="160" w:line="259" w:lineRule="auto"/>
              <w:rPr>
                <w:rFonts w:ascii="Arial Narrow" w:hAnsi="Arial Narrow"/>
                <w:sz w:val="18"/>
                <w:szCs w:val="18"/>
              </w:rPr>
            </w:pPr>
            <w:r>
              <w:rPr>
                <w:rFonts w:ascii="Arial Narrow" w:hAnsi="Arial Narrow"/>
                <w:sz w:val="18"/>
                <w:szCs w:val="18"/>
              </w:rPr>
              <w:t>33.0</w:t>
            </w:r>
          </w:p>
        </w:tc>
        <w:tc>
          <w:tcPr>
            <w:tcW w:w="280" w:type="pct"/>
          </w:tcPr>
          <w:p w14:paraId="64F660F3" w14:textId="6A6DCF46"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34.1</w:t>
            </w:r>
          </w:p>
        </w:tc>
      </w:tr>
      <w:tr w:rsidR="00095411" w:rsidRPr="00591CBB" w14:paraId="000B8526"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73B05DEE" w14:textId="77777777" w:rsidR="00095411" w:rsidRPr="007348FD" w:rsidRDefault="00095411" w:rsidP="00591CBB">
            <w:pPr>
              <w:spacing w:after="160" w:line="259" w:lineRule="auto"/>
              <w:rPr>
                <w:rFonts w:ascii="Arial Narrow" w:hAnsi="Arial Narrow"/>
                <w:sz w:val="18"/>
                <w:szCs w:val="18"/>
              </w:rPr>
            </w:pPr>
          </w:p>
        </w:tc>
        <w:tc>
          <w:tcPr>
            <w:tcW w:w="460" w:type="pct"/>
          </w:tcPr>
          <w:p w14:paraId="5010757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2770F67"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C96AC9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B683CA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78ECA38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28.0</w:t>
            </w:r>
          </w:p>
        </w:tc>
        <w:tc>
          <w:tcPr>
            <w:cnfStyle w:val="000010000000" w:firstRow="0" w:lastRow="0" w:firstColumn="0" w:lastColumn="0" w:oddVBand="1" w:evenVBand="0" w:oddHBand="0" w:evenHBand="0" w:firstRowFirstColumn="0" w:firstRowLastColumn="0" w:lastRowFirstColumn="0" w:lastRowLastColumn="0"/>
            <w:tcW w:w="271" w:type="pct"/>
          </w:tcPr>
          <w:p w14:paraId="294AFE8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28.0</w:t>
            </w:r>
          </w:p>
        </w:tc>
        <w:tc>
          <w:tcPr>
            <w:tcW w:w="298" w:type="pct"/>
          </w:tcPr>
          <w:p w14:paraId="3D12BA8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97" w:type="pct"/>
          </w:tcPr>
          <w:p w14:paraId="128AF68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29.4</w:t>
            </w:r>
          </w:p>
        </w:tc>
        <w:tc>
          <w:tcPr>
            <w:tcW w:w="273" w:type="pct"/>
          </w:tcPr>
          <w:p w14:paraId="7820944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4E62019" w14:textId="77777777" w:rsidR="00095411" w:rsidRPr="007348FD" w:rsidRDefault="00095411" w:rsidP="00591CBB">
            <w:pPr>
              <w:spacing w:after="160" w:line="259" w:lineRule="auto"/>
              <w:rPr>
                <w:rFonts w:ascii="Arial Narrow" w:hAnsi="Arial Narrow"/>
                <w:sz w:val="18"/>
                <w:szCs w:val="18"/>
              </w:rPr>
            </w:pPr>
          </w:p>
        </w:tc>
        <w:tc>
          <w:tcPr>
            <w:tcW w:w="283" w:type="pct"/>
          </w:tcPr>
          <w:p w14:paraId="5B6A158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FC9C474" w14:textId="77777777" w:rsidR="00095411" w:rsidRPr="007348FD" w:rsidRDefault="00095411" w:rsidP="00591CBB">
            <w:pPr>
              <w:spacing w:after="160" w:line="259" w:lineRule="auto"/>
              <w:rPr>
                <w:rFonts w:ascii="Arial Narrow" w:hAnsi="Arial Narrow"/>
                <w:sz w:val="18"/>
                <w:szCs w:val="18"/>
              </w:rPr>
            </w:pPr>
          </w:p>
        </w:tc>
        <w:tc>
          <w:tcPr>
            <w:tcW w:w="149" w:type="pct"/>
          </w:tcPr>
          <w:p w14:paraId="4A823DC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188D88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w:t>
            </w:r>
          </w:p>
        </w:tc>
        <w:tc>
          <w:tcPr>
            <w:tcW w:w="214" w:type="pct"/>
          </w:tcPr>
          <w:p w14:paraId="79E6A53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29.4</w:t>
            </w:r>
          </w:p>
        </w:tc>
        <w:tc>
          <w:tcPr>
            <w:cnfStyle w:val="000010000000" w:firstRow="0" w:lastRow="0" w:firstColumn="0" w:lastColumn="0" w:oddVBand="1" w:evenVBand="0" w:oddHBand="0" w:evenHBand="0" w:firstRowFirstColumn="0" w:firstRowLastColumn="0" w:lastRowFirstColumn="0" w:lastRowLastColumn="0"/>
            <w:tcW w:w="245" w:type="pct"/>
          </w:tcPr>
          <w:p w14:paraId="205C9BA7" w14:textId="77777777" w:rsidR="00095411" w:rsidRPr="007348FD" w:rsidRDefault="00095411" w:rsidP="00591CBB">
            <w:pPr>
              <w:spacing w:after="160" w:line="259" w:lineRule="auto"/>
              <w:rPr>
                <w:rFonts w:ascii="Arial Narrow" w:hAnsi="Arial Narrow"/>
                <w:sz w:val="18"/>
                <w:szCs w:val="18"/>
              </w:rPr>
            </w:pPr>
          </w:p>
        </w:tc>
        <w:tc>
          <w:tcPr>
            <w:tcW w:w="280" w:type="pct"/>
          </w:tcPr>
          <w:p w14:paraId="1BF2246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63021F02"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2D377218" w14:textId="77777777" w:rsidR="00095411" w:rsidRPr="007348FD" w:rsidRDefault="00095411" w:rsidP="00591CBB">
            <w:pPr>
              <w:spacing w:after="160" w:line="259" w:lineRule="auto"/>
              <w:rPr>
                <w:rFonts w:ascii="Arial Narrow" w:hAnsi="Arial Narrow"/>
                <w:sz w:val="18"/>
                <w:szCs w:val="18"/>
              </w:rPr>
            </w:pPr>
          </w:p>
        </w:tc>
        <w:tc>
          <w:tcPr>
            <w:tcW w:w="460" w:type="pct"/>
          </w:tcPr>
          <w:p w14:paraId="4320C5D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B5332CE"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1D0F748" w14:textId="23F750D2"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68AB54F4" w14:textId="21D7F91D" w:rsidR="00095411" w:rsidRPr="007348FD" w:rsidRDefault="00095411" w:rsidP="00591CBB">
            <w:pPr>
              <w:spacing w:after="160" w:line="259" w:lineRule="auto"/>
              <w:rPr>
                <w:rFonts w:ascii="Arial Narrow" w:hAnsi="Arial Narrow"/>
                <w:sz w:val="18"/>
                <w:szCs w:val="18"/>
              </w:rPr>
            </w:pPr>
            <w:r>
              <w:rPr>
                <w:rFonts w:ascii="Arial Narrow" w:hAnsi="Arial Narrow"/>
                <w:sz w:val="18"/>
                <w:szCs w:val="18"/>
              </w:rPr>
              <w:t>Planned</w:t>
            </w:r>
          </w:p>
        </w:tc>
        <w:tc>
          <w:tcPr>
            <w:tcW w:w="330" w:type="pct"/>
          </w:tcPr>
          <w:p w14:paraId="0FE6FFA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2BE9F8BE" w14:textId="1FA12389" w:rsidR="00095411" w:rsidRPr="007348FD" w:rsidRDefault="00095411" w:rsidP="00591CBB">
            <w:pPr>
              <w:spacing w:after="160" w:line="259" w:lineRule="auto"/>
              <w:rPr>
                <w:rFonts w:ascii="Arial Narrow" w:hAnsi="Arial Narrow"/>
                <w:sz w:val="18"/>
                <w:szCs w:val="18"/>
              </w:rPr>
            </w:pPr>
            <w:r>
              <w:rPr>
                <w:rFonts w:ascii="Arial Narrow" w:hAnsi="Arial Narrow"/>
                <w:sz w:val="18"/>
                <w:szCs w:val="18"/>
              </w:rPr>
              <w:t>38.7</w:t>
            </w:r>
          </w:p>
        </w:tc>
        <w:tc>
          <w:tcPr>
            <w:tcW w:w="298" w:type="pct"/>
          </w:tcPr>
          <w:p w14:paraId="49F85369" w14:textId="00AE8330"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41.0</w:t>
            </w:r>
          </w:p>
        </w:tc>
        <w:tc>
          <w:tcPr>
            <w:cnfStyle w:val="000010000000" w:firstRow="0" w:lastRow="0" w:firstColumn="0" w:lastColumn="0" w:oddVBand="1" w:evenVBand="0" w:oddHBand="0" w:evenHBand="0" w:firstRowFirstColumn="0" w:firstRowLastColumn="0" w:lastRowFirstColumn="0" w:lastRowLastColumn="0"/>
            <w:tcW w:w="197" w:type="pct"/>
          </w:tcPr>
          <w:p w14:paraId="56A4BA6F" w14:textId="77777777" w:rsidR="00095411" w:rsidRPr="007348FD" w:rsidRDefault="00095411" w:rsidP="00591CBB">
            <w:pPr>
              <w:spacing w:after="160" w:line="259" w:lineRule="auto"/>
              <w:rPr>
                <w:rFonts w:ascii="Arial Narrow" w:hAnsi="Arial Narrow"/>
                <w:sz w:val="18"/>
                <w:szCs w:val="18"/>
              </w:rPr>
            </w:pPr>
          </w:p>
        </w:tc>
        <w:tc>
          <w:tcPr>
            <w:tcW w:w="273" w:type="pct"/>
          </w:tcPr>
          <w:p w14:paraId="0891259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35CEA73" w14:textId="77777777" w:rsidR="00095411" w:rsidRPr="007348FD" w:rsidRDefault="00095411" w:rsidP="00591CBB">
            <w:pPr>
              <w:spacing w:after="160" w:line="259" w:lineRule="auto"/>
              <w:rPr>
                <w:rFonts w:ascii="Arial Narrow" w:hAnsi="Arial Narrow"/>
                <w:sz w:val="18"/>
                <w:szCs w:val="18"/>
              </w:rPr>
            </w:pPr>
          </w:p>
        </w:tc>
        <w:tc>
          <w:tcPr>
            <w:tcW w:w="283" w:type="pct"/>
          </w:tcPr>
          <w:p w14:paraId="5E9B25A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0FF61E4" w14:textId="77777777" w:rsidR="00095411" w:rsidRPr="007348FD" w:rsidRDefault="00095411" w:rsidP="00591CBB">
            <w:pPr>
              <w:spacing w:after="160" w:line="259" w:lineRule="auto"/>
              <w:rPr>
                <w:rFonts w:ascii="Arial Narrow" w:hAnsi="Arial Narrow"/>
                <w:sz w:val="18"/>
                <w:szCs w:val="18"/>
              </w:rPr>
            </w:pPr>
          </w:p>
        </w:tc>
        <w:tc>
          <w:tcPr>
            <w:tcW w:w="149" w:type="pct"/>
          </w:tcPr>
          <w:p w14:paraId="605B177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1A0B79B" w14:textId="77777777" w:rsidR="00095411" w:rsidRPr="007348FD" w:rsidRDefault="00095411" w:rsidP="00591CBB">
            <w:pPr>
              <w:spacing w:after="160" w:line="259" w:lineRule="auto"/>
              <w:rPr>
                <w:rFonts w:ascii="Arial Narrow" w:hAnsi="Arial Narrow"/>
                <w:sz w:val="18"/>
                <w:szCs w:val="18"/>
              </w:rPr>
            </w:pPr>
          </w:p>
        </w:tc>
        <w:tc>
          <w:tcPr>
            <w:tcW w:w="214" w:type="pct"/>
          </w:tcPr>
          <w:p w14:paraId="2DB08628" w14:textId="7A200E02"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43.1</w:t>
            </w:r>
          </w:p>
        </w:tc>
        <w:tc>
          <w:tcPr>
            <w:cnfStyle w:val="000010000000" w:firstRow="0" w:lastRow="0" w:firstColumn="0" w:lastColumn="0" w:oddVBand="1" w:evenVBand="0" w:oddHBand="0" w:evenHBand="0" w:firstRowFirstColumn="0" w:firstRowLastColumn="0" w:lastRowFirstColumn="0" w:lastRowLastColumn="0"/>
            <w:tcW w:w="245" w:type="pct"/>
          </w:tcPr>
          <w:p w14:paraId="681785FE" w14:textId="16EBC877" w:rsidR="00095411" w:rsidRPr="007348FD" w:rsidRDefault="00095411" w:rsidP="00591CBB">
            <w:pPr>
              <w:spacing w:after="160" w:line="259" w:lineRule="auto"/>
              <w:rPr>
                <w:rFonts w:ascii="Arial Narrow" w:hAnsi="Arial Narrow"/>
                <w:sz w:val="18"/>
                <w:szCs w:val="18"/>
              </w:rPr>
            </w:pPr>
            <w:r>
              <w:rPr>
                <w:rFonts w:ascii="Arial Narrow" w:hAnsi="Arial Narrow"/>
                <w:sz w:val="18"/>
                <w:szCs w:val="18"/>
              </w:rPr>
              <w:t>45.1</w:t>
            </w:r>
          </w:p>
        </w:tc>
        <w:tc>
          <w:tcPr>
            <w:tcW w:w="280" w:type="pct"/>
          </w:tcPr>
          <w:p w14:paraId="59B4C4C2" w14:textId="623358A5" w:rsidR="00095411"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47.0</w:t>
            </w:r>
          </w:p>
        </w:tc>
      </w:tr>
      <w:tr w:rsidR="00095411" w:rsidRPr="00591CBB" w14:paraId="36D45D9C"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122ABC55" w14:textId="77777777" w:rsidR="00095411" w:rsidRPr="007348FD" w:rsidRDefault="00095411" w:rsidP="00591CBB">
            <w:pPr>
              <w:spacing w:after="160" w:line="259" w:lineRule="auto"/>
              <w:rPr>
                <w:rFonts w:ascii="Arial Narrow" w:hAnsi="Arial Narrow"/>
                <w:sz w:val="18"/>
                <w:szCs w:val="18"/>
              </w:rPr>
            </w:pPr>
          </w:p>
        </w:tc>
        <w:tc>
          <w:tcPr>
            <w:tcW w:w="460" w:type="pct"/>
          </w:tcPr>
          <w:p w14:paraId="0C87C02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EE45A22"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962B7C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B2FFBB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0AD899D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36.1</w:t>
            </w:r>
          </w:p>
        </w:tc>
        <w:tc>
          <w:tcPr>
            <w:cnfStyle w:val="000010000000" w:firstRow="0" w:lastRow="0" w:firstColumn="0" w:lastColumn="0" w:oddVBand="1" w:evenVBand="0" w:oddHBand="0" w:evenHBand="0" w:firstRowFirstColumn="0" w:firstRowLastColumn="0" w:lastRowFirstColumn="0" w:lastRowLastColumn="0"/>
            <w:tcW w:w="271" w:type="pct"/>
          </w:tcPr>
          <w:p w14:paraId="32917D7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36.1</w:t>
            </w:r>
          </w:p>
        </w:tc>
        <w:tc>
          <w:tcPr>
            <w:tcW w:w="298" w:type="pct"/>
          </w:tcPr>
          <w:p w14:paraId="1287A50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PHC</w:t>
            </w:r>
          </w:p>
        </w:tc>
        <w:tc>
          <w:tcPr>
            <w:cnfStyle w:val="000010000000" w:firstRow="0" w:lastRow="0" w:firstColumn="0" w:lastColumn="0" w:oddVBand="1" w:evenVBand="0" w:oddHBand="0" w:evenHBand="0" w:firstRowFirstColumn="0" w:firstRowLastColumn="0" w:lastRowFirstColumn="0" w:lastRowLastColumn="0"/>
            <w:tcW w:w="197" w:type="pct"/>
          </w:tcPr>
          <w:p w14:paraId="78D228F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36.1</w:t>
            </w:r>
          </w:p>
        </w:tc>
        <w:tc>
          <w:tcPr>
            <w:tcW w:w="273" w:type="pct"/>
          </w:tcPr>
          <w:p w14:paraId="3179C95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82E1182" w14:textId="77777777" w:rsidR="00095411" w:rsidRPr="007348FD" w:rsidRDefault="00095411" w:rsidP="00591CBB">
            <w:pPr>
              <w:spacing w:after="160" w:line="259" w:lineRule="auto"/>
              <w:rPr>
                <w:rFonts w:ascii="Arial Narrow" w:hAnsi="Arial Narrow"/>
                <w:sz w:val="18"/>
                <w:szCs w:val="18"/>
              </w:rPr>
            </w:pPr>
          </w:p>
        </w:tc>
        <w:tc>
          <w:tcPr>
            <w:tcW w:w="283" w:type="pct"/>
          </w:tcPr>
          <w:p w14:paraId="0A62683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C44E476" w14:textId="77777777" w:rsidR="00095411" w:rsidRPr="007348FD" w:rsidRDefault="00095411" w:rsidP="00591CBB">
            <w:pPr>
              <w:spacing w:after="160" w:line="259" w:lineRule="auto"/>
              <w:rPr>
                <w:rFonts w:ascii="Arial Narrow" w:hAnsi="Arial Narrow"/>
                <w:sz w:val="18"/>
                <w:szCs w:val="18"/>
              </w:rPr>
            </w:pPr>
          </w:p>
        </w:tc>
        <w:tc>
          <w:tcPr>
            <w:tcW w:w="149" w:type="pct"/>
          </w:tcPr>
          <w:p w14:paraId="79FD84F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DE1F7F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w:t>
            </w:r>
          </w:p>
        </w:tc>
        <w:tc>
          <w:tcPr>
            <w:tcW w:w="214" w:type="pct"/>
          </w:tcPr>
          <w:p w14:paraId="30F3175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36.1</w:t>
            </w:r>
          </w:p>
        </w:tc>
        <w:tc>
          <w:tcPr>
            <w:cnfStyle w:val="000010000000" w:firstRow="0" w:lastRow="0" w:firstColumn="0" w:lastColumn="0" w:oddVBand="1" w:evenVBand="0" w:oddHBand="0" w:evenHBand="0" w:firstRowFirstColumn="0" w:firstRowLastColumn="0" w:lastRowFirstColumn="0" w:lastRowLastColumn="0"/>
            <w:tcW w:w="245" w:type="pct"/>
          </w:tcPr>
          <w:p w14:paraId="78D38FE3" w14:textId="77777777" w:rsidR="00095411" w:rsidRPr="007348FD" w:rsidRDefault="00095411" w:rsidP="00591CBB">
            <w:pPr>
              <w:spacing w:after="160" w:line="259" w:lineRule="auto"/>
              <w:rPr>
                <w:rFonts w:ascii="Arial Narrow" w:hAnsi="Arial Narrow"/>
                <w:sz w:val="18"/>
                <w:szCs w:val="18"/>
              </w:rPr>
            </w:pPr>
          </w:p>
        </w:tc>
        <w:tc>
          <w:tcPr>
            <w:tcW w:w="280" w:type="pct"/>
          </w:tcPr>
          <w:p w14:paraId="52930E5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47ACAF2F"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0C17F01C" w14:textId="77777777" w:rsidR="00095411" w:rsidRPr="007348FD" w:rsidRDefault="00095411" w:rsidP="00591CBB">
            <w:pPr>
              <w:spacing w:after="160" w:line="259" w:lineRule="auto"/>
              <w:rPr>
                <w:rFonts w:ascii="Arial Narrow" w:hAnsi="Arial Narrow"/>
                <w:sz w:val="18"/>
                <w:szCs w:val="18"/>
              </w:rPr>
            </w:pPr>
          </w:p>
        </w:tc>
        <w:tc>
          <w:tcPr>
            <w:tcW w:w="460" w:type="pct"/>
          </w:tcPr>
          <w:p w14:paraId="0D630BC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BC6E40D"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82780A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4B87AE8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6E7EFD13" w14:textId="5A856BDC"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18BFB88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38.7</w:t>
            </w:r>
          </w:p>
        </w:tc>
        <w:tc>
          <w:tcPr>
            <w:tcW w:w="298" w:type="pct"/>
          </w:tcPr>
          <w:p w14:paraId="0E16681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40.0</w:t>
            </w:r>
          </w:p>
        </w:tc>
        <w:tc>
          <w:tcPr>
            <w:cnfStyle w:val="000010000000" w:firstRow="0" w:lastRow="0" w:firstColumn="0" w:lastColumn="0" w:oddVBand="1" w:evenVBand="0" w:oddHBand="0" w:evenHBand="0" w:firstRowFirstColumn="0" w:firstRowLastColumn="0" w:lastRowFirstColumn="0" w:lastRowLastColumn="0"/>
            <w:tcW w:w="197" w:type="pct"/>
          </w:tcPr>
          <w:p w14:paraId="0CA4D0F1" w14:textId="77777777" w:rsidR="00095411" w:rsidRPr="007348FD" w:rsidRDefault="00095411" w:rsidP="00591CBB">
            <w:pPr>
              <w:spacing w:after="160" w:line="259" w:lineRule="auto"/>
              <w:rPr>
                <w:rFonts w:ascii="Arial Narrow" w:hAnsi="Arial Narrow"/>
                <w:sz w:val="18"/>
                <w:szCs w:val="18"/>
              </w:rPr>
            </w:pPr>
          </w:p>
        </w:tc>
        <w:tc>
          <w:tcPr>
            <w:tcW w:w="273" w:type="pct"/>
          </w:tcPr>
          <w:p w14:paraId="29F06E1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7BB44B7" w14:textId="77777777" w:rsidR="00095411" w:rsidRPr="007348FD" w:rsidRDefault="00095411" w:rsidP="00591CBB">
            <w:pPr>
              <w:spacing w:after="160" w:line="259" w:lineRule="auto"/>
              <w:rPr>
                <w:rFonts w:ascii="Arial Narrow" w:hAnsi="Arial Narrow"/>
                <w:sz w:val="18"/>
                <w:szCs w:val="18"/>
              </w:rPr>
            </w:pPr>
          </w:p>
        </w:tc>
        <w:tc>
          <w:tcPr>
            <w:tcW w:w="283" w:type="pct"/>
          </w:tcPr>
          <w:p w14:paraId="3647DF5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E501C04" w14:textId="77777777" w:rsidR="00095411" w:rsidRPr="007348FD" w:rsidRDefault="00095411" w:rsidP="00591CBB">
            <w:pPr>
              <w:spacing w:after="160" w:line="259" w:lineRule="auto"/>
              <w:rPr>
                <w:rFonts w:ascii="Arial Narrow" w:hAnsi="Arial Narrow"/>
                <w:sz w:val="18"/>
                <w:szCs w:val="18"/>
              </w:rPr>
            </w:pPr>
          </w:p>
        </w:tc>
        <w:tc>
          <w:tcPr>
            <w:tcW w:w="149" w:type="pct"/>
          </w:tcPr>
          <w:p w14:paraId="624FB89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76A6648" w14:textId="77777777" w:rsidR="00095411" w:rsidRPr="007348FD" w:rsidRDefault="00095411" w:rsidP="00591CBB">
            <w:pPr>
              <w:spacing w:after="160" w:line="259" w:lineRule="auto"/>
              <w:rPr>
                <w:rFonts w:ascii="Arial Narrow" w:hAnsi="Arial Narrow"/>
                <w:sz w:val="18"/>
                <w:szCs w:val="18"/>
              </w:rPr>
            </w:pPr>
          </w:p>
        </w:tc>
        <w:tc>
          <w:tcPr>
            <w:tcW w:w="214" w:type="pct"/>
          </w:tcPr>
          <w:p w14:paraId="37E2ACA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41.2</w:t>
            </w:r>
          </w:p>
        </w:tc>
        <w:tc>
          <w:tcPr>
            <w:cnfStyle w:val="000010000000" w:firstRow="0" w:lastRow="0" w:firstColumn="0" w:lastColumn="0" w:oddVBand="1" w:evenVBand="0" w:oddHBand="0" w:evenHBand="0" w:firstRowFirstColumn="0" w:firstRowLastColumn="0" w:lastRowFirstColumn="0" w:lastRowLastColumn="0"/>
            <w:tcW w:w="245" w:type="pct"/>
          </w:tcPr>
          <w:p w14:paraId="0E073E7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42.4</w:t>
            </w:r>
          </w:p>
        </w:tc>
        <w:tc>
          <w:tcPr>
            <w:tcW w:w="280" w:type="pct"/>
          </w:tcPr>
          <w:p w14:paraId="54516FBA" w14:textId="4E73C883"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43.6</w:t>
            </w:r>
          </w:p>
        </w:tc>
      </w:tr>
      <w:tr w:rsidR="00095411" w:rsidRPr="00591CBB" w14:paraId="7A7EF57E"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46C97DAF" w14:textId="77777777" w:rsidR="00095411" w:rsidRPr="007348FD" w:rsidRDefault="00095411" w:rsidP="00591CBB">
            <w:pPr>
              <w:spacing w:after="160" w:line="259" w:lineRule="auto"/>
              <w:rPr>
                <w:rFonts w:ascii="Arial Narrow" w:hAnsi="Arial Narrow"/>
                <w:sz w:val="18"/>
                <w:szCs w:val="18"/>
              </w:rPr>
            </w:pPr>
          </w:p>
        </w:tc>
        <w:tc>
          <w:tcPr>
            <w:tcW w:w="460" w:type="pct"/>
          </w:tcPr>
          <w:p w14:paraId="3AE773B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C4F4F2E"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99D82C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5AAF222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0BBDF07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37.4</w:t>
            </w:r>
          </w:p>
        </w:tc>
        <w:tc>
          <w:tcPr>
            <w:cnfStyle w:val="000010000000" w:firstRow="0" w:lastRow="0" w:firstColumn="0" w:lastColumn="0" w:oddVBand="1" w:evenVBand="0" w:oddHBand="0" w:evenHBand="0" w:firstRowFirstColumn="0" w:firstRowLastColumn="0" w:lastRowFirstColumn="0" w:lastRowLastColumn="0"/>
            <w:tcW w:w="271" w:type="pct"/>
          </w:tcPr>
          <w:p w14:paraId="10BDA9F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37.4</w:t>
            </w:r>
          </w:p>
        </w:tc>
        <w:tc>
          <w:tcPr>
            <w:tcW w:w="298" w:type="pct"/>
          </w:tcPr>
          <w:p w14:paraId="572F3CA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49.3</w:t>
            </w:r>
          </w:p>
        </w:tc>
        <w:tc>
          <w:tcPr>
            <w:cnfStyle w:val="000010000000" w:firstRow="0" w:lastRow="0" w:firstColumn="0" w:lastColumn="0" w:oddVBand="1" w:evenVBand="0" w:oddHBand="0" w:evenHBand="0" w:firstRowFirstColumn="0" w:firstRowLastColumn="0" w:lastRowFirstColumn="0" w:lastRowLastColumn="0"/>
            <w:tcW w:w="197" w:type="pct"/>
          </w:tcPr>
          <w:p w14:paraId="4A37BD05" w14:textId="77777777" w:rsidR="00095411" w:rsidRPr="007348FD" w:rsidRDefault="00095411" w:rsidP="00591CBB">
            <w:pPr>
              <w:spacing w:after="160" w:line="259" w:lineRule="auto"/>
              <w:rPr>
                <w:rFonts w:ascii="Arial Narrow" w:hAnsi="Arial Narrow"/>
                <w:sz w:val="18"/>
                <w:szCs w:val="18"/>
              </w:rPr>
            </w:pPr>
          </w:p>
        </w:tc>
        <w:tc>
          <w:tcPr>
            <w:tcW w:w="273" w:type="pct"/>
          </w:tcPr>
          <w:p w14:paraId="575B528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57A5D49" w14:textId="77777777" w:rsidR="00095411" w:rsidRPr="007348FD" w:rsidRDefault="00095411" w:rsidP="00591CBB">
            <w:pPr>
              <w:spacing w:after="160" w:line="259" w:lineRule="auto"/>
              <w:rPr>
                <w:rFonts w:ascii="Arial Narrow" w:hAnsi="Arial Narrow"/>
                <w:sz w:val="18"/>
                <w:szCs w:val="18"/>
              </w:rPr>
            </w:pPr>
          </w:p>
        </w:tc>
        <w:tc>
          <w:tcPr>
            <w:tcW w:w="283" w:type="pct"/>
          </w:tcPr>
          <w:p w14:paraId="22599B9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2B333DE" w14:textId="77777777" w:rsidR="00095411" w:rsidRPr="007348FD" w:rsidRDefault="00095411" w:rsidP="00591CBB">
            <w:pPr>
              <w:spacing w:after="160" w:line="259" w:lineRule="auto"/>
              <w:rPr>
                <w:rFonts w:ascii="Arial Narrow" w:hAnsi="Arial Narrow"/>
                <w:sz w:val="18"/>
                <w:szCs w:val="18"/>
              </w:rPr>
            </w:pPr>
          </w:p>
        </w:tc>
        <w:tc>
          <w:tcPr>
            <w:tcW w:w="149" w:type="pct"/>
          </w:tcPr>
          <w:p w14:paraId="0FD9AC1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CAB72B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w:t>
            </w:r>
          </w:p>
        </w:tc>
        <w:tc>
          <w:tcPr>
            <w:tcW w:w="214" w:type="pct"/>
          </w:tcPr>
          <w:p w14:paraId="485C2B6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12F9B0E3" w14:textId="77777777" w:rsidR="00095411" w:rsidRPr="007348FD" w:rsidRDefault="00095411" w:rsidP="00591CBB">
            <w:pPr>
              <w:spacing w:after="160" w:line="259" w:lineRule="auto"/>
              <w:rPr>
                <w:rFonts w:ascii="Arial Narrow" w:hAnsi="Arial Narrow"/>
                <w:sz w:val="18"/>
                <w:szCs w:val="18"/>
              </w:rPr>
            </w:pPr>
          </w:p>
        </w:tc>
        <w:tc>
          <w:tcPr>
            <w:tcW w:w="280" w:type="pct"/>
          </w:tcPr>
          <w:p w14:paraId="2771F32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6AD9E1CC" w14:textId="77777777" w:rsidTr="00051F27">
        <w:trPr>
          <w:trHeight w:val="206"/>
        </w:trPr>
        <w:tc>
          <w:tcPr>
            <w:cnfStyle w:val="000010000000" w:firstRow="0" w:lastRow="0" w:firstColumn="0" w:lastColumn="0" w:oddVBand="1" w:evenVBand="0" w:oddHBand="0" w:evenHBand="0" w:firstRowFirstColumn="0" w:firstRowLastColumn="0" w:lastRowFirstColumn="0" w:lastRowLastColumn="0"/>
            <w:tcW w:w="432" w:type="pct"/>
          </w:tcPr>
          <w:p w14:paraId="739CCF0B" w14:textId="77777777" w:rsidR="00095411" w:rsidRPr="007348FD" w:rsidRDefault="00095411" w:rsidP="00591CBB">
            <w:pPr>
              <w:spacing w:after="160" w:line="259" w:lineRule="auto"/>
              <w:rPr>
                <w:rFonts w:ascii="Arial Narrow" w:hAnsi="Arial Narrow"/>
                <w:sz w:val="18"/>
                <w:szCs w:val="18"/>
              </w:rPr>
            </w:pPr>
          </w:p>
        </w:tc>
        <w:tc>
          <w:tcPr>
            <w:tcW w:w="460" w:type="pct"/>
          </w:tcPr>
          <w:p w14:paraId="61BFC4F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4F42E32"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69CEE4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216D892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7D6F24BD" w14:textId="3C4796B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2BE150F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52.1</w:t>
            </w:r>
          </w:p>
        </w:tc>
        <w:tc>
          <w:tcPr>
            <w:tcW w:w="298" w:type="pct"/>
          </w:tcPr>
          <w:p w14:paraId="7DECA3C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52.9</w:t>
            </w:r>
          </w:p>
        </w:tc>
        <w:tc>
          <w:tcPr>
            <w:cnfStyle w:val="000010000000" w:firstRow="0" w:lastRow="0" w:firstColumn="0" w:lastColumn="0" w:oddVBand="1" w:evenVBand="0" w:oddHBand="0" w:evenHBand="0" w:firstRowFirstColumn="0" w:firstRowLastColumn="0" w:lastRowFirstColumn="0" w:lastRowLastColumn="0"/>
            <w:tcW w:w="197" w:type="pct"/>
          </w:tcPr>
          <w:p w14:paraId="7A549130" w14:textId="77777777" w:rsidR="00095411" w:rsidRPr="007348FD" w:rsidRDefault="00095411" w:rsidP="00591CBB">
            <w:pPr>
              <w:spacing w:after="160" w:line="259" w:lineRule="auto"/>
              <w:rPr>
                <w:rFonts w:ascii="Arial Narrow" w:hAnsi="Arial Narrow"/>
                <w:sz w:val="18"/>
                <w:szCs w:val="18"/>
              </w:rPr>
            </w:pPr>
          </w:p>
        </w:tc>
        <w:tc>
          <w:tcPr>
            <w:tcW w:w="273" w:type="pct"/>
          </w:tcPr>
          <w:p w14:paraId="1952D4C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9B89C66" w14:textId="77777777" w:rsidR="00095411" w:rsidRPr="007348FD" w:rsidRDefault="00095411" w:rsidP="00591CBB">
            <w:pPr>
              <w:spacing w:after="160" w:line="259" w:lineRule="auto"/>
              <w:rPr>
                <w:rFonts w:ascii="Arial Narrow" w:hAnsi="Arial Narrow"/>
                <w:sz w:val="18"/>
                <w:szCs w:val="18"/>
              </w:rPr>
            </w:pPr>
          </w:p>
        </w:tc>
        <w:tc>
          <w:tcPr>
            <w:tcW w:w="283" w:type="pct"/>
          </w:tcPr>
          <w:p w14:paraId="5A54B5F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ED4C3ED" w14:textId="77777777" w:rsidR="00095411" w:rsidRPr="007348FD" w:rsidRDefault="00095411" w:rsidP="00591CBB">
            <w:pPr>
              <w:spacing w:after="160" w:line="259" w:lineRule="auto"/>
              <w:rPr>
                <w:rFonts w:ascii="Arial Narrow" w:hAnsi="Arial Narrow"/>
                <w:sz w:val="18"/>
                <w:szCs w:val="18"/>
              </w:rPr>
            </w:pPr>
          </w:p>
        </w:tc>
        <w:tc>
          <w:tcPr>
            <w:tcW w:w="149" w:type="pct"/>
          </w:tcPr>
          <w:p w14:paraId="436D521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3F2DA8D" w14:textId="77777777" w:rsidR="00095411" w:rsidRPr="007348FD" w:rsidRDefault="00095411" w:rsidP="00591CBB">
            <w:pPr>
              <w:spacing w:after="160" w:line="259" w:lineRule="auto"/>
              <w:rPr>
                <w:rFonts w:ascii="Arial Narrow" w:hAnsi="Arial Narrow"/>
                <w:sz w:val="18"/>
                <w:szCs w:val="18"/>
              </w:rPr>
            </w:pPr>
          </w:p>
        </w:tc>
        <w:tc>
          <w:tcPr>
            <w:tcW w:w="214" w:type="pct"/>
          </w:tcPr>
          <w:p w14:paraId="26B734C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53.7</w:t>
            </w:r>
          </w:p>
        </w:tc>
        <w:tc>
          <w:tcPr>
            <w:cnfStyle w:val="000010000000" w:firstRow="0" w:lastRow="0" w:firstColumn="0" w:lastColumn="0" w:oddVBand="1" w:evenVBand="0" w:oddHBand="0" w:evenHBand="0" w:firstRowFirstColumn="0" w:firstRowLastColumn="0" w:lastRowFirstColumn="0" w:lastRowLastColumn="0"/>
            <w:tcW w:w="245" w:type="pct"/>
          </w:tcPr>
          <w:p w14:paraId="5D70A32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54.5</w:t>
            </w:r>
          </w:p>
        </w:tc>
        <w:tc>
          <w:tcPr>
            <w:tcW w:w="280" w:type="pct"/>
          </w:tcPr>
          <w:p w14:paraId="790BF30C" w14:textId="51171D8F"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55.2</w:t>
            </w:r>
          </w:p>
        </w:tc>
      </w:tr>
      <w:tr w:rsidR="00095411" w:rsidRPr="00591CBB" w14:paraId="7E395BF5" w14:textId="77777777" w:rsidTr="00051F27">
        <w:trPr>
          <w:cnfStyle w:val="000000100000" w:firstRow="0" w:lastRow="0" w:firstColumn="0" w:lastColumn="0" w:oddVBand="0" w:evenVBand="0" w:oddHBand="1" w:evenHBand="0" w:firstRowFirstColumn="0" w:firstRowLastColumn="0" w:lastRowFirstColumn="0" w:lastRowLastColumn="0"/>
          <w:trHeight w:val="209"/>
        </w:trPr>
        <w:tc>
          <w:tcPr>
            <w:cnfStyle w:val="000010000000" w:firstRow="0" w:lastRow="0" w:firstColumn="0" w:lastColumn="0" w:oddVBand="1" w:evenVBand="0" w:oddHBand="0" w:evenHBand="0" w:firstRowFirstColumn="0" w:firstRowLastColumn="0" w:lastRowFirstColumn="0" w:lastRowLastColumn="0"/>
            <w:tcW w:w="432" w:type="pct"/>
          </w:tcPr>
          <w:p w14:paraId="43B82FC4" w14:textId="77777777" w:rsidR="00095411" w:rsidRPr="007348FD" w:rsidRDefault="00095411" w:rsidP="00591CBB">
            <w:pPr>
              <w:spacing w:after="160" w:line="259" w:lineRule="auto"/>
              <w:rPr>
                <w:rFonts w:ascii="Arial Narrow" w:hAnsi="Arial Narrow"/>
                <w:sz w:val="18"/>
                <w:szCs w:val="18"/>
              </w:rPr>
            </w:pPr>
          </w:p>
        </w:tc>
        <w:tc>
          <w:tcPr>
            <w:tcW w:w="460" w:type="pct"/>
          </w:tcPr>
          <w:p w14:paraId="0C0D585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7027E7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5BA369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3CCB12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1EB4A91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51.2</w:t>
            </w:r>
          </w:p>
        </w:tc>
        <w:tc>
          <w:tcPr>
            <w:cnfStyle w:val="000010000000" w:firstRow="0" w:lastRow="0" w:firstColumn="0" w:lastColumn="0" w:oddVBand="1" w:evenVBand="0" w:oddHBand="0" w:evenHBand="0" w:firstRowFirstColumn="0" w:firstRowLastColumn="0" w:lastRowFirstColumn="0" w:lastRowLastColumn="0"/>
            <w:tcW w:w="271" w:type="pct"/>
          </w:tcPr>
          <w:p w14:paraId="13C6B5B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51.2</w:t>
            </w:r>
          </w:p>
        </w:tc>
        <w:tc>
          <w:tcPr>
            <w:tcW w:w="298" w:type="pct"/>
          </w:tcPr>
          <w:p w14:paraId="4936CED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97" w:type="pct"/>
          </w:tcPr>
          <w:p w14:paraId="56AA6E11" w14:textId="77777777" w:rsidR="00095411" w:rsidRPr="007348FD" w:rsidRDefault="00095411" w:rsidP="00591CBB">
            <w:pPr>
              <w:spacing w:after="160" w:line="259" w:lineRule="auto"/>
              <w:rPr>
                <w:rFonts w:ascii="Arial Narrow" w:hAnsi="Arial Narrow"/>
                <w:sz w:val="18"/>
                <w:szCs w:val="18"/>
              </w:rPr>
            </w:pPr>
          </w:p>
        </w:tc>
        <w:tc>
          <w:tcPr>
            <w:tcW w:w="273" w:type="pct"/>
          </w:tcPr>
          <w:p w14:paraId="634D591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95FBC2C" w14:textId="77777777" w:rsidR="00095411" w:rsidRPr="007348FD" w:rsidRDefault="00095411" w:rsidP="00591CBB">
            <w:pPr>
              <w:spacing w:after="160" w:line="259" w:lineRule="auto"/>
              <w:rPr>
                <w:rFonts w:ascii="Arial Narrow" w:hAnsi="Arial Narrow"/>
                <w:sz w:val="18"/>
                <w:szCs w:val="18"/>
              </w:rPr>
            </w:pPr>
          </w:p>
        </w:tc>
        <w:tc>
          <w:tcPr>
            <w:tcW w:w="283" w:type="pct"/>
          </w:tcPr>
          <w:p w14:paraId="58C29E4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D3EEFC5" w14:textId="77777777" w:rsidR="00095411" w:rsidRPr="007348FD" w:rsidRDefault="00095411" w:rsidP="00591CBB">
            <w:pPr>
              <w:spacing w:after="160" w:line="259" w:lineRule="auto"/>
              <w:rPr>
                <w:rFonts w:ascii="Arial Narrow" w:hAnsi="Arial Narrow"/>
                <w:sz w:val="18"/>
                <w:szCs w:val="18"/>
              </w:rPr>
            </w:pPr>
          </w:p>
        </w:tc>
        <w:tc>
          <w:tcPr>
            <w:tcW w:w="149" w:type="pct"/>
          </w:tcPr>
          <w:p w14:paraId="32813A9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2B0E35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w:t>
            </w:r>
          </w:p>
        </w:tc>
        <w:tc>
          <w:tcPr>
            <w:tcW w:w="214" w:type="pct"/>
          </w:tcPr>
          <w:p w14:paraId="770EFE9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154A9DBC" w14:textId="77777777" w:rsidR="00095411" w:rsidRPr="007348FD" w:rsidRDefault="00095411" w:rsidP="00591CBB">
            <w:pPr>
              <w:spacing w:after="160" w:line="259" w:lineRule="auto"/>
              <w:rPr>
                <w:rFonts w:ascii="Arial Narrow" w:hAnsi="Arial Narrow"/>
                <w:sz w:val="18"/>
                <w:szCs w:val="18"/>
              </w:rPr>
            </w:pPr>
          </w:p>
        </w:tc>
        <w:tc>
          <w:tcPr>
            <w:tcW w:w="280" w:type="pct"/>
          </w:tcPr>
          <w:p w14:paraId="4CF7BD0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710778AB" w14:textId="77777777" w:rsidTr="00051F27">
        <w:trPr>
          <w:trHeight w:val="262"/>
        </w:trPr>
        <w:tc>
          <w:tcPr>
            <w:cnfStyle w:val="000010000000" w:firstRow="0" w:lastRow="0" w:firstColumn="0" w:lastColumn="0" w:oddVBand="1" w:evenVBand="0" w:oddHBand="0" w:evenHBand="0" w:firstRowFirstColumn="0" w:firstRowLastColumn="0" w:lastRowFirstColumn="0" w:lastRowLastColumn="0"/>
            <w:tcW w:w="432" w:type="pct"/>
          </w:tcPr>
          <w:p w14:paraId="7989AF20" w14:textId="77777777" w:rsidR="00095411" w:rsidRPr="007348FD" w:rsidRDefault="00095411" w:rsidP="00591CBB">
            <w:pPr>
              <w:spacing w:after="160" w:line="259" w:lineRule="auto"/>
              <w:rPr>
                <w:rFonts w:ascii="Arial Narrow" w:hAnsi="Arial Narrow"/>
                <w:sz w:val="18"/>
                <w:szCs w:val="18"/>
              </w:rPr>
            </w:pPr>
          </w:p>
        </w:tc>
        <w:tc>
          <w:tcPr>
            <w:tcW w:w="460" w:type="pct"/>
          </w:tcPr>
          <w:p w14:paraId="321058D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sz w:val="18"/>
                <w:szCs w:val="18"/>
              </w:rPr>
              <w:t xml:space="preserve">4. Contraceptive Prevalence Rate (modern method) all women 15-49 years </w:t>
            </w:r>
            <w:r w:rsidRPr="007348FD">
              <w:rPr>
                <w:rFonts w:ascii="Arial Narrow" w:hAnsi="Arial Narrow"/>
                <w:b/>
                <w:bCs/>
                <w:sz w:val="18"/>
                <w:szCs w:val="18"/>
              </w:rPr>
              <w:t>[UNFPA Supplies Indicator 2]</w:t>
            </w:r>
          </w:p>
        </w:tc>
        <w:tc>
          <w:tcPr>
            <w:cnfStyle w:val="000010000000" w:firstRow="0" w:lastRow="0" w:firstColumn="0" w:lastColumn="0" w:oddVBand="1" w:evenVBand="0" w:oddHBand="0" w:evenHBand="0" w:firstRowFirstColumn="0" w:firstRowLastColumn="0" w:lastRowFirstColumn="0" w:lastRowLastColumn="0"/>
            <w:tcW w:w="371" w:type="pct"/>
          </w:tcPr>
          <w:p w14:paraId="382CC71C"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t>ö</w:t>
            </w:r>
          </w:p>
        </w:tc>
        <w:tc>
          <w:tcPr>
            <w:tcW w:w="341" w:type="pct"/>
          </w:tcPr>
          <w:p w14:paraId="28DF4DF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2C210C2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19BE0F6A" w14:textId="6E2F6ACC"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2B62087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51.3</w:t>
            </w:r>
          </w:p>
        </w:tc>
        <w:tc>
          <w:tcPr>
            <w:tcW w:w="298" w:type="pct"/>
          </w:tcPr>
          <w:p w14:paraId="6AEB5E1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53.3</w:t>
            </w:r>
          </w:p>
        </w:tc>
        <w:tc>
          <w:tcPr>
            <w:cnfStyle w:val="000010000000" w:firstRow="0" w:lastRow="0" w:firstColumn="0" w:lastColumn="0" w:oddVBand="1" w:evenVBand="0" w:oddHBand="0" w:evenHBand="0" w:firstRowFirstColumn="0" w:firstRowLastColumn="0" w:lastRowFirstColumn="0" w:lastRowLastColumn="0"/>
            <w:tcW w:w="197" w:type="pct"/>
          </w:tcPr>
          <w:p w14:paraId="6286C17F" w14:textId="77777777" w:rsidR="00095411" w:rsidRPr="007348FD" w:rsidRDefault="00095411" w:rsidP="00591CBB">
            <w:pPr>
              <w:spacing w:after="160" w:line="259" w:lineRule="auto"/>
              <w:rPr>
                <w:rFonts w:ascii="Arial Narrow" w:hAnsi="Arial Narrow"/>
                <w:sz w:val="18"/>
                <w:szCs w:val="18"/>
              </w:rPr>
            </w:pPr>
          </w:p>
        </w:tc>
        <w:tc>
          <w:tcPr>
            <w:tcW w:w="273" w:type="pct"/>
          </w:tcPr>
          <w:p w14:paraId="66BA174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C1AE498" w14:textId="77777777" w:rsidR="00095411" w:rsidRPr="007348FD" w:rsidRDefault="00095411" w:rsidP="00591CBB">
            <w:pPr>
              <w:spacing w:after="160" w:line="259" w:lineRule="auto"/>
              <w:rPr>
                <w:rFonts w:ascii="Arial Narrow" w:hAnsi="Arial Narrow"/>
                <w:sz w:val="18"/>
                <w:szCs w:val="18"/>
              </w:rPr>
            </w:pPr>
          </w:p>
        </w:tc>
        <w:tc>
          <w:tcPr>
            <w:tcW w:w="283" w:type="pct"/>
          </w:tcPr>
          <w:p w14:paraId="7EC055B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3A6082E" w14:textId="77777777" w:rsidR="00095411" w:rsidRPr="007348FD" w:rsidRDefault="00095411" w:rsidP="00591CBB">
            <w:pPr>
              <w:spacing w:after="160" w:line="259" w:lineRule="auto"/>
              <w:rPr>
                <w:rFonts w:ascii="Arial Narrow" w:hAnsi="Arial Narrow"/>
                <w:sz w:val="18"/>
                <w:szCs w:val="18"/>
              </w:rPr>
            </w:pPr>
          </w:p>
        </w:tc>
        <w:tc>
          <w:tcPr>
            <w:tcW w:w="149" w:type="pct"/>
          </w:tcPr>
          <w:p w14:paraId="0394A25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8254822" w14:textId="77777777" w:rsidR="00095411" w:rsidRPr="007348FD" w:rsidRDefault="00095411" w:rsidP="00591CBB">
            <w:pPr>
              <w:spacing w:after="160" w:line="259" w:lineRule="auto"/>
              <w:rPr>
                <w:rFonts w:ascii="Arial Narrow" w:hAnsi="Arial Narrow"/>
                <w:sz w:val="18"/>
                <w:szCs w:val="18"/>
              </w:rPr>
            </w:pPr>
          </w:p>
        </w:tc>
        <w:tc>
          <w:tcPr>
            <w:tcW w:w="214" w:type="pct"/>
          </w:tcPr>
          <w:p w14:paraId="494D40B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55.3</w:t>
            </w:r>
          </w:p>
        </w:tc>
        <w:tc>
          <w:tcPr>
            <w:cnfStyle w:val="000010000000" w:firstRow="0" w:lastRow="0" w:firstColumn="0" w:lastColumn="0" w:oddVBand="1" w:evenVBand="0" w:oddHBand="0" w:evenHBand="0" w:firstRowFirstColumn="0" w:firstRowLastColumn="0" w:lastRowFirstColumn="0" w:lastRowLastColumn="0"/>
            <w:tcW w:w="245" w:type="pct"/>
          </w:tcPr>
          <w:p w14:paraId="33B8191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57.3</w:t>
            </w:r>
          </w:p>
        </w:tc>
        <w:tc>
          <w:tcPr>
            <w:tcW w:w="280" w:type="pct"/>
          </w:tcPr>
          <w:p w14:paraId="50BB6072" w14:textId="2A867AF1"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59.3</w:t>
            </w:r>
          </w:p>
        </w:tc>
      </w:tr>
      <w:tr w:rsidR="00095411" w:rsidRPr="00591CBB" w14:paraId="6A91A7F6"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46AD2391" w14:textId="77777777" w:rsidR="00095411" w:rsidRPr="007348FD" w:rsidRDefault="00095411" w:rsidP="00591CBB">
            <w:pPr>
              <w:spacing w:after="160" w:line="259" w:lineRule="auto"/>
              <w:rPr>
                <w:rFonts w:ascii="Arial Narrow" w:hAnsi="Arial Narrow"/>
                <w:sz w:val="18"/>
                <w:szCs w:val="18"/>
              </w:rPr>
            </w:pPr>
          </w:p>
        </w:tc>
        <w:tc>
          <w:tcPr>
            <w:tcW w:w="460" w:type="pct"/>
          </w:tcPr>
          <w:p w14:paraId="7B3A5DC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92D3913"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6F338F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5BDE066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6FA82B4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49.3</w:t>
            </w:r>
          </w:p>
        </w:tc>
        <w:tc>
          <w:tcPr>
            <w:cnfStyle w:val="000010000000" w:firstRow="0" w:lastRow="0" w:firstColumn="0" w:lastColumn="0" w:oddVBand="1" w:evenVBand="0" w:oddHBand="0" w:evenHBand="0" w:firstRowFirstColumn="0" w:firstRowLastColumn="0" w:lastRowFirstColumn="0" w:lastRowLastColumn="0"/>
            <w:tcW w:w="271" w:type="pct"/>
          </w:tcPr>
          <w:p w14:paraId="219133C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49.3</w:t>
            </w:r>
          </w:p>
        </w:tc>
        <w:tc>
          <w:tcPr>
            <w:tcW w:w="298" w:type="pct"/>
          </w:tcPr>
          <w:p w14:paraId="6788AEA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MICS/DHS</w:t>
            </w:r>
          </w:p>
        </w:tc>
        <w:tc>
          <w:tcPr>
            <w:cnfStyle w:val="000010000000" w:firstRow="0" w:lastRow="0" w:firstColumn="0" w:lastColumn="0" w:oddVBand="1" w:evenVBand="0" w:oddHBand="0" w:evenHBand="0" w:firstRowFirstColumn="0" w:firstRowLastColumn="0" w:lastRowFirstColumn="0" w:lastRowLastColumn="0"/>
            <w:tcW w:w="197" w:type="pct"/>
          </w:tcPr>
          <w:p w14:paraId="5A7C7C8F" w14:textId="44D62CFD" w:rsidR="00095411" w:rsidRPr="007348FD" w:rsidRDefault="00095411" w:rsidP="00591CBB">
            <w:pPr>
              <w:spacing w:after="160" w:line="259" w:lineRule="auto"/>
              <w:rPr>
                <w:rFonts w:ascii="Arial Narrow" w:hAnsi="Arial Narrow"/>
                <w:sz w:val="18"/>
                <w:szCs w:val="18"/>
              </w:rPr>
            </w:pPr>
          </w:p>
        </w:tc>
        <w:tc>
          <w:tcPr>
            <w:tcW w:w="273" w:type="pct"/>
          </w:tcPr>
          <w:p w14:paraId="74C3724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904296C" w14:textId="77777777" w:rsidR="00095411" w:rsidRPr="007348FD" w:rsidRDefault="00095411" w:rsidP="00591CBB">
            <w:pPr>
              <w:spacing w:after="160" w:line="259" w:lineRule="auto"/>
              <w:rPr>
                <w:rFonts w:ascii="Arial Narrow" w:hAnsi="Arial Narrow"/>
                <w:sz w:val="18"/>
                <w:szCs w:val="18"/>
              </w:rPr>
            </w:pPr>
          </w:p>
        </w:tc>
        <w:tc>
          <w:tcPr>
            <w:tcW w:w="283" w:type="pct"/>
          </w:tcPr>
          <w:p w14:paraId="7FB5D20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D4810F0" w14:textId="77777777" w:rsidR="00095411" w:rsidRPr="007348FD" w:rsidRDefault="00095411" w:rsidP="00591CBB">
            <w:pPr>
              <w:spacing w:after="160" w:line="259" w:lineRule="auto"/>
              <w:rPr>
                <w:rFonts w:ascii="Arial Narrow" w:hAnsi="Arial Narrow"/>
                <w:sz w:val="18"/>
                <w:szCs w:val="18"/>
              </w:rPr>
            </w:pPr>
          </w:p>
        </w:tc>
        <w:tc>
          <w:tcPr>
            <w:tcW w:w="149" w:type="pct"/>
          </w:tcPr>
          <w:p w14:paraId="50BECDA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2E58E3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w:t>
            </w:r>
          </w:p>
        </w:tc>
        <w:tc>
          <w:tcPr>
            <w:tcW w:w="214" w:type="pct"/>
          </w:tcPr>
          <w:p w14:paraId="7B8D8D1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0069FB7B" w14:textId="77777777" w:rsidR="00095411" w:rsidRPr="007348FD" w:rsidRDefault="00095411" w:rsidP="00591CBB">
            <w:pPr>
              <w:spacing w:after="160" w:line="259" w:lineRule="auto"/>
              <w:rPr>
                <w:rFonts w:ascii="Arial Narrow" w:hAnsi="Arial Narrow"/>
                <w:sz w:val="18"/>
                <w:szCs w:val="18"/>
              </w:rPr>
            </w:pPr>
          </w:p>
        </w:tc>
        <w:tc>
          <w:tcPr>
            <w:tcW w:w="280" w:type="pct"/>
          </w:tcPr>
          <w:p w14:paraId="40ED111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548EE204"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70E5892B" w14:textId="77777777" w:rsidR="00095411" w:rsidRPr="007348FD" w:rsidRDefault="00095411" w:rsidP="00591CBB">
            <w:pPr>
              <w:spacing w:after="160" w:line="259" w:lineRule="auto"/>
              <w:rPr>
                <w:rFonts w:ascii="Arial Narrow" w:hAnsi="Arial Narrow"/>
                <w:sz w:val="18"/>
                <w:szCs w:val="18"/>
              </w:rPr>
            </w:pPr>
          </w:p>
        </w:tc>
        <w:tc>
          <w:tcPr>
            <w:tcW w:w="460" w:type="pct"/>
          </w:tcPr>
          <w:p w14:paraId="30CC19A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101E0C9"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01937D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00434E2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27F1AA0" w14:textId="44AB720E"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212D53D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14.6</w:t>
            </w:r>
          </w:p>
        </w:tc>
        <w:tc>
          <w:tcPr>
            <w:tcW w:w="298" w:type="pct"/>
          </w:tcPr>
          <w:p w14:paraId="62F5AE7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15.6</w:t>
            </w:r>
          </w:p>
        </w:tc>
        <w:tc>
          <w:tcPr>
            <w:cnfStyle w:val="000010000000" w:firstRow="0" w:lastRow="0" w:firstColumn="0" w:lastColumn="0" w:oddVBand="1" w:evenVBand="0" w:oddHBand="0" w:evenHBand="0" w:firstRowFirstColumn="0" w:firstRowLastColumn="0" w:lastRowFirstColumn="0" w:lastRowLastColumn="0"/>
            <w:tcW w:w="197" w:type="pct"/>
          </w:tcPr>
          <w:p w14:paraId="06335C95" w14:textId="77777777" w:rsidR="00095411" w:rsidRPr="007348FD" w:rsidRDefault="00095411" w:rsidP="00591CBB">
            <w:pPr>
              <w:spacing w:after="160" w:line="259" w:lineRule="auto"/>
              <w:rPr>
                <w:rFonts w:ascii="Arial Narrow" w:hAnsi="Arial Narrow"/>
                <w:sz w:val="18"/>
                <w:szCs w:val="18"/>
              </w:rPr>
            </w:pPr>
          </w:p>
        </w:tc>
        <w:tc>
          <w:tcPr>
            <w:tcW w:w="273" w:type="pct"/>
          </w:tcPr>
          <w:p w14:paraId="7B7386E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A0C719E" w14:textId="77777777" w:rsidR="00095411" w:rsidRPr="007348FD" w:rsidRDefault="00095411" w:rsidP="00591CBB">
            <w:pPr>
              <w:spacing w:after="160" w:line="259" w:lineRule="auto"/>
              <w:rPr>
                <w:rFonts w:ascii="Arial Narrow" w:hAnsi="Arial Narrow"/>
                <w:sz w:val="18"/>
                <w:szCs w:val="18"/>
              </w:rPr>
            </w:pPr>
          </w:p>
        </w:tc>
        <w:tc>
          <w:tcPr>
            <w:tcW w:w="283" w:type="pct"/>
          </w:tcPr>
          <w:p w14:paraId="6A6F785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16969F1" w14:textId="77777777" w:rsidR="00095411" w:rsidRPr="007348FD" w:rsidRDefault="00095411" w:rsidP="00591CBB">
            <w:pPr>
              <w:spacing w:after="160" w:line="259" w:lineRule="auto"/>
              <w:rPr>
                <w:rFonts w:ascii="Arial Narrow" w:hAnsi="Arial Narrow"/>
                <w:sz w:val="18"/>
                <w:szCs w:val="18"/>
              </w:rPr>
            </w:pPr>
          </w:p>
        </w:tc>
        <w:tc>
          <w:tcPr>
            <w:tcW w:w="149" w:type="pct"/>
          </w:tcPr>
          <w:p w14:paraId="54121A7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58D3D5D" w14:textId="77777777" w:rsidR="00095411" w:rsidRPr="007348FD" w:rsidRDefault="00095411" w:rsidP="00591CBB">
            <w:pPr>
              <w:spacing w:after="160" w:line="259" w:lineRule="auto"/>
              <w:rPr>
                <w:rFonts w:ascii="Arial Narrow" w:hAnsi="Arial Narrow"/>
                <w:sz w:val="18"/>
                <w:szCs w:val="18"/>
              </w:rPr>
            </w:pPr>
          </w:p>
        </w:tc>
        <w:tc>
          <w:tcPr>
            <w:tcW w:w="214" w:type="pct"/>
          </w:tcPr>
          <w:p w14:paraId="2677EA3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16.6</w:t>
            </w:r>
          </w:p>
        </w:tc>
        <w:tc>
          <w:tcPr>
            <w:cnfStyle w:val="000010000000" w:firstRow="0" w:lastRow="0" w:firstColumn="0" w:lastColumn="0" w:oddVBand="1" w:evenVBand="0" w:oddHBand="0" w:evenHBand="0" w:firstRowFirstColumn="0" w:firstRowLastColumn="0" w:lastRowFirstColumn="0" w:lastRowLastColumn="0"/>
            <w:tcW w:w="245" w:type="pct"/>
          </w:tcPr>
          <w:p w14:paraId="6161C44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17.6</w:t>
            </w:r>
          </w:p>
        </w:tc>
        <w:tc>
          <w:tcPr>
            <w:tcW w:w="280" w:type="pct"/>
          </w:tcPr>
          <w:p w14:paraId="027FBAD7" w14:textId="73A9DEB2"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18.6</w:t>
            </w:r>
          </w:p>
        </w:tc>
      </w:tr>
      <w:tr w:rsidR="00095411" w:rsidRPr="00591CBB" w14:paraId="0E841EB4"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08818A00" w14:textId="77777777" w:rsidR="00095411" w:rsidRPr="007348FD" w:rsidRDefault="00095411" w:rsidP="00591CBB">
            <w:pPr>
              <w:spacing w:after="160" w:line="259" w:lineRule="auto"/>
              <w:rPr>
                <w:rFonts w:ascii="Arial Narrow" w:hAnsi="Arial Narrow"/>
                <w:sz w:val="18"/>
                <w:szCs w:val="18"/>
              </w:rPr>
            </w:pPr>
          </w:p>
        </w:tc>
        <w:tc>
          <w:tcPr>
            <w:tcW w:w="460" w:type="pct"/>
          </w:tcPr>
          <w:p w14:paraId="6C97CD9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6B7A893"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ECACD3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652FB19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71BBC17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13.6</w:t>
            </w:r>
          </w:p>
        </w:tc>
        <w:tc>
          <w:tcPr>
            <w:cnfStyle w:val="000010000000" w:firstRow="0" w:lastRow="0" w:firstColumn="0" w:lastColumn="0" w:oddVBand="1" w:evenVBand="0" w:oddHBand="0" w:evenHBand="0" w:firstRowFirstColumn="0" w:firstRowLastColumn="0" w:lastRowFirstColumn="0" w:lastRowLastColumn="0"/>
            <w:tcW w:w="271" w:type="pct"/>
          </w:tcPr>
          <w:p w14:paraId="4AF90DF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13.6</w:t>
            </w:r>
          </w:p>
        </w:tc>
        <w:tc>
          <w:tcPr>
            <w:tcW w:w="298" w:type="pct"/>
          </w:tcPr>
          <w:p w14:paraId="4F9A087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20.3</w:t>
            </w:r>
          </w:p>
        </w:tc>
        <w:tc>
          <w:tcPr>
            <w:cnfStyle w:val="000010000000" w:firstRow="0" w:lastRow="0" w:firstColumn="0" w:lastColumn="0" w:oddVBand="1" w:evenVBand="0" w:oddHBand="0" w:evenHBand="0" w:firstRowFirstColumn="0" w:firstRowLastColumn="0" w:lastRowFirstColumn="0" w:lastRowLastColumn="0"/>
            <w:tcW w:w="197" w:type="pct"/>
          </w:tcPr>
          <w:p w14:paraId="63436C22" w14:textId="77777777" w:rsidR="00095411" w:rsidRPr="007348FD" w:rsidRDefault="00095411" w:rsidP="00591CBB">
            <w:pPr>
              <w:spacing w:after="160" w:line="259" w:lineRule="auto"/>
              <w:rPr>
                <w:rFonts w:ascii="Arial Narrow" w:hAnsi="Arial Narrow"/>
                <w:sz w:val="18"/>
                <w:szCs w:val="18"/>
              </w:rPr>
            </w:pPr>
          </w:p>
        </w:tc>
        <w:tc>
          <w:tcPr>
            <w:tcW w:w="273" w:type="pct"/>
          </w:tcPr>
          <w:p w14:paraId="2C98495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94170A8" w14:textId="77777777" w:rsidR="00095411" w:rsidRPr="007348FD" w:rsidRDefault="00095411" w:rsidP="00591CBB">
            <w:pPr>
              <w:spacing w:after="160" w:line="259" w:lineRule="auto"/>
              <w:rPr>
                <w:rFonts w:ascii="Arial Narrow" w:hAnsi="Arial Narrow"/>
                <w:sz w:val="18"/>
                <w:szCs w:val="18"/>
              </w:rPr>
            </w:pPr>
          </w:p>
        </w:tc>
        <w:tc>
          <w:tcPr>
            <w:tcW w:w="283" w:type="pct"/>
          </w:tcPr>
          <w:p w14:paraId="0E8BBAC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188D3F6" w14:textId="77777777" w:rsidR="00095411" w:rsidRPr="007348FD" w:rsidRDefault="00095411" w:rsidP="00591CBB">
            <w:pPr>
              <w:spacing w:after="160" w:line="259" w:lineRule="auto"/>
              <w:rPr>
                <w:rFonts w:ascii="Arial Narrow" w:hAnsi="Arial Narrow"/>
                <w:sz w:val="18"/>
                <w:szCs w:val="18"/>
              </w:rPr>
            </w:pPr>
          </w:p>
        </w:tc>
        <w:tc>
          <w:tcPr>
            <w:tcW w:w="149" w:type="pct"/>
          </w:tcPr>
          <w:p w14:paraId="1938474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F13508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w:t>
            </w:r>
          </w:p>
        </w:tc>
        <w:tc>
          <w:tcPr>
            <w:tcW w:w="214" w:type="pct"/>
          </w:tcPr>
          <w:p w14:paraId="430412F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0E579C98" w14:textId="77777777" w:rsidR="00095411" w:rsidRPr="007348FD" w:rsidRDefault="00095411" w:rsidP="00591CBB">
            <w:pPr>
              <w:spacing w:after="160" w:line="259" w:lineRule="auto"/>
              <w:rPr>
                <w:rFonts w:ascii="Arial Narrow" w:hAnsi="Arial Narrow"/>
                <w:sz w:val="18"/>
                <w:szCs w:val="18"/>
              </w:rPr>
            </w:pPr>
          </w:p>
        </w:tc>
        <w:tc>
          <w:tcPr>
            <w:tcW w:w="280" w:type="pct"/>
          </w:tcPr>
          <w:p w14:paraId="306152B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1E5FAED6" w14:textId="77777777" w:rsidTr="00051F27">
        <w:trPr>
          <w:trHeight w:val="206"/>
        </w:trPr>
        <w:tc>
          <w:tcPr>
            <w:cnfStyle w:val="000010000000" w:firstRow="0" w:lastRow="0" w:firstColumn="0" w:lastColumn="0" w:oddVBand="1" w:evenVBand="0" w:oddHBand="0" w:evenHBand="0" w:firstRowFirstColumn="0" w:firstRowLastColumn="0" w:lastRowFirstColumn="0" w:lastRowLastColumn="0"/>
            <w:tcW w:w="432" w:type="pct"/>
          </w:tcPr>
          <w:p w14:paraId="7D9A9C27" w14:textId="77777777" w:rsidR="00095411" w:rsidRPr="007348FD" w:rsidRDefault="00095411" w:rsidP="00591CBB">
            <w:pPr>
              <w:spacing w:after="160" w:line="259" w:lineRule="auto"/>
              <w:rPr>
                <w:rFonts w:ascii="Arial Narrow" w:hAnsi="Arial Narrow"/>
                <w:sz w:val="18"/>
                <w:szCs w:val="18"/>
              </w:rPr>
            </w:pPr>
          </w:p>
        </w:tc>
        <w:tc>
          <w:tcPr>
            <w:tcW w:w="460" w:type="pct"/>
          </w:tcPr>
          <w:p w14:paraId="2F65904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65D0DC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AE622D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7D6A855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09D2AD7B" w14:textId="4A3564D8"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7255FD5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16.1</w:t>
            </w:r>
          </w:p>
        </w:tc>
        <w:tc>
          <w:tcPr>
            <w:tcW w:w="298" w:type="pct"/>
          </w:tcPr>
          <w:p w14:paraId="67E481D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17.1</w:t>
            </w:r>
          </w:p>
        </w:tc>
        <w:tc>
          <w:tcPr>
            <w:cnfStyle w:val="000010000000" w:firstRow="0" w:lastRow="0" w:firstColumn="0" w:lastColumn="0" w:oddVBand="1" w:evenVBand="0" w:oddHBand="0" w:evenHBand="0" w:firstRowFirstColumn="0" w:firstRowLastColumn="0" w:lastRowFirstColumn="0" w:lastRowLastColumn="0"/>
            <w:tcW w:w="197" w:type="pct"/>
          </w:tcPr>
          <w:p w14:paraId="445503F8" w14:textId="77777777" w:rsidR="00095411" w:rsidRPr="007348FD" w:rsidRDefault="00095411" w:rsidP="00591CBB">
            <w:pPr>
              <w:spacing w:after="160" w:line="259" w:lineRule="auto"/>
              <w:rPr>
                <w:rFonts w:ascii="Arial Narrow" w:hAnsi="Arial Narrow"/>
                <w:sz w:val="18"/>
                <w:szCs w:val="18"/>
              </w:rPr>
            </w:pPr>
          </w:p>
        </w:tc>
        <w:tc>
          <w:tcPr>
            <w:tcW w:w="273" w:type="pct"/>
          </w:tcPr>
          <w:p w14:paraId="0C86212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0B2A9C4" w14:textId="77777777" w:rsidR="00095411" w:rsidRPr="007348FD" w:rsidRDefault="00095411" w:rsidP="00591CBB">
            <w:pPr>
              <w:spacing w:after="160" w:line="259" w:lineRule="auto"/>
              <w:rPr>
                <w:rFonts w:ascii="Arial Narrow" w:hAnsi="Arial Narrow"/>
                <w:sz w:val="18"/>
                <w:szCs w:val="18"/>
              </w:rPr>
            </w:pPr>
          </w:p>
        </w:tc>
        <w:tc>
          <w:tcPr>
            <w:tcW w:w="283" w:type="pct"/>
          </w:tcPr>
          <w:p w14:paraId="31277A7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2917B19" w14:textId="77777777" w:rsidR="00095411" w:rsidRPr="007348FD" w:rsidRDefault="00095411" w:rsidP="00591CBB">
            <w:pPr>
              <w:spacing w:after="160" w:line="259" w:lineRule="auto"/>
              <w:rPr>
                <w:rFonts w:ascii="Arial Narrow" w:hAnsi="Arial Narrow"/>
                <w:sz w:val="18"/>
                <w:szCs w:val="18"/>
              </w:rPr>
            </w:pPr>
          </w:p>
        </w:tc>
        <w:tc>
          <w:tcPr>
            <w:tcW w:w="149" w:type="pct"/>
          </w:tcPr>
          <w:p w14:paraId="322C487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67E41980" w14:textId="77777777" w:rsidR="00095411" w:rsidRPr="007348FD" w:rsidRDefault="00095411" w:rsidP="00591CBB">
            <w:pPr>
              <w:spacing w:after="160" w:line="259" w:lineRule="auto"/>
              <w:rPr>
                <w:rFonts w:ascii="Arial Narrow" w:hAnsi="Arial Narrow"/>
                <w:sz w:val="18"/>
                <w:szCs w:val="18"/>
              </w:rPr>
            </w:pPr>
          </w:p>
        </w:tc>
        <w:tc>
          <w:tcPr>
            <w:tcW w:w="214" w:type="pct"/>
          </w:tcPr>
          <w:p w14:paraId="34B3266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18.1</w:t>
            </w:r>
          </w:p>
        </w:tc>
        <w:tc>
          <w:tcPr>
            <w:cnfStyle w:val="000010000000" w:firstRow="0" w:lastRow="0" w:firstColumn="0" w:lastColumn="0" w:oddVBand="1" w:evenVBand="0" w:oddHBand="0" w:evenHBand="0" w:firstRowFirstColumn="0" w:firstRowLastColumn="0" w:lastRowFirstColumn="0" w:lastRowLastColumn="0"/>
            <w:tcW w:w="245" w:type="pct"/>
          </w:tcPr>
          <w:p w14:paraId="57D534A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19.1</w:t>
            </w:r>
          </w:p>
        </w:tc>
        <w:tc>
          <w:tcPr>
            <w:tcW w:w="280" w:type="pct"/>
          </w:tcPr>
          <w:p w14:paraId="1B288BCF" w14:textId="109EE43A"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20.1</w:t>
            </w:r>
          </w:p>
        </w:tc>
      </w:tr>
      <w:tr w:rsidR="00095411" w:rsidRPr="00591CBB" w14:paraId="28FD50F2" w14:textId="77777777" w:rsidTr="00051F27">
        <w:trPr>
          <w:cnfStyle w:val="000000100000" w:firstRow="0" w:lastRow="0" w:firstColumn="0" w:lastColumn="0" w:oddVBand="0" w:evenVBand="0" w:oddHBand="1" w:evenHBand="0" w:firstRowFirstColumn="0" w:firstRowLastColumn="0" w:lastRowFirstColumn="0" w:lastRowLastColumn="0"/>
          <w:trHeight w:val="206"/>
        </w:trPr>
        <w:tc>
          <w:tcPr>
            <w:cnfStyle w:val="000010000000" w:firstRow="0" w:lastRow="0" w:firstColumn="0" w:lastColumn="0" w:oddVBand="1" w:evenVBand="0" w:oddHBand="0" w:evenHBand="0" w:firstRowFirstColumn="0" w:firstRowLastColumn="0" w:lastRowFirstColumn="0" w:lastRowLastColumn="0"/>
            <w:tcW w:w="432" w:type="pct"/>
          </w:tcPr>
          <w:p w14:paraId="57C30F5F" w14:textId="77777777" w:rsidR="00095411" w:rsidRPr="007348FD" w:rsidRDefault="00095411" w:rsidP="00591CBB">
            <w:pPr>
              <w:spacing w:after="160" w:line="259" w:lineRule="auto"/>
              <w:rPr>
                <w:rFonts w:ascii="Arial Narrow" w:hAnsi="Arial Narrow"/>
                <w:sz w:val="18"/>
                <w:szCs w:val="18"/>
              </w:rPr>
            </w:pPr>
          </w:p>
        </w:tc>
        <w:tc>
          <w:tcPr>
            <w:tcW w:w="460" w:type="pct"/>
          </w:tcPr>
          <w:p w14:paraId="7131A23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829686F"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7982A6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739EFD6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356CC97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15.1</w:t>
            </w:r>
          </w:p>
        </w:tc>
        <w:tc>
          <w:tcPr>
            <w:cnfStyle w:val="000010000000" w:firstRow="0" w:lastRow="0" w:firstColumn="0" w:lastColumn="0" w:oddVBand="1" w:evenVBand="0" w:oddHBand="0" w:evenHBand="0" w:firstRowFirstColumn="0" w:firstRowLastColumn="0" w:lastRowFirstColumn="0" w:lastRowLastColumn="0"/>
            <w:tcW w:w="271" w:type="pct"/>
          </w:tcPr>
          <w:p w14:paraId="29799AB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15.1</w:t>
            </w:r>
          </w:p>
        </w:tc>
        <w:tc>
          <w:tcPr>
            <w:tcW w:w="298" w:type="pct"/>
          </w:tcPr>
          <w:p w14:paraId="1183895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MICS/DHS</w:t>
            </w:r>
          </w:p>
        </w:tc>
        <w:tc>
          <w:tcPr>
            <w:cnfStyle w:val="000010000000" w:firstRow="0" w:lastRow="0" w:firstColumn="0" w:lastColumn="0" w:oddVBand="1" w:evenVBand="0" w:oddHBand="0" w:evenHBand="0" w:firstRowFirstColumn="0" w:firstRowLastColumn="0" w:lastRowFirstColumn="0" w:lastRowLastColumn="0"/>
            <w:tcW w:w="197" w:type="pct"/>
          </w:tcPr>
          <w:p w14:paraId="393253EC" w14:textId="78E55890" w:rsidR="00095411" w:rsidRPr="007348FD" w:rsidRDefault="00095411" w:rsidP="00591CBB">
            <w:pPr>
              <w:spacing w:after="160" w:line="259" w:lineRule="auto"/>
              <w:rPr>
                <w:rFonts w:ascii="Arial Narrow" w:hAnsi="Arial Narrow"/>
                <w:sz w:val="18"/>
                <w:szCs w:val="18"/>
              </w:rPr>
            </w:pPr>
          </w:p>
        </w:tc>
        <w:tc>
          <w:tcPr>
            <w:tcW w:w="273" w:type="pct"/>
          </w:tcPr>
          <w:p w14:paraId="5ACA69F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24FEB6B" w14:textId="77777777" w:rsidR="00095411" w:rsidRPr="007348FD" w:rsidRDefault="00095411" w:rsidP="00591CBB">
            <w:pPr>
              <w:spacing w:after="160" w:line="259" w:lineRule="auto"/>
              <w:rPr>
                <w:rFonts w:ascii="Arial Narrow" w:hAnsi="Arial Narrow"/>
                <w:sz w:val="18"/>
                <w:szCs w:val="18"/>
              </w:rPr>
            </w:pPr>
          </w:p>
        </w:tc>
        <w:tc>
          <w:tcPr>
            <w:tcW w:w="283" w:type="pct"/>
          </w:tcPr>
          <w:p w14:paraId="6F0734A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27C8B4C" w14:textId="77777777" w:rsidR="00095411" w:rsidRPr="007348FD" w:rsidRDefault="00095411" w:rsidP="00591CBB">
            <w:pPr>
              <w:spacing w:after="160" w:line="259" w:lineRule="auto"/>
              <w:rPr>
                <w:rFonts w:ascii="Arial Narrow" w:hAnsi="Arial Narrow"/>
                <w:sz w:val="18"/>
                <w:szCs w:val="18"/>
              </w:rPr>
            </w:pPr>
          </w:p>
        </w:tc>
        <w:tc>
          <w:tcPr>
            <w:tcW w:w="149" w:type="pct"/>
          </w:tcPr>
          <w:p w14:paraId="7EF889C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FCB30E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w:t>
            </w:r>
          </w:p>
        </w:tc>
        <w:tc>
          <w:tcPr>
            <w:tcW w:w="214" w:type="pct"/>
          </w:tcPr>
          <w:p w14:paraId="41CB404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DHS/MICS2019-20</w:t>
            </w:r>
          </w:p>
        </w:tc>
        <w:tc>
          <w:tcPr>
            <w:cnfStyle w:val="000010000000" w:firstRow="0" w:lastRow="0" w:firstColumn="0" w:lastColumn="0" w:oddVBand="1" w:evenVBand="0" w:oddHBand="0" w:evenHBand="0" w:firstRowFirstColumn="0" w:firstRowLastColumn="0" w:lastRowFirstColumn="0" w:lastRowLastColumn="0"/>
            <w:tcW w:w="245" w:type="pct"/>
          </w:tcPr>
          <w:p w14:paraId="706C226F" w14:textId="1B0C4BF9" w:rsidR="00095411" w:rsidRPr="007348FD" w:rsidRDefault="00095411" w:rsidP="00591CBB">
            <w:pPr>
              <w:spacing w:after="160" w:line="259" w:lineRule="auto"/>
              <w:rPr>
                <w:rFonts w:ascii="Arial Narrow" w:hAnsi="Arial Narrow"/>
                <w:sz w:val="18"/>
                <w:szCs w:val="18"/>
              </w:rPr>
            </w:pPr>
          </w:p>
        </w:tc>
        <w:tc>
          <w:tcPr>
            <w:tcW w:w="280" w:type="pct"/>
          </w:tcPr>
          <w:p w14:paraId="720588E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6624741B" w14:textId="77777777" w:rsidTr="00051F27">
        <w:trPr>
          <w:trHeight w:val="173"/>
        </w:trPr>
        <w:tc>
          <w:tcPr>
            <w:cnfStyle w:val="000010000000" w:firstRow="0" w:lastRow="0" w:firstColumn="0" w:lastColumn="0" w:oddVBand="1" w:evenVBand="0" w:oddHBand="0" w:evenHBand="0" w:firstRowFirstColumn="0" w:firstRowLastColumn="0" w:lastRowFirstColumn="0" w:lastRowLastColumn="0"/>
            <w:tcW w:w="432" w:type="pct"/>
          </w:tcPr>
          <w:p w14:paraId="19171E78" w14:textId="77777777" w:rsidR="00095411" w:rsidRPr="007348FD" w:rsidRDefault="00095411" w:rsidP="00591CBB">
            <w:pPr>
              <w:spacing w:after="160" w:line="259" w:lineRule="auto"/>
              <w:rPr>
                <w:rFonts w:ascii="Arial Narrow" w:hAnsi="Arial Narrow"/>
                <w:sz w:val="18"/>
                <w:szCs w:val="18"/>
              </w:rPr>
            </w:pPr>
          </w:p>
        </w:tc>
        <w:tc>
          <w:tcPr>
            <w:tcW w:w="460" w:type="pct"/>
          </w:tcPr>
          <w:p w14:paraId="26F8B12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DB194B7"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0A2FF0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0E5D8C9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581DB0FD" w14:textId="266867A9"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061BBBC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26.3</w:t>
            </w:r>
          </w:p>
        </w:tc>
        <w:tc>
          <w:tcPr>
            <w:tcW w:w="298" w:type="pct"/>
          </w:tcPr>
          <w:p w14:paraId="70FF309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28.3</w:t>
            </w:r>
          </w:p>
        </w:tc>
        <w:tc>
          <w:tcPr>
            <w:cnfStyle w:val="000010000000" w:firstRow="0" w:lastRow="0" w:firstColumn="0" w:lastColumn="0" w:oddVBand="1" w:evenVBand="0" w:oddHBand="0" w:evenHBand="0" w:firstRowFirstColumn="0" w:firstRowLastColumn="0" w:lastRowFirstColumn="0" w:lastRowLastColumn="0"/>
            <w:tcW w:w="197" w:type="pct"/>
          </w:tcPr>
          <w:p w14:paraId="08F7B0EE" w14:textId="77777777" w:rsidR="00095411" w:rsidRPr="007348FD" w:rsidRDefault="00095411" w:rsidP="00591CBB">
            <w:pPr>
              <w:spacing w:after="160" w:line="259" w:lineRule="auto"/>
              <w:rPr>
                <w:rFonts w:ascii="Arial Narrow" w:hAnsi="Arial Narrow"/>
                <w:sz w:val="18"/>
                <w:szCs w:val="18"/>
              </w:rPr>
            </w:pPr>
          </w:p>
        </w:tc>
        <w:tc>
          <w:tcPr>
            <w:tcW w:w="273" w:type="pct"/>
          </w:tcPr>
          <w:p w14:paraId="214B440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F7E52EE" w14:textId="77777777" w:rsidR="00095411" w:rsidRPr="007348FD" w:rsidRDefault="00095411" w:rsidP="00591CBB">
            <w:pPr>
              <w:spacing w:after="160" w:line="259" w:lineRule="auto"/>
              <w:rPr>
                <w:rFonts w:ascii="Arial Narrow" w:hAnsi="Arial Narrow"/>
                <w:sz w:val="18"/>
                <w:szCs w:val="18"/>
              </w:rPr>
            </w:pPr>
          </w:p>
        </w:tc>
        <w:tc>
          <w:tcPr>
            <w:tcW w:w="283" w:type="pct"/>
          </w:tcPr>
          <w:p w14:paraId="0C4054B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AFFE686" w14:textId="77777777" w:rsidR="00095411" w:rsidRPr="007348FD" w:rsidRDefault="00095411" w:rsidP="00591CBB">
            <w:pPr>
              <w:spacing w:after="160" w:line="259" w:lineRule="auto"/>
              <w:rPr>
                <w:rFonts w:ascii="Arial Narrow" w:hAnsi="Arial Narrow"/>
                <w:sz w:val="18"/>
                <w:szCs w:val="18"/>
              </w:rPr>
            </w:pPr>
          </w:p>
        </w:tc>
        <w:tc>
          <w:tcPr>
            <w:tcW w:w="149" w:type="pct"/>
          </w:tcPr>
          <w:p w14:paraId="663B72E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1B4DC8C" w14:textId="77777777" w:rsidR="00095411" w:rsidRPr="007348FD" w:rsidRDefault="00095411" w:rsidP="00591CBB">
            <w:pPr>
              <w:spacing w:after="160" w:line="259" w:lineRule="auto"/>
              <w:rPr>
                <w:rFonts w:ascii="Arial Narrow" w:hAnsi="Arial Narrow"/>
                <w:sz w:val="18"/>
                <w:szCs w:val="18"/>
              </w:rPr>
            </w:pPr>
          </w:p>
        </w:tc>
        <w:tc>
          <w:tcPr>
            <w:tcW w:w="214" w:type="pct"/>
          </w:tcPr>
          <w:p w14:paraId="627D904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30.3</w:t>
            </w:r>
          </w:p>
        </w:tc>
        <w:tc>
          <w:tcPr>
            <w:cnfStyle w:val="000010000000" w:firstRow="0" w:lastRow="0" w:firstColumn="0" w:lastColumn="0" w:oddVBand="1" w:evenVBand="0" w:oddHBand="0" w:evenHBand="0" w:firstRowFirstColumn="0" w:firstRowLastColumn="0" w:lastRowFirstColumn="0" w:lastRowLastColumn="0"/>
            <w:tcW w:w="245" w:type="pct"/>
          </w:tcPr>
          <w:p w14:paraId="0615783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32.3</w:t>
            </w:r>
          </w:p>
        </w:tc>
        <w:tc>
          <w:tcPr>
            <w:tcW w:w="280" w:type="pct"/>
          </w:tcPr>
          <w:p w14:paraId="0D08060A" w14:textId="10A3F665"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34.3</w:t>
            </w:r>
          </w:p>
        </w:tc>
      </w:tr>
      <w:tr w:rsidR="00095411" w:rsidRPr="00591CBB" w14:paraId="34E9F12D" w14:textId="77777777" w:rsidTr="00051F27">
        <w:trPr>
          <w:cnfStyle w:val="000000100000" w:firstRow="0" w:lastRow="0" w:firstColumn="0" w:lastColumn="0" w:oddVBand="0" w:evenVBand="0" w:oddHBand="1" w:evenHBand="0" w:firstRowFirstColumn="0" w:firstRowLastColumn="0" w:lastRowFirstColumn="0" w:lastRowLastColumn="0"/>
          <w:trHeight w:val="173"/>
        </w:trPr>
        <w:tc>
          <w:tcPr>
            <w:cnfStyle w:val="000010000000" w:firstRow="0" w:lastRow="0" w:firstColumn="0" w:lastColumn="0" w:oddVBand="1" w:evenVBand="0" w:oddHBand="0" w:evenHBand="0" w:firstRowFirstColumn="0" w:firstRowLastColumn="0" w:lastRowFirstColumn="0" w:lastRowLastColumn="0"/>
            <w:tcW w:w="432" w:type="pct"/>
          </w:tcPr>
          <w:p w14:paraId="1F872D78" w14:textId="77777777" w:rsidR="00095411" w:rsidRPr="007348FD" w:rsidRDefault="00095411" w:rsidP="00591CBB">
            <w:pPr>
              <w:spacing w:after="160" w:line="259" w:lineRule="auto"/>
              <w:rPr>
                <w:rFonts w:ascii="Arial Narrow" w:hAnsi="Arial Narrow"/>
                <w:sz w:val="18"/>
                <w:szCs w:val="18"/>
              </w:rPr>
            </w:pPr>
          </w:p>
        </w:tc>
        <w:tc>
          <w:tcPr>
            <w:tcW w:w="460" w:type="pct"/>
          </w:tcPr>
          <w:p w14:paraId="1FE804A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3063229"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FBF260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23230AA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125B706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24.3</w:t>
            </w:r>
          </w:p>
        </w:tc>
        <w:tc>
          <w:tcPr>
            <w:cnfStyle w:val="000010000000" w:firstRow="0" w:lastRow="0" w:firstColumn="0" w:lastColumn="0" w:oddVBand="1" w:evenVBand="0" w:oddHBand="0" w:evenHBand="0" w:firstRowFirstColumn="0" w:firstRowLastColumn="0" w:lastRowFirstColumn="0" w:lastRowLastColumn="0"/>
            <w:tcW w:w="271" w:type="pct"/>
          </w:tcPr>
          <w:p w14:paraId="58F49FF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24.3</w:t>
            </w:r>
          </w:p>
        </w:tc>
        <w:tc>
          <w:tcPr>
            <w:tcW w:w="298" w:type="pct"/>
          </w:tcPr>
          <w:p w14:paraId="3BA9EAE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PHC</w:t>
            </w:r>
          </w:p>
        </w:tc>
        <w:tc>
          <w:tcPr>
            <w:cnfStyle w:val="000010000000" w:firstRow="0" w:lastRow="0" w:firstColumn="0" w:lastColumn="0" w:oddVBand="1" w:evenVBand="0" w:oddHBand="0" w:evenHBand="0" w:firstRowFirstColumn="0" w:firstRowLastColumn="0" w:lastRowFirstColumn="0" w:lastRowLastColumn="0"/>
            <w:tcW w:w="197" w:type="pct"/>
          </w:tcPr>
          <w:p w14:paraId="00A5526D" w14:textId="77777777" w:rsidR="00095411" w:rsidRPr="007348FD" w:rsidRDefault="00095411" w:rsidP="00591CBB">
            <w:pPr>
              <w:spacing w:after="160" w:line="259" w:lineRule="auto"/>
              <w:rPr>
                <w:rFonts w:ascii="Arial Narrow" w:hAnsi="Arial Narrow"/>
                <w:sz w:val="18"/>
                <w:szCs w:val="18"/>
              </w:rPr>
            </w:pPr>
          </w:p>
        </w:tc>
        <w:tc>
          <w:tcPr>
            <w:tcW w:w="273" w:type="pct"/>
          </w:tcPr>
          <w:p w14:paraId="6157BD0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DFC3798" w14:textId="77777777" w:rsidR="00095411" w:rsidRPr="007348FD" w:rsidRDefault="00095411" w:rsidP="00591CBB">
            <w:pPr>
              <w:spacing w:after="160" w:line="259" w:lineRule="auto"/>
              <w:rPr>
                <w:rFonts w:ascii="Arial Narrow" w:hAnsi="Arial Narrow"/>
                <w:sz w:val="18"/>
                <w:szCs w:val="18"/>
              </w:rPr>
            </w:pPr>
          </w:p>
        </w:tc>
        <w:tc>
          <w:tcPr>
            <w:tcW w:w="283" w:type="pct"/>
          </w:tcPr>
          <w:p w14:paraId="4FEDBD6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E87E392" w14:textId="77777777" w:rsidR="00095411" w:rsidRPr="007348FD" w:rsidRDefault="00095411" w:rsidP="00591CBB">
            <w:pPr>
              <w:spacing w:after="160" w:line="259" w:lineRule="auto"/>
              <w:rPr>
                <w:rFonts w:ascii="Arial Narrow" w:hAnsi="Arial Narrow"/>
                <w:sz w:val="18"/>
                <w:szCs w:val="18"/>
              </w:rPr>
            </w:pPr>
          </w:p>
        </w:tc>
        <w:tc>
          <w:tcPr>
            <w:tcW w:w="149" w:type="pct"/>
          </w:tcPr>
          <w:p w14:paraId="6E3238F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7C16A4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w:t>
            </w:r>
          </w:p>
        </w:tc>
        <w:tc>
          <w:tcPr>
            <w:tcW w:w="214" w:type="pct"/>
          </w:tcPr>
          <w:p w14:paraId="7216DEF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24.3</w:t>
            </w:r>
          </w:p>
        </w:tc>
        <w:tc>
          <w:tcPr>
            <w:cnfStyle w:val="000010000000" w:firstRow="0" w:lastRow="0" w:firstColumn="0" w:lastColumn="0" w:oddVBand="1" w:evenVBand="0" w:oddHBand="0" w:evenHBand="0" w:firstRowFirstColumn="0" w:firstRowLastColumn="0" w:lastRowFirstColumn="0" w:lastRowLastColumn="0"/>
            <w:tcW w:w="245" w:type="pct"/>
          </w:tcPr>
          <w:p w14:paraId="727473E8" w14:textId="77777777" w:rsidR="00095411" w:rsidRPr="007348FD" w:rsidRDefault="00095411" w:rsidP="00591CBB">
            <w:pPr>
              <w:spacing w:after="160" w:line="259" w:lineRule="auto"/>
              <w:rPr>
                <w:rFonts w:ascii="Arial Narrow" w:hAnsi="Arial Narrow"/>
                <w:sz w:val="18"/>
                <w:szCs w:val="18"/>
              </w:rPr>
            </w:pPr>
          </w:p>
        </w:tc>
        <w:tc>
          <w:tcPr>
            <w:tcW w:w="280" w:type="pct"/>
          </w:tcPr>
          <w:p w14:paraId="2D01DB4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044FAF01" w14:textId="77777777" w:rsidTr="00051F27">
        <w:trPr>
          <w:trHeight w:val="197"/>
        </w:trPr>
        <w:tc>
          <w:tcPr>
            <w:cnfStyle w:val="000010000000" w:firstRow="0" w:lastRow="0" w:firstColumn="0" w:lastColumn="0" w:oddVBand="1" w:evenVBand="0" w:oddHBand="0" w:evenHBand="0" w:firstRowFirstColumn="0" w:firstRowLastColumn="0" w:lastRowFirstColumn="0" w:lastRowLastColumn="0"/>
            <w:tcW w:w="432" w:type="pct"/>
          </w:tcPr>
          <w:p w14:paraId="0DD616CE" w14:textId="77777777" w:rsidR="00095411" w:rsidRPr="007348FD" w:rsidRDefault="00095411" w:rsidP="00591CBB">
            <w:pPr>
              <w:spacing w:after="160" w:line="259" w:lineRule="auto"/>
              <w:rPr>
                <w:rFonts w:ascii="Arial Narrow" w:hAnsi="Arial Narrow"/>
                <w:sz w:val="18"/>
                <w:szCs w:val="18"/>
              </w:rPr>
            </w:pPr>
          </w:p>
        </w:tc>
        <w:tc>
          <w:tcPr>
            <w:tcW w:w="460" w:type="pct"/>
          </w:tcPr>
          <w:p w14:paraId="69358CF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66CC48E"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5BD4E9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52B73FC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5A7D7409" w14:textId="05D4E08D"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19D9746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29.4</w:t>
            </w:r>
          </w:p>
        </w:tc>
        <w:tc>
          <w:tcPr>
            <w:tcW w:w="298" w:type="pct"/>
          </w:tcPr>
          <w:p w14:paraId="46538C4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30.4</w:t>
            </w:r>
          </w:p>
        </w:tc>
        <w:tc>
          <w:tcPr>
            <w:cnfStyle w:val="000010000000" w:firstRow="0" w:lastRow="0" w:firstColumn="0" w:lastColumn="0" w:oddVBand="1" w:evenVBand="0" w:oddHBand="0" w:evenHBand="0" w:firstRowFirstColumn="0" w:firstRowLastColumn="0" w:lastRowFirstColumn="0" w:lastRowLastColumn="0"/>
            <w:tcW w:w="197" w:type="pct"/>
          </w:tcPr>
          <w:p w14:paraId="0E39591C" w14:textId="77777777" w:rsidR="00095411" w:rsidRPr="007348FD" w:rsidRDefault="00095411" w:rsidP="00591CBB">
            <w:pPr>
              <w:spacing w:after="160" w:line="259" w:lineRule="auto"/>
              <w:rPr>
                <w:rFonts w:ascii="Arial Narrow" w:hAnsi="Arial Narrow"/>
                <w:sz w:val="18"/>
                <w:szCs w:val="18"/>
              </w:rPr>
            </w:pPr>
          </w:p>
        </w:tc>
        <w:tc>
          <w:tcPr>
            <w:tcW w:w="273" w:type="pct"/>
          </w:tcPr>
          <w:p w14:paraId="491C4E6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DF9A1D5" w14:textId="77777777" w:rsidR="00095411" w:rsidRPr="007348FD" w:rsidRDefault="00095411" w:rsidP="00591CBB">
            <w:pPr>
              <w:spacing w:after="160" w:line="259" w:lineRule="auto"/>
              <w:rPr>
                <w:rFonts w:ascii="Arial Narrow" w:hAnsi="Arial Narrow"/>
                <w:sz w:val="18"/>
                <w:szCs w:val="18"/>
              </w:rPr>
            </w:pPr>
          </w:p>
        </w:tc>
        <w:tc>
          <w:tcPr>
            <w:tcW w:w="283" w:type="pct"/>
          </w:tcPr>
          <w:p w14:paraId="4CC25A5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710C65F" w14:textId="77777777" w:rsidR="00095411" w:rsidRPr="007348FD" w:rsidRDefault="00095411" w:rsidP="00591CBB">
            <w:pPr>
              <w:spacing w:after="160" w:line="259" w:lineRule="auto"/>
              <w:rPr>
                <w:rFonts w:ascii="Arial Narrow" w:hAnsi="Arial Narrow"/>
                <w:sz w:val="18"/>
                <w:szCs w:val="18"/>
              </w:rPr>
            </w:pPr>
          </w:p>
        </w:tc>
        <w:tc>
          <w:tcPr>
            <w:tcW w:w="149" w:type="pct"/>
          </w:tcPr>
          <w:p w14:paraId="399713A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3D927FB" w14:textId="77777777" w:rsidR="00095411" w:rsidRPr="007348FD" w:rsidRDefault="00095411" w:rsidP="00591CBB">
            <w:pPr>
              <w:spacing w:after="160" w:line="259" w:lineRule="auto"/>
              <w:rPr>
                <w:rFonts w:ascii="Arial Narrow" w:hAnsi="Arial Narrow"/>
                <w:sz w:val="18"/>
                <w:szCs w:val="18"/>
              </w:rPr>
            </w:pPr>
          </w:p>
        </w:tc>
        <w:tc>
          <w:tcPr>
            <w:tcW w:w="214" w:type="pct"/>
          </w:tcPr>
          <w:p w14:paraId="6CDFCB3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31.4</w:t>
            </w:r>
          </w:p>
        </w:tc>
        <w:tc>
          <w:tcPr>
            <w:cnfStyle w:val="000010000000" w:firstRow="0" w:lastRow="0" w:firstColumn="0" w:lastColumn="0" w:oddVBand="1" w:evenVBand="0" w:oddHBand="0" w:evenHBand="0" w:firstRowFirstColumn="0" w:firstRowLastColumn="0" w:lastRowFirstColumn="0" w:lastRowLastColumn="0"/>
            <w:tcW w:w="245" w:type="pct"/>
          </w:tcPr>
          <w:p w14:paraId="60848AC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32.4</w:t>
            </w:r>
          </w:p>
        </w:tc>
        <w:tc>
          <w:tcPr>
            <w:tcW w:w="280" w:type="pct"/>
          </w:tcPr>
          <w:p w14:paraId="113E79DF" w14:textId="248BFB8A"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33.4</w:t>
            </w:r>
          </w:p>
        </w:tc>
      </w:tr>
      <w:tr w:rsidR="00095411" w:rsidRPr="00591CBB" w14:paraId="5778CBBD" w14:textId="77777777" w:rsidTr="00051F27">
        <w:trPr>
          <w:cnfStyle w:val="000000100000" w:firstRow="0" w:lastRow="0" w:firstColumn="0" w:lastColumn="0" w:oddVBand="0" w:evenVBand="0" w:oddHBand="1" w:evenHBand="0" w:firstRowFirstColumn="0" w:firstRowLastColumn="0" w:lastRowFirstColumn="0" w:lastRowLastColumn="0"/>
          <w:trHeight w:val="197"/>
        </w:trPr>
        <w:tc>
          <w:tcPr>
            <w:cnfStyle w:val="000010000000" w:firstRow="0" w:lastRow="0" w:firstColumn="0" w:lastColumn="0" w:oddVBand="1" w:evenVBand="0" w:oddHBand="0" w:evenHBand="0" w:firstRowFirstColumn="0" w:firstRowLastColumn="0" w:lastRowFirstColumn="0" w:lastRowLastColumn="0"/>
            <w:tcW w:w="432" w:type="pct"/>
          </w:tcPr>
          <w:p w14:paraId="7FF96EA2" w14:textId="77777777" w:rsidR="00095411" w:rsidRPr="007348FD" w:rsidRDefault="00095411" w:rsidP="00591CBB">
            <w:pPr>
              <w:spacing w:after="160" w:line="259" w:lineRule="auto"/>
              <w:rPr>
                <w:rFonts w:ascii="Arial Narrow" w:hAnsi="Arial Narrow"/>
                <w:sz w:val="18"/>
                <w:szCs w:val="18"/>
              </w:rPr>
            </w:pPr>
          </w:p>
        </w:tc>
        <w:tc>
          <w:tcPr>
            <w:tcW w:w="460" w:type="pct"/>
          </w:tcPr>
          <w:p w14:paraId="1F1642A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408AA36"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B76986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1FC1AFD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6484823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28.4</w:t>
            </w:r>
          </w:p>
        </w:tc>
        <w:tc>
          <w:tcPr>
            <w:cnfStyle w:val="000010000000" w:firstRow="0" w:lastRow="0" w:firstColumn="0" w:lastColumn="0" w:oddVBand="1" w:evenVBand="0" w:oddHBand="0" w:evenHBand="0" w:firstRowFirstColumn="0" w:firstRowLastColumn="0" w:lastRowFirstColumn="0" w:lastRowLastColumn="0"/>
            <w:tcW w:w="271" w:type="pct"/>
          </w:tcPr>
          <w:p w14:paraId="4A840BB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28.4</w:t>
            </w:r>
          </w:p>
        </w:tc>
        <w:tc>
          <w:tcPr>
            <w:tcW w:w="298" w:type="pct"/>
          </w:tcPr>
          <w:p w14:paraId="12352F4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MICS/DHS</w:t>
            </w:r>
          </w:p>
        </w:tc>
        <w:tc>
          <w:tcPr>
            <w:cnfStyle w:val="000010000000" w:firstRow="0" w:lastRow="0" w:firstColumn="0" w:lastColumn="0" w:oddVBand="1" w:evenVBand="0" w:oddHBand="0" w:evenHBand="0" w:firstRowFirstColumn="0" w:firstRowLastColumn="0" w:lastRowFirstColumn="0" w:lastRowLastColumn="0"/>
            <w:tcW w:w="197" w:type="pct"/>
          </w:tcPr>
          <w:p w14:paraId="46C13003" w14:textId="666A2C5F" w:rsidR="00095411" w:rsidRPr="007348FD" w:rsidRDefault="00095411" w:rsidP="00591CBB">
            <w:pPr>
              <w:spacing w:after="160" w:line="259" w:lineRule="auto"/>
              <w:rPr>
                <w:rFonts w:ascii="Arial Narrow" w:hAnsi="Arial Narrow"/>
                <w:sz w:val="18"/>
                <w:szCs w:val="18"/>
              </w:rPr>
            </w:pPr>
          </w:p>
        </w:tc>
        <w:tc>
          <w:tcPr>
            <w:tcW w:w="273" w:type="pct"/>
          </w:tcPr>
          <w:p w14:paraId="7C5BAB1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3BFA6E9" w14:textId="77777777" w:rsidR="00095411" w:rsidRPr="007348FD" w:rsidRDefault="00095411" w:rsidP="00591CBB">
            <w:pPr>
              <w:spacing w:after="160" w:line="259" w:lineRule="auto"/>
              <w:rPr>
                <w:rFonts w:ascii="Arial Narrow" w:hAnsi="Arial Narrow"/>
                <w:sz w:val="18"/>
                <w:szCs w:val="18"/>
              </w:rPr>
            </w:pPr>
          </w:p>
        </w:tc>
        <w:tc>
          <w:tcPr>
            <w:tcW w:w="283" w:type="pct"/>
          </w:tcPr>
          <w:p w14:paraId="4A7327C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EC94BFE" w14:textId="77777777" w:rsidR="00095411" w:rsidRPr="007348FD" w:rsidRDefault="00095411" w:rsidP="00591CBB">
            <w:pPr>
              <w:spacing w:after="160" w:line="259" w:lineRule="auto"/>
              <w:rPr>
                <w:rFonts w:ascii="Arial Narrow" w:hAnsi="Arial Narrow"/>
                <w:sz w:val="18"/>
                <w:szCs w:val="18"/>
              </w:rPr>
            </w:pPr>
          </w:p>
        </w:tc>
        <w:tc>
          <w:tcPr>
            <w:tcW w:w="149" w:type="pct"/>
          </w:tcPr>
          <w:p w14:paraId="4B75152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65BA719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w:t>
            </w:r>
          </w:p>
        </w:tc>
        <w:tc>
          <w:tcPr>
            <w:tcW w:w="214" w:type="pct"/>
          </w:tcPr>
          <w:p w14:paraId="3CA536B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29315B3B" w14:textId="77777777" w:rsidR="00095411" w:rsidRPr="007348FD" w:rsidRDefault="00095411" w:rsidP="00591CBB">
            <w:pPr>
              <w:spacing w:after="160" w:line="259" w:lineRule="auto"/>
              <w:rPr>
                <w:rFonts w:ascii="Arial Narrow" w:hAnsi="Arial Narrow"/>
                <w:sz w:val="18"/>
                <w:szCs w:val="18"/>
              </w:rPr>
            </w:pPr>
          </w:p>
        </w:tc>
        <w:tc>
          <w:tcPr>
            <w:tcW w:w="280" w:type="pct"/>
          </w:tcPr>
          <w:p w14:paraId="41E7A8E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04DBF680" w14:textId="77777777" w:rsidTr="00051F27">
        <w:trPr>
          <w:trHeight w:val="185"/>
        </w:trPr>
        <w:tc>
          <w:tcPr>
            <w:cnfStyle w:val="000010000000" w:firstRow="0" w:lastRow="0" w:firstColumn="0" w:lastColumn="0" w:oddVBand="1" w:evenVBand="0" w:oddHBand="0" w:evenHBand="0" w:firstRowFirstColumn="0" w:firstRowLastColumn="0" w:lastRowFirstColumn="0" w:lastRowLastColumn="0"/>
            <w:tcW w:w="432" w:type="pct"/>
          </w:tcPr>
          <w:p w14:paraId="502CF2FE" w14:textId="77777777" w:rsidR="00095411" w:rsidRPr="007348FD" w:rsidRDefault="00095411" w:rsidP="00591CBB">
            <w:pPr>
              <w:spacing w:after="160" w:line="259" w:lineRule="auto"/>
              <w:rPr>
                <w:rFonts w:ascii="Arial Narrow" w:hAnsi="Arial Narrow"/>
                <w:sz w:val="18"/>
                <w:szCs w:val="18"/>
              </w:rPr>
            </w:pPr>
          </w:p>
        </w:tc>
        <w:tc>
          <w:tcPr>
            <w:tcW w:w="460" w:type="pct"/>
          </w:tcPr>
          <w:p w14:paraId="6772D23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AF85171"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359296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1C96587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6E953318" w14:textId="3CA838C3"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6CD61D2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29.9</w:t>
            </w:r>
          </w:p>
        </w:tc>
        <w:tc>
          <w:tcPr>
            <w:tcW w:w="298" w:type="pct"/>
          </w:tcPr>
          <w:p w14:paraId="6D29175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30.9</w:t>
            </w:r>
          </w:p>
        </w:tc>
        <w:tc>
          <w:tcPr>
            <w:cnfStyle w:val="000010000000" w:firstRow="0" w:lastRow="0" w:firstColumn="0" w:lastColumn="0" w:oddVBand="1" w:evenVBand="0" w:oddHBand="0" w:evenHBand="0" w:firstRowFirstColumn="0" w:firstRowLastColumn="0" w:lastRowFirstColumn="0" w:lastRowLastColumn="0"/>
            <w:tcW w:w="197" w:type="pct"/>
          </w:tcPr>
          <w:p w14:paraId="5C714B08" w14:textId="77777777" w:rsidR="00095411" w:rsidRPr="007348FD" w:rsidRDefault="00095411" w:rsidP="00591CBB">
            <w:pPr>
              <w:spacing w:after="160" w:line="259" w:lineRule="auto"/>
              <w:rPr>
                <w:rFonts w:ascii="Arial Narrow" w:hAnsi="Arial Narrow"/>
                <w:sz w:val="18"/>
                <w:szCs w:val="18"/>
              </w:rPr>
            </w:pPr>
          </w:p>
        </w:tc>
        <w:tc>
          <w:tcPr>
            <w:tcW w:w="273" w:type="pct"/>
          </w:tcPr>
          <w:p w14:paraId="0158577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51F1BE2" w14:textId="77777777" w:rsidR="00095411" w:rsidRPr="007348FD" w:rsidRDefault="00095411" w:rsidP="00591CBB">
            <w:pPr>
              <w:spacing w:after="160" w:line="259" w:lineRule="auto"/>
              <w:rPr>
                <w:rFonts w:ascii="Arial Narrow" w:hAnsi="Arial Narrow"/>
                <w:sz w:val="18"/>
                <w:szCs w:val="18"/>
              </w:rPr>
            </w:pPr>
          </w:p>
        </w:tc>
        <w:tc>
          <w:tcPr>
            <w:tcW w:w="283" w:type="pct"/>
          </w:tcPr>
          <w:p w14:paraId="057D8FC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D01D977" w14:textId="77777777" w:rsidR="00095411" w:rsidRPr="007348FD" w:rsidRDefault="00095411" w:rsidP="00591CBB">
            <w:pPr>
              <w:spacing w:after="160" w:line="259" w:lineRule="auto"/>
              <w:rPr>
                <w:rFonts w:ascii="Arial Narrow" w:hAnsi="Arial Narrow"/>
                <w:sz w:val="18"/>
                <w:szCs w:val="18"/>
              </w:rPr>
            </w:pPr>
          </w:p>
        </w:tc>
        <w:tc>
          <w:tcPr>
            <w:tcW w:w="149" w:type="pct"/>
          </w:tcPr>
          <w:p w14:paraId="0B00785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C159C7D" w14:textId="77777777" w:rsidR="00095411" w:rsidRPr="007348FD" w:rsidRDefault="00095411" w:rsidP="00591CBB">
            <w:pPr>
              <w:spacing w:after="160" w:line="259" w:lineRule="auto"/>
              <w:rPr>
                <w:rFonts w:ascii="Arial Narrow" w:hAnsi="Arial Narrow"/>
                <w:sz w:val="18"/>
                <w:szCs w:val="18"/>
              </w:rPr>
            </w:pPr>
          </w:p>
        </w:tc>
        <w:tc>
          <w:tcPr>
            <w:tcW w:w="214" w:type="pct"/>
          </w:tcPr>
          <w:p w14:paraId="54213D0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31.9</w:t>
            </w:r>
          </w:p>
        </w:tc>
        <w:tc>
          <w:tcPr>
            <w:cnfStyle w:val="000010000000" w:firstRow="0" w:lastRow="0" w:firstColumn="0" w:lastColumn="0" w:oddVBand="1" w:evenVBand="0" w:oddHBand="0" w:evenHBand="0" w:firstRowFirstColumn="0" w:firstRowLastColumn="0" w:lastRowFirstColumn="0" w:lastRowLastColumn="0"/>
            <w:tcW w:w="245" w:type="pct"/>
          </w:tcPr>
          <w:p w14:paraId="1A300D2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32.9</w:t>
            </w:r>
          </w:p>
        </w:tc>
        <w:tc>
          <w:tcPr>
            <w:tcW w:w="280" w:type="pct"/>
          </w:tcPr>
          <w:p w14:paraId="269DD466" w14:textId="47086EAF"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33.9</w:t>
            </w:r>
          </w:p>
        </w:tc>
      </w:tr>
      <w:tr w:rsidR="00095411" w:rsidRPr="00591CBB" w14:paraId="2EE3AF02" w14:textId="77777777" w:rsidTr="00051F27">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432" w:type="pct"/>
          </w:tcPr>
          <w:p w14:paraId="058C374A" w14:textId="77777777" w:rsidR="00095411" w:rsidRPr="007348FD" w:rsidRDefault="00095411" w:rsidP="00591CBB">
            <w:pPr>
              <w:spacing w:after="160" w:line="259" w:lineRule="auto"/>
              <w:rPr>
                <w:rFonts w:ascii="Arial Narrow" w:hAnsi="Arial Narrow"/>
                <w:sz w:val="18"/>
                <w:szCs w:val="18"/>
              </w:rPr>
            </w:pPr>
          </w:p>
        </w:tc>
        <w:tc>
          <w:tcPr>
            <w:tcW w:w="460" w:type="pct"/>
          </w:tcPr>
          <w:p w14:paraId="6F31BA7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1CC5ED8"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85F740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00F368D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150AE03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28.9</w:t>
            </w:r>
          </w:p>
        </w:tc>
        <w:tc>
          <w:tcPr>
            <w:cnfStyle w:val="000010000000" w:firstRow="0" w:lastRow="0" w:firstColumn="0" w:lastColumn="0" w:oddVBand="1" w:evenVBand="0" w:oddHBand="0" w:evenHBand="0" w:firstRowFirstColumn="0" w:firstRowLastColumn="0" w:lastRowFirstColumn="0" w:lastRowLastColumn="0"/>
            <w:tcW w:w="271" w:type="pct"/>
          </w:tcPr>
          <w:p w14:paraId="5D47A5F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28.9</w:t>
            </w:r>
          </w:p>
        </w:tc>
        <w:tc>
          <w:tcPr>
            <w:tcW w:w="298" w:type="pct"/>
          </w:tcPr>
          <w:p w14:paraId="20B61AB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97" w:type="pct"/>
          </w:tcPr>
          <w:p w14:paraId="052B4F33" w14:textId="77777777" w:rsidR="00095411" w:rsidRPr="007348FD" w:rsidRDefault="00095411" w:rsidP="00591CBB">
            <w:pPr>
              <w:spacing w:after="160" w:line="259" w:lineRule="auto"/>
              <w:rPr>
                <w:rFonts w:ascii="Arial Narrow" w:hAnsi="Arial Narrow"/>
                <w:sz w:val="18"/>
                <w:szCs w:val="18"/>
              </w:rPr>
            </w:pPr>
          </w:p>
        </w:tc>
        <w:tc>
          <w:tcPr>
            <w:tcW w:w="273" w:type="pct"/>
          </w:tcPr>
          <w:p w14:paraId="698A08E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F847AA7" w14:textId="77777777" w:rsidR="00095411" w:rsidRPr="007348FD" w:rsidRDefault="00095411" w:rsidP="00591CBB">
            <w:pPr>
              <w:spacing w:after="160" w:line="259" w:lineRule="auto"/>
              <w:rPr>
                <w:rFonts w:ascii="Arial Narrow" w:hAnsi="Arial Narrow"/>
                <w:sz w:val="18"/>
                <w:szCs w:val="18"/>
              </w:rPr>
            </w:pPr>
          </w:p>
        </w:tc>
        <w:tc>
          <w:tcPr>
            <w:tcW w:w="283" w:type="pct"/>
          </w:tcPr>
          <w:p w14:paraId="486258B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FF27503" w14:textId="77777777" w:rsidR="00095411" w:rsidRPr="007348FD" w:rsidRDefault="00095411" w:rsidP="00591CBB">
            <w:pPr>
              <w:spacing w:after="160" w:line="259" w:lineRule="auto"/>
              <w:rPr>
                <w:rFonts w:ascii="Arial Narrow" w:hAnsi="Arial Narrow"/>
                <w:sz w:val="18"/>
                <w:szCs w:val="18"/>
              </w:rPr>
            </w:pPr>
          </w:p>
        </w:tc>
        <w:tc>
          <w:tcPr>
            <w:tcW w:w="149" w:type="pct"/>
          </w:tcPr>
          <w:p w14:paraId="1380030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101F97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w:t>
            </w:r>
          </w:p>
        </w:tc>
        <w:tc>
          <w:tcPr>
            <w:tcW w:w="214" w:type="pct"/>
          </w:tcPr>
          <w:p w14:paraId="33CB373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PHC</w:t>
            </w:r>
          </w:p>
        </w:tc>
        <w:tc>
          <w:tcPr>
            <w:cnfStyle w:val="000010000000" w:firstRow="0" w:lastRow="0" w:firstColumn="0" w:lastColumn="0" w:oddVBand="1" w:evenVBand="0" w:oddHBand="0" w:evenHBand="0" w:firstRowFirstColumn="0" w:firstRowLastColumn="0" w:lastRowFirstColumn="0" w:lastRowLastColumn="0"/>
            <w:tcW w:w="245" w:type="pct"/>
          </w:tcPr>
          <w:p w14:paraId="16125103" w14:textId="77777777" w:rsidR="00095411" w:rsidRPr="007348FD" w:rsidRDefault="00095411" w:rsidP="00591CBB">
            <w:pPr>
              <w:spacing w:after="160" w:line="259" w:lineRule="auto"/>
              <w:rPr>
                <w:rFonts w:ascii="Arial Narrow" w:hAnsi="Arial Narrow"/>
                <w:sz w:val="18"/>
                <w:szCs w:val="18"/>
              </w:rPr>
            </w:pPr>
          </w:p>
        </w:tc>
        <w:tc>
          <w:tcPr>
            <w:tcW w:w="280" w:type="pct"/>
          </w:tcPr>
          <w:p w14:paraId="218497A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36F7C2AD" w14:textId="77777777" w:rsidTr="00051F27">
        <w:trPr>
          <w:trHeight w:val="2698"/>
        </w:trPr>
        <w:tc>
          <w:tcPr>
            <w:cnfStyle w:val="000010000000" w:firstRow="0" w:lastRow="0" w:firstColumn="0" w:lastColumn="0" w:oddVBand="1" w:evenVBand="0" w:oddHBand="0" w:evenHBand="0" w:firstRowFirstColumn="0" w:firstRowLastColumn="0" w:lastRowFirstColumn="0" w:lastRowLastColumn="0"/>
            <w:tcW w:w="432" w:type="pct"/>
          </w:tcPr>
          <w:p w14:paraId="6FBDB1FF"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t xml:space="preserve">Programme Outcome 1: </w:t>
            </w:r>
          </w:p>
          <w:p w14:paraId="5B626E68" w14:textId="77777777" w:rsidR="00095411" w:rsidRPr="007348FD" w:rsidRDefault="00095411" w:rsidP="00591CBB">
            <w:pPr>
              <w:spacing w:after="160" w:line="259" w:lineRule="auto"/>
              <w:rPr>
                <w:rFonts w:ascii="Arial Narrow" w:hAnsi="Arial Narrow"/>
                <w:sz w:val="18"/>
                <w:szCs w:val="18"/>
              </w:rPr>
            </w:pPr>
          </w:p>
          <w:p w14:paraId="6A3285D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Increased and improved supply of integrated SRH information and services, particularly for family planning</w:t>
            </w:r>
          </w:p>
          <w:p w14:paraId="2F455ED3" w14:textId="77777777" w:rsidR="00095411" w:rsidRPr="007348FD" w:rsidRDefault="00095411" w:rsidP="00591CBB">
            <w:pPr>
              <w:spacing w:after="160" w:line="259" w:lineRule="auto"/>
              <w:rPr>
                <w:rFonts w:ascii="Arial Narrow" w:hAnsi="Arial Narrow"/>
                <w:sz w:val="18"/>
                <w:szCs w:val="18"/>
              </w:rPr>
            </w:pPr>
          </w:p>
          <w:p w14:paraId="135396B4" w14:textId="77777777" w:rsidR="00095411" w:rsidRPr="007348FD" w:rsidRDefault="00095411" w:rsidP="00591CBB">
            <w:pPr>
              <w:spacing w:after="160" w:line="259" w:lineRule="auto"/>
              <w:rPr>
                <w:rFonts w:ascii="Arial Narrow" w:hAnsi="Arial Narrow"/>
                <w:sz w:val="18"/>
                <w:szCs w:val="18"/>
              </w:rPr>
            </w:pPr>
          </w:p>
        </w:tc>
        <w:tc>
          <w:tcPr>
            <w:tcW w:w="460" w:type="pct"/>
          </w:tcPr>
          <w:p w14:paraId="08C926E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sz w:val="18"/>
                <w:szCs w:val="18"/>
              </w:rPr>
              <w:lastRenderedPageBreak/>
              <w:t xml:space="preserve">5. Total Couple-Years Protection for contraceptives distributed by countries to lower levels including SDPs ( Disaggregated by method including EC and LARCs)                                                                             </w:t>
            </w:r>
            <w:r w:rsidRPr="007348FD">
              <w:rPr>
                <w:rFonts w:ascii="Arial Narrow" w:hAnsi="Arial Narrow"/>
                <w:b/>
                <w:bCs/>
                <w:sz w:val="18"/>
                <w:szCs w:val="18"/>
              </w:rPr>
              <w:t>[UNFPA Supplies Indicator 1.3.4]</w:t>
            </w:r>
          </w:p>
        </w:tc>
        <w:tc>
          <w:tcPr>
            <w:cnfStyle w:val="000010000000" w:firstRow="0" w:lastRow="0" w:firstColumn="0" w:lastColumn="0" w:oddVBand="1" w:evenVBand="0" w:oddHBand="0" w:evenHBand="0" w:firstRowFirstColumn="0" w:firstRowLastColumn="0" w:lastRowFirstColumn="0" w:lastRowLastColumn="0"/>
            <w:tcW w:w="371" w:type="pct"/>
          </w:tcPr>
          <w:p w14:paraId="27E5FF2D"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t>ö</w:t>
            </w:r>
          </w:p>
        </w:tc>
        <w:tc>
          <w:tcPr>
            <w:tcW w:w="341" w:type="pct"/>
          </w:tcPr>
          <w:p w14:paraId="3D7B2EF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39C5E73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7843096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51,932 </w:t>
            </w:r>
          </w:p>
        </w:tc>
        <w:tc>
          <w:tcPr>
            <w:cnfStyle w:val="000010000000" w:firstRow="0" w:lastRow="0" w:firstColumn="0" w:lastColumn="0" w:oddVBand="1" w:evenVBand="0" w:oddHBand="0" w:evenHBand="0" w:firstRowFirstColumn="0" w:firstRowLastColumn="0" w:lastRowFirstColumn="0" w:lastRowLastColumn="0"/>
            <w:tcW w:w="271" w:type="pct"/>
          </w:tcPr>
          <w:p w14:paraId="3ECBD27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54,173 </w:t>
            </w:r>
          </w:p>
        </w:tc>
        <w:tc>
          <w:tcPr>
            <w:tcW w:w="298" w:type="pct"/>
          </w:tcPr>
          <w:p w14:paraId="2C56CFD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70,000 </w:t>
            </w:r>
          </w:p>
        </w:tc>
        <w:tc>
          <w:tcPr>
            <w:cnfStyle w:val="000010000000" w:firstRow="0" w:lastRow="0" w:firstColumn="0" w:lastColumn="0" w:oddVBand="1" w:evenVBand="0" w:oddHBand="0" w:evenHBand="0" w:firstRowFirstColumn="0" w:firstRowLastColumn="0" w:lastRowFirstColumn="0" w:lastRowLastColumn="0"/>
            <w:tcW w:w="197" w:type="pct"/>
          </w:tcPr>
          <w:p w14:paraId="196F4691" w14:textId="77777777" w:rsidR="00095411" w:rsidRPr="007348FD" w:rsidRDefault="00095411" w:rsidP="00591CBB">
            <w:pPr>
              <w:spacing w:after="160" w:line="259" w:lineRule="auto"/>
              <w:rPr>
                <w:rFonts w:ascii="Arial Narrow" w:hAnsi="Arial Narrow"/>
                <w:sz w:val="18"/>
                <w:szCs w:val="18"/>
              </w:rPr>
            </w:pPr>
            <w:r>
              <w:rPr>
                <w:rFonts w:ascii="Arial Narrow" w:hAnsi="Arial Narrow"/>
                <w:sz w:val="18"/>
                <w:szCs w:val="18"/>
              </w:rPr>
              <w:t>42,914</w:t>
            </w:r>
          </w:p>
        </w:tc>
        <w:tc>
          <w:tcPr>
            <w:tcW w:w="273" w:type="pct"/>
          </w:tcPr>
          <w:p w14:paraId="5CF2E0A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CA10E14" w14:textId="77777777" w:rsidR="00095411" w:rsidRPr="007348FD" w:rsidRDefault="00095411" w:rsidP="00591CBB">
            <w:pPr>
              <w:spacing w:after="160" w:line="259" w:lineRule="auto"/>
              <w:rPr>
                <w:rFonts w:ascii="Arial Narrow" w:hAnsi="Arial Narrow"/>
                <w:sz w:val="18"/>
                <w:szCs w:val="18"/>
              </w:rPr>
            </w:pPr>
          </w:p>
        </w:tc>
        <w:tc>
          <w:tcPr>
            <w:tcW w:w="283" w:type="pct"/>
          </w:tcPr>
          <w:p w14:paraId="79A603E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0F1CC9A" w14:textId="77777777" w:rsidR="00095411" w:rsidRPr="007348FD" w:rsidRDefault="00095411" w:rsidP="00591CBB">
            <w:pPr>
              <w:spacing w:after="160" w:line="259" w:lineRule="auto"/>
              <w:rPr>
                <w:rFonts w:ascii="Arial Narrow" w:hAnsi="Arial Narrow"/>
                <w:sz w:val="18"/>
                <w:szCs w:val="18"/>
              </w:rPr>
            </w:pPr>
          </w:p>
        </w:tc>
        <w:tc>
          <w:tcPr>
            <w:tcW w:w="149" w:type="pct"/>
          </w:tcPr>
          <w:p w14:paraId="074315A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3A16155" w14:textId="77777777" w:rsidR="00095411" w:rsidRPr="007348FD" w:rsidRDefault="00095411" w:rsidP="00591CBB">
            <w:pPr>
              <w:spacing w:after="160" w:line="259" w:lineRule="auto"/>
              <w:rPr>
                <w:rFonts w:ascii="Arial Narrow" w:hAnsi="Arial Narrow"/>
                <w:sz w:val="18"/>
                <w:szCs w:val="18"/>
              </w:rPr>
            </w:pPr>
          </w:p>
        </w:tc>
        <w:tc>
          <w:tcPr>
            <w:tcW w:w="214" w:type="pct"/>
          </w:tcPr>
          <w:p w14:paraId="511FDB4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85827</w:t>
            </w:r>
          </w:p>
        </w:tc>
        <w:tc>
          <w:tcPr>
            <w:cnfStyle w:val="000010000000" w:firstRow="0" w:lastRow="0" w:firstColumn="0" w:lastColumn="0" w:oddVBand="1" w:evenVBand="0" w:oddHBand="0" w:evenHBand="0" w:firstRowFirstColumn="0" w:firstRowLastColumn="0" w:lastRowFirstColumn="0" w:lastRowLastColumn="0"/>
            <w:tcW w:w="245" w:type="pct"/>
          </w:tcPr>
          <w:p w14:paraId="4E2C5E7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101654</w:t>
            </w:r>
          </w:p>
        </w:tc>
        <w:tc>
          <w:tcPr>
            <w:tcW w:w="280" w:type="pct"/>
          </w:tcPr>
          <w:p w14:paraId="0173E93F" w14:textId="6866C3F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117481</w:t>
            </w:r>
          </w:p>
        </w:tc>
      </w:tr>
      <w:tr w:rsidR="00095411" w:rsidRPr="00591CBB" w14:paraId="09059B33"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59F4282F" w14:textId="77777777" w:rsidR="00095411" w:rsidRPr="007348FD" w:rsidRDefault="00095411" w:rsidP="00591CBB">
            <w:pPr>
              <w:spacing w:after="160" w:line="259" w:lineRule="auto"/>
              <w:rPr>
                <w:rFonts w:ascii="Arial Narrow" w:hAnsi="Arial Narrow"/>
                <w:sz w:val="18"/>
                <w:szCs w:val="18"/>
              </w:rPr>
            </w:pPr>
          </w:p>
        </w:tc>
        <w:tc>
          <w:tcPr>
            <w:tcW w:w="460" w:type="pct"/>
          </w:tcPr>
          <w:p w14:paraId="06B67BE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1BC04D1"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5118CB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D50D4B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30FDA18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27,415 </w:t>
            </w:r>
          </w:p>
        </w:tc>
        <w:tc>
          <w:tcPr>
            <w:cnfStyle w:val="000010000000" w:firstRow="0" w:lastRow="0" w:firstColumn="0" w:lastColumn="0" w:oddVBand="1" w:evenVBand="0" w:oddHBand="0" w:evenHBand="0" w:firstRowFirstColumn="0" w:firstRowLastColumn="0" w:lastRowFirstColumn="0" w:lastRowLastColumn="0"/>
            <w:tcW w:w="271" w:type="pct"/>
          </w:tcPr>
          <w:p w14:paraId="0D2AE6E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52,156 </w:t>
            </w:r>
          </w:p>
        </w:tc>
        <w:tc>
          <w:tcPr>
            <w:tcW w:w="298" w:type="pct"/>
          </w:tcPr>
          <w:p w14:paraId="41E9E9F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46,829 </w:t>
            </w:r>
          </w:p>
        </w:tc>
        <w:tc>
          <w:tcPr>
            <w:cnfStyle w:val="000010000000" w:firstRow="0" w:lastRow="0" w:firstColumn="0" w:lastColumn="0" w:oddVBand="1" w:evenVBand="0" w:oddHBand="0" w:evenHBand="0" w:firstRowFirstColumn="0" w:firstRowLastColumn="0" w:lastRowFirstColumn="0" w:lastRowLastColumn="0"/>
            <w:tcW w:w="197" w:type="pct"/>
          </w:tcPr>
          <w:p w14:paraId="45C26B39" w14:textId="77777777" w:rsidR="00095411" w:rsidRPr="007348FD" w:rsidRDefault="00095411" w:rsidP="00591CBB">
            <w:pPr>
              <w:spacing w:after="160" w:line="259" w:lineRule="auto"/>
              <w:rPr>
                <w:rFonts w:ascii="Arial Narrow" w:hAnsi="Arial Narrow"/>
                <w:sz w:val="18"/>
                <w:szCs w:val="18"/>
              </w:rPr>
            </w:pPr>
          </w:p>
        </w:tc>
        <w:tc>
          <w:tcPr>
            <w:tcW w:w="273" w:type="pct"/>
          </w:tcPr>
          <w:p w14:paraId="4E983B2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98,985</w:t>
            </w:r>
          </w:p>
        </w:tc>
        <w:tc>
          <w:tcPr>
            <w:cnfStyle w:val="000010000000" w:firstRow="0" w:lastRow="0" w:firstColumn="0" w:lastColumn="0" w:oddVBand="1" w:evenVBand="0" w:oddHBand="0" w:evenHBand="0" w:firstRowFirstColumn="0" w:firstRowLastColumn="0" w:lastRowFirstColumn="0" w:lastRowLastColumn="0"/>
            <w:tcW w:w="285" w:type="pct"/>
          </w:tcPr>
          <w:p w14:paraId="4122320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59%</w:t>
            </w:r>
          </w:p>
        </w:tc>
        <w:tc>
          <w:tcPr>
            <w:tcW w:w="283" w:type="pct"/>
          </w:tcPr>
          <w:p w14:paraId="57E59E0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EECD6A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149" w:type="pct"/>
          </w:tcPr>
          <w:p w14:paraId="7EF28EA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A580818" w14:textId="77777777" w:rsidR="00095411" w:rsidRPr="007348FD" w:rsidRDefault="00095411" w:rsidP="00591CBB">
            <w:pPr>
              <w:spacing w:after="160" w:line="259" w:lineRule="auto"/>
              <w:rPr>
                <w:rFonts w:ascii="Arial Narrow" w:hAnsi="Arial Narrow"/>
                <w:sz w:val="18"/>
                <w:szCs w:val="18"/>
              </w:rPr>
            </w:pPr>
          </w:p>
        </w:tc>
        <w:tc>
          <w:tcPr>
            <w:tcW w:w="214" w:type="pct"/>
          </w:tcPr>
          <w:p w14:paraId="5E3B4FC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2470043F" w14:textId="77777777" w:rsidR="00095411" w:rsidRPr="007348FD" w:rsidRDefault="00095411" w:rsidP="00591CBB">
            <w:pPr>
              <w:spacing w:after="160" w:line="259" w:lineRule="auto"/>
              <w:rPr>
                <w:rFonts w:ascii="Arial Narrow" w:hAnsi="Arial Narrow"/>
                <w:sz w:val="18"/>
                <w:szCs w:val="18"/>
              </w:rPr>
            </w:pPr>
          </w:p>
        </w:tc>
        <w:tc>
          <w:tcPr>
            <w:tcW w:w="280" w:type="pct"/>
          </w:tcPr>
          <w:p w14:paraId="4A81BB1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0521BD49"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371FA14F" w14:textId="77777777" w:rsidR="00095411" w:rsidRPr="007348FD" w:rsidRDefault="00095411" w:rsidP="00591CBB">
            <w:pPr>
              <w:spacing w:after="160" w:line="259" w:lineRule="auto"/>
              <w:rPr>
                <w:rFonts w:ascii="Arial Narrow" w:hAnsi="Arial Narrow"/>
                <w:sz w:val="18"/>
                <w:szCs w:val="18"/>
              </w:rPr>
            </w:pPr>
          </w:p>
        </w:tc>
        <w:tc>
          <w:tcPr>
            <w:tcW w:w="460" w:type="pct"/>
          </w:tcPr>
          <w:p w14:paraId="537C2CD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DD1F9F8"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B6F773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5E3D1D7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69A0700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17,865 </w:t>
            </w:r>
          </w:p>
        </w:tc>
        <w:tc>
          <w:tcPr>
            <w:cnfStyle w:val="000010000000" w:firstRow="0" w:lastRow="0" w:firstColumn="0" w:lastColumn="0" w:oddVBand="1" w:evenVBand="0" w:oddHBand="0" w:evenHBand="0" w:firstRowFirstColumn="0" w:firstRowLastColumn="0" w:lastRowFirstColumn="0" w:lastRowLastColumn="0"/>
            <w:tcW w:w="271" w:type="pct"/>
          </w:tcPr>
          <w:p w14:paraId="4AF71B9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21,357 </w:t>
            </w:r>
          </w:p>
        </w:tc>
        <w:tc>
          <w:tcPr>
            <w:tcW w:w="298" w:type="pct"/>
          </w:tcPr>
          <w:p w14:paraId="04EAD95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35,049 </w:t>
            </w:r>
          </w:p>
        </w:tc>
        <w:tc>
          <w:tcPr>
            <w:cnfStyle w:val="000010000000" w:firstRow="0" w:lastRow="0" w:firstColumn="0" w:lastColumn="0" w:oddVBand="1" w:evenVBand="0" w:oddHBand="0" w:evenHBand="0" w:firstRowFirstColumn="0" w:firstRowLastColumn="0" w:lastRowFirstColumn="0" w:lastRowLastColumn="0"/>
            <w:tcW w:w="197" w:type="pct"/>
          </w:tcPr>
          <w:p w14:paraId="40A06B6B" w14:textId="77777777" w:rsidR="00095411" w:rsidRPr="007348FD" w:rsidRDefault="00095411" w:rsidP="00591CBB">
            <w:pPr>
              <w:spacing w:after="160" w:line="259" w:lineRule="auto"/>
              <w:rPr>
                <w:rFonts w:ascii="Arial Narrow" w:hAnsi="Arial Narrow"/>
                <w:sz w:val="18"/>
                <w:szCs w:val="18"/>
              </w:rPr>
            </w:pPr>
            <w:r>
              <w:rPr>
                <w:rFonts w:ascii="Arial Narrow" w:hAnsi="Arial Narrow"/>
                <w:sz w:val="18"/>
                <w:szCs w:val="18"/>
              </w:rPr>
              <w:t>24,371</w:t>
            </w:r>
          </w:p>
        </w:tc>
        <w:tc>
          <w:tcPr>
            <w:tcW w:w="273" w:type="pct"/>
          </w:tcPr>
          <w:p w14:paraId="6545C40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80,777</w:t>
            </w:r>
          </w:p>
        </w:tc>
        <w:tc>
          <w:tcPr>
            <w:cnfStyle w:val="000010000000" w:firstRow="0" w:lastRow="0" w:firstColumn="0" w:lastColumn="0" w:oddVBand="1" w:evenVBand="0" w:oddHBand="0" w:evenHBand="0" w:firstRowFirstColumn="0" w:firstRowLastColumn="0" w:lastRowFirstColumn="0" w:lastRowLastColumn="0"/>
            <w:tcW w:w="285" w:type="pct"/>
          </w:tcPr>
          <w:p w14:paraId="407E50C8" w14:textId="77777777" w:rsidR="00095411" w:rsidRPr="007348FD" w:rsidRDefault="00095411" w:rsidP="00591CBB">
            <w:pPr>
              <w:spacing w:after="160" w:line="259" w:lineRule="auto"/>
              <w:rPr>
                <w:rFonts w:ascii="Arial Narrow" w:hAnsi="Arial Narrow"/>
                <w:sz w:val="18"/>
                <w:szCs w:val="18"/>
              </w:rPr>
            </w:pPr>
          </w:p>
        </w:tc>
        <w:tc>
          <w:tcPr>
            <w:tcW w:w="283" w:type="pct"/>
          </w:tcPr>
          <w:p w14:paraId="48EDD56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71FEA70" w14:textId="77777777" w:rsidR="00095411" w:rsidRPr="007348FD" w:rsidRDefault="00095411" w:rsidP="00591CBB">
            <w:pPr>
              <w:spacing w:after="160" w:line="259" w:lineRule="auto"/>
              <w:rPr>
                <w:rFonts w:ascii="Arial Narrow" w:hAnsi="Arial Narrow"/>
                <w:sz w:val="18"/>
                <w:szCs w:val="18"/>
              </w:rPr>
            </w:pPr>
          </w:p>
        </w:tc>
        <w:tc>
          <w:tcPr>
            <w:tcW w:w="149" w:type="pct"/>
          </w:tcPr>
          <w:p w14:paraId="4E71C2B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D480C98" w14:textId="77777777" w:rsidR="00095411" w:rsidRPr="007348FD" w:rsidRDefault="00095411" w:rsidP="00591CBB">
            <w:pPr>
              <w:spacing w:after="160" w:line="259" w:lineRule="auto"/>
              <w:rPr>
                <w:rFonts w:ascii="Arial Narrow" w:hAnsi="Arial Narrow"/>
                <w:sz w:val="18"/>
                <w:szCs w:val="18"/>
              </w:rPr>
            </w:pPr>
          </w:p>
        </w:tc>
        <w:tc>
          <w:tcPr>
            <w:tcW w:w="214" w:type="pct"/>
          </w:tcPr>
          <w:p w14:paraId="501817C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48741</w:t>
            </w:r>
          </w:p>
        </w:tc>
        <w:tc>
          <w:tcPr>
            <w:cnfStyle w:val="000010000000" w:firstRow="0" w:lastRow="0" w:firstColumn="0" w:lastColumn="0" w:oddVBand="1" w:evenVBand="0" w:oddHBand="0" w:evenHBand="0" w:firstRowFirstColumn="0" w:firstRowLastColumn="0" w:lastRowFirstColumn="0" w:lastRowLastColumn="0"/>
            <w:tcW w:w="245" w:type="pct"/>
          </w:tcPr>
          <w:p w14:paraId="47562BF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62433</w:t>
            </w:r>
          </w:p>
        </w:tc>
        <w:tc>
          <w:tcPr>
            <w:tcW w:w="280" w:type="pct"/>
          </w:tcPr>
          <w:p w14:paraId="14FF307A" w14:textId="01C0A1B5"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76125</w:t>
            </w:r>
          </w:p>
        </w:tc>
      </w:tr>
      <w:tr w:rsidR="00095411" w:rsidRPr="00591CBB" w14:paraId="043A8109"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7A6747AC" w14:textId="77777777" w:rsidR="00095411" w:rsidRPr="007348FD" w:rsidRDefault="00095411" w:rsidP="00591CBB">
            <w:pPr>
              <w:spacing w:after="160" w:line="259" w:lineRule="auto"/>
              <w:rPr>
                <w:rFonts w:ascii="Arial Narrow" w:hAnsi="Arial Narrow"/>
                <w:sz w:val="18"/>
                <w:szCs w:val="18"/>
              </w:rPr>
            </w:pPr>
          </w:p>
        </w:tc>
        <w:tc>
          <w:tcPr>
            <w:tcW w:w="460" w:type="pct"/>
          </w:tcPr>
          <w:p w14:paraId="67358D7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C81E5EE"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E5E960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DAF729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0ECB430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17,865 </w:t>
            </w:r>
          </w:p>
        </w:tc>
        <w:tc>
          <w:tcPr>
            <w:cnfStyle w:val="000010000000" w:firstRow="0" w:lastRow="0" w:firstColumn="0" w:lastColumn="0" w:oddVBand="1" w:evenVBand="0" w:oddHBand="0" w:evenHBand="0" w:firstRowFirstColumn="0" w:firstRowLastColumn="0" w:lastRowFirstColumn="0" w:lastRowLastColumn="0"/>
            <w:tcW w:w="271" w:type="pct"/>
          </w:tcPr>
          <w:p w14:paraId="26D6296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6,029 </w:t>
            </w:r>
          </w:p>
        </w:tc>
        <w:tc>
          <w:tcPr>
            <w:tcW w:w="298" w:type="pct"/>
          </w:tcPr>
          <w:p w14:paraId="00FFE69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5,138 </w:t>
            </w:r>
          </w:p>
        </w:tc>
        <w:tc>
          <w:tcPr>
            <w:cnfStyle w:val="000010000000" w:firstRow="0" w:lastRow="0" w:firstColumn="0" w:lastColumn="0" w:oddVBand="1" w:evenVBand="0" w:oddHBand="0" w:evenHBand="0" w:firstRowFirstColumn="0" w:firstRowLastColumn="0" w:lastRowFirstColumn="0" w:lastRowLastColumn="0"/>
            <w:tcW w:w="197" w:type="pct"/>
          </w:tcPr>
          <w:p w14:paraId="743DAD81" w14:textId="77777777" w:rsidR="00095411" w:rsidRPr="007348FD" w:rsidRDefault="00095411" w:rsidP="00591CBB">
            <w:pPr>
              <w:spacing w:after="160" w:line="259" w:lineRule="auto"/>
              <w:rPr>
                <w:rFonts w:ascii="Arial Narrow" w:hAnsi="Arial Narrow"/>
                <w:sz w:val="18"/>
                <w:szCs w:val="18"/>
              </w:rPr>
            </w:pPr>
          </w:p>
        </w:tc>
        <w:tc>
          <w:tcPr>
            <w:tcW w:w="273" w:type="pct"/>
          </w:tcPr>
          <w:p w14:paraId="7D3623B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11,167</w:t>
            </w:r>
          </w:p>
        </w:tc>
        <w:tc>
          <w:tcPr>
            <w:cnfStyle w:val="000010000000" w:firstRow="0" w:lastRow="0" w:firstColumn="0" w:lastColumn="0" w:oddVBand="1" w:evenVBand="0" w:oddHBand="0" w:evenHBand="0" w:firstRowFirstColumn="0" w:firstRowLastColumn="0" w:lastRowFirstColumn="0" w:lastRowLastColumn="0"/>
            <w:tcW w:w="285" w:type="pct"/>
          </w:tcPr>
          <w:p w14:paraId="2105715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14%</w:t>
            </w:r>
          </w:p>
        </w:tc>
        <w:tc>
          <w:tcPr>
            <w:tcW w:w="283" w:type="pct"/>
          </w:tcPr>
          <w:p w14:paraId="68D8BC5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DBE2ADF" w14:textId="77777777" w:rsidR="00095411" w:rsidRPr="007348FD" w:rsidRDefault="00095411" w:rsidP="00591CBB">
            <w:pPr>
              <w:spacing w:after="160" w:line="259" w:lineRule="auto"/>
              <w:rPr>
                <w:rFonts w:ascii="Arial Narrow" w:hAnsi="Arial Narrow"/>
                <w:sz w:val="18"/>
                <w:szCs w:val="18"/>
              </w:rPr>
            </w:pPr>
          </w:p>
        </w:tc>
        <w:tc>
          <w:tcPr>
            <w:tcW w:w="149" w:type="pct"/>
          </w:tcPr>
          <w:p w14:paraId="637FA1F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3275BC0D" w14:textId="77777777" w:rsidR="00095411" w:rsidRPr="007348FD" w:rsidRDefault="00095411" w:rsidP="00591CBB">
            <w:pPr>
              <w:spacing w:after="160" w:line="259" w:lineRule="auto"/>
              <w:rPr>
                <w:rFonts w:ascii="Arial Narrow" w:hAnsi="Arial Narrow"/>
                <w:sz w:val="18"/>
                <w:szCs w:val="18"/>
              </w:rPr>
            </w:pPr>
          </w:p>
        </w:tc>
        <w:tc>
          <w:tcPr>
            <w:tcW w:w="214" w:type="pct"/>
          </w:tcPr>
          <w:p w14:paraId="69BC1C7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709C9742" w14:textId="77777777" w:rsidR="00095411" w:rsidRPr="007348FD" w:rsidRDefault="00095411" w:rsidP="00591CBB">
            <w:pPr>
              <w:spacing w:after="160" w:line="259" w:lineRule="auto"/>
              <w:rPr>
                <w:rFonts w:ascii="Arial Narrow" w:hAnsi="Arial Narrow"/>
                <w:sz w:val="18"/>
                <w:szCs w:val="18"/>
              </w:rPr>
            </w:pPr>
          </w:p>
        </w:tc>
        <w:tc>
          <w:tcPr>
            <w:tcW w:w="280" w:type="pct"/>
          </w:tcPr>
          <w:p w14:paraId="422D7AC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4ACB8727"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5374EB51" w14:textId="77777777" w:rsidR="00095411" w:rsidRPr="007348FD" w:rsidRDefault="00095411" w:rsidP="00591CBB">
            <w:pPr>
              <w:spacing w:after="160" w:line="259" w:lineRule="auto"/>
              <w:rPr>
                <w:rFonts w:ascii="Arial Narrow" w:hAnsi="Arial Narrow"/>
                <w:sz w:val="18"/>
                <w:szCs w:val="18"/>
              </w:rPr>
            </w:pPr>
          </w:p>
        </w:tc>
        <w:tc>
          <w:tcPr>
            <w:tcW w:w="460" w:type="pct"/>
          </w:tcPr>
          <w:p w14:paraId="4774735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979C68B"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FC2989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5764A76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B761BD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6,000 </w:t>
            </w:r>
          </w:p>
        </w:tc>
        <w:tc>
          <w:tcPr>
            <w:cnfStyle w:val="000010000000" w:firstRow="0" w:lastRow="0" w:firstColumn="0" w:lastColumn="0" w:oddVBand="1" w:evenVBand="0" w:oddHBand="0" w:evenHBand="0" w:firstRowFirstColumn="0" w:firstRowLastColumn="0" w:lastRowFirstColumn="0" w:lastRowLastColumn="0"/>
            <w:tcW w:w="271" w:type="pct"/>
          </w:tcPr>
          <w:p w14:paraId="0D17CF2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7,200 </w:t>
            </w:r>
          </w:p>
        </w:tc>
        <w:tc>
          <w:tcPr>
            <w:tcW w:w="298" w:type="pct"/>
          </w:tcPr>
          <w:p w14:paraId="65727A7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8,400 </w:t>
            </w:r>
          </w:p>
        </w:tc>
        <w:tc>
          <w:tcPr>
            <w:cnfStyle w:val="000010000000" w:firstRow="0" w:lastRow="0" w:firstColumn="0" w:lastColumn="0" w:oddVBand="1" w:evenVBand="0" w:oddHBand="0" w:evenHBand="0" w:firstRowFirstColumn="0" w:firstRowLastColumn="0" w:lastRowFirstColumn="0" w:lastRowLastColumn="0"/>
            <w:tcW w:w="197" w:type="pct"/>
          </w:tcPr>
          <w:p w14:paraId="73D0C74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4,800 </w:t>
            </w:r>
          </w:p>
        </w:tc>
        <w:tc>
          <w:tcPr>
            <w:tcW w:w="273" w:type="pct"/>
          </w:tcPr>
          <w:p w14:paraId="2B7AA4E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20,400</w:t>
            </w:r>
          </w:p>
        </w:tc>
        <w:tc>
          <w:tcPr>
            <w:cnfStyle w:val="000010000000" w:firstRow="0" w:lastRow="0" w:firstColumn="0" w:lastColumn="0" w:oddVBand="1" w:evenVBand="0" w:oddHBand="0" w:evenHBand="0" w:firstRowFirstColumn="0" w:firstRowLastColumn="0" w:lastRowFirstColumn="0" w:lastRowLastColumn="0"/>
            <w:tcW w:w="285" w:type="pct"/>
          </w:tcPr>
          <w:p w14:paraId="1B15C462" w14:textId="77777777" w:rsidR="00095411" w:rsidRPr="007348FD" w:rsidRDefault="00095411" w:rsidP="00591CBB">
            <w:pPr>
              <w:spacing w:after="160" w:line="259" w:lineRule="auto"/>
              <w:rPr>
                <w:rFonts w:ascii="Arial Narrow" w:hAnsi="Arial Narrow"/>
                <w:sz w:val="18"/>
                <w:szCs w:val="18"/>
              </w:rPr>
            </w:pPr>
          </w:p>
        </w:tc>
        <w:tc>
          <w:tcPr>
            <w:tcW w:w="283" w:type="pct"/>
          </w:tcPr>
          <w:p w14:paraId="2D1BA47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88234CA" w14:textId="77777777" w:rsidR="00095411" w:rsidRPr="007348FD" w:rsidRDefault="00095411" w:rsidP="00591CBB">
            <w:pPr>
              <w:spacing w:after="160" w:line="259" w:lineRule="auto"/>
              <w:rPr>
                <w:rFonts w:ascii="Arial Narrow" w:hAnsi="Arial Narrow"/>
                <w:sz w:val="18"/>
                <w:szCs w:val="18"/>
              </w:rPr>
            </w:pPr>
          </w:p>
        </w:tc>
        <w:tc>
          <w:tcPr>
            <w:tcW w:w="149" w:type="pct"/>
          </w:tcPr>
          <w:p w14:paraId="562FFA0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996E34A" w14:textId="77777777" w:rsidR="00095411" w:rsidRPr="007348FD" w:rsidRDefault="00095411" w:rsidP="00591CBB">
            <w:pPr>
              <w:spacing w:after="160" w:line="259" w:lineRule="auto"/>
              <w:rPr>
                <w:rFonts w:ascii="Arial Narrow" w:hAnsi="Arial Narrow"/>
                <w:sz w:val="18"/>
                <w:szCs w:val="18"/>
              </w:rPr>
            </w:pPr>
          </w:p>
        </w:tc>
        <w:tc>
          <w:tcPr>
            <w:tcW w:w="214" w:type="pct"/>
          </w:tcPr>
          <w:p w14:paraId="7C9A491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9600</w:t>
            </w:r>
          </w:p>
        </w:tc>
        <w:tc>
          <w:tcPr>
            <w:cnfStyle w:val="000010000000" w:firstRow="0" w:lastRow="0" w:firstColumn="0" w:lastColumn="0" w:oddVBand="1" w:evenVBand="0" w:oddHBand="0" w:evenHBand="0" w:firstRowFirstColumn="0" w:firstRowLastColumn="0" w:lastRowFirstColumn="0" w:lastRowLastColumn="0"/>
            <w:tcW w:w="245" w:type="pct"/>
          </w:tcPr>
          <w:p w14:paraId="45F24AC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10800</w:t>
            </w:r>
          </w:p>
        </w:tc>
        <w:tc>
          <w:tcPr>
            <w:tcW w:w="280" w:type="pct"/>
          </w:tcPr>
          <w:p w14:paraId="48C52328" w14:textId="6241505B"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12000</w:t>
            </w:r>
          </w:p>
        </w:tc>
      </w:tr>
      <w:tr w:rsidR="00095411" w:rsidRPr="00591CBB" w14:paraId="606752FC"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7D0CBFB3" w14:textId="77777777" w:rsidR="00095411" w:rsidRPr="007348FD" w:rsidRDefault="00095411" w:rsidP="00591CBB">
            <w:pPr>
              <w:spacing w:after="160" w:line="259" w:lineRule="auto"/>
              <w:rPr>
                <w:rFonts w:ascii="Arial Narrow" w:hAnsi="Arial Narrow"/>
                <w:sz w:val="18"/>
                <w:szCs w:val="18"/>
              </w:rPr>
            </w:pPr>
          </w:p>
        </w:tc>
        <w:tc>
          <w:tcPr>
            <w:tcW w:w="460" w:type="pct"/>
          </w:tcPr>
          <w:p w14:paraId="6D2342B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CC451A8"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27D83C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7434685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1993BAA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6,000 </w:t>
            </w:r>
          </w:p>
        </w:tc>
        <w:tc>
          <w:tcPr>
            <w:cnfStyle w:val="000010000000" w:firstRow="0" w:lastRow="0" w:firstColumn="0" w:lastColumn="0" w:oddVBand="1" w:evenVBand="0" w:oddHBand="0" w:evenHBand="0" w:firstRowFirstColumn="0" w:firstRowLastColumn="0" w:lastRowFirstColumn="0" w:lastRowLastColumn="0"/>
            <w:tcW w:w="271" w:type="pct"/>
          </w:tcPr>
          <w:p w14:paraId="536C8BF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4,102 </w:t>
            </w:r>
          </w:p>
        </w:tc>
        <w:tc>
          <w:tcPr>
            <w:tcW w:w="298" w:type="pct"/>
          </w:tcPr>
          <w:p w14:paraId="06430AE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5,014 </w:t>
            </w:r>
          </w:p>
        </w:tc>
        <w:tc>
          <w:tcPr>
            <w:cnfStyle w:val="000010000000" w:firstRow="0" w:lastRow="0" w:firstColumn="0" w:lastColumn="0" w:oddVBand="1" w:evenVBand="0" w:oddHBand="0" w:evenHBand="0" w:firstRowFirstColumn="0" w:firstRowLastColumn="0" w:lastRowFirstColumn="0" w:lastRowLastColumn="0"/>
            <w:tcW w:w="197" w:type="pct"/>
          </w:tcPr>
          <w:p w14:paraId="550711C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1107</w:t>
            </w:r>
          </w:p>
        </w:tc>
        <w:tc>
          <w:tcPr>
            <w:tcW w:w="273" w:type="pct"/>
          </w:tcPr>
          <w:p w14:paraId="0B418D1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10,223</w:t>
            </w:r>
          </w:p>
        </w:tc>
        <w:tc>
          <w:tcPr>
            <w:cnfStyle w:val="000010000000" w:firstRow="0" w:lastRow="0" w:firstColumn="0" w:lastColumn="0" w:oddVBand="1" w:evenVBand="0" w:oddHBand="0" w:evenHBand="0" w:firstRowFirstColumn="0" w:firstRowLastColumn="0" w:lastRowFirstColumn="0" w:lastRowLastColumn="0"/>
            <w:tcW w:w="285" w:type="pct"/>
          </w:tcPr>
          <w:p w14:paraId="6CCE224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50%</w:t>
            </w:r>
          </w:p>
        </w:tc>
        <w:tc>
          <w:tcPr>
            <w:tcW w:w="283" w:type="pct"/>
          </w:tcPr>
          <w:p w14:paraId="3B064B8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B8D0B9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149" w:type="pct"/>
          </w:tcPr>
          <w:p w14:paraId="6D0319A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AFC7F60" w14:textId="77777777" w:rsidR="00095411" w:rsidRPr="007348FD" w:rsidRDefault="00095411" w:rsidP="00591CBB">
            <w:pPr>
              <w:spacing w:after="160" w:line="259" w:lineRule="auto"/>
              <w:rPr>
                <w:rFonts w:ascii="Arial Narrow" w:hAnsi="Arial Narrow"/>
                <w:sz w:val="18"/>
                <w:szCs w:val="18"/>
              </w:rPr>
            </w:pPr>
          </w:p>
        </w:tc>
        <w:tc>
          <w:tcPr>
            <w:tcW w:w="214" w:type="pct"/>
          </w:tcPr>
          <w:p w14:paraId="33AF600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1107</w:t>
            </w:r>
          </w:p>
        </w:tc>
        <w:tc>
          <w:tcPr>
            <w:cnfStyle w:val="000010000000" w:firstRow="0" w:lastRow="0" w:firstColumn="0" w:lastColumn="0" w:oddVBand="1" w:evenVBand="0" w:oddHBand="0" w:evenHBand="0" w:firstRowFirstColumn="0" w:firstRowLastColumn="0" w:lastRowFirstColumn="0" w:lastRowLastColumn="0"/>
            <w:tcW w:w="245" w:type="pct"/>
          </w:tcPr>
          <w:p w14:paraId="6A0340A2" w14:textId="77777777" w:rsidR="00095411" w:rsidRPr="007348FD" w:rsidRDefault="00095411" w:rsidP="00591CBB">
            <w:pPr>
              <w:spacing w:after="160" w:line="259" w:lineRule="auto"/>
              <w:rPr>
                <w:rFonts w:ascii="Arial Narrow" w:hAnsi="Arial Narrow"/>
                <w:sz w:val="18"/>
                <w:szCs w:val="18"/>
              </w:rPr>
            </w:pPr>
          </w:p>
        </w:tc>
        <w:tc>
          <w:tcPr>
            <w:tcW w:w="280" w:type="pct"/>
          </w:tcPr>
          <w:p w14:paraId="074CC51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4AE27A3A"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76E77193" w14:textId="77777777" w:rsidR="00095411" w:rsidRPr="007348FD" w:rsidRDefault="00095411" w:rsidP="00591CBB">
            <w:pPr>
              <w:spacing w:after="160" w:line="259" w:lineRule="auto"/>
              <w:rPr>
                <w:rFonts w:ascii="Arial Narrow" w:hAnsi="Arial Narrow"/>
                <w:sz w:val="18"/>
                <w:szCs w:val="18"/>
              </w:rPr>
            </w:pPr>
          </w:p>
        </w:tc>
        <w:tc>
          <w:tcPr>
            <w:tcW w:w="460" w:type="pct"/>
          </w:tcPr>
          <w:p w14:paraId="27FD010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01E11E3"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CA0F3D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15B7C97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6B98B5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26,942 </w:t>
            </w:r>
          </w:p>
        </w:tc>
        <w:tc>
          <w:tcPr>
            <w:cnfStyle w:val="000010000000" w:firstRow="0" w:lastRow="0" w:firstColumn="0" w:lastColumn="0" w:oddVBand="1" w:evenVBand="0" w:oddHBand="0" w:evenHBand="0" w:firstRowFirstColumn="0" w:firstRowLastColumn="0" w:lastRowFirstColumn="0" w:lastRowLastColumn="0"/>
            <w:tcW w:w="271" w:type="pct"/>
          </w:tcPr>
          <w:p w14:paraId="572354A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36,229 </w:t>
            </w:r>
          </w:p>
        </w:tc>
        <w:tc>
          <w:tcPr>
            <w:tcW w:w="298" w:type="pct"/>
          </w:tcPr>
          <w:p w14:paraId="017398E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45,516 </w:t>
            </w:r>
          </w:p>
        </w:tc>
        <w:tc>
          <w:tcPr>
            <w:cnfStyle w:val="000010000000" w:firstRow="0" w:lastRow="0" w:firstColumn="0" w:lastColumn="0" w:oddVBand="1" w:evenVBand="0" w:oddHBand="0" w:evenHBand="0" w:firstRowFirstColumn="0" w:firstRowLastColumn="0" w:lastRowFirstColumn="0" w:lastRowLastColumn="0"/>
            <w:tcW w:w="197" w:type="pct"/>
          </w:tcPr>
          <w:p w14:paraId="4ABCE680" w14:textId="77777777" w:rsidR="00095411" w:rsidRPr="007348FD" w:rsidRDefault="00095411" w:rsidP="00591CBB">
            <w:pPr>
              <w:spacing w:after="160" w:line="259" w:lineRule="auto"/>
              <w:rPr>
                <w:rFonts w:ascii="Arial Narrow" w:hAnsi="Arial Narrow"/>
                <w:sz w:val="18"/>
                <w:szCs w:val="18"/>
              </w:rPr>
            </w:pPr>
            <w:r>
              <w:rPr>
                <w:rFonts w:ascii="Arial Narrow" w:hAnsi="Arial Narrow"/>
                <w:sz w:val="18"/>
                <w:szCs w:val="18"/>
              </w:rPr>
              <w:t>27,402</w:t>
            </w:r>
          </w:p>
        </w:tc>
        <w:tc>
          <w:tcPr>
            <w:tcW w:w="273" w:type="pct"/>
          </w:tcPr>
          <w:p w14:paraId="4BE3928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478CB56" w14:textId="77777777" w:rsidR="00095411" w:rsidRPr="007348FD" w:rsidRDefault="00095411" w:rsidP="00591CBB">
            <w:pPr>
              <w:spacing w:after="160" w:line="259" w:lineRule="auto"/>
              <w:rPr>
                <w:rFonts w:ascii="Arial Narrow" w:hAnsi="Arial Narrow"/>
                <w:sz w:val="18"/>
                <w:szCs w:val="18"/>
              </w:rPr>
            </w:pPr>
          </w:p>
        </w:tc>
        <w:tc>
          <w:tcPr>
            <w:tcW w:w="283" w:type="pct"/>
          </w:tcPr>
          <w:p w14:paraId="591D85F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CA9724E" w14:textId="77777777" w:rsidR="00095411" w:rsidRPr="007348FD" w:rsidRDefault="00095411" w:rsidP="00591CBB">
            <w:pPr>
              <w:spacing w:after="160" w:line="259" w:lineRule="auto"/>
              <w:rPr>
                <w:rFonts w:ascii="Arial Narrow" w:hAnsi="Arial Narrow"/>
                <w:sz w:val="18"/>
                <w:szCs w:val="18"/>
              </w:rPr>
            </w:pPr>
          </w:p>
        </w:tc>
        <w:tc>
          <w:tcPr>
            <w:tcW w:w="149" w:type="pct"/>
          </w:tcPr>
          <w:p w14:paraId="6B92F3C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F9FD4AA" w14:textId="77777777" w:rsidR="00095411" w:rsidRPr="007348FD" w:rsidRDefault="00095411" w:rsidP="00591CBB">
            <w:pPr>
              <w:spacing w:after="160" w:line="259" w:lineRule="auto"/>
              <w:rPr>
                <w:rFonts w:ascii="Arial Narrow" w:hAnsi="Arial Narrow"/>
                <w:sz w:val="18"/>
                <w:szCs w:val="18"/>
              </w:rPr>
            </w:pPr>
          </w:p>
        </w:tc>
        <w:tc>
          <w:tcPr>
            <w:tcW w:w="214" w:type="pct"/>
          </w:tcPr>
          <w:p w14:paraId="31AE6BD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54803</w:t>
            </w:r>
          </w:p>
        </w:tc>
        <w:tc>
          <w:tcPr>
            <w:cnfStyle w:val="000010000000" w:firstRow="0" w:lastRow="0" w:firstColumn="0" w:lastColumn="0" w:oddVBand="1" w:evenVBand="0" w:oddHBand="0" w:evenHBand="0" w:firstRowFirstColumn="0" w:firstRowLastColumn="0" w:lastRowFirstColumn="0" w:lastRowLastColumn="0"/>
            <w:tcW w:w="245" w:type="pct"/>
          </w:tcPr>
          <w:p w14:paraId="0B6B776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64090</w:t>
            </w:r>
          </w:p>
        </w:tc>
        <w:tc>
          <w:tcPr>
            <w:tcW w:w="280" w:type="pct"/>
          </w:tcPr>
          <w:p w14:paraId="17F7DA60" w14:textId="43C988A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73377</w:t>
            </w:r>
          </w:p>
        </w:tc>
      </w:tr>
      <w:tr w:rsidR="00095411" w:rsidRPr="00591CBB" w14:paraId="222F129D"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6D77D770" w14:textId="77777777" w:rsidR="00095411" w:rsidRPr="007348FD" w:rsidRDefault="00095411" w:rsidP="00591CBB">
            <w:pPr>
              <w:spacing w:after="160" w:line="259" w:lineRule="auto"/>
              <w:rPr>
                <w:rFonts w:ascii="Arial Narrow" w:hAnsi="Arial Narrow"/>
                <w:sz w:val="18"/>
                <w:szCs w:val="18"/>
              </w:rPr>
            </w:pPr>
          </w:p>
        </w:tc>
        <w:tc>
          <w:tcPr>
            <w:tcW w:w="460" w:type="pct"/>
          </w:tcPr>
          <w:p w14:paraId="2990D1C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3CBD2DF"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D65953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2D1A67E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690FD0B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34,296 </w:t>
            </w:r>
          </w:p>
        </w:tc>
        <w:tc>
          <w:tcPr>
            <w:cnfStyle w:val="000010000000" w:firstRow="0" w:lastRow="0" w:firstColumn="0" w:lastColumn="0" w:oddVBand="1" w:evenVBand="0" w:oddHBand="0" w:evenHBand="0" w:firstRowFirstColumn="0" w:firstRowLastColumn="0" w:lastRowFirstColumn="0" w:lastRowLastColumn="0"/>
            <w:tcW w:w="271" w:type="pct"/>
          </w:tcPr>
          <w:p w14:paraId="1EC7F71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36,229 </w:t>
            </w:r>
          </w:p>
        </w:tc>
        <w:tc>
          <w:tcPr>
            <w:tcW w:w="298" w:type="pct"/>
          </w:tcPr>
          <w:p w14:paraId="785F270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36,113 </w:t>
            </w:r>
          </w:p>
        </w:tc>
        <w:tc>
          <w:tcPr>
            <w:cnfStyle w:val="000010000000" w:firstRow="0" w:lastRow="0" w:firstColumn="0" w:lastColumn="0" w:oddVBand="1" w:evenVBand="0" w:oddHBand="0" w:evenHBand="0" w:firstRowFirstColumn="0" w:firstRowLastColumn="0" w:lastRowFirstColumn="0" w:lastRowLastColumn="0"/>
            <w:tcW w:w="197" w:type="pct"/>
          </w:tcPr>
          <w:p w14:paraId="756983D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58213</w:t>
            </w:r>
          </w:p>
        </w:tc>
        <w:tc>
          <w:tcPr>
            <w:tcW w:w="273" w:type="pct"/>
          </w:tcPr>
          <w:p w14:paraId="6BF4E8B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D9175B3" w14:textId="77777777" w:rsidR="00095411" w:rsidRPr="007348FD" w:rsidRDefault="00095411" w:rsidP="00591CBB">
            <w:pPr>
              <w:spacing w:after="160" w:line="259" w:lineRule="auto"/>
              <w:rPr>
                <w:rFonts w:ascii="Arial Narrow" w:hAnsi="Arial Narrow"/>
                <w:sz w:val="18"/>
                <w:szCs w:val="18"/>
              </w:rPr>
            </w:pPr>
          </w:p>
        </w:tc>
        <w:tc>
          <w:tcPr>
            <w:tcW w:w="283" w:type="pct"/>
          </w:tcPr>
          <w:p w14:paraId="405D222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4FF5037F" w14:textId="77777777" w:rsidR="00095411" w:rsidRPr="007348FD" w:rsidRDefault="00095411" w:rsidP="00591CBB">
            <w:pPr>
              <w:spacing w:after="160" w:line="259" w:lineRule="auto"/>
              <w:rPr>
                <w:rFonts w:ascii="Arial Narrow" w:hAnsi="Arial Narrow"/>
                <w:sz w:val="18"/>
                <w:szCs w:val="18"/>
              </w:rPr>
            </w:pPr>
          </w:p>
        </w:tc>
        <w:tc>
          <w:tcPr>
            <w:tcW w:w="149" w:type="pct"/>
          </w:tcPr>
          <w:p w14:paraId="0593EF3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74DB14F" w14:textId="77777777" w:rsidR="00095411" w:rsidRPr="007348FD" w:rsidRDefault="00095411" w:rsidP="00591CBB">
            <w:pPr>
              <w:spacing w:after="160" w:line="259" w:lineRule="auto"/>
              <w:rPr>
                <w:rFonts w:ascii="Arial Narrow" w:hAnsi="Arial Narrow"/>
                <w:sz w:val="18"/>
                <w:szCs w:val="18"/>
              </w:rPr>
            </w:pPr>
          </w:p>
        </w:tc>
        <w:tc>
          <w:tcPr>
            <w:tcW w:w="214" w:type="pct"/>
          </w:tcPr>
          <w:p w14:paraId="1A97D56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58213</w:t>
            </w:r>
          </w:p>
        </w:tc>
        <w:tc>
          <w:tcPr>
            <w:cnfStyle w:val="000010000000" w:firstRow="0" w:lastRow="0" w:firstColumn="0" w:lastColumn="0" w:oddVBand="1" w:evenVBand="0" w:oddHBand="0" w:evenHBand="0" w:firstRowFirstColumn="0" w:firstRowLastColumn="0" w:lastRowFirstColumn="0" w:lastRowLastColumn="0"/>
            <w:tcW w:w="245" w:type="pct"/>
          </w:tcPr>
          <w:p w14:paraId="4DE1AE1F" w14:textId="77777777" w:rsidR="00095411" w:rsidRPr="007348FD" w:rsidRDefault="00095411" w:rsidP="00591CBB">
            <w:pPr>
              <w:spacing w:after="160" w:line="259" w:lineRule="auto"/>
              <w:rPr>
                <w:rFonts w:ascii="Arial Narrow" w:hAnsi="Arial Narrow"/>
                <w:sz w:val="18"/>
                <w:szCs w:val="18"/>
              </w:rPr>
            </w:pPr>
          </w:p>
        </w:tc>
        <w:tc>
          <w:tcPr>
            <w:tcW w:w="280" w:type="pct"/>
          </w:tcPr>
          <w:p w14:paraId="6EFA9CC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18C797E5"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02E9E496" w14:textId="77777777" w:rsidR="00095411" w:rsidRPr="007348FD" w:rsidRDefault="00095411" w:rsidP="00591CBB">
            <w:pPr>
              <w:spacing w:after="160" w:line="259" w:lineRule="auto"/>
              <w:rPr>
                <w:rFonts w:ascii="Arial Narrow" w:hAnsi="Arial Narrow"/>
                <w:sz w:val="18"/>
                <w:szCs w:val="18"/>
              </w:rPr>
            </w:pPr>
          </w:p>
        </w:tc>
        <w:tc>
          <w:tcPr>
            <w:tcW w:w="460" w:type="pct"/>
          </w:tcPr>
          <w:p w14:paraId="61F2EFE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FEA97F0"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5D397F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4178FCE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5989EEA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2,540 </w:t>
            </w:r>
          </w:p>
        </w:tc>
        <w:tc>
          <w:tcPr>
            <w:cnfStyle w:val="000010000000" w:firstRow="0" w:lastRow="0" w:firstColumn="0" w:lastColumn="0" w:oddVBand="1" w:evenVBand="0" w:oddHBand="0" w:evenHBand="0" w:firstRowFirstColumn="0" w:firstRowLastColumn="0" w:lastRowFirstColumn="0" w:lastRowLastColumn="0"/>
            <w:tcW w:w="271" w:type="pct"/>
          </w:tcPr>
          <w:p w14:paraId="1B96196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2,939 </w:t>
            </w:r>
          </w:p>
        </w:tc>
        <w:tc>
          <w:tcPr>
            <w:tcW w:w="298" w:type="pct"/>
          </w:tcPr>
          <w:p w14:paraId="68591A8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3,338 </w:t>
            </w:r>
          </w:p>
        </w:tc>
        <w:tc>
          <w:tcPr>
            <w:cnfStyle w:val="000010000000" w:firstRow="0" w:lastRow="0" w:firstColumn="0" w:lastColumn="0" w:oddVBand="1" w:evenVBand="0" w:oddHBand="0" w:evenHBand="0" w:firstRowFirstColumn="0" w:firstRowLastColumn="0" w:lastRowFirstColumn="0" w:lastRowLastColumn="0"/>
            <w:tcW w:w="197" w:type="pct"/>
          </w:tcPr>
          <w:p w14:paraId="3D5B508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1,869 </w:t>
            </w:r>
          </w:p>
        </w:tc>
        <w:tc>
          <w:tcPr>
            <w:tcW w:w="273" w:type="pct"/>
          </w:tcPr>
          <w:p w14:paraId="732E5B8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8,146 </w:t>
            </w:r>
          </w:p>
        </w:tc>
        <w:tc>
          <w:tcPr>
            <w:cnfStyle w:val="000010000000" w:firstRow="0" w:lastRow="0" w:firstColumn="0" w:lastColumn="0" w:oddVBand="1" w:evenVBand="0" w:oddHBand="0" w:evenHBand="0" w:firstRowFirstColumn="0" w:firstRowLastColumn="0" w:lastRowFirstColumn="0" w:lastRowLastColumn="0"/>
            <w:tcW w:w="285" w:type="pct"/>
          </w:tcPr>
          <w:p w14:paraId="547A6B96" w14:textId="77777777" w:rsidR="00095411" w:rsidRPr="007348FD" w:rsidRDefault="00095411" w:rsidP="00591CBB">
            <w:pPr>
              <w:spacing w:after="160" w:line="259" w:lineRule="auto"/>
              <w:rPr>
                <w:rFonts w:ascii="Arial Narrow" w:hAnsi="Arial Narrow"/>
                <w:sz w:val="18"/>
                <w:szCs w:val="18"/>
              </w:rPr>
            </w:pPr>
          </w:p>
        </w:tc>
        <w:tc>
          <w:tcPr>
            <w:tcW w:w="283" w:type="pct"/>
          </w:tcPr>
          <w:p w14:paraId="777E4B0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3106CAF" w14:textId="77777777" w:rsidR="00095411" w:rsidRPr="007348FD" w:rsidRDefault="00095411" w:rsidP="00591CBB">
            <w:pPr>
              <w:spacing w:after="160" w:line="259" w:lineRule="auto"/>
              <w:rPr>
                <w:rFonts w:ascii="Arial Narrow" w:hAnsi="Arial Narrow"/>
                <w:sz w:val="18"/>
                <w:szCs w:val="18"/>
              </w:rPr>
            </w:pPr>
          </w:p>
        </w:tc>
        <w:tc>
          <w:tcPr>
            <w:tcW w:w="149" w:type="pct"/>
          </w:tcPr>
          <w:p w14:paraId="6826513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1066414" w14:textId="77777777" w:rsidR="00095411" w:rsidRPr="007348FD" w:rsidRDefault="00095411" w:rsidP="00591CBB">
            <w:pPr>
              <w:spacing w:after="160" w:line="259" w:lineRule="auto"/>
              <w:rPr>
                <w:rFonts w:ascii="Arial Narrow" w:hAnsi="Arial Narrow"/>
                <w:sz w:val="18"/>
                <w:szCs w:val="18"/>
              </w:rPr>
            </w:pPr>
          </w:p>
        </w:tc>
        <w:tc>
          <w:tcPr>
            <w:tcW w:w="214" w:type="pct"/>
          </w:tcPr>
          <w:p w14:paraId="0D3A167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3737</w:t>
            </w:r>
          </w:p>
        </w:tc>
        <w:tc>
          <w:tcPr>
            <w:cnfStyle w:val="000010000000" w:firstRow="0" w:lastRow="0" w:firstColumn="0" w:lastColumn="0" w:oddVBand="1" w:evenVBand="0" w:oddHBand="0" w:evenHBand="0" w:firstRowFirstColumn="0" w:firstRowLastColumn="0" w:lastRowFirstColumn="0" w:lastRowLastColumn="0"/>
            <w:tcW w:w="245" w:type="pct"/>
          </w:tcPr>
          <w:p w14:paraId="087D1D8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4136</w:t>
            </w:r>
          </w:p>
        </w:tc>
        <w:tc>
          <w:tcPr>
            <w:tcW w:w="280" w:type="pct"/>
          </w:tcPr>
          <w:p w14:paraId="426DFD95" w14:textId="5C983D4F"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4535</w:t>
            </w:r>
          </w:p>
        </w:tc>
      </w:tr>
      <w:tr w:rsidR="00095411" w:rsidRPr="00591CBB" w14:paraId="43DED577"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3C1AED4E" w14:textId="77777777" w:rsidR="00095411" w:rsidRPr="007348FD" w:rsidRDefault="00095411" w:rsidP="00591CBB">
            <w:pPr>
              <w:spacing w:after="160" w:line="259" w:lineRule="auto"/>
              <w:rPr>
                <w:rFonts w:ascii="Arial Narrow" w:hAnsi="Arial Narrow"/>
                <w:sz w:val="18"/>
                <w:szCs w:val="18"/>
              </w:rPr>
            </w:pPr>
          </w:p>
        </w:tc>
        <w:tc>
          <w:tcPr>
            <w:tcW w:w="460" w:type="pct"/>
          </w:tcPr>
          <w:p w14:paraId="700E9D4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BB3B13C"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7A336E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0B7EB36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16B5750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4,594 </w:t>
            </w:r>
          </w:p>
        </w:tc>
        <w:tc>
          <w:tcPr>
            <w:cnfStyle w:val="000010000000" w:firstRow="0" w:lastRow="0" w:firstColumn="0" w:lastColumn="0" w:oddVBand="1" w:evenVBand="0" w:oddHBand="0" w:evenHBand="0" w:firstRowFirstColumn="0" w:firstRowLastColumn="0" w:lastRowFirstColumn="0" w:lastRowLastColumn="0"/>
            <w:tcW w:w="271" w:type="pct"/>
          </w:tcPr>
          <w:p w14:paraId="4A58262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4,238 </w:t>
            </w:r>
          </w:p>
        </w:tc>
        <w:tc>
          <w:tcPr>
            <w:tcW w:w="298" w:type="pct"/>
          </w:tcPr>
          <w:p w14:paraId="32BC630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2,649 </w:t>
            </w:r>
          </w:p>
        </w:tc>
        <w:tc>
          <w:tcPr>
            <w:cnfStyle w:val="000010000000" w:firstRow="0" w:lastRow="0" w:firstColumn="0" w:lastColumn="0" w:oddVBand="1" w:evenVBand="0" w:oddHBand="0" w:evenHBand="0" w:firstRowFirstColumn="0" w:firstRowLastColumn="0" w:lastRowFirstColumn="0" w:lastRowLastColumn="0"/>
            <w:tcW w:w="197" w:type="pct"/>
          </w:tcPr>
          <w:p w14:paraId="002F3074" w14:textId="77777777" w:rsidR="00095411" w:rsidRPr="007348FD" w:rsidRDefault="00095411" w:rsidP="00591CBB">
            <w:pPr>
              <w:spacing w:after="160" w:line="259" w:lineRule="auto"/>
              <w:rPr>
                <w:rFonts w:ascii="Arial Narrow" w:hAnsi="Arial Narrow"/>
                <w:sz w:val="18"/>
                <w:szCs w:val="18"/>
              </w:rPr>
            </w:pPr>
          </w:p>
        </w:tc>
        <w:tc>
          <w:tcPr>
            <w:tcW w:w="273" w:type="pct"/>
          </w:tcPr>
          <w:p w14:paraId="2D6274C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6,887 </w:t>
            </w:r>
          </w:p>
        </w:tc>
        <w:tc>
          <w:tcPr>
            <w:cnfStyle w:val="000010000000" w:firstRow="0" w:lastRow="0" w:firstColumn="0" w:lastColumn="0" w:oddVBand="1" w:evenVBand="0" w:oddHBand="0" w:evenHBand="0" w:firstRowFirstColumn="0" w:firstRowLastColumn="0" w:lastRowFirstColumn="0" w:lastRowLastColumn="0"/>
            <w:tcW w:w="285" w:type="pct"/>
          </w:tcPr>
          <w:p w14:paraId="35260D2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85%</w:t>
            </w:r>
          </w:p>
        </w:tc>
        <w:tc>
          <w:tcPr>
            <w:tcW w:w="283" w:type="pct"/>
          </w:tcPr>
          <w:p w14:paraId="0FD418E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56CCB13B" w14:textId="77777777" w:rsidR="00095411" w:rsidRPr="007348FD" w:rsidRDefault="00095411" w:rsidP="00591CBB">
            <w:pPr>
              <w:spacing w:after="160" w:line="259" w:lineRule="auto"/>
              <w:rPr>
                <w:rFonts w:ascii="Arial Narrow" w:hAnsi="Arial Narrow"/>
                <w:sz w:val="18"/>
                <w:szCs w:val="18"/>
              </w:rPr>
            </w:pPr>
          </w:p>
        </w:tc>
        <w:tc>
          <w:tcPr>
            <w:tcW w:w="149" w:type="pct"/>
          </w:tcPr>
          <w:p w14:paraId="05B817A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2710944" w14:textId="77777777" w:rsidR="00095411" w:rsidRPr="007348FD" w:rsidRDefault="00095411" w:rsidP="00591CBB">
            <w:pPr>
              <w:spacing w:after="160" w:line="259" w:lineRule="auto"/>
              <w:rPr>
                <w:rFonts w:ascii="Arial Narrow" w:hAnsi="Arial Narrow"/>
                <w:sz w:val="18"/>
                <w:szCs w:val="18"/>
              </w:rPr>
            </w:pPr>
          </w:p>
        </w:tc>
        <w:tc>
          <w:tcPr>
            <w:tcW w:w="214" w:type="pct"/>
          </w:tcPr>
          <w:p w14:paraId="457D18C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6B2C17B5" w14:textId="77777777" w:rsidR="00095411" w:rsidRPr="007348FD" w:rsidRDefault="00095411" w:rsidP="00591CBB">
            <w:pPr>
              <w:spacing w:after="160" w:line="259" w:lineRule="auto"/>
              <w:rPr>
                <w:rFonts w:ascii="Arial Narrow" w:hAnsi="Arial Narrow"/>
                <w:sz w:val="18"/>
                <w:szCs w:val="18"/>
              </w:rPr>
            </w:pPr>
          </w:p>
        </w:tc>
        <w:tc>
          <w:tcPr>
            <w:tcW w:w="280" w:type="pct"/>
          </w:tcPr>
          <w:p w14:paraId="4CB831B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6E35024C"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56B00DBF" w14:textId="77777777" w:rsidR="00095411" w:rsidRPr="007348FD" w:rsidRDefault="00095411" w:rsidP="00591CBB">
            <w:pPr>
              <w:spacing w:after="160" w:line="259" w:lineRule="auto"/>
              <w:rPr>
                <w:rFonts w:ascii="Arial Narrow" w:hAnsi="Arial Narrow"/>
                <w:sz w:val="18"/>
                <w:szCs w:val="18"/>
              </w:rPr>
            </w:pPr>
          </w:p>
        </w:tc>
        <w:tc>
          <w:tcPr>
            <w:tcW w:w="460" w:type="pct"/>
          </w:tcPr>
          <w:p w14:paraId="3B0C383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ED5A26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4C3E5A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2A4E96F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401F39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17,335 </w:t>
            </w:r>
          </w:p>
        </w:tc>
        <w:tc>
          <w:tcPr>
            <w:cnfStyle w:val="000010000000" w:firstRow="0" w:lastRow="0" w:firstColumn="0" w:lastColumn="0" w:oddVBand="1" w:evenVBand="0" w:oddHBand="0" w:evenHBand="0" w:firstRowFirstColumn="0" w:firstRowLastColumn="0" w:lastRowFirstColumn="0" w:lastRowLastColumn="0"/>
            <w:tcW w:w="271" w:type="pct"/>
          </w:tcPr>
          <w:p w14:paraId="79E9F53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20,802 </w:t>
            </w:r>
          </w:p>
        </w:tc>
        <w:tc>
          <w:tcPr>
            <w:tcW w:w="298" w:type="pct"/>
          </w:tcPr>
          <w:p w14:paraId="1F711C4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24,269 </w:t>
            </w:r>
          </w:p>
        </w:tc>
        <w:tc>
          <w:tcPr>
            <w:cnfStyle w:val="000010000000" w:firstRow="0" w:lastRow="0" w:firstColumn="0" w:lastColumn="0" w:oddVBand="1" w:evenVBand="0" w:oddHBand="0" w:evenHBand="0" w:firstRowFirstColumn="0" w:firstRowLastColumn="0" w:lastRowFirstColumn="0" w:lastRowLastColumn="0"/>
            <w:tcW w:w="197" w:type="pct"/>
          </w:tcPr>
          <w:p w14:paraId="51563C16" w14:textId="77777777" w:rsidR="00095411" w:rsidRPr="007348FD" w:rsidRDefault="00095411" w:rsidP="00591CBB">
            <w:pPr>
              <w:spacing w:after="160" w:line="259" w:lineRule="auto"/>
              <w:rPr>
                <w:rFonts w:ascii="Arial Narrow" w:hAnsi="Arial Narrow"/>
                <w:sz w:val="18"/>
                <w:szCs w:val="18"/>
              </w:rPr>
            </w:pPr>
            <w:r>
              <w:rPr>
                <w:rFonts w:ascii="Arial Narrow" w:hAnsi="Arial Narrow"/>
                <w:sz w:val="18"/>
                <w:szCs w:val="18"/>
              </w:rPr>
              <w:t>13,863</w:t>
            </w:r>
          </w:p>
        </w:tc>
        <w:tc>
          <w:tcPr>
            <w:tcW w:w="273" w:type="pct"/>
          </w:tcPr>
          <w:p w14:paraId="744BFA9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58,934</w:t>
            </w:r>
          </w:p>
        </w:tc>
        <w:tc>
          <w:tcPr>
            <w:cnfStyle w:val="000010000000" w:firstRow="0" w:lastRow="0" w:firstColumn="0" w:lastColumn="0" w:oddVBand="1" w:evenVBand="0" w:oddHBand="0" w:evenHBand="0" w:firstRowFirstColumn="0" w:firstRowLastColumn="0" w:lastRowFirstColumn="0" w:lastRowLastColumn="0"/>
            <w:tcW w:w="285" w:type="pct"/>
          </w:tcPr>
          <w:p w14:paraId="21D99AEC" w14:textId="77777777" w:rsidR="00095411" w:rsidRPr="007348FD" w:rsidRDefault="00095411" w:rsidP="00591CBB">
            <w:pPr>
              <w:spacing w:after="160" w:line="259" w:lineRule="auto"/>
              <w:rPr>
                <w:rFonts w:ascii="Arial Narrow" w:hAnsi="Arial Narrow"/>
                <w:sz w:val="18"/>
                <w:szCs w:val="18"/>
              </w:rPr>
            </w:pPr>
          </w:p>
        </w:tc>
        <w:tc>
          <w:tcPr>
            <w:tcW w:w="283" w:type="pct"/>
          </w:tcPr>
          <w:p w14:paraId="3419136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109E45B" w14:textId="77777777" w:rsidR="00095411" w:rsidRPr="007348FD" w:rsidRDefault="00095411" w:rsidP="00591CBB">
            <w:pPr>
              <w:spacing w:after="160" w:line="259" w:lineRule="auto"/>
              <w:rPr>
                <w:rFonts w:ascii="Arial Narrow" w:hAnsi="Arial Narrow"/>
                <w:sz w:val="18"/>
                <w:szCs w:val="18"/>
              </w:rPr>
            </w:pPr>
          </w:p>
        </w:tc>
        <w:tc>
          <w:tcPr>
            <w:tcW w:w="149" w:type="pct"/>
          </w:tcPr>
          <w:p w14:paraId="338A48A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B122773" w14:textId="77777777" w:rsidR="00095411" w:rsidRPr="007348FD" w:rsidRDefault="00095411" w:rsidP="00591CBB">
            <w:pPr>
              <w:spacing w:after="160" w:line="259" w:lineRule="auto"/>
              <w:rPr>
                <w:rFonts w:ascii="Arial Narrow" w:hAnsi="Arial Narrow"/>
                <w:sz w:val="18"/>
                <w:szCs w:val="18"/>
              </w:rPr>
            </w:pPr>
          </w:p>
        </w:tc>
        <w:tc>
          <w:tcPr>
            <w:tcW w:w="214" w:type="pct"/>
          </w:tcPr>
          <w:p w14:paraId="62805F7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27726</w:t>
            </w:r>
          </w:p>
        </w:tc>
        <w:tc>
          <w:tcPr>
            <w:cnfStyle w:val="000010000000" w:firstRow="0" w:lastRow="0" w:firstColumn="0" w:lastColumn="0" w:oddVBand="1" w:evenVBand="0" w:oddHBand="0" w:evenHBand="0" w:firstRowFirstColumn="0" w:firstRowLastColumn="0" w:lastRowFirstColumn="0" w:lastRowLastColumn="0"/>
            <w:tcW w:w="245" w:type="pct"/>
          </w:tcPr>
          <w:p w14:paraId="71DC09C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31203</w:t>
            </w:r>
          </w:p>
        </w:tc>
        <w:tc>
          <w:tcPr>
            <w:tcW w:w="280" w:type="pct"/>
          </w:tcPr>
          <w:p w14:paraId="179F78EF" w14:textId="2807F8B5"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34670</w:t>
            </w:r>
          </w:p>
        </w:tc>
      </w:tr>
      <w:tr w:rsidR="00095411" w:rsidRPr="00591CBB" w14:paraId="32D14774" w14:textId="77777777" w:rsidTr="00051F27">
        <w:trPr>
          <w:cnfStyle w:val="000000100000" w:firstRow="0" w:lastRow="0" w:firstColumn="0" w:lastColumn="0" w:oddVBand="0" w:evenVBand="0" w:oddHBand="1" w:evenHBand="0" w:firstRowFirstColumn="0" w:firstRowLastColumn="0" w:lastRowFirstColumn="0" w:lastRowLastColumn="0"/>
          <w:trHeight w:val="449"/>
        </w:trPr>
        <w:tc>
          <w:tcPr>
            <w:cnfStyle w:val="000010000000" w:firstRow="0" w:lastRow="0" w:firstColumn="0" w:lastColumn="0" w:oddVBand="1" w:evenVBand="0" w:oddHBand="0" w:evenHBand="0" w:firstRowFirstColumn="0" w:firstRowLastColumn="0" w:lastRowFirstColumn="0" w:lastRowLastColumn="0"/>
            <w:tcW w:w="432" w:type="pct"/>
          </w:tcPr>
          <w:p w14:paraId="02A61D97" w14:textId="77777777" w:rsidR="00095411" w:rsidRPr="007348FD" w:rsidRDefault="00095411" w:rsidP="00591CBB">
            <w:pPr>
              <w:spacing w:after="160" w:line="259" w:lineRule="auto"/>
              <w:rPr>
                <w:rFonts w:ascii="Arial Narrow" w:hAnsi="Arial Narrow"/>
                <w:sz w:val="18"/>
                <w:szCs w:val="18"/>
              </w:rPr>
            </w:pPr>
          </w:p>
        </w:tc>
        <w:tc>
          <w:tcPr>
            <w:tcW w:w="460" w:type="pct"/>
          </w:tcPr>
          <w:p w14:paraId="39C9E69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1A1478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341770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18147B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47A8825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17,335 </w:t>
            </w:r>
          </w:p>
        </w:tc>
        <w:tc>
          <w:tcPr>
            <w:cnfStyle w:val="000010000000" w:firstRow="0" w:lastRow="0" w:firstColumn="0" w:lastColumn="0" w:oddVBand="1" w:evenVBand="0" w:oddHBand="0" w:evenHBand="0" w:firstRowFirstColumn="0" w:firstRowLastColumn="0" w:lastRowFirstColumn="0" w:lastRowLastColumn="0"/>
            <w:tcW w:w="271" w:type="pct"/>
          </w:tcPr>
          <w:p w14:paraId="269DBF3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13,339 </w:t>
            </w:r>
          </w:p>
        </w:tc>
        <w:tc>
          <w:tcPr>
            <w:tcW w:w="298" w:type="pct"/>
          </w:tcPr>
          <w:p w14:paraId="0CBD78E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20,108 </w:t>
            </w:r>
          </w:p>
        </w:tc>
        <w:tc>
          <w:tcPr>
            <w:cnfStyle w:val="000010000000" w:firstRow="0" w:lastRow="0" w:firstColumn="0" w:lastColumn="0" w:oddVBand="1" w:evenVBand="0" w:oddHBand="0" w:evenHBand="0" w:firstRowFirstColumn="0" w:firstRowLastColumn="0" w:lastRowFirstColumn="0" w:lastRowLastColumn="0"/>
            <w:tcW w:w="197" w:type="pct"/>
          </w:tcPr>
          <w:p w14:paraId="5BD2DF52" w14:textId="77777777" w:rsidR="00095411" w:rsidRPr="007348FD" w:rsidRDefault="00095411" w:rsidP="00591CBB">
            <w:pPr>
              <w:spacing w:after="160" w:line="259" w:lineRule="auto"/>
              <w:rPr>
                <w:rFonts w:ascii="Arial Narrow" w:hAnsi="Arial Narrow"/>
                <w:sz w:val="18"/>
                <w:szCs w:val="18"/>
              </w:rPr>
            </w:pPr>
          </w:p>
        </w:tc>
        <w:tc>
          <w:tcPr>
            <w:tcW w:w="273" w:type="pct"/>
          </w:tcPr>
          <w:p w14:paraId="43CE449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33,447</w:t>
            </w:r>
          </w:p>
        </w:tc>
        <w:tc>
          <w:tcPr>
            <w:cnfStyle w:val="000010000000" w:firstRow="0" w:lastRow="0" w:firstColumn="0" w:lastColumn="0" w:oddVBand="1" w:evenVBand="0" w:oddHBand="0" w:evenHBand="0" w:firstRowFirstColumn="0" w:firstRowLastColumn="0" w:lastRowFirstColumn="0" w:lastRowLastColumn="0"/>
            <w:tcW w:w="285" w:type="pct"/>
          </w:tcPr>
          <w:p w14:paraId="5B2A8C6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57%</w:t>
            </w:r>
          </w:p>
        </w:tc>
        <w:tc>
          <w:tcPr>
            <w:tcW w:w="283" w:type="pct"/>
          </w:tcPr>
          <w:p w14:paraId="0A5A328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15215D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149" w:type="pct"/>
          </w:tcPr>
          <w:p w14:paraId="051D22B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9CA7EA2" w14:textId="77777777" w:rsidR="00095411" w:rsidRPr="007348FD" w:rsidRDefault="00095411" w:rsidP="00591CBB">
            <w:pPr>
              <w:spacing w:after="160" w:line="259" w:lineRule="auto"/>
              <w:rPr>
                <w:rFonts w:ascii="Arial Narrow" w:hAnsi="Arial Narrow"/>
                <w:sz w:val="18"/>
                <w:szCs w:val="18"/>
              </w:rPr>
            </w:pPr>
          </w:p>
        </w:tc>
        <w:tc>
          <w:tcPr>
            <w:tcW w:w="214" w:type="pct"/>
          </w:tcPr>
          <w:p w14:paraId="7868DBB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69C338DA" w14:textId="77777777" w:rsidR="00095411" w:rsidRPr="007348FD" w:rsidRDefault="00095411" w:rsidP="00591CBB">
            <w:pPr>
              <w:spacing w:after="160" w:line="259" w:lineRule="auto"/>
              <w:rPr>
                <w:rFonts w:ascii="Arial Narrow" w:hAnsi="Arial Narrow"/>
                <w:sz w:val="18"/>
                <w:szCs w:val="18"/>
              </w:rPr>
            </w:pPr>
          </w:p>
        </w:tc>
        <w:tc>
          <w:tcPr>
            <w:tcW w:w="280" w:type="pct"/>
          </w:tcPr>
          <w:p w14:paraId="02A6FEE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3F6AE6F0"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21AF0855" w14:textId="77777777" w:rsidR="00095411" w:rsidRPr="007348FD" w:rsidRDefault="00095411" w:rsidP="00591CBB">
            <w:pPr>
              <w:spacing w:after="160" w:line="259" w:lineRule="auto"/>
              <w:rPr>
                <w:rFonts w:ascii="Arial Narrow" w:hAnsi="Arial Narrow"/>
                <w:sz w:val="18"/>
                <w:szCs w:val="18"/>
              </w:rPr>
            </w:pPr>
          </w:p>
        </w:tc>
        <w:tc>
          <w:tcPr>
            <w:tcW w:w="460" w:type="pct"/>
          </w:tcPr>
          <w:p w14:paraId="52DF660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sz w:val="18"/>
                <w:szCs w:val="18"/>
              </w:rPr>
              <w:t xml:space="preserve">6. Number of new acceptors of modern methods of contraception by age  </w:t>
            </w:r>
            <w:r w:rsidRPr="007348FD">
              <w:rPr>
                <w:rFonts w:ascii="Arial Narrow" w:hAnsi="Arial Narrow"/>
                <w:b/>
                <w:bCs/>
                <w:sz w:val="18"/>
                <w:szCs w:val="18"/>
              </w:rPr>
              <w:t xml:space="preserve">  [UNFPA Supplies Indicator 2a-Proxy Indicator]</w:t>
            </w:r>
          </w:p>
        </w:tc>
        <w:tc>
          <w:tcPr>
            <w:cnfStyle w:val="000010000000" w:firstRow="0" w:lastRow="0" w:firstColumn="0" w:lastColumn="0" w:oddVBand="1" w:evenVBand="0" w:oddHBand="0" w:evenHBand="0" w:firstRowFirstColumn="0" w:firstRowLastColumn="0" w:lastRowFirstColumn="0" w:lastRowLastColumn="0"/>
            <w:tcW w:w="371" w:type="pct"/>
          </w:tcPr>
          <w:p w14:paraId="5F5A0520"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t>ö</w:t>
            </w:r>
          </w:p>
        </w:tc>
        <w:tc>
          <w:tcPr>
            <w:tcW w:w="341" w:type="pct"/>
          </w:tcPr>
          <w:p w14:paraId="1B83986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63D51A8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27AAA52" w14:textId="18C54AD9"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56E4CBC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4528</w:t>
            </w:r>
          </w:p>
        </w:tc>
        <w:tc>
          <w:tcPr>
            <w:tcW w:w="298" w:type="pct"/>
          </w:tcPr>
          <w:p w14:paraId="226A6FC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4549</w:t>
            </w:r>
          </w:p>
        </w:tc>
        <w:tc>
          <w:tcPr>
            <w:cnfStyle w:val="000010000000" w:firstRow="0" w:lastRow="0" w:firstColumn="0" w:lastColumn="0" w:oddVBand="1" w:evenVBand="0" w:oddHBand="0" w:evenHBand="0" w:firstRowFirstColumn="0" w:firstRowLastColumn="0" w:lastRowFirstColumn="0" w:lastRowLastColumn="0"/>
            <w:tcW w:w="197" w:type="pct"/>
          </w:tcPr>
          <w:p w14:paraId="684F010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2288</w:t>
            </w:r>
          </w:p>
        </w:tc>
        <w:tc>
          <w:tcPr>
            <w:tcW w:w="273" w:type="pct"/>
          </w:tcPr>
          <w:p w14:paraId="39E669C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11365</w:t>
            </w:r>
          </w:p>
        </w:tc>
        <w:tc>
          <w:tcPr>
            <w:cnfStyle w:val="000010000000" w:firstRow="0" w:lastRow="0" w:firstColumn="0" w:lastColumn="0" w:oddVBand="1" w:evenVBand="0" w:oddHBand="0" w:evenHBand="0" w:firstRowFirstColumn="0" w:firstRowLastColumn="0" w:lastRowFirstColumn="0" w:lastRowLastColumn="0"/>
            <w:tcW w:w="285" w:type="pct"/>
          </w:tcPr>
          <w:p w14:paraId="57754FD6" w14:textId="77777777" w:rsidR="00095411" w:rsidRPr="007348FD" w:rsidRDefault="00095411" w:rsidP="00591CBB">
            <w:pPr>
              <w:spacing w:after="160" w:line="259" w:lineRule="auto"/>
              <w:rPr>
                <w:rFonts w:ascii="Arial Narrow" w:hAnsi="Arial Narrow"/>
                <w:sz w:val="18"/>
                <w:szCs w:val="18"/>
              </w:rPr>
            </w:pPr>
          </w:p>
        </w:tc>
        <w:tc>
          <w:tcPr>
            <w:tcW w:w="283" w:type="pct"/>
          </w:tcPr>
          <w:p w14:paraId="4A849C5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C6E4FAE" w14:textId="77777777" w:rsidR="00095411" w:rsidRPr="007348FD" w:rsidRDefault="00095411" w:rsidP="00591CBB">
            <w:pPr>
              <w:spacing w:after="160" w:line="259" w:lineRule="auto"/>
              <w:rPr>
                <w:rFonts w:ascii="Arial Narrow" w:hAnsi="Arial Narrow"/>
                <w:sz w:val="18"/>
                <w:szCs w:val="18"/>
              </w:rPr>
            </w:pPr>
          </w:p>
        </w:tc>
        <w:tc>
          <w:tcPr>
            <w:tcW w:w="149" w:type="pct"/>
          </w:tcPr>
          <w:p w14:paraId="0EF3A82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486566E" w14:textId="77777777" w:rsidR="00095411" w:rsidRPr="007348FD" w:rsidRDefault="00095411" w:rsidP="00591CBB">
            <w:pPr>
              <w:spacing w:after="160" w:line="259" w:lineRule="auto"/>
              <w:rPr>
                <w:rFonts w:ascii="Arial Narrow" w:hAnsi="Arial Narrow"/>
                <w:sz w:val="18"/>
                <w:szCs w:val="18"/>
              </w:rPr>
            </w:pPr>
          </w:p>
        </w:tc>
        <w:tc>
          <w:tcPr>
            <w:tcW w:w="214" w:type="pct"/>
          </w:tcPr>
          <w:p w14:paraId="20AE7C4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4575</w:t>
            </w:r>
          </w:p>
        </w:tc>
        <w:tc>
          <w:tcPr>
            <w:cnfStyle w:val="000010000000" w:firstRow="0" w:lastRow="0" w:firstColumn="0" w:lastColumn="0" w:oddVBand="1" w:evenVBand="0" w:oddHBand="0" w:evenHBand="0" w:firstRowFirstColumn="0" w:firstRowLastColumn="0" w:lastRowFirstColumn="0" w:lastRowLastColumn="0"/>
            <w:tcW w:w="245" w:type="pct"/>
          </w:tcPr>
          <w:p w14:paraId="60E259C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4601</w:t>
            </w:r>
          </w:p>
        </w:tc>
        <w:tc>
          <w:tcPr>
            <w:tcW w:w="280" w:type="pct"/>
          </w:tcPr>
          <w:p w14:paraId="6E52A0FA" w14:textId="561C34B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4627</w:t>
            </w:r>
          </w:p>
        </w:tc>
      </w:tr>
      <w:tr w:rsidR="00095411" w:rsidRPr="00591CBB" w14:paraId="3CDA90B0"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032A4A33" w14:textId="77777777" w:rsidR="00095411" w:rsidRPr="007348FD" w:rsidRDefault="00095411" w:rsidP="00591CBB">
            <w:pPr>
              <w:spacing w:after="160" w:line="259" w:lineRule="auto"/>
              <w:rPr>
                <w:rFonts w:ascii="Arial Narrow" w:hAnsi="Arial Narrow"/>
                <w:sz w:val="18"/>
                <w:szCs w:val="18"/>
              </w:rPr>
            </w:pPr>
          </w:p>
        </w:tc>
        <w:tc>
          <w:tcPr>
            <w:tcW w:w="460" w:type="pct"/>
          </w:tcPr>
          <w:p w14:paraId="086D452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30356C4"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2248D5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1F4FF01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58BB85B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2D06918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7008E6A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11509</w:t>
            </w:r>
          </w:p>
        </w:tc>
        <w:tc>
          <w:tcPr>
            <w:cnfStyle w:val="000010000000" w:firstRow="0" w:lastRow="0" w:firstColumn="0" w:lastColumn="0" w:oddVBand="1" w:evenVBand="0" w:oddHBand="0" w:evenHBand="0" w:firstRowFirstColumn="0" w:firstRowLastColumn="0" w:lastRowFirstColumn="0" w:lastRowLastColumn="0"/>
            <w:tcW w:w="197" w:type="pct"/>
          </w:tcPr>
          <w:p w14:paraId="2085072F" w14:textId="77777777" w:rsidR="00095411" w:rsidRPr="007348FD" w:rsidRDefault="00095411" w:rsidP="00591CBB">
            <w:pPr>
              <w:spacing w:after="160" w:line="259" w:lineRule="auto"/>
              <w:rPr>
                <w:rFonts w:ascii="Arial Narrow" w:hAnsi="Arial Narrow"/>
                <w:sz w:val="18"/>
                <w:szCs w:val="18"/>
              </w:rPr>
            </w:pPr>
          </w:p>
        </w:tc>
        <w:tc>
          <w:tcPr>
            <w:tcW w:w="273" w:type="pct"/>
          </w:tcPr>
          <w:p w14:paraId="2A71553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11509</w:t>
            </w:r>
          </w:p>
        </w:tc>
        <w:tc>
          <w:tcPr>
            <w:cnfStyle w:val="000010000000" w:firstRow="0" w:lastRow="0" w:firstColumn="0" w:lastColumn="0" w:oddVBand="1" w:evenVBand="0" w:oddHBand="0" w:evenHBand="0" w:firstRowFirstColumn="0" w:firstRowLastColumn="0" w:lastRowFirstColumn="0" w:lastRowLastColumn="0"/>
            <w:tcW w:w="285" w:type="pct"/>
          </w:tcPr>
          <w:p w14:paraId="58DFE3B8" w14:textId="77777777" w:rsidR="00095411" w:rsidRPr="007348FD" w:rsidRDefault="00095411" w:rsidP="00591CBB">
            <w:pPr>
              <w:spacing w:after="160" w:line="259" w:lineRule="auto"/>
              <w:rPr>
                <w:rFonts w:ascii="Arial Narrow" w:hAnsi="Arial Narrow"/>
                <w:sz w:val="18"/>
                <w:szCs w:val="18"/>
              </w:rPr>
            </w:pPr>
          </w:p>
        </w:tc>
        <w:tc>
          <w:tcPr>
            <w:tcW w:w="283" w:type="pct"/>
          </w:tcPr>
          <w:p w14:paraId="202FEC8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6991B2FC" w14:textId="77777777" w:rsidR="00095411" w:rsidRPr="007348FD" w:rsidRDefault="00095411" w:rsidP="00591CBB">
            <w:pPr>
              <w:spacing w:after="160" w:line="259" w:lineRule="auto"/>
              <w:rPr>
                <w:rFonts w:ascii="Arial Narrow" w:hAnsi="Arial Narrow"/>
                <w:sz w:val="18"/>
                <w:szCs w:val="18"/>
              </w:rPr>
            </w:pPr>
          </w:p>
        </w:tc>
        <w:tc>
          <w:tcPr>
            <w:tcW w:w="149" w:type="pct"/>
          </w:tcPr>
          <w:p w14:paraId="158C536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3675DF2" w14:textId="77777777" w:rsidR="00095411" w:rsidRPr="007348FD" w:rsidRDefault="00095411" w:rsidP="00591CBB">
            <w:pPr>
              <w:spacing w:after="160" w:line="259" w:lineRule="auto"/>
              <w:rPr>
                <w:rFonts w:ascii="Arial Narrow" w:hAnsi="Arial Narrow"/>
                <w:sz w:val="18"/>
                <w:szCs w:val="18"/>
              </w:rPr>
            </w:pPr>
          </w:p>
        </w:tc>
        <w:tc>
          <w:tcPr>
            <w:tcW w:w="214" w:type="pct"/>
          </w:tcPr>
          <w:p w14:paraId="6F8BDF1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HMIS</w:t>
            </w:r>
          </w:p>
        </w:tc>
        <w:tc>
          <w:tcPr>
            <w:cnfStyle w:val="000010000000" w:firstRow="0" w:lastRow="0" w:firstColumn="0" w:lastColumn="0" w:oddVBand="1" w:evenVBand="0" w:oddHBand="0" w:evenHBand="0" w:firstRowFirstColumn="0" w:firstRowLastColumn="0" w:lastRowFirstColumn="0" w:lastRowLastColumn="0"/>
            <w:tcW w:w="245" w:type="pct"/>
          </w:tcPr>
          <w:p w14:paraId="63FB18F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HMIS</w:t>
            </w:r>
          </w:p>
        </w:tc>
        <w:tc>
          <w:tcPr>
            <w:tcW w:w="280" w:type="pct"/>
          </w:tcPr>
          <w:p w14:paraId="751E8030" w14:textId="478520B6"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HMIS</w:t>
            </w:r>
          </w:p>
        </w:tc>
      </w:tr>
      <w:tr w:rsidR="00095411" w:rsidRPr="00591CBB" w14:paraId="4EC375D9"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27ED89A1" w14:textId="77777777" w:rsidR="00095411" w:rsidRPr="007348FD" w:rsidRDefault="00095411" w:rsidP="00591CBB">
            <w:pPr>
              <w:spacing w:after="160" w:line="259" w:lineRule="auto"/>
              <w:rPr>
                <w:rFonts w:ascii="Arial Narrow" w:hAnsi="Arial Narrow"/>
                <w:sz w:val="18"/>
                <w:szCs w:val="18"/>
              </w:rPr>
            </w:pPr>
          </w:p>
        </w:tc>
        <w:tc>
          <w:tcPr>
            <w:tcW w:w="460" w:type="pct"/>
          </w:tcPr>
          <w:p w14:paraId="5EC5A93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FF9D156"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DE0C41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4C5CA51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02CF2C6E" w14:textId="3A9A4BD9"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60E8206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149</w:t>
            </w:r>
          </w:p>
        </w:tc>
        <w:tc>
          <w:tcPr>
            <w:tcW w:w="298" w:type="pct"/>
          </w:tcPr>
          <w:p w14:paraId="4430AC5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300</w:t>
            </w:r>
          </w:p>
        </w:tc>
        <w:tc>
          <w:tcPr>
            <w:cnfStyle w:val="000010000000" w:firstRow="0" w:lastRow="0" w:firstColumn="0" w:lastColumn="0" w:oddVBand="1" w:evenVBand="0" w:oddHBand="0" w:evenHBand="0" w:firstRowFirstColumn="0" w:firstRowLastColumn="0" w:lastRowFirstColumn="0" w:lastRowLastColumn="0"/>
            <w:tcW w:w="197" w:type="pct"/>
          </w:tcPr>
          <w:p w14:paraId="1A51A0E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304</w:t>
            </w:r>
          </w:p>
        </w:tc>
        <w:tc>
          <w:tcPr>
            <w:tcW w:w="273" w:type="pct"/>
          </w:tcPr>
          <w:p w14:paraId="4895FF4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754</w:t>
            </w:r>
          </w:p>
        </w:tc>
        <w:tc>
          <w:tcPr>
            <w:cnfStyle w:val="000010000000" w:firstRow="0" w:lastRow="0" w:firstColumn="0" w:lastColumn="0" w:oddVBand="1" w:evenVBand="0" w:oddHBand="0" w:evenHBand="0" w:firstRowFirstColumn="0" w:firstRowLastColumn="0" w:lastRowFirstColumn="0" w:lastRowLastColumn="0"/>
            <w:tcW w:w="285" w:type="pct"/>
          </w:tcPr>
          <w:p w14:paraId="3D6F2654" w14:textId="77777777" w:rsidR="00095411" w:rsidRPr="007348FD" w:rsidRDefault="00095411" w:rsidP="00591CBB">
            <w:pPr>
              <w:spacing w:after="160" w:line="259" w:lineRule="auto"/>
              <w:rPr>
                <w:rFonts w:ascii="Arial Narrow" w:hAnsi="Arial Narrow"/>
                <w:sz w:val="18"/>
                <w:szCs w:val="18"/>
              </w:rPr>
            </w:pPr>
          </w:p>
        </w:tc>
        <w:tc>
          <w:tcPr>
            <w:tcW w:w="283" w:type="pct"/>
          </w:tcPr>
          <w:p w14:paraId="6C1E2EB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CF235C2" w14:textId="77777777" w:rsidR="00095411" w:rsidRPr="007348FD" w:rsidRDefault="00095411" w:rsidP="00591CBB">
            <w:pPr>
              <w:spacing w:after="160" w:line="259" w:lineRule="auto"/>
              <w:rPr>
                <w:rFonts w:ascii="Arial Narrow" w:hAnsi="Arial Narrow"/>
                <w:sz w:val="18"/>
                <w:szCs w:val="18"/>
              </w:rPr>
            </w:pPr>
          </w:p>
        </w:tc>
        <w:tc>
          <w:tcPr>
            <w:tcW w:w="149" w:type="pct"/>
          </w:tcPr>
          <w:p w14:paraId="53053E4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B31F0E0" w14:textId="77777777" w:rsidR="00095411" w:rsidRPr="007348FD" w:rsidRDefault="00095411" w:rsidP="00591CBB">
            <w:pPr>
              <w:spacing w:after="160" w:line="259" w:lineRule="auto"/>
              <w:rPr>
                <w:rFonts w:ascii="Arial Narrow" w:hAnsi="Arial Narrow"/>
                <w:sz w:val="18"/>
                <w:szCs w:val="18"/>
              </w:rPr>
            </w:pPr>
          </w:p>
        </w:tc>
        <w:tc>
          <w:tcPr>
            <w:tcW w:w="214" w:type="pct"/>
          </w:tcPr>
          <w:p w14:paraId="15F269C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607</w:t>
            </w:r>
          </w:p>
        </w:tc>
        <w:tc>
          <w:tcPr>
            <w:cnfStyle w:val="000010000000" w:firstRow="0" w:lastRow="0" w:firstColumn="0" w:lastColumn="0" w:oddVBand="1" w:evenVBand="0" w:oddHBand="0" w:evenHBand="0" w:firstRowFirstColumn="0" w:firstRowLastColumn="0" w:lastRowFirstColumn="0" w:lastRowLastColumn="0"/>
            <w:tcW w:w="245" w:type="pct"/>
          </w:tcPr>
          <w:p w14:paraId="0FD0340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923</w:t>
            </w:r>
          </w:p>
        </w:tc>
        <w:tc>
          <w:tcPr>
            <w:tcW w:w="280" w:type="pct"/>
          </w:tcPr>
          <w:p w14:paraId="68E08195" w14:textId="2515024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940</w:t>
            </w:r>
          </w:p>
        </w:tc>
      </w:tr>
      <w:tr w:rsidR="00095411" w:rsidRPr="00591CBB" w14:paraId="47DF29C4"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3B8CE810" w14:textId="77777777" w:rsidR="00095411" w:rsidRPr="007348FD" w:rsidRDefault="00095411" w:rsidP="00591CBB">
            <w:pPr>
              <w:spacing w:after="160" w:line="259" w:lineRule="auto"/>
              <w:rPr>
                <w:rFonts w:ascii="Arial Narrow" w:hAnsi="Arial Narrow"/>
                <w:sz w:val="18"/>
                <w:szCs w:val="18"/>
              </w:rPr>
            </w:pPr>
          </w:p>
        </w:tc>
        <w:tc>
          <w:tcPr>
            <w:tcW w:w="460" w:type="pct"/>
          </w:tcPr>
          <w:p w14:paraId="27AF8CA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4B47AAE"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AD310A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E33577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52AE9CD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0FC3913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699</w:t>
            </w:r>
          </w:p>
        </w:tc>
        <w:tc>
          <w:tcPr>
            <w:tcW w:w="298" w:type="pct"/>
          </w:tcPr>
          <w:p w14:paraId="5CA6ABC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991</w:t>
            </w:r>
          </w:p>
        </w:tc>
        <w:tc>
          <w:tcPr>
            <w:cnfStyle w:val="000010000000" w:firstRow="0" w:lastRow="0" w:firstColumn="0" w:lastColumn="0" w:oddVBand="1" w:evenVBand="0" w:oddHBand="0" w:evenHBand="0" w:firstRowFirstColumn="0" w:firstRowLastColumn="0" w:lastRowFirstColumn="0" w:lastRowLastColumn="0"/>
            <w:tcW w:w="197" w:type="pct"/>
          </w:tcPr>
          <w:p w14:paraId="01196929" w14:textId="77777777" w:rsidR="00095411" w:rsidRPr="007348FD" w:rsidRDefault="00095411" w:rsidP="00591CBB">
            <w:pPr>
              <w:spacing w:after="160" w:line="259" w:lineRule="auto"/>
              <w:rPr>
                <w:rFonts w:ascii="Arial Narrow" w:hAnsi="Arial Narrow"/>
                <w:sz w:val="18"/>
                <w:szCs w:val="18"/>
              </w:rPr>
            </w:pPr>
          </w:p>
        </w:tc>
        <w:tc>
          <w:tcPr>
            <w:tcW w:w="273" w:type="pct"/>
          </w:tcPr>
          <w:p w14:paraId="46E3F84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1690</w:t>
            </w:r>
          </w:p>
        </w:tc>
        <w:tc>
          <w:tcPr>
            <w:cnfStyle w:val="000010000000" w:firstRow="0" w:lastRow="0" w:firstColumn="0" w:lastColumn="0" w:oddVBand="1" w:evenVBand="0" w:oddHBand="0" w:evenHBand="0" w:firstRowFirstColumn="0" w:firstRowLastColumn="0" w:lastRowFirstColumn="0" w:lastRowLastColumn="0"/>
            <w:tcW w:w="285" w:type="pct"/>
          </w:tcPr>
          <w:p w14:paraId="32B87FFB" w14:textId="77777777" w:rsidR="00095411" w:rsidRPr="007348FD" w:rsidRDefault="00095411" w:rsidP="00591CBB">
            <w:pPr>
              <w:spacing w:after="160" w:line="259" w:lineRule="auto"/>
              <w:rPr>
                <w:rFonts w:ascii="Arial Narrow" w:hAnsi="Arial Narrow"/>
                <w:sz w:val="18"/>
                <w:szCs w:val="18"/>
              </w:rPr>
            </w:pPr>
          </w:p>
        </w:tc>
        <w:tc>
          <w:tcPr>
            <w:tcW w:w="283" w:type="pct"/>
          </w:tcPr>
          <w:p w14:paraId="6B128A5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4152E4E2" w14:textId="77777777" w:rsidR="00095411" w:rsidRPr="007348FD" w:rsidRDefault="00095411" w:rsidP="00591CBB">
            <w:pPr>
              <w:spacing w:after="160" w:line="259" w:lineRule="auto"/>
              <w:rPr>
                <w:rFonts w:ascii="Arial Narrow" w:hAnsi="Arial Narrow"/>
                <w:sz w:val="18"/>
                <w:szCs w:val="18"/>
              </w:rPr>
            </w:pPr>
          </w:p>
        </w:tc>
        <w:tc>
          <w:tcPr>
            <w:tcW w:w="149" w:type="pct"/>
          </w:tcPr>
          <w:p w14:paraId="2423768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F865335" w14:textId="77777777" w:rsidR="00095411" w:rsidRPr="007348FD" w:rsidRDefault="00095411" w:rsidP="00591CBB">
            <w:pPr>
              <w:spacing w:after="160" w:line="259" w:lineRule="auto"/>
              <w:rPr>
                <w:rFonts w:ascii="Arial Narrow" w:hAnsi="Arial Narrow"/>
                <w:sz w:val="18"/>
                <w:szCs w:val="18"/>
              </w:rPr>
            </w:pPr>
          </w:p>
        </w:tc>
        <w:tc>
          <w:tcPr>
            <w:tcW w:w="214" w:type="pct"/>
          </w:tcPr>
          <w:p w14:paraId="5F330D5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HMIS</w:t>
            </w:r>
          </w:p>
        </w:tc>
        <w:tc>
          <w:tcPr>
            <w:cnfStyle w:val="000010000000" w:firstRow="0" w:lastRow="0" w:firstColumn="0" w:lastColumn="0" w:oddVBand="1" w:evenVBand="0" w:oddHBand="0" w:evenHBand="0" w:firstRowFirstColumn="0" w:firstRowLastColumn="0" w:lastRowFirstColumn="0" w:lastRowLastColumn="0"/>
            <w:tcW w:w="245" w:type="pct"/>
          </w:tcPr>
          <w:p w14:paraId="4494A56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HMIS</w:t>
            </w:r>
          </w:p>
        </w:tc>
        <w:tc>
          <w:tcPr>
            <w:tcW w:w="280" w:type="pct"/>
          </w:tcPr>
          <w:p w14:paraId="0B0645C5" w14:textId="2CCF779C"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HMIS</w:t>
            </w:r>
          </w:p>
        </w:tc>
      </w:tr>
      <w:tr w:rsidR="00095411" w:rsidRPr="00591CBB" w14:paraId="013832FB"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575226CF" w14:textId="77777777" w:rsidR="00095411" w:rsidRPr="007348FD" w:rsidRDefault="00095411" w:rsidP="00591CBB">
            <w:pPr>
              <w:spacing w:after="160" w:line="259" w:lineRule="auto"/>
              <w:rPr>
                <w:rFonts w:ascii="Arial Narrow" w:hAnsi="Arial Narrow"/>
                <w:sz w:val="18"/>
                <w:szCs w:val="18"/>
              </w:rPr>
            </w:pPr>
          </w:p>
        </w:tc>
        <w:tc>
          <w:tcPr>
            <w:tcW w:w="460" w:type="pct"/>
          </w:tcPr>
          <w:p w14:paraId="05A7AE8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CDFA7B9"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B32118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1EEAF60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AD7B0DA" w14:textId="77D0C38D"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4FA86D3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81</w:t>
            </w:r>
          </w:p>
        </w:tc>
        <w:tc>
          <w:tcPr>
            <w:tcW w:w="298" w:type="pct"/>
          </w:tcPr>
          <w:p w14:paraId="0B73B96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97</w:t>
            </w:r>
          </w:p>
        </w:tc>
        <w:tc>
          <w:tcPr>
            <w:cnfStyle w:val="000010000000" w:firstRow="0" w:lastRow="0" w:firstColumn="0" w:lastColumn="0" w:oddVBand="1" w:evenVBand="0" w:oddHBand="0" w:evenHBand="0" w:firstRowFirstColumn="0" w:firstRowLastColumn="0" w:lastRowFirstColumn="0" w:lastRowLastColumn="0"/>
            <w:tcW w:w="197" w:type="pct"/>
          </w:tcPr>
          <w:p w14:paraId="719C114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57</w:t>
            </w:r>
          </w:p>
        </w:tc>
        <w:tc>
          <w:tcPr>
            <w:tcW w:w="273" w:type="pct"/>
          </w:tcPr>
          <w:p w14:paraId="0B50F7B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234</w:t>
            </w:r>
          </w:p>
        </w:tc>
        <w:tc>
          <w:tcPr>
            <w:cnfStyle w:val="000010000000" w:firstRow="0" w:lastRow="0" w:firstColumn="0" w:lastColumn="0" w:oddVBand="1" w:evenVBand="0" w:oddHBand="0" w:evenHBand="0" w:firstRowFirstColumn="0" w:firstRowLastColumn="0" w:lastRowFirstColumn="0" w:lastRowLastColumn="0"/>
            <w:tcW w:w="285" w:type="pct"/>
          </w:tcPr>
          <w:p w14:paraId="3C3AFBAC" w14:textId="77777777" w:rsidR="00095411" w:rsidRPr="007348FD" w:rsidRDefault="00095411" w:rsidP="00591CBB">
            <w:pPr>
              <w:spacing w:after="160" w:line="259" w:lineRule="auto"/>
              <w:rPr>
                <w:rFonts w:ascii="Arial Narrow" w:hAnsi="Arial Narrow"/>
                <w:sz w:val="18"/>
                <w:szCs w:val="18"/>
              </w:rPr>
            </w:pPr>
          </w:p>
        </w:tc>
        <w:tc>
          <w:tcPr>
            <w:tcW w:w="283" w:type="pct"/>
          </w:tcPr>
          <w:p w14:paraId="3DD5BC1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B9CB610" w14:textId="77777777" w:rsidR="00095411" w:rsidRPr="007348FD" w:rsidRDefault="00095411" w:rsidP="00591CBB">
            <w:pPr>
              <w:spacing w:after="160" w:line="259" w:lineRule="auto"/>
              <w:rPr>
                <w:rFonts w:ascii="Arial Narrow" w:hAnsi="Arial Narrow"/>
                <w:sz w:val="18"/>
                <w:szCs w:val="18"/>
              </w:rPr>
            </w:pPr>
          </w:p>
        </w:tc>
        <w:tc>
          <w:tcPr>
            <w:tcW w:w="149" w:type="pct"/>
          </w:tcPr>
          <w:p w14:paraId="56014E2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B1F9C1D" w14:textId="77777777" w:rsidR="00095411" w:rsidRPr="007348FD" w:rsidRDefault="00095411" w:rsidP="00591CBB">
            <w:pPr>
              <w:spacing w:after="160" w:line="259" w:lineRule="auto"/>
              <w:rPr>
                <w:rFonts w:ascii="Arial Narrow" w:hAnsi="Arial Narrow"/>
                <w:sz w:val="18"/>
                <w:szCs w:val="18"/>
              </w:rPr>
            </w:pPr>
          </w:p>
        </w:tc>
        <w:tc>
          <w:tcPr>
            <w:tcW w:w="214" w:type="pct"/>
          </w:tcPr>
          <w:p w14:paraId="56B4C0A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113</w:t>
            </w:r>
          </w:p>
        </w:tc>
        <w:tc>
          <w:tcPr>
            <w:cnfStyle w:val="000010000000" w:firstRow="0" w:lastRow="0" w:firstColumn="0" w:lastColumn="0" w:oddVBand="1" w:evenVBand="0" w:oddHBand="0" w:evenHBand="0" w:firstRowFirstColumn="0" w:firstRowLastColumn="0" w:lastRowFirstColumn="0" w:lastRowLastColumn="0"/>
            <w:tcW w:w="245" w:type="pct"/>
          </w:tcPr>
          <w:p w14:paraId="6F4EADE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129</w:t>
            </w:r>
          </w:p>
        </w:tc>
        <w:tc>
          <w:tcPr>
            <w:tcW w:w="280" w:type="pct"/>
          </w:tcPr>
          <w:p w14:paraId="0472DA3F" w14:textId="78C5A562"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145</w:t>
            </w:r>
          </w:p>
        </w:tc>
      </w:tr>
      <w:tr w:rsidR="00095411" w:rsidRPr="00591CBB" w14:paraId="0C67C4E1"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64087D94" w14:textId="77777777" w:rsidR="00095411" w:rsidRPr="007348FD" w:rsidRDefault="00095411" w:rsidP="00591CBB">
            <w:pPr>
              <w:spacing w:after="160" w:line="259" w:lineRule="auto"/>
              <w:rPr>
                <w:rFonts w:ascii="Arial Narrow" w:hAnsi="Arial Narrow"/>
                <w:sz w:val="18"/>
                <w:szCs w:val="18"/>
              </w:rPr>
            </w:pPr>
          </w:p>
        </w:tc>
        <w:tc>
          <w:tcPr>
            <w:tcW w:w="460" w:type="pct"/>
          </w:tcPr>
          <w:p w14:paraId="34C6920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0DCCDC4"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1CEAD0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20D08A5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7B57BFE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706A301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1882</w:t>
            </w:r>
          </w:p>
        </w:tc>
        <w:tc>
          <w:tcPr>
            <w:tcW w:w="298" w:type="pct"/>
          </w:tcPr>
          <w:p w14:paraId="34C422F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579</w:t>
            </w:r>
          </w:p>
        </w:tc>
        <w:tc>
          <w:tcPr>
            <w:cnfStyle w:val="000010000000" w:firstRow="0" w:lastRow="0" w:firstColumn="0" w:lastColumn="0" w:oddVBand="1" w:evenVBand="0" w:oddHBand="0" w:evenHBand="0" w:firstRowFirstColumn="0" w:firstRowLastColumn="0" w:lastRowFirstColumn="0" w:lastRowLastColumn="0"/>
            <w:tcW w:w="197" w:type="pct"/>
          </w:tcPr>
          <w:p w14:paraId="637F6A79" w14:textId="77777777" w:rsidR="00095411" w:rsidRPr="007348FD" w:rsidRDefault="00095411" w:rsidP="00591CBB">
            <w:pPr>
              <w:spacing w:after="160" w:line="259" w:lineRule="auto"/>
              <w:rPr>
                <w:rFonts w:ascii="Arial Narrow" w:hAnsi="Arial Narrow"/>
                <w:sz w:val="18"/>
                <w:szCs w:val="18"/>
              </w:rPr>
            </w:pPr>
          </w:p>
        </w:tc>
        <w:tc>
          <w:tcPr>
            <w:tcW w:w="273" w:type="pct"/>
          </w:tcPr>
          <w:p w14:paraId="2A249BF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2461</w:t>
            </w:r>
          </w:p>
        </w:tc>
        <w:tc>
          <w:tcPr>
            <w:cnfStyle w:val="000010000000" w:firstRow="0" w:lastRow="0" w:firstColumn="0" w:lastColumn="0" w:oddVBand="1" w:evenVBand="0" w:oddHBand="0" w:evenHBand="0" w:firstRowFirstColumn="0" w:firstRowLastColumn="0" w:lastRowFirstColumn="0" w:lastRowLastColumn="0"/>
            <w:tcW w:w="285" w:type="pct"/>
          </w:tcPr>
          <w:p w14:paraId="598138A9" w14:textId="77777777" w:rsidR="00095411" w:rsidRPr="007348FD" w:rsidRDefault="00095411" w:rsidP="00591CBB">
            <w:pPr>
              <w:spacing w:after="160" w:line="259" w:lineRule="auto"/>
              <w:rPr>
                <w:rFonts w:ascii="Arial Narrow" w:hAnsi="Arial Narrow"/>
                <w:sz w:val="18"/>
                <w:szCs w:val="18"/>
              </w:rPr>
            </w:pPr>
          </w:p>
        </w:tc>
        <w:tc>
          <w:tcPr>
            <w:tcW w:w="283" w:type="pct"/>
          </w:tcPr>
          <w:p w14:paraId="4D679FF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1B71524D" w14:textId="77777777" w:rsidR="00095411" w:rsidRPr="007348FD" w:rsidRDefault="00095411" w:rsidP="00591CBB">
            <w:pPr>
              <w:spacing w:after="160" w:line="259" w:lineRule="auto"/>
              <w:rPr>
                <w:rFonts w:ascii="Arial Narrow" w:hAnsi="Arial Narrow"/>
                <w:sz w:val="18"/>
                <w:szCs w:val="18"/>
              </w:rPr>
            </w:pPr>
          </w:p>
        </w:tc>
        <w:tc>
          <w:tcPr>
            <w:tcW w:w="149" w:type="pct"/>
          </w:tcPr>
          <w:p w14:paraId="656F1FF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3298E28" w14:textId="77777777" w:rsidR="00095411" w:rsidRPr="007348FD" w:rsidRDefault="00095411" w:rsidP="00591CBB">
            <w:pPr>
              <w:spacing w:after="160" w:line="259" w:lineRule="auto"/>
              <w:rPr>
                <w:rFonts w:ascii="Arial Narrow" w:hAnsi="Arial Narrow"/>
                <w:sz w:val="18"/>
                <w:szCs w:val="18"/>
              </w:rPr>
            </w:pPr>
          </w:p>
        </w:tc>
        <w:tc>
          <w:tcPr>
            <w:tcW w:w="214" w:type="pct"/>
          </w:tcPr>
          <w:p w14:paraId="1C3F8F6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HMIS</w:t>
            </w:r>
          </w:p>
        </w:tc>
        <w:tc>
          <w:tcPr>
            <w:cnfStyle w:val="000010000000" w:firstRow="0" w:lastRow="0" w:firstColumn="0" w:lastColumn="0" w:oddVBand="1" w:evenVBand="0" w:oddHBand="0" w:evenHBand="0" w:firstRowFirstColumn="0" w:firstRowLastColumn="0" w:lastRowFirstColumn="0" w:lastRowLastColumn="0"/>
            <w:tcW w:w="245" w:type="pct"/>
          </w:tcPr>
          <w:p w14:paraId="4D6DAB2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HMIS</w:t>
            </w:r>
          </w:p>
        </w:tc>
        <w:tc>
          <w:tcPr>
            <w:tcW w:w="280" w:type="pct"/>
          </w:tcPr>
          <w:p w14:paraId="29F36717" w14:textId="5DB6D93F"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HMIS</w:t>
            </w:r>
          </w:p>
        </w:tc>
      </w:tr>
      <w:tr w:rsidR="00095411" w:rsidRPr="00591CBB" w14:paraId="37F0C49E"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03F8A4FD" w14:textId="77777777" w:rsidR="00095411" w:rsidRPr="007348FD" w:rsidRDefault="00095411" w:rsidP="00591CBB">
            <w:pPr>
              <w:spacing w:after="160" w:line="259" w:lineRule="auto"/>
              <w:rPr>
                <w:rFonts w:ascii="Arial Narrow" w:hAnsi="Arial Narrow"/>
                <w:sz w:val="18"/>
                <w:szCs w:val="18"/>
              </w:rPr>
            </w:pPr>
          </w:p>
        </w:tc>
        <w:tc>
          <w:tcPr>
            <w:tcW w:w="460" w:type="pct"/>
          </w:tcPr>
          <w:p w14:paraId="74DE3FA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D3E1FF4"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35C9E7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009BF57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33393339" w14:textId="25DBE990"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346ED75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835</w:t>
            </w:r>
          </w:p>
        </w:tc>
        <w:tc>
          <w:tcPr>
            <w:tcW w:w="298" w:type="pct"/>
          </w:tcPr>
          <w:p w14:paraId="1B470E7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1716</w:t>
            </w:r>
          </w:p>
        </w:tc>
        <w:tc>
          <w:tcPr>
            <w:cnfStyle w:val="000010000000" w:firstRow="0" w:lastRow="0" w:firstColumn="0" w:lastColumn="0" w:oddVBand="1" w:evenVBand="0" w:oddHBand="0" w:evenHBand="0" w:firstRowFirstColumn="0" w:firstRowLastColumn="0" w:lastRowFirstColumn="0" w:lastRowLastColumn="0"/>
            <w:tcW w:w="197" w:type="pct"/>
          </w:tcPr>
          <w:p w14:paraId="10022B5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1761</w:t>
            </w:r>
          </w:p>
        </w:tc>
        <w:tc>
          <w:tcPr>
            <w:tcW w:w="273" w:type="pct"/>
          </w:tcPr>
          <w:p w14:paraId="3E449E9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4313</w:t>
            </w:r>
          </w:p>
        </w:tc>
        <w:tc>
          <w:tcPr>
            <w:cnfStyle w:val="000010000000" w:firstRow="0" w:lastRow="0" w:firstColumn="0" w:lastColumn="0" w:oddVBand="1" w:evenVBand="0" w:oddHBand="0" w:evenHBand="0" w:firstRowFirstColumn="0" w:firstRowLastColumn="0" w:lastRowFirstColumn="0" w:lastRowLastColumn="0"/>
            <w:tcW w:w="285" w:type="pct"/>
          </w:tcPr>
          <w:p w14:paraId="6984CA5D" w14:textId="77777777" w:rsidR="00095411" w:rsidRPr="007348FD" w:rsidRDefault="00095411" w:rsidP="00591CBB">
            <w:pPr>
              <w:spacing w:after="160" w:line="259" w:lineRule="auto"/>
              <w:rPr>
                <w:rFonts w:ascii="Arial Narrow" w:hAnsi="Arial Narrow"/>
                <w:sz w:val="18"/>
                <w:szCs w:val="18"/>
              </w:rPr>
            </w:pPr>
          </w:p>
        </w:tc>
        <w:tc>
          <w:tcPr>
            <w:tcW w:w="283" w:type="pct"/>
          </w:tcPr>
          <w:p w14:paraId="265444E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9E31F38" w14:textId="77777777" w:rsidR="00095411" w:rsidRPr="007348FD" w:rsidRDefault="00095411" w:rsidP="00591CBB">
            <w:pPr>
              <w:spacing w:after="160" w:line="259" w:lineRule="auto"/>
              <w:rPr>
                <w:rFonts w:ascii="Arial Narrow" w:hAnsi="Arial Narrow"/>
                <w:sz w:val="18"/>
                <w:szCs w:val="18"/>
              </w:rPr>
            </w:pPr>
          </w:p>
        </w:tc>
        <w:tc>
          <w:tcPr>
            <w:tcW w:w="149" w:type="pct"/>
          </w:tcPr>
          <w:p w14:paraId="693152A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43CAA0F" w14:textId="77777777" w:rsidR="00095411" w:rsidRPr="007348FD" w:rsidRDefault="00095411" w:rsidP="00591CBB">
            <w:pPr>
              <w:spacing w:after="160" w:line="259" w:lineRule="auto"/>
              <w:rPr>
                <w:rFonts w:ascii="Arial Narrow" w:hAnsi="Arial Narrow"/>
                <w:sz w:val="18"/>
                <w:szCs w:val="18"/>
              </w:rPr>
            </w:pPr>
          </w:p>
        </w:tc>
        <w:tc>
          <w:tcPr>
            <w:tcW w:w="214" w:type="pct"/>
          </w:tcPr>
          <w:p w14:paraId="4654CFA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3522</w:t>
            </w:r>
          </w:p>
        </w:tc>
        <w:tc>
          <w:tcPr>
            <w:cnfStyle w:val="000010000000" w:firstRow="0" w:lastRow="0" w:firstColumn="0" w:lastColumn="0" w:oddVBand="1" w:evenVBand="0" w:oddHBand="0" w:evenHBand="0" w:firstRowFirstColumn="0" w:firstRowLastColumn="0" w:lastRowFirstColumn="0" w:lastRowLastColumn="0"/>
            <w:tcW w:w="245" w:type="pct"/>
          </w:tcPr>
          <w:p w14:paraId="3EAFEB9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5415</w:t>
            </w:r>
          </w:p>
        </w:tc>
        <w:tc>
          <w:tcPr>
            <w:tcW w:w="280" w:type="pct"/>
          </w:tcPr>
          <w:p w14:paraId="538F1774" w14:textId="4B57297A"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5542</w:t>
            </w:r>
          </w:p>
        </w:tc>
      </w:tr>
      <w:tr w:rsidR="00095411" w:rsidRPr="00591CBB" w14:paraId="685D14E6"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2AB3B5FE" w14:textId="77777777" w:rsidR="00095411" w:rsidRPr="007348FD" w:rsidRDefault="00095411" w:rsidP="00591CBB">
            <w:pPr>
              <w:spacing w:after="160" w:line="259" w:lineRule="auto"/>
              <w:rPr>
                <w:rFonts w:ascii="Arial Narrow" w:hAnsi="Arial Narrow"/>
                <w:sz w:val="18"/>
                <w:szCs w:val="18"/>
              </w:rPr>
            </w:pPr>
          </w:p>
        </w:tc>
        <w:tc>
          <w:tcPr>
            <w:tcW w:w="460" w:type="pct"/>
          </w:tcPr>
          <w:p w14:paraId="4B59ADE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A70A46C"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E609D9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B8AD2A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57C0CD0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1A86566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2EAD13C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3622</w:t>
            </w:r>
          </w:p>
        </w:tc>
        <w:tc>
          <w:tcPr>
            <w:cnfStyle w:val="000010000000" w:firstRow="0" w:lastRow="0" w:firstColumn="0" w:lastColumn="0" w:oddVBand="1" w:evenVBand="0" w:oddHBand="0" w:evenHBand="0" w:firstRowFirstColumn="0" w:firstRowLastColumn="0" w:lastRowFirstColumn="0" w:lastRowLastColumn="0"/>
            <w:tcW w:w="197" w:type="pct"/>
          </w:tcPr>
          <w:p w14:paraId="40DD27F1" w14:textId="77777777" w:rsidR="00095411" w:rsidRPr="007348FD" w:rsidRDefault="00095411" w:rsidP="00591CBB">
            <w:pPr>
              <w:spacing w:after="160" w:line="259" w:lineRule="auto"/>
              <w:rPr>
                <w:rFonts w:ascii="Arial Narrow" w:hAnsi="Arial Narrow"/>
                <w:sz w:val="18"/>
                <w:szCs w:val="18"/>
              </w:rPr>
            </w:pPr>
          </w:p>
        </w:tc>
        <w:tc>
          <w:tcPr>
            <w:tcW w:w="273" w:type="pct"/>
          </w:tcPr>
          <w:p w14:paraId="7F52102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3622</w:t>
            </w:r>
          </w:p>
        </w:tc>
        <w:tc>
          <w:tcPr>
            <w:cnfStyle w:val="000010000000" w:firstRow="0" w:lastRow="0" w:firstColumn="0" w:lastColumn="0" w:oddVBand="1" w:evenVBand="0" w:oddHBand="0" w:evenHBand="0" w:firstRowFirstColumn="0" w:firstRowLastColumn="0" w:lastRowFirstColumn="0" w:lastRowLastColumn="0"/>
            <w:tcW w:w="285" w:type="pct"/>
          </w:tcPr>
          <w:p w14:paraId="0A43A76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84%</w:t>
            </w:r>
          </w:p>
        </w:tc>
        <w:tc>
          <w:tcPr>
            <w:tcW w:w="283" w:type="pct"/>
          </w:tcPr>
          <w:p w14:paraId="607ADE0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64A4C626" w14:textId="77777777" w:rsidR="00095411" w:rsidRPr="007348FD" w:rsidRDefault="00095411" w:rsidP="00591CBB">
            <w:pPr>
              <w:spacing w:after="160" w:line="259" w:lineRule="auto"/>
              <w:rPr>
                <w:rFonts w:ascii="Arial Narrow" w:hAnsi="Arial Narrow"/>
                <w:sz w:val="18"/>
                <w:szCs w:val="18"/>
              </w:rPr>
            </w:pPr>
          </w:p>
        </w:tc>
        <w:tc>
          <w:tcPr>
            <w:tcW w:w="149" w:type="pct"/>
          </w:tcPr>
          <w:p w14:paraId="2052999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BDA0986" w14:textId="77777777" w:rsidR="00095411" w:rsidRPr="007348FD" w:rsidRDefault="00095411" w:rsidP="00591CBB">
            <w:pPr>
              <w:spacing w:after="160" w:line="259" w:lineRule="auto"/>
              <w:rPr>
                <w:rFonts w:ascii="Arial Narrow" w:hAnsi="Arial Narrow"/>
                <w:sz w:val="18"/>
                <w:szCs w:val="18"/>
              </w:rPr>
            </w:pPr>
          </w:p>
        </w:tc>
        <w:tc>
          <w:tcPr>
            <w:tcW w:w="214" w:type="pct"/>
          </w:tcPr>
          <w:p w14:paraId="16AC15D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HMIS</w:t>
            </w:r>
          </w:p>
        </w:tc>
        <w:tc>
          <w:tcPr>
            <w:cnfStyle w:val="000010000000" w:firstRow="0" w:lastRow="0" w:firstColumn="0" w:lastColumn="0" w:oddVBand="1" w:evenVBand="0" w:oddHBand="0" w:evenHBand="0" w:firstRowFirstColumn="0" w:firstRowLastColumn="0" w:lastRowFirstColumn="0" w:lastRowLastColumn="0"/>
            <w:tcW w:w="245" w:type="pct"/>
          </w:tcPr>
          <w:p w14:paraId="62CEFA3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3048</w:t>
            </w:r>
          </w:p>
        </w:tc>
        <w:tc>
          <w:tcPr>
            <w:tcW w:w="280" w:type="pct"/>
          </w:tcPr>
          <w:p w14:paraId="5A8EA97E" w14:textId="142E90C0"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HMIS</w:t>
            </w:r>
          </w:p>
        </w:tc>
      </w:tr>
      <w:tr w:rsidR="00095411" w:rsidRPr="00591CBB" w14:paraId="2F3967F8"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55F7BB28" w14:textId="77777777" w:rsidR="00095411" w:rsidRPr="007348FD" w:rsidRDefault="00095411" w:rsidP="00591CBB">
            <w:pPr>
              <w:spacing w:after="160" w:line="259" w:lineRule="auto"/>
              <w:rPr>
                <w:rFonts w:ascii="Arial Narrow" w:hAnsi="Arial Narrow"/>
                <w:sz w:val="18"/>
                <w:szCs w:val="18"/>
              </w:rPr>
            </w:pPr>
          </w:p>
        </w:tc>
        <w:tc>
          <w:tcPr>
            <w:tcW w:w="460" w:type="pct"/>
          </w:tcPr>
          <w:p w14:paraId="1BD3D42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87FE312"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D36F4C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2F3D652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5058EB21" w14:textId="71CBB721"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7E41285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131</w:t>
            </w:r>
          </w:p>
        </w:tc>
        <w:tc>
          <w:tcPr>
            <w:tcW w:w="298" w:type="pct"/>
          </w:tcPr>
          <w:p w14:paraId="24B5FCF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264</w:t>
            </w:r>
          </w:p>
        </w:tc>
        <w:tc>
          <w:tcPr>
            <w:cnfStyle w:val="000010000000" w:firstRow="0" w:lastRow="0" w:firstColumn="0" w:lastColumn="0" w:oddVBand="1" w:evenVBand="0" w:oddHBand="0" w:evenHBand="0" w:firstRowFirstColumn="0" w:firstRowLastColumn="0" w:lastRowFirstColumn="0" w:lastRowLastColumn="0"/>
            <w:tcW w:w="197" w:type="pct"/>
          </w:tcPr>
          <w:p w14:paraId="74B60B0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268</w:t>
            </w:r>
          </w:p>
        </w:tc>
        <w:tc>
          <w:tcPr>
            <w:tcW w:w="273" w:type="pct"/>
          </w:tcPr>
          <w:p w14:paraId="06D13AE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663</w:t>
            </w:r>
          </w:p>
        </w:tc>
        <w:tc>
          <w:tcPr>
            <w:cnfStyle w:val="000010000000" w:firstRow="0" w:lastRow="0" w:firstColumn="0" w:lastColumn="0" w:oddVBand="1" w:evenVBand="0" w:oddHBand="0" w:evenHBand="0" w:firstRowFirstColumn="0" w:firstRowLastColumn="0" w:lastRowFirstColumn="0" w:lastRowLastColumn="0"/>
            <w:tcW w:w="285" w:type="pct"/>
          </w:tcPr>
          <w:p w14:paraId="23CE387E" w14:textId="77777777" w:rsidR="00095411" w:rsidRPr="007348FD" w:rsidRDefault="00095411" w:rsidP="00591CBB">
            <w:pPr>
              <w:spacing w:after="160" w:line="259" w:lineRule="auto"/>
              <w:rPr>
                <w:rFonts w:ascii="Arial Narrow" w:hAnsi="Arial Narrow"/>
                <w:sz w:val="18"/>
                <w:szCs w:val="18"/>
              </w:rPr>
            </w:pPr>
          </w:p>
        </w:tc>
        <w:tc>
          <w:tcPr>
            <w:tcW w:w="283" w:type="pct"/>
          </w:tcPr>
          <w:p w14:paraId="3959FB9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C148938" w14:textId="77777777" w:rsidR="00095411" w:rsidRPr="007348FD" w:rsidRDefault="00095411" w:rsidP="00591CBB">
            <w:pPr>
              <w:spacing w:after="160" w:line="259" w:lineRule="auto"/>
              <w:rPr>
                <w:rFonts w:ascii="Arial Narrow" w:hAnsi="Arial Narrow"/>
                <w:sz w:val="18"/>
                <w:szCs w:val="18"/>
              </w:rPr>
            </w:pPr>
          </w:p>
        </w:tc>
        <w:tc>
          <w:tcPr>
            <w:tcW w:w="149" w:type="pct"/>
          </w:tcPr>
          <w:p w14:paraId="4AE1153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7F8B494" w14:textId="77777777" w:rsidR="00095411" w:rsidRPr="007348FD" w:rsidRDefault="00095411" w:rsidP="00591CBB">
            <w:pPr>
              <w:spacing w:after="160" w:line="259" w:lineRule="auto"/>
              <w:rPr>
                <w:rFonts w:ascii="Arial Narrow" w:hAnsi="Arial Narrow"/>
                <w:sz w:val="18"/>
                <w:szCs w:val="18"/>
              </w:rPr>
            </w:pPr>
          </w:p>
        </w:tc>
        <w:tc>
          <w:tcPr>
            <w:tcW w:w="214" w:type="pct"/>
          </w:tcPr>
          <w:p w14:paraId="5B346F6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535</w:t>
            </w:r>
          </w:p>
        </w:tc>
        <w:tc>
          <w:tcPr>
            <w:cnfStyle w:val="000010000000" w:firstRow="0" w:lastRow="0" w:firstColumn="0" w:lastColumn="0" w:oddVBand="1" w:evenVBand="0" w:oddHBand="0" w:evenHBand="0" w:firstRowFirstColumn="0" w:firstRowLastColumn="0" w:lastRowFirstColumn="0" w:lastRowLastColumn="0"/>
            <w:tcW w:w="245" w:type="pct"/>
          </w:tcPr>
          <w:p w14:paraId="05A3846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812</w:t>
            </w:r>
          </w:p>
        </w:tc>
        <w:tc>
          <w:tcPr>
            <w:tcW w:w="280" w:type="pct"/>
          </w:tcPr>
          <w:p w14:paraId="30546BC7" w14:textId="35DADE8F"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821</w:t>
            </w:r>
          </w:p>
        </w:tc>
      </w:tr>
      <w:tr w:rsidR="00095411" w:rsidRPr="00591CBB" w14:paraId="4DC705B4"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48566D22" w14:textId="77777777" w:rsidR="00095411" w:rsidRPr="007348FD" w:rsidRDefault="00095411" w:rsidP="00591CBB">
            <w:pPr>
              <w:spacing w:after="160" w:line="259" w:lineRule="auto"/>
              <w:rPr>
                <w:rFonts w:ascii="Arial Narrow" w:hAnsi="Arial Narrow"/>
                <w:sz w:val="18"/>
                <w:szCs w:val="18"/>
              </w:rPr>
            </w:pPr>
          </w:p>
        </w:tc>
        <w:tc>
          <w:tcPr>
            <w:tcW w:w="460" w:type="pct"/>
          </w:tcPr>
          <w:p w14:paraId="36A59B9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A4F2C27"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A5D996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13D2D7F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1AB3E68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029F09E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2A4AD1D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764</w:t>
            </w:r>
          </w:p>
        </w:tc>
        <w:tc>
          <w:tcPr>
            <w:cnfStyle w:val="000010000000" w:firstRow="0" w:lastRow="0" w:firstColumn="0" w:lastColumn="0" w:oddVBand="1" w:evenVBand="0" w:oddHBand="0" w:evenHBand="0" w:firstRowFirstColumn="0" w:firstRowLastColumn="0" w:lastRowFirstColumn="0" w:lastRowLastColumn="0"/>
            <w:tcW w:w="197" w:type="pct"/>
          </w:tcPr>
          <w:p w14:paraId="1361A597" w14:textId="77777777" w:rsidR="00095411" w:rsidRPr="007348FD" w:rsidRDefault="00095411" w:rsidP="00591CBB">
            <w:pPr>
              <w:spacing w:after="160" w:line="259" w:lineRule="auto"/>
              <w:rPr>
                <w:rFonts w:ascii="Arial Narrow" w:hAnsi="Arial Narrow"/>
                <w:sz w:val="18"/>
                <w:szCs w:val="18"/>
              </w:rPr>
            </w:pPr>
          </w:p>
        </w:tc>
        <w:tc>
          <w:tcPr>
            <w:tcW w:w="273" w:type="pct"/>
          </w:tcPr>
          <w:p w14:paraId="241A52F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764</w:t>
            </w:r>
          </w:p>
        </w:tc>
        <w:tc>
          <w:tcPr>
            <w:cnfStyle w:val="000010000000" w:firstRow="0" w:lastRow="0" w:firstColumn="0" w:lastColumn="0" w:oddVBand="1" w:evenVBand="0" w:oddHBand="0" w:evenHBand="0" w:firstRowFirstColumn="0" w:firstRowLastColumn="0" w:lastRowFirstColumn="0" w:lastRowLastColumn="0"/>
            <w:tcW w:w="285" w:type="pct"/>
          </w:tcPr>
          <w:p w14:paraId="20EDC80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w:t>
            </w:r>
          </w:p>
        </w:tc>
        <w:tc>
          <w:tcPr>
            <w:tcW w:w="283" w:type="pct"/>
          </w:tcPr>
          <w:p w14:paraId="5D1F05B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0A2B032B" w14:textId="77777777" w:rsidR="00095411" w:rsidRPr="007348FD" w:rsidRDefault="00095411" w:rsidP="00591CBB">
            <w:pPr>
              <w:spacing w:after="160" w:line="259" w:lineRule="auto"/>
              <w:rPr>
                <w:rFonts w:ascii="Arial Narrow" w:hAnsi="Arial Narrow"/>
                <w:sz w:val="18"/>
                <w:szCs w:val="18"/>
              </w:rPr>
            </w:pPr>
          </w:p>
        </w:tc>
        <w:tc>
          <w:tcPr>
            <w:tcW w:w="149" w:type="pct"/>
          </w:tcPr>
          <w:p w14:paraId="2F25394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21221AB" w14:textId="77777777" w:rsidR="00095411" w:rsidRPr="007348FD" w:rsidRDefault="00095411" w:rsidP="00591CBB">
            <w:pPr>
              <w:spacing w:after="160" w:line="259" w:lineRule="auto"/>
              <w:rPr>
                <w:rFonts w:ascii="Arial Narrow" w:hAnsi="Arial Narrow"/>
                <w:sz w:val="18"/>
                <w:szCs w:val="18"/>
              </w:rPr>
            </w:pPr>
          </w:p>
        </w:tc>
        <w:tc>
          <w:tcPr>
            <w:tcW w:w="214" w:type="pct"/>
          </w:tcPr>
          <w:p w14:paraId="4CA279A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HMIS</w:t>
            </w:r>
          </w:p>
        </w:tc>
        <w:tc>
          <w:tcPr>
            <w:cnfStyle w:val="000010000000" w:firstRow="0" w:lastRow="0" w:firstColumn="0" w:lastColumn="0" w:oddVBand="1" w:evenVBand="0" w:oddHBand="0" w:evenHBand="0" w:firstRowFirstColumn="0" w:firstRowLastColumn="0" w:lastRowFirstColumn="0" w:lastRowLastColumn="0"/>
            <w:tcW w:w="245" w:type="pct"/>
          </w:tcPr>
          <w:p w14:paraId="1022086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HMIS</w:t>
            </w:r>
          </w:p>
        </w:tc>
        <w:tc>
          <w:tcPr>
            <w:tcW w:w="280" w:type="pct"/>
          </w:tcPr>
          <w:p w14:paraId="650BDAF1" w14:textId="30539B6C"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HMIS</w:t>
            </w:r>
          </w:p>
        </w:tc>
      </w:tr>
      <w:tr w:rsidR="00095411" w:rsidRPr="00591CBB" w14:paraId="00B7D1B9" w14:textId="77777777" w:rsidTr="00051F27">
        <w:trPr>
          <w:trHeight w:val="206"/>
        </w:trPr>
        <w:tc>
          <w:tcPr>
            <w:cnfStyle w:val="000010000000" w:firstRow="0" w:lastRow="0" w:firstColumn="0" w:lastColumn="0" w:oddVBand="1" w:evenVBand="0" w:oddHBand="0" w:evenHBand="0" w:firstRowFirstColumn="0" w:firstRowLastColumn="0" w:lastRowFirstColumn="0" w:lastRowLastColumn="0"/>
            <w:tcW w:w="432" w:type="pct"/>
          </w:tcPr>
          <w:p w14:paraId="6732B0D1" w14:textId="77777777" w:rsidR="00095411" w:rsidRPr="007348FD" w:rsidRDefault="00095411" w:rsidP="00591CBB">
            <w:pPr>
              <w:spacing w:after="160" w:line="259" w:lineRule="auto"/>
              <w:rPr>
                <w:rFonts w:ascii="Arial Narrow" w:hAnsi="Arial Narrow"/>
                <w:sz w:val="18"/>
                <w:szCs w:val="18"/>
              </w:rPr>
            </w:pPr>
          </w:p>
        </w:tc>
        <w:tc>
          <w:tcPr>
            <w:tcW w:w="460" w:type="pct"/>
          </w:tcPr>
          <w:p w14:paraId="1EB6276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D118BD4"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52E2AD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622BAFE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72D75DB" w14:textId="6C4D07A8"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360F3BE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354</w:t>
            </w:r>
          </w:p>
        </w:tc>
        <w:tc>
          <w:tcPr>
            <w:tcW w:w="298" w:type="pct"/>
          </w:tcPr>
          <w:p w14:paraId="017A1BF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721</w:t>
            </w:r>
          </w:p>
        </w:tc>
        <w:tc>
          <w:tcPr>
            <w:cnfStyle w:val="000010000000" w:firstRow="0" w:lastRow="0" w:firstColumn="0" w:lastColumn="0" w:oddVBand="1" w:evenVBand="0" w:oddHBand="0" w:evenHBand="0" w:firstRowFirstColumn="0" w:firstRowLastColumn="0" w:lastRowFirstColumn="0" w:lastRowLastColumn="0"/>
            <w:tcW w:w="197" w:type="pct"/>
          </w:tcPr>
          <w:p w14:paraId="448F565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737</w:t>
            </w:r>
          </w:p>
        </w:tc>
        <w:tc>
          <w:tcPr>
            <w:tcW w:w="273" w:type="pct"/>
          </w:tcPr>
          <w:p w14:paraId="49EFA39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1812</w:t>
            </w:r>
          </w:p>
        </w:tc>
        <w:tc>
          <w:tcPr>
            <w:cnfStyle w:val="000010000000" w:firstRow="0" w:lastRow="0" w:firstColumn="0" w:lastColumn="0" w:oddVBand="1" w:evenVBand="0" w:oddHBand="0" w:evenHBand="0" w:firstRowFirstColumn="0" w:firstRowLastColumn="0" w:lastRowFirstColumn="0" w:lastRowLastColumn="0"/>
            <w:tcW w:w="285" w:type="pct"/>
          </w:tcPr>
          <w:p w14:paraId="0962C8D2" w14:textId="77777777" w:rsidR="00095411" w:rsidRPr="007348FD" w:rsidRDefault="00095411" w:rsidP="00591CBB">
            <w:pPr>
              <w:spacing w:after="160" w:line="259" w:lineRule="auto"/>
              <w:rPr>
                <w:rFonts w:ascii="Arial Narrow" w:hAnsi="Arial Narrow"/>
                <w:sz w:val="18"/>
                <w:szCs w:val="18"/>
              </w:rPr>
            </w:pPr>
          </w:p>
        </w:tc>
        <w:tc>
          <w:tcPr>
            <w:tcW w:w="283" w:type="pct"/>
          </w:tcPr>
          <w:p w14:paraId="2DBEDD4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E3BE774" w14:textId="77777777" w:rsidR="00095411" w:rsidRPr="007348FD" w:rsidRDefault="00095411" w:rsidP="00591CBB">
            <w:pPr>
              <w:spacing w:after="160" w:line="259" w:lineRule="auto"/>
              <w:rPr>
                <w:rFonts w:ascii="Arial Narrow" w:hAnsi="Arial Narrow"/>
                <w:sz w:val="18"/>
                <w:szCs w:val="18"/>
              </w:rPr>
            </w:pPr>
          </w:p>
        </w:tc>
        <w:tc>
          <w:tcPr>
            <w:tcW w:w="149" w:type="pct"/>
          </w:tcPr>
          <w:p w14:paraId="2B2B0DE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DC0482E" w14:textId="77777777" w:rsidR="00095411" w:rsidRPr="007348FD" w:rsidRDefault="00095411" w:rsidP="00591CBB">
            <w:pPr>
              <w:spacing w:after="160" w:line="259" w:lineRule="auto"/>
              <w:rPr>
                <w:rFonts w:ascii="Arial Narrow" w:hAnsi="Arial Narrow"/>
                <w:sz w:val="18"/>
                <w:szCs w:val="18"/>
              </w:rPr>
            </w:pPr>
          </w:p>
        </w:tc>
        <w:tc>
          <w:tcPr>
            <w:tcW w:w="214" w:type="pct"/>
          </w:tcPr>
          <w:p w14:paraId="449DE59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1474</w:t>
            </w:r>
          </w:p>
        </w:tc>
        <w:tc>
          <w:tcPr>
            <w:cnfStyle w:val="000010000000" w:firstRow="0" w:lastRow="0" w:firstColumn="0" w:lastColumn="0" w:oddVBand="1" w:evenVBand="0" w:oddHBand="0" w:evenHBand="0" w:firstRowFirstColumn="0" w:firstRowLastColumn="0" w:lastRowFirstColumn="0" w:lastRowLastColumn="0"/>
            <w:tcW w:w="245" w:type="pct"/>
          </w:tcPr>
          <w:p w14:paraId="787D229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2258</w:t>
            </w:r>
          </w:p>
        </w:tc>
        <w:tc>
          <w:tcPr>
            <w:tcW w:w="280" w:type="pct"/>
          </w:tcPr>
          <w:p w14:paraId="7F6A94FE" w14:textId="4CD20B1F"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2309</w:t>
            </w:r>
          </w:p>
        </w:tc>
      </w:tr>
      <w:tr w:rsidR="00095411" w:rsidRPr="00591CBB" w14:paraId="72882C3A" w14:textId="77777777" w:rsidTr="00051F27">
        <w:trPr>
          <w:cnfStyle w:val="000000100000" w:firstRow="0" w:lastRow="0" w:firstColumn="0" w:lastColumn="0" w:oddVBand="0" w:evenVBand="0" w:oddHBand="1"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432" w:type="pct"/>
          </w:tcPr>
          <w:p w14:paraId="26F55317" w14:textId="77777777" w:rsidR="00095411" w:rsidRPr="007348FD" w:rsidRDefault="00095411" w:rsidP="00591CBB">
            <w:pPr>
              <w:spacing w:after="160" w:line="259" w:lineRule="auto"/>
              <w:rPr>
                <w:rFonts w:ascii="Arial Narrow" w:hAnsi="Arial Narrow"/>
                <w:sz w:val="18"/>
                <w:szCs w:val="18"/>
              </w:rPr>
            </w:pPr>
          </w:p>
        </w:tc>
        <w:tc>
          <w:tcPr>
            <w:tcW w:w="460" w:type="pct"/>
          </w:tcPr>
          <w:p w14:paraId="2C816BA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C0ACF6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5C35E5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7306655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576B074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400444D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7ED15EC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648</w:t>
            </w:r>
          </w:p>
        </w:tc>
        <w:tc>
          <w:tcPr>
            <w:cnfStyle w:val="000010000000" w:firstRow="0" w:lastRow="0" w:firstColumn="0" w:lastColumn="0" w:oddVBand="1" w:evenVBand="0" w:oddHBand="0" w:evenHBand="0" w:firstRowFirstColumn="0" w:firstRowLastColumn="0" w:lastRowFirstColumn="0" w:lastRowLastColumn="0"/>
            <w:tcW w:w="197" w:type="pct"/>
          </w:tcPr>
          <w:p w14:paraId="412D78AB" w14:textId="77777777" w:rsidR="00095411" w:rsidRPr="007348FD" w:rsidRDefault="00095411" w:rsidP="00591CBB">
            <w:pPr>
              <w:spacing w:after="160" w:line="259" w:lineRule="auto"/>
              <w:rPr>
                <w:rFonts w:ascii="Arial Narrow" w:hAnsi="Arial Narrow"/>
                <w:sz w:val="18"/>
                <w:szCs w:val="18"/>
              </w:rPr>
            </w:pPr>
          </w:p>
        </w:tc>
        <w:tc>
          <w:tcPr>
            <w:tcW w:w="273" w:type="pct"/>
          </w:tcPr>
          <w:p w14:paraId="087B0E8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648</w:t>
            </w:r>
          </w:p>
        </w:tc>
        <w:tc>
          <w:tcPr>
            <w:cnfStyle w:val="000010000000" w:firstRow="0" w:lastRow="0" w:firstColumn="0" w:lastColumn="0" w:oddVBand="1" w:evenVBand="0" w:oddHBand="0" w:evenHBand="0" w:firstRowFirstColumn="0" w:firstRowLastColumn="0" w:lastRowFirstColumn="0" w:lastRowLastColumn="0"/>
            <w:tcW w:w="285" w:type="pct"/>
          </w:tcPr>
          <w:p w14:paraId="73E8A1F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36%</w:t>
            </w:r>
          </w:p>
        </w:tc>
        <w:tc>
          <w:tcPr>
            <w:tcW w:w="283" w:type="pct"/>
          </w:tcPr>
          <w:p w14:paraId="3E9B3E0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4A85C2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149" w:type="pct"/>
          </w:tcPr>
          <w:p w14:paraId="29E41F6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F96A1F1" w14:textId="77777777" w:rsidR="00095411" w:rsidRPr="007348FD" w:rsidRDefault="00095411" w:rsidP="00591CBB">
            <w:pPr>
              <w:spacing w:after="160" w:line="259" w:lineRule="auto"/>
              <w:rPr>
                <w:rFonts w:ascii="Arial Narrow" w:hAnsi="Arial Narrow"/>
                <w:sz w:val="18"/>
                <w:szCs w:val="18"/>
              </w:rPr>
            </w:pPr>
          </w:p>
        </w:tc>
        <w:tc>
          <w:tcPr>
            <w:tcW w:w="214" w:type="pct"/>
          </w:tcPr>
          <w:p w14:paraId="40CF725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HMIS</w:t>
            </w:r>
          </w:p>
        </w:tc>
        <w:tc>
          <w:tcPr>
            <w:cnfStyle w:val="000010000000" w:firstRow="0" w:lastRow="0" w:firstColumn="0" w:lastColumn="0" w:oddVBand="1" w:evenVBand="0" w:oddHBand="0" w:evenHBand="0" w:firstRowFirstColumn="0" w:firstRowLastColumn="0" w:lastRowFirstColumn="0" w:lastRowLastColumn="0"/>
            <w:tcW w:w="245" w:type="pct"/>
          </w:tcPr>
          <w:p w14:paraId="7163557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HMIS</w:t>
            </w:r>
          </w:p>
        </w:tc>
        <w:tc>
          <w:tcPr>
            <w:tcW w:w="280" w:type="pct"/>
          </w:tcPr>
          <w:p w14:paraId="375FD9AC" w14:textId="76A876D3"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HMIS</w:t>
            </w:r>
          </w:p>
        </w:tc>
      </w:tr>
      <w:tr w:rsidR="00095411" w:rsidRPr="00591CBB" w14:paraId="389B9A06"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6D15991D" w14:textId="77777777" w:rsidR="00095411" w:rsidRPr="007348FD" w:rsidRDefault="00095411" w:rsidP="00591CBB">
            <w:pPr>
              <w:spacing w:after="160" w:line="259" w:lineRule="auto"/>
              <w:rPr>
                <w:rFonts w:ascii="Arial Narrow" w:hAnsi="Arial Narrow"/>
                <w:sz w:val="18"/>
                <w:szCs w:val="18"/>
              </w:rPr>
            </w:pPr>
          </w:p>
        </w:tc>
        <w:tc>
          <w:tcPr>
            <w:tcW w:w="460" w:type="pct"/>
          </w:tcPr>
          <w:p w14:paraId="709FEB0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sz w:val="18"/>
                <w:szCs w:val="18"/>
              </w:rPr>
              <w:t>7. Percentage of (402)(</w:t>
            </w:r>
            <w:r w:rsidRPr="007348FD">
              <w:rPr>
                <w:rFonts w:ascii="Arial Narrow" w:hAnsi="Arial Narrow"/>
                <w:b/>
                <w:bCs/>
                <w:sz w:val="18"/>
                <w:szCs w:val="18"/>
                <w:u w:val="single"/>
              </w:rPr>
              <w:t>754</w:t>
            </w:r>
            <w:r w:rsidRPr="007348FD">
              <w:rPr>
                <w:rFonts w:ascii="Arial Narrow" w:hAnsi="Arial Narrow"/>
                <w:sz w:val="18"/>
                <w:szCs w:val="18"/>
              </w:rPr>
              <w:t xml:space="preserve">) primary service delivery points (SDPs) that have at least 3 modern FP methods on the day of visit or assessment (disaggregated for urban-rural and SDP type) including EC </w:t>
            </w:r>
            <w:r w:rsidRPr="007348FD">
              <w:rPr>
                <w:rFonts w:ascii="Arial Narrow" w:hAnsi="Arial Narrow"/>
                <w:b/>
                <w:bCs/>
                <w:sz w:val="18"/>
                <w:szCs w:val="18"/>
              </w:rPr>
              <w:t>[UNFPA Supplies Indicator 1.3.1]</w:t>
            </w:r>
          </w:p>
        </w:tc>
        <w:tc>
          <w:tcPr>
            <w:cnfStyle w:val="000010000000" w:firstRow="0" w:lastRow="0" w:firstColumn="0" w:lastColumn="0" w:oddVBand="1" w:evenVBand="0" w:oddHBand="0" w:evenHBand="0" w:firstRowFirstColumn="0" w:firstRowLastColumn="0" w:lastRowFirstColumn="0" w:lastRowLastColumn="0"/>
            <w:tcW w:w="371" w:type="pct"/>
          </w:tcPr>
          <w:p w14:paraId="4208C210"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t>ö</w:t>
            </w:r>
          </w:p>
        </w:tc>
        <w:tc>
          <w:tcPr>
            <w:tcW w:w="341" w:type="pct"/>
          </w:tcPr>
          <w:p w14:paraId="6509BB2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7B6ED1F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15D8AC1" w14:textId="61E724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3CA0E1CF" w14:textId="59C1C864"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90%</w:t>
            </w:r>
          </w:p>
        </w:tc>
        <w:tc>
          <w:tcPr>
            <w:tcW w:w="298" w:type="pct"/>
          </w:tcPr>
          <w:p w14:paraId="030397E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90%</w:t>
            </w:r>
          </w:p>
        </w:tc>
        <w:tc>
          <w:tcPr>
            <w:cnfStyle w:val="000010000000" w:firstRow="0" w:lastRow="0" w:firstColumn="0" w:lastColumn="0" w:oddVBand="1" w:evenVBand="0" w:oddHBand="0" w:evenHBand="0" w:firstRowFirstColumn="0" w:firstRowLastColumn="0" w:lastRowFirstColumn="0" w:lastRowLastColumn="0"/>
            <w:tcW w:w="197" w:type="pct"/>
          </w:tcPr>
          <w:p w14:paraId="3BE7E46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95%</w:t>
            </w:r>
          </w:p>
        </w:tc>
        <w:tc>
          <w:tcPr>
            <w:tcW w:w="273" w:type="pct"/>
          </w:tcPr>
          <w:p w14:paraId="4A32B2B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5FFF3A6" w14:textId="77777777" w:rsidR="00095411" w:rsidRPr="007348FD" w:rsidRDefault="00095411" w:rsidP="00591CBB">
            <w:pPr>
              <w:spacing w:after="160" w:line="259" w:lineRule="auto"/>
              <w:rPr>
                <w:rFonts w:ascii="Arial Narrow" w:hAnsi="Arial Narrow"/>
                <w:sz w:val="18"/>
                <w:szCs w:val="18"/>
              </w:rPr>
            </w:pPr>
          </w:p>
        </w:tc>
        <w:tc>
          <w:tcPr>
            <w:tcW w:w="283" w:type="pct"/>
          </w:tcPr>
          <w:p w14:paraId="1732EBD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78F5ED8" w14:textId="77777777" w:rsidR="00095411" w:rsidRPr="007348FD" w:rsidRDefault="00095411" w:rsidP="00591CBB">
            <w:pPr>
              <w:spacing w:after="160" w:line="259" w:lineRule="auto"/>
              <w:rPr>
                <w:rFonts w:ascii="Arial Narrow" w:hAnsi="Arial Narrow"/>
                <w:sz w:val="18"/>
                <w:szCs w:val="18"/>
              </w:rPr>
            </w:pPr>
          </w:p>
        </w:tc>
        <w:tc>
          <w:tcPr>
            <w:tcW w:w="149" w:type="pct"/>
          </w:tcPr>
          <w:p w14:paraId="72364AF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7E72FBD" w14:textId="77777777" w:rsidR="00095411" w:rsidRPr="007348FD" w:rsidRDefault="00095411" w:rsidP="00591CBB">
            <w:pPr>
              <w:spacing w:after="160" w:line="259" w:lineRule="auto"/>
              <w:rPr>
                <w:rFonts w:ascii="Arial Narrow" w:hAnsi="Arial Narrow"/>
                <w:sz w:val="18"/>
                <w:szCs w:val="18"/>
              </w:rPr>
            </w:pPr>
          </w:p>
        </w:tc>
        <w:tc>
          <w:tcPr>
            <w:tcW w:w="214" w:type="pct"/>
          </w:tcPr>
          <w:p w14:paraId="6B1F341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100%</w:t>
            </w:r>
          </w:p>
        </w:tc>
        <w:tc>
          <w:tcPr>
            <w:cnfStyle w:val="000010000000" w:firstRow="0" w:lastRow="0" w:firstColumn="0" w:lastColumn="0" w:oddVBand="1" w:evenVBand="0" w:oddHBand="0" w:evenHBand="0" w:firstRowFirstColumn="0" w:firstRowLastColumn="0" w:lastRowFirstColumn="0" w:lastRowLastColumn="0"/>
            <w:tcW w:w="245" w:type="pct"/>
          </w:tcPr>
          <w:p w14:paraId="271EF6D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100%</w:t>
            </w:r>
          </w:p>
        </w:tc>
        <w:tc>
          <w:tcPr>
            <w:tcW w:w="280" w:type="pct"/>
          </w:tcPr>
          <w:p w14:paraId="5591C2C4" w14:textId="0C87489A"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100%</w:t>
            </w:r>
          </w:p>
        </w:tc>
      </w:tr>
      <w:tr w:rsidR="00095411" w:rsidRPr="00591CBB" w14:paraId="380903BF" w14:textId="53E9C71F"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447099E4" w14:textId="77777777" w:rsidR="00095411" w:rsidRPr="007348FD" w:rsidRDefault="00095411" w:rsidP="00591CBB">
            <w:pPr>
              <w:spacing w:after="160" w:line="259" w:lineRule="auto"/>
              <w:rPr>
                <w:rFonts w:ascii="Arial Narrow" w:hAnsi="Arial Narrow"/>
                <w:sz w:val="18"/>
                <w:szCs w:val="18"/>
              </w:rPr>
            </w:pPr>
          </w:p>
        </w:tc>
        <w:tc>
          <w:tcPr>
            <w:tcW w:w="460" w:type="pct"/>
          </w:tcPr>
          <w:p w14:paraId="2ECCA52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BE7D301"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796BC6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CC6C31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3038078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70849CC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65%</w:t>
            </w:r>
          </w:p>
        </w:tc>
        <w:tc>
          <w:tcPr>
            <w:tcW w:w="298" w:type="pct"/>
          </w:tcPr>
          <w:p w14:paraId="2A7F71F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89%</w:t>
            </w:r>
          </w:p>
        </w:tc>
        <w:tc>
          <w:tcPr>
            <w:cnfStyle w:val="000010000000" w:firstRow="0" w:lastRow="0" w:firstColumn="0" w:lastColumn="0" w:oddVBand="1" w:evenVBand="0" w:oddHBand="0" w:evenHBand="0" w:firstRowFirstColumn="0" w:firstRowLastColumn="0" w:lastRowFirstColumn="0" w:lastRowLastColumn="0"/>
            <w:tcW w:w="197" w:type="pct"/>
          </w:tcPr>
          <w:p w14:paraId="76449567" w14:textId="77777777" w:rsidR="00095411" w:rsidRPr="007348FD" w:rsidRDefault="00095411" w:rsidP="00591CBB">
            <w:pPr>
              <w:spacing w:after="160" w:line="259" w:lineRule="auto"/>
              <w:rPr>
                <w:rFonts w:ascii="Arial Narrow" w:hAnsi="Arial Narrow"/>
                <w:sz w:val="18"/>
                <w:szCs w:val="18"/>
              </w:rPr>
            </w:pPr>
          </w:p>
        </w:tc>
        <w:tc>
          <w:tcPr>
            <w:tcW w:w="273" w:type="pct"/>
          </w:tcPr>
          <w:p w14:paraId="40248DD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89%</w:t>
            </w:r>
          </w:p>
        </w:tc>
        <w:tc>
          <w:tcPr>
            <w:cnfStyle w:val="000010000000" w:firstRow="0" w:lastRow="0" w:firstColumn="0" w:lastColumn="0" w:oddVBand="1" w:evenVBand="0" w:oddHBand="0" w:evenHBand="0" w:firstRowFirstColumn="0" w:firstRowLastColumn="0" w:lastRowFirstColumn="0" w:lastRowLastColumn="0"/>
            <w:tcW w:w="285" w:type="pct"/>
          </w:tcPr>
          <w:p w14:paraId="55629A5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94%</w:t>
            </w:r>
          </w:p>
        </w:tc>
        <w:tc>
          <w:tcPr>
            <w:tcW w:w="283" w:type="pct"/>
          </w:tcPr>
          <w:p w14:paraId="42C8EE8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317282FC" w14:textId="77777777" w:rsidR="00095411" w:rsidRPr="007348FD" w:rsidRDefault="00095411" w:rsidP="00591CBB">
            <w:pPr>
              <w:spacing w:after="160" w:line="259" w:lineRule="auto"/>
              <w:rPr>
                <w:rFonts w:ascii="Arial Narrow" w:hAnsi="Arial Narrow"/>
                <w:sz w:val="18"/>
                <w:szCs w:val="18"/>
              </w:rPr>
            </w:pPr>
          </w:p>
        </w:tc>
        <w:tc>
          <w:tcPr>
            <w:tcW w:w="149" w:type="pct"/>
          </w:tcPr>
          <w:p w14:paraId="1117D94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AF69F67" w14:textId="77777777" w:rsidR="00095411" w:rsidRPr="007348FD" w:rsidRDefault="00095411" w:rsidP="00591CBB">
            <w:pPr>
              <w:spacing w:after="160" w:line="259" w:lineRule="auto"/>
              <w:rPr>
                <w:rFonts w:ascii="Arial Narrow" w:hAnsi="Arial Narrow"/>
                <w:sz w:val="18"/>
                <w:szCs w:val="18"/>
              </w:rPr>
            </w:pPr>
          </w:p>
        </w:tc>
        <w:tc>
          <w:tcPr>
            <w:tcW w:w="214" w:type="pct"/>
          </w:tcPr>
          <w:p w14:paraId="424E17D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Spot check</w:t>
            </w:r>
          </w:p>
        </w:tc>
        <w:tc>
          <w:tcPr>
            <w:cnfStyle w:val="000010000000" w:firstRow="0" w:lastRow="0" w:firstColumn="0" w:lastColumn="0" w:oddVBand="1" w:evenVBand="0" w:oddHBand="0" w:evenHBand="0" w:firstRowFirstColumn="0" w:firstRowLastColumn="0" w:lastRowFirstColumn="0" w:lastRowLastColumn="0"/>
            <w:tcW w:w="245" w:type="pct"/>
          </w:tcPr>
          <w:p w14:paraId="48F69D9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Spot check</w:t>
            </w:r>
          </w:p>
        </w:tc>
        <w:tc>
          <w:tcPr>
            <w:tcW w:w="280" w:type="pct"/>
          </w:tcPr>
          <w:p w14:paraId="4A88DC0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0DA88114"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4CE19851" w14:textId="77777777" w:rsidR="00095411" w:rsidRPr="007348FD" w:rsidRDefault="00095411" w:rsidP="00591CBB">
            <w:pPr>
              <w:spacing w:after="160" w:line="259" w:lineRule="auto"/>
              <w:rPr>
                <w:rFonts w:ascii="Arial Narrow" w:hAnsi="Arial Narrow"/>
                <w:sz w:val="18"/>
                <w:szCs w:val="18"/>
              </w:rPr>
            </w:pPr>
          </w:p>
        </w:tc>
        <w:tc>
          <w:tcPr>
            <w:tcW w:w="460" w:type="pct"/>
          </w:tcPr>
          <w:p w14:paraId="059D44C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D64489A"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B4232A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712A149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059D3FE8" w14:textId="2314D48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7CA94C9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85%</w:t>
            </w:r>
          </w:p>
        </w:tc>
        <w:tc>
          <w:tcPr>
            <w:tcW w:w="298" w:type="pct"/>
          </w:tcPr>
          <w:p w14:paraId="05EC4E9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90%</w:t>
            </w:r>
          </w:p>
        </w:tc>
        <w:tc>
          <w:tcPr>
            <w:cnfStyle w:val="000010000000" w:firstRow="0" w:lastRow="0" w:firstColumn="0" w:lastColumn="0" w:oddVBand="1" w:evenVBand="0" w:oddHBand="0" w:evenHBand="0" w:firstRowFirstColumn="0" w:firstRowLastColumn="0" w:lastRowFirstColumn="0" w:lastRowLastColumn="0"/>
            <w:tcW w:w="197" w:type="pct"/>
          </w:tcPr>
          <w:p w14:paraId="558FDBE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95%</w:t>
            </w:r>
          </w:p>
        </w:tc>
        <w:tc>
          <w:tcPr>
            <w:tcW w:w="273" w:type="pct"/>
          </w:tcPr>
          <w:p w14:paraId="0AF53AF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CE2DE3A" w14:textId="77777777" w:rsidR="00095411" w:rsidRPr="007348FD" w:rsidRDefault="00095411" w:rsidP="00591CBB">
            <w:pPr>
              <w:spacing w:after="160" w:line="259" w:lineRule="auto"/>
              <w:rPr>
                <w:rFonts w:ascii="Arial Narrow" w:hAnsi="Arial Narrow"/>
                <w:sz w:val="18"/>
                <w:szCs w:val="18"/>
              </w:rPr>
            </w:pPr>
          </w:p>
        </w:tc>
        <w:tc>
          <w:tcPr>
            <w:tcW w:w="283" w:type="pct"/>
          </w:tcPr>
          <w:p w14:paraId="26745D7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9337F84" w14:textId="77777777" w:rsidR="00095411" w:rsidRPr="007348FD" w:rsidRDefault="00095411" w:rsidP="00591CBB">
            <w:pPr>
              <w:spacing w:after="160" w:line="259" w:lineRule="auto"/>
              <w:rPr>
                <w:rFonts w:ascii="Arial Narrow" w:hAnsi="Arial Narrow"/>
                <w:sz w:val="18"/>
                <w:szCs w:val="18"/>
              </w:rPr>
            </w:pPr>
          </w:p>
        </w:tc>
        <w:tc>
          <w:tcPr>
            <w:tcW w:w="149" w:type="pct"/>
          </w:tcPr>
          <w:p w14:paraId="27AFD58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F9E7495" w14:textId="77777777" w:rsidR="00095411" w:rsidRPr="007348FD" w:rsidRDefault="00095411" w:rsidP="00591CBB">
            <w:pPr>
              <w:spacing w:after="160" w:line="259" w:lineRule="auto"/>
              <w:rPr>
                <w:rFonts w:ascii="Arial Narrow" w:hAnsi="Arial Narrow"/>
                <w:sz w:val="18"/>
                <w:szCs w:val="18"/>
              </w:rPr>
            </w:pPr>
          </w:p>
        </w:tc>
        <w:tc>
          <w:tcPr>
            <w:tcW w:w="214" w:type="pct"/>
          </w:tcPr>
          <w:p w14:paraId="1CEB2CE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100%</w:t>
            </w:r>
          </w:p>
        </w:tc>
        <w:tc>
          <w:tcPr>
            <w:cnfStyle w:val="000010000000" w:firstRow="0" w:lastRow="0" w:firstColumn="0" w:lastColumn="0" w:oddVBand="1" w:evenVBand="0" w:oddHBand="0" w:evenHBand="0" w:firstRowFirstColumn="0" w:firstRowLastColumn="0" w:lastRowFirstColumn="0" w:lastRowLastColumn="0"/>
            <w:tcW w:w="245" w:type="pct"/>
          </w:tcPr>
          <w:p w14:paraId="052588C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100%</w:t>
            </w:r>
          </w:p>
        </w:tc>
        <w:tc>
          <w:tcPr>
            <w:tcW w:w="280" w:type="pct"/>
          </w:tcPr>
          <w:p w14:paraId="17934929" w14:textId="79D84989"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100%</w:t>
            </w:r>
          </w:p>
        </w:tc>
      </w:tr>
      <w:tr w:rsidR="00095411" w:rsidRPr="00591CBB" w14:paraId="439FBCB8" w14:textId="086A5E93"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146C9284" w14:textId="77777777" w:rsidR="00095411" w:rsidRPr="007348FD" w:rsidRDefault="00095411" w:rsidP="00591CBB">
            <w:pPr>
              <w:spacing w:after="160" w:line="259" w:lineRule="auto"/>
              <w:rPr>
                <w:rFonts w:ascii="Arial Narrow" w:hAnsi="Arial Narrow"/>
                <w:sz w:val="18"/>
                <w:szCs w:val="18"/>
              </w:rPr>
            </w:pPr>
          </w:p>
        </w:tc>
        <w:tc>
          <w:tcPr>
            <w:tcW w:w="460" w:type="pct"/>
          </w:tcPr>
          <w:p w14:paraId="243D98E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A1FFD01"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83A11D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16CA3B7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67583B7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3EED378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74%</w:t>
            </w:r>
          </w:p>
        </w:tc>
        <w:tc>
          <w:tcPr>
            <w:tcW w:w="298" w:type="pct"/>
          </w:tcPr>
          <w:p w14:paraId="2D77982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74%</w:t>
            </w:r>
          </w:p>
        </w:tc>
        <w:tc>
          <w:tcPr>
            <w:cnfStyle w:val="000010000000" w:firstRow="0" w:lastRow="0" w:firstColumn="0" w:lastColumn="0" w:oddVBand="1" w:evenVBand="0" w:oddHBand="0" w:evenHBand="0" w:firstRowFirstColumn="0" w:firstRowLastColumn="0" w:lastRowFirstColumn="0" w:lastRowLastColumn="0"/>
            <w:tcW w:w="197" w:type="pct"/>
          </w:tcPr>
          <w:p w14:paraId="6014B16F" w14:textId="77777777" w:rsidR="00095411" w:rsidRPr="007348FD" w:rsidRDefault="00095411" w:rsidP="00591CBB">
            <w:pPr>
              <w:spacing w:after="160" w:line="259" w:lineRule="auto"/>
              <w:rPr>
                <w:rFonts w:ascii="Arial Narrow" w:hAnsi="Arial Narrow"/>
                <w:sz w:val="18"/>
                <w:szCs w:val="18"/>
              </w:rPr>
            </w:pPr>
          </w:p>
        </w:tc>
        <w:tc>
          <w:tcPr>
            <w:tcW w:w="273" w:type="pct"/>
          </w:tcPr>
          <w:p w14:paraId="14E7E20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74%</w:t>
            </w:r>
          </w:p>
        </w:tc>
        <w:tc>
          <w:tcPr>
            <w:cnfStyle w:val="000010000000" w:firstRow="0" w:lastRow="0" w:firstColumn="0" w:lastColumn="0" w:oddVBand="1" w:evenVBand="0" w:oddHBand="0" w:evenHBand="0" w:firstRowFirstColumn="0" w:firstRowLastColumn="0" w:lastRowFirstColumn="0" w:lastRowLastColumn="0"/>
            <w:tcW w:w="285" w:type="pct"/>
          </w:tcPr>
          <w:p w14:paraId="1ED776F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78%</w:t>
            </w:r>
          </w:p>
        </w:tc>
        <w:tc>
          <w:tcPr>
            <w:tcW w:w="283" w:type="pct"/>
          </w:tcPr>
          <w:p w14:paraId="4AFCD48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6072FCBD" w14:textId="77777777" w:rsidR="00095411" w:rsidRPr="007348FD" w:rsidRDefault="00095411" w:rsidP="00591CBB">
            <w:pPr>
              <w:spacing w:after="160" w:line="259" w:lineRule="auto"/>
              <w:rPr>
                <w:rFonts w:ascii="Arial Narrow" w:hAnsi="Arial Narrow"/>
                <w:sz w:val="18"/>
                <w:szCs w:val="18"/>
              </w:rPr>
            </w:pPr>
          </w:p>
        </w:tc>
        <w:tc>
          <w:tcPr>
            <w:tcW w:w="149" w:type="pct"/>
          </w:tcPr>
          <w:p w14:paraId="3656BE7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8D6CDD4" w14:textId="77777777" w:rsidR="00095411" w:rsidRPr="007348FD" w:rsidRDefault="00095411" w:rsidP="00591CBB">
            <w:pPr>
              <w:spacing w:after="160" w:line="259" w:lineRule="auto"/>
              <w:rPr>
                <w:rFonts w:ascii="Arial Narrow" w:hAnsi="Arial Narrow"/>
                <w:sz w:val="18"/>
                <w:szCs w:val="18"/>
              </w:rPr>
            </w:pPr>
          </w:p>
        </w:tc>
        <w:tc>
          <w:tcPr>
            <w:tcW w:w="214" w:type="pct"/>
          </w:tcPr>
          <w:p w14:paraId="23A300A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Spot check</w:t>
            </w:r>
          </w:p>
        </w:tc>
        <w:tc>
          <w:tcPr>
            <w:cnfStyle w:val="000010000000" w:firstRow="0" w:lastRow="0" w:firstColumn="0" w:lastColumn="0" w:oddVBand="1" w:evenVBand="0" w:oddHBand="0" w:evenHBand="0" w:firstRowFirstColumn="0" w:firstRowLastColumn="0" w:lastRowFirstColumn="0" w:lastRowLastColumn="0"/>
            <w:tcW w:w="245" w:type="pct"/>
          </w:tcPr>
          <w:p w14:paraId="3F5BE65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Spot check</w:t>
            </w:r>
          </w:p>
        </w:tc>
        <w:tc>
          <w:tcPr>
            <w:tcW w:w="280" w:type="pct"/>
          </w:tcPr>
          <w:p w14:paraId="73BAD51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1F247FD3"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6217AC05" w14:textId="77777777" w:rsidR="00095411" w:rsidRPr="007348FD" w:rsidRDefault="00095411" w:rsidP="00591CBB">
            <w:pPr>
              <w:spacing w:after="160" w:line="259" w:lineRule="auto"/>
              <w:rPr>
                <w:rFonts w:ascii="Arial Narrow" w:hAnsi="Arial Narrow"/>
                <w:sz w:val="18"/>
                <w:szCs w:val="18"/>
              </w:rPr>
            </w:pPr>
          </w:p>
        </w:tc>
        <w:tc>
          <w:tcPr>
            <w:tcW w:w="460" w:type="pct"/>
          </w:tcPr>
          <w:p w14:paraId="412F191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6E2D9C1"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7C89CC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14DF751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36325136" w14:textId="2A04CAA9"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436247D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90%</w:t>
            </w:r>
          </w:p>
        </w:tc>
        <w:tc>
          <w:tcPr>
            <w:tcW w:w="298" w:type="pct"/>
          </w:tcPr>
          <w:p w14:paraId="2C6A673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100%</w:t>
            </w:r>
          </w:p>
        </w:tc>
        <w:tc>
          <w:tcPr>
            <w:cnfStyle w:val="000010000000" w:firstRow="0" w:lastRow="0" w:firstColumn="0" w:lastColumn="0" w:oddVBand="1" w:evenVBand="0" w:oddHBand="0" w:evenHBand="0" w:firstRowFirstColumn="0" w:firstRowLastColumn="0" w:lastRowFirstColumn="0" w:lastRowLastColumn="0"/>
            <w:tcW w:w="197" w:type="pct"/>
          </w:tcPr>
          <w:p w14:paraId="09072CC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100%</w:t>
            </w:r>
          </w:p>
        </w:tc>
        <w:tc>
          <w:tcPr>
            <w:tcW w:w="273" w:type="pct"/>
          </w:tcPr>
          <w:p w14:paraId="734CDEA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7066DC7" w14:textId="77777777" w:rsidR="00095411" w:rsidRPr="007348FD" w:rsidRDefault="00095411" w:rsidP="00591CBB">
            <w:pPr>
              <w:spacing w:after="160" w:line="259" w:lineRule="auto"/>
              <w:rPr>
                <w:rFonts w:ascii="Arial Narrow" w:hAnsi="Arial Narrow"/>
                <w:sz w:val="18"/>
                <w:szCs w:val="18"/>
              </w:rPr>
            </w:pPr>
          </w:p>
        </w:tc>
        <w:tc>
          <w:tcPr>
            <w:tcW w:w="283" w:type="pct"/>
          </w:tcPr>
          <w:p w14:paraId="7CAE65A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97E82E5" w14:textId="77777777" w:rsidR="00095411" w:rsidRPr="007348FD" w:rsidRDefault="00095411" w:rsidP="00591CBB">
            <w:pPr>
              <w:spacing w:after="160" w:line="259" w:lineRule="auto"/>
              <w:rPr>
                <w:rFonts w:ascii="Arial Narrow" w:hAnsi="Arial Narrow"/>
                <w:sz w:val="18"/>
                <w:szCs w:val="18"/>
              </w:rPr>
            </w:pPr>
          </w:p>
        </w:tc>
        <w:tc>
          <w:tcPr>
            <w:tcW w:w="149" w:type="pct"/>
          </w:tcPr>
          <w:p w14:paraId="1570731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5FD1D45" w14:textId="77777777" w:rsidR="00095411" w:rsidRPr="007348FD" w:rsidRDefault="00095411" w:rsidP="00591CBB">
            <w:pPr>
              <w:spacing w:after="160" w:line="259" w:lineRule="auto"/>
              <w:rPr>
                <w:rFonts w:ascii="Arial Narrow" w:hAnsi="Arial Narrow"/>
                <w:sz w:val="18"/>
                <w:szCs w:val="18"/>
              </w:rPr>
            </w:pPr>
          </w:p>
        </w:tc>
        <w:tc>
          <w:tcPr>
            <w:tcW w:w="214" w:type="pct"/>
          </w:tcPr>
          <w:p w14:paraId="2A588B9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100%</w:t>
            </w:r>
          </w:p>
        </w:tc>
        <w:tc>
          <w:tcPr>
            <w:cnfStyle w:val="000010000000" w:firstRow="0" w:lastRow="0" w:firstColumn="0" w:lastColumn="0" w:oddVBand="1" w:evenVBand="0" w:oddHBand="0" w:evenHBand="0" w:firstRowFirstColumn="0" w:firstRowLastColumn="0" w:lastRowFirstColumn="0" w:lastRowLastColumn="0"/>
            <w:tcW w:w="245" w:type="pct"/>
          </w:tcPr>
          <w:p w14:paraId="21F05AE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100%</w:t>
            </w:r>
          </w:p>
        </w:tc>
        <w:tc>
          <w:tcPr>
            <w:tcW w:w="280" w:type="pct"/>
          </w:tcPr>
          <w:p w14:paraId="374549C7" w14:textId="75E8CFD8"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100%</w:t>
            </w:r>
          </w:p>
        </w:tc>
      </w:tr>
      <w:tr w:rsidR="00095411" w:rsidRPr="00591CBB" w14:paraId="67D1B3C9" w14:textId="782C180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56488310" w14:textId="77777777" w:rsidR="00095411" w:rsidRPr="007348FD" w:rsidRDefault="00095411" w:rsidP="00591CBB">
            <w:pPr>
              <w:spacing w:after="160" w:line="259" w:lineRule="auto"/>
              <w:rPr>
                <w:rFonts w:ascii="Arial Narrow" w:hAnsi="Arial Narrow"/>
                <w:sz w:val="18"/>
                <w:szCs w:val="18"/>
              </w:rPr>
            </w:pPr>
          </w:p>
        </w:tc>
        <w:tc>
          <w:tcPr>
            <w:tcW w:w="460" w:type="pct"/>
          </w:tcPr>
          <w:p w14:paraId="36D8EC9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AF9D073"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CBE92F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5618B04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0C2F3D2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93%</w:t>
            </w:r>
          </w:p>
        </w:tc>
        <w:tc>
          <w:tcPr>
            <w:cnfStyle w:val="000010000000" w:firstRow="0" w:lastRow="0" w:firstColumn="0" w:lastColumn="0" w:oddVBand="1" w:evenVBand="0" w:oddHBand="0" w:evenHBand="0" w:firstRowFirstColumn="0" w:firstRowLastColumn="0" w:lastRowFirstColumn="0" w:lastRowLastColumn="0"/>
            <w:tcW w:w="271" w:type="pct"/>
          </w:tcPr>
          <w:p w14:paraId="0B49E53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83%</w:t>
            </w:r>
          </w:p>
        </w:tc>
        <w:tc>
          <w:tcPr>
            <w:tcW w:w="298" w:type="pct"/>
          </w:tcPr>
          <w:p w14:paraId="2CEA9BD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75%</w:t>
            </w:r>
          </w:p>
        </w:tc>
        <w:tc>
          <w:tcPr>
            <w:cnfStyle w:val="000010000000" w:firstRow="0" w:lastRow="0" w:firstColumn="0" w:lastColumn="0" w:oddVBand="1" w:evenVBand="0" w:oddHBand="0" w:evenHBand="0" w:firstRowFirstColumn="0" w:firstRowLastColumn="0" w:lastRowFirstColumn="0" w:lastRowLastColumn="0"/>
            <w:tcW w:w="197" w:type="pct"/>
          </w:tcPr>
          <w:p w14:paraId="3F683C9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100%</w:t>
            </w:r>
          </w:p>
        </w:tc>
        <w:tc>
          <w:tcPr>
            <w:tcW w:w="273" w:type="pct"/>
          </w:tcPr>
          <w:p w14:paraId="1CE8AE3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100%</w:t>
            </w:r>
          </w:p>
        </w:tc>
        <w:tc>
          <w:tcPr>
            <w:cnfStyle w:val="000010000000" w:firstRow="0" w:lastRow="0" w:firstColumn="0" w:lastColumn="0" w:oddVBand="1" w:evenVBand="0" w:oddHBand="0" w:evenHBand="0" w:firstRowFirstColumn="0" w:firstRowLastColumn="0" w:lastRowFirstColumn="0" w:lastRowLastColumn="0"/>
            <w:tcW w:w="285" w:type="pct"/>
          </w:tcPr>
          <w:p w14:paraId="25705384" w14:textId="77777777" w:rsidR="00095411" w:rsidRPr="007348FD" w:rsidRDefault="00095411" w:rsidP="00591CBB">
            <w:pPr>
              <w:spacing w:after="160" w:line="259" w:lineRule="auto"/>
              <w:rPr>
                <w:rFonts w:ascii="Arial Narrow" w:hAnsi="Arial Narrow"/>
                <w:sz w:val="18"/>
                <w:szCs w:val="18"/>
              </w:rPr>
            </w:pPr>
          </w:p>
        </w:tc>
        <w:tc>
          <w:tcPr>
            <w:tcW w:w="283" w:type="pct"/>
          </w:tcPr>
          <w:p w14:paraId="6140B92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0B0B2073" w14:textId="77777777" w:rsidR="00095411" w:rsidRPr="007348FD" w:rsidRDefault="00095411" w:rsidP="00591CBB">
            <w:pPr>
              <w:spacing w:after="160" w:line="259" w:lineRule="auto"/>
              <w:rPr>
                <w:rFonts w:ascii="Arial Narrow" w:hAnsi="Arial Narrow"/>
                <w:sz w:val="18"/>
                <w:szCs w:val="18"/>
              </w:rPr>
            </w:pPr>
          </w:p>
        </w:tc>
        <w:tc>
          <w:tcPr>
            <w:tcW w:w="149" w:type="pct"/>
          </w:tcPr>
          <w:p w14:paraId="44E8A01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B534530" w14:textId="77777777" w:rsidR="00095411" w:rsidRPr="007348FD" w:rsidRDefault="00095411" w:rsidP="00591CBB">
            <w:pPr>
              <w:spacing w:after="160" w:line="259" w:lineRule="auto"/>
              <w:rPr>
                <w:rFonts w:ascii="Arial Narrow" w:hAnsi="Arial Narrow"/>
                <w:sz w:val="18"/>
                <w:szCs w:val="18"/>
              </w:rPr>
            </w:pPr>
          </w:p>
        </w:tc>
        <w:tc>
          <w:tcPr>
            <w:tcW w:w="214" w:type="pct"/>
          </w:tcPr>
          <w:p w14:paraId="3492154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100%</w:t>
            </w:r>
          </w:p>
        </w:tc>
        <w:tc>
          <w:tcPr>
            <w:cnfStyle w:val="000010000000" w:firstRow="0" w:lastRow="0" w:firstColumn="0" w:lastColumn="0" w:oddVBand="1" w:evenVBand="0" w:oddHBand="0" w:evenHBand="0" w:firstRowFirstColumn="0" w:firstRowLastColumn="0" w:lastRowFirstColumn="0" w:lastRowLastColumn="0"/>
            <w:tcW w:w="245" w:type="pct"/>
          </w:tcPr>
          <w:p w14:paraId="63484D7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Spot check</w:t>
            </w:r>
          </w:p>
        </w:tc>
        <w:tc>
          <w:tcPr>
            <w:tcW w:w="280" w:type="pct"/>
          </w:tcPr>
          <w:p w14:paraId="4EA2C25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656D3B06"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72EB1E20" w14:textId="77777777" w:rsidR="00095411" w:rsidRPr="007348FD" w:rsidRDefault="00095411" w:rsidP="00591CBB">
            <w:pPr>
              <w:spacing w:after="160" w:line="259" w:lineRule="auto"/>
              <w:rPr>
                <w:rFonts w:ascii="Arial Narrow" w:hAnsi="Arial Narrow"/>
                <w:sz w:val="18"/>
                <w:szCs w:val="18"/>
              </w:rPr>
            </w:pPr>
          </w:p>
        </w:tc>
        <w:tc>
          <w:tcPr>
            <w:tcW w:w="460" w:type="pct"/>
          </w:tcPr>
          <w:p w14:paraId="40EFB85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77FF896"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3706C8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3731391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5B016A29" w14:textId="40E54913"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60529A4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85%</w:t>
            </w:r>
          </w:p>
        </w:tc>
        <w:tc>
          <w:tcPr>
            <w:tcW w:w="298" w:type="pct"/>
          </w:tcPr>
          <w:p w14:paraId="5BF5B1D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90%</w:t>
            </w:r>
          </w:p>
        </w:tc>
        <w:tc>
          <w:tcPr>
            <w:cnfStyle w:val="000010000000" w:firstRow="0" w:lastRow="0" w:firstColumn="0" w:lastColumn="0" w:oddVBand="1" w:evenVBand="0" w:oddHBand="0" w:evenHBand="0" w:firstRowFirstColumn="0" w:firstRowLastColumn="0" w:lastRowFirstColumn="0" w:lastRowLastColumn="0"/>
            <w:tcW w:w="197" w:type="pct"/>
          </w:tcPr>
          <w:p w14:paraId="7BB5793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95%</w:t>
            </w:r>
          </w:p>
        </w:tc>
        <w:tc>
          <w:tcPr>
            <w:tcW w:w="273" w:type="pct"/>
          </w:tcPr>
          <w:p w14:paraId="7BF7746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F39ED15" w14:textId="77777777" w:rsidR="00095411" w:rsidRPr="007348FD" w:rsidRDefault="00095411" w:rsidP="00591CBB">
            <w:pPr>
              <w:spacing w:after="160" w:line="259" w:lineRule="auto"/>
              <w:rPr>
                <w:rFonts w:ascii="Arial Narrow" w:hAnsi="Arial Narrow"/>
                <w:sz w:val="18"/>
                <w:szCs w:val="18"/>
              </w:rPr>
            </w:pPr>
          </w:p>
        </w:tc>
        <w:tc>
          <w:tcPr>
            <w:tcW w:w="283" w:type="pct"/>
          </w:tcPr>
          <w:p w14:paraId="4C49321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F13990A" w14:textId="77777777" w:rsidR="00095411" w:rsidRPr="007348FD" w:rsidRDefault="00095411" w:rsidP="00591CBB">
            <w:pPr>
              <w:spacing w:after="160" w:line="259" w:lineRule="auto"/>
              <w:rPr>
                <w:rFonts w:ascii="Arial Narrow" w:hAnsi="Arial Narrow"/>
                <w:sz w:val="18"/>
                <w:szCs w:val="18"/>
              </w:rPr>
            </w:pPr>
          </w:p>
        </w:tc>
        <w:tc>
          <w:tcPr>
            <w:tcW w:w="149" w:type="pct"/>
          </w:tcPr>
          <w:p w14:paraId="1DE2D1B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1939B4B" w14:textId="77777777" w:rsidR="00095411" w:rsidRPr="007348FD" w:rsidRDefault="00095411" w:rsidP="00591CBB">
            <w:pPr>
              <w:spacing w:after="160" w:line="259" w:lineRule="auto"/>
              <w:rPr>
                <w:rFonts w:ascii="Arial Narrow" w:hAnsi="Arial Narrow"/>
                <w:sz w:val="18"/>
                <w:szCs w:val="18"/>
              </w:rPr>
            </w:pPr>
          </w:p>
        </w:tc>
        <w:tc>
          <w:tcPr>
            <w:tcW w:w="214" w:type="pct"/>
          </w:tcPr>
          <w:p w14:paraId="36B948D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100%</w:t>
            </w:r>
          </w:p>
        </w:tc>
        <w:tc>
          <w:tcPr>
            <w:cnfStyle w:val="000010000000" w:firstRow="0" w:lastRow="0" w:firstColumn="0" w:lastColumn="0" w:oddVBand="1" w:evenVBand="0" w:oddHBand="0" w:evenHBand="0" w:firstRowFirstColumn="0" w:firstRowLastColumn="0" w:lastRowFirstColumn="0" w:lastRowLastColumn="0"/>
            <w:tcW w:w="245" w:type="pct"/>
          </w:tcPr>
          <w:p w14:paraId="7D2D1E1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100%</w:t>
            </w:r>
          </w:p>
        </w:tc>
        <w:tc>
          <w:tcPr>
            <w:tcW w:w="280" w:type="pct"/>
          </w:tcPr>
          <w:p w14:paraId="7B98AD34" w14:textId="5405C90A"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100%</w:t>
            </w:r>
          </w:p>
        </w:tc>
      </w:tr>
      <w:tr w:rsidR="00095411" w:rsidRPr="00591CBB" w14:paraId="67B91CC2"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2A7E469F" w14:textId="77777777" w:rsidR="00095411" w:rsidRPr="007348FD" w:rsidRDefault="00095411" w:rsidP="00591CBB">
            <w:pPr>
              <w:spacing w:after="160" w:line="259" w:lineRule="auto"/>
              <w:rPr>
                <w:rFonts w:ascii="Arial Narrow" w:hAnsi="Arial Narrow"/>
                <w:sz w:val="18"/>
                <w:szCs w:val="18"/>
              </w:rPr>
            </w:pPr>
          </w:p>
        </w:tc>
        <w:tc>
          <w:tcPr>
            <w:tcW w:w="460" w:type="pct"/>
          </w:tcPr>
          <w:p w14:paraId="49681BC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9FD745C"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B65BE9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194CB60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2EEF7C2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347B206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72965A9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HFRSAA</w:t>
            </w:r>
          </w:p>
        </w:tc>
        <w:tc>
          <w:tcPr>
            <w:cnfStyle w:val="000010000000" w:firstRow="0" w:lastRow="0" w:firstColumn="0" w:lastColumn="0" w:oddVBand="1" w:evenVBand="0" w:oddHBand="0" w:evenHBand="0" w:firstRowFirstColumn="0" w:firstRowLastColumn="0" w:lastRowFirstColumn="0" w:lastRowLastColumn="0"/>
            <w:tcW w:w="197" w:type="pct"/>
          </w:tcPr>
          <w:p w14:paraId="0D1E50E3" w14:textId="77777777" w:rsidR="00095411" w:rsidRPr="007348FD" w:rsidRDefault="00095411" w:rsidP="00591CBB">
            <w:pPr>
              <w:spacing w:after="160" w:line="259" w:lineRule="auto"/>
              <w:rPr>
                <w:rFonts w:ascii="Arial Narrow" w:hAnsi="Arial Narrow"/>
                <w:sz w:val="18"/>
                <w:szCs w:val="18"/>
              </w:rPr>
            </w:pPr>
          </w:p>
        </w:tc>
        <w:tc>
          <w:tcPr>
            <w:tcW w:w="273" w:type="pct"/>
          </w:tcPr>
          <w:p w14:paraId="5F11DC0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B329790" w14:textId="77777777" w:rsidR="00095411" w:rsidRPr="007348FD" w:rsidRDefault="00095411" w:rsidP="00591CBB">
            <w:pPr>
              <w:spacing w:after="160" w:line="259" w:lineRule="auto"/>
              <w:rPr>
                <w:rFonts w:ascii="Arial Narrow" w:hAnsi="Arial Narrow"/>
                <w:sz w:val="18"/>
                <w:szCs w:val="18"/>
              </w:rPr>
            </w:pPr>
          </w:p>
        </w:tc>
        <w:tc>
          <w:tcPr>
            <w:tcW w:w="283" w:type="pct"/>
          </w:tcPr>
          <w:p w14:paraId="6EED50C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14161A7" w14:textId="77777777" w:rsidR="00095411" w:rsidRPr="007348FD" w:rsidRDefault="00095411" w:rsidP="00591CBB">
            <w:pPr>
              <w:spacing w:after="160" w:line="259" w:lineRule="auto"/>
              <w:rPr>
                <w:rFonts w:ascii="Arial Narrow" w:hAnsi="Arial Narrow"/>
                <w:sz w:val="18"/>
                <w:szCs w:val="18"/>
              </w:rPr>
            </w:pPr>
          </w:p>
        </w:tc>
        <w:tc>
          <w:tcPr>
            <w:tcW w:w="149" w:type="pct"/>
          </w:tcPr>
          <w:p w14:paraId="644BF85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183160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2CF1882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Spot check</w:t>
            </w:r>
          </w:p>
        </w:tc>
        <w:tc>
          <w:tcPr>
            <w:cnfStyle w:val="000010000000" w:firstRow="0" w:lastRow="0" w:firstColumn="0" w:lastColumn="0" w:oddVBand="1" w:evenVBand="0" w:oddHBand="0" w:evenHBand="0" w:firstRowFirstColumn="0" w:firstRowLastColumn="0" w:lastRowFirstColumn="0" w:lastRowLastColumn="0"/>
            <w:tcW w:w="245" w:type="pct"/>
          </w:tcPr>
          <w:p w14:paraId="4901FA9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Spot check</w:t>
            </w:r>
          </w:p>
        </w:tc>
        <w:tc>
          <w:tcPr>
            <w:tcW w:w="280" w:type="pct"/>
          </w:tcPr>
          <w:p w14:paraId="5EF12C1A" w14:textId="234B504C"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HRFSAA</w:t>
            </w:r>
          </w:p>
        </w:tc>
      </w:tr>
      <w:tr w:rsidR="00095411" w:rsidRPr="00591CBB" w14:paraId="23E420E3"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43913D7B" w14:textId="77777777" w:rsidR="00095411" w:rsidRPr="007348FD" w:rsidRDefault="00095411" w:rsidP="00591CBB">
            <w:pPr>
              <w:spacing w:after="160" w:line="259" w:lineRule="auto"/>
              <w:rPr>
                <w:rFonts w:ascii="Arial Narrow" w:hAnsi="Arial Narrow"/>
                <w:sz w:val="18"/>
                <w:szCs w:val="18"/>
              </w:rPr>
            </w:pPr>
          </w:p>
        </w:tc>
        <w:tc>
          <w:tcPr>
            <w:tcW w:w="460" w:type="pct"/>
          </w:tcPr>
          <w:p w14:paraId="35F06CF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3909B3D"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DA061C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15696C8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CD306D9" w14:textId="41773642"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56BA959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85%</w:t>
            </w:r>
          </w:p>
        </w:tc>
        <w:tc>
          <w:tcPr>
            <w:tcW w:w="298" w:type="pct"/>
          </w:tcPr>
          <w:p w14:paraId="4F0984C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100%</w:t>
            </w:r>
          </w:p>
        </w:tc>
        <w:tc>
          <w:tcPr>
            <w:cnfStyle w:val="000010000000" w:firstRow="0" w:lastRow="0" w:firstColumn="0" w:lastColumn="0" w:oddVBand="1" w:evenVBand="0" w:oddHBand="0" w:evenHBand="0" w:firstRowFirstColumn="0" w:firstRowLastColumn="0" w:lastRowFirstColumn="0" w:lastRowLastColumn="0"/>
            <w:tcW w:w="197" w:type="pct"/>
          </w:tcPr>
          <w:p w14:paraId="3B3734E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100%</w:t>
            </w:r>
          </w:p>
        </w:tc>
        <w:tc>
          <w:tcPr>
            <w:tcW w:w="273" w:type="pct"/>
          </w:tcPr>
          <w:p w14:paraId="4FF5A31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D7E7808" w14:textId="77777777" w:rsidR="00095411" w:rsidRPr="007348FD" w:rsidRDefault="00095411" w:rsidP="00591CBB">
            <w:pPr>
              <w:spacing w:after="160" w:line="259" w:lineRule="auto"/>
              <w:rPr>
                <w:rFonts w:ascii="Arial Narrow" w:hAnsi="Arial Narrow"/>
                <w:sz w:val="18"/>
                <w:szCs w:val="18"/>
              </w:rPr>
            </w:pPr>
          </w:p>
        </w:tc>
        <w:tc>
          <w:tcPr>
            <w:tcW w:w="283" w:type="pct"/>
          </w:tcPr>
          <w:p w14:paraId="17CF9A1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257D76D" w14:textId="77777777" w:rsidR="00095411" w:rsidRPr="007348FD" w:rsidRDefault="00095411" w:rsidP="00591CBB">
            <w:pPr>
              <w:spacing w:after="160" w:line="259" w:lineRule="auto"/>
              <w:rPr>
                <w:rFonts w:ascii="Arial Narrow" w:hAnsi="Arial Narrow"/>
                <w:sz w:val="18"/>
                <w:szCs w:val="18"/>
              </w:rPr>
            </w:pPr>
          </w:p>
        </w:tc>
        <w:tc>
          <w:tcPr>
            <w:tcW w:w="149" w:type="pct"/>
          </w:tcPr>
          <w:p w14:paraId="4EF02D5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6F092E89" w14:textId="77777777" w:rsidR="00095411" w:rsidRPr="007348FD" w:rsidRDefault="00095411" w:rsidP="00591CBB">
            <w:pPr>
              <w:spacing w:after="160" w:line="259" w:lineRule="auto"/>
              <w:rPr>
                <w:rFonts w:ascii="Arial Narrow" w:hAnsi="Arial Narrow"/>
                <w:sz w:val="18"/>
                <w:szCs w:val="18"/>
              </w:rPr>
            </w:pPr>
          </w:p>
        </w:tc>
        <w:tc>
          <w:tcPr>
            <w:tcW w:w="214" w:type="pct"/>
          </w:tcPr>
          <w:p w14:paraId="4E4B313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100%</w:t>
            </w:r>
          </w:p>
        </w:tc>
        <w:tc>
          <w:tcPr>
            <w:cnfStyle w:val="000010000000" w:firstRow="0" w:lastRow="0" w:firstColumn="0" w:lastColumn="0" w:oddVBand="1" w:evenVBand="0" w:oddHBand="0" w:evenHBand="0" w:firstRowFirstColumn="0" w:firstRowLastColumn="0" w:lastRowFirstColumn="0" w:lastRowLastColumn="0"/>
            <w:tcW w:w="245" w:type="pct"/>
          </w:tcPr>
          <w:p w14:paraId="35ACA13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100%</w:t>
            </w:r>
          </w:p>
        </w:tc>
        <w:tc>
          <w:tcPr>
            <w:tcW w:w="280" w:type="pct"/>
          </w:tcPr>
          <w:p w14:paraId="58E316C0" w14:textId="66D71EE1"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100%</w:t>
            </w:r>
          </w:p>
        </w:tc>
      </w:tr>
      <w:tr w:rsidR="00095411" w:rsidRPr="00591CBB" w14:paraId="63CBAAC7" w14:textId="1AECB4E5"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01CE6176" w14:textId="77777777" w:rsidR="00095411" w:rsidRPr="007348FD" w:rsidRDefault="00095411" w:rsidP="00591CBB">
            <w:pPr>
              <w:spacing w:after="160" w:line="259" w:lineRule="auto"/>
              <w:rPr>
                <w:rFonts w:ascii="Arial Narrow" w:hAnsi="Arial Narrow"/>
                <w:sz w:val="18"/>
                <w:szCs w:val="18"/>
              </w:rPr>
            </w:pPr>
          </w:p>
        </w:tc>
        <w:tc>
          <w:tcPr>
            <w:tcW w:w="460" w:type="pct"/>
          </w:tcPr>
          <w:p w14:paraId="657D99C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E820E37"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E681C0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7B09619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31F288B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4074D09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74%</w:t>
            </w:r>
          </w:p>
        </w:tc>
        <w:tc>
          <w:tcPr>
            <w:tcW w:w="298" w:type="pct"/>
          </w:tcPr>
          <w:p w14:paraId="5C731C7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93%</w:t>
            </w:r>
          </w:p>
        </w:tc>
        <w:tc>
          <w:tcPr>
            <w:cnfStyle w:val="000010000000" w:firstRow="0" w:lastRow="0" w:firstColumn="0" w:lastColumn="0" w:oddVBand="1" w:evenVBand="0" w:oddHBand="0" w:evenHBand="0" w:firstRowFirstColumn="0" w:firstRowLastColumn="0" w:lastRowFirstColumn="0" w:lastRowLastColumn="0"/>
            <w:tcW w:w="197" w:type="pct"/>
          </w:tcPr>
          <w:p w14:paraId="471761B0" w14:textId="77777777" w:rsidR="00095411" w:rsidRPr="007348FD" w:rsidRDefault="00095411" w:rsidP="00591CBB">
            <w:pPr>
              <w:spacing w:after="160" w:line="259" w:lineRule="auto"/>
              <w:rPr>
                <w:rFonts w:ascii="Arial Narrow" w:hAnsi="Arial Narrow"/>
                <w:sz w:val="18"/>
                <w:szCs w:val="18"/>
              </w:rPr>
            </w:pPr>
          </w:p>
        </w:tc>
        <w:tc>
          <w:tcPr>
            <w:tcW w:w="273" w:type="pct"/>
          </w:tcPr>
          <w:p w14:paraId="670B64B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93%</w:t>
            </w:r>
          </w:p>
        </w:tc>
        <w:tc>
          <w:tcPr>
            <w:cnfStyle w:val="000010000000" w:firstRow="0" w:lastRow="0" w:firstColumn="0" w:lastColumn="0" w:oddVBand="1" w:evenVBand="0" w:oddHBand="0" w:evenHBand="0" w:firstRowFirstColumn="0" w:firstRowLastColumn="0" w:lastRowFirstColumn="0" w:lastRowLastColumn="0"/>
            <w:tcW w:w="285" w:type="pct"/>
          </w:tcPr>
          <w:p w14:paraId="3B23C12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93%</w:t>
            </w:r>
          </w:p>
        </w:tc>
        <w:tc>
          <w:tcPr>
            <w:tcW w:w="283" w:type="pct"/>
          </w:tcPr>
          <w:p w14:paraId="65B50A7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6D5F849E" w14:textId="77777777" w:rsidR="00095411" w:rsidRPr="007348FD" w:rsidRDefault="00095411" w:rsidP="00591CBB">
            <w:pPr>
              <w:spacing w:after="160" w:line="259" w:lineRule="auto"/>
              <w:rPr>
                <w:rFonts w:ascii="Arial Narrow" w:hAnsi="Arial Narrow"/>
                <w:sz w:val="18"/>
                <w:szCs w:val="18"/>
              </w:rPr>
            </w:pPr>
          </w:p>
        </w:tc>
        <w:tc>
          <w:tcPr>
            <w:tcW w:w="149" w:type="pct"/>
          </w:tcPr>
          <w:p w14:paraId="046F983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83012EF" w14:textId="77777777" w:rsidR="00095411" w:rsidRPr="007348FD" w:rsidRDefault="00095411" w:rsidP="00591CBB">
            <w:pPr>
              <w:spacing w:after="160" w:line="259" w:lineRule="auto"/>
              <w:rPr>
                <w:rFonts w:ascii="Arial Narrow" w:hAnsi="Arial Narrow"/>
                <w:sz w:val="18"/>
                <w:szCs w:val="18"/>
              </w:rPr>
            </w:pPr>
          </w:p>
        </w:tc>
        <w:tc>
          <w:tcPr>
            <w:tcW w:w="214" w:type="pct"/>
          </w:tcPr>
          <w:p w14:paraId="77532C3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Spot check</w:t>
            </w:r>
          </w:p>
        </w:tc>
        <w:tc>
          <w:tcPr>
            <w:cnfStyle w:val="000010000000" w:firstRow="0" w:lastRow="0" w:firstColumn="0" w:lastColumn="0" w:oddVBand="1" w:evenVBand="0" w:oddHBand="0" w:evenHBand="0" w:firstRowFirstColumn="0" w:firstRowLastColumn="0" w:lastRowFirstColumn="0" w:lastRowLastColumn="0"/>
            <w:tcW w:w="245" w:type="pct"/>
          </w:tcPr>
          <w:p w14:paraId="4CD35E0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Spot check</w:t>
            </w:r>
          </w:p>
        </w:tc>
        <w:tc>
          <w:tcPr>
            <w:tcW w:w="280" w:type="pct"/>
          </w:tcPr>
          <w:p w14:paraId="05E4735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4F4D93FE" w14:textId="77777777" w:rsidTr="00051F27">
        <w:trPr>
          <w:trHeight w:val="228"/>
        </w:trPr>
        <w:tc>
          <w:tcPr>
            <w:cnfStyle w:val="000010000000" w:firstRow="0" w:lastRow="0" w:firstColumn="0" w:lastColumn="0" w:oddVBand="1" w:evenVBand="0" w:oddHBand="0" w:evenHBand="0" w:firstRowFirstColumn="0" w:firstRowLastColumn="0" w:lastRowFirstColumn="0" w:lastRowLastColumn="0"/>
            <w:tcW w:w="432" w:type="pct"/>
          </w:tcPr>
          <w:p w14:paraId="17638BE2" w14:textId="77777777" w:rsidR="00095411" w:rsidRPr="007348FD" w:rsidRDefault="00095411" w:rsidP="00591CBB">
            <w:pPr>
              <w:spacing w:after="160" w:line="259" w:lineRule="auto"/>
              <w:rPr>
                <w:rFonts w:ascii="Arial Narrow" w:hAnsi="Arial Narrow"/>
                <w:sz w:val="18"/>
                <w:szCs w:val="18"/>
              </w:rPr>
            </w:pPr>
          </w:p>
        </w:tc>
        <w:tc>
          <w:tcPr>
            <w:tcW w:w="460" w:type="pct"/>
          </w:tcPr>
          <w:p w14:paraId="60FA0CA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3C55629"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48752C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545F321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067EE407" w14:textId="1975B9A2"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4CFE844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100%</w:t>
            </w:r>
          </w:p>
        </w:tc>
        <w:tc>
          <w:tcPr>
            <w:tcW w:w="298" w:type="pct"/>
          </w:tcPr>
          <w:p w14:paraId="5B25B0A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100%</w:t>
            </w:r>
          </w:p>
        </w:tc>
        <w:tc>
          <w:tcPr>
            <w:cnfStyle w:val="000010000000" w:firstRow="0" w:lastRow="0" w:firstColumn="0" w:lastColumn="0" w:oddVBand="1" w:evenVBand="0" w:oddHBand="0" w:evenHBand="0" w:firstRowFirstColumn="0" w:firstRowLastColumn="0" w:lastRowFirstColumn="0" w:lastRowLastColumn="0"/>
            <w:tcW w:w="197" w:type="pct"/>
          </w:tcPr>
          <w:p w14:paraId="4FF698C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100%</w:t>
            </w:r>
          </w:p>
        </w:tc>
        <w:tc>
          <w:tcPr>
            <w:tcW w:w="273" w:type="pct"/>
          </w:tcPr>
          <w:p w14:paraId="424F3D1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4E87E4A" w14:textId="77777777" w:rsidR="00095411" w:rsidRPr="007348FD" w:rsidRDefault="00095411" w:rsidP="00591CBB">
            <w:pPr>
              <w:spacing w:after="160" w:line="259" w:lineRule="auto"/>
              <w:rPr>
                <w:rFonts w:ascii="Arial Narrow" w:hAnsi="Arial Narrow"/>
                <w:sz w:val="18"/>
                <w:szCs w:val="18"/>
              </w:rPr>
            </w:pPr>
          </w:p>
        </w:tc>
        <w:tc>
          <w:tcPr>
            <w:tcW w:w="283" w:type="pct"/>
          </w:tcPr>
          <w:p w14:paraId="1641C74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486EC4C" w14:textId="77777777" w:rsidR="00095411" w:rsidRPr="007348FD" w:rsidRDefault="00095411" w:rsidP="00591CBB">
            <w:pPr>
              <w:spacing w:after="160" w:line="259" w:lineRule="auto"/>
              <w:rPr>
                <w:rFonts w:ascii="Arial Narrow" w:hAnsi="Arial Narrow"/>
                <w:sz w:val="18"/>
                <w:szCs w:val="18"/>
              </w:rPr>
            </w:pPr>
          </w:p>
        </w:tc>
        <w:tc>
          <w:tcPr>
            <w:tcW w:w="149" w:type="pct"/>
          </w:tcPr>
          <w:p w14:paraId="772402F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B92922D" w14:textId="77777777" w:rsidR="00095411" w:rsidRPr="007348FD" w:rsidRDefault="00095411" w:rsidP="00591CBB">
            <w:pPr>
              <w:spacing w:after="160" w:line="259" w:lineRule="auto"/>
              <w:rPr>
                <w:rFonts w:ascii="Arial Narrow" w:hAnsi="Arial Narrow"/>
                <w:sz w:val="18"/>
                <w:szCs w:val="18"/>
              </w:rPr>
            </w:pPr>
          </w:p>
        </w:tc>
        <w:tc>
          <w:tcPr>
            <w:tcW w:w="214" w:type="pct"/>
          </w:tcPr>
          <w:p w14:paraId="00FE971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100%</w:t>
            </w:r>
          </w:p>
        </w:tc>
        <w:tc>
          <w:tcPr>
            <w:cnfStyle w:val="000010000000" w:firstRow="0" w:lastRow="0" w:firstColumn="0" w:lastColumn="0" w:oddVBand="1" w:evenVBand="0" w:oddHBand="0" w:evenHBand="0" w:firstRowFirstColumn="0" w:firstRowLastColumn="0" w:lastRowFirstColumn="0" w:lastRowLastColumn="0"/>
            <w:tcW w:w="245" w:type="pct"/>
          </w:tcPr>
          <w:p w14:paraId="41F7704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100%</w:t>
            </w:r>
          </w:p>
        </w:tc>
        <w:tc>
          <w:tcPr>
            <w:tcW w:w="280" w:type="pct"/>
          </w:tcPr>
          <w:p w14:paraId="3114B69C" w14:textId="535A9610"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100%</w:t>
            </w:r>
          </w:p>
        </w:tc>
      </w:tr>
      <w:tr w:rsidR="00095411" w:rsidRPr="00591CBB" w14:paraId="453C75D4" w14:textId="02AE5BBD" w:rsidTr="00051F27">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432" w:type="pct"/>
          </w:tcPr>
          <w:p w14:paraId="6E33517C" w14:textId="77777777" w:rsidR="00095411" w:rsidRPr="007348FD" w:rsidRDefault="00095411" w:rsidP="00591CBB">
            <w:pPr>
              <w:spacing w:after="160" w:line="259" w:lineRule="auto"/>
              <w:rPr>
                <w:rFonts w:ascii="Arial Narrow" w:hAnsi="Arial Narrow"/>
                <w:sz w:val="18"/>
                <w:szCs w:val="18"/>
              </w:rPr>
            </w:pPr>
          </w:p>
        </w:tc>
        <w:tc>
          <w:tcPr>
            <w:tcW w:w="460" w:type="pct"/>
          </w:tcPr>
          <w:p w14:paraId="41C9F69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C04B72B"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BF3EA0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766D14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7E76B75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2B63F00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33FB0BC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HFRSAA</w:t>
            </w:r>
          </w:p>
        </w:tc>
        <w:tc>
          <w:tcPr>
            <w:cnfStyle w:val="000010000000" w:firstRow="0" w:lastRow="0" w:firstColumn="0" w:lastColumn="0" w:oddVBand="1" w:evenVBand="0" w:oddHBand="0" w:evenHBand="0" w:firstRowFirstColumn="0" w:firstRowLastColumn="0" w:lastRowFirstColumn="0" w:lastRowLastColumn="0"/>
            <w:tcW w:w="197" w:type="pct"/>
          </w:tcPr>
          <w:p w14:paraId="41000B6A" w14:textId="77777777" w:rsidR="00095411" w:rsidRPr="007348FD" w:rsidRDefault="00095411" w:rsidP="00591CBB">
            <w:pPr>
              <w:spacing w:after="160" w:line="259" w:lineRule="auto"/>
              <w:rPr>
                <w:rFonts w:ascii="Arial Narrow" w:hAnsi="Arial Narrow"/>
                <w:sz w:val="18"/>
                <w:szCs w:val="18"/>
              </w:rPr>
            </w:pPr>
          </w:p>
        </w:tc>
        <w:tc>
          <w:tcPr>
            <w:tcW w:w="273" w:type="pct"/>
          </w:tcPr>
          <w:p w14:paraId="39C2C2D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FB98A11" w14:textId="77777777" w:rsidR="00095411" w:rsidRPr="007348FD" w:rsidRDefault="00095411" w:rsidP="00591CBB">
            <w:pPr>
              <w:spacing w:after="160" w:line="259" w:lineRule="auto"/>
              <w:rPr>
                <w:rFonts w:ascii="Arial Narrow" w:hAnsi="Arial Narrow"/>
                <w:sz w:val="18"/>
                <w:szCs w:val="18"/>
              </w:rPr>
            </w:pPr>
          </w:p>
        </w:tc>
        <w:tc>
          <w:tcPr>
            <w:tcW w:w="283" w:type="pct"/>
          </w:tcPr>
          <w:p w14:paraId="0BF2B7D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982C0B0" w14:textId="77777777" w:rsidR="00095411" w:rsidRPr="007348FD" w:rsidRDefault="00095411" w:rsidP="00591CBB">
            <w:pPr>
              <w:spacing w:after="160" w:line="259" w:lineRule="auto"/>
              <w:rPr>
                <w:rFonts w:ascii="Arial Narrow" w:hAnsi="Arial Narrow"/>
                <w:sz w:val="18"/>
                <w:szCs w:val="18"/>
              </w:rPr>
            </w:pPr>
          </w:p>
        </w:tc>
        <w:tc>
          <w:tcPr>
            <w:tcW w:w="149" w:type="pct"/>
          </w:tcPr>
          <w:p w14:paraId="2827122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DEF4EE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60B4039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HFRSA</w:t>
            </w:r>
          </w:p>
        </w:tc>
        <w:tc>
          <w:tcPr>
            <w:cnfStyle w:val="000010000000" w:firstRow="0" w:lastRow="0" w:firstColumn="0" w:lastColumn="0" w:oddVBand="1" w:evenVBand="0" w:oddHBand="0" w:evenHBand="0" w:firstRowFirstColumn="0" w:firstRowLastColumn="0" w:lastRowFirstColumn="0" w:lastRowLastColumn="0"/>
            <w:tcW w:w="245" w:type="pct"/>
          </w:tcPr>
          <w:p w14:paraId="74FA668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Spot check</w:t>
            </w:r>
          </w:p>
        </w:tc>
        <w:tc>
          <w:tcPr>
            <w:tcW w:w="280" w:type="pct"/>
          </w:tcPr>
          <w:p w14:paraId="760205B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4A7DC9F0" w14:textId="77777777" w:rsidTr="00051F27">
        <w:trPr>
          <w:trHeight w:val="185"/>
        </w:trPr>
        <w:tc>
          <w:tcPr>
            <w:cnfStyle w:val="000010000000" w:firstRow="0" w:lastRow="0" w:firstColumn="0" w:lastColumn="0" w:oddVBand="1" w:evenVBand="0" w:oddHBand="0" w:evenHBand="0" w:firstRowFirstColumn="0" w:firstRowLastColumn="0" w:lastRowFirstColumn="0" w:lastRowLastColumn="0"/>
            <w:tcW w:w="432" w:type="pct"/>
          </w:tcPr>
          <w:p w14:paraId="3B811AC3" w14:textId="77777777" w:rsidR="00095411" w:rsidRPr="007348FD" w:rsidRDefault="00095411" w:rsidP="00591CBB">
            <w:pPr>
              <w:spacing w:after="160" w:line="259" w:lineRule="auto"/>
              <w:rPr>
                <w:rFonts w:ascii="Arial Narrow" w:hAnsi="Arial Narrow"/>
                <w:sz w:val="18"/>
                <w:szCs w:val="18"/>
              </w:rPr>
            </w:pPr>
          </w:p>
        </w:tc>
        <w:tc>
          <w:tcPr>
            <w:tcW w:w="460" w:type="pct"/>
          </w:tcPr>
          <w:p w14:paraId="62EC6F0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sz w:val="18"/>
                <w:szCs w:val="18"/>
              </w:rPr>
              <w:t>8. Percentage of (466) (</w:t>
            </w:r>
            <w:r w:rsidRPr="007348FD">
              <w:rPr>
                <w:rFonts w:ascii="Arial Narrow" w:hAnsi="Arial Narrow"/>
                <w:b/>
                <w:bCs/>
                <w:sz w:val="18"/>
                <w:szCs w:val="18"/>
                <w:u w:val="single"/>
              </w:rPr>
              <w:t>94)</w:t>
            </w:r>
            <w:r w:rsidRPr="007348FD">
              <w:rPr>
                <w:rFonts w:ascii="Arial Narrow" w:hAnsi="Arial Narrow"/>
                <w:sz w:val="18"/>
                <w:szCs w:val="18"/>
              </w:rPr>
              <w:t xml:space="preserve"> secondary and tertiary SDPs that have at least 5 modern FP methods available on the day of visit or assessment (disaggregated for urban-rural and SDP type) including EC and LARCS </w:t>
            </w:r>
            <w:r w:rsidRPr="007348FD">
              <w:rPr>
                <w:rFonts w:ascii="Arial Narrow" w:hAnsi="Arial Narrow"/>
                <w:b/>
                <w:bCs/>
                <w:sz w:val="18"/>
                <w:szCs w:val="18"/>
              </w:rPr>
              <w:t>[UNFPA Supplies Indicator 1.3.2]</w:t>
            </w:r>
          </w:p>
        </w:tc>
        <w:tc>
          <w:tcPr>
            <w:cnfStyle w:val="000010000000" w:firstRow="0" w:lastRow="0" w:firstColumn="0" w:lastColumn="0" w:oddVBand="1" w:evenVBand="0" w:oddHBand="0" w:evenHBand="0" w:firstRowFirstColumn="0" w:firstRowLastColumn="0" w:lastRowFirstColumn="0" w:lastRowLastColumn="0"/>
            <w:tcW w:w="371" w:type="pct"/>
          </w:tcPr>
          <w:p w14:paraId="236C1E43"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t>ö</w:t>
            </w:r>
          </w:p>
        </w:tc>
        <w:tc>
          <w:tcPr>
            <w:tcW w:w="341" w:type="pct"/>
          </w:tcPr>
          <w:p w14:paraId="05D1A51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1036AD2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56B73866" w14:textId="561C214F"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4DFB811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80%</w:t>
            </w:r>
          </w:p>
        </w:tc>
        <w:tc>
          <w:tcPr>
            <w:tcW w:w="298" w:type="pct"/>
          </w:tcPr>
          <w:p w14:paraId="44950A2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80%</w:t>
            </w:r>
          </w:p>
        </w:tc>
        <w:tc>
          <w:tcPr>
            <w:cnfStyle w:val="000010000000" w:firstRow="0" w:lastRow="0" w:firstColumn="0" w:lastColumn="0" w:oddVBand="1" w:evenVBand="0" w:oddHBand="0" w:evenHBand="0" w:firstRowFirstColumn="0" w:firstRowLastColumn="0" w:lastRowFirstColumn="0" w:lastRowLastColumn="0"/>
            <w:tcW w:w="197" w:type="pct"/>
          </w:tcPr>
          <w:p w14:paraId="24B2709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90%</w:t>
            </w:r>
          </w:p>
        </w:tc>
        <w:tc>
          <w:tcPr>
            <w:tcW w:w="273" w:type="pct"/>
          </w:tcPr>
          <w:p w14:paraId="6C968AE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65B9A48" w14:textId="77777777" w:rsidR="00095411" w:rsidRPr="007348FD" w:rsidRDefault="00095411" w:rsidP="00591CBB">
            <w:pPr>
              <w:spacing w:after="160" w:line="259" w:lineRule="auto"/>
              <w:rPr>
                <w:rFonts w:ascii="Arial Narrow" w:hAnsi="Arial Narrow"/>
                <w:sz w:val="18"/>
                <w:szCs w:val="18"/>
              </w:rPr>
            </w:pPr>
          </w:p>
        </w:tc>
        <w:tc>
          <w:tcPr>
            <w:tcW w:w="283" w:type="pct"/>
          </w:tcPr>
          <w:p w14:paraId="633A986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9F5252B" w14:textId="77777777" w:rsidR="00095411" w:rsidRPr="007348FD" w:rsidRDefault="00095411" w:rsidP="00591CBB">
            <w:pPr>
              <w:spacing w:after="160" w:line="259" w:lineRule="auto"/>
              <w:rPr>
                <w:rFonts w:ascii="Arial Narrow" w:hAnsi="Arial Narrow"/>
                <w:sz w:val="18"/>
                <w:szCs w:val="18"/>
              </w:rPr>
            </w:pPr>
          </w:p>
        </w:tc>
        <w:tc>
          <w:tcPr>
            <w:tcW w:w="149" w:type="pct"/>
          </w:tcPr>
          <w:p w14:paraId="2C9FD19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A386813" w14:textId="77777777" w:rsidR="00095411" w:rsidRPr="007348FD" w:rsidRDefault="00095411" w:rsidP="00591CBB">
            <w:pPr>
              <w:spacing w:after="160" w:line="259" w:lineRule="auto"/>
              <w:rPr>
                <w:rFonts w:ascii="Arial Narrow" w:hAnsi="Arial Narrow"/>
                <w:sz w:val="18"/>
                <w:szCs w:val="18"/>
              </w:rPr>
            </w:pPr>
          </w:p>
        </w:tc>
        <w:tc>
          <w:tcPr>
            <w:tcW w:w="214" w:type="pct"/>
          </w:tcPr>
          <w:p w14:paraId="30FD48B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100%</w:t>
            </w:r>
          </w:p>
        </w:tc>
        <w:tc>
          <w:tcPr>
            <w:cnfStyle w:val="000010000000" w:firstRow="0" w:lastRow="0" w:firstColumn="0" w:lastColumn="0" w:oddVBand="1" w:evenVBand="0" w:oddHBand="0" w:evenHBand="0" w:firstRowFirstColumn="0" w:firstRowLastColumn="0" w:lastRowFirstColumn="0" w:lastRowLastColumn="0"/>
            <w:tcW w:w="245" w:type="pct"/>
          </w:tcPr>
          <w:p w14:paraId="7FDA731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100%</w:t>
            </w:r>
          </w:p>
        </w:tc>
        <w:tc>
          <w:tcPr>
            <w:tcW w:w="280" w:type="pct"/>
          </w:tcPr>
          <w:p w14:paraId="3E85DDF5" w14:textId="7CA7B27A"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100%</w:t>
            </w:r>
          </w:p>
        </w:tc>
      </w:tr>
      <w:tr w:rsidR="00095411" w:rsidRPr="00591CBB" w14:paraId="734B2183"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56B8DB45" w14:textId="77777777" w:rsidR="00095411" w:rsidRPr="007348FD" w:rsidRDefault="00095411" w:rsidP="00591CBB">
            <w:pPr>
              <w:spacing w:after="160" w:line="259" w:lineRule="auto"/>
              <w:rPr>
                <w:rFonts w:ascii="Arial Narrow" w:hAnsi="Arial Narrow"/>
                <w:sz w:val="18"/>
                <w:szCs w:val="18"/>
              </w:rPr>
            </w:pPr>
          </w:p>
        </w:tc>
        <w:tc>
          <w:tcPr>
            <w:tcW w:w="460" w:type="pct"/>
          </w:tcPr>
          <w:p w14:paraId="0CC0D32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C71B7B7"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1A1CFE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07B2BF3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6F5F88E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3F1529B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26%</w:t>
            </w:r>
          </w:p>
        </w:tc>
        <w:tc>
          <w:tcPr>
            <w:tcW w:w="298" w:type="pct"/>
          </w:tcPr>
          <w:p w14:paraId="29EF2DA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39%</w:t>
            </w:r>
          </w:p>
        </w:tc>
        <w:tc>
          <w:tcPr>
            <w:cnfStyle w:val="000010000000" w:firstRow="0" w:lastRow="0" w:firstColumn="0" w:lastColumn="0" w:oddVBand="1" w:evenVBand="0" w:oddHBand="0" w:evenHBand="0" w:firstRowFirstColumn="0" w:firstRowLastColumn="0" w:lastRowFirstColumn="0" w:lastRowLastColumn="0"/>
            <w:tcW w:w="197" w:type="pct"/>
          </w:tcPr>
          <w:p w14:paraId="57B7FC8B" w14:textId="77777777" w:rsidR="00095411" w:rsidRPr="007348FD" w:rsidRDefault="00095411" w:rsidP="00591CBB">
            <w:pPr>
              <w:spacing w:after="160" w:line="259" w:lineRule="auto"/>
              <w:rPr>
                <w:rFonts w:ascii="Arial Narrow" w:hAnsi="Arial Narrow"/>
                <w:sz w:val="18"/>
                <w:szCs w:val="18"/>
              </w:rPr>
            </w:pPr>
          </w:p>
        </w:tc>
        <w:tc>
          <w:tcPr>
            <w:tcW w:w="273" w:type="pct"/>
          </w:tcPr>
          <w:p w14:paraId="4860514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21A5F5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43%</w:t>
            </w:r>
          </w:p>
        </w:tc>
        <w:tc>
          <w:tcPr>
            <w:tcW w:w="283" w:type="pct"/>
          </w:tcPr>
          <w:p w14:paraId="38C86AF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BBB6D5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149" w:type="pct"/>
          </w:tcPr>
          <w:p w14:paraId="605DF7D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FF91812" w14:textId="77777777" w:rsidR="00095411" w:rsidRPr="007348FD" w:rsidRDefault="00095411" w:rsidP="00591CBB">
            <w:pPr>
              <w:spacing w:after="160" w:line="259" w:lineRule="auto"/>
              <w:rPr>
                <w:rFonts w:ascii="Arial Narrow" w:hAnsi="Arial Narrow"/>
                <w:sz w:val="18"/>
                <w:szCs w:val="18"/>
              </w:rPr>
            </w:pPr>
          </w:p>
        </w:tc>
        <w:tc>
          <w:tcPr>
            <w:tcW w:w="214" w:type="pct"/>
          </w:tcPr>
          <w:p w14:paraId="621D29C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Spot check</w:t>
            </w:r>
          </w:p>
        </w:tc>
        <w:tc>
          <w:tcPr>
            <w:cnfStyle w:val="000010000000" w:firstRow="0" w:lastRow="0" w:firstColumn="0" w:lastColumn="0" w:oddVBand="1" w:evenVBand="0" w:oddHBand="0" w:evenHBand="0" w:firstRowFirstColumn="0" w:firstRowLastColumn="0" w:lastRowFirstColumn="0" w:lastRowLastColumn="0"/>
            <w:tcW w:w="245" w:type="pct"/>
          </w:tcPr>
          <w:p w14:paraId="13D89CD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Spot check</w:t>
            </w:r>
          </w:p>
        </w:tc>
        <w:tc>
          <w:tcPr>
            <w:tcW w:w="280" w:type="pct"/>
          </w:tcPr>
          <w:p w14:paraId="23B2BD96" w14:textId="1B0C6019"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HFRSAA</w:t>
            </w:r>
          </w:p>
        </w:tc>
      </w:tr>
      <w:tr w:rsidR="00051F27" w:rsidRPr="00591CBB" w14:paraId="57AEB8C3"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245180F9" w14:textId="77777777" w:rsidR="00051F27" w:rsidRPr="007348FD" w:rsidRDefault="00051F27" w:rsidP="00591CBB">
            <w:pPr>
              <w:spacing w:after="160" w:line="259" w:lineRule="auto"/>
              <w:rPr>
                <w:rFonts w:ascii="Arial Narrow" w:hAnsi="Arial Narrow"/>
                <w:sz w:val="18"/>
                <w:szCs w:val="18"/>
              </w:rPr>
            </w:pPr>
          </w:p>
        </w:tc>
        <w:tc>
          <w:tcPr>
            <w:tcW w:w="460" w:type="pct"/>
          </w:tcPr>
          <w:p w14:paraId="65CD96F6" w14:textId="77777777" w:rsidR="00051F27" w:rsidRPr="007348FD" w:rsidRDefault="00051F27"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B2558A6" w14:textId="77777777" w:rsidR="00051F27" w:rsidRPr="007348FD" w:rsidRDefault="00051F27" w:rsidP="00591CBB">
            <w:pPr>
              <w:spacing w:after="160" w:line="259" w:lineRule="auto"/>
              <w:rPr>
                <w:rFonts w:ascii="Arial Narrow" w:hAnsi="Arial Narrow"/>
                <w:b/>
                <w:bCs/>
                <w:sz w:val="18"/>
                <w:szCs w:val="18"/>
              </w:rPr>
            </w:pPr>
          </w:p>
        </w:tc>
        <w:tc>
          <w:tcPr>
            <w:tcW w:w="341" w:type="pct"/>
          </w:tcPr>
          <w:p w14:paraId="02C6A6C2" w14:textId="77777777" w:rsidR="00051F27" w:rsidRPr="007348FD" w:rsidRDefault="00051F27"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4F37D9FC" w14:textId="77777777" w:rsidR="00051F27" w:rsidRPr="007348FD" w:rsidRDefault="00051F27"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19F81AC6" w14:textId="17D13055" w:rsidR="00051F27" w:rsidRPr="007348FD" w:rsidRDefault="00051F27"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5E27DD8B" w14:textId="2FE18EF7" w:rsidR="00051F27" w:rsidRPr="007348FD" w:rsidRDefault="00051F27" w:rsidP="00591CBB">
            <w:pPr>
              <w:spacing w:after="160" w:line="259" w:lineRule="auto"/>
              <w:rPr>
                <w:rFonts w:ascii="Arial Narrow" w:hAnsi="Arial Narrow"/>
                <w:sz w:val="18"/>
                <w:szCs w:val="18"/>
              </w:rPr>
            </w:pPr>
            <w:r w:rsidRPr="007348FD">
              <w:rPr>
                <w:rFonts w:ascii="Arial Narrow" w:hAnsi="Arial Narrow"/>
                <w:sz w:val="18"/>
                <w:szCs w:val="18"/>
              </w:rPr>
              <w:t>80%</w:t>
            </w:r>
          </w:p>
        </w:tc>
        <w:tc>
          <w:tcPr>
            <w:tcW w:w="298" w:type="pct"/>
          </w:tcPr>
          <w:p w14:paraId="3A6B1682" w14:textId="77777777" w:rsidR="00051F27" w:rsidRPr="007348FD" w:rsidRDefault="00051F27"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80%</w:t>
            </w:r>
          </w:p>
        </w:tc>
        <w:tc>
          <w:tcPr>
            <w:cnfStyle w:val="000010000000" w:firstRow="0" w:lastRow="0" w:firstColumn="0" w:lastColumn="0" w:oddVBand="1" w:evenVBand="0" w:oddHBand="0" w:evenHBand="0" w:firstRowFirstColumn="0" w:firstRowLastColumn="0" w:lastRowFirstColumn="0" w:lastRowLastColumn="0"/>
            <w:tcW w:w="197" w:type="pct"/>
          </w:tcPr>
          <w:p w14:paraId="394B3A1D" w14:textId="77777777" w:rsidR="00051F27" w:rsidRPr="007348FD" w:rsidRDefault="00051F27" w:rsidP="00591CBB">
            <w:pPr>
              <w:spacing w:after="160" w:line="259" w:lineRule="auto"/>
              <w:rPr>
                <w:rFonts w:ascii="Arial Narrow" w:hAnsi="Arial Narrow"/>
                <w:sz w:val="18"/>
                <w:szCs w:val="18"/>
              </w:rPr>
            </w:pPr>
            <w:r w:rsidRPr="007348FD">
              <w:rPr>
                <w:rFonts w:ascii="Arial Narrow" w:hAnsi="Arial Narrow"/>
                <w:sz w:val="18"/>
                <w:szCs w:val="18"/>
              </w:rPr>
              <w:t>90%</w:t>
            </w:r>
          </w:p>
        </w:tc>
        <w:tc>
          <w:tcPr>
            <w:tcW w:w="273" w:type="pct"/>
          </w:tcPr>
          <w:p w14:paraId="16014FEB" w14:textId="77777777" w:rsidR="00051F27" w:rsidRPr="007348FD" w:rsidRDefault="00051F27"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B6394A1" w14:textId="77777777" w:rsidR="00051F27" w:rsidRPr="007348FD" w:rsidRDefault="00051F27" w:rsidP="00591CBB">
            <w:pPr>
              <w:spacing w:after="160" w:line="259" w:lineRule="auto"/>
              <w:rPr>
                <w:rFonts w:ascii="Arial Narrow" w:hAnsi="Arial Narrow"/>
                <w:sz w:val="18"/>
                <w:szCs w:val="18"/>
              </w:rPr>
            </w:pPr>
          </w:p>
        </w:tc>
        <w:tc>
          <w:tcPr>
            <w:tcW w:w="283" w:type="pct"/>
          </w:tcPr>
          <w:p w14:paraId="4649CF69" w14:textId="77777777" w:rsidR="00051F27" w:rsidRPr="007348FD" w:rsidRDefault="00051F27"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8A6D0B4" w14:textId="77777777" w:rsidR="00051F27" w:rsidRPr="007348FD" w:rsidRDefault="00051F27" w:rsidP="00591CBB">
            <w:pPr>
              <w:spacing w:after="160" w:line="259" w:lineRule="auto"/>
              <w:rPr>
                <w:rFonts w:ascii="Arial Narrow" w:hAnsi="Arial Narrow"/>
                <w:sz w:val="18"/>
                <w:szCs w:val="18"/>
              </w:rPr>
            </w:pPr>
          </w:p>
        </w:tc>
        <w:tc>
          <w:tcPr>
            <w:tcW w:w="149" w:type="pct"/>
          </w:tcPr>
          <w:p w14:paraId="52A14FE6" w14:textId="77777777" w:rsidR="00051F27" w:rsidRPr="007348FD" w:rsidRDefault="00051F27"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183017A" w14:textId="77777777" w:rsidR="00051F27" w:rsidRPr="007348FD" w:rsidRDefault="00051F27" w:rsidP="00591CBB">
            <w:pPr>
              <w:spacing w:after="160" w:line="259" w:lineRule="auto"/>
              <w:rPr>
                <w:rFonts w:ascii="Arial Narrow" w:hAnsi="Arial Narrow"/>
                <w:sz w:val="18"/>
                <w:szCs w:val="18"/>
              </w:rPr>
            </w:pPr>
          </w:p>
        </w:tc>
        <w:tc>
          <w:tcPr>
            <w:tcW w:w="214" w:type="pct"/>
          </w:tcPr>
          <w:p w14:paraId="69DC4D68" w14:textId="77777777" w:rsidR="00051F27" w:rsidRPr="007348FD" w:rsidRDefault="00051F27"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100%</w:t>
            </w:r>
          </w:p>
        </w:tc>
        <w:tc>
          <w:tcPr>
            <w:cnfStyle w:val="000010000000" w:firstRow="0" w:lastRow="0" w:firstColumn="0" w:lastColumn="0" w:oddVBand="1" w:evenVBand="0" w:oddHBand="0" w:evenHBand="0" w:firstRowFirstColumn="0" w:firstRowLastColumn="0" w:lastRowFirstColumn="0" w:lastRowLastColumn="0"/>
            <w:tcW w:w="245" w:type="pct"/>
          </w:tcPr>
          <w:p w14:paraId="43926F70" w14:textId="77777777" w:rsidR="00051F27" w:rsidRPr="007348FD" w:rsidRDefault="00051F27" w:rsidP="00591CBB">
            <w:pPr>
              <w:spacing w:after="160" w:line="259" w:lineRule="auto"/>
              <w:rPr>
                <w:rFonts w:ascii="Arial Narrow" w:hAnsi="Arial Narrow"/>
                <w:sz w:val="18"/>
                <w:szCs w:val="18"/>
              </w:rPr>
            </w:pPr>
            <w:r w:rsidRPr="007348FD">
              <w:rPr>
                <w:rFonts w:ascii="Arial Narrow" w:hAnsi="Arial Narrow"/>
                <w:sz w:val="18"/>
                <w:szCs w:val="18"/>
              </w:rPr>
              <w:t>100%</w:t>
            </w:r>
          </w:p>
        </w:tc>
        <w:tc>
          <w:tcPr>
            <w:tcW w:w="280" w:type="pct"/>
          </w:tcPr>
          <w:p w14:paraId="3133067F" w14:textId="477C1617" w:rsidR="00051F27" w:rsidRPr="007348FD" w:rsidRDefault="00051F27"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100%</w:t>
            </w:r>
          </w:p>
        </w:tc>
      </w:tr>
      <w:tr w:rsidR="00095411" w:rsidRPr="00591CBB" w14:paraId="13C40039" w14:textId="0D8D0F4E"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64F30128" w14:textId="77777777" w:rsidR="00095411" w:rsidRPr="007348FD" w:rsidRDefault="00095411" w:rsidP="00591CBB">
            <w:pPr>
              <w:spacing w:after="160" w:line="259" w:lineRule="auto"/>
              <w:rPr>
                <w:rFonts w:ascii="Arial Narrow" w:hAnsi="Arial Narrow"/>
                <w:sz w:val="18"/>
                <w:szCs w:val="18"/>
              </w:rPr>
            </w:pPr>
          </w:p>
        </w:tc>
        <w:tc>
          <w:tcPr>
            <w:tcW w:w="460" w:type="pct"/>
          </w:tcPr>
          <w:p w14:paraId="5980401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8275CB1"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91BBDD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084E4B7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3EB1680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36F0819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50%</w:t>
            </w:r>
          </w:p>
        </w:tc>
        <w:tc>
          <w:tcPr>
            <w:tcW w:w="298" w:type="pct"/>
          </w:tcPr>
          <w:p w14:paraId="43A7C49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50%</w:t>
            </w:r>
          </w:p>
        </w:tc>
        <w:tc>
          <w:tcPr>
            <w:cnfStyle w:val="000010000000" w:firstRow="0" w:lastRow="0" w:firstColumn="0" w:lastColumn="0" w:oddVBand="1" w:evenVBand="0" w:oddHBand="0" w:evenHBand="0" w:firstRowFirstColumn="0" w:firstRowLastColumn="0" w:lastRowFirstColumn="0" w:lastRowLastColumn="0"/>
            <w:tcW w:w="197" w:type="pct"/>
          </w:tcPr>
          <w:p w14:paraId="162E7735" w14:textId="77777777" w:rsidR="00095411" w:rsidRPr="007348FD" w:rsidRDefault="00095411" w:rsidP="00591CBB">
            <w:pPr>
              <w:spacing w:after="160" w:line="259" w:lineRule="auto"/>
              <w:rPr>
                <w:rFonts w:ascii="Arial Narrow" w:hAnsi="Arial Narrow"/>
                <w:sz w:val="18"/>
                <w:szCs w:val="18"/>
              </w:rPr>
            </w:pPr>
          </w:p>
        </w:tc>
        <w:tc>
          <w:tcPr>
            <w:tcW w:w="273" w:type="pct"/>
          </w:tcPr>
          <w:p w14:paraId="0F9FDA4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285040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56%</w:t>
            </w:r>
          </w:p>
        </w:tc>
        <w:tc>
          <w:tcPr>
            <w:tcW w:w="283" w:type="pct"/>
          </w:tcPr>
          <w:p w14:paraId="43F913A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574D37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149" w:type="pct"/>
          </w:tcPr>
          <w:p w14:paraId="2DE0E06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70ECD41" w14:textId="77777777" w:rsidR="00095411" w:rsidRPr="007348FD" w:rsidRDefault="00095411" w:rsidP="00591CBB">
            <w:pPr>
              <w:spacing w:after="160" w:line="259" w:lineRule="auto"/>
              <w:rPr>
                <w:rFonts w:ascii="Arial Narrow" w:hAnsi="Arial Narrow"/>
                <w:sz w:val="18"/>
                <w:szCs w:val="18"/>
              </w:rPr>
            </w:pPr>
          </w:p>
        </w:tc>
        <w:tc>
          <w:tcPr>
            <w:tcW w:w="214" w:type="pct"/>
          </w:tcPr>
          <w:p w14:paraId="7DE502A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Spot check</w:t>
            </w:r>
          </w:p>
        </w:tc>
        <w:tc>
          <w:tcPr>
            <w:cnfStyle w:val="000010000000" w:firstRow="0" w:lastRow="0" w:firstColumn="0" w:lastColumn="0" w:oddVBand="1" w:evenVBand="0" w:oddHBand="0" w:evenHBand="0" w:firstRowFirstColumn="0" w:firstRowLastColumn="0" w:lastRowFirstColumn="0" w:lastRowLastColumn="0"/>
            <w:tcW w:w="245" w:type="pct"/>
          </w:tcPr>
          <w:p w14:paraId="55A41B9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Spot check</w:t>
            </w:r>
          </w:p>
        </w:tc>
        <w:tc>
          <w:tcPr>
            <w:tcW w:w="280" w:type="pct"/>
          </w:tcPr>
          <w:p w14:paraId="7790DCA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1F106C32"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6149484C" w14:textId="77777777" w:rsidR="00095411" w:rsidRPr="007348FD" w:rsidRDefault="00095411" w:rsidP="00591CBB">
            <w:pPr>
              <w:spacing w:after="160" w:line="259" w:lineRule="auto"/>
              <w:rPr>
                <w:rFonts w:ascii="Arial Narrow" w:hAnsi="Arial Narrow"/>
                <w:sz w:val="18"/>
                <w:szCs w:val="18"/>
              </w:rPr>
            </w:pPr>
          </w:p>
        </w:tc>
        <w:tc>
          <w:tcPr>
            <w:tcW w:w="460" w:type="pct"/>
          </w:tcPr>
          <w:p w14:paraId="5367714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271EA04"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72B75E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201A2F8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9568EE2" w14:textId="6270E551"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18B452E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80%</w:t>
            </w:r>
          </w:p>
        </w:tc>
        <w:tc>
          <w:tcPr>
            <w:tcW w:w="298" w:type="pct"/>
          </w:tcPr>
          <w:p w14:paraId="58DC9FB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80%</w:t>
            </w:r>
          </w:p>
        </w:tc>
        <w:tc>
          <w:tcPr>
            <w:cnfStyle w:val="000010000000" w:firstRow="0" w:lastRow="0" w:firstColumn="0" w:lastColumn="0" w:oddVBand="1" w:evenVBand="0" w:oddHBand="0" w:evenHBand="0" w:firstRowFirstColumn="0" w:firstRowLastColumn="0" w:lastRowFirstColumn="0" w:lastRowLastColumn="0"/>
            <w:tcW w:w="197" w:type="pct"/>
          </w:tcPr>
          <w:p w14:paraId="22E6F8E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90%</w:t>
            </w:r>
          </w:p>
        </w:tc>
        <w:tc>
          <w:tcPr>
            <w:tcW w:w="273" w:type="pct"/>
          </w:tcPr>
          <w:p w14:paraId="11E6B6B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AFB6DCE" w14:textId="77777777" w:rsidR="00095411" w:rsidRPr="007348FD" w:rsidRDefault="00095411" w:rsidP="00591CBB">
            <w:pPr>
              <w:spacing w:after="160" w:line="259" w:lineRule="auto"/>
              <w:rPr>
                <w:rFonts w:ascii="Arial Narrow" w:hAnsi="Arial Narrow"/>
                <w:sz w:val="18"/>
                <w:szCs w:val="18"/>
              </w:rPr>
            </w:pPr>
          </w:p>
        </w:tc>
        <w:tc>
          <w:tcPr>
            <w:tcW w:w="283" w:type="pct"/>
          </w:tcPr>
          <w:p w14:paraId="7AB058F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A50FEF9" w14:textId="77777777" w:rsidR="00095411" w:rsidRPr="007348FD" w:rsidRDefault="00095411" w:rsidP="00591CBB">
            <w:pPr>
              <w:spacing w:after="160" w:line="259" w:lineRule="auto"/>
              <w:rPr>
                <w:rFonts w:ascii="Arial Narrow" w:hAnsi="Arial Narrow"/>
                <w:sz w:val="18"/>
                <w:szCs w:val="18"/>
              </w:rPr>
            </w:pPr>
          </w:p>
        </w:tc>
        <w:tc>
          <w:tcPr>
            <w:tcW w:w="149" w:type="pct"/>
          </w:tcPr>
          <w:p w14:paraId="7052862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8F23F85" w14:textId="77777777" w:rsidR="00095411" w:rsidRPr="007348FD" w:rsidRDefault="00095411" w:rsidP="00591CBB">
            <w:pPr>
              <w:spacing w:after="160" w:line="259" w:lineRule="auto"/>
              <w:rPr>
                <w:rFonts w:ascii="Arial Narrow" w:hAnsi="Arial Narrow"/>
                <w:sz w:val="18"/>
                <w:szCs w:val="18"/>
              </w:rPr>
            </w:pPr>
          </w:p>
        </w:tc>
        <w:tc>
          <w:tcPr>
            <w:tcW w:w="214" w:type="pct"/>
          </w:tcPr>
          <w:p w14:paraId="707B9CC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100%</w:t>
            </w:r>
          </w:p>
        </w:tc>
        <w:tc>
          <w:tcPr>
            <w:cnfStyle w:val="000010000000" w:firstRow="0" w:lastRow="0" w:firstColumn="0" w:lastColumn="0" w:oddVBand="1" w:evenVBand="0" w:oddHBand="0" w:evenHBand="0" w:firstRowFirstColumn="0" w:firstRowLastColumn="0" w:lastRowFirstColumn="0" w:lastRowLastColumn="0"/>
            <w:tcW w:w="245" w:type="pct"/>
          </w:tcPr>
          <w:p w14:paraId="513A080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100%</w:t>
            </w:r>
          </w:p>
        </w:tc>
        <w:tc>
          <w:tcPr>
            <w:tcW w:w="280" w:type="pct"/>
          </w:tcPr>
          <w:p w14:paraId="13C909A9" w14:textId="077C3AC9"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100%</w:t>
            </w:r>
          </w:p>
        </w:tc>
      </w:tr>
      <w:tr w:rsidR="00095411" w:rsidRPr="00591CBB" w14:paraId="08B763CD" w14:textId="22845D7B"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54136F4A" w14:textId="77777777" w:rsidR="00095411" w:rsidRPr="007348FD" w:rsidRDefault="00095411" w:rsidP="00591CBB">
            <w:pPr>
              <w:spacing w:after="160" w:line="259" w:lineRule="auto"/>
              <w:rPr>
                <w:rFonts w:ascii="Arial Narrow" w:hAnsi="Arial Narrow"/>
                <w:sz w:val="18"/>
                <w:szCs w:val="18"/>
              </w:rPr>
            </w:pPr>
          </w:p>
        </w:tc>
        <w:tc>
          <w:tcPr>
            <w:tcW w:w="460" w:type="pct"/>
          </w:tcPr>
          <w:p w14:paraId="08A13B6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C70D03C"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EF1644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0DA04FB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5A1EA5D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38%</w:t>
            </w:r>
          </w:p>
        </w:tc>
        <w:tc>
          <w:tcPr>
            <w:cnfStyle w:val="000010000000" w:firstRow="0" w:lastRow="0" w:firstColumn="0" w:lastColumn="0" w:oddVBand="1" w:evenVBand="0" w:oddHBand="0" w:evenHBand="0" w:firstRowFirstColumn="0" w:firstRowLastColumn="0" w:lastRowFirstColumn="0" w:lastRowLastColumn="0"/>
            <w:tcW w:w="271" w:type="pct"/>
          </w:tcPr>
          <w:p w14:paraId="64CD608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38%</w:t>
            </w:r>
          </w:p>
        </w:tc>
        <w:tc>
          <w:tcPr>
            <w:tcW w:w="298" w:type="pct"/>
          </w:tcPr>
          <w:p w14:paraId="35FD0E0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100%</w:t>
            </w:r>
          </w:p>
        </w:tc>
        <w:tc>
          <w:tcPr>
            <w:cnfStyle w:val="000010000000" w:firstRow="0" w:lastRow="0" w:firstColumn="0" w:lastColumn="0" w:oddVBand="1" w:evenVBand="0" w:oddHBand="0" w:evenHBand="0" w:firstRowFirstColumn="0" w:firstRowLastColumn="0" w:lastRowFirstColumn="0" w:lastRowLastColumn="0"/>
            <w:tcW w:w="197" w:type="pct"/>
          </w:tcPr>
          <w:p w14:paraId="4811285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75%</w:t>
            </w:r>
          </w:p>
        </w:tc>
        <w:tc>
          <w:tcPr>
            <w:tcW w:w="273" w:type="pct"/>
          </w:tcPr>
          <w:p w14:paraId="5544A79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5DDD82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83%</w:t>
            </w:r>
          </w:p>
        </w:tc>
        <w:tc>
          <w:tcPr>
            <w:tcW w:w="283" w:type="pct"/>
          </w:tcPr>
          <w:p w14:paraId="6AB9D53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763472CB" w14:textId="77777777" w:rsidR="00095411" w:rsidRPr="007348FD" w:rsidRDefault="00095411" w:rsidP="00591CBB">
            <w:pPr>
              <w:spacing w:after="160" w:line="259" w:lineRule="auto"/>
              <w:rPr>
                <w:rFonts w:ascii="Arial Narrow" w:hAnsi="Arial Narrow"/>
                <w:sz w:val="18"/>
                <w:szCs w:val="18"/>
              </w:rPr>
            </w:pPr>
          </w:p>
        </w:tc>
        <w:tc>
          <w:tcPr>
            <w:tcW w:w="149" w:type="pct"/>
          </w:tcPr>
          <w:p w14:paraId="5524C63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ED4F82E" w14:textId="77777777" w:rsidR="00095411" w:rsidRPr="007348FD" w:rsidRDefault="00095411" w:rsidP="00591CBB">
            <w:pPr>
              <w:spacing w:after="160" w:line="259" w:lineRule="auto"/>
              <w:rPr>
                <w:rFonts w:ascii="Arial Narrow" w:hAnsi="Arial Narrow"/>
                <w:sz w:val="18"/>
                <w:szCs w:val="18"/>
              </w:rPr>
            </w:pPr>
          </w:p>
        </w:tc>
        <w:tc>
          <w:tcPr>
            <w:tcW w:w="214" w:type="pct"/>
          </w:tcPr>
          <w:p w14:paraId="4B41F27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75%</w:t>
            </w:r>
          </w:p>
        </w:tc>
        <w:tc>
          <w:tcPr>
            <w:cnfStyle w:val="000010000000" w:firstRow="0" w:lastRow="0" w:firstColumn="0" w:lastColumn="0" w:oddVBand="1" w:evenVBand="0" w:oddHBand="0" w:evenHBand="0" w:firstRowFirstColumn="0" w:firstRowLastColumn="0" w:lastRowFirstColumn="0" w:lastRowLastColumn="0"/>
            <w:tcW w:w="245" w:type="pct"/>
          </w:tcPr>
          <w:p w14:paraId="3C00E0A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Spot check</w:t>
            </w:r>
          </w:p>
        </w:tc>
        <w:tc>
          <w:tcPr>
            <w:tcW w:w="280" w:type="pct"/>
          </w:tcPr>
          <w:p w14:paraId="4B02FD4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1CCACC0F"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7E7C6FFC" w14:textId="77777777" w:rsidR="00095411" w:rsidRPr="007348FD" w:rsidRDefault="00095411" w:rsidP="00591CBB">
            <w:pPr>
              <w:spacing w:after="160" w:line="259" w:lineRule="auto"/>
              <w:rPr>
                <w:rFonts w:ascii="Arial Narrow" w:hAnsi="Arial Narrow"/>
                <w:sz w:val="18"/>
                <w:szCs w:val="18"/>
              </w:rPr>
            </w:pPr>
          </w:p>
        </w:tc>
        <w:tc>
          <w:tcPr>
            <w:tcW w:w="460" w:type="pct"/>
          </w:tcPr>
          <w:p w14:paraId="06E0FF7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0B49DA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C1085A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79AD8F8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10E33E4B" w14:textId="54952B5E"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78D9893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80%</w:t>
            </w:r>
          </w:p>
        </w:tc>
        <w:tc>
          <w:tcPr>
            <w:tcW w:w="298" w:type="pct"/>
          </w:tcPr>
          <w:p w14:paraId="4C70F90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100%</w:t>
            </w:r>
          </w:p>
        </w:tc>
        <w:tc>
          <w:tcPr>
            <w:cnfStyle w:val="000010000000" w:firstRow="0" w:lastRow="0" w:firstColumn="0" w:lastColumn="0" w:oddVBand="1" w:evenVBand="0" w:oddHBand="0" w:evenHBand="0" w:firstRowFirstColumn="0" w:firstRowLastColumn="0" w:lastRowFirstColumn="0" w:lastRowLastColumn="0"/>
            <w:tcW w:w="197" w:type="pct"/>
          </w:tcPr>
          <w:p w14:paraId="250D4F4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100%</w:t>
            </w:r>
          </w:p>
        </w:tc>
        <w:tc>
          <w:tcPr>
            <w:tcW w:w="273" w:type="pct"/>
          </w:tcPr>
          <w:p w14:paraId="0AA79F0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B8BAA06" w14:textId="77777777" w:rsidR="00095411" w:rsidRPr="007348FD" w:rsidRDefault="00095411" w:rsidP="00591CBB">
            <w:pPr>
              <w:spacing w:after="160" w:line="259" w:lineRule="auto"/>
              <w:rPr>
                <w:rFonts w:ascii="Arial Narrow" w:hAnsi="Arial Narrow"/>
                <w:sz w:val="18"/>
                <w:szCs w:val="18"/>
              </w:rPr>
            </w:pPr>
          </w:p>
        </w:tc>
        <w:tc>
          <w:tcPr>
            <w:tcW w:w="283" w:type="pct"/>
          </w:tcPr>
          <w:p w14:paraId="18069F0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10F3970" w14:textId="77777777" w:rsidR="00095411" w:rsidRPr="007348FD" w:rsidRDefault="00095411" w:rsidP="00591CBB">
            <w:pPr>
              <w:spacing w:after="160" w:line="259" w:lineRule="auto"/>
              <w:rPr>
                <w:rFonts w:ascii="Arial Narrow" w:hAnsi="Arial Narrow"/>
                <w:sz w:val="18"/>
                <w:szCs w:val="18"/>
              </w:rPr>
            </w:pPr>
          </w:p>
        </w:tc>
        <w:tc>
          <w:tcPr>
            <w:tcW w:w="149" w:type="pct"/>
          </w:tcPr>
          <w:p w14:paraId="501B677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65DEC2B" w14:textId="77777777" w:rsidR="00095411" w:rsidRPr="007348FD" w:rsidRDefault="00095411" w:rsidP="00591CBB">
            <w:pPr>
              <w:spacing w:after="160" w:line="259" w:lineRule="auto"/>
              <w:rPr>
                <w:rFonts w:ascii="Arial Narrow" w:hAnsi="Arial Narrow"/>
                <w:sz w:val="18"/>
                <w:szCs w:val="18"/>
              </w:rPr>
            </w:pPr>
          </w:p>
        </w:tc>
        <w:tc>
          <w:tcPr>
            <w:tcW w:w="214" w:type="pct"/>
          </w:tcPr>
          <w:p w14:paraId="1C3A0B9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100%</w:t>
            </w:r>
          </w:p>
        </w:tc>
        <w:tc>
          <w:tcPr>
            <w:cnfStyle w:val="000010000000" w:firstRow="0" w:lastRow="0" w:firstColumn="0" w:lastColumn="0" w:oddVBand="1" w:evenVBand="0" w:oddHBand="0" w:evenHBand="0" w:firstRowFirstColumn="0" w:firstRowLastColumn="0" w:lastRowFirstColumn="0" w:lastRowLastColumn="0"/>
            <w:tcW w:w="245" w:type="pct"/>
          </w:tcPr>
          <w:p w14:paraId="79DB246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100%</w:t>
            </w:r>
          </w:p>
        </w:tc>
        <w:tc>
          <w:tcPr>
            <w:tcW w:w="280" w:type="pct"/>
          </w:tcPr>
          <w:p w14:paraId="61E38E9B" w14:textId="141A1611"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100%</w:t>
            </w:r>
          </w:p>
        </w:tc>
      </w:tr>
      <w:tr w:rsidR="00095411" w:rsidRPr="00591CBB" w14:paraId="46867835"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2B032555" w14:textId="77777777" w:rsidR="00095411" w:rsidRPr="007348FD" w:rsidRDefault="00095411" w:rsidP="00591CBB">
            <w:pPr>
              <w:spacing w:after="160" w:line="259" w:lineRule="auto"/>
              <w:rPr>
                <w:rFonts w:ascii="Arial Narrow" w:hAnsi="Arial Narrow"/>
                <w:sz w:val="18"/>
                <w:szCs w:val="18"/>
              </w:rPr>
            </w:pPr>
          </w:p>
        </w:tc>
        <w:tc>
          <w:tcPr>
            <w:tcW w:w="460" w:type="pct"/>
          </w:tcPr>
          <w:p w14:paraId="32BBE51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D50EB43"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45E5AD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2D0649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4FAFD75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27E3E57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6CE6D20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HFRSAA</w:t>
            </w:r>
          </w:p>
        </w:tc>
        <w:tc>
          <w:tcPr>
            <w:cnfStyle w:val="000010000000" w:firstRow="0" w:lastRow="0" w:firstColumn="0" w:lastColumn="0" w:oddVBand="1" w:evenVBand="0" w:oddHBand="0" w:evenHBand="0" w:firstRowFirstColumn="0" w:firstRowLastColumn="0" w:lastRowFirstColumn="0" w:lastRowLastColumn="0"/>
            <w:tcW w:w="197" w:type="pct"/>
          </w:tcPr>
          <w:p w14:paraId="6E155C64" w14:textId="77777777" w:rsidR="00095411" w:rsidRPr="007348FD" w:rsidRDefault="00095411" w:rsidP="00591CBB">
            <w:pPr>
              <w:spacing w:after="160" w:line="259" w:lineRule="auto"/>
              <w:rPr>
                <w:rFonts w:ascii="Arial Narrow" w:hAnsi="Arial Narrow"/>
                <w:sz w:val="18"/>
                <w:szCs w:val="18"/>
              </w:rPr>
            </w:pPr>
          </w:p>
        </w:tc>
        <w:tc>
          <w:tcPr>
            <w:tcW w:w="273" w:type="pct"/>
          </w:tcPr>
          <w:p w14:paraId="44866B8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3D7F5FA" w14:textId="77777777" w:rsidR="00095411" w:rsidRPr="007348FD" w:rsidRDefault="00095411" w:rsidP="00591CBB">
            <w:pPr>
              <w:spacing w:after="160" w:line="259" w:lineRule="auto"/>
              <w:rPr>
                <w:rFonts w:ascii="Arial Narrow" w:hAnsi="Arial Narrow"/>
                <w:sz w:val="18"/>
                <w:szCs w:val="18"/>
              </w:rPr>
            </w:pPr>
          </w:p>
        </w:tc>
        <w:tc>
          <w:tcPr>
            <w:tcW w:w="283" w:type="pct"/>
          </w:tcPr>
          <w:p w14:paraId="3F04732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8C27869" w14:textId="77777777" w:rsidR="00095411" w:rsidRPr="007348FD" w:rsidRDefault="00095411" w:rsidP="00591CBB">
            <w:pPr>
              <w:spacing w:after="160" w:line="259" w:lineRule="auto"/>
              <w:rPr>
                <w:rFonts w:ascii="Arial Narrow" w:hAnsi="Arial Narrow"/>
                <w:sz w:val="18"/>
                <w:szCs w:val="18"/>
              </w:rPr>
            </w:pPr>
          </w:p>
        </w:tc>
        <w:tc>
          <w:tcPr>
            <w:tcW w:w="149" w:type="pct"/>
          </w:tcPr>
          <w:p w14:paraId="4792146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A26BA5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4AC6A70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NA</w:t>
            </w:r>
          </w:p>
        </w:tc>
        <w:tc>
          <w:tcPr>
            <w:cnfStyle w:val="000010000000" w:firstRow="0" w:lastRow="0" w:firstColumn="0" w:lastColumn="0" w:oddVBand="1" w:evenVBand="0" w:oddHBand="0" w:evenHBand="0" w:firstRowFirstColumn="0" w:firstRowLastColumn="0" w:lastRowFirstColumn="0" w:lastRowLastColumn="0"/>
            <w:tcW w:w="245" w:type="pct"/>
          </w:tcPr>
          <w:p w14:paraId="42022C6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Spot check</w:t>
            </w:r>
          </w:p>
        </w:tc>
        <w:tc>
          <w:tcPr>
            <w:tcW w:w="280" w:type="pct"/>
          </w:tcPr>
          <w:p w14:paraId="1FFF6178" w14:textId="71C75861"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HFRSAA</w:t>
            </w:r>
          </w:p>
        </w:tc>
      </w:tr>
      <w:tr w:rsidR="00095411" w:rsidRPr="00591CBB" w14:paraId="67312638"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2FBE5130" w14:textId="77777777" w:rsidR="00095411" w:rsidRPr="007348FD" w:rsidRDefault="00095411" w:rsidP="00591CBB">
            <w:pPr>
              <w:spacing w:after="160" w:line="259" w:lineRule="auto"/>
              <w:rPr>
                <w:rFonts w:ascii="Arial Narrow" w:hAnsi="Arial Narrow"/>
                <w:sz w:val="18"/>
                <w:szCs w:val="18"/>
              </w:rPr>
            </w:pPr>
          </w:p>
        </w:tc>
        <w:tc>
          <w:tcPr>
            <w:tcW w:w="460" w:type="pct"/>
          </w:tcPr>
          <w:p w14:paraId="333D604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4A436D9"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AD90A9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7A88F43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3378CC1A" w14:textId="16DEC06E"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3C3ADB9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80%</w:t>
            </w:r>
          </w:p>
        </w:tc>
        <w:tc>
          <w:tcPr>
            <w:tcW w:w="298" w:type="pct"/>
          </w:tcPr>
          <w:p w14:paraId="3906D0A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80%</w:t>
            </w:r>
          </w:p>
        </w:tc>
        <w:tc>
          <w:tcPr>
            <w:cnfStyle w:val="000010000000" w:firstRow="0" w:lastRow="0" w:firstColumn="0" w:lastColumn="0" w:oddVBand="1" w:evenVBand="0" w:oddHBand="0" w:evenHBand="0" w:firstRowFirstColumn="0" w:firstRowLastColumn="0" w:lastRowFirstColumn="0" w:lastRowLastColumn="0"/>
            <w:tcW w:w="197" w:type="pct"/>
          </w:tcPr>
          <w:p w14:paraId="558045C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90%</w:t>
            </w:r>
          </w:p>
        </w:tc>
        <w:tc>
          <w:tcPr>
            <w:tcW w:w="273" w:type="pct"/>
          </w:tcPr>
          <w:p w14:paraId="3500CCD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ABF11C5" w14:textId="77777777" w:rsidR="00095411" w:rsidRPr="007348FD" w:rsidRDefault="00095411" w:rsidP="00591CBB">
            <w:pPr>
              <w:spacing w:after="160" w:line="259" w:lineRule="auto"/>
              <w:rPr>
                <w:rFonts w:ascii="Arial Narrow" w:hAnsi="Arial Narrow"/>
                <w:sz w:val="18"/>
                <w:szCs w:val="18"/>
              </w:rPr>
            </w:pPr>
          </w:p>
        </w:tc>
        <w:tc>
          <w:tcPr>
            <w:tcW w:w="283" w:type="pct"/>
          </w:tcPr>
          <w:p w14:paraId="0F199F3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4FDC324" w14:textId="77777777" w:rsidR="00095411" w:rsidRPr="007348FD" w:rsidRDefault="00095411" w:rsidP="00591CBB">
            <w:pPr>
              <w:spacing w:after="160" w:line="259" w:lineRule="auto"/>
              <w:rPr>
                <w:rFonts w:ascii="Arial Narrow" w:hAnsi="Arial Narrow"/>
                <w:sz w:val="18"/>
                <w:szCs w:val="18"/>
              </w:rPr>
            </w:pPr>
          </w:p>
        </w:tc>
        <w:tc>
          <w:tcPr>
            <w:tcW w:w="149" w:type="pct"/>
          </w:tcPr>
          <w:p w14:paraId="763424D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975B04F" w14:textId="77777777" w:rsidR="00095411" w:rsidRPr="007348FD" w:rsidRDefault="00095411" w:rsidP="00591CBB">
            <w:pPr>
              <w:spacing w:after="160" w:line="259" w:lineRule="auto"/>
              <w:rPr>
                <w:rFonts w:ascii="Arial Narrow" w:hAnsi="Arial Narrow"/>
                <w:sz w:val="18"/>
                <w:szCs w:val="18"/>
              </w:rPr>
            </w:pPr>
          </w:p>
        </w:tc>
        <w:tc>
          <w:tcPr>
            <w:tcW w:w="214" w:type="pct"/>
          </w:tcPr>
          <w:p w14:paraId="42F991B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100%</w:t>
            </w:r>
          </w:p>
        </w:tc>
        <w:tc>
          <w:tcPr>
            <w:cnfStyle w:val="000010000000" w:firstRow="0" w:lastRow="0" w:firstColumn="0" w:lastColumn="0" w:oddVBand="1" w:evenVBand="0" w:oddHBand="0" w:evenHBand="0" w:firstRowFirstColumn="0" w:firstRowLastColumn="0" w:lastRowFirstColumn="0" w:lastRowLastColumn="0"/>
            <w:tcW w:w="245" w:type="pct"/>
          </w:tcPr>
          <w:p w14:paraId="7B57796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100%</w:t>
            </w:r>
          </w:p>
        </w:tc>
        <w:tc>
          <w:tcPr>
            <w:tcW w:w="280" w:type="pct"/>
          </w:tcPr>
          <w:p w14:paraId="101AD481" w14:textId="6420AEC1"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100%</w:t>
            </w:r>
          </w:p>
        </w:tc>
      </w:tr>
      <w:tr w:rsidR="00095411" w:rsidRPr="00591CBB" w14:paraId="0002503E" w14:textId="7057000C"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6394322B" w14:textId="77777777" w:rsidR="00095411" w:rsidRPr="007348FD" w:rsidRDefault="00095411" w:rsidP="00591CBB">
            <w:pPr>
              <w:spacing w:after="160" w:line="259" w:lineRule="auto"/>
              <w:rPr>
                <w:rFonts w:ascii="Arial Narrow" w:hAnsi="Arial Narrow"/>
                <w:sz w:val="18"/>
                <w:szCs w:val="18"/>
              </w:rPr>
            </w:pPr>
          </w:p>
        </w:tc>
        <w:tc>
          <w:tcPr>
            <w:tcW w:w="460" w:type="pct"/>
          </w:tcPr>
          <w:p w14:paraId="4755972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9958758"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876075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2303B22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5FD6421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39B1F72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75%</w:t>
            </w:r>
          </w:p>
        </w:tc>
        <w:tc>
          <w:tcPr>
            <w:tcW w:w="298" w:type="pct"/>
          </w:tcPr>
          <w:p w14:paraId="7B63264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75%</w:t>
            </w:r>
          </w:p>
        </w:tc>
        <w:tc>
          <w:tcPr>
            <w:cnfStyle w:val="000010000000" w:firstRow="0" w:lastRow="0" w:firstColumn="0" w:lastColumn="0" w:oddVBand="1" w:evenVBand="0" w:oddHBand="0" w:evenHBand="0" w:firstRowFirstColumn="0" w:firstRowLastColumn="0" w:lastRowFirstColumn="0" w:lastRowLastColumn="0"/>
            <w:tcW w:w="197" w:type="pct"/>
          </w:tcPr>
          <w:p w14:paraId="25C0317C" w14:textId="77777777" w:rsidR="00095411" w:rsidRPr="007348FD" w:rsidRDefault="00095411" w:rsidP="00591CBB">
            <w:pPr>
              <w:spacing w:after="160" w:line="259" w:lineRule="auto"/>
              <w:rPr>
                <w:rFonts w:ascii="Arial Narrow" w:hAnsi="Arial Narrow"/>
                <w:sz w:val="18"/>
                <w:szCs w:val="18"/>
              </w:rPr>
            </w:pPr>
          </w:p>
        </w:tc>
        <w:tc>
          <w:tcPr>
            <w:tcW w:w="273" w:type="pct"/>
          </w:tcPr>
          <w:p w14:paraId="593724C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38BECF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83%</w:t>
            </w:r>
          </w:p>
        </w:tc>
        <w:tc>
          <w:tcPr>
            <w:tcW w:w="283" w:type="pct"/>
          </w:tcPr>
          <w:p w14:paraId="1A0EC2C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43534095" w14:textId="77777777" w:rsidR="00095411" w:rsidRPr="007348FD" w:rsidRDefault="00095411" w:rsidP="00591CBB">
            <w:pPr>
              <w:spacing w:after="160" w:line="259" w:lineRule="auto"/>
              <w:rPr>
                <w:rFonts w:ascii="Arial Narrow" w:hAnsi="Arial Narrow"/>
                <w:sz w:val="18"/>
                <w:szCs w:val="18"/>
              </w:rPr>
            </w:pPr>
          </w:p>
        </w:tc>
        <w:tc>
          <w:tcPr>
            <w:tcW w:w="149" w:type="pct"/>
          </w:tcPr>
          <w:p w14:paraId="6BE16A5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1BA9AF9" w14:textId="77777777" w:rsidR="00095411" w:rsidRPr="007348FD" w:rsidRDefault="00095411" w:rsidP="00591CBB">
            <w:pPr>
              <w:spacing w:after="160" w:line="259" w:lineRule="auto"/>
              <w:rPr>
                <w:rFonts w:ascii="Arial Narrow" w:hAnsi="Arial Narrow"/>
                <w:sz w:val="18"/>
                <w:szCs w:val="18"/>
              </w:rPr>
            </w:pPr>
          </w:p>
        </w:tc>
        <w:tc>
          <w:tcPr>
            <w:tcW w:w="214" w:type="pct"/>
          </w:tcPr>
          <w:p w14:paraId="2ED821F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Spot check</w:t>
            </w:r>
          </w:p>
        </w:tc>
        <w:tc>
          <w:tcPr>
            <w:cnfStyle w:val="000010000000" w:firstRow="0" w:lastRow="0" w:firstColumn="0" w:lastColumn="0" w:oddVBand="1" w:evenVBand="0" w:oddHBand="0" w:evenHBand="0" w:firstRowFirstColumn="0" w:firstRowLastColumn="0" w:lastRowFirstColumn="0" w:lastRowLastColumn="0"/>
            <w:tcW w:w="245" w:type="pct"/>
          </w:tcPr>
          <w:p w14:paraId="349CD77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Spot check</w:t>
            </w:r>
          </w:p>
        </w:tc>
        <w:tc>
          <w:tcPr>
            <w:tcW w:w="280" w:type="pct"/>
          </w:tcPr>
          <w:p w14:paraId="54A9CC7C" w14:textId="116F9682"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Spot check</w:t>
            </w:r>
          </w:p>
        </w:tc>
      </w:tr>
      <w:tr w:rsidR="00095411" w:rsidRPr="00591CBB" w14:paraId="1EE804C0"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73CCF87E" w14:textId="77777777" w:rsidR="00095411" w:rsidRPr="007348FD" w:rsidRDefault="00095411" w:rsidP="00591CBB">
            <w:pPr>
              <w:spacing w:after="160" w:line="259" w:lineRule="auto"/>
              <w:rPr>
                <w:rFonts w:ascii="Arial Narrow" w:hAnsi="Arial Narrow"/>
                <w:sz w:val="18"/>
                <w:szCs w:val="18"/>
              </w:rPr>
            </w:pPr>
          </w:p>
        </w:tc>
        <w:tc>
          <w:tcPr>
            <w:tcW w:w="460" w:type="pct"/>
          </w:tcPr>
          <w:p w14:paraId="1965ECC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639E21D"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5A45F7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60AB731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DEFCFB8" w14:textId="1A87A401"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64009E1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80%</w:t>
            </w:r>
          </w:p>
        </w:tc>
        <w:tc>
          <w:tcPr>
            <w:tcW w:w="298" w:type="pct"/>
          </w:tcPr>
          <w:p w14:paraId="06BE70F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80%</w:t>
            </w:r>
          </w:p>
        </w:tc>
        <w:tc>
          <w:tcPr>
            <w:cnfStyle w:val="000010000000" w:firstRow="0" w:lastRow="0" w:firstColumn="0" w:lastColumn="0" w:oddVBand="1" w:evenVBand="0" w:oddHBand="0" w:evenHBand="0" w:firstRowFirstColumn="0" w:firstRowLastColumn="0" w:lastRowFirstColumn="0" w:lastRowLastColumn="0"/>
            <w:tcW w:w="197" w:type="pct"/>
          </w:tcPr>
          <w:p w14:paraId="5300709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90%</w:t>
            </w:r>
          </w:p>
        </w:tc>
        <w:tc>
          <w:tcPr>
            <w:tcW w:w="273" w:type="pct"/>
          </w:tcPr>
          <w:p w14:paraId="52EB7DC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F446AD2" w14:textId="77777777" w:rsidR="00095411" w:rsidRPr="007348FD" w:rsidRDefault="00095411" w:rsidP="00591CBB">
            <w:pPr>
              <w:spacing w:after="160" w:line="259" w:lineRule="auto"/>
              <w:rPr>
                <w:rFonts w:ascii="Arial Narrow" w:hAnsi="Arial Narrow"/>
                <w:sz w:val="18"/>
                <w:szCs w:val="18"/>
              </w:rPr>
            </w:pPr>
          </w:p>
        </w:tc>
        <w:tc>
          <w:tcPr>
            <w:tcW w:w="283" w:type="pct"/>
          </w:tcPr>
          <w:p w14:paraId="6EC2D0F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2D80D18" w14:textId="77777777" w:rsidR="00095411" w:rsidRPr="007348FD" w:rsidRDefault="00095411" w:rsidP="00591CBB">
            <w:pPr>
              <w:spacing w:after="160" w:line="259" w:lineRule="auto"/>
              <w:rPr>
                <w:rFonts w:ascii="Arial Narrow" w:hAnsi="Arial Narrow"/>
                <w:sz w:val="18"/>
                <w:szCs w:val="18"/>
              </w:rPr>
            </w:pPr>
          </w:p>
        </w:tc>
        <w:tc>
          <w:tcPr>
            <w:tcW w:w="149" w:type="pct"/>
          </w:tcPr>
          <w:p w14:paraId="757B186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E62FFBB" w14:textId="77777777" w:rsidR="00095411" w:rsidRPr="007348FD" w:rsidRDefault="00095411" w:rsidP="00591CBB">
            <w:pPr>
              <w:spacing w:after="160" w:line="259" w:lineRule="auto"/>
              <w:rPr>
                <w:rFonts w:ascii="Arial Narrow" w:hAnsi="Arial Narrow"/>
                <w:sz w:val="18"/>
                <w:szCs w:val="18"/>
              </w:rPr>
            </w:pPr>
          </w:p>
        </w:tc>
        <w:tc>
          <w:tcPr>
            <w:tcW w:w="214" w:type="pct"/>
          </w:tcPr>
          <w:p w14:paraId="06F96F4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100%</w:t>
            </w:r>
          </w:p>
        </w:tc>
        <w:tc>
          <w:tcPr>
            <w:cnfStyle w:val="000010000000" w:firstRow="0" w:lastRow="0" w:firstColumn="0" w:lastColumn="0" w:oddVBand="1" w:evenVBand="0" w:oddHBand="0" w:evenHBand="0" w:firstRowFirstColumn="0" w:firstRowLastColumn="0" w:lastRowFirstColumn="0" w:lastRowLastColumn="0"/>
            <w:tcW w:w="245" w:type="pct"/>
          </w:tcPr>
          <w:p w14:paraId="2A2F593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100%</w:t>
            </w:r>
          </w:p>
        </w:tc>
        <w:tc>
          <w:tcPr>
            <w:tcW w:w="280" w:type="pct"/>
          </w:tcPr>
          <w:p w14:paraId="2C5BCFCA" w14:textId="1C89D2C4"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100%</w:t>
            </w:r>
          </w:p>
        </w:tc>
      </w:tr>
      <w:tr w:rsidR="00095411" w:rsidRPr="00591CBB" w14:paraId="09E63F7C" w14:textId="593F3DFD" w:rsidTr="00051F27">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432" w:type="pct"/>
          </w:tcPr>
          <w:p w14:paraId="460B0068" w14:textId="77777777" w:rsidR="00095411" w:rsidRPr="007348FD" w:rsidRDefault="00095411" w:rsidP="00591CBB">
            <w:pPr>
              <w:spacing w:after="160" w:line="259" w:lineRule="auto"/>
              <w:rPr>
                <w:rFonts w:ascii="Arial Narrow" w:hAnsi="Arial Narrow"/>
                <w:sz w:val="18"/>
                <w:szCs w:val="18"/>
              </w:rPr>
            </w:pPr>
          </w:p>
        </w:tc>
        <w:tc>
          <w:tcPr>
            <w:tcW w:w="460" w:type="pct"/>
          </w:tcPr>
          <w:p w14:paraId="2F1B7AA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C3C856C"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8D761A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09C9AF8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195F13C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6F857A7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6EB7757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HFRSAA</w:t>
            </w:r>
          </w:p>
        </w:tc>
        <w:tc>
          <w:tcPr>
            <w:cnfStyle w:val="000010000000" w:firstRow="0" w:lastRow="0" w:firstColumn="0" w:lastColumn="0" w:oddVBand="1" w:evenVBand="0" w:oddHBand="0" w:evenHBand="0" w:firstRowFirstColumn="0" w:firstRowLastColumn="0" w:lastRowFirstColumn="0" w:lastRowLastColumn="0"/>
            <w:tcW w:w="197" w:type="pct"/>
          </w:tcPr>
          <w:p w14:paraId="0F22B226" w14:textId="77777777" w:rsidR="00095411" w:rsidRPr="007348FD" w:rsidRDefault="00095411" w:rsidP="00591CBB">
            <w:pPr>
              <w:spacing w:after="160" w:line="259" w:lineRule="auto"/>
              <w:rPr>
                <w:rFonts w:ascii="Arial Narrow" w:hAnsi="Arial Narrow"/>
                <w:sz w:val="18"/>
                <w:szCs w:val="18"/>
              </w:rPr>
            </w:pPr>
          </w:p>
        </w:tc>
        <w:tc>
          <w:tcPr>
            <w:tcW w:w="273" w:type="pct"/>
          </w:tcPr>
          <w:p w14:paraId="411913C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A188711" w14:textId="77777777" w:rsidR="00095411" w:rsidRPr="007348FD" w:rsidRDefault="00095411" w:rsidP="00591CBB">
            <w:pPr>
              <w:spacing w:after="160" w:line="259" w:lineRule="auto"/>
              <w:rPr>
                <w:rFonts w:ascii="Arial Narrow" w:hAnsi="Arial Narrow"/>
                <w:sz w:val="18"/>
                <w:szCs w:val="18"/>
              </w:rPr>
            </w:pPr>
          </w:p>
        </w:tc>
        <w:tc>
          <w:tcPr>
            <w:tcW w:w="283" w:type="pct"/>
          </w:tcPr>
          <w:p w14:paraId="1A0285D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DD5943F" w14:textId="77777777" w:rsidR="00095411" w:rsidRPr="007348FD" w:rsidRDefault="00095411" w:rsidP="00591CBB">
            <w:pPr>
              <w:spacing w:after="160" w:line="259" w:lineRule="auto"/>
              <w:rPr>
                <w:rFonts w:ascii="Arial Narrow" w:hAnsi="Arial Narrow"/>
                <w:sz w:val="18"/>
                <w:szCs w:val="18"/>
              </w:rPr>
            </w:pPr>
          </w:p>
        </w:tc>
        <w:tc>
          <w:tcPr>
            <w:tcW w:w="149" w:type="pct"/>
          </w:tcPr>
          <w:p w14:paraId="35A51A7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9F612F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10415FC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HFRSA</w:t>
            </w:r>
          </w:p>
        </w:tc>
        <w:tc>
          <w:tcPr>
            <w:cnfStyle w:val="000010000000" w:firstRow="0" w:lastRow="0" w:firstColumn="0" w:lastColumn="0" w:oddVBand="1" w:evenVBand="0" w:oddHBand="0" w:evenHBand="0" w:firstRowFirstColumn="0" w:firstRowLastColumn="0" w:lastRowFirstColumn="0" w:lastRowLastColumn="0"/>
            <w:tcW w:w="245" w:type="pct"/>
          </w:tcPr>
          <w:p w14:paraId="3703051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Spot check</w:t>
            </w:r>
          </w:p>
        </w:tc>
        <w:tc>
          <w:tcPr>
            <w:tcW w:w="280" w:type="pct"/>
          </w:tcPr>
          <w:p w14:paraId="6A3A094B" w14:textId="67A2D11F"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Spot check</w:t>
            </w:r>
          </w:p>
        </w:tc>
      </w:tr>
      <w:tr w:rsidR="00095411" w:rsidRPr="00591CBB" w14:paraId="49AC11ED"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611E3782" w14:textId="77777777" w:rsidR="00095411" w:rsidRPr="007348FD" w:rsidRDefault="00095411" w:rsidP="00591CBB">
            <w:pPr>
              <w:spacing w:after="160" w:line="259" w:lineRule="auto"/>
              <w:rPr>
                <w:rFonts w:ascii="Arial Narrow" w:hAnsi="Arial Narrow"/>
                <w:sz w:val="18"/>
                <w:szCs w:val="18"/>
              </w:rPr>
            </w:pPr>
          </w:p>
        </w:tc>
        <w:tc>
          <w:tcPr>
            <w:tcW w:w="460" w:type="pct"/>
          </w:tcPr>
          <w:p w14:paraId="5F4470A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sz w:val="18"/>
                <w:szCs w:val="18"/>
              </w:rPr>
              <w:t xml:space="preserve">9. Percentage of SDP stock-out by family planning method or product (last 3 months). </w:t>
            </w:r>
            <w:r w:rsidRPr="007348FD">
              <w:rPr>
                <w:rFonts w:ascii="Arial Narrow" w:hAnsi="Arial Narrow"/>
                <w:b/>
                <w:bCs/>
                <w:sz w:val="18"/>
                <w:szCs w:val="18"/>
              </w:rPr>
              <w:t>[UNFPA Supplies Indicator Proposed 1]</w:t>
            </w:r>
          </w:p>
        </w:tc>
        <w:tc>
          <w:tcPr>
            <w:cnfStyle w:val="000010000000" w:firstRow="0" w:lastRow="0" w:firstColumn="0" w:lastColumn="0" w:oddVBand="1" w:evenVBand="0" w:oddHBand="0" w:evenHBand="0" w:firstRowFirstColumn="0" w:firstRowLastColumn="0" w:lastRowFirstColumn="0" w:lastRowLastColumn="0"/>
            <w:tcW w:w="371" w:type="pct"/>
          </w:tcPr>
          <w:p w14:paraId="5FA2D597"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t>ø</w:t>
            </w:r>
          </w:p>
        </w:tc>
        <w:tc>
          <w:tcPr>
            <w:tcW w:w="341" w:type="pct"/>
          </w:tcPr>
          <w:p w14:paraId="04E8E5A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75BF5C2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93E791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7CB8413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43A9ECD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68EFA748" w14:textId="77777777" w:rsidR="00095411" w:rsidRPr="007348FD" w:rsidRDefault="00095411" w:rsidP="00591CBB">
            <w:pPr>
              <w:spacing w:after="160" w:line="259" w:lineRule="auto"/>
              <w:rPr>
                <w:rFonts w:ascii="Arial Narrow" w:hAnsi="Arial Narrow"/>
                <w:sz w:val="18"/>
                <w:szCs w:val="18"/>
              </w:rPr>
            </w:pPr>
          </w:p>
        </w:tc>
        <w:tc>
          <w:tcPr>
            <w:tcW w:w="273" w:type="pct"/>
          </w:tcPr>
          <w:p w14:paraId="4CF1515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0C97A4C" w14:textId="77777777" w:rsidR="00095411" w:rsidRPr="007348FD" w:rsidRDefault="00095411" w:rsidP="00591CBB">
            <w:pPr>
              <w:spacing w:after="160" w:line="259" w:lineRule="auto"/>
              <w:rPr>
                <w:rFonts w:ascii="Arial Narrow" w:hAnsi="Arial Narrow"/>
                <w:sz w:val="18"/>
                <w:szCs w:val="18"/>
              </w:rPr>
            </w:pPr>
          </w:p>
        </w:tc>
        <w:tc>
          <w:tcPr>
            <w:tcW w:w="283" w:type="pct"/>
          </w:tcPr>
          <w:p w14:paraId="2C65A8B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305B4DE" w14:textId="77777777" w:rsidR="00095411" w:rsidRPr="007348FD" w:rsidRDefault="00095411" w:rsidP="00591CBB">
            <w:pPr>
              <w:spacing w:after="160" w:line="259" w:lineRule="auto"/>
              <w:rPr>
                <w:rFonts w:ascii="Arial Narrow" w:hAnsi="Arial Narrow"/>
                <w:sz w:val="18"/>
                <w:szCs w:val="18"/>
              </w:rPr>
            </w:pPr>
          </w:p>
        </w:tc>
        <w:tc>
          <w:tcPr>
            <w:tcW w:w="149" w:type="pct"/>
          </w:tcPr>
          <w:p w14:paraId="1CF87A5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379752F" w14:textId="77777777" w:rsidR="00095411" w:rsidRPr="007348FD" w:rsidRDefault="00095411" w:rsidP="00591CBB">
            <w:pPr>
              <w:spacing w:after="160" w:line="259" w:lineRule="auto"/>
              <w:rPr>
                <w:rFonts w:ascii="Arial Narrow" w:hAnsi="Arial Narrow"/>
                <w:sz w:val="18"/>
                <w:szCs w:val="18"/>
              </w:rPr>
            </w:pPr>
          </w:p>
        </w:tc>
        <w:tc>
          <w:tcPr>
            <w:tcW w:w="214" w:type="pct"/>
          </w:tcPr>
          <w:p w14:paraId="659133E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45" w:type="pct"/>
          </w:tcPr>
          <w:p w14:paraId="0E8249F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80" w:type="pct"/>
          </w:tcPr>
          <w:p w14:paraId="0324C7F8" w14:textId="0D79DB53"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r>
      <w:tr w:rsidR="00095411" w:rsidRPr="00591CBB" w14:paraId="5DB4ECDD" w14:textId="3518389B"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6938859D" w14:textId="77777777" w:rsidR="00095411" w:rsidRPr="007348FD" w:rsidRDefault="00095411" w:rsidP="00591CBB">
            <w:pPr>
              <w:spacing w:after="160" w:line="259" w:lineRule="auto"/>
              <w:rPr>
                <w:rFonts w:ascii="Arial Narrow" w:hAnsi="Arial Narrow"/>
                <w:sz w:val="18"/>
                <w:szCs w:val="18"/>
              </w:rPr>
            </w:pPr>
          </w:p>
        </w:tc>
        <w:tc>
          <w:tcPr>
            <w:tcW w:w="460" w:type="pct"/>
          </w:tcPr>
          <w:p w14:paraId="386AD40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5557512"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A7933E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6C8918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178326B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1D70B89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59%</w:t>
            </w:r>
          </w:p>
        </w:tc>
        <w:tc>
          <w:tcPr>
            <w:tcW w:w="298" w:type="pct"/>
          </w:tcPr>
          <w:p w14:paraId="0866FDC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59%</w:t>
            </w:r>
          </w:p>
        </w:tc>
        <w:tc>
          <w:tcPr>
            <w:cnfStyle w:val="000010000000" w:firstRow="0" w:lastRow="0" w:firstColumn="0" w:lastColumn="0" w:oddVBand="1" w:evenVBand="0" w:oddHBand="0" w:evenHBand="0" w:firstRowFirstColumn="0" w:firstRowLastColumn="0" w:lastRowFirstColumn="0" w:lastRowLastColumn="0"/>
            <w:tcW w:w="197" w:type="pct"/>
          </w:tcPr>
          <w:p w14:paraId="7221C115" w14:textId="77777777" w:rsidR="00095411" w:rsidRPr="007348FD" w:rsidRDefault="00095411" w:rsidP="00591CBB">
            <w:pPr>
              <w:spacing w:after="160" w:line="259" w:lineRule="auto"/>
              <w:rPr>
                <w:rFonts w:ascii="Arial Narrow" w:hAnsi="Arial Narrow"/>
                <w:sz w:val="18"/>
                <w:szCs w:val="18"/>
              </w:rPr>
            </w:pPr>
          </w:p>
        </w:tc>
        <w:tc>
          <w:tcPr>
            <w:tcW w:w="273" w:type="pct"/>
          </w:tcPr>
          <w:p w14:paraId="13F9390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B0D27F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42%</w:t>
            </w:r>
          </w:p>
        </w:tc>
        <w:tc>
          <w:tcPr>
            <w:tcW w:w="283" w:type="pct"/>
          </w:tcPr>
          <w:p w14:paraId="22C4177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7C3E73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149" w:type="pct"/>
          </w:tcPr>
          <w:p w14:paraId="11895C4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DA50373" w14:textId="77777777" w:rsidR="00095411" w:rsidRPr="007348FD" w:rsidRDefault="00095411" w:rsidP="00591CBB">
            <w:pPr>
              <w:spacing w:after="160" w:line="259" w:lineRule="auto"/>
              <w:rPr>
                <w:rFonts w:ascii="Arial Narrow" w:hAnsi="Arial Narrow"/>
                <w:sz w:val="18"/>
                <w:szCs w:val="18"/>
              </w:rPr>
            </w:pPr>
          </w:p>
        </w:tc>
        <w:tc>
          <w:tcPr>
            <w:tcW w:w="214" w:type="pct"/>
          </w:tcPr>
          <w:p w14:paraId="1E824AD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Spot check</w:t>
            </w:r>
          </w:p>
        </w:tc>
        <w:tc>
          <w:tcPr>
            <w:cnfStyle w:val="000010000000" w:firstRow="0" w:lastRow="0" w:firstColumn="0" w:lastColumn="0" w:oddVBand="1" w:evenVBand="0" w:oddHBand="0" w:evenHBand="0" w:firstRowFirstColumn="0" w:firstRowLastColumn="0" w:lastRowFirstColumn="0" w:lastRowLastColumn="0"/>
            <w:tcW w:w="245" w:type="pct"/>
          </w:tcPr>
          <w:p w14:paraId="077CE6F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Spot check</w:t>
            </w:r>
          </w:p>
        </w:tc>
        <w:tc>
          <w:tcPr>
            <w:tcW w:w="280" w:type="pct"/>
          </w:tcPr>
          <w:p w14:paraId="7D405F09" w14:textId="69ABCC6F"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Spot check</w:t>
            </w:r>
          </w:p>
        </w:tc>
      </w:tr>
      <w:tr w:rsidR="00095411" w:rsidRPr="00591CBB" w14:paraId="214A4CCB"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00EFCC68" w14:textId="77777777" w:rsidR="00095411" w:rsidRPr="007348FD" w:rsidRDefault="00095411" w:rsidP="00591CBB">
            <w:pPr>
              <w:spacing w:after="160" w:line="259" w:lineRule="auto"/>
              <w:rPr>
                <w:rFonts w:ascii="Arial Narrow" w:hAnsi="Arial Narrow"/>
                <w:sz w:val="18"/>
                <w:szCs w:val="18"/>
              </w:rPr>
            </w:pPr>
          </w:p>
        </w:tc>
        <w:tc>
          <w:tcPr>
            <w:tcW w:w="460" w:type="pct"/>
          </w:tcPr>
          <w:p w14:paraId="0A81576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F029E94"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28A4D6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4EC90C8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11F2629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1ABC587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469B073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44702949" w14:textId="77777777" w:rsidR="00095411" w:rsidRPr="007348FD" w:rsidRDefault="00095411" w:rsidP="00591CBB">
            <w:pPr>
              <w:spacing w:after="160" w:line="259" w:lineRule="auto"/>
              <w:rPr>
                <w:rFonts w:ascii="Arial Narrow" w:hAnsi="Arial Narrow"/>
                <w:sz w:val="18"/>
                <w:szCs w:val="18"/>
              </w:rPr>
            </w:pPr>
          </w:p>
        </w:tc>
        <w:tc>
          <w:tcPr>
            <w:tcW w:w="273" w:type="pct"/>
          </w:tcPr>
          <w:p w14:paraId="1DECB5B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D04831A" w14:textId="77777777" w:rsidR="00095411" w:rsidRPr="007348FD" w:rsidRDefault="00095411" w:rsidP="00591CBB">
            <w:pPr>
              <w:spacing w:after="160" w:line="259" w:lineRule="auto"/>
              <w:rPr>
                <w:rFonts w:ascii="Arial Narrow" w:hAnsi="Arial Narrow"/>
                <w:sz w:val="18"/>
                <w:szCs w:val="18"/>
              </w:rPr>
            </w:pPr>
          </w:p>
        </w:tc>
        <w:tc>
          <w:tcPr>
            <w:tcW w:w="283" w:type="pct"/>
          </w:tcPr>
          <w:p w14:paraId="512650D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5F729A2" w14:textId="77777777" w:rsidR="00095411" w:rsidRPr="007348FD" w:rsidRDefault="00095411" w:rsidP="00591CBB">
            <w:pPr>
              <w:spacing w:after="160" w:line="259" w:lineRule="auto"/>
              <w:rPr>
                <w:rFonts w:ascii="Arial Narrow" w:hAnsi="Arial Narrow"/>
                <w:sz w:val="18"/>
                <w:szCs w:val="18"/>
              </w:rPr>
            </w:pPr>
          </w:p>
        </w:tc>
        <w:tc>
          <w:tcPr>
            <w:tcW w:w="149" w:type="pct"/>
          </w:tcPr>
          <w:p w14:paraId="3604FF2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8BE1439" w14:textId="77777777" w:rsidR="00095411" w:rsidRPr="007348FD" w:rsidRDefault="00095411" w:rsidP="00591CBB">
            <w:pPr>
              <w:spacing w:after="160" w:line="259" w:lineRule="auto"/>
              <w:rPr>
                <w:rFonts w:ascii="Arial Narrow" w:hAnsi="Arial Narrow"/>
                <w:sz w:val="18"/>
                <w:szCs w:val="18"/>
              </w:rPr>
            </w:pPr>
          </w:p>
        </w:tc>
        <w:tc>
          <w:tcPr>
            <w:tcW w:w="214" w:type="pct"/>
          </w:tcPr>
          <w:p w14:paraId="2F1AB55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45" w:type="pct"/>
          </w:tcPr>
          <w:p w14:paraId="2EAC5E9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80" w:type="pct"/>
          </w:tcPr>
          <w:p w14:paraId="4CEB9A4A" w14:textId="5B3F606C"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r>
      <w:tr w:rsidR="00095411" w:rsidRPr="00591CBB" w14:paraId="43F716CB" w14:textId="058AF109"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3A70B980" w14:textId="77777777" w:rsidR="00095411" w:rsidRPr="007348FD" w:rsidRDefault="00095411" w:rsidP="00591CBB">
            <w:pPr>
              <w:spacing w:after="160" w:line="259" w:lineRule="auto"/>
              <w:rPr>
                <w:rFonts w:ascii="Arial Narrow" w:hAnsi="Arial Narrow"/>
                <w:sz w:val="18"/>
                <w:szCs w:val="18"/>
              </w:rPr>
            </w:pPr>
          </w:p>
        </w:tc>
        <w:tc>
          <w:tcPr>
            <w:tcW w:w="460" w:type="pct"/>
          </w:tcPr>
          <w:p w14:paraId="11892E5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6C41E24"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CC5370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74DDBDB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79C521E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1AB35D5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44%</w:t>
            </w:r>
          </w:p>
        </w:tc>
        <w:tc>
          <w:tcPr>
            <w:tcW w:w="298" w:type="pct"/>
          </w:tcPr>
          <w:p w14:paraId="6E1076C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57%</w:t>
            </w:r>
          </w:p>
        </w:tc>
        <w:tc>
          <w:tcPr>
            <w:cnfStyle w:val="000010000000" w:firstRow="0" w:lastRow="0" w:firstColumn="0" w:lastColumn="0" w:oddVBand="1" w:evenVBand="0" w:oddHBand="0" w:evenHBand="0" w:firstRowFirstColumn="0" w:firstRowLastColumn="0" w:lastRowFirstColumn="0" w:lastRowLastColumn="0"/>
            <w:tcW w:w="197" w:type="pct"/>
          </w:tcPr>
          <w:p w14:paraId="08AA3FB0" w14:textId="77777777" w:rsidR="00095411" w:rsidRPr="007348FD" w:rsidRDefault="00095411" w:rsidP="00591CBB">
            <w:pPr>
              <w:spacing w:after="160" w:line="259" w:lineRule="auto"/>
              <w:rPr>
                <w:rFonts w:ascii="Arial Narrow" w:hAnsi="Arial Narrow"/>
                <w:sz w:val="18"/>
                <w:szCs w:val="18"/>
              </w:rPr>
            </w:pPr>
          </w:p>
        </w:tc>
        <w:tc>
          <w:tcPr>
            <w:tcW w:w="273" w:type="pct"/>
          </w:tcPr>
          <w:p w14:paraId="0659F2D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3C5186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43%</w:t>
            </w:r>
          </w:p>
        </w:tc>
        <w:tc>
          <w:tcPr>
            <w:tcW w:w="283" w:type="pct"/>
          </w:tcPr>
          <w:p w14:paraId="7B456D5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180D1F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149" w:type="pct"/>
          </w:tcPr>
          <w:p w14:paraId="3602BF8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27A61A1" w14:textId="77777777" w:rsidR="00095411" w:rsidRPr="007348FD" w:rsidRDefault="00095411" w:rsidP="00591CBB">
            <w:pPr>
              <w:spacing w:after="160" w:line="259" w:lineRule="auto"/>
              <w:rPr>
                <w:rFonts w:ascii="Arial Narrow" w:hAnsi="Arial Narrow"/>
                <w:sz w:val="18"/>
                <w:szCs w:val="18"/>
              </w:rPr>
            </w:pPr>
          </w:p>
        </w:tc>
        <w:tc>
          <w:tcPr>
            <w:tcW w:w="214" w:type="pct"/>
          </w:tcPr>
          <w:p w14:paraId="4C00312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Spot check</w:t>
            </w:r>
          </w:p>
        </w:tc>
        <w:tc>
          <w:tcPr>
            <w:cnfStyle w:val="000010000000" w:firstRow="0" w:lastRow="0" w:firstColumn="0" w:lastColumn="0" w:oddVBand="1" w:evenVBand="0" w:oddHBand="0" w:evenHBand="0" w:firstRowFirstColumn="0" w:firstRowLastColumn="0" w:lastRowFirstColumn="0" w:lastRowLastColumn="0"/>
            <w:tcW w:w="245" w:type="pct"/>
          </w:tcPr>
          <w:p w14:paraId="3E6BADC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Spot check</w:t>
            </w:r>
          </w:p>
        </w:tc>
        <w:tc>
          <w:tcPr>
            <w:tcW w:w="280" w:type="pct"/>
          </w:tcPr>
          <w:p w14:paraId="3E4DAC2E" w14:textId="0FB7C63C"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Spot check</w:t>
            </w:r>
          </w:p>
        </w:tc>
      </w:tr>
      <w:tr w:rsidR="00095411" w:rsidRPr="00591CBB" w14:paraId="3FE03AAA"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79323F9C" w14:textId="77777777" w:rsidR="00095411" w:rsidRPr="007348FD" w:rsidRDefault="00095411" w:rsidP="00591CBB">
            <w:pPr>
              <w:spacing w:after="160" w:line="259" w:lineRule="auto"/>
              <w:rPr>
                <w:rFonts w:ascii="Arial Narrow" w:hAnsi="Arial Narrow"/>
                <w:sz w:val="18"/>
                <w:szCs w:val="18"/>
              </w:rPr>
            </w:pPr>
          </w:p>
        </w:tc>
        <w:tc>
          <w:tcPr>
            <w:tcW w:w="460" w:type="pct"/>
          </w:tcPr>
          <w:p w14:paraId="17BF4A0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0876F8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6CE02A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2848A97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069B250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08E8911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5D1278B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28AD02A2" w14:textId="77777777" w:rsidR="00095411" w:rsidRPr="007348FD" w:rsidRDefault="00095411" w:rsidP="00591CBB">
            <w:pPr>
              <w:spacing w:after="160" w:line="259" w:lineRule="auto"/>
              <w:rPr>
                <w:rFonts w:ascii="Arial Narrow" w:hAnsi="Arial Narrow"/>
                <w:sz w:val="18"/>
                <w:szCs w:val="18"/>
              </w:rPr>
            </w:pPr>
          </w:p>
        </w:tc>
        <w:tc>
          <w:tcPr>
            <w:tcW w:w="273" w:type="pct"/>
          </w:tcPr>
          <w:p w14:paraId="104ABCA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E33DDD6" w14:textId="77777777" w:rsidR="00095411" w:rsidRPr="007348FD" w:rsidRDefault="00095411" w:rsidP="00591CBB">
            <w:pPr>
              <w:spacing w:after="160" w:line="259" w:lineRule="auto"/>
              <w:rPr>
                <w:rFonts w:ascii="Arial Narrow" w:hAnsi="Arial Narrow"/>
                <w:sz w:val="18"/>
                <w:szCs w:val="18"/>
              </w:rPr>
            </w:pPr>
          </w:p>
        </w:tc>
        <w:tc>
          <w:tcPr>
            <w:tcW w:w="283" w:type="pct"/>
          </w:tcPr>
          <w:p w14:paraId="46D210B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3D727C0" w14:textId="77777777" w:rsidR="00095411" w:rsidRPr="007348FD" w:rsidRDefault="00095411" w:rsidP="00591CBB">
            <w:pPr>
              <w:spacing w:after="160" w:line="259" w:lineRule="auto"/>
              <w:rPr>
                <w:rFonts w:ascii="Arial Narrow" w:hAnsi="Arial Narrow"/>
                <w:sz w:val="18"/>
                <w:szCs w:val="18"/>
              </w:rPr>
            </w:pPr>
          </w:p>
        </w:tc>
        <w:tc>
          <w:tcPr>
            <w:tcW w:w="149" w:type="pct"/>
          </w:tcPr>
          <w:p w14:paraId="701CB53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8619963" w14:textId="77777777" w:rsidR="00095411" w:rsidRPr="007348FD" w:rsidRDefault="00095411" w:rsidP="00591CBB">
            <w:pPr>
              <w:spacing w:after="160" w:line="259" w:lineRule="auto"/>
              <w:rPr>
                <w:rFonts w:ascii="Arial Narrow" w:hAnsi="Arial Narrow"/>
                <w:sz w:val="18"/>
                <w:szCs w:val="18"/>
              </w:rPr>
            </w:pPr>
          </w:p>
        </w:tc>
        <w:tc>
          <w:tcPr>
            <w:tcW w:w="214" w:type="pct"/>
          </w:tcPr>
          <w:p w14:paraId="734635A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45" w:type="pct"/>
          </w:tcPr>
          <w:p w14:paraId="6785BEA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80" w:type="pct"/>
          </w:tcPr>
          <w:p w14:paraId="736F07F0" w14:textId="6AE4B903"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r>
      <w:tr w:rsidR="00095411" w:rsidRPr="00591CBB" w14:paraId="6C1C20EC"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18376C58" w14:textId="77777777" w:rsidR="00095411" w:rsidRPr="007348FD" w:rsidRDefault="00095411" w:rsidP="00591CBB">
            <w:pPr>
              <w:spacing w:after="160" w:line="259" w:lineRule="auto"/>
              <w:rPr>
                <w:rFonts w:ascii="Arial Narrow" w:hAnsi="Arial Narrow"/>
                <w:sz w:val="18"/>
                <w:szCs w:val="18"/>
              </w:rPr>
            </w:pPr>
          </w:p>
        </w:tc>
        <w:tc>
          <w:tcPr>
            <w:tcW w:w="460" w:type="pct"/>
          </w:tcPr>
          <w:p w14:paraId="2144249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E3D8129"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890F1D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5B9A86D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5232E53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36%</w:t>
            </w:r>
          </w:p>
        </w:tc>
        <w:tc>
          <w:tcPr>
            <w:cnfStyle w:val="000010000000" w:firstRow="0" w:lastRow="0" w:firstColumn="0" w:lastColumn="0" w:oddVBand="1" w:evenVBand="0" w:oddHBand="0" w:evenHBand="0" w:firstRowFirstColumn="0" w:firstRowLastColumn="0" w:lastRowFirstColumn="0" w:lastRowLastColumn="0"/>
            <w:tcW w:w="271" w:type="pct"/>
          </w:tcPr>
          <w:p w14:paraId="0590D21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36%</w:t>
            </w:r>
          </w:p>
        </w:tc>
        <w:tc>
          <w:tcPr>
            <w:tcW w:w="298" w:type="pct"/>
          </w:tcPr>
          <w:p w14:paraId="1FD8850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89%</w:t>
            </w:r>
          </w:p>
        </w:tc>
        <w:tc>
          <w:tcPr>
            <w:cnfStyle w:val="000010000000" w:firstRow="0" w:lastRow="0" w:firstColumn="0" w:lastColumn="0" w:oddVBand="1" w:evenVBand="0" w:oddHBand="0" w:evenHBand="0" w:firstRowFirstColumn="0" w:firstRowLastColumn="0" w:lastRowFirstColumn="0" w:lastRowLastColumn="0"/>
            <w:tcW w:w="197" w:type="pct"/>
          </w:tcPr>
          <w:p w14:paraId="50748B7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58%</w:t>
            </w:r>
          </w:p>
        </w:tc>
        <w:tc>
          <w:tcPr>
            <w:tcW w:w="273" w:type="pct"/>
          </w:tcPr>
          <w:p w14:paraId="2216AB2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AB17C2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42%</w:t>
            </w:r>
          </w:p>
        </w:tc>
        <w:tc>
          <w:tcPr>
            <w:tcW w:w="283" w:type="pct"/>
          </w:tcPr>
          <w:p w14:paraId="65F4640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BADDFB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149" w:type="pct"/>
          </w:tcPr>
          <w:p w14:paraId="086C6FC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3083E1E" w14:textId="77777777" w:rsidR="00095411" w:rsidRPr="007348FD" w:rsidRDefault="00095411" w:rsidP="00591CBB">
            <w:pPr>
              <w:spacing w:after="160" w:line="259" w:lineRule="auto"/>
              <w:rPr>
                <w:rFonts w:ascii="Arial Narrow" w:hAnsi="Arial Narrow"/>
                <w:sz w:val="18"/>
                <w:szCs w:val="18"/>
              </w:rPr>
            </w:pPr>
          </w:p>
        </w:tc>
        <w:tc>
          <w:tcPr>
            <w:tcW w:w="214" w:type="pct"/>
          </w:tcPr>
          <w:p w14:paraId="2E43DA2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58%</w:t>
            </w:r>
          </w:p>
        </w:tc>
        <w:tc>
          <w:tcPr>
            <w:cnfStyle w:val="000010000000" w:firstRow="0" w:lastRow="0" w:firstColumn="0" w:lastColumn="0" w:oddVBand="1" w:evenVBand="0" w:oddHBand="0" w:evenHBand="0" w:firstRowFirstColumn="0" w:firstRowLastColumn="0" w:lastRowFirstColumn="0" w:lastRowLastColumn="0"/>
            <w:tcW w:w="245" w:type="pct"/>
          </w:tcPr>
          <w:p w14:paraId="7C15723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Spot check</w:t>
            </w:r>
          </w:p>
        </w:tc>
        <w:tc>
          <w:tcPr>
            <w:tcW w:w="280" w:type="pct"/>
          </w:tcPr>
          <w:p w14:paraId="1479A18F" w14:textId="4D949A78"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HFRSAA</w:t>
            </w:r>
          </w:p>
        </w:tc>
      </w:tr>
      <w:tr w:rsidR="00095411" w:rsidRPr="00591CBB" w14:paraId="3AB3763C"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0E27E07E" w14:textId="77777777" w:rsidR="00095411" w:rsidRPr="007348FD" w:rsidRDefault="00095411" w:rsidP="00591CBB">
            <w:pPr>
              <w:spacing w:after="160" w:line="259" w:lineRule="auto"/>
              <w:rPr>
                <w:rFonts w:ascii="Arial Narrow" w:hAnsi="Arial Narrow"/>
                <w:sz w:val="18"/>
                <w:szCs w:val="18"/>
              </w:rPr>
            </w:pPr>
          </w:p>
        </w:tc>
        <w:tc>
          <w:tcPr>
            <w:tcW w:w="460" w:type="pct"/>
          </w:tcPr>
          <w:p w14:paraId="2ADC04D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5B24F0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48E656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55D4300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84344B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57AF5DC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7DAE1B9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1B668BAA" w14:textId="77777777" w:rsidR="00095411" w:rsidRPr="007348FD" w:rsidRDefault="00095411" w:rsidP="00591CBB">
            <w:pPr>
              <w:spacing w:after="160" w:line="259" w:lineRule="auto"/>
              <w:rPr>
                <w:rFonts w:ascii="Arial Narrow" w:hAnsi="Arial Narrow"/>
                <w:sz w:val="18"/>
                <w:szCs w:val="18"/>
              </w:rPr>
            </w:pPr>
          </w:p>
        </w:tc>
        <w:tc>
          <w:tcPr>
            <w:tcW w:w="273" w:type="pct"/>
          </w:tcPr>
          <w:p w14:paraId="4808B79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17937D0" w14:textId="77777777" w:rsidR="00095411" w:rsidRPr="007348FD" w:rsidRDefault="00095411" w:rsidP="00591CBB">
            <w:pPr>
              <w:spacing w:after="160" w:line="259" w:lineRule="auto"/>
              <w:rPr>
                <w:rFonts w:ascii="Arial Narrow" w:hAnsi="Arial Narrow"/>
                <w:sz w:val="18"/>
                <w:szCs w:val="18"/>
              </w:rPr>
            </w:pPr>
          </w:p>
        </w:tc>
        <w:tc>
          <w:tcPr>
            <w:tcW w:w="283" w:type="pct"/>
          </w:tcPr>
          <w:p w14:paraId="725EF35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FAB1798" w14:textId="77777777" w:rsidR="00095411" w:rsidRPr="007348FD" w:rsidRDefault="00095411" w:rsidP="00591CBB">
            <w:pPr>
              <w:spacing w:after="160" w:line="259" w:lineRule="auto"/>
              <w:rPr>
                <w:rFonts w:ascii="Arial Narrow" w:hAnsi="Arial Narrow"/>
                <w:sz w:val="18"/>
                <w:szCs w:val="18"/>
              </w:rPr>
            </w:pPr>
          </w:p>
        </w:tc>
        <w:tc>
          <w:tcPr>
            <w:tcW w:w="149" w:type="pct"/>
          </w:tcPr>
          <w:p w14:paraId="21B4EFC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55F3255" w14:textId="77777777" w:rsidR="00095411" w:rsidRPr="007348FD" w:rsidRDefault="00095411" w:rsidP="00591CBB">
            <w:pPr>
              <w:spacing w:after="160" w:line="259" w:lineRule="auto"/>
              <w:rPr>
                <w:rFonts w:ascii="Arial Narrow" w:hAnsi="Arial Narrow"/>
                <w:sz w:val="18"/>
                <w:szCs w:val="18"/>
              </w:rPr>
            </w:pPr>
          </w:p>
        </w:tc>
        <w:tc>
          <w:tcPr>
            <w:tcW w:w="214" w:type="pct"/>
          </w:tcPr>
          <w:p w14:paraId="201AB19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45" w:type="pct"/>
          </w:tcPr>
          <w:p w14:paraId="3B1B7EA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80" w:type="pct"/>
          </w:tcPr>
          <w:p w14:paraId="050AB5AE" w14:textId="0FBDAE72"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r>
      <w:tr w:rsidR="00095411" w:rsidRPr="00591CBB" w14:paraId="2FE2AABE" w14:textId="06E88691"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11CBBC62" w14:textId="77777777" w:rsidR="00095411" w:rsidRPr="007348FD" w:rsidRDefault="00095411" w:rsidP="00591CBB">
            <w:pPr>
              <w:spacing w:after="160" w:line="259" w:lineRule="auto"/>
              <w:rPr>
                <w:rFonts w:ascii="Arial Narrow" w:hAnsi="Arial Narrow"/>
                <w:sz w:val="18"/>
                <w:szCs w:val="18"/>
              </w:rPr>
            </w:pPr>
          </w:p>
        </w:tc>
        <w:tc>
          <w:tcPr>
            <w:tcW w:w="460" w:type="pct"/>
          </w:tcPr>
          <w:p w14:paraId="5006B43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C3DBB04"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73C520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023E4F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3C14567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7346C31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7CB62BD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HFRSAA</w:t>
            </w:r>
          </w:p>
        </w:tc>
        <w:tc>
          <w:tcPr>
            <w:cnfStyle w:val="000010000000" w:firstRow="0" w:lastRow="0" w:firstColumn="0" w:lastColumn="0" w:oddVBand="1" w:evenVBand="0" w:oddHBand="0" w:evenHBand="0" w:firstRowFirstColumn="0" w:firstRowLastColumn="0" w:lastRowFirstColumn="0" w:lastRowLastColumn="0"/>
            <w:tcW w:w="197" w:type="pct"/>
          </w:tcPr>
          <w:p w14:paraId="73BD51E3" w14:textId="77777777" w:rsidR="00095411" w:rsidRPr="007348FD" w:rsidRDefault="00095411" w:rsidP="00591CBB">
            <w:pPr>
              <w:spacing w:after="160" w:line="259" w:lineRule="auto"/>
              <w:rPr>
                <w:rFonts w:ascii="Arial Narrow" w:hAnsi="Arial Narrow"/>
                <w:sz w:val="18"/>
                <w:szCs w:val="18"/>
              </w:rPr>
            </w:pPr>
          </w:p>
        </w:tc>
        <w:tc>
          <w:tcPr>
            <w:tcW w:w="273" w:type="pct"/>
          </w:tcPr>
          <w:p w14:paraId="40FB6FD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8FF81FA" w14:textId="77777777" w:rsidR="00095411" w:rsidRPr="007348FD" w:rsidRDefault="00095411" w:rsidP="00591CBB">
            <w:pPr>
              <w:spacing w:after="160" w:line="259" w:lineRule="auto"/>
              <w:rPr>
                <w:rFonts w:ascii="Arial Narrow" w:hAnsi="Arial Narrow"/>
                <w:sz w:val="18"/>
                <w:szCs w:val="18"/>
              </w:rPr>
            </w:pPr>
          </w:p>
        </w:tc>
        <w:tc>
          <w:tcPr>
            <w:tcW w:w="283" w:type="pct"/>
          </w:tcPr>
          <w:p w14:paraId="4D29FDA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EF3F0F6" w14:textId="77777777" w:rsidR="00095411" w:rsidRPr="007348FD" w:rsidRDefault="00095411" w:rsidP="00591CBB">
            <w:pPr>
              <w:spacing w:after="160" w:line="259" w:lineRule="auto"/>
              <w:rPr>
                <w:rFonts w:ascii="Arial Narrow" w:hAnsi="Arial Narrow"/>
                <w:sz w:val="18"/>
                <w:szCs w:val="18"/>
              </w:rPr>
            </w:pPr>
          </w:p>
        </w:tc>
        <w:tc>
          <w:tcPr>
            <w:tcW w:w="149" w:type="pct"/>
          </w:tcPr>
          <w:p w14:paraId="4F7007A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7E255E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6107512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NA</w:t>
            </w:r>
          </w:p>
        </w:tc>
        <w:tc>
          <w:tcPr>
            <w:cnfStyle w:val="000010000000" w:firstRow="0" w:lastRow="0" w:firstColumn="0" w:lastColumn="0" w:oddVBand="1" w:evenVBand="0" w:oddHBand="0" w:evenHBand="0" w:firstRowFirstColumn="0" w:firstRowLastColumn="0" w:lastRowFirstColumn="0" w:lastRowLastColumn="0"/>
            <w:tcW w:w="245" w:type="pct"/>
          </w:tcPr>
          <w:p w14:paraId="70C0CF6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Spot check</w:t>
            </w:r>
          </w:p>
        </w:tc>
        <w:tc>
          <w:tcPr>
            <w:tcW w:w="280" w:type="pct"/>
          </w:tcPr>
          <w:p w14:paraId="217F1E8D" w14:textId="13729C15"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Spot check</w:t>
            </w:r>
          </w:p>
        </w:tc>
      </w:tr>
      <w:tr w:rsidR="00095411" w:rsidRPr="00591CBB" w14:paraId="55629103"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25BD1790" w14:textId="77777777" w:rsidR="00095411" w:rsidRPr="007348FD" w:rsidRDefault="00095411" w:rsidP="00591CBB">
            <w:pPr>
              <w:spacing w:after="160" w:line="259" w:lineRule="auto"/>
              <w:rPr>
                <w:rFonts w:ascii="Arial Narrow" w:hAnsi="Arial Narrow"/>
                <w:sz w:val="18"/>
                <w:szCs w:val="18"/>
              </w:rPr>
            </w:pPr>
          </w:p>
        </w:tc>
        <w:tc>
          <w:tcPr>
            <w:tcW w:w="460" w:type="pct"/>
          </w:tcPr>
          <w:p w14:paraId="623DAF4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37AFB74"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00D933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33D58B6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251FA3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3DF9A76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2D9767C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2474AC23" w14:textId="77777777" w:rsidR="00095411" w:rsidRPr="007348FD" w:rsidRDefault="00095411" w:rsidP="00591CBB">
            <w:pPr>
              <w:spacing w:after="160" w:line="259" w:lineRule="auto"/>
              <w:rPr>
                <w:rFonts w:ascii="Arial Narrow" w:hAnsi="Arial Narrow"/>
                <w:sz w:val="18"/>
                <w:szCs w:val="18"/>
              </w:rPr>
            </w:pPr>
          </w:p>
        </w:tc>
        <w:tc>
          <w:tcPr>
            <w:tcW w:w="273" w:type="pct"/>
          </w:tcPr>
          <w:p w14:paraId="2AFC7DB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36F24B4" w14:textId="77777777" w:rsidR="00095411" w:rsidRPr="007348FD" w:rsidRDefault="00095411" w:rsidP="00591CBB">
            <w:pPr>
              <w:spacing w:after="160" w:line="259" w:lineRule="auto"/>
              <w:rPr>
                <w:rFonts w:ascii="Arial Narrow" w:hAnsi="Arial Narrow"/>
                <w:sz w:val="18"/>
                <w:szCs w:val="18"/>
              </w:rPr>
            </w:pPr>
          </w:p>
        </w:tc>
        <w:tc>
          <w:tcPr>
            <w:tcW w:w="283" w:type="pct"/>
          </w:tcPr>
          <w:p w14:paraId="49DFDDB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C498488" w14:textId="77777777" w:rsidR="00095411" w:rsidRPr="007348FD" w:rsidRDefault="00095411" w:rsidP="00591CBB">
            <w:pPr>
              <w:spacing w:after="160" w:line="259" w:lineRule="auto"/>
              <w:rPr>
                <w:rFonts w:ascii="Arial Narrow" w:hAnsi="Arial Narrow"/>
                <w:sz w:val="18"/>
                <w:szCs w:val="18"/>
              </w:rPr>
            </w:pPr>
          </w:p>
        </w:tc>
        <w:tc>
          <w:tcPr>
            <w:tcW w:w="149" w:type="pct"/>
          </w:tcPr>
          <w:p w14:paraId="1B6E211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6AF80E00" w14:textId="77777777" w:rsidR="00095411" w:rsidRPr="007348FD" w:rsidRDefault="00095411" w:rsidP="00591CBB">
            <w:pPr>
              <w:spacing w:after="160" w:line="259" w:lineRule="auto"/>
              <w:rPr>
                <w:rFonts w:ascii="Arial Narrow" w:hAnsi="Arial Narrow"/>
                <w:sz w:val="18"/>
                <w:szCs w:val="18"/>
              </w:rPr>
            </w:pPr>
          </w:p>
        </w:tc>
        <w:tc>
          <w:tcPr>
            <w:tcW w:w="214" w:type="pct"/>
          </w:tcPr>
          <w:p w14:paraId="493DFB0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45" w:type="pct"/>
          </w:tcPr>
          <w:p w14:paraId="69D3298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80" w:type="pct"/>
          </w:tcPr>
          <w:p w14:paraId="0750AF00" w14:textId="1161E0C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r>
      <w:tr w:rsidR="00095411" w:rsidRPr="00591CBB" w14:paraId="35B2FF88" w14:textId="3D5646DA"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4161F835" w14:textId="77777777" w:rsidR="00095411" w:rsidRPr="007348FD" w:rsidRDefault="00095411" w:rsidP="00591CBB">
            <w:pPr>
              <w:spacing w:after="160" w:line="259" w:lineRule="auto"/>
              <w:rPr>
                <w:rFonts w:ascii="Arial Narrow" w:hAnsi="Arial Narrow"/>
                <w:sz w:val="18"/>
                <w:szCs w:val="18"/>
              </w:rPr>
            </w:pPr>
          </w:p>
        </w:tc>
        <w:tc>
          <w:tcPr>
            <w:tcW w:w="460" w:type="pct"/>
          </w:tcPr>
          <w:p w14:paraId="667BD41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784FB42"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3A7D89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592CC28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252F1B7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1B3E8CF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77%</w:t>
            </w:r>
          </w:p>
        </w:tc>
        <w:tc>
          <w:tcPr>
            <w:tcW w:w="298" w:type="pct"/>
          </w:tcPr>
          <w:p w14:paraId="49B196B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75%</w:t>
            </w:r>
          </w:p>
        </w:tc>
        <w:tc>
          <w:tcPr>
            <w:cnfStyle w:val="000010000000" w:firstRow="0" w:lastRow="0" w:firstColumn="0" w:lastColumn="0" w:oddVBand="1" w:evenVBand="0" w:oddHBand="0" w:evenHBand="0" w:firstRowFirstColumn="0" w:firstRowLastColumn="0" w:lastRowFirstColumn="0" w:lastRowLastColumn="0"/>
            <w:tcW w:w="197" w:type="pct"/>
          </w:tcPr>
          <w:p w14:paraId="3CEF1DC1" w14:textId="77777777" w:rsidR="00095411" w:rsidRPr="007348FD" w:rsidRDefault="00095411" w:rsidP="00591CBB">
            <w:pPr>
              <w:spacing w:after="160" w:line="259" w:lineRule="auto"/>
              <w:rPr>
                <w:rFonts w:ascii="Arial Narrow" w:hAnsi="Arial Narrow"/>
                <w:sz w:val="18"/>
                <w:szCs w:val="18"/>
              </w:rPr>
            </w:pPr>
          </w:p>
        </w:tc>
        <w:tc>
          <w:tcPr>
            <w:tcW w:w="273" w:type="pct"/>
          </w:tcPr>
          <w:p w14:paraId="3C554EF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FC2B85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25%</w:t>
            </w:r>
          </w:p>
        </w:tc>
        <w:tc>
          <w:tcPr>
            <w:tcW w:w="283" w:type="pct"/>
          </w:tcPr>
          <w:p w14:paraId="5C25AE7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CA2665E" w14:textId="77777777" w:rsidR="00095411" w:rsidRPr="007348FD" w:rsidRDefault="00095411" w:rsidP="00591CBB">
            <w:pPr>
              <w:spacing w:after="160" w:line="259" w:lineRule="auto"/>
              <w:rPr>
                <w:rFonts w:ascii="Arial Narrow" w:hAnsi="Arial Narrow"/>
                <w:sz w:val="18"/>
                <w:szCs w:val="18"/>
              </w:rPr>
            </w:pPr>
          </w:p>
        </w:tc>
        <w:tc>
          <w:tcPr>
            <w:tcW w:w="149" w:type="pct"/>
          </w:tcPr>
          <w:p w14:paraId="6D3DEFE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7C293CE4" w14:textId="77777777" w:rsidR="00095411" w:rsidRPr="007348FD" w:rsidRDefault="00095411" w:rsidP="00591CBB">
            <w:pPr>
              <w:spacing w:after="160" w:line="259" w:lineRule="auto"/>
              <w:rPr>
                <w:rFonts w:ascii="Arial Narrow" w:hAnsi="Arial Narrow"/>
                <w:sz w:val="18"/>
                <w:szCs w:val="18"/>
              </w:rPr>
            </w:pPr>
          </w:p>
        </w:tc>
        <w:tc>
          <w:tcPr>
            <w:tcW w:w="214" w:type="pct"/>
          </w:tcPr>
          <w:p w14:paraId="5511FE3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Spot check</w:t>
            </w:r>
          </w:p>
        </w:tc>
        <w:tc>
          <w:tcPr>
            <w:cnfStyle w:val="000010000000" w:firstRow="0" w:lastRow="0" w:firstColumn="0" w:lastColumn="0" w:oddVBand="1" w:evenVBand="0" w:oddHBand="0" w:evenHBand="0" w:firstRowFirstColumn="0" w:firstRowLastColumn="0" w:lastRowFirstColumn="0" w:lastRowLastColumn="0"/>
            <w:tcW w:w="245" w:type="pct"/>
          </w:tcPr>
          <w:p w14:paraId="2E52B33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Spot check</w:t>
            </w:r>
          </w:p>
        </w:tc>
        <w:tc>
          <w:tcPr>
            <w:tcW w:w="280" w:type="pct"/>
          </w:tcPr>
          <w:p w14:paraId="31E8E759" w14:textId="2D48A679"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Spot check</w:t>
            </w:r>
          </w:p>
        </w:tc>
      </w:tr>
      <w:tr w:rsidR="00095411" w:rsidRPr="00591CBB" w14:paraId="037C196F" w14:textId="77777777" w:rsidTr="00051F27">
        <w:trPr>
          <w:trHeight w:val="228"/>
        </w:trPr>
        <w:tc>
          <w:tcPr>
            <w:cnfStyle w:val="000010000000" w:firstRow="0" w:lastRow="0" w:firstColumn="0" w:lastColumn="0" w:oddVBand="1" w:evenVBand="0" w:oddHBand="0" w:evenHBand="0" w:firstRowFirstColumn="0" w:firstRowLastColumn="0" w:lastRowFirstColumn="0" w:lastRowLastColumn="0"/>
            <w:tcW w:w="432" w:type="pct"/>
          </w:tcPr>
          <w:p w14:paraId="2F01CC1D" w14:textId="77777777" w:rsidR="00095411" w:rsidRPr="007348FD" w:rsidRDefault="00095411" w:rsidP="00591CBB">
            <w:pPr>
              <w:spacing w:after="160" w:line="259" w:lineRule="auto"/>
              <w:rPr>
                <w:rFonts w:ascii="Arial Narrow" w:hAnsi="Arial Narrow"/>
                <w:sz w:val="18"/>
                <w:szCs w:val="18"/>
              </w:rPr>
            </w:pPr>
          </w:p>
        </w:tc>
        <w:tc>
          <w:tcPr>
            <w:tcW w:w="460" w:type="pct"/>
          </w:tcPr>
          <w:p w14:paraId="730047D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CD175CC"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AA0F9D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4C9D61C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CBD03B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0A45011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144889C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3DD9913F" w14:textId="77777777" w:rsidR="00095411" w:rsidRPr="007348FD" w:rsidRDefault="00095411" w:rsidP="00591CBB">
            <w:pPr>
              <w:spacing w:after="160" w:line="259" w:lineRule="auto"/>
              <w:rPr>
                <w:rFonts w:ascii="Arial Narrow" w:hAnsi="Arial Narrow"/>
                <w:sz w:val="18"/>
                <w:szCs w:val="18"/>
              </w:rPr>
            </w:pPr>
          </w:p>
        </w:tc>
        <w:tc>
          <w:tcPr>
            <w:tcW w:w="273" w:type="pct"/>
          </w:tcPr>
          <w:p w14:paraId="5EA5F97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05F8945" w14:textId="77777777" w:rsidR="00095411" w:rsidRPr="007348FD" w:rsidRDefault="00095411" w:rsidP="00591CBB">
            <w:pPr>
              <w:spacing w:after="160" w:line="259" w:lineRule="auto"/>
              <w:rPr>
                <w:rFonts w:ascii="Arial Narrow" w:hAnsi="Arial Narrow"/>
                <w:sz w:val="18"/>
                <w:szCs w:val="18"/>
              </w:rPr>
            </w:pPr>
          </w:p>
        </w:tc>
        <w:tc>
          <w:tcPr>
            <w:tcW w:w="283" w:type="pct"/>
          </w:tcPr>
          <w:p w14:paraId="0C21E36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B1D96E6" w14:textId="77777777" w:rsidR="00095411" w:rsidRPr="007348FD" w:rsidRDefault="00095411" w:rsidP="00591CBB">
            <w:pPr>
              <w:spacing w:after="160" w:line="259" w:lineRule="auto"/>
              <w:rPr>
                <w:rFonts w:ascii="Arial Narrow" w:hAnsi="Arial Narrow"/>
                <w:sz w:val="18"/>
                <w:szCs w:val="18"/>
              </w:rPr>
            </w:pPr>
          </w:p>
        </w:tc>
        <w:tc>
          <w:tcPr>
            <w:tcW w:w="149" w:type="pct"/>
          </w:tcPr>
          <w:p w14:paraId="0932BD0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A8AE70B" w14:textId="77777777" w:rsidR="00095411" w:rsidRPr="007348FD" w:rsidRDefault="00095411" w:rsidP="00591CBB">
            <w:pPr>
              <w:spacing w:after="160" w:line="259" w:lineRule="auto"/>
              <w:rPr>
                <w:rFonts w:ascii="Arial Narrow" w:hAnsi="Arial Narrow"/>
                <w:sz w:val="18"/>
                <w:szCs w:val="18"/>
              </w:rPr>
            </w:pPr>
          </w:p>
        </w:tc>
        <w:tc>
          <w:tcPr>
            <w:tcW w:w="214" w:type="pct"/>
          </w:tcPr>
          <w:p w14:paraId="3DCE9CF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45" w:type="pct"/>
          </w:tcPr>
          <w:p w14:paraId="3A686EE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80" w:type="pct"/>
          </w:tcPr>
          <w:p w14:paraId="4EF77CFF" w14:textId="16DFC47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r>
      <w:tr w:rsidR="00095411" w:rsidRPr="00591CBB" w14:paraId="08CB7B80" w14:textId="07832326" w:rsidTr="00051F27">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432" w:type="pct"/>
          </w:tcPr>
          <w:p w14:paraId="4AE87344" w14:textId="77777777" w:rsidR="00095411" w:rsidRPr="007348FD" w:rsidRDefault="00095411" w:rsidP="00591CBB">
            <w:pPr>
              <w:spacing w:after="160" w:line="259" w:lineRule="auto"/>
              <w:rPr>
                <w:rFonts w:ascii="Arial Narrow" w:hAnsi="Arial Narrow"/>
                <w:sz w:val="18"/>
                <w:szCs w:val="18"/>
              </w:rPr>
            </w:pPr>
          </w:p>
        </w:tc>
        <w:tc>
          <w:tcPr>
            <w:tcW w:w="460" w:type="pct"/>
          </w:tcPr>
          <w:p w14:paraId="529ADD8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A317E7A"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7CDE08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02B0BC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7E6EE93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7FF5D7B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156187B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HFRSAA</w:t>
            </w:r>
          </w:p>
        </w:tc>
        <w:tc>
          <w:tcPr>
            <w:cnfStyle w:val="000010000000" w:firstRow="0" w:lastRow="0" w:firstColumn="0" w:lastColumn="0" w:oddVBand="1" w:evenVBand="0" w:oddHBand="0" w:evenHBand="0" w:firstRowFirstColumn="0" w:firstRowLastColumn="0" w:lastRowFirstColumn="0" w:lastRowLastColumn="0"/>
            <w:tcW w:w="197" w:type="pct"/>
          </w:tcPr>
          <w:p w14:paraId="599F1652" w14:textId="77777777" w:rsidR="00095411" w:rsidRPr="007348FD" w:rsidRDefault="00095411" w:rsidP="00591CBB">
            <w:pPr>
              <w:spacing w:after="160" w:line="259" w:lineRule="auto"/>
              <w:rPr>
                <w:rFonts w:ascii="Arial Narrow" w:hAnsi="Arial Narrow"/>
                <w:sz w:val="18"/>
                <w:szCs w:val="18"/>
              </w:rPr>
            </w:pPr>
          </w:p>
        </w:tc>
        <w:tc>
          <w:tcPr>
            <w:tcW w:w="273" w:type="pct"/>
          </w:tcPr>
          <w:p w14:paraId="4728282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A9903E8" w14:textId="77777777" w:rsidR="00095411" w:rsidRPr="007348FD" w:rsidRDefault="00095411" w:rsidP="00591CBB">
            <w:pPr>
              <w:spacing w:after="160" w:line="259" w:lineRule="auto"/>
              <w:rPr>
                <w:rFonts w:ascii="Arial Narrow" w:hAnsi="Arial Narrow"/>
                <w:sz w:val="18"/>
                <w:szCs w:val="18"/>
              </w:rPr>
            </w:pPr>
          </w:p>
        </w:tc>
        <w:tc>
          <w:tcPr>
            <w:tcW w:w="283" w:type="pct"/>
          </w:tcPr>
          <w:p w14:paraId="0B37CDC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6DDED62" w14:textId="77777777" w:rsidR="00095411" w:rsidRPr="007348FD" w:rsidRDefault="00095411" w:rsidP="00591CBB">
            <w:pPr>
              <w:spacing w:after="160" w:line="259" w:lineRule="auto"/>
              <w:rPr>
                <w:rFonts w:ascii="Arial Narrow" w:hAnsi="Arial Narrow"/>
                <w:sz w:val="18"/>
                <w:szCs w:val="18"/>
              </w:rPr>
            </w:pPr>
          </w:p>
        </w:tc>
        <w:tc>
          <w:tcPr>
            <w:tcW w:w="149" w:type="pct"/>
          </w:tcPr>
          <w:p w14:paraId="3AE8BB3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D64101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52C92E2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Spot check</w:t>
            </w:r>
          </w:p>
        </w:tc>
        <w:tc>
          <w:tcPr>
            <w:cnfStyle w:val="000010000000" w:firstRow="0" w:lastRow="0" w:firstColumn="0" w:lastColumn="0" w:oddVBand="1" w:evenVBand="0" w:oddHBand="0" w:evenHBand="0" w:firstRowFirstColumn="0" w:firstRowLastColumn="0" w:lastRowFirstColumn="0" w:lastRowLastColumn="0"/>
            <w:tcW w:w="245" w:type="pct"/>
          </w:tcPr>
          <w:p w14:paraId="0AFC36B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Spot check</w:t>
            </w:r>
          </w:p>
        </w:tc>
        <w:tc>
          <w:tcPr>
            <w:tcW w:w="280" w:type="pct"/>
          </w:tcPr>
          <w:p w14:paraId="4CE81A7B" w14:textId="72ECD1D4"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Spot check</w:t>
            </w:r>
          </w:p>
        </w:tc>
      </w:tr>
      <w:tr w:rsidR="00095411" w:rsidRPr="00591CBB" w14:paraId="4865DED0" w14:textId="77777777" w:rsidTr="00051F27">
        <w:trPr>
          <w:trHeight w:val="230"/>
        </w:trPr>
        <w:tc>
          <w:tcPr>
            <w:cnfStyle w:val="000010000000" w:firstRow="0" w:lastRow="0" w:firstColumn="0" w:lastColumn="0" w:oddVBand="1" w:evenVBand="0" w:oddHBand="0" w:evenHBand="0" w:firstRowFirstColumn="0" w:firstRowLastColumn="0" w:lastRowFirstColumn="0" w:lastRowLastColumn="0"/>
            <w:tcW w:w="432" w:type="pct"/>
          </w:tcPr>
          <w:p w14:paraId="014D8464" w14:textId="77777777" w:rsidR="00095411" w:rsidRPr="007348FD" w:rsidRDefault="00095411" w:rsidP="00591CBB">
            <w:pPr>
              <w:spacing w:after="160" w:line="259" w:lineRule="auto"/>
              <w:rPr>
                <w:rFonts w:ascii="Arial Narrow" w:hAnsi="Arial Narrow"/>
                <w:sz w:val="18"/>
                <w:szCs w:val="18"/>
              </w:rPr>
            </w:pPr>
          </w:p>
        </w:tc>
        <w:tc>
          <w:tcPr>
            <w:tcW w:w="460" w:type="pct"/>
          </w:tcPr>
          <w:p w14:paraId="15DCAE3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 Percentage of SDPs providing quality-assured, adolescent friendly, integrated SRH services.</w:t>
            </w:r>
          </w:p>
        </w:tc>
        <w:tc>
          <w:tcPr>
            <w:cnfStyle w:val="000010000000" w:firstRow="0" w:lastRow="0" w:firstColumn="0" w:lastColumn="0" w:oddVBand="1" w:evenVBand="0" w:oddHBand="0" w:evenHBand="0" w:firstRowFirstColumn="0" w:firstRowLastColumn="0" w:lastRowFirstColumn="0" w:lastRowLastColumn="0"/>
            <w:tcW w:w="371" w:type="pct"/>
          </w:tcPr>
          <w:p w14:paraId="4E147588"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t>ö</w:t>
            </w:r>
          </w:p>
        </w:tc>
        <w:tc>
          <w:tcPr>
            <w:tcW w:w="341" w:type="pct"/>
          </w:tcPr>
          <w:p w14:paraId="01EDC9E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1A6826E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8A9EA7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19942FE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15%</w:t>
            </w:r>
          </w:p>
        </w:tc>
        <w:tc>
          <w:tcPr>
            <w:tcW w:w="298" w:type="pct"/>
          </w:tcPr>
          <w:p w14:paraId="64FE302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30%</w:t>
            </w:r>
          </w:p>
        </w:tc>
        <w:tc>
          <w:tcPr>
            <w:cnfStyle w:val="000010000000" w:firstRow="0" w:lastRow="0" w:firstColumn="0" w:lastColumn="0" w:oddVBand="1" w:evenVBand="0" w:oddHBand="0" w:evenHBand="0" w:firstRowFirstColumn="0" w:firstRowLastColumn="0" w:lastRowFirstColumn="0" w:lastRowLastColumn="0"/>
            <w:tcW w:w="197" w:type="pct"/>
          </w:tcPr>
          <w:p w14:paraId="068AC282" w14:textId="77777777" w:rsidR="00095411" w:rsidRPr="007348FD" w:rsidRDefault="00095411" w:rsidP="00591CBB">
            <w:pPr>
              <w:spacing w:after="160" w:line="259" w:lineRule="auto"/>
              <w:rPr>
                <w:rFonts w:ascii="Arial Narrow" w:hAnsi="Arial Narrow"/>
                <w:sz w:val="18"/>
                <w:szCs w:val="18"/>
              </w:rPr>
            </w:pPr>
          </w:p>
        </w:tc>
        <w:tc>
          <w:tcPr>
            <w:tcW w:w="273" w:type="pct"/>
          </w:tcPr>
          <w:p w14:paraId="1454A36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E0CBC3F" w14:textId="77777777" w:rsidR="00095411" w:rsidRPr="007348FD" w:rsidRDefault="00095411" w:rsidP="00591CBB">
            <w:pPr>
              <w:spacing w:after="160" w:line="259" w:lineRule="auto"/>
              <w:rPr>
                <w:rFonts w:ascii="Arial Narrow" w:hAnsi="Arial Narrow"/>
                <w:sz w:val="18"/>
                <w:szCs w:val="18"/>
              </w:rPr>
            </w:pPr>
          </w:p>
        </w:tc>
        <w:tc>
          <w:tcPr>
            <w:tcW w:w="283" w:type="pct"/>
          </w:tcPr>
          <w:p w14:paraId="199E87F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1D2E8B7" w14:textId="77777777" w:rsidR="00095411" w:rsidRPr="007348FD" w:rsidRDefault="00095411" w:rsidP="00591CBB">
            <w:pPr>
              <w:spacing w:after="160" w:line="259" w:lineRule="auto"/>
              <w:rPr>
                <w:rFonts w:ascii="Arial Narrow" w:hAnsi="Arial Narrow"/>
                <w:sz w:val="18"/>
                <w:szCs w:val="18"/>
              </w:rPr>
            </w:pPr>
          </w:p>
        </w:tc>
        <w:tc>
          <w:tcPr>
            <w:tcW w:w="149" w:type="pct"/>
          </w:tcPr>
          <w:p w14:paraId="4336BA7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59BC54A" w14:textId="77777777" w:rsidR="00095411" w:rsidRPr="007348FD" w:rsidRDefault="00095411" w:rsidP="00591CBB">
            <w:pPr>
              <w:spacing w:after="160" w:line="259" w:lineRule="auto"/>
              <w:rPr>
                <w:rFonts w:ascii="Arial Narrow" w:hAnsi="Arial Narrow"/>
                <w:sz w:val="18"/>
                <w:szCs w:val="18"/>
              </w:rPr>
            </w:pPr>
          </w:p>
        </w:tc>
        <w:tc>
          <w:tcPr>
            <w:tcW w:w="214" w:type="pct"/>
          </w:tcPr>
          <w:p w14:paraId="63EC76D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45%</w:t>
            </w:r>
          </w:p>
        </w:tc>
        <w:tc>
          <w:tcPr>
            <w:cnfStyle w:val="000010000000" w:firstRow="0" w:lastRow="0" w:firstColumn="0" w:lastColumn="0" w:oddVBand="1" w:evenVBand="0" w:oddHBand="0" w:evenHBand="0" w:firstRowFirstColumn="0" w:firstRowLastColumn="0" w:lastRowFirstColumn="0" w:lastRowLastColumn="0"/>
            <w:tcW w:w="245" w:type="pct"/>
          </w:tcPr>
          <w:p w14:paraId="01989AA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60%</w:t>
            </w:r>
          </w:p>
        </w:tc>
        <w:tc>
          <w:tcPr>
            <w:tcW w:w="280" w:type="pct"/>
          </w:tcPr>
          <w:p w14:paraId="4011FC08" w14:textId="564ED9A0"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≥75%</w:t>
            </w:r>
          </w:p>
        </w:tc>
      </w:tr>
      <w:tr w:rsidR="00095411" w:rsidRPr="00591CBB" w14:paraId="7FE21154" w14:textId="0CFE8438"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0721B4B2" w14:textId="77777777" w:rsidR="00095411" w:rsidRPr="007348FD" w:rsidRDefault="00095411" w:rsidP="00591CBB">
            <w:pPr>
              <w:spacing w:after="160" w:line="259" w:lineRule="auto"/>
              <w:rPr>
                <w:rFonts w:ascii="Arial Narrow" w:hAnsi="Arial Narrow"/>
                <w:sz w:val="18"/>
                <w:szCs w:val="18"/>
              </w:rPr>
            </w:pPr>
          </w:p>
        </w:tc>
        <w:tc>
          <w:tcPr>
            <w:tcW w:w="460" w:type="pct"/>
          </w:tcPr>
          <w:p w14:paraId="331DD00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9C37631"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A99E5C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7D10008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69F1AFD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77F3686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4FF9121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87%</w:t>
            </w:r>
          </w:p>
        </w:tc>
        <w:tc>
          <w:tcPr>
            <w:cnfStyle w:val="000010000000" w:firstRow="0" w:lastRow="0" w:firstColumn="0" w:lastColumn="0" w:oddVBand="1" w:evenVBand="0" w:oddHBand="0" w:evenHBand="0" w:firstRowFirstColumn="0" w:firstRowLastColumn="0" w:lastRowFirstColumn="0" w:lastRowLastColumn="0"/>
            <w:tcW w:w="197" w:type="pct"/>
          </w:tcPr>
          <w:p w14:paraId="21378161" w14:textId="77777777" w:rsidR="00095411" w:rsidRPr="007348FD" w:rsidRDefault="00095411" w:rsidP="00591CBB">
            <w:pPr>
              <w:spacing w:after="160" w:line="259" w:lineRule="auto"/>
              <w:rPr>
                <w:rFonts w:ascii="Arial Narrow" w:hAnsi="Arial Narrow"/>
                <w:sz w:val="18"/>
                <w:szCs w:val="18"/>
              </w:rPr>
            </w:pPr>
          </w:p>
        </w:tc>
        <w:tc>
          <w:tcPr>
            <w:tcW w:w="273" w:type="pct"/>
          </w:tcPr>
          <w:p w14:paraId="696B203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290%</w:t>
            </w:r>
          </w:p>
        </w:tc>
        <w:tc>
          <w:tcPr>
            <w:cnfStyle w:val="000010000000" w:firstRow="0" w:lastRow="0" w:firstColumn="0" w:lastColumn="0" w:oddVBand="1" w:evenVBand="0" w:oddHBand="0" w:evenHBand="0" w:firstRowFirstColumn="0" w:firstRowLastColumn="0" w:lastRowFirstColumn="0" w:lastRowLastColumn="0"/>
            <w:tcW w:w="285" w:type="pct"/>
          </w:tcPr>
          <w:p w14:paraId="4DC067E7" w14:textId="77777777" w:rsidR="00095411" w:rsidRPr="007348FD" w:rsidRDefault="00095411" w:rsidP="00591CBB">
            <w:pPr>
              <w:spacing w:after="160" w:line="259" w:lineRule="auto"/>
              <w:rPr>
                <w:rFonts w:ascii="Arial Narrow" w:hAnsi="Arial Narrow"/>
                <w:sz w:val="18"/>
                <w:szCs w:val="18"/>
              </w:rPr>
            </w:pPr>
          </w:p>
        </w:tc>
        <w:tc>
          <w:tcPr>
            <w:tcW w:w="283" w:type="pct"/>
          </w:tcPr>
          <w:p w14:paraId="695ED50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61FF5D0" w14:textId="77777777" w:rsidR="00095411" w:rsidRPr="007348FD" w:rsidRDefault="00095411" w:rsidP="00591CBB">
            <w:pPr>
              <w:spacing w:after="160" w:line="259" w:lineRule="auto"/>
              <w:rPr>
                <w:rFonts w:ascii="Arial Narrow" w:hAnsi="Arial Narrow"/>
                <w:sz w:val="18"/>
                <w:szCs w:val="18"/>
              </w:rPr>
            </w:pPr>
          </w:p>
        </w:tc>
        <w:tc>
          <w:tcPr>
            <w:tcW w:w="149" w:type="pct"/>
          </w:tcPr>
          <w:p w14:paraId="43261F3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887E46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0053484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Spot check</w:t>
            </w:r>
          </w:p>
        </w:tc>
        <w:tc>
          <w:tcPr>
            <w:cnfStyle w:val="000010000000" w:firstRow="0" w:lastRow="0" w:firstColumn="0" w:lastColumn="0" w:oddVBand="1" w:evenVBand="0" w:oddHBand="0" w:evenHBand="0" w:firstRowFirstColumn="0" w:firstRowLastColumn="0" w:lastRowFirstColumn="0" w:lastRowLastColumn="0"/>
            <w:tcW w:w="245" w:type="pct"/>
          </w:tcPr>
          <w:p w14:paraId="16095A8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Spot check</w:t>
            </w:r>
          </w:p>
        </w:tc>
        <w:tc>
          <w:tcPr>
            <w:tcW w:w="280" w:type="pct"/>
          </w:tcPr>
          <w:p w14:paraId="1B230C7F" w14:textId="4E72A9BD"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Spot check</w:t>
            </w:r>
          </w:p>
        </w:tc>
      </w:tr>
      <w:tr w:rsidR="00095411" w:rsidRPr="00591CBB" w14:paraId="131B1D67"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1EBFC580" w14:textId="77777777" w:rsidR="00095411" w:rsidRPr="007348FD" w:rsidRDefault="00095411" w:rsidP="00591CBB">
            <w:pPr>
              <w:spacing w:after="160" w:line="259" w:lineRule="auto"/>
              <w:rPr>
                <w:rFonts w:ascii="Arial Narrow" w:hAnsi="Arial Narrow"/>
                <w:sz w:val="18"/>
                <w:szCs w:val="18"/>
              </w:rPr>
            </w:pPr>
          </w:p>
        </w:tc>
        <w:tc>
          <w:tcPr>
            <w:tcW w:w="460" w:type="pct"/>
          </w:tcPr>
          <w:p w14:paraId="3E08807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7351B36"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B61D97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73E12EF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0D4313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077109B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15%</w:t>
            </w:r>
          </w:p>
        </w:tc>
        <w:tc>
          <w:tcPr>
            <w:tcW w:w="298" w:type="pct"/>
          </w:tcPr>
          <w:p w14:paraId="168D5E5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30%</w:t>
            </w:r>
          </w:p>
        </w:tc>
        <w:tc>
          <w:tcPr>
            <w:cnfStyle w:val="000010000000" w:firstRow="0" w:lastRow="0" w:firstColumn="0" w:lastColumn="0" w:oddVBand="1" w:evenVBand="0" w:oddHBand="0" w:evenHBand="0" w:firstRowFirstColumn="0" w:firstRowLastColumn="0" w:lastRowFirstColumn="0" w:lastRowLastColumn="0"/>
            <w:tcW w:w="197" w:type="pct"/>
          </w:tcPr>
          <w:p w14:paraId="4868C1F6" w14:textId="77777777" w:rsidR="00095411" w:rsidRPr="007348FD" w:rsidRDefault="00095411" w:rsidP="00591CBB">
            <w:pPr>
              <w:spacing w:after="160" w:line="259" w:lineRule="auto"/>
              <w:rPr>
                <w:rFonts w:ascii="Arial Narrow" w:hAnsi="Arial Narrow"/>
                <w:sz w:val="18"/>
                <w:szCs w:val="18"/>
              </w:rPr>
            </w:pPr>
          </w:p>
        </w:tc>
        <w:tc>
          <w:tcPr>
            <w:tcW w:w="273" w:type="pct"/>
          </w:tcPr>
          <w:p w14:paraId="75E5E77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FED85B1" w14:textId="77777777" w:rsidR="00095411" w:rsidRPr="007348FD" w:rsidRDefault="00095411" w:rsidP="00591CBB">
            <w:pPr>
              <w:spacing w:after="160" w:line="259" w:lineRule="auto"/>
              <w:rPr>
                <w:rFonts w:ascii="Arial Narrow" w:hAnsi="Arial Narrow"/>
                <w:sz w:val="18"/>
                <w:szCs w:val="18"/>
              </w:rPr>
            </w:pPr>
          </w:p>
        </w:tc>
        <w:tc>
          <w:tcPr>
            <w:tcW w:w="283" w:type="pct"/>
          </w:tcPr>
          <w:p w14:paraId="262E997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4C22C9D" w14:textId="77777777" w:rsidR="00095411" w:rsidRPr="007348FD" w:rsidRDefault="00095411" w:rsidP="00591CBB">
            <w:pPr>
              <w:spacing w:after="160" w:line="259" w:lineRule="auto"/>
              <w:rPr>
                <w:rFonts w:ascii="Arial Narrow" w:hAnsi="Arial Narrow"/>
                <w:sz w:val="18"/>
                <w:szCs w:val="18"/>
              </w:rPr>
            </w:pPr>
          </w:p>
        </w:tc>
        <w:tc>
          <w:tcPr>
            <w:tcW w:w="149" w:type="pct"/>
          </w:tcPr>
          <w:p w14:paraId="083680B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DF3D13B" w14:textId="77777777" w:rsidR="00095411" w:rsidRPr="007348FD" w:rsidRDefault="00095411" w:rsidP="00591CBB">
            <w:pPr>
              <w:spacing w:after="160" w:line="259" w:lineRule="auto"/>
              <w:rPr>
                <w:rFonts w:ascii="Arial Narrow" w:hAnsi="Arial Narrow"/>
                <w:sz w:val="18"/>
                <w:szCs w:val="18"/>
              </w:rPr>
            </w:pPr>
          </w:p>
        </w:tc>
        <w:tc>
          <w:tcPr>
            <w:tcW w:w="214" w:type="pct"/>
          </w:tcPr>
          <w:p w14:paraId="7DAE907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45%</w:t>
            </w:r>
          </w:p>
        </w:tc>
        <w:tc>
          <w:tcPr>
            <w:cnfStyle w:val="000010000000" w:firstRow="0" w:lastRow="0" w:firstColumn="0" w:lastColumn="0" w:oddVBand="1" w:evenVBand="0" w:oddHBand="0" w:evenHBand="0" w:firstRowFirstColumn="0" w:firstRowLastColumn="0" w:lastRowFirstColumn="0" w:lastRowLastColumn="0"/>
            <w:tcW w:w="245" w:type="pct"/>
          </w:tcPr>
          <w:p w14:paraId="2CE9CCE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60%</w:t>
            </w:r>
          </w:p>
        </w:tc>
        <w:tc>
          <w:tcPr>
            <w:tcW w:w="280" w:type="pct"/>
          </w:tcPr>
          <w:p w14:paraId="503A97C6" w14:textId="109C9D9B"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≥75%</w:t>
            </w:r>
          </w:p>
        </w:tc>
      </w:tr>
      <w:tr w:rsidR="00095411" w:rsidRPr="00591CBB" w14:paraId="3F97DD1B" w14:textId="72DD5886"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1243B7BC" w14:textId="77777777" w:rsidR="00095411" w:rsidRPr="007348FD" w:rsidRDefault="00095411" w:rsidP="00591CBB">
            <w:pPr>
              <w:spacing w:after="160" w:line="259" w:lineRule="auto"/>
              <w:rPr>
                <w:rFonts w:ascii="Arial Narrow" w:hAnsi="Arial Narrow"/>
                <w:sz w:val="18"/>
                <w:szCs w:val="18"/>
              </w:rPr>
            </w:pPr>
          </w:p>
        </w:tc>
        <w:tc>
          <w:tcPr>
            <w:tcW w:w="460" w:type="pct"/>
          </w:tcPr>
          <w:p w14:paraId="4AEC6D6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B2EEF66"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2A2FF1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221B41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22074EF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0D6D64C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38C0C4B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66%</w:t>
            </w:r>
          </w:p>
        </w:tc>
        <w:tc>
          <w:tcPr>
            <w:cnfStyle w:val="000010000000" w:firstRow="0" w:lastRow="0" w:firstColumn="0" w:lastColumn="0" w:oddVBand="1" w:evenVBand="0" w:oddHBand="0" w:evenHBand="0" w:firstRowFirstColumn="0" w:firstRowLastColumn="0" w:lastRowFirstColumn="0" w:lastRowLastColumn="0"/>
            <w:tcW w:w="197" w:type="pct"/>
          </w:tcPr>
          <w:p w14:paraId="564896A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3%</w:t>
            </w:r>
          </w:p>
        </w:tc>
        <w:tc>
          <w:tcPr>
            <w:tcW w:w="273" w:type="pct"/>
          </w:tcPr>
          <w:p w14:paraId="39C922A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220%</w:t>
            </w:r>
          </w:p>
        </w:tc>
        <w:tc>
          <w:tcPr>
            <w:cnfStyle w:val="000010000000" w:firstRow="0" w:lastRow="0" w:firstColumn="0" w:lastColumn="0" w:oddVBand="1" w:evenVBand="0" w:oddHBand="0" w:evenHBand="0" w:firstRowFirstColumn="0" w:firstRowLastColumn="0" w:lastRowFirstColumn="0" w:lastRowLastColumn="0"/>
            <w:tcW w:w="285" w:type="pct"/>
          </w:tcPr>
          <w:p w14:paraId="7443E052" w14:textId="77777777" w:rsidR="00095411" w:rsidRPr="007348FD" w:rsidRDefault="00095411" w:rsidP="00591CBB">
            <w:pPr>
              <w:spacing w:after="160" w:line="259" w:lineRule="auto"/>
              <w:rPr>
                <w:rFonts w:ascii="Arial Narrow" w:hAnsi="Arial Narrow"/>
                <w:sz w:val="18"/>
                <w:szCs w:val="18"/>
              </w:rPr>
            </w:pPr>
          </w:p>
        </w:tc>
        <w:tc>
          <w:tcPr>
            <w:tcW w:w="283" w:type="pct"/>
          </w:tcPr>
          <w:p w14:paraId="6B01A0B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87ED70F" w14:textId="77777777" w:rsidR="00095411" w:rsidRPr="007348FD" w:rsidRDefault="00095411" w:rsidP="00591CBB">
            <w:pPr>
              <w:spacing w:after="160" w:line="259" w:lineRule="auto"/>
              <w:rPr>
                <w:rFonts w:ascii="Arial Narrow" w:hAnsi="Arial Narrow"/>
                <w:sz w:val="18"/>
                <w:szCs w:val="18"/>
              </w:rPr>
            </w:pPr>
          </w:p>
        </w:tc>
        <w:tc>
          <w:tcPr>
            <w:tcW w:w="149" w:type="pct"/>
          </w:tcPr>
          <w:p w14:paraId="750D20C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3B06E2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727FB18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Spot check</w:t>
            </w:r>
          </w:p>
        </w:tc>
        <w:tc>
          <w:tcPr>
            <w:cnfStyle w:val="000010000000" w:firstRow="0" w:lastRow="0" w:firstColumn="0" w:lastColumn="0" w:oddVBand="1" w:evenVBand="0" w:oddHBand="0" w:evenHBand="0" w:firstRowFirstColumn="0" w:firstRowLastColumn="0" w:lastRowFirstColumn="0" w:lastRowLastColumn="0"/>
            <w:tcW w:w="245" w:type="pct"/>
          </w:tcPr>
          <w:p w14:paraId="27CB5C1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Spot check</w:t>
            </w:r>
          </w:p>
        </w:tc>
        <w:tc>
          <w:tcPr>
            <w:tcW w:w="280" w:type="pct"/>
          </w:tcPr>
          <w:p w14:paraId="309A057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28075729"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400A21FC" w14:textId="77777777" w:rsidR="00095411" w:rsidRPr="007348FD" w:rsidRDefault="00095411" w:rsidP="00591CBB">
            <w:pPr>
              <w:spacing w:after="160" w:line="259" w:lineRule="auto"/>
              <w:rPr>
                <w:rFonts w:ascii="Arial Narrow" w:hAnsi="Arial Narrow"/>
                <w:sz w:val="18"/>
                <w:szCs w:val="18"/>
              </w:rPr>
            </w:pPr>
          </w:p>
        </w:tc>
        <w:tc>
          <w:tcPr>
            <w:tcW w:w="460" w:type="pct"/>
          </w:tcPr>
          <w:p w14:paraId="5FC69DD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1A1D3B0"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842E29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58FB00D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305CE17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76439C5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15%</w:t>
            </w:r>
          </w:p>
        </w:tc>
        <w:tc>
          <w:tcPr>
            <w:tcW w:w="298" w:type="pct"/>
          </w:tcPr>
          <w:p w14:paraId="1AD2130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30%</w:t>
            </w:r>
          </w:p>
        </w:tc>
        <w:tc>
          <w:tcPr>
            <w:cnfStyle w:val="000010000000" w:firstRow="0" w:lastRow="0" w:firstColumn="0" w:lastColumn="0" w:oddVBand="1" w:evenVBand="0" w:oddHBand="0" w:evenHBand="0" w:firstRowFirstColumn="0" w:firstRowLastColumn="0" w:lastRowFirstColumn="0" w:lastRowLastColumn="0"/>
            <w:tcW w:w="197" w:type="pct"/>
          </w:tcPr>
          <w:p w14:paraId="08307711" w14:textId="77777777" w:rsidR="00095411" w:rsidRPr="007348FD" w:rsidRDefault="00095411" w:rsidP="00591CBB">
            <w:pPr>
              <w:spacing w:after="160" w:line="259" w:lineRule="auto"/>
              <w:rPr>
                <w:rFonts w:ascii="Arial Narrow" w:hAnsi="Arial Narrow"/>
                <w:sz w:val="18"/>
                <w:szCs w:val="18"/>
              </w:rPr>
            </w:pPr>
          </w:p>
        </w:tc>
        <w:tc>
          <w:tcPr>
            <w:tcW w:w="273" w:type="pct"/>
          </w:tcPr>
          <w:p w14:paraId="46548F4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508A6C7" w14:textId="77777777" w:rsidR="00095411" w:rsidRPr="007348FD" w:rsidRDefault="00095411" w:rsidP="00591CBB">
            <w:pPr>
              <w:spacing w:after="160" w:line="259" w:lineRule="auto"/>
              <w:rPr>
                <w:rFonts w:ascii="Arial Narrow" w:hAnsi="Arial Narrow"/>
                <w:sz w:val="18"/>
                <w:szCs w:val="18"/>
              </w:rPr>
            </w:pPr>
          </w:p>
        </w:tc>
        <w:tc>
          <w:tcPr>
            <w:tcW w:w="283" w:type="pct"/>
          </w:tcPr>
          <w:p w14:paraId="27F2E4E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C4540A0" w14:textId="77777777" w:rsidR="00095411" w:rsidRPr="007348FD" w:rsidRDefault="00095411" w:rsidP="00591CBB">
            <w:pPr>
              <w:spacing w:after="160" w:line="259" w:lineRule="auto"/>
              <w:rPr>
                <w:rFonts w:ascii="Arial Narrow" w:hAnsi="Arial Narrow"/>
                <w:sz w:val="18"/>
                <w:szCs w:val="18"/>
              </w:rPr>
            </w:pPr>
          </w:p>
        </w:tc>
        <w:tc>
          <w:tcPr>
            <w:tcW w:w="149" w:type="pct"/>
          </w:tcPr>
          <w:p w14:paraId="77CCFC8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E0004E2" w14:textId="77777777" w:rsidR="00095411" w:rsidRPr="007348FD" w:rsidRDefault="00095411" w:rsidP="00591CBB">
            <w:pPr>
              <w:spacing w:after="160" w:line="259" w:lineRule="auto"/>
              <w:rPr>
                <w:rFonts w:ascii="Arial Narrow" w:hAnsi="Arial Narrow"/>
                <w:sz w:val="18"/>
                <w:szCs w:val="18"/>
              </w:rPr>
            </w:pPr>
          </w:p>
        </w:tc>
        <w:tc>
          <w:tcPr>
            <w:tcW w:w="214" w:type="pct"/>
          </w:tcPr>
          <w:p w14:paraId="31C81D1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45%</w:t>
            </w:r>
          </w:p>
        </w:tc>
        <w:tc>
          <w:tcPr>
            <w:cnfStyle w:val="000010000000" w:firstRow="0" w:lastRow="0" w:firstColumn="0" w:lastColumn="0" w:oddVBand="1" w:evenVBand="0" w:oddHBand="0" w:evenHBand="0" w:firstRowFirstColumn="0" w:firstRowLastColumn="0" w:lastRowFirstColumn="0" w:lastRowLastColumn="0"/>
            <w:tcW w:w="245" w:type="pct"/>
          </w:tcPr>
          <w:p w14:paraId="651167D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60%</w:t>
            </w:r>
          </w:p>
        </w:tc>
        <w:tc>
          <w:tcPr>
            <w:tcW w:w="280" w:type="pct"/>
          </w:tcPr>
          <w:p w14:paraId="1BAE9125" w14:textId="7256150B"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≥75%</w:t>
            </w:r>
          </w:p>
        </w:tc>
      </w:tr>
      <w:tr w:rsidR="00095411" w:rsidRPr="00591CBB" w14:paraId="23A46241" w14:textId="130307F2" w:rsidTr="00051F27">
        <w:trPr>
          <w:cnfStyle w:val="000000100000" w:firstRow="0" w:lastRow="0" w:firstColumn="0" w:lastColumn="0" w:oddVBand="0" w:evenVBand="0" w:oddHBand="1" w:evenHBand="0" w:firstRowFirstColumn="0" w:firstRowLastColumn="0" w:lastRowFirstColumn="0" w:lastRowLastColumn="0"/>
          <w:trHeight w:val="362"/>
        </w:trPr>
        <w:tc>
          <w:tcPr>
            <w:cnfStyle w:val="000010000000" w:firstRow="0" w:lastRow="0" w:firstColumn="0" w:lastColumn="0" w:oddVBand="1" w:evenVBand="0" w:oddHBand="0" w:evenHBand="0" w:firstRowFirstColumn="0" w:firstRowLastColumn="0" w:lastRowFirstColumn="0" w:lastRowLastColumn="0"/>
            <w:tcW w:w="432" w:type="pct"/>
          </w:tcPr>
          <w:p w14:paraId="3CA79264" w14:textId="77777777" w:rsidR="00095411" w:rsidRPr="007348FD" w:rsidRDefault="00095411" w:rsidP="00591CBB">
            <w:pPr>
              <w:spacing w:after="160" w:line="259" w:lineRule="auto"/>
              <w:rPr>
                <w:rFonts w:ascii="Arial Narrow" w:hAnsi="Arial Narrow"/>
                <w:sz w:val="18"/>
                <w:szCs w:val="18"/>
              </w:rPr>
            </w:pPr>
          </w:p>
        </w:tc>
        <w:tc>
          <w:tcPr>
            <w:tcW w:w="460" w:type="pct"/>
          </w:tcPr>
          <w:p w14:paraId="03A7DFA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A3B8432"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84B686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FF1030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1C0DBB3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55D43C7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86%</w:t>
            </w:r>
          </w:p>
        </w:tc>
        <w:tc>
          <w:tcPr>
            <w:tcW w:w="298" w:type="pct"/>
          </w:tcPr>
          <w:p w14:paraId="4A209B5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 Updates</w:t>
            </w:r>
          </w:p>
        </w:tc>
        <w:tc>
          <w:tcPr>
            <w:cnfStyle w:val="000010000000" w:firstRow="0" w:lastRow="0" w:firstColumn="0" w:lastColumn="0" w:oddVBand="1" w:evenVBand="0" w:oddHBand="0" w:evenHBand="0" w:firstRowFirstColumn="0" w:firstRowLastColumn="0" w:lastRowFirstColumn="0" w:lastRowLastColumn="0"/>
            <w:tcW w:w="197" w:type="pct"/>
          </w:tcPr>
          <w:p w14:paraId="5FF51B7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73" w:type="pct"/>
          </w:tcPr>
          <w:p w14:paraId="592BBEE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287%</w:t>
            </w:r>
          </w:p>
        </w:tc>
        <w:tc>
          <w:tcPr>
            <w:cnfStyle w:val="000010000000" w:firstRow="0" w:lastRow="0" w:firstColumn="0" w:lastColumn="0" w:oddVBand="1" w:evenVBand="0" w:oddHBand="0" w:evenHBand="0" w:firstRowFirstColumn="0" w:firstRowLastColumn="0" w:lastRowFirstColumn="0" w:lastRowLastColumn="0"/>
            <w:tcW w:w="285" w:type="pct"/>
          </w:tcPr>
          <w:p w14:paraId="7E46BA57" w14:textId="77777777" w:rsidR="00095411" w:rsidRPr="007348FD" w:rsidRDefault="00095411" w:rsidP="00591CBB">
            <w:pPr>
              <w:spacing w:after="160" w:line="259" w:lineRule="auto"/>
              <w:rPr>
                <w:rFonts w:ascii="Arial Narrow" w:hAnsi="Arial Narrow"/>
                <w:sz w:val="18"/>
                <w:szCs w:val="18"/>
              </w:rPr>
            </w:pPr>
          </w:p>
        </w:tc>
        <w:tc>
          <w:tcPr>
            <w:tcW w:w="283" w:type="pct"/>
          </w:tcPr>
          <w:p w14:paraId="7A679E6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435C17E" w14:textId="77777777" w:rsidR="00095411" w:rsidRPr="007348FD" w:rsidRDefault="00095411" w:rsidP="00591CBB">
            <w:pPr>
              <w:spacing w:after="160" w:line="259" w:lineRule="auto"/>
              <w:rPr>
                <w:rFonts w:ascii="Arial Narrow" w:hAnsi="Arial Narrow"/>
                <w:sz w:val="18"/>
                <w:szCs w:val="18"/>
              </w:rPr>
            </w:pPr>
          </w:p>
        </w:tc>
        <w:tc>
          <w:tcPr>
            <w:tcW w:w="149" w:type="pct"/>
          </w:tcPr>
          <w:p w14:paraId="4D4CEF6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B88A97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64DA27C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Spot check</w:t>
            </w:r>
          </w:p>
        </w:tc>
        <w:tc>
          <w:tcPr>
            <w:cnfStyle w:val="000010000000" w:firstRow="0" w:lastRow="0" w:firstColumn="0" w:lastColumn="0" w:oddVBand="1" w:evenVBand="0" w:oddHBand="0" w:evenHBand="0" w:firstRowFirstColumn="0" w:firstRowLastColumn="0" w:lastRowFirstColumn="0" w:lastRowLastColumn="0"/>
            <w:tcW w:w="245" w:type="pct"/>
          </w:tcPr>
          <w:p w14:paraId="2034C63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Spot check</w:t>
            </w:r>
          </w:p>
        </w:tc>
        <w:tc>
          <w:tcPr>
            <w:tcW w:w="280" w:type="pct"/>
          </w:tcPr>
          <w:p w14:paraId="765477A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6EA5E790"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745A1547" w14:textId="77777777" w:rsidR="00095411" w:rsidRPr="007348FD" w:rsidRDefault="00095411" w:rsidP="00591CBB">
            <w:pPr>
              <w:spacing w:after="160" w:line="259" w:lineRule="auto"/>
              <w:rPr>
                <w:rFonts w:ascii="Arial Narrow" w:hAnsi="Arial Narrow"/>
                <w:sz w:val="18"/>
                <w:szCs w:val="18"/>
              </w:rPr>
            </w:pPr>
          </w:p>
        </w:tc>
        <w:tc>
          <w:tcPr>
            <w:tcW w:w="460" w:type="pct"/>
          </w:tcPr>
          <w:p w14:paraId="3EEF317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9487E36"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D1EC65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50ACDB9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127108C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156B44E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15%</w:t>
            </w:r>
          </w:p>
        </w:tc>
        <w:tc>
          <w:tcPr>
            <w:tcW w:w="298" w:type="pct"/>
          </w:tcPr>
          <w:p w14:paraId="4F3E9CF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30%</w:t>
            </w:r>
          </w:p>
        </w:tc>
        <w:tc>
          <w:tcPr>
            <w:cnfStyle w:val="000010000000" w:firstRow="0" w:lastRow="0" w:firstColumn="0" w:lastColumn="0" w:oddVBand="1" w:evenVBand="0" w:oddHBand="0" w:evenHBand="0" w:firstRowFirstColumn="0" w:firstRowLastColumn="0" w:lastRowFirstColumn="0" w:lastRowLastColumn="0"/>
            <w:tcW w:w="197" w:type="pct"/>
          </w:tcPr>
          <w:p w14:paraId="3017B9A5" w14:textId="77777777" w:rsidR="00095411" w:rsidRPr="007348FD" w:rsidRDefault="00095411" w:rsidP="00591CBB">
            <w:pPr>
              <w:spacing w:after="160" w:line="259" w:lineRule="auto"/>
              <w:rPr>
                <w:rFonts w:ascii="Arial Narrow" w:hAnsi="Arial Narrow"/>
                <w:sz w:val="18"/>
                <w:szCs w:val="18"/>
              </w:rPr>
            </w:pPr>
          </w:p>
        </w:tc>
        <w:tc>
          <w:tcPr>
            <w:tcW w:w="273" w:type="pct"/>
          </w:tcPr>
          <w:p w14:paraId="1939BE9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75183EA" w14:textId="77777777" w:rsidR="00095411" w:rsidRPr="007348FD" w:rsidRDefault="00095411" w:rsidP="00591CBB">
            <w:pPr>
              <w:spacing w:after="160" w:line="259" w:lineRule="auto"/>
              <w:rPr>
                <w:rFonts w:ascii="Arial Narrow" w:hAnsi="Arial Narrow"/>
                <w:sz w:val="18"/>
                <w:szCs w:val="18"/>
              </w:rPr>
            </w:pPr>
          </w:p>
        </w:tc>
        <w:tc>
          <w:tcPr>
            <w:tcW w:w="283" w:type="pct"/>
          </w:tcPr>
          <w:p w14:paraId="6D3E98C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577CBEF" w14:textId="77777777" w:rsidR="00095411" w:rsidRPr="007348FD" w:rsidRDefault="00095411" w:rsidP="00591CBB">
            <w:pPr>
              <w:spacing w:after="160" w:line="259" w:lineRule="auto"/>
              <w:rPr>
                <w:rFonts w:ascii="Arial Narrow" w:hAnsi="Arial Narrow"/>
                <w:sz w:val="18"/>
                <w:szCs w:val="18"/>
              </w:rPr>
            </w:pPr>
          </w:p>
        </w:tc>
        <w:tc>
          <w:tcPr>
            <w:tcW w:w="149" w:type="pct"/>
          </w:tcPr>
          <w:p w14:paraId="2FD747C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0EA2AE2" w14:textId="77777777" w:rsidR="00095411" w:rsidRPr="007348FD" w:rsidRDefault="00095411" w:rsidP="00591CBB">
            <w:pPr>
              <w:spacing w:after="160" w:line="259" w:lineRule="auto"/>
              <w:rPr>
                <w:rFonts w:ascii="Arial Narrow" w:hAnsi="Arial Narrow"/>
                <w:sz w:val="18"/>
                <w:szCs w:val="18"/>
              </w:rPr>
            </w:pPr>
          </w:p>
        </w:tc>
        <w:tc>
          <w:tcPr>
            <w:tcW w:w="214" w:type="pct"/>
          </w:tcPr>
          <w:p w14:paraId="627C0EC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45%</w:t>
            </w:r>
          </w:p>
        </w:tc>
        <w:tc>
          <w:tcPr>
            <w:cnfStyle w:val="000010000000" w:firstRow="0" w:lastRow="0" w:firstColumn="0" w:lastColumn="0" w:oddVBand="1" w:evenVBand="0" w:oddHBand="0" w:evenHBand="0" w:firstRowFirstColumn="0" w:firstRowLastColumn="0" w:lastRowFirstColumn="0" w:lastRowLastColumn="0"/>
            <w:tcW w:w="245" w:type="pct"/>
          </w:tcPr>
          <w:p w14:paraId="4C4F805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60%</w:t>
            </w:r>
          </w:p>
        </w:tc>
        <w:tc>
          <w:tcPr>
            <w:tcW w:w="280" w:type="pct"/>
          </w:tcPr>
          <w:p w14:paraId="45B99B19" w14:textId="10664265"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≥75%</w:t>
            </w:r>
          </w:p>
        </w:tc>
      </w:tr>
      <w:tr w:rsidR="00E00579" w:rsidRPr="00591CBB" w14:paraId="34AF7A9B"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26FD815C" w14:textId="77777777" w:rsidR="00E00579" w:rsidRPr="007348FD" w:rsidRDefault="00E00579" w:rsidP="00591CBB">
            <w:pPr>
              <w:spacing w:after="160" w:line="259" w:lineRule="auto"/>
              <w:rPr>
                <w:rFonts w:ascii="Arial Narrow" w:hAnsi="Arial Narrow"/>
                <w:sz w:val="18"/>
                <w:szCs w:val="18"/>
              </w:rPr>
            </w:pPr>
          </w:p>
        </w:tc>
        <w:tc>
          <w:tcPr>
            <w:tcW w:w="460" w:type="pct"/>
          </w:tcPr>
          <w:p w14:paraId="66587C4A" w14:textId="77777777" w:rsidR="00E00579" w:rsidRPr="007348FD" w:rsidRDefault="00E00579"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BA502DD" w14:textId="77777777" w:rsidR="00E00579" w:rsidRPr="007348FD" w:rsidRDefault="00E00579" w:rsidP="00591CBB">
            <w:pPr>
              <w:spacing w:after="160" w:line="259" w:lineRule="auto"/>
              <w:rPr>
                <w:rFonts w:ascii="Arial Narrow" w:hAnsi="Arial Narrow"/>
                <w:b/>
                <w:bCs/>
                <w:sz w:val="18"/>
                <w:szCs w:val="18"/>
              </w:rPr>
            </w:pPr>
          </w:p>
        </w:tc>
        <w:tc>
          <w:tcPr>
            <w:tcW w:w="341" w:type="pct"/>
          </w:tcPr>
          <w:p w14:paraId="346BCC46" w14:textId="77777777" w:rsidR="00E00579" w:rsidRPr="007348FD" w:rsidRDefault="00E00579"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26887A2A" w14:textId="69714287" w:rsidR="00E00579" w:rsidRPr="007348FD" w:rsidRDefault="00E00579" w:rsidP="00591CBB">
            <w:pPr>
              <w:spacing w:after="160" w:line="259" w:lineRule="auto"/>
              <w:rPr>
                <w:rFonts w:ascii="Arial Narrow" w:hAnsi="Arial Narrow"/>
                <w:sz w:val="18"/>
                <w:szCs w:val="18"/>
              </w:rPr>
            </w:pPr>
            <w:r>
              <w:rPr>
                <w:rFonts w:ascii="Arial Narrow" w:hAnsi="Arial Narrow"/>
                <w:sz w:val="18"/>
                <w:szCs w:val="18"/>
              </w:rPr>
              <w:t>Actual</w:t>
            </w:r>
          </w:p>
        </w:tc>
        <w:tc>
          <w:tcPr>
            <w:tcW w:w="330" w:type="pct"/>
          </w:tcPr>
          <w:p w14:paraId="5CC363D7" w14:textId="04F1498F" w:rsidR="00E00579" w:rsidRPr="007348FD" w:rsidRDefault="00E00579"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4EDA0CFD" w14:textId="78B5187E" w:rsidR="00E00579" w:rsidRPr="007348FD" w:rsidRDefault="00E00579" w:rsidP="00591CBB">
            <w:pPr>
              <w:spacing w:after="160" w:line="259" w:lineRule="auto"/>
              <w:rPr>
                <w:rFonts w:ascii="Arial Narrow" w:hAnsi="Arial Narrow"/>
                <w:sz w:val="18"/>
                <w:szCs w:val="18"/>
              </w:rPr>
            </w:pPr>
            <w:r>
              <w:rPr>
                <w:rFonts w:ascii="Arial Narrow" w:hAnsi="Arial Narrow"/>
                <w:sz w:val="18"/>
                <w:szCs w:val="18"/>
              </w:rPr>
              <w:t>TBD in 2019</w:t>
            </w:r>
          </w:p>
        </w:tc>
        <w:tc>
          <w:tcPr>
            <w:tcW w:w="298" w:type="pct"/>
          </w:tcPr>
          <w:p w14:paraId="1E31369B" w14:textId="16522D45" w:rsidR="00E00579" w:rsidRPr="007348FD" w:rsidRDefault="00E00579"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HFRSAA</w:t>
            </w:r>
          </w:p>
        </w:tc>
        <w:tc>
          <w:tcPr>
            <w:cnfStyle w:val="000010000000" w:firstRow="0" w:lastRow="0" w:firstColumn="0" w:lastColumn="0" w:oddVBand="1" w:evenVBand="0" w:oddHBand="0" w:evenHBand="0" w:firstRowFirstColumn="0" w:firstRowLastColumn="0" w:lastRowFirstColumn="0" w:lastRowLastColumn="0"/>
            <w:tcW w:w="197" w:type="pct"/>
          </w:tcPr>
          <w:p w14:paraId="610892FA" w14:textId="25A31BAD" w:rsidR="00E00579" w:rsidRPr="007348FD" w:rsidRDefault="00E00579" w:rsidP="00591CBB">
            <w:pPr>
              <w:spacing w:after="160" w:line="259" w:lineRule="auto"/>
              <w:rPr>
                <w:rFonts w:ascii="Arial Narrow" w:hAnsi="Arial Narrow"/>
                <w:sz w:val="18"/>
                <w:szCs w:val="18"/>
              </w:rPr>
            </w:pPr>
            <w:r>
              <w:rPr>
                <w:rFonts w:ascii="Arial Narrow" w:hAnsi="Arial Narrow"/>
                <w:sz w:val="18"/>
                <w:szCs w:val="18"/>
              </w:rPr>
              <w:t>1%</w:t>
            </w:r>
          </w:p>
        </w:tc>
        <w:tc>
          <w:tcPr>
            <w:tcW w:w="273" w:type="pct"/>
          </w:tcPr>
          <w:p w14:paraId="20FB6347" w14:textId="50C2CFC8" w:rsidR="00E00579" w:rsidRPr="007348FD" w:rsidRDefault="00E00579"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No data</w:t>
            </w:r>
          </w:p>
        </w:tc>
        <w:tc>
          <w:tcPr>
            <w:cnfStyle w:val="000010000000" w:firstRow="0" w:lastRow="0" w:firstColumn="0" w:lastColumn="0" w:oddVBand="1" w:evenVBand="0" w:oddHBand="0" w:evenHBand="0" w:firstRowFirstColumn="0" w:firstRowLastColumn="0" w:lastRowFirstColumn="0" w:lastRowLastColumn="0"/>
            <w:tcW w:w="285" w:type="pct"/>
          </w:tcPr>
          <w:p w14:paraId="671C6831" w14:textId="377BB413" w:rsidR="00E00579" w:rsidRPr="007348FD" w:rsidRDefault="00E00579" w:rsidP="00591CBB">
            <w:pPr>
              <w:spacing w:after="160" w:line="259" w:lineRule="auto"/>
              <w:rPr>
                <w:rFonts w:ascii="Arial Narrow" w:hAnsi="Arial Narrow"/>
                <w:sz w:val="18"/>
                <w:szCs w:val="18"/>
              </w:rPr>
            </w:pPr>
            <w:r>
              <w:rPr>
                <w:rFonts w:ascii="Arial Narrow" w:hAnsi="Arial Narrow"/>
                <w:sz w:val="18"/>
                <w:szCs w:val="18"/>
              </w:rPr>
              <w:t>No data</w:t>
            </w:r>
          </w:p>
        </w:tc>
        <w:tc>
          <w:tcPr>
            <w:tcW w:w="283" w:type="pct"/>
          </w:tcPr>
          <w:p w14:paraId="47D611FE" w14:textId="77777777" w:rsidR="00E00579" w:rsidRPr="007348FD" w:rsidRDefault="00E00579"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A7D1037" w14:textId="77777777" w:rsidR="00E00579" w:rsidRPr="007348FD" w:rsidRDefault="00E00579" w:rsidP="00591CBB">
            <w:pPr>
              <w:spacing w:after="160" w:line="259" w:lineRule="auto"/>
              <w:rPr>
                <w:rFonts w:ascii="Arial Narrow" w:hAnsi="Arial Narrow"/>
                <w:sz w:val="18"/>
                <w:szCs w:val="18"/>
              </w:rPr>
            </w:pPr>
          </w:p>
        </w:tc>
        <w:tc>
          <w:tcPr>
            <w:tcW w:w="149" w:type="pct"/>
          </w:tcPr>
          <w:p w14:paraId="2AE4111B" w14:textId="77777777" w:rsidR="00E00579" w:rsidRPr="007348FD" w:rsidRDefault="00E00579"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A710DDB" w14:textId="1FB82042" w:rsidR="00E00579" w:rsidRPr="007348FD" w:rsidRDefault="00E00579" w:rsidP="00591CBB">
            <w:pPr>
              <w:spacing w:after="160" w:line="259" w:lineRule="auto"/>
              <w:rPr>
                <w:rFonts w:ascii="Arial Narrow" w:hAnsi="Arial Narrow"/>
                <w:sz w:val="18"/>
                <w:szCs w:val="18"/>
              </w:rPr>
            </w:pPr>
            <w:r>
              <w:rPr>
                <w:rFonts w:ascii="Arial Narrow" w:hAnsi="Arial Narrow"/>
                <w:sz w:val="18"/>
                <w:szCs w:val="18"/>
              </w:rPr>
              <w:t>1</w:t>
            </w:r>
          </w:p>
        </w:tc>
        <w:tc>
          <w:tcPr>
            <w:tcW w:w="214" w:type="pct"/>
          </w:tcPr>
          <w:p w14:paraId="2E2D4441" w14:textId="08D9362C" w:rsidR="00E00579" w:rsidRPr="007348FD" w:rsidRDefault="00E00579"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NA</w:t>
            </w:r>
          </w:p>
        </w:tc>
        <w:tc>
          <w:tcPr>
            <w:cnfStyle w:val="000010000000" w:firstRow="0" w:lastRow="0" w:firstColumn="0" w:lastColumn="0" w:oddVBand="1" w:evenVBand="0" w:oddHBand="0" w:evenHBand="0" w:firstRowFirstColumn="0" w:firstRowLastColumn="0" w:lastRowFirstColumn="0" w:lastRowLastColumn="0"/>
            <w:tcW w:w="245" w:type="pct"/>
          </w:tcPr>
          <w:p w14:paraId="19A04636" w14:textId="5BC9D414" w:rsidR="00E00579" w:rsidRPr="007348FD" w:rsidRDefault="00E00579" w:rsidP="00591CBB">
            <w:pPr>
              <w:spacing w:after="160" w:line="259" w:lineRule="auto"/>
              <w:rPr>
                <w:rFonts w:ascii="Arial Narrow" w:hAnsi="Arial Narrow"/>
                <w:sz w:val="18"/>
                <w:szCs w:val="18"/>
              </w:rPr>
            </w:pPr>
            <w:r>
              <w:rPr>
                <w:rFonts w:ascii="Arial Narrow" w:hAnsi="Arial Narrow"/>
                <w:sz w:val="18"/>
                <w:szCs w:val="18"/>
              </w:rPr>
              <w:t>Spot check</w:t>
            </w:r>
          </w:p>
        </w:tc>
        <w:tc>
          <w:tcPr>
            <w:tcW w:w="280" w:type="pct"/>
          </w:tcPr>
          <w:p w14:paraId="34B23BDE" w14:textId="77777777" w:rsidR="00E00579" w:rsidRPr="007348FD" w:rsidRDefault="00E00579"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76CABD17"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56069373" w14:textId="77777777" w:rsidR="00095411" w:rsidRPr="007348FD" w:rsidRDefault="00095411" w:rsidP="00591CBB">
            <w:pPr>
              <w:spacing w:after="160" w:line="259" w:lineRule="auto"/>
              <w:rPr>
                <w:rFonts w:ascii="Arial Narrow" w:hAnsi="Arial Narrow"/>
                <w:sz w:val="18"/>
                <w:szCs w:val="18"/>
              </w:rPr>
            </w:pPr>
          </w:p>
        </w:tc>
        <w:tc>
          <w:tcPr>
            <w:tcW w:w="460" w:type="pct"/>
          </w:tcPr>
          <w:p w14:paraId="555388D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0B515FF"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E19771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71FB2BB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BC9CA4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1762C15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15%</w:t>
            </w:r>
          </w:p>
        </w:tc>
        <w:tc>
          <w:tcPr>
            <w:tcW w:w="298" w:type="pct"/>
          </w:tcPr>
          <w:p w14:paraId="429F15F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30%</w:t>
            </w:r>
          </w:p>
        </w:tc>
        <w:tc>
          <w:tcPr>
            <w:cnfStyle w:val="000010000000" w:firstRow="0" w:lastRow="0" w:firstColumn="0" w:lastColumn="0" w:oddVBand="1" w:evenVBand="0" w:oddHBand="0" w:evenHBand="0" w:firstRowFirstColumn="0" w:firstRowLastColumn="0" w:lastRowFirstColumn="0" w:lastRowLastColumn="0"/>
            <w:tcW w:w="197" w:type="pct"/>
          </w:tcPr>
          <w:p w14:paraId="6C1B9BBF" w14:textId="77777777" w:rsidR="00095411" w:rsidRPr="007348FD" w:rsidRDefault="00095411" w:rsidP="00591CBB">
            <w:pPr>
              <w:spacing w:after="160" w:line="259" w:lineRule="auto"/>
              <w:rPr>
                <w:rFonts w:ascii="Arial Narrow" w:hAnsi="Arial Narrow"/>
                <w:sz w:val="18"/>
                <w:szCs w:val="18"/>
              </w:rPr>
            </w:pPr>
          </w:p>
        </w:tc>
        <w:tc>
          <w:tcPr>
            <w:tcW w:w="273" w:type="pct"/>
          </w:tcPr>
          <w:p w14:paraId="7A32CC7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9DC0360" w14:textId="77777777" w:rsidR="00095411" w:rsidRPr="007348FD" w:rsidRDefault="00095411" w:rsidP="00591CBB">
            <w:pPr>
              <w:spacing w:after="160" w:line="259" w:lineRule="auto"/>
              <w:rPr>
                <w:rFonts w:ascii="Arial Narrow" w:hAnsi="Arial Narrow"/>
                <w:sz w:val="18"/>
                <w:szCs w:val="18"/>
              </w:rPr>
            </w:pPr>
          </w:p>
        </w:tc>
        <w:tc>
          <w:tcPr>
            <w:tcW w:w="283" w:type="pct"/>
          </w:tcPr>
          <w:p w14:paraId="587A284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1673029" w14:textId="77777777" w:rsidR="00095411" w:rsidRPr="007348FD" w:rsidRDefault="00095411" w:rsidP="00591CBB">
            <w:pPr>
              <w:spacing w:after="160" w:line="259" w:lineRule="auto"/>
              <w:rPr>
                <w:rFonts w:ascii="Arial Narrow" w:hAnsi="Arial Narrow"/>
                <w:sz w:val="18"/>
                <w:szCs w:val="18"/>
              </w:rPr>
            </w:pPr>
          </w:p>
        </w:tc>
        <w:tc>
          <w:tcPr>
            <w:tcW w:w="149" w:type="pct"/>
          </w:tcPr>
          <w:p w14:paraId="4EAF79F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CE72092" w14:textId="77777777" w:rsidR="00095411" w:rsidRPr="007348FD" w:rsidRDefault="00095411" w:rsidP="00591CBB">
            <w:pPr>
              <w:spacing w:after="160" w:line="259" w:lineRule="auto"/>
              <w:rPr>
                <w:rFonts w:ascii="Arial Narrow" w:hAnsi="Arial Narrow"/>
                <w:sz w:val="18"/>
                <w:szCs w:val="18"/>
              </w:rPr>
            </w:pPr>
          </w:p>
        </w:tc>
        <w:tc>
          <w:tcPr>
            <w:tcW w:w="214" w:type="pct"/>
          </w:tcPr>
          <w:p w14:paraId="09D9561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45%</w:t>
            </w:r>
          </w:p>
        </w:tc>
        <w:tc>
          <w:tcPr>
            <w:cnfStyle w:val="000010000000" w:firstRow="0" w:lastRow="0" w:firstColumn="0" w:lastColumn="0" w:oddVBand="1" w:evenVBand="0" w:oddHBand="0" w:evenHBand="0" w:firstRowFirstColumn="0" w:firstRowLastColumn="0" w:lastRowFirstColumn="0" w:lastRowLastColumn="0"/>
            <w:tcW w:w="245" w:type="pct"/>
          </w:tcPr>
          <w:p w14:paraId="71C843A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60%</w:t>
            </w:r>
          </w:p>
        </w:tc>
        <w:tc>
          <w:tcPr>
            <w:tcW w:w="280" w:type="pct"/>
          </w:tcPr>
          <w:p w14:paraId="1805652B" w14:textId="6A77BECE"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≥75%</w:t>
            </w:r>
          </w:p>
        </w:tc>
      </w:tr>
      <w:tr w:rsidR="00095411" w:rsidRPr="00591CBB" w14:paraId="09BF7015" w14:textId="2206D068"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5AC50FA5" w14:textId="77777777" w:rsidR="00095411" w:rsidRPr="007348FD" w:rsidRDefault="00095411" w:rsidP="00591CBB">
            <w:pPr>
              <w:spacing w:after="160" w:line="259" w:lineRule="auto"/>
              <w:rPr>
                <w:rFonts w:ascii="Arial Narrow" w:hAnsi="Arial Narrow"/>
                <w:sz w:val="18"/>
                <w:szCs w:val="18"/>
              </w:rPr>
            </w:pPr>
          </w:p>
        </w:tc>
        <w:tc>
          <w:tcPr>
            <w:tcW w:w="460" w:type="pct"/>
          </w:tcPr>
          <w:p w14:paraId="54F6032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CE4FE88"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805AD2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0CD093D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38C4CE3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7127DA6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20F2E47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87%</w:t>
            </w:r>
          </w:p>
        </w:tc>
        <w:tc>
          <w:tcPr>
            <w:cnfStyle w:val="000010000000" w:firstRow="0" w:lastRow="0" w:firstColumn="0" w:lastColumn="0" w:oddVBand="1" w:evenVBand="0" w:oddHBand="0" w:evenHBand="0" w:firstRowFirstColumn="0" w:firstRowLastColumn="0" w:lastRowFirstColumn="0" w:lastRowLastColumn="0"/>
            <w:tcW w:w="197" w:type="pct"/>
          </w:tcPr>
          <w:p w14:paraId="21332F2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7%</w:t>
            </w:r>
          </w:p>
        </w:tc>
        <w:tc>
          <w:tcPr>
            <w:tcW w:w="273" w:type="pct"/>
          </w:tcPr>
          <w:p w14:paraId="43A4AC0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290%</w:t>
            </w:r>
          </w:p>
        </w:tc>
        <w:tc>
          <w:tcPr>
            <w:cnfStyle w:val="000010000000" w:firstRow="0" w:lastRow="0" w:firstColumn="0" w:lastColumn="0" w:oddVBand="1" w:evenVBand="0" w:oddHBand="0" w:evenHBand="0" w:firstRowFirstColumn="0" w:firstRowLastColumn="0" w:lastRowFirstColumn="0" w:lastRowLastColumn="0"/>
            <w:tcW w:w="285" w:type="pct"/>
          </w:tcPr>
          <w:p w14:paraId="1F697A77" w14:textId="77777777" w:rsidR="00095411" w:rsidRPr="007348FD" w:rsidRDefault="00095411" w:rsidP="00591CBB">
            <w:pPr>
              <w:spacing w:after="160" w:line="259" w:lineRule="auto"/>
              <w:rPr>
                <w:rFonts w:ascii="Arial Narrow" w:hAnsi="Arial Narrow"/>
                <w:sz w:val="18"/>
                <w:szCs w:val="18"/>
              </w:rPr>
            </w:pPr>
          </w:p>
        </w:tc>
        <w:tc>
          <w:tcPr>
            <w:tcW w:w="283" w:type="pct"/>
          </w:tcPr>
          <w:p w14:paraId="2C8BF7D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0B0511F" w14:textId="77777777" w:rsidR="00095411" w:rsidRPr="007348FD" w:rsidRDefault="00095411" w:rsidP="00591CBB">
            <w:pPr>
              <w:spacing w:after="160" w:line="259" w:lineRule="auto"/>
              <w:rPr>
                <w:rFonts w:ascii="Arial Narrow" w:hAnsi="Arial Narrow"/>
                <w:sz w:val="18"/>
                <w:szCs w:val="18"/>
              </w:rPr>
            </w:pPr>
          </w:p>
        </w:tc>
        <w:tc>
          <w:tcPr>
            <w:tcW w:w="149" w:type="pct"/>
          </w:tcPr>
          <w:p w14:paraId="5724CD7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9EAC80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7F07F20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Spot check</w:t>
            </w:r>
          </w:p>
        </w:tc>
        <w:tc>
          <w:tcPr>
            <w:cnfStyle w:val="000010000000" w:firstRow="0" w:lastRow="0" w:firstColumn="0" w:lastColumn="0" w:oddVBand="1" w:evenVBand="0" w:oddHBand="0" w:evenHBand="0" w:firstRowFirstColumn="0" w:firstRowLastColumn="0" w:lastRowFirstColumn="0" w:lastRowLastColumn="0"/>
            <w:tcW w:w="245" w:type="pct"/>
          </w:tcPr>
          <w:p w14:paraId="6EDC052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Spot check</w:t>
            </w:r>
          </w:p>
        </w:tc>
        <w:tc>
          <w:tcPr>
            <w:tcW w:w="280" w:type="pct"/>
          </w:tcPr>
          <w:p w14:paraId="7A75D89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95411" w:rsidRPr="00591CBB" w14:paraId="197651FF" w14:textId="77777777" w:rsidTr="00051F27">
        <w:trPr>
          <w:trHeight w:val="228"/>
        </w:trPr>
        <w:tc>
          <w:tcPr>
            <w:cnfStyle w:val="000010000000" w:firstRow="0" w:lastRow="0" w:firstColumn="0" w:lastColumn="0" w:oddVBand="1" w:evenVBand="0" w:oddHBand="0" w:evenHBand="0" w:firstRowFirstColumn="0" w:firstRowLastColumn="0" w:lastRowFirstColumn="0" w:lastRowLastColumn="0"/>
            <w:tcW w:w="432" w:type="pct"/>
          </w:tcPr>
          <w:p w14:paraId="103B9C4A" w14:textId="77777777" w:rsidR="00095411" w:rsidRPr="007348FD" w:rsidRDefault="00095411" w:rsidP="00591CBB">
            <w:pPr>
              <w:spacing w:after="160" w:line="259" w:lineRule="auto"/>
              <w:rPr>
                <w:rFonts w:ascii="Arial Narrow" w:hAnsi="Arial Narrow"/>
                <w:sz w:val="18"/>
                <w:szCs w:val="18"/>
              </w:rPr>
            </w:pPr>
          </w:p>
        </w:tc>
        <w:tc>
          <w:tcPr>
            <w:tcW w:w="460" w:type="pct"/>
          </w:tcPr>
          <w:p w14:paraId="59E7815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15B0616"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C05350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2ED0793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0EC69F0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74D0836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15%</w:t>
            </w:r>
          </w:p>
        </w:tc>
        <w:tc>
          <w:tcPr>
            <w:tcW w:w="298" w:type="pct"/>
          </w:tcPr>
          <w:p w14:paraId="7E4EADE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30%</w:t>
            </w:r>
          </w:p>
        </w:tc>
        <w:tc>
          <w:tcPr>
            <w:cnfStyle w:val="000010000000" w:firstRow="0" w:lastRow="0" w:firstColumn="0" w:lastColumn="0" w:oddVBand="1" w:evenVBand="0" w:oddHBand="0" w:evenHBand="0" w:firstRowFirstColumn="0" w:firstRowLastColumn="0" w:lastRowFirstColumn="0" w:lastRowLastColumn="0"/>
            <w:tcW w:w="197" w:type="pct"/>
          </w:tcPr>
          <w:p w14:paraId="2B7392A7" w14:textId="77777777" w:rsidR="00095411" w:rsidRPr="007348FD" w:rsidRDefault="00095411" w:rsidP="00591CBB">
            <w:pPr>
              <w:spacing w:after="160" w:line="259" w:lineRule="auto"/>
              <w:rPr>
                <w:rFonts w:ascii="Arial Narrow" w:hAnsi="Arial Narrow"/>
                <w:sz w:val="18"/>
                <w:szCs w:val="18"/>
              </w:rPr>
            </w:pPr>
          </w:p>
        </w:tc>
        <w:tc>
          <w:tcPr>
            <w:tcW w:w="273" w:type="pct"/>
          </w:tcPr>
          <w:p w14:paraId="0BCDC8A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097095A" w14:textId="77777777" w:rsidR="00095411" w:rsidRPr="007348FD" w:rsidRDefault="00095411" w:rsidP="00591CBB">
            <w:pPr>
              <w:spacing w:after="160" w:line="259" w:lineRule="auto"/>
              <w:rPr>
                <w:rFonts w:ascii="Arial Narrow" w:hAnsi="Arial Narrow"/>
                <w:sz w:val="18"/>
                <w:szCs w:val="18"/>
              </w:rPr>
            </w:pPr>
          </w:p>
        </w:tc>
        <w:tc>
          <w:tcPr>
            <w:tcW w:w="283" w:type="pct"/>
          </w:tcPr>
          <w:p w14:paraId="6D4EB05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ED0C48F" w14:textId="77777777" w:rsidR="00095411" w:rsidRPr="007348FD" w:rsidRDefault="00095411" w:rsidP="00591CBB">
            <w:pPr>
              <w:spacing w:after="160" w:line="259" w:lineRule="auto"/>
              <w:rPr>
                <w:rFonts w:ascii="Arial Narrow" w:hAnsi="Arial Narrow"/>
                <w:sz w:val="18"/>
                <w:szCs w:val="18"/>
              </w:rPr>
            </w:pPr>
          </w:p>
        </w:tc>
        <w:tc>
          <w:tcPr>
            <w:tcW w:w="149" w:type="pct"/>
          </w:tcPr>
          <w:p w14:paraId="2A11ADF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34CAF7C" w14:textId="77777777" w:rsidR="00095411" w:rsidRPr="007348FD" w:rsidRDefault="00095411" w:rsidP="00591CBB">
            <w:pPr>
              <w:spacing w:after="160" w:line="259" w:lineRule="auto"/>
              <w:rPr>
                <w:rFonts w:ascii="Arial Narrow" w:hAnsi="Arial Narrow"/>
                <w:sz w:val="18"/>
                <w:szCs w:val="18"/>
              </w:rPr>
            </w:pPr>
          </w:p>
        </w:tc>
        <w:tc>
          <w:tcPr>
            <w:tcW w:w="214" w:type="pct"/>
          </w:tcPr>
          <w:p w14:paraId="2FF4E31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45%</w:t>
            </w:r>
          </w:p>
        </w:tc>
        <w:tc>
          <w:tcPr>
            <w:cnfStyle w:val="000010000000" w:firstRow="0" w:lastRow="0" w:firstColumn="0" w:lastColumn="0" w:oddVBand="1" w:evenVBand="0" w:oddHBand="0" w:evenHBand="0" w:firstRowFirstColumn="0" w:firstRowLastColumn="0" w:lastRowFirstColumn="0" w:lastRowLastColumn="0"/>
            <w:tcW w:w="245" w:type="pct"/>
          </w:tcPr>
          <w:p w14:paraId="60B8C84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60%</w:t>
            </w:r>
          </w:p>
        </w:tc>
        <w:tc>
          <w:tcPr>
            <w:tcW w:w="280" w:type="pct"/>
          </w:tcPr>
          <w:p w14:paraId="7F8622C0" w14:textId="29A9AC8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≥75%</w:t>
            </w:r>
          </w:p>
        </w:tc>
      </w:tr>
      <w:tr w:rsidR="00637BF8" w:rsidRPr="00591CBB" w14:paraId="04C125A7" w14:textId="77777777" w:rsidTr="00051F27">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432" w:type="pct"/>
          </w:tcPr>
          <w:p w14:paraId="7D65DE8B" w14:textId="77777777" w:rsidR="00637BF8" w:rsidRPr="007348FD" w:rsidRDefault="00637BF8" w:rsidP="00591CBB">
            <w:pPr>
              <w:spacing w:after="160" w:line="259" w:lineRule="auto"/>
              <w:rPr>
                <w:rFonts w:ascii="Arial Narrow" w:hAnsi="Arial Narrow"/>
                <w:sz w:val="18"/>
                <w:szCs w:val="18"/>
              </w:rPr>
            </w:pPr>
          </w:p>
        </w:tc>
        <w:tc>
          <w:tcPr>
            <w:tcW w:w="460" w:type="pct"/>
          </w:tcPr>
          <w:p w14:paraId="48178124" w14:textId="77777777" w:rsidR="00637BF8" w:rsidRPr="007348FD" w:rsidRDefault="00637BF8"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8C22BA7" w14:textId="77777777" w:rsidR="00637BF8" w:rsidRPr="007348FD" w:rsidRDefault="00637BF8" w:rsidP="00591CBB">
            <w:pPr>
              <w:spacing w:after="160" w:line="259" w:lineRule="auto"/>
              <w:rPr>
                <w:rFonts w:ascii="Arial Narrow" w:hAnsi="Arial Narrow"/>
                <w:b/>
                <w:bCs/>
                <w:sz w:val="18"/>
                <w:szCs w:val="18"/>
              </w:rPr>
            </w:pPr>
          </w:p>
        </w:tc>
        <w:tc>
          <w:tcPr>
            <w:tcW w:w="341" w:type="pct"/>
          </w:tcPr>
          <w:p w14:paraId="5C117CE2" w14:textId="77777777" w:rsidR="00637BF8" w:rsidRPr="007348FD" w:rsidRDefault="00637BF8"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25F0D46D" w14:textId="7C8A0C1F" w:rsidR="00637BF8" w:rsidRPr="007348FD" w:rsidRDefault="00637BF8" w:rsidP="00591CBB">
            <w:pPr>
              <w:spacing w:after="160" w:line="259" w:lineRule="auto"/>
              <w:rPr>
                <w:rFonts w:ascii="Arial Narrow" w:hAnsi="Arial Narrow"/>
                <w:sz w:val="18"/>
                <w:szCs w:val="18"/>
              </w:rPr>
            </w:pPr>
            <w:r>
              <w:rPr>
                <w:rFonts w:ascii="Arial Narrow" w:hAnsi="Arial Narrow"/>
                <w:sz w:val="18"/>
                <w:szCs w:val="18"/>
              </w:rPr>
              <w:t>Actual</w:t>
            </w:r>
          </w:p>
        </w:tc>
        <w:tc>
          <w:tcPr>
            <w:tcW w:w="330" w:type="pct"/>
          </w:tcPr>
          <w:p w14:paraId="231229C6" w14:textId="757783E0" w:rsidR="00637BF8" w:rsidRPr="007348FD" w:rsidRDefault="00637BF8"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0AD9520C" w14:textId="4F3A6C36" w:rsidR="00637BF8" w:rsidRPr="007348FD" w:rsidRDefault="00637BF8"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4E2D43EA" w14:textId="2275694A" w:rsidR="00637BF8" w:rsidRPr="007348FD" w:rsidRDefault="00637BF8"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HFRSAA</w:t>
            </w:r>
          </w:p>
        </w:tc>
        <w:tc>
          <w:tcPr>
            <w:cnfStyle w:val="000010000000" w:firstRow="0" w:lastRow="0" w:firstColumn="0" w:lastColumn="0" w:oddVBand="1" w:evenVBand="0" w:oddHBand="0" w:evenHBand="0" w:firstRowFirstColumn="0" w:firstRowLastColumn="0" w:lastRowFirstColumn="0" w:lastRowLastColumn="0"/>
            <w:tcW w:w="197" w:type="pct"/>
          </w:tcPr>
          <w:p w14:paraId="399352A2" w14:textId="514C24BF" w:rsidR="00637BF8" w:rsidRPr="007348FD" w:rsidRDefault="00637BF8" w:rsidP="00591CBB">
            <w:pPr>
              <w:spacing w:after="160" w:line="259" w:lineRule="auto"/>
              <w:rPr>
                <w:rFonts w:ascii="Arial Narrow" w:hAnsi="Arial Narrow"/>
                <w:sz w:val="18"/>
                <w:szCs w:val="18"/>
              </w:rPr>
            </w:pPr>
            <w:r>
              <w:rPr>
                <w:rFonts w:ascii="Arial Narrow" w:hAnsi="Arial Narrow"/>
                <w:sz w:val="18"/>
                <w:szCs w:val="18"/>
              </w:rPr>
              <w:t>5%</w:t>
            </w:r>
          </w:p>
        </w:tc>
        <w:tc>
          <w:tcPr>
            <w:tcW w:w="273" w:type="pct"/>
          </w:tcPr>
          <w:p w14:paraId="63D5D688" w14:textId="713E5D3D" w:rsidR="00637BF8" w:rsidRPr="007348FD" w:rsidRDefault="00637BF8"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No data</w:t>
            </w:r>
          </w:p>
        </w:tc>
        <w:tc>
          <w:tcPr>
            <w:cnfStyle w:val="000010000000" w:firstRow="0" w:lastRow="0" w:firstColumn="0" w:lastColumn="0" w:oddVBand="1" w:evenVBand="0" w:oddHBand="0" w:evenHBand="0" w:firstRowFirstColumn="0" w:firstRowLastColumn="0" w:lastRowFirstColumn="0" w:lastRowLastColumn="0"/>
            <w:tcW w:w="285" w:type="pct"/>
          </w:tcPr>
          <w:p w14:paraId="1D941CC4" w14:textId="6601557E" w:rsidR="00637BF8" w:rsidRPr="007348FD" w:rsidRDefault="00637BF8" w:rsidP="00591CBB">
            <w:pPr>
              <w:spacing w:after="160" w:line="259" w:lineRule="auto"/>
              <w:rPr>
                <w:rFonts w:ascii="Arial Narrow" w:hAnsi="Arial Narrow"/>
                <w:sz w:val="18"/>
                <w:szCs w:val="18"/>
              </w:rPr>
            </w:pPr>
            <w:r>
              <w:rPr>
                <w:rFonts w:ascii="Arial Narrow" w:hAnsi="Arial Narrow"/>
                <w:sz w:val="18"/>
                <w:szCs w:val="18"/>
              </w:rPr>
              <w:t>No data</w:t>
            </w:r>
          </w:p>
        </w:tc>
        <w:tc>
          <w:tcPr>
            <w:tcW w:w="283" w:type="pct"/>
          </w:tcPr>
          <w:p w14:paraId="56203A42" w14:textId="77777777" w:rsidR="00637BF8" w:rsidRPr="007348FD" w:rsidRDefault="00637BF8"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D67D284" w14:textId="77777777" w:rsidR="00637BF8" w:rsidRPr="007348FD" w:rsidRDefault="00637BF8" w:rsidP="00591CBB">
            <w:pPr>
              <w:spacing w:after="160" w:line="259" w:lineRule="auto"/>
              <w:rPr>
                <w:rFonts w:ascii="Arial Narrow" w:hAnsi="Arial Narrow"/>
                <w:sz w:val="18"/>
                <w:szCs w:val="18"/>
              </w:rPr>
            </w:pPr>
          </w:p>
        </w:tc>
        <w:tc>
          <w:tcPr>
            <w:tcW w:w="149" w:type="pct"/>
          </w:tcPr>
          <w:p w14:paraId="0303D1F2" w14:textId="77777777" w:rsidR="00637BF8" w:rsidRPr="007348FD" w:rsidRDefault="00637BF8"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499E909" w14:textId="5C39BB42" w:rsidR="00637BF8" w:rsidRPr="007348FD" w:rsidRDefault="00637BF8" w:rsidP="00591CBB">
            <w:pPr>
              <w:spacing w:after="160" w:line="259" w:lineRule="auto"/>
              <w:rPr>
                <w:rFonts w:ascii="Arial Narrow" w:hAnsi="Arial Narrow"/>
                <w:sz w:val="18"/>
                <w:szCs w:val="18"/>
              </w:rPr>
            </w:pPr>
            <w:r>
              <w:rPr>
                <w:rFonts w:ascii="Arial Narrow" w:hAnsi="Arial Narrow"/>
                <w:sz w:val="18"/>
                <w:szCs w:val="18"/>
              </w:rPr>
              <w:t>1</w:t>
            </w:r>
          </w:p>
        </w:tc>
        <w:tc>
          <w:tcPr>
            <w:tcW w:w="214" w:type="pct"/>
          </w:tcPr>
          <w:p w14:paraId="5F8DD9FC" w14:textId="1A6AE2C1" w:rsidR="00637BF8" w:rsidRPr="007348FD" w:rsidRDefault="00637BF8"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HFRSAA</w:t>
            </w:r>
          </w:p>
        </w:tc>
        <w:tc>
          <w:tcPr>
            <w:cnfStyle w:val="000010000000" w:firstRow="0" w:lastRow="0" w:firstColumn="0" w:lastColumn="0" w:oddVBand="1" w:evenVBand="0" w:oddHBand="0" w:evenHBand="0" w:firstRowFirstColumn="0" w:firstRowLastColumn="0" w:lastRowFirstColumn="0" w:lastRowLastColumn="0"/>
            <w:tcW w:w="245" w:type="pct"/>
          </w:tcPr>
          <w:p w14:paraId="5FF06F9D" w14:textId="177B44D8" w:rsidR="00637BF8" w:rsidRPr="007348FD" w:rsidRDefault="00637BF8" w:rsidP="00591CBB">
            <w:pPr>
              <w:spacing w:after="160" w:line="259" w:lineRule="auto"/>
              <w:rPr>
                <w:rFonts w:ascii="Arial Narrow" w:hAnsi="Arial Narrow"/>
                <w:sz w:val="18"/>
                <w:szCs w:val="18"/>
              </w:rPr>
            </w:pPr>
            <w:r>
              <w:rPr>
                <w:rFonts w:ascii="Arial Narrow" w:hAnsi="Arial Narrow"/>
                <w:sz w:val="18"/>
                <w:szCs w:val="18"/>
              </w:rPr>
              <w:t>Spot check</w:t>
            </w:r>
          </w:p>
        </w:tc>
        <w:tc>
          <w:tcPr>
            <w:tcW w:w="280" w:type="pct"/>
          </w:tcPr>
          <w:p w14:paraId="25F6B66C" w14:textId="77777777" w:rsidR="00637BF8" w:rsidRPr="007348FD" w:rsidRDefault="00637BF8"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2A26631B" w14:textId="77777777" w:rsidTr="00051F27">
        <w:trPr>
          <w:trHeight w:val="185"/>
        </w:trPr>
        <w:tc>
          <w:tcPr>
            <w:cnfStyle w:val="000010000000" w:firstRow="0" w:lastRow="0" w:firstColumn="0" w:lastColumn="0" w:oddVBand="1" w:evenVBand="0" w:oddHBand="0" w:evenHBand="0" w:firstRowFirstColumn="0" w:firstRowLastColumn="0" w:lastRowFirstColumn="0" w:lastRowLastColumn="0"/>
            <w:tcW w:w="432" w:type="pct"/>
          </w:tcPr>
          <w:p w14:paraId="05DA4C58" w14:textId="77777777" w:rsidR="00095411" w:rsidRPr="007348FD" w:rsidRDefault="00095411" w:rsidP="00591CBB">
            <w:pPr>
              <w:spacing w:after="160" w:line="259" w:lineRule="auto"/>
              <w:rPr>
                <w:rFonts w:ascii="Arial Narrow" w:hAnsi="Arial Narrow"/>
                <w:sz w:val="18"/>
                <w:szCs w:val="18"/>
              </w:rPr>
            </w:pPr>
          </w:p>
        </w:tc>
        <w:tc>
          <w:tcPr>
            <w:tcW w:w="460" w:type="pct"/>
          </w:tcPr>
          <w:p w14:paraId="22AF7EE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11. Percentage of 868 SDPs that have at least one member of staff available and fully trained in youth-friendly, disability-inclusive family planning service provision. </w:t>
            </w:r>
          </w:p>
        </w:tc>
        <w:tc>
          <w:tcPr>
            <w:cnfStyle w:val="000010000000" w:firstRow="0" w:lastRow="0" w:firstColumn="0" w:lastColumn="0" w:oddVBand="1" w:evenVBand="0" w:oddHBand="0" w:evenHBand="0" w:firstRowFirstColumn="0" w:firstRowLastColumn="0" w:lastRowFirstColumn="0" w:lastRowLastColumn="0"/>
            <w:tcW w:w="371" w:type="pct"/>
          </w:tcPr>
          <w:p w14:paraId="41A4EAFE"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t>Yes</w:t>
            </w:r>
          </w:p>
        </w:tc>
        <w:tc>
          <w:tcPr>
            <w:tcW w:w="341" w:type="pct"/>
          </w:tcPr>
          <w:p w14:paraId="6ED7E22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722EFD0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6B0B9768" w14:textId="4BD2D480"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36BC554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721FB52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20%</w:t>
            </w:r>
          </w:p>
        </w:tc>
        <w:tc>
          <w:tcPr>
            <w:cnfStyle w:val="000010000000" w:firstRow="0" w:lastRow="0" w:firstColumn="0" w:lastColumn="0" w:oddVBand="1" w:evenVBand="0" w:oddHBand="0" w:evenHBand="0" w:firstRowFirstColumn="0" w:firstRowLastColumn="0" w:lastRowFirstColumn="0" w:lastRowLastColumn="0"/>
            <w:tcW w:w="197" w:type="pct"/>
          </w:tcPr>
          <w:p w14:paraId="4575230F" w14:textId="77777777" w:rsidR="00095411" w:rsidRPr="007348FD" w:rsidRDefault="00095411" w:rsidP="00591CBB">
            <w:pPr>
              <w:spacing w:after="160" w:line="259" w:lineRule="auto"/>
              <w:rPr>
                <w:rFonts w:ascii="Arial Narrow" w:hAnsi="Arial Narrow"/>
                <w:sz w:val="18"/>
                <w:szCs w:val="18"/>
              </w:rPr>
            </w:pPr>
          </w:p>
        </w:tc>
        <w:tc>
          <w:tcPr>
            <w:tcW w:w="273" w:type="pct"/>
          </w:tcPr>
          <w:p w14:paraId="39CECF6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DF6FA1B" w14:textId="77777777" w:rsidR="00095411" w:rsidRPr="007348FD" w:rsidRDefault="00095411" w:rsidP="00591CBB">
            <w:pPr>
              <w:spacing w:after="160" w:line="259" w:lineRule="auto"/>
              <w:rPr>
                <w:rFonts w:ascii="Arial Narrow" w:hAnsi="Arial Narrow"/>
                <w:sz w:val="18"/>
                <w:szCs w:val="18"/>
              </w:rPr>
            </w:pPr>
          </w:p>
        </w:tc>
        <w:tc>
          <w:tcPr>
            <w:tcW w:w="283" w:type="pct"/>
          </w:tcPr>
          <w:p w14:paraId="16E5C24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75B5A9E" w14:textId="77777777" w:rsidR="00095411" w:rsidRPr="007348FD" w:rsidRDefault="00095411" w:rsidP="00591CBB">
            <w:pPr>
              <w:spacing w:after="160" w:line="259" w:lineRule="auto"/>
              <w:rPr>
                <w:rFonts w:ascii="Arial Narrow" w:hAnsi="Arial Narrow"/>
                <w:sz w:val="18"/>
                <w:szCs w:val="18"/>
              </w:rPr>
            </w:pPr>
          </w:p>
        </w:tc>
        <w:tc>
          <w:tcPr>
            <w:tcW w:w="149" w:type="pct"/>
          </w:tcPr>
          <w:p w14:paraId="56B008A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A49FEA3" w14:textId="77777777" w:rsidR="00095411" w:rsidRPr="007348FD" w:rsidRDefault="00095411" w:rsidP="00591CBB">
            <w:pPr>
              <w:spacing w:after="160" w:line="259" w:lineRule="auto"/>
              <w:rPr>
                <w:rFonts w:ascii="Arial Narrow" w:hAnsi="Arial Narrow"/>
                <w:sz w:val="18"/>
                <w:szCs w:val="18"/>
              </w:rPr>
            </w:pPr>
          </w:p>
        </w:tc>
        <w:tc>
          <w:tcPr>
            <w:tcW w:w="214" w:type="pct"/>
          </w:tcPr>
          <w:p w14:paraId="43BA7D9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50%</w:t>
            </w:r>
          </w:p>
        </w:tc>
        <w:tc>
          <w:tcPr>
            <w:cnfStyle w:val="000010000000" w:firstRow="0" w:lastRow="0" w:firstColumn="0" w:lastColumn="0" w:oddVBand="1" w:evenVBand="0" w:oddHBand="0" w:evenHBand="0" w:firstRowFirstColumn="0" w:firstRowLastColumn="0" w:lastRowFirstColumn="0" w:lastRowLastColumn="0"/>
            <w:tcW w:w="245" w:type="pct"/>
          </w:tcPr>
          <w:p w14:paraId="6471FE6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75%</w:t>
            </w:r>
          </w:p>
        </w:tc>
        <w:tc>
          <w:tcPr>
            <w:tcW w:w="280" w:type="pct"/>
          </w:tcPr>
          <w:p w14:paraId="0C0AF5AC" w14:textId="7F09044E"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100%</w:t>
            </w:r>
          </w:p>
        </w:tc>
      </w:tr>
      <w:tr w:rsidR="00637BF8" w:rsidRPr="00591CBB" w14:paraId="4B67BBBB"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1DB4CB1E" w14:textId="77777777" w:rsidR="00095411" w:rsidRPr="007348FD" w:rsidRDefault="00095411" w:rsidP="00591CBB">
            <w:pPr>
              <w:spacing w:after="160" w:line="259" w:lineRule="auto"/>
              <w:rPr>
                <w:rFonts w:ascii="Arial Narrow" w:hAnsi="Arial Narrow"/>
                <w:sz w:val="18"/>
                <w:szCs w:val="18"/>
              </w:rPr>
            </w:pPr>
          </w:p>
        </w:tc>
        <w:tc>
          <w:tcPr>
            <w:tcW w:w="460" w:type="pct"/>
          </w:tcPr>
          <w:p w14:paraId="3BE0FC3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1398ECB"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827EB6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0E7E5FE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2130FA9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6F09D05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6689710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41C18C48" w14:textId="77777777" w:rsidR="00095411" w:rsidRPr="007348FD" w:rsidRDefault="00095411" w:rsidP="00591CBB">
            <w:pPr>
              <w:spacing w:after="160" w:line="259" w:lineRule="auto"/>
              <w:rPr>
                <w:rFonts w:ascii="Arial Narrow" w:hAnsi="Arial Narrow"/>
                <w:sz w:val="18"/>
                <w:szCs w:val="18"/>
              </w:rPr>
            </w:pPr>
          </w:p>
        </w:tc>
        <w:tc>
          <w:tcPr>
            <w:tcW w:w="273" w:type="pct"/>
          </w:tcPr>
          <w:p w14:paraId="392F7A3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D70D544" w14:textId="77777777" w:rsidR="00095411" w:rsidRPr="007348FD" w:rsidRDefault="00095411" w:rsidP="00591CBB">
            <w:pPr>
              <w:spacing w:after="160" w:line="259" w:lineRule="auto"/>
              <w:rPr>
                <w:rFonts w:ascii="Arial Narrow" w:hAnsi="Arial Narrow"/>
                <w:sz w:val="18"/>
                <w:szCs w:val="18"/>
              </w:rPr>
            </w:pPr>
          </w:p>
        </w:tc>
        <w:tc>
          <w:tcPr>
            <w:tcW w:w="283" w:type="pct"/>
          </w:tcPr>
          <w:p w14:paraId="1CB2758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552D3F9" w14:textId="77777777" w:rsidR="00095411" w:rsidRPr="007348FD" w:rsidRDefault="00095411" w:rsidP="00591CBB">
            <w:pPr>
              <w:spacing w:after="160" w:line="259" w:lineRule="auto"/>
              <w:rPr>
                <w:rFonts w:ascii="Arial Narrow" w:hAnsi="Arial Narrow"/>
                <w:sz w:val="18"/>
                <w:szCs w:val="18"/>
              </w:rPr>
            </w:pPr>
          </w:p>
        </w:tc>
        <w:tc>
          <w:tcPr>
            <w:tcW w:w="149" w:type="pct"/>
          </w:tcPr>
          <w:p w14:paraId="559A9F7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7E4984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07B2EC4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HMIS</w:t>
            </w:r>
          </w:p>
        </w:tc>
        <w:tc>
          <w:tcPr>
            <w:cnfStyle w:val="000010000000" w:firstRow="0" w:lastRow="0" w:firstColumn="0" w:lastColumn="0" w:oddVBand="1" w:evenVBand="0" w:oddHBand="0" w:evenHBand="0" w:firstRowFirstColumn="0" w:firstRowLastColumn="0" w:lastRowFirstColumn="0" w:lastRowLastColumn="0"/>
            <w:tcW w:w="245" w:type="pct"/>
          </w:tcPr>
          <w:p w14:paraId="761E5B3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HMIS</w:t>
            </w:r>
          </w:p>
        </w:tc>
        <w:tc>
          <w:tcPr>
            <w:tcW w:w="280" w:type="pct"/>
          </w:tcPr>
          <w:p w14:paraId="073AC2E9" w14:textId="56B3D314"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HMIS</w:t>
            </w:r>
          </w:p>
        </w:tc>
      </w:tr>
      <w:tr w:rsidR="00637BF8" w:rsidRPr="00591CBB" w14:paraId="31A7674D"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6599D1B1" w14:textId="77777777" w:rsidR="00095411" w:rsidRPr="007348FD" w:rsidRDefault="00095411" w:rsidP="00591CBB">
            <w:pPr>
              <w:spacing w:after="160" w:line="259" w:lineRule="auto"/>
              <w:rPr>
                <w:rFonts w:ascii="Arial Narrow" w:hAnsi="Arial Narrow"/>
                <w:sz w:val="18"/>
                <w:szCs w:val="18"/>
              </w:rPr>
            </w:pPr>
          </w:p>
        </w:tc>
        <w:tc>
          <w:tcPr>
            <w:tcW w:w="460" w:type="pct"/>
          </w:tcPr>
          <w:p w14:paraId="590E6E8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9B43613"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18B2D6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42605BD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35897BD" w14:textId="6F37951D"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38C1FBA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04E05F9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20%</w:t>
            </w:r>
          </w:p>
        </w:tc>
        <w:tc>
          <w:tcPr>
            <w:cnfStyle w:val="000010000000" w:firstRow="0" w:lastRow="0" w:firstColumn="0" w:lastColumn="0" w:oddVBand="1" w:evenVBand="0" w:oddHBand="0" w:evenHBand="0" w:firstRowFirstColumn="0" w:firstRowLastColumn="0" w:lastRowFirstColumn="0" w:lastRowLastColumn="0"/>
            <w:tcW w:w="197" w:type="pct"/>
          </w:tcPr>
          <w:p w14:paraId="2EC095A7" w14:textId="77777777" w:rsidR="00095411" w:rsidRPr="007348FD" w:rsidRDefault="00095411" w:rsidP="00591CBB">
            <w:pPr>
              <w:spacing w:after="160" w:line="259" w:lineRule="auto"/>
              <w:rPr>
                <w:rFonts w:ascii="Arial Narrow" w:hAnsi="Arial Narrow"/>
                <w:sz w:val="18"/>
                <w:szCs w:val="18"/>
              </w:rPr>
            </w:pPr>
          </w:p>
        </w:tc>
        <w:tc>
          <w:tcPr>
            <w:tcW w:w="273" w:type="pct"/>
          </w:tcPr>
          <w:p w14:paraId="2D39E11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07C01E6" w14:textId="77777777" w:rsidR="00095411" w:rsidRPr="007348FD" w:rsidRDefault="00095411" w:rsidP="00591CBB">
            <w:pPr>
              <w:spacing w:after="160" w:line="259" w:lineRule="auto"/>
              <w:rPr>
                <w:rFonts w:ascii="Arial Narrow" w:hAnsi="Arial Narrow"/>
                <w:sz w:val="18"/>
                <w:szCs w:val="18"/>
              </w:rPr>
            </w:pPr>
          </w:p>
        </w:tc>
        <w:tc>
          <w:tcPr>
            <w:tcW w:w="283" w:type="pct"/>
          </w:tcPr>
          <w:p w14:paraId="50619B4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B8F2B57" w14:textId="77777777" w:rsidR="00095411" w:rsidRPr="007348FD" w:rsidRDefault="00095411" w:rsidP="00591CBB">
            <w:pPr>
              <w:spacing w:after="160" w:line="259" w:lineRule="auto"/>
              <w:rPr>
                <w:rFonts w:ascii="Arial Narrow" w:hAnsi="Arial Narrow"/>
                <w:sz w:val="18"/>
                <w:szCs w:val="18"/>
              </w:rPr>
            </w:pPr>
          </w:p>
        </w:tc>
        <w:tc>
          <w:tcPr>
            <w:tcW w:w="149" w:type="pct"/>
          </w:tcPr>
          <w:p w14:paraId="4E7E910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688FA7DD" w14:textId="77777777" w:rsidR="00095411" w:rsidRPr="007348FD" w:rsidRDefault="00095411" w:rsidP="00591CBB">
            <w:pPr>
              <w:spacing w:after="160" w:line="259" w:lineRule="auto"/>
              <w:rPr>
                <w:rFonts w:ascii="Arial Narrow" w:hAnsi="Arial Narrow"/>
                <w:sz w:val="18"/>
                <w:szCs w:val="18"/>
              </w:rPr>
            </w:pPr>
          </w:p>
        </w:tc>
        <w:tc>
          <w:tcPr>
            <w:tcW w:w="214" w:type="pct"/>
          </w:tcPr>
          <w:p w14:paraId="6A27CB0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50%</w:t>
            </w:r>
          </w:p>
        </w:tc>
        <w:tc>
          <w:tcPr>
            <w:cnfStyle w:val="000010000000" w:firstRow="0" w:lastRow="0" w:firstColumn="0" w:lastColumn="0" w:oddVBand="1" w:evenVBand="0" w:oddHBand="0" w:evenHBand="0" w:firstRowFirstColumn="0" w:firstRowLastColumn="0" w:lastRowFirstColumn="0" w:lastRowLastColumn="0"/>
            <w:tcW w:w="245" w:type="pct"/>
          </w:tcPr>
          <w:p w14:paraId="13A5EF5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75%</w:t>
            </w:r>
          </w:p>
        </w:tc>
        <w:tc>
          <w:tcPr>
            <w:tcW w:w="280" w:type="pct"/>
          </w:tcPr>
          <w:p w14:paraId="58F1D1A6" w14:textId="67A67A44"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100%</w:t>
            </w:r>
          </w:p>
        </w:tc>
      </w:tr>
      <w:tr w:rsidR="00637BF8" w:rsidRPr="00591CBB" w14:paraId="4DB826BC"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7E32C37E" w14:textId="77777777" w:rsidR="00095411" w:rsidRPr="007348FD" w:rsidRDefault="00095411" w:rsidP="00591CBB">
            <w:pPr>
              <w:spacing w:after="160" w:line="259" w:lineRule="auto"/>
              <w:rPr>
                <w:rFonts w:ascii="Arial Narrow" w:hAnsi="Arial Narrow"/>
                <w:sz w:val="18"/>
                <w:szCs w:val="18"/>
              </w:rPr>
            </w:pPr>
          </w:p>
        </w:tc>
        <w:tc>
          <w:tcPr>
            <w:tcW w:w="460" w:type="pct"/>
          </w:tcPr>
          <w:p w14:paraId="7C82C6C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01008C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22D56F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606F178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20E76EC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69920AC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22B56F5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257DCCD4" w14:textId="77777777" w:rsidR="00095411" w:rsidRPr="007348FD" w:rsidRDefault="00095411" w:rsidP="00591CBB">
            <w:pPr>
              <w:spacing w:after="160" w:line="259" w:lineRule="auto"/>
              <w:rPr>
                <w:rFonts w:ascii="Arial Narrow" w:hAnsi="Arial Narrow"/>
                <w:sz w:val="18"/>
                <w:szCs w:val="18"/>
              </w:rPr>
            </w:pPr>
          </w:p>
        </w:tc>
        <w:tc>
          <w:tcPr>
            <w:tcW w:w="273" w:type="pct"/>
          </w:tcPr>
          <w:p w14:paraId="6627A18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33%</w:t>
            </w:r>
          </w:p>
        </w:tc>
        <w:tc>
          <w:tcPr>
            <w:cnfStyle w:val="000010000000" w:firstRow="0" w:lastRow="0" w:firstColumn="0" w:lastColumn="0" w:oddVBand="1" w:evenVBand="0" w:oddHBand="0" w:evenHBand="0" w:firstRowFirstColumn="0" w:firstRowLastColumn="0" w:lastRowFirstColumn="0" w:lastRowLastColumn="0"/>
            <w:tcW w:w="285" w:type="pct"/>
          </w:tcPr>
          <w:p w14:paraId="196CA0F2" w14:textId="77777777" w:rsidR="00095411" w:rsidRPr="007348FD" w:rsidRDefault="00095411" w:rsidP="00591CBB">
            <w:pPr>
              <w:spacing w:after="160" w:line="259" w:lineRule="auto"/>
              <w:rPr>
                <w:rFonts w:ascii="Arial Narrow" w:hAnsi="Arial Narrow"/>
                <w:sz w:val="18"/>
                <w:szCs w:val="18"/>
              </w:rPr>
            </w:pPr>
          </w:p>
        </w:tc>
        <w:tc>
          <w:tcPr>
            <w:tcW w:w="283" w:type="pct"/>
          </w:tcPr>
          <w:p w14:paraId="776722C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4AAE1558" w14:textId="77777777" w:rsidR="00095411" w:rsidRPr="007348FD" w:rsidRDefault="00095411" w:rsidP="00591CBB">
            <w:pPr>
              <w:spacing w:after="160" w:line="259" w:lineRule="auto"/>
              <w:rPr>
                <w:rFonts w:ascii="Arial Narrow" w:hAnsi="Arial Narrow"/>
                <w:sz w:val="18"/>
                <w:szCs w:val="18"/>
              </w:rPr>
            </w:pPr>
          </w:p>
        </w:tc>
        <w:tc>
          <w:tcPr>
            <w:tcW w:w="149" w:type="pct"/>
          </w:tcPr>
          <w:p w14:paraId="13759DE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2382F1E" w14:textId="77777777" w:rsidR="00095411" w:rsidRPr="007348FD" w:rsidRDefault="00095411" w:rsidP="00591CBB">
            <w:pPr>
              <w:spacing w:after="160" w:line="259" w:lineRule="auto"/>
              <w:rPr>
                <w:rFonts w:ascii="Arial Narrow" w:hAnsi="Arial Narrow"/>
                <w:sz w:val="18"/>
                <w:szCs w:val="18"/>
              </w:rPr>
            </w:pPr>
          </w:p>
        </w:tc>
        <w:tc>
          <w:tcPr>
            <w:tcW w:w="214" w:type="pct"/>
          </w:tcPr>
          <w:p w14:paraId="6074573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HMIS</w:t>
            </w:r>
          </w:p>
        </w:tc>
        <w:tc>
          <w:tcPr>
            <w:cnfStyle w:val="000010000000" w:firstRow="0" w:lastRow="0" w:firstColumn="0" w:lastColumn="0" w:oddVBand="1" w:evenVBand="0" w:oddHBand="0" w:evenHBand="0" w:firstRowFirstColumn="0" w:firstRowLastColumn="0" w:lastRowFirstColumn="0" w:lastRowLastColumn="0"/>
            <w:tcW w:w="245" w:type="pct"/>
          </w:tcPr>
          <w:p w14:paraId="6A4266C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HMIS</w:t>
            </w:r>
          </w:p>
        </w:tc>
        <w:tc>
          <w:tcPr>
            <w:tcW w:w="280" w:type="pct"/>
          </w:tcPr>
          <w:p w14:paraId="5EF737D1" w14:textId="3C383EF6"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HMIS</w:t>
            </w:r>
          </w:p>
        </w:tc>
      </w:tr>
      <w:tr w:rsidR="00637BF8" w:rsidRPr="00591CBB" w14:paraId="7DBB6DCB"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2CB2CBE5" w14:textId="77777777" w:rsidR="00095411" w:rsidRPr="007348FD" w:rsidRDefault="00095411" w:rsidP="00591CBB">
            <w:pPr>
              <w:spacing w:after="160" w:line="259" w:lineRule="auto"/>
              <w:rPr>
                <w:rFonts w:ascii="Arial Narrow" w:hAnsi="Arial Narrow"/>
                <w:sz w:val="18"/>
                <w:szCs w:val="18"/>
              </w:rPr>
            </w:pPr>
          </w:p>
        </w:tc>
        <w:tc>
          <w:tcPr>
            <w:tcW w:w="460" w:type="pct"/>
          </w:tcPr>
          <w:p w14:paraId="6244E29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7B67363"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D7541F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1001FE1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167109AF" w14:textId="0E272D50"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098D4DC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0CED7E8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20%</w:t>
            </w:r>
          </w:p>
        </w:tc>
        <w:tc>
          <w:tcPr>
            <w:cnfStyle w:val="000010000000" w:firstRow="0" w:lastRow="0" w:firstColumn="0" w:lastColumn="0" w:oddVBand="1" w:evenVBand="0" w:oddHBand="0" w:evenHBand="0" w:firstRowFirstColumn="0" w:firstRowLastColumn="0" w:lastRowFirstColumn="0" w:lastRowLastColumn="0"/>
            <w:tcW w:w="197" w:type="pct"/>
          </w:tcPr>
          <w:p w14:paraId="0E1C7DA1" w14:textId="77777777" w:rsidR="00095411" w:rsidRPr="007348FD" w:rsidRDefault="00095411" w:rsidP="00591CBB">
            <w:pPr>
              <w:spacing w:after="160" w:line="259" w:lineRule="auto"/>
              <w:rPr>
                <w:rFonts w:ascii="Arial Narrow" w:hAnsi="Arial Narrow"/>
                <w:sz w:val="18"/>
                <w:szCs w:val="18"/>
              </w:rPr>
            </w:pPr>
          </w:p>
        </w:tc>
        <w:tc>
          <w:tcPr>
            <w:tcW w:w="273" w:type="pct"/>
          </w:tcPr>
          <w:p w14:paraId="760C48E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054ACD7" w14:textId="77777777" w:rsidR="00095411" w:rsidRPr="007348FD" w:rsidRDefault="00095411" w:rsidP="00591CBB">
            <w:pPr>
              <w:spacing w:after="160" w:line="259" w:lineRule="auto"/>
              <w:rPr>
                <w:rFonts w:ascii="Arial Narrow" w:hAnsi="Arial Narrow"/>
                <w:sz w:val="18"/>
                <w:szCs w:val="18"/>
              </w:rPr>
            </w:pPr>
          </w:p>
        </w:tc>
        <w:tc>
          <w:tcPr>
            <w:tcW w:w="283" w:type="pct"/>
          </w:tcPr>
          <w:p w14:paraId="5B778A7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409148A" w14:textId="77777777" w:rsidR="00095411" w:rsidRPr="007348FD" w:rsidRDefault="00095411" w:rsidP="00591CBB">
            <w:pPr>
              <w:spacing w:after="160" w:line="259" w:lineRule="auto"/>
              <w:rPr>
                <w:rFonts w:ascii="Arial Narrow" w:hAnsi="Arial Narrow"/>
                <w:sz w:val="18"/>
                <w:szCs w:val="18"/>
              </w:rPr>
            </w:pPr>
          </w:p>
        </w:tc>
        <w:tc>
          <w:tcPr>
            <w:tcW w:w="149" w:type="pct"/>
          </w:tcPr>
          <w:p w14:paraId="3B65A2E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527A800" w14:textId="77777777" w:rsidR="00095411" w:rsidRPr="007348FD" w:rsidRDefault="00095411" w:rsidP="00591CBB">
            <w:pPr>
              <w:spacing w:after="160" w:line="259" w:lineRule="auto"/>
              <w:rPr>
                <w:rFonts w:ascii="Arial Narrow" w:hAnsi="Arial Narrow"/>
                <w:sz w:val="18"/>
                <w:szCs w:val="18"/>
              </w:rPr>
            </w:pPr>
          </w:p>
        </w:tc>
        <w:tc>
          <w:tcPr>
            <w:tcW w:w="214" w:type="pct"/>
          </w:tcPr>
          <w:p w14:paraId="1D64DC4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50%</w:t>
            </w:r>
          </w:p>
        </w:tc>
        <w:tc>
          <w:tcPr>
            <w:cnfStyle w:val="000010000000" w:firstRow="0" w:lastRow="0" w:firstColumn="0" w:lastColumn="0" w:oddVBand="1" w:evenVBand="0" w:oddHBand="0" w:evenHBand="0" w:firstRowFirstColumn="0" w:firstRowLastColumn="0" w:lastRowFirstColumn="0" w:lastRowLastColumn="0"/>
            <w:tcW w:w="245" w:type="pct"/>
          </w:tcPr>
          <w:p w14:paraId="4164105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75%</w:t>
            </w:r>
          </w:p>
        </w:tc>
        <w:tc>
          <w:tcPr>
            <w:tcW w:w="280" w:type="pct"/>
          </w:tcPr>
          <w:p w14:paraId="27E7E0E0" w14:textId="09797AF3"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100%</w:t>
            </w:r>
          </w:p>
        </w:tc>
      </w:tr>
      <w:tr w:rsidR="00637BF8" w:rsidRPr="00591CBB" w14:paraId="0FF93610"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1A6FEEEC" w14:textId="77777777" w:rsidR="00095411" w:rsidRPr="007348FD" w:rsidRDefault="00095411" w:rsidP="00591CBB">
            <w:pPr>
              <w:spacing w:after="160" w:line="259" w:lineRule="auto"/>
              <w:rPr>
                <w:rFonts w:ascii="Arial Narrow" w:hAnsi="Arial Narrow"/>
                <w:sz w:val="18"/>
                <w:szCs w:val="18"/>
              </w:rPr>
            </w:pPr>
          </w:p>
        </w:tc>
        <w:tc>
          <w:tcPr>
            <w:tcW w:w="460" w:type="pct"/>
          </w:tcPr>
          <w:p w14:paraId="532D960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6E21AAF"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B267A9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0E3B17C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0C0CFF0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699F493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1EC88EE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0F1E4E0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73" w:type="pct"/>
          </w:tcPr>
          <w:p w14:paraId="18A3C81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71%</w:t>
            </w:r>
          </w:p>
        </w:tc>
        <w:tc>
          <w:tcPr>
            <w:cnfStyle w:val="000010000000" w:firstRow="0" w:lastRow="0" w:firstColumn="0" w:lastColumn="0" w:oddVBand="1" w:evenVBand="0" w:oddHBand="0" w:evenHBand="0" w:firstRowFirstColumn="0" w:firstRowLastColumn="0" w:lastRowFirstColumn="0" w:lastRowLastColumn="0"/>
            <w:tcW w:w="285" w:type="pct"/>
          </w:tcPr>
          <w:p w14:paraId="5E4015FC" w14:textId="77777777" w:rsidR="00095411" w:rsidRPr="007348FD" w:rsidRDefault="00095411" w:rsidP="00591CBB">
            <w:pPr>
              <w:spacing w:after="160" w:line="259" w:lineRule="auto"/>
              <w:rPr>
                <w:rFonts w:ascii="Arial Narrow" w:hAnsi="Arial Narrow"/>
                <w:sz w:val="18"/>
                <w:szCs w:val="18"/>
              </w:rPr>
            </w:pPr>
          </w:p>
        </w:tc>
        <w:tc>
          <w:tcPr>
            <w:tcW w:w="283" w:type="pct"/>
          </w:tcPr>
          <w:p w14:paraId="5B98598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7EAEBED1" w14:textId="77777777" w:rsidR="00095411" w:rsidRPr="007348FD" w:rsidRDefault="00095411" w:rsidP="00591CBB">
            <w:pPr>
              <w:spacing w:after="160" w:line="259" w:lineRule="auto"/>
              <w:rPr>
                <w:rFonts w:ascii="Arial Narrow" w:hAnsi="Arial Narrow"/>
                <w:sz w:val="18"/>
                <w:szCs w:val="18"/>
              </w:rPr>
            </w:pPr>
          </w:p>
        </w:tc>
        <w:tc>
          <w:tcPr>
            <w:tcW w:w="149" w:type="pct"/>
          </w:tcPr>
          <w:p w14:paraId="10DB5C0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A663503" w14:textId="77777777" w:rsidR="00095411" w:rsidRPr="007348FD" w:rsidRDefault="00095411" w:rsidP="00591CBB">
            <w:pPr>
              <w:spacing w:after="160" w:line="259" w:lineRule="auto"/>
              <w:rPr>
                <w:rFonts w:ascii="Arial Narrow" w:hAnsi="Arial Narrow"/>
                <w:sz w:val="18"/>
                <w:szCs w:val="18"/>
              </w:rPr>
            </w:pPr>
          </w:p>
        </w:tc>
        <w:tc>
          <w:tcPr>
            <w:tcW w:w="214" w:type="pct"/>
          </w:tcPr>
          <w:p w14:paraId="4E0C7DF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45" w:type="pct"/>
          </w:tcPr>
          <w:p w14:paraId="504970A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HMIS</w:t>
            </w:r>
          </w:p>
        </w:tc>
        <w:tc>
          <w:tcPr>
            <w:tcW w:w="280" w:type="pct"/>
          </w:tcPr>
          <w:p w14:paraId="7EE4CC77" w14:textId="3B948B8D"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HMIS</w:t>
            </w:r>
          </w:p>
        </w:tc>
      </w:tr>
      <w:tr w:rsidR="00637BF8" w:rsidRPr="00591CBB" w14:paraId="54412E90"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669BBE68" w14:textId="77777777" w:rsidR="00095411" w:rsidRPr="007348FD" w:rsidRDefault="00095411" w:rsidP="00591CBB">
            <w:pPr>
              <w:spacing w:after="160" w:line="259" w:lineRule="auto"/>
              <w:rPr>
                <w:rFonts w:ascii="Arial Narrow" w:hAnsi="Arial Narrow"/>
                <w:sz w:val="18"/>
                <w:szCs w:val="18"/>
              </w:rPr>
            </w:pPr>
          </w:p>
        </w:tc>
        <w:tc>
          <w:tcPr>
            <w:tcW w:w="460" w:type="pct"/>
          </w:tcPr>
          <w:p w14:paraId="7FE4774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AC06396"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1B9634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41113F2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0023A43F" w14:textId="6EEE2513"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7260B07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025FC70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20%</w:t>
            </w:r>
          </w:p>
        </w:tc>
        <w:tc>
          <w:tcPr>
            <w:cnfStyle w:val="000010000000" w:firstRow="0" w:lastRow="0" w:firstColumn="0" w:lastColumn="0" w:oddVBand="1" w:evenVBand="0" w:oddHBand="0" w:evenHBand="0" w:firstRowFirstColumn="0" w:firstRowLastColumn="0" w:lastRowFirstColumn="0" w:lastRowLastColumn="0"/>
            <w:tcW w:w="197" w:type="pct"/>
          </w:tcPr>
          <w:p w14:paraId="2F6396D6" w14:textId="77777777" w:rsidR="00095411" w:rsidRPr="007348FD" w:rsidRDefault="00095411" w:rsidP="00591CBB">
            <w:pPr>
              <w:spacing w:after="160" w:line="259" w:lineRule="auto"/>
              <w:rPr>
                <w:rFonts w:ascii="Arial Narrow" w:hAnsi="Arial Narrow"/>
                <w:sz w:val="18"/>
                <w:szCs w:val="18"/>
              </w:rPr>
            </w:pPr>
          </w:p>
        </w:tc>
        <w:tc>
          <w:tcPr>
            <w:tcW w:w="273" w:type="pct"/>
          </w:tcPr>
          <w:p w14:paraId="1A9E5F2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8B5D3C8" w14:textId="77777777" w:rsidR="00095411" w:rsidRPr="007348FD" w:rsidRDefault="00095411" w:rsidP="00591CBB">
            <w:pPr>
              <w:spacing w:after="160" w:line="259" w:lineRule="auto"/>
              <w:rPr>
                <w:rFonts w:ascii="Arial Narrow" w:hAnsi="Arial Narrow"/>
                <w:sz w:val="18"/>
                <w:szCs w:val="18"/>
              </w:rPr>
            </w:pPr>
          </w:p>
        </w:tc>
        <w:tc>
          <w:tcPr>
            <w:tcW w:w="283" w:type="pct"/>
          </w:tcPr>
          <w:p w14:paraId="028A6D5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39223C3" w14:textId="77777777" w:rsidR="00095411" w:rsidRPr="007348FD" w:rsidRDefault="00095411" w:rsidP="00591CBB">
            <w:pPr>
              <w:spacing w:after="160" w:line="259" w:lineRule="auto"/>
              <w:rPr>
                <w:rFonts w:ascii="Arial Narrow" w:hAnsi="Arial Narrow"/>
                <w:sz w:val="18"/>
                <w:szCs w:val="18"/>
              </w:rPr>
            </w:pPr>
          </w:p>
        </w:tc>
        <w:tc>
          <w:tcPr>
            <w:tcW w:w="149" w:type="pct"/>
          </w:tcPr>
          <w:p w14:paraId="6872B24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32F293D" w14:textId="77777777" w:rsidR="00095411" w:rsidRPr="007348FD" w:rsidRDefault="00095411" w:rsidP="00591CBB">
            <w:pPr>
              <w:spacing w:after="160" w:line="259" w:lineRule="auto"/>
              <w:rPr>
                <w:rFonts w:ascii="Arial Narrow" w:hAnsi="Arial Narrow"/>
                <w:sz w:val="18"/>
                <w:szCs w:val="18"/>
              </w:rPr>
            </w:pPr>
          </w:p>
        </w:tc>
        <w:tc>
          <w:tcPr>
            <w:tcW w:w="214" w:type="pct"/>
          </w:tcPr>
          <w:p w14:paraId="134DC6E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50%</w:t>
            </w:r>
          </w:p>
        </w:tc>
        <w:tc>
          <w:tcPr>
            <w:cnfStyle w:val="000010000000" w:firstRow="0" w:lastRow="0" w:firstColumn="0" w:lastColumn="0" w:oddVBand="1" w:evenVBand="0" w:oddHBand="0" w:evenHBand="0" w:firstRowFirstColumn="0" w:firstRowLastColumn="0" w:lastRowFirstColumn="0" w:lastRowLastColumn="0"/>
            <w:tcW w:w="245" w:type="pct"/>
          </w:tcPr>
          <w:p w14:paraId="29D4592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75%</w:t>
            </w:r>
          </w:p>
        </w:tc>
        <w:tc>
          <w:tcPr>
            <w:tcW w:w="280" w:type="pct"/>
          </w:tcPr>
          <w:p w14:paraId="4B1D6AD4" w14:textId="7387C738"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100%</w:t>
            </w:r>
          </w:p>
        </w:tc>
      </w:tr>
      <w:tr w:rsidR="00637BF8" w:rsidRPr="00591CBB" w14:paraId="22EC8702"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63A42653" w14:textId="77777777" w:rsidR="00095411" w:rsidRPr="007348FD" w:rsidRDefault="00095411" w:rsidP="00591CBB">
            <w:pPr>
              <w:spacing w:after="160" w:line="259" w:lineRule="auto"/>
              <w:rPr>
                <w:rFonts w:ascii="Arial Narrow" w:hAnsi="Arial Narrow"/>
                <w:sz w:val="18"/>
                <w:szCs w:val="18"/>
              </w:rPr>
            </w:pPr>
          </w:p>
        </w:tc>
        <w:tc>
          <w:tcPr>
            <w:tcW w:w="460" w:type="pct"/>
          </w:tcPr>
          <w:p w14:paraId="2B5F1A1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A78B952"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46A7E3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0479E95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53F8854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001D6E6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0422149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2A7C4876" w14:textId="77777777" w:rsidR="00095411" w:rsidRPr="007348FD" w:rsidRDefault="00095411" w:rsidP="00591CBB">
            <w:pPr>
              <w:spacing w:after="160" w:line="259" w:lineRule="auto"/>
              <w:rPr>
                <w:rFonts w:ascii="Arial Narrow" w:hAnsi="Arial Narrow"/>
                <w:sz w:val="18"/>
                <w:szCs w:val="18"/>
              </w:rPr>
            </w:pPr>
          </w:p>
        </w:tc>
        <w:tc>
          <w:tcPr>
            <w:tcW w:w="273" w:type="pct"/>
          </w:tcPr>
          <w:p w14:paraId="7CF49EC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F7C565B" w14:textId="77777777" w:rsidR="00095411" w:rsidRPr="007348FD" w:rsidRDefault="00095411" w:rsidP="00591CBB">
            <w:pPr>
              <w:spacing w:after="160" w:line="259" w:lineRule="auto"/>
              <w:rPr>
                <w:rFonts w:ascii="Arial Narrow" w:hAnsi="Arial Narrow"/>
                <w:sz w:val="18"/>
                <w:szCs w:val="18"/>
              </w:rPr>
            </w:pPr>
          </w:p>
        </w:tc>
        <w:tc>
          <w:tcPr>
            <w:tcW w:w="283" w:type="pct"/>
          </w:tcPr>
          <w:p w14:paraId="7009AE4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E70F0F4" w14:textId="77777777" w:rsidR="00095411" w:rsidRPr="007348FD" w:rsidRDefault="00095411" w:rsidP="00591CBB">
            <w:pPr>
              <w:spacing w:after="160" w:line="259" w:lineRule="auto"/>
              <w:rPr>
                <w:rFonts w:ascii="Arial Narrow" w:hAnsi="Arial Narrow"/>
                <w:sz w:val="18"/>
                <w:szCs w:val="18"/>
              </w:rPr>
            </w:pPr>
          </w:p>
        </w:tc>
        <w:tc>
          <w:tcPr>
            <w:tcW w:w="149" w:type="pct"/>
          </w:tcPr>
          <w:p w14:paraId="0DD89BF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9E4AFC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6537EC4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NA</w:t>
            </w:r>
          </w:p>
        </w:tc>
        <w:tc>
          <w:tcPr>
            <w:cnfStyle w:val="000010000000" w:firstRow="0" w:lastRow="0" w:firstColumn="0" w:lastColumn="0" w:oddVBand="1" w:evenVBand="0" w:oddHBand="0" w:evenHBand="0" w:firstRowFirstColumn="0" w:firstRowLastColumn="0" w:lastRowFirstColumn="0" w:lastRowLastColumn="0"/>
            <w:tcW w:w="245" w:type="pct"/>
          </w:tcPr>
          <w:p w14:paraId="2D6F9C0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HMIS</w:t>
            </w:r>
          </w:p>
        </w:tc>
        <w:tc>
          <w:tcPr>
            <w:tcW w:w="280" w:type="pct"/>
          </w:tcPr>
          <w:p w14:paraId="5F6DF788" w14:textId="0D74905A"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HMIS</w:t>
            </w:r>
          </w:p>
        </w:tc>
      </w:tr>
      <w:tr w:rsidR="00637BF8" w:rsidRPr="00591CBB" w14:paraId="22C95630"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67041158" w14:textId="77777777" w:rsidR="00095411" w:rsidRPr="007348FD" w:rsidRDefault="00095411" w:rsidP="00591CBB">
            <w:pPr>
              <w:spacing w:after="160" w:line="259" w:lineRule="auto"/>
              <w:rPr>
                <w:rFonts w:ascii="Arial Narrow" w:hAnsi="Arial Narrow"/>
                <w:sz w:val="18"/>
                <w:szCs w:val="18"/>
              </w:rPr>
            </w:pPr>
          </w:p>
        </w:tc>
        <w:tc>
          <w:tcPr>
            <w:tcW w:w="460" w:type="pct"/>
          </w:tcPr>
          <w:p w14:paraId="221A50F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6A0A7BC"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C4FC43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0DDE0F5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5B285C68" w14:textId="67178F3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366DF27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32FBECF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20%</w:t>
            </w:r>
          </w:p>
        </w:tc>
        <w:tc>
          <w:tcPr>
            <w:cnfStyle w:val="000010000000" w:firstRow="0" w:lastRow="0" w:firstColumn="0" w:lastColumn="0" w:oddVBand="1" w:evenVBand="0" w:oddHBand="0" w:evenHBand="0" w:firstRowFirstColumn="0" w:firstRowLastColumn="0" w:lastRowFirstColumn="0" w:lastRowLastColumn="0"/>
            <w:tcW w:w="197" w:type="pct"/>
          </w:tcPr>
          <w:p w14:paraId="05BF885F" w14:textId="77777777" w:rsidR="00095411" w:rsidRPr="007348FD" w:rsidRDefault="00095411" w:rsidP="00591CBB">
            <w:pPr>
              <w:spacing w:after="160" w:line="259" w:lineRule="auto"/>
              <w:rPr>
                <w:rFonts w:ascii="Arial Narrow" w:hAnsi="Arial Narrow"/>
                <w:sz w:val="18"/>
                <w:szCs w:val="18"/>
              </w:rPr>
            </w:pPr>
          </w:p>
        </w:tc>
        <w:tc>
          <w:tcPr>
            <w:tcW w:w="273" w:type="pct"/>
          </w:tcPr>
          <w:p w14:paraId="1FDF4B8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4622C0D" w14:textId="77777777" w:rsidR="00095411" w:rsidRPr="007348FD" w:rsidRDefault="00095411" w:rsidP="00591CBB">
            <w:pPr>
              <w:spacing w:after="160" w:line="259" w:lineRule="auto"/>
              <w:rPr>
                <w:rFonts w:ascii="Arial Narrow" w:hAnsi="Arial Narrow"/>
                <w:sz w:val="18"/>
                <w:szCs w:val="18"/>
              </w:rPr>
            </w:pPr>
          </w:p>
        </w:tc>
        <w:tc>
          <w:tcPr>
            <w:tcW w:w="283" w:type="pct"/>
          </w:tcPr>
          <w:p w14:paraId="5540C1A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05299E2" w14:textId="77777777" w:rsidR="00095411" w:rsidRPr="007348FD" w:rsidRDefault="00095411" w:rsidP="00591CBB">
            <w:pPr>
              <w:spacing w:after="160" w:line="259" w:lineRule="auto"/>
              <w:rPr>
                <w:rFonts w:ascii="Arial Narrow" w:hAnsi="Arial Narrow"/>
                <w:sz w:val="18"/>
                <w:szCs w:val="18"/>
              </w:rPr>
            </w:pPr>
          </w:p>
        </w:tc>
        <w:tc>
          <w:tcPr>
            <w:tcW w:w="149" w:type="pct"/>
          </w:tcPr>
          <w:p w14:paraId="6BE647F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C64D3C1" w14:textId="77777777" w:rsidR="00095411" w:rsidRPr="007348FD" w:rsidRDefault="00095411" w:rsidP="00591CBB">
            <w:pPr>
              <w:spacing w:after="160" w:line="259" w:lineRule="auto"/>
              <w:rPr>
                <w:rFonts w:ascii="Arial Narrow" w:hAnsi="Arial Narrow"/>
                <w:sz w:val="18"/>
                <w:szCs w:val="18"/>
              </w:rPr>
            </w:pPr>
          </w:p>
        </w:tc>
        <w:tc>
          <w:tcPr>
            <w:tcW w:w="214" w:type="pct"/>
          </w:tcPr>
          <w:p w14:paraId="431C965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50%</w:t>
            </w:r>
          </w:p>
        </w:tc>
        <w:tc>
          <w:tcPr>
            <w:cnfStyle w:val="000010000000" w:firstRow="0" w:lastRow="0" w:firstColumn="0" w:lastColumn="0" w:oddVBand="1" w:evenVBand="0" w:oddHBand="0" w:evenHBand="0" w:firstRowFirstColumn="0" w:firstRowLastColumn="0" w:lastRowFirstColumn="0" w:lastRowLastColumn="0"/>
            <w:tcW w:w="245" w:type="pct"/>
          </w:tcPr>
          <w:p w14:paraId="3ABF570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75%</w:t>
            </w:r>
          </w:p>
        </w:tc>
        <w:tc>
          <w:tcPr>
            <w:tcW w:w="280" w:type="pct"/>
          </w:tcPr>
          <w:p w14:paraId="4F84C80B" w14:textId="52915945"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100%</w:t>
            </w:r>
          </w:p>
        </w:tc>
      </w:tr>
      <w:tr w:rsidR="00637BF8" w:rsidRPr="00591CBB" w14:paraId="36C02DA0"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20FC21CB" w14:textId="77777777" w:rsidR="00095411" w:rsidRPr="007348FD" w:rsidRDefault="00095411" w:rsidP="00591CBB">
            <w:pPr>
              <w:spacing w:after="160" w:line="259" w:lineRule="auto"/>
              <w:rPr>
                <w:rFonts w:ascii="Arial Narrow" w:hAnsi="Arial Narrow"/>
                <w:sz w:val="18"/>
                <w:szCs w:val="18"/>
              </w:rPr>
            </w:pPr>
          </w:p>
        </w:tc>
        <w:tc>
          <w:tcPr>
            <w:tcW w:w="460" w:type="pct"/>
          </w:tcPr>
          <w:p w14:paraId="03A91EA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A08843E"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3C6072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5F0C573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777A340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262B4EC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667A1EE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7600725C" w14:textId="77777777" w:rsidR="00095411" w:rsidRPr="007348FD" w:rsidRDefault="00095411" w:rsidP="00591CBB">
            <w:pPr>
              <w:spacing w:after="160" w:line="259" w:lineRule="auto"/>
              <w:rPr>
                <w:rFonts w:ascii="Arial Narrow" w:hAnsi="Arial Narrow"/>
                <w:sz w:val="18"/>
                <w:szCs w:val="18"/>
              </w:rPr>
            </w:pPr>
          </w:p>
        </w:tc>
        <w:tc>
          <w:tcPr>
            <w:tcW w:w="273" w:type="pct"/>
          </w:tcPr>
          <w:p w14:paraId="0A30299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65%</w:t>
            </w:r>
          </w:p>
        </w:tc>
        <w:tc>
          <w:tcPr>
            <w:cnfStyle w:val="000010000000" w:firstRow="0" w:lastRow="0" w:firstColumn="0" w:lastColumn="0" w:oddVBand="1" w:evenVBand="0" w:oddHBand="0" w:evenHBand="0" w:firstRowFirstColumn="0" w:firstRowLastColumn="0" w:lastRowFirstColumn="0" w:lastRowLastColumn="0"/>
            <w:tcW w:w="285" w:type="pct"/>
          </w:tcPr>
          <w:p w14:paraId="74B82433" w14:textId="77777777" w:rsidR="00095411" w:rsidRPr="007348FD" w:rsidRDefault="00095411" w:rsidP="00591CBB">
            <w:pPr>
              <w:spacing w:after="160" w:line="259" w:lineRule="auto"/>
              <w:rPr>
                <w:rFonts w:ascii="Arial Narrow" w:hAnsi="Arial Narrow"/>
                <w:sz w:val="18"/>
                <w:szCs w:val="18"/>
              </w:rPr>
            </w:pPr>
          </w:p>
        </w:tc>
        <w:tc>
          <w:tcPr>
            <w:tcW w:w="283" w:type="pct"/>
          </w:tcPr>
          <w:p w14:paraId="5751A80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72A7AC71" w14:textId="77777777" w:rsidR="00095411" w:rsidRPr="007348FD" w:rsidRDefault="00095411" w:rsidP="00591CBB">
            <w:pPr>
              <w:spacing w:after="160" w:line="259" w:lineRule="auto"/>
              <w:rPr>
                <w:rFonts w:ascii="Arial Narrow" w:hAnsi="Arial Narrow"/>
                <w:sz w:val="18"/>
                <w:szCs w:val="18"/>
              </w:rPr>
            </w:pPr>
          </w:p>
        </w:tc>
        <w:tc>
          <w:tcPr>
            <w:tcW w:w="149" w:type="pct"/>
          </w:tcPr>
          <w:p w14:paraId="258F691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9BF1230" w14:textId="77777777" w:rsidR="00095411" w:rsidRPr="007348FD" w:rsidRDefault="00095411" w:rsidP="00591CBB">
            <w:pPr>
              <w:spacing w:after="160" w:line="259" w:lineRule="auto"/>
              <w:rPr>
                <w:rFonts w:ascii="Arial Narrow" w:hAnsi="Arial Narrow"/>
                <w:sz w:val="18"/>
                <w:szCs w:val="18"/>
              </w:rPr>
            </w:pPr>
          </w:p>
        </w:tc>
        <w:tc>
          <w:tcPr>
            <w:tcW w:w="214" w:type="pct"/>
          </w:tcPr>
          <w:p w14:paraId="022980D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HMIS</w:t>
            </w:r>
          </w:p>
        </w:tc>
        <w:tc>
          <w:tcPr>
            <w:cnfStyle w:val="000010000000" w:firstRow="0" w:lastRow="0" w:firstColumn="0" w:lastColumn="0" w:oddVBand="1" w:evenVBand="0" w:oddHBand="0" w:evenHBand="0" w:firstRowFirstColumn="0" w:firstRowLastColumn="0" w:lastRowFirstColumn="0" w:lastRowLastColumn="0"/>
            <w:tcW w:w="245" w:type="pct"/>
          </w:tcPr>
          <w:p w14:paraId="0D3FD9C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HMIS</w:t>
            </w:r>
          </w:p>
        </w:tc>
        <w:tc>
          <w:tcPr>
            <w:tcW w:w="280" w:type="pct"/>
          </w:tcPr>
          <w:p w14:paraId="45762B71" w14:textId="7996DD4C"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HMIS</w:t>
            </w:r>
          </w:p>
        </w:tc>
      </w:tr>
      <w:tr w:rsidR="00637BF8" w:rsidRPr="00591CBB" w14:paraId="357629C2" w14:textId="77777777" w:rsidTr="00051F27">
        <w:trPr>
          <w:trHeight w:val="228"/>
        </w:trPr>
        <w:tc>
          <w:tcPr>
            <w:cnfStyle w:val="000010000000" w:firstRow="0" w:lastRow="0" w:firstColumn="0" w:lastColumn="0" w:oddVBand="1" w:evenVBand="0" w:oddHBand="0" w:evenHBand="0" w:firstRowFirstColumn="0" w:firstRowLastColumn="0" w:lastRowFirstColumn="0" w:lastRowLastColumn="0"/>
            <w:tcW w:w="432" w:type="pct"/>
          </w:tcPr>
          <w:p w14:paraId="05A32F37" w14:textId="77777777" w:rsidR="00095411" w:rsidRPr="007348FD" w:rsidRDefault="00095411" w:rsidP="00591CBB">
            <w:pPr>
              <w:spacing w:after="160" w:line="259" w:lineRule="auto"/>
              <w:rPr>
                <w:rFonts w:ascii="Arial Narrow" w:hAnsi="Arial Narrow"/>
                <w:sz w:val="18"/>
                <w:szCs w:val="18"/>
              </w:rPr>
            </w:pPr>
          </w:p>
        </w:tc>
        <w:tc>
          <w:tcPr>
            <w:tcW w:w="460" w:type="pct"/>
          </w:tcPr>
          <w:p w14:paraId="60570D8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6AE9E88"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4047A8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2181751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6ADCA26B" w14:textId="10A4E8BE"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2D4FD0F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6A0F80F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20%</w:t>
            </w:r>
          </w:p>
        </w:tc>
        <w:tc>
          <w:tcPr>
            <w:cnfStyle w:val="000010000000" w:firstRow="0" w:lastRow="0" w:firstColumn="0" w:lastColumn="0" w:oddVBand="1" w:evenVBand="0" w:oddHBand="0" w:evenHBand="0" w:firstRowFirstColumn="0" w:firstRowLastColumn="0" w:lastRowFirstColumn="0" w:lastRowLastColumn="0"/>
            <w:tcW w:w="197" w:type="pct"/>
          </w:tcPr>
          <w:p w14:paraId="6FD2A41F" w14:textId="77777777" w:rsidR="00095411" w:rsidRPr="007348FD" w:rsidRDefault="00095411" w:rsidP="00591CBB">
            <w:pPr>
              <w:spacing w:after="160" w:line="259" w:lineRule="auto"/>
              <w:rPr>
                <w:rFonts w:ascii="Arial Narrow" w:hAnsi="Arial Narrow"/>
                <w:sz w:val="18"/>
                <w:szCs w:val="18"/>
              </w:rPr>
            </w:pPr>
          </w:p>
        </w:tc>
        <w:tc>
          <w:tcPr>
            <w:tcW w:w="273" w:type="pct"/>
          </w:tcPr>
          <w:p w14:paraId="7EEF1BC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60A0F31" w14:textId="77777777" w:rsidR="00095411" w:rsidRPr="007348FD" w:rsidRDefault="00095411" w:rsidP="00591CBB">
            <w:pPr>
              <w:spacing w:after="160" w:line="259" w:lineRule="auto"/>
              <w:rPr>
                <w:rFonts w:ascii="Arial Narrow" w:hAnsi="Arial Narrow"/>
                <w:sz w:val="18"/>
                <w:szCs w:val="18"/>
              </w:rPr>
            </w:pPr>
          </w:p>
        </w:tc>
        <w:tc>
          <w:tcPr>
            <w:tcW w:w="283" w:type="pct"/>
          </w:tcPr>
          <w:p w14:paraId="3AF5998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B108C63" w14:textId="77777777" w:rsidR="00095411" w:rsidRPr="007348FD" w:rsidRDefault="00095411" w:rsidP="00591CBB">
            <w:pPr>
              <w:spacing w:after="160" w:line="259" w:lineRule="auto"/>
              <w:rPr>
                <w:rFonts w:ascii="Arial Narrow" w:hAnsi="Arial Narrow"/>
                <w:sz w:val="18"/>
                <w:szCs w:val="18"/>
              </w:rPr>
            </w:pPr>
          </w:p>
        </w:tc>
        <w:tc>
          <w:tcPr>
            <w:tcW w:w="149" w:type="pct"/>
          </w:tcPr>
          <w:p w14:paraId="44E6ADD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60A734DE" w14:textId="77777777" w:rsidR="00095411" w:rsidRPr="007348FD" w:rsidRDefault="00095411" w:rsidP="00591CBB">
            <w:pPr>
              <w:spacing w:after="160" w:line="259" w:lineRule="auto"/>
              <w:rPr>
                <w:rFonts w:ascii="Arial Narrow" w:hAnsi="Arial Narrow"/>
                <w:sz w:val="18"/>
                <w:szCs w:val="18"/>
              </w:rPr>
            </w:pPr>
          </w:p>
        </w:tc>
        <w:tc>
          <w:tcPr>
            <w:tcW w:w="214" w:type="pct"/>
          </w:tcPr>
          <w:p w14:paraId="09A411D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50%</w:t>
            </w:r>
          </w:p>
        </w:tc>
        <w:tc>
          <w:tcPr>
            <w:cnfStyle w:val="000010000000" w:firstRow="0" w:lastRow="0" w:firstColumn="0" w:lastColumn="0" w:oddVBand="1" w:evenVBand="0" w:oddHBand="0" w:evenHBand="0" w:firstRowFirstColumn="0" w:firstRowLastColumn="0" w:lastRowFirstColumn="0" w:lastRowLastColumn="0"/>
            <w:tcW w:w="245" w:type="pct"/>
          </w:tcPr>
          <w:p w14:paraId="764D8C9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75%</w:t>
            </w:r>
          </w:p>
        </w:tc>
        <w:tc>
          <w:tcPr>
            <w:tcW w:w="280" w:type="pct"/>
          </w:tcPr>
          <w:p w14:paraId="3A716772" w14:textId="17C1D15D"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75%</w:t>
            </w:r>
          </w:p>
        </w:tc>
      </w:tr>
      <w:tr w:rsidR="00637BF8" w:rsidRPr="00591CBB" w14:paraId="082B4F01" w14:textId="77777777" w:rsidTr="00051F27">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432" w:type="pct"/>
          </w:tcPr>
          <w:p w14:paraId="112CD823" w14:textId="77777777" w:rsidR="00095411" w:rsidRPr="007348FD" w:rsidRDefault="00095411" w:rsidP="00591CBB">
            <w:pPr>
              <w:spacing w:after="160" w:line="259" w:lineRule="auto"/>
              <w:rPr>
                <w:rFonts w:ascii="Arial Narrow" w:hAnsi="Arial Narrow"/>
                <w:sz w:val="18"/>
                <w:szCs w:val="18"/>
              </w:rPr>
            </w:pPr>
          </w:p>
        </w:tc>
        <w:tc>
          <w:tcPr>
            <w:tcW w:w="460" w:type="pct"/>
          </w:tcPr>
          <w:p w14:paraId="006C765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C04568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D781CA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73EF62D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41B0CDB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36CFE0A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5FE97ED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1BB2FB35" w14:textId="77777777" w:rsidR="00095411" w:rsidRPr="007348FD" w:rsidRDefault="00095411" w:rsidP="00591CBB">
            <w:pPr>
              <w:spacing w:after="160" w:line="259" w:lineRule="auto"/>
              <w:rPr>
                <w:rFonts w:ascii="Arial Narrow" w:hAnsi="Arial Narrow"/>
                <w:sz w:val="18"/>
                <w:szCs w:val="18"/>
              </w:rPr>
            </w:pPr>
          </w:p>
        </w:tc>
        <w:tc>
          <w:tcPr>
            <w:tcW w:w="273" w:type="pct"/>
          </w:tcPr>
          <w:p w14:paraId="3C5BED9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DB631FD" w14:textId="77777777" w:rsidR="00095411" w:rsidRPr="007348FD" w:rsidRDefault="00095411" w:rsidP="00591CBB">
            <w:pPr>
              <w:spacing w:after="160" w:line="259" w:lineRule="auto"/>
              <w:rPr>
                <w:rFonts w:ascii="Arial Narrow" w:hAnsi="Arial Narrow"/>
                <w:sz w:val="18"/>
                <w:szCs w:val="18"/>
              </w:rPr>
            </w:pPr>
          </w:p>
        </w:tc>
        <w:tc>
          <w:tcPr>
            <w:tcW w:w="283" w:type="pct"/>
          </w:tcPr>
          <w:p w14:paraId="41A88DF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A5B8C34" w14:textId="77777777" w:rsidR="00095411" w:rsidRPr="007348FD" w:rsidRDefault="00095411" w:rsidP="00591CBB">
            <w:pPr>
              <w:spacing w:after="160" w:line="259" w:lineRule="auto"/>
              <w:rPr>
                <w:rFonts w:ascii="Arial Narrow" w:hAnsi="Arial Narrow"/>
                <w:sz w:val="18"/>
                <w:szCs w:val="18"/>
              </w:rPr>
            </w:pPr>
          </w:p>
        </w:tc>
        <w:tc>
          <w:tcPr>
            <w:tcW w:w="149" w:type="pct"/>
          </w:tcPr>
          <w:p w14:paraId="251EA5A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3C677D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0FF09AC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HFRSA</w:t>
            </w:r>
          </w:p>
        </w:tc>
        <w:tc>
          <w:tcPr>
            <w:cnfStyle w:val="000010000000" w:firstRow="0" w:lastRow="0" w:firstColumn="0" w:lastColumn="0" w:oddVBand="1" w:evenVBand="0" w:oddHBand="0" w:evenHBand="0" w:firstRowFirstColumn="0" w:firstRowLastColumn="0" w:lastRowFirstColumn="0" w:lastRowLastColumn="0"/>
            <w:tcW w:w="245" w:type="pct"/>
          </w:tcPr>
          <w:p w14:paraId="1C6F4B3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HMIS</w:t>
            </w:r>
          </w:p>
        </w:tc>
        <w:tc>
          <w:tcPr>
            <w:tcW w:w="280" w:type="pct"/>
          </w:tcPr>
          <w:p w14:paraId="58C500F8" w14:textId="339E0D93"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HMIS</w:t>
            </w:r>
          </w:p>
        </w:tc>
      </w:tr>
      <w:tr w:rsidR="00637BF8" w:rsidRPr="00591CBB" w14:paraId="496B0540" w14:textId="77777777" w:rsidTr="00051F27">
        <w:trPr>
          <w:trHeight w:val="185"/>
        </w:trPr>
        <w:tc>
          <w:tcPr>
            <w:cnfStyle w:val="000010000000" w:firstRow="0" w:lastRow="0" w:firstColumn="0" w:lastColumn="0" w:oddVBand="1" w:evenVBand="0" w:oddHBand="0" w:evenHBand="0" w:firstRowFirstColumn="0" w:firstRowLastColumn="0" w:lastRowFirstColumn="0" w:lastRowLastColumn="0"/>
            <w:tcW w:w="432" w:type="pct"/>
          </w:tcPr>
          <w:p w14:paraId="008296BC" w14:textId="77777777" w:rsidR="00095411" w:rsidRPr="007348FD" w:rsidRDefault="00095411" w:rsidP="00591CBB">
            <w:pPr>
              <w:spacing w:after="160" w:line="259" w:lineRule="auto"/>
              <w:rPr>
                <w:rFonts w:ascii="Arial Narrow" w:hAnsi="Arial Narrow"/>
                <w:sz w:val="18"/>
                <w:szCs w:val="18"/>
              </w:rPr>
            </w:pPr>
          </w:p>
        </w:tc>
        <w:tc>
          <w:tcPr>
            <w:tcW w:w="460" w:type="pct"/>
          </w:tcPr>
          <w:p w14:paraId="2CDD54B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12. Percentage of all mobile services that include one member of staff providing youth-friendly, disability-inclusive SRH service provision, and able to deliver at least 3-5 modern methods of contraception. </w:t>
            </w:r>
          </w:p>
        </w:tc>
        <w:tc>
          <w:tcPr>
            <w:cnfStyle w:val="000010000000" w:firstRow="0" w:lastRow="0" w:firstColumn="0" w:lastColumn="0" w:oddVBand="1" w:evenVBand="0" w:oddHBand="0" w:evenHBand="0" w:firstRowFirstColumn="0" w:firstRowLastColumn="0" w:lastRowFirstColumn="0" w:lastRowLastColumn="0"/>
            <w:tcW w:w="371" w:type="pct"/>
          </w:tcPr>
          <w:p w14:paraId="42077640"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t>Yes</w:t>
            </w:r>
          </w:p>
        </w:tc>
        <w:tc>
          <w:tcPr>
            <w:tcW w:w="341" w:type="pct"/>
          </w:tcPr>
          <w:p w14:paraId="33505A1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0291BA3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C9C140C" w14:textId="543B50A5"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7AB9C9F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44866FC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20%</w:t>
            </w:r>
          </w:p>
        </w:tc>
        <w:tc>
          <w:tcPr>
            <w:cnfStyle w:val="000010000000" w:firstRow="0" w:lastRow="0" w:firstColumn="0" w:lastColumn="0" w:oddVBand="1" w:evenVBand="0" w:oddHBand="0" w:evenHBand="0" w:firstRowFirstColumn="0" w:firstRowLastColumn="0" w:lastRowFirstColumn="0" w:lastRowLastColumn="0"/>
            <w:tcW w:w="197" w:type="pct"/>
          </w:tcPr>
          <w:p w14:paraId="747C38EE" w14:textId="77777777" w:rsidR="00095411" w:rsidRPr="007348FD" w:rsidRDefault="00095411" w:rsidP="00591CBB">
            <w:pPr>
              <w:spacing w:after="160" w:line="259" w:lineRule="auto"/>
              <w:rPr>
                <w:rFonts w:ascii="Arial Narrow" w:hAnsi="Arial Narrow"/>
                <w:sz w:val="18"/>
                <w:szCs w:val="18"/>
              </w:rPr>
            </w:pPr>
          </w:p>
        </w:tc>
        <w:tc>
          <w:tcPr>
            <w:tcW w:w="273" w:type="pct"/>
          </w:tcPr>
          <w:p w14:paraId="5CA0EF6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50D46D1" w14:textId="77777777" w:rsidR="00095411" w:rsidRPr="007348FD" w:rsidRDefault="00095411" w:rsidP="00591CBB">
            <w:pPr>
              <w:spacing w:after="160" w:line="259" w:lineRule="auto"/>
              <w:rPr>
                <w:rFonts w:ascii="Arial Narrow" w:hAnsi="Arial Narrow"/>
                <w:sz w:val="18"/>
                <w:szCs w:val="18"/>
              </w:rPr>
            </w:pPr>
          </w:p>
        </w:tc>
        <w:tc>
          <w:tcPr>
            <w:tcW w:w="283" w:type="pct"/>
          </w:tcPr>
          <w:p w14:paraId="0962983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6756898" w14:textId="77777777" w:rsidR="00095411" w:rsidRPr="007348FD" w:rsidRDefault="00095411" w:rsidP="00591CBB">
            <w:pPr>
              <w:spacing w:after="160" w:line="259" w:lineRule="auto"/>
              <w:rPr>
                <w:rFonts w:ascii="Arial Narrow" w:hAnsi="Arial Narrow"/>
                <w:sz w:val="18"/>
                <w:szCs w:val="18"/>
              </w:rPr>
            </w:pPr>
          </w:p>
        </w:tc>
        <w:tc>
          <w:tcPr>
            <w:tcW w:w="149" w:type="pct"/>
          </w:tcPr>
          <w:p w14:paraId="013A4C1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484C82C" w14:textId="77777777" w:rsidR="00095411" w:rsidRPr="007348FD" w:rsidRDefault="00095411" w:rsidP="00591CBB">
            <w:pPr>
              <w:spacing w:after="160" w:line="259" w:lineRule="auto"/>
              <w:rPr>
                <w:rFonts w:ascii="Arial Narrow" w:hAnsi="Arial Narrow"/>
                <w:sz w:val="18"/>
                <w:szCs w:val="18"/>
              </w:rPr>
            </w:pPr>
          </w:p>
        </w:tc>
        <w:tc>
          <w:tcPr>
            <w:tcW w:w="214" w:type="pct"/>
          </w:tcPr>
          <w:p w14:paraId="650008F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50%</w:t>
            </w:r>
          </w:p>
        </w:tc>
        <w:tc>
          <w:tcPr>
            <w:cnfStyle w:val="000010000000" w:firstRow="0" w:lastRow="0" w:firstColumn="0" w:lastColumn="0" w:oddVBand="1" w:evenVBand="0" w:oddHBand="0" w:evenHBand="0" w:firstRowFirstColumn="0" w:firstRowLastColumn="0" w:lastRowFirstColumn="0" w:lastRowLastColumn="0"/>
            <w:tcW w:w="245" w:type="pct"/>
          </w:tcPr>
          <w:p w14:paraId="4D64CDE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75%</w:t>
            </w:r>
          </w:p>
        </w:tc>
        <w:tc>
          <w:tcPr>
            <w:tcW w:w="280" w:type="pct"/>
          </w:tcPr>
          <w:p w14:paraId="0E3E0532" w14:textId="6D6723B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75%</w:t>
            </w:r>
          </w:p>
        </w:tc>
      </w:tr>
      <w:tr w:rsidR="00637BF8" w:rsidRPr="00591CBB" w14:paraId="1377645F"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29B54B02" w14:textId="77777777" w:rsidR="00095411" w:rsidRPr="007348FD" w:rsidRDefault="00095411" w:rsidP="00591CBB">
            <w:pPr>
              <w:spacing w:after="160" w:line="259" w:lineRule="auto"/>
              <w:rPr>
                <w:rFonts w:ascii="Arial Narrow" w:hAnsi="Arial Narrow"/>
                <w:sz w:val="18"/>
                <w:szCs w:val="18"/>
              </w:rPr>
            </w:pPr>
          </w:p>
        </w:tc>
        <w:tc>
          <w:tcPr>
            <w:tcW w:w="460" w:type="pct"/>
          </w:tcPr>
          <w:p w14:paraId="2B0B4EA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BD4A4EB"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7C7C62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260AA17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00E1020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5317E8C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5749645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359B71AA" w14:textId="77777777" w:rsidR="00095411" w:rsidRPr="007348FD" w:rsidRDefault="00095411" w:rsidP="00591CBB">
            <w:pPr>
              <w:spacing w:after="160" w:line="259" w:lineRule="auto"/>
              <w:rPr>
                <w:rFonts w:ascii="Arial Narrow" w:hAnsi="Arial Narrow"/>
                <w:sz w:val="18"/>
                <w:szCs w:val="18"/>
              </w:rPr>
            </w:pPr>
          </w:p>
        </w:tc>
        <w:tc>
          <w:tcPr>
            <w:tcW w:w="273" w:type="pct"/>
          </w:tcPr>
          <w:p w14:paraId="27645D9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067A46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83" w:type="pct"/>
          </w:tcPr>
          <w:p w14:paraId="331BCE6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CC91E7A" w14:textId="77777777" w:rsidR="00095411" w:rsidRPr="007348FD" w:rsidRDefault="00095411" w:rsidP="00591CBB">
            <w:pPr>
              <w:spacing w:after="160" w:line="259" w:lineRule="auto"/>
              <w:rPr>
                <w:rFonts w:ascii="Arial Narrow" w:hAnsi="Arial Narrow"/>
                <w:sz w:val="18"/>
                <w:szCs w:val="18"/>
              </w:rPr>
            </w:pPr>
          </w:p>
        </w:tc>
        <w:tc>
          <w:tcPr>
            <w:tcW w:w="149" w:type="pct"/>
          </w:tcPr>
          <w:p w14:paraId="5AA313D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3D3D4A64" w14:textId="77777777" w:rsidR="00095411" w:rsidRPr="007348FD" w:rsidRDefault="00095411" w:rsidP="00591CBB">
            <w:pPr>
              <w:spacing w:after="160" w:line="259" w:lineRule="auto"/>
              <w:rPr>
                <w:rFonts w:ascii="Arial Narrow" w:hAnsi="Arial Narrow"/>
                <w:sz w:val="18"/>
                <w:szCs w:val="18"/>
              </w:rPr>
            </w:pPr>
          </w:p>
        </w:tc>
        <w:tc>
          <w:tcPr>
            <w:tcW w:w="214" w:type="pct"/>
          </w:tcPr>
          <w:p w14:paraId="735BC10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HMIS</w:t>
            </w:r>
          </w:p>
        </w:tc>
        <w:tc>
          <w:tcPr>
            <w:cnfStyle w:val="000010000000" w:firstRow="0" w:lastRow="0" w:firstColumn="0" w:lastColumn="0" w:oddVBand="1" w:evenVBand="0" w:oddHBand="0" w:evenHBand="0" w:firstRowFirstColumn="0" w:firstRowLastColumn="0" w:lastRowFirstColumn="0" w:lastRowLastColumn="0"/>
            <w:tcW w:w="245" w:type="pct"/>
          </w:tcPr>
          <w:p w14:paraId="22084C0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HMIS</w:t>
            </w:r>
          </w:p>
        </w:tc>
        <w:tc>
          <w:tcPr>
            <w:tcW w:w="280" w:type="pct"/>
          </w:tcPr>
          <w:p w14:paraId="24D9371B" w14:textId="26D45F23"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HMIS</w:t>
            </w:r>
          </w:p>
        </w:tc>
      </w:tr>
      <w:tr w:rsidR="00637BF8" w:rsidRPr="00591CBB" w14:paraId="23C06258"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66523C58" w14:textId="77777777" w:rsidR="00095411" w:rsidRPr="007348FD" w:rsidRDefault="00095411" w:rsidP="00591CBB">
            <w:pPr>
              <w:spacing w:after="160" w:line="259" w:lineRule="auto"/>
              <w:rPr>
                <w:rFonts w:ascii="Arial Narrow" w:hAnsi="Arial Narrow"/>
                <w:sz w:val="18"/>
                <w:szCs w:val="18"/>
              </w:rPr>
            </w:pPr>
          </w:p>
        </w:tc>
        <w:tc>
          <w:tcPr>
            <w:tcW w:w="460" w:type="pct"/>
          </w:tcPr>
          <w:p w14:paraId="7BE1DFC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35286AC"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00542F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6DC7233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54E5AB7B" w14:textId="1A48969F"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09F073A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6891FC6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20%</w:t>
            </w:r>
          </w:p>
        </w:tc>
        <w:tc>
          <w:tcPr>
            <w:cnfStyle w:val="000010000000" w:firstRow="0" w:lastRow="0" w:firstColumn="0" w:lastColumn="0" w:oddVBand="1" w:evenVBand="0" w:oddHBand="0" w:evenHBand="0" w:firstRowFirstColumn="0" w:firstRowLastColumn="0" w:lastRowFirstColumn="0" w:lastRowLastColumn="0"/>
            <w:tcW w:w="197" w:type="pct"/>
          </w:tcPr>
          <w:p w14:paraId="438CC55F" w14:textId="77777777" w:rsidR="00095411" w:rsidRPr="007348FD" w:rsidRDefault="00095411" w:rsidP="00591CBB">
            <w:pPr>
              <w:spacing w:after="160" w:line="259" w:lineRule="auto"/>
              <w:rPr>
                <w:rFonts w:ascii="Arial Narrow" w:hAnsi="Arial Narrow"/>
                <w:sz w:val="18"/>
                <w:szCs w:val="18"/>
              </w:rPr>
            </w:pPr>
          </w:p>
        </w:tc>
        <w:tc>
          <w:tcPr>
            <w:tcW w:w="273" w:type="pct"/>
          </w:tcPr>
          <w:p w14:paraId="0A7CB21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CC806DF" w14:textId="77777777" w:rsidR="00095411" w:rsidRPr="007348FD" w:rsidRDefault="00095411" w:rsidP="00591CBB">
            <w:pPr>
              <w:spacing w:after="160" w:line="259" w:lineRule="auto"/>
              <w:rPr>
                <w:rFonts w:ascii="Arial Narrow" w:hAnsi="Arial Narrow"/>
                <w:sz w:val="18"/>
                <w:szCs w:val="18"/>
              </w:rPr>
            </w:pPr>
          </w:p>
        </w:tc>
        <w:tc>
          <w:tcPr>
            <w:tcW w:w="283" w:type="pct"/>
          </w:tcPr>
          <w:p w14:paraId="50BC8AE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C299D5A" w14:textId="77777777" w:rsidR="00095411" w:rsidRPr="007348FD" w:rsidRDefault="00095411" w:rsidP="00591CBB">
            <w:pPr>
              <w:spacing w:after="160" w:line="259" w:lineRule="auto"/>
              <w:rPr>
                <w:rFonts w:ascii="Arial Narrow" w:hAnsi="Arial Narrow"/>
                <w:sz w:val="18"/>
                <w:szCs w:val="18"/>
              </w:rPr>
            </w:pPr>
          </w:p>
        </w:tc>
        <w:tc>
          <w:tcPr>
            <w:tcW w:w="149" w:type="pct"/>
          </w:tcPr>
          <w:p w14:paraId="138672F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7F45B19" w14:textId="77777777" w:rsidR="00095411" w:rsidRPr="007348FD" w:rsidRDefault="00095411" w:rsidP="00591CBB">
            <w:pPr>
              <w:spacing w:after="160" w:line="259" w:lineRule="auto"/>
              <w:rPr>
                <w:rFonts w:ascii="Arial Narrow" w:hAnsi="Arial Narrow"/>
                <w:sz w:val="18"/>
                <w:szCs w:val="18"/>
              </w:rPr>
            </w:pPr>
          </w:p>
        </w:tc>
        <w:tc>
          <w:tcPr>
            <w:tcW w:w="214" w:type="pct"/>
          </w:tcPr>
          <w:p w14:paraId="645795D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50%</w:t>
            </w:r>
          </w:p>
        </w:tc>
        <w:tc>
          <w:tcPr>
            <w:cnfStyle w:val="000010000000" w:firstRow="0" w:lastRow="0" w:firstColumn="0" w:lastColumn="0" w:oddVBand="1" w:evenVBand="0" w:oddHBand="0" w:evenHBand="0" w:firstRowFirstColumn="0" w:firstRowLastColumn="0" w:lastRowFirstColumn="0" w:lastRowLastColumn="0"/>
            <w:tcW w:w="245" w:type="pct"/>
          </w:tcPr>
          <w:p w14:paraId="0F1D199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75%</w:t>
            </w:r>
          </w:p>
        </w:tc>
        <w:tc>
          <w:tcPr>
            <w:tcW w:w="280" w:type="pct"/>
          </w:tcPr>
          <w:p w14:paraId="42F60573" w14:textId="65814525"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75%</w:t>
            </w:r>
          </w:p>
        </w:tc>
      </w:tr>
      <w:tr w:rsidR="00637BF8" w:rsidRPr="00591CBB" w14:paraId="14D8BA74"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26899A72" w14:textId="77777777" w:rsidR="00095411" w:rsidRPr="007348FD" w:rsidRDefault="00095411" w:rsidP="00591CBB">
            <w:pPr>
              <w:spacing w:after="160" w:line="259" w:lineRule="auto"/>
              <w:rPr>
                <w:rFonts w:ascii="Arial Narrow" w:hAnsi="Arial Narrow"/>
                <w:sz w:val="18"/>
                <w:szCs w:val="18"/>
              </w:rPr>
            </w:pPr>
          </w:p>
        </w:tc>
        <w:tc>
          <w:tcPr>
            <w:tcW w:w="460" w:type="pct"/>
          </w:tcPr>
          <w:p w14:paraId="07F6BE0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FE54912"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A30FD4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04722A9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2AD7F45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39C5642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64A00EF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6B6C3CE1" w14:textId="77777777" w:rsidR="00095411" w:rsidRPr="007348FD" w:rsidRDefault="00095411" w:rsidP="00591CBB">
            <w:pPr>
              <w:spacing w:after="160" w:line="259" w:lineRule="auto"/>
              <w:rPr>
                <w:rFonts w:ascii="Arial Narrow" w:hAnsi="Arial Narrow"/>
                <w:sz w:val="18"/>
                <w:szCs w:val="18"/>
              </w:rPr>
            </w:pPr>
          </w:p>
        </w:tc>
        <w:tc>
          <w:tcPr>
            <w:tcW w:w="273" w:type="pct"/>
          </w:tcPr>
          <w:p w14:paraId="3268615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96A820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83" w:type="pct"/>
          </w:tcPr>
          <w:p w14:paraId="360BD87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F7CC384" w14:textId="77777777" w:rsidR="00095411" w:rsidRPr="007348FD" w:rsidRDefault="00095411" w:rsidP="00591CBB">
            <w:pPr>
              <w:spacing w:after="160" w:line="259" w:lineRule="auto"/>
              <w:rPr>
                <w:rFonts w:ascii="Arial Narrow" w:hAnsi="Arial Narrow"/>
                <w:sz w:val="18"/>
                <w:szCs w:val="18"/>
              </w:rPr>
            </w:pPr>
          </w:p>
        </w:tc>
        <w:tc>
          <w:tcPr>
            <w:tcW w:w="149" w:type="pct"/>
          </w:tcPr>
          <w:p w14:paraId="7065A12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05E52FDD" w14:textId="77777777" w:rsidR="00095411" w:rsidRPr="007348FD" w:rsidRDefault="00095411" w:rsidP="00591CBB">
            <w:pPr>
              <w:spacing w:after="160" w:line="259" w:lineRule="auto"/>
              <w:rPr>
                <w:rFonts w:ascii="Arial Narrow" w:hAnsi="Arial Narrow"/>
                <w:sz w:val="18"/>
                <w:szCs w:val="18"/>
              </w:rPr>
            </w:pPr>
          </w:p>
        </w:tc>
        <w:tc>
          <w:tcPr>
            <w:tcW w:w="214" w:type="pct"/>
          </w:tcPr>
          <w:p w14:paraId="4469F62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HMIS</w:t>
            </w:r>
          </w:p>
        </w:tc>
        <w:tc>
          <w:tcPr>
            <w:cnfStyle w:val="000010000000" w:firstRow="0" w:lastRow="0" w:firstColumn="0" w:lastColumn="0" w:oddVBand="1" w:evenVBand="0" w:oddHBand="0" w:evenHBand="0" w:firstRowFirstColumn="0" w:firstRowLastColumn="0" w:lastRowFirstColumn="0" w:lastRowLastColumn="0"/>
            <w:tcW w:w="245" w:type="pct"/>
          </w:tcPr>
          <w:p w14:paraId="3014C08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HMIS</w:t>
            </w:r>
          </w:p>
        </w:tc>
        <w:tc>
          <w:tcPr>
            <w:tcW w:w="280" w:type="pct"/>
          </w:tcPr>
          <w:p w14:paraId="5A8F9E24" w14:textId="16E22288"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HMIS</w:t>
            </w:r>
          </w:p>
        </w:tc>
      </w:tr>
      <w:tr w:rsidR="00637BF8" w:rsidRPr="00591CBB" w14:paraId="5061779B"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5975B481" w14:textId="77777777" w:rsidR="00095411" w:rsidRPr="007348FD" w:rsidRDefault="00095411" w:rsidP="00591CBB">
            <w:pPr>
              <w:spacing w:after="160" w:line="259" w:lineRule="auto"/>
              <w:rPr>
                <w:rFonts w:ascii="Arial Narrow" w:hAnsi="Arial Narrow"/>
                <w:sz w:val="18"/>
                <w:szCs w:val="18"/>
              </w:rPr>
            </w:pPr>
          </w:p>
        </w:tc>
        <w:tc>
          <w:tcPr>
            <w:tcW w:w="460" w:type="pct"/>
          </w:tcPr>
          <w:p w14:paraId="139A93D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C25F320"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6ECD49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72E9725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06A36C29" w14:textId="0A156C53"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46791E3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2F87E13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20%</w:t>
            </w:r>
          </w:p>
        </w:tc>
        <w:tc>
          <w:tcPr>
            <w:cnfStyle w:val="000010000000" w:firstRow="0" w:lastRow="0" w:firstColumn="0" w:lastColumn="0" w:oddVBand="1" w:evenVBand="0" w:oddHBand="0" w:evenHBand="0" w:firstRowFirstColumn="0" w:firstRowLastColumn="0" w:lastRowFirstColumn="0" w:lastRowLastColumn="0"/>
            <w:tcW w:w="197" w:type="pct"/>
          </w:tcPr>
          <w:p w14:paraId="0AD8DE25" w14:textId="77777777" w:rsidR="00095411" w:rsidRPr="007348FD" w:rsidRDefault="00095411" w:rsidP="00591CBB">
            <w:pPr>
              <w:spacing w:after="160" w:line="259" w:lineRule="auto"/>
              <w:rPr>
                <w:rFonts w:ascii="Arial Narrow" w:hAnsi="Arial Narrow"/>
                <w:sz w:val="18"/>
                <w:szCs w:val="18"/>
              </w:rPr>
            </w:pPr>
          </w:p>
        </w:tc>
        <w:tc>
          <w:tcPr>
            <w:tcW w:w="273" w:type="pct"/>
          </w:tcPr>
          <w:p w14:paraId="3CCEE40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80E5E98" w14:textId="77777777" w:rsidR="00095411" w:rsidRPr="007348FD" w:rsidRDefault="00095411" w:rsidP="00591CBB">
            <w:pPr>
              <w:spacing w:after="160" w:line="259" w:lineRule="auto"/>
              <w:rPr>
                <w:rFonts w:ascii="Arial Narrow" w:hAnsi="Arial Narrow"/>
                <w:sz w:val="18"/>
                <w:szCs w:val="18"/>
              </w:rPr>
            </w:pPr>
          </w:p>
        </w:tc>
        <w:tc>
          <w:tcPr>
            <w:tcW w:w="283" w:type="pct"/>
          </w:tcPr>
          <w:p w14:paraId="0A4FD1B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32C89C2" w14:textId="77777777" w:rsidR="00095411" w:rsidRPr="007348FD" w:rsidRDefault="00095411" w:rsidP="00591CBB">
            <w:pPr>
              <w:spacing w:after="160" w:line="259" w:lineRule="auto"/>
              <w:rPr>
                <w:rFonts w:ascii="Arial Narrow" w:hAnsi="Arial Narrow"/>
                <w:sz w:val="18"/>
                <w:szCs w:val="18"/>
              </w:rPr>
            </w:pPr>
          </w:p>
        </w:tc>
        <w:tc>
          <w:tcPr>
            <w:tcW w:w="149" w:type="pct"/>
          </w:tcPr>
          <w:p w14:paraId="4EADA72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6F153AF" w14:textId="77777777" w:rsidR="00095411" w:rsidRPr="007348FD" w:rsidRDefault="00095411" w:rsidP="00591CBB">
            <w:pPr>
              <w:spacing w:after="160" w:line="259" w:lineRule="auto"/>
              <w:rPr>
                <w:rFonts w:ascii="Arial Narrow" w:hAnsi="Arial Narrow"/>
                <w:sz w:val="18"/>
                <w:szCs w:val="18"/>
              </w:rPr>
            </w:pPr>
          </w:p>
        </w:tc>
        <w:tc>
          <w:tcPr>
            <w:tcW w:w="214" w:type="pct"/>
          </w:tcPr>
          <w:p w14:paraId="2324515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50%</w:t>
            </w:r>
          </w:p>
        </w:tc>
        <w:tc>
          <w:tcPr>
            <w:cnfStyle w:val="000010000000" w:firstRow="0" w:lastRow="0" w:firstColumn="0" w:lastColumn="0" w:oddVBand="1" w:evenVBand="0" w:oddHBand="0" w:evenHBand="0" w:firstRowFirstColumn="0" w:firstRowLastColumn="0" w:lastRowFirstColumn="0" w:lastRowLastColumn="0"/>
            <w:tcW w:w="245" w:type="pct"/>
          </w:tcPr>
          <w:p w14:paraId="43515EA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75%</w:t>
            </w:r>
          </w:p>
        </w:tc>
        <w:tc>
          <w:tcPr>
            <w:tcW w:w="280" w:type="pct"/>
          </w:tcPr>
          <w:p w14:paraId="2B6A91AA" w14:textId="3E9E2758"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75%</w:t>
            </w:r>
          </w:p>
        </w:tc>
      </w:tr>
      <w:tr w:rsidR="00637BF8" w:rsidRPr="00591CBB" w14:paraId="497F52F7"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4636645A" w14:textId="77777777" w:rsidR="00095411" w:rsidRPr="007348FD" w:rsidRDefault="00095411" w:rsidP="00591CBB">
            <w:pPr>
              <w:spacing w:after="160" w:line="259" w:lineRule="auto"/>
              <w:rPr>
                <w:rFonts w:ascii="Arial Narrow" w:hAnsi="Arial Narrow"/>
                <w:sz w:val="18"/>
                <w:szCs w:val="18"/>
              </w:rPr>
            </w:pPr>
          </w:p>
        </w:tc>
        <w:tc>
          <w:tcPr>
            <w:tcW w:w="460" w:type="pct"/>
          </w:tcPr>
          <w:p w14:paraId="2FB4B1E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218CEC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CC120B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28114C2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3AA319B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1E1E0EA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02258EC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75E2A41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73" w:type="pct"/>
          </w:tcPr>
          <w:p w14:paraId="12BE94C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45E4F2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83" w:type="pct"/>
          </w:tcPr>
          <w:p w14:paraId="210FD2E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71BB1AD" w14:textId="77777777" w:rsidR="00095411" w:rsidRPr="007348FD" w:rsidRDefault="00095411" w:rsidP="00591CBB">
            <w:pPr>
              <w:spacing w:after="160" w:line="259" w:lineRule="auto"/>
              <w:rPr>
                <w:rFonts w:ascii="Arial Narrow" w:hAnsi="Arial Narrow"/>
                <w:sz w:val="18"/>
                <w:szCs w:val="18"/>
              </w:rPr>
            </w:pPr>
          </w:p>
        </w:tc>
        <w:tc>
          <w:tcPr>
            <w:tcW w:w="149" w:type="pct"/>
          </w:tcPr>
          <w:p w14:paraId="7C7C230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41595E19" w14:textId="77777777" w:rsidR="00095411" w:rsidRPr="007348FD" w:rsidRDefault="00095411" w:rsidP="00591CBB">
            <w:pPr>
              <w:spacing w:after="160" w:line="259" w:lineRule="auto"/>
              <w:rPr>
                <w:rFonts w:ascii="Arial Narrow" w:hAnsi="Arial Narrow"/>
                <w:sz w:val="18"/>
                <w:szCs w:val="18"/>
              </w:rPr>
            </w:pPr>
          </w:p>
        </w:tc>
        <w:tc>
          <w:tcPr>
            <w:tcW w:w="214" w:type="pct"/>
          </w:tcPr>
          <w:p w14:paraId="1C7BBDB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45" w:type="pct"/>
          </w:tcPr>
          <w:p w14:paraId="522A377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HMIS</w:t>
            </w:r>
          </w:p>
        </w:tc>
        <w:tc>
          <w:tcPr>
            <w:tcW w:w="280" w:type="pct"/>
          </w:tcPr>
          <w:p w14:paraId="186E9E09" w14:textId="021629D3"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HMIS</w:t>
            </w:r>
          </w:p>
        </w:tc>
      </w:tr>
      <w:tr w:rsidR="00637BF8" w:rsidRPr="00591CBB" w14:paraId="5099D0F0"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349EAB77" w14:textId="77777777" w:rsidR="00095411" w:rsidRPr="007348FD" w:rsidRDefault="00095411" w:rsidP="00591CBB">
            <w:pPr>
              <w:spacing w:after="160" w:line="259" w:lineRule="auto"/>
              <w:rPr>
                <w:rFonts w:ascii="Arial Narrow" w:hAnsi="Arial Narrow"/>
                <w:sz w:val="18"/>
                <w:szCs w:val="18"/>
              </w:rPr>
            </w:pPr>
          </w:p>
        </w:tc>
        <w:tc>
          <w:tcPr>
            <w:tcW w:w="460" w:type="pct"/>
          </w:tcPr>
          <w:p w14:paraId="4624D6F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E586AD3"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106DBF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4E75A39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F329A15" w14:textId="37A84BED"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434DE66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1E8BED6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20%</w:t>
            </w:r>
          </w:p>
        </w:tc>
        <w:tc>
          <w:tcPr>
            <w:cnfStyle w:val="000010000000" w:firstRow="0" w:lastRow="0" w:firstColumn="0" w:lastColumn="0" w:oddVBand="1" w:evenVBand="0" w:oddHBand="0" w:evenHBand="0" w:firstRowFirstColumn="0" w:firstRowLastColumn="0" w:lastRowFirstColumn="0" w:lastRowLastColumn="0"/>
            <w:tcW w:w="197" w:type="pct"/>
          </w:tcPr>
          <w:p w14:paraId="791F8445" w14:textId="77777777" w:rsidR="00095411" w:rsidRPr="007348FD" w:rsidRDefault="00095411" w:rsidP="00591CBB">
            <w:pPr>
              <w:spacing w:after="160" w:line="259" w:lineRule="auto"/>
              <w:rPr>
                <w:rFonts w:ascii="Arial Narrow" w:hAnsi="Arial Narrow"/>
                <w:sz w:val="18"/>
                <w:szCs w:val="18"/>
              </w:rPr>
            </w:pPr>
          </w:p>
        </w:tc>
        <w:tc>
          <w:tcPr>
            <w:tcW w:w="273" w:type="pct"/>
          </w:tcPr>
          <w:p w14:paraId="492254E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521370E" w14:textId="77777777" w:rsidR="00095411" w:rsidRPr="007348FD" w:rsidRDefault="00095411" w:rsidP="00591CBB">
            <w:pPr>
              <w:spacing w:after="160" w:line="259" w:lineRule="auto"/>
              <w:rPr>
                <w:rFonts w:ascii="Arial Narrow" w:hAnsi="Arial Narrow"/>
                <w:sz w:val="18"/>
                <w:szCs w:val="18"/>
              </w:rPr>
            </w:pPr>
          </w:p>
        </w:tc>
        <w:tc>
          <w:tcPr>
            <w:tcW w:w="283" w:type="pct"/>
          </w:tcPr>
          <w:p w14:paraId="2649F2F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DFA061A" w14:textId="77777777" w:rsidR="00095411" w:rsidRPr="007348FD" w:rsidRDefault="00095411" w:rsidP="00591CBB">
            <w:pPr>
              <w:spacing w:after="160" w:line="259" w:lineRule="auto"/>
              <w:rPr>
                <w:rFonts w:ascii="Arial Narrow" w:hAnsi="Arial Narrow"/>
                <w:sz w:val="18"/>
                <w:szCs w:val="18"/>
              </w:rPr>
            </w:pPr>
          </w:p>
        </w:tc>
        <w:tc>
          <w:tcPr>
            <w:tcW w:w="149" w:type="pct"/>
          </w:tcPr>
          <w:p w14:paraId="7BC90BA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6AD006D0" w14:textId="77777777" w:rsidR="00095411" w:rsidRPr="007348FD" w:rsidRDefault="00095411" w:rsidP="00591CBB">
            <w:pPr>
              <w:spacing w:after="160" w:line="259" w:lineRule="auto"/>
              <w:rPr>
                <w:rFonts w:ascii="Arial Narrow" w:hAnsi="Arial Narrow"/>
                <w:sz w:val="18"/>
                <w:szCs w:val="18"/>
              </w:rPr>
            </w:pPr>
          </w:p>
        </w:tc>
        <w:tc>
          <w:tcPr>
            <w:tcW w:w="214" w:type="pct"/>
          </w:tcPr>
          <w:p w14:paraId="49A245F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50%</w:t>
            </w:r>
          </w:p>
        </w:tc>
        <w:tc>
          <w:tcPr>
            <w:cnfStyle w:val="000010000000" w:firstRow="0" w:lastRow="0" w:firstColumn="0" w:lastColumn="0" w:oddVBand="1" w:evenVBand="0" w:oddHBand="0" w:evenHBand="0" w:firstRowFirstColumn="0" w:firstRowLastColumn="0" w:lastRowFirstColumn="0" w:lastRowLastColumn="0"/>
            <w:tcW w:w="245" w:type="pct"/>
          </w:tcPr>
          <w:p w14:paraId="7163A81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75%</w:t>
            </w:r>
          </w:p>
        </w:tc>
        <w:tc>
          <w:tcPr>
            <w:tcW w:w="280" w:type="pct"/>
          </w:tcPr>
          <w:p w14:paraId="43BC3655" w14:textId="2328B613"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75%</w:t>
            </w:r>
          </w:p>
        </w:tc>
      </w:tr>
      <w:tr w:rsidR="00637BF8" w:rsidRPr="00591CBB" w14:paraId="75D99AFA"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37F16A3E" w14:textId="77777777" w:rsidR="00095411" w:rsidRPr="007348FD" w:rsidRDefault="00095411" w:rsidP="00591CBB">
            <w:pPr>
              <w:spacing w:after="160" w:line="259" w:lineRule="auto"/>
              <w:rPr>
                <w:rFonts w:ascii="Arial Narrow" w:hAnsi="Arial Narrow"/>
                <w:sz w:val="18"/>
                <w:szCs w:val="18"/>
              </w:rPr>
            </w:pPr>
          </w:p>
        </w:tc>
        <w:tc>
          <w:tcPr>
            <w:tcW w:w="460" w:type="pct"/>
          </w:tcPr>
          <w:p w14:paraId="4385AB4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A09C6EB"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42121A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6615D0D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6DFAF1D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4F1CEED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2402B1C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166BD234" w14:textId="77777777" w:rsidR="00095411" w:rsidRPr="007348FD" w:rsidRDefault="00095411" w:rsidP="00591CBB">
            <w:pPr>
              <w:spacing w:after="160" w:line="259" w:lineRule="auto"/>
              <w:rPr>
                <w:rFonts w:ascii="Arial Narrow" w:hAnsi="Arial Narrow"/>
                <w:sz w:val="18"/>
                <w:szCs w:val="18"/>
              </w:rPr>
            </w:pPr>
          </w:p>
        </w:tc>
        <w:tc>
          <w:tcPr>
            <w:tcW w:w="273" w:type="pct"/>
          </w:tcPr>
          <w:p w14:paraId="416BC85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EF28FD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83" w:type="pct"/>
          </w:tcPr>
          <w:p w14:paraId="1A8444A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F4B956F" w14:textId="77777777" w:rsidR="00095411" w:rsidRPr="007348FD" w:rsidRDefault="00095411" w:rsidP="00591CBB">
            <w:pPr>
              <w:spacing w:after="160" w:line="259" w:lineRule="auto"/>
              <w:rPr>
                <w:rFonts w:ascii="Arial Narrow" w:hAnsi="Arial Narrow"/>
                <w:sz w:val="18"/>
                <w:szCs w:val="18"/>
              </w:rPr>
            </w:pPr>
          </w:p>
        </w:tc>
        <w:tc>
          <w:tcPr>
            <w:tcW w:w="149" w:type="pct"/>
          </w:tcPr>
          <w:p w14:paraId="71B0B57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232D7C08" w14:textId="77777777" w:rsidR="00095411" w:rsidRPr="007348FD" w:rsidRDefault="00095411" w:rsidP="00591CBB">
            <w:pPr>
              <w:spacing w:after="160" w:line="259" w:lineRule="auto"/>
              <w:rPr>
                <w:rFonts w:ascii="Arial Narrow" w:hAnsi="Arial Narrow"/>
                <w:sz w:val="18"/>
                <w:szCs w:val="18"/>
              </w:rPr>
            </w:pPr>
          </w:p>
        </w:tc>
        <w:tc>
          <w:tcPr>
            <w:tcW w:w="214" w:type="pct"/>
          </w:tcPr>
          <w:p w14:paraId="22FBF99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NA</w:t>
            </w:r>
          </w:p>
        </w:tc>
        <w:tc>
          <w:tcPr>
            <w:cnfStyle w:val="000010000000" w:firstRow="0" w:lastRow="0" w:firstColumn="0" w:lastColumn="0" w:oddVBand="1" w:evenVBand="0" w:oddHBand="0" w:evenHBand="0" w:firstRowFirstColumn="0" w:firstRowLastColumn="0" w:lastRowFirstColumn="0" w:lastRowLastColumn="0"/>
            <w:tcW w:w="245" w:type="pct"/>
          </w:tcPr>
          <w:p w14:paraId="37A25ED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HMIS</w:t>
            </w:r>
          </w:p>
        </w:tc>
        <w:tc>
          <w:tcPr>
            <w:tcW w:w="280" w:type="pct"/>
          </w:tcPr>
          <w:p w14:paraId="295FAAEB" w14:textId="14F075D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HMIS</w:t>
            </w:r>
          </w:p>
        </w:tc>
      </w:tr>
      <w:tr w:rsidR="00637BF8" w:rsidRPr="00591CBB" w14:paraId="6A63BDB5"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381B6221" w14:textId="77777777" w:rsidR="00095411" w:rsidRPr="007348FD" w:rsidRDefault="00095411" w:rsidP="00591CBB">
            <w:pPr>
              <w:spacing w:after="160" w:line="259" w:lineRule="auto"/>
              <w:rPr>
                <w:rFonts w:ascii="Arial Narrow" w:hAnsi="Arial Narrow"/>
                <w:sz w:val="18"/>
                <w:szCs w:val="18"/>
              </w:rPr>
            </w:pPr>
          </w:p>
        </w:tc>
        <w:tc>
          <w:tcPr>
            <w:tcW w:w="460" w:type="pct"/>
          </w:tcPr>
          <w:p w14:paraId="0D9068D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8124283"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F8E8FF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77B934E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B3560ED" w14:textId="262BC1DE"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59D4437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3F2DA84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20%</w:t>
            </w:r>
          </w:p>
        </w:tc>
        <w:tc>
          <w:tcPr>
            <w:cnfStyle w:val="000010000000" w:firstRow="0" w:lastRow="0" w:firstColumn="0" w:lastColumn="0" w:oddVBand="1" w:evenVBand="0" w:oddHBand="0" w:evenHBand="0" w:firstRowFirstColumn="0" w:firstRowLastColumn="0" w:lastRowFirstColumn="0" w:lastRowLastColumn="0"/>
            <w:tcW w:w="197" w:type="pct"/>
          </w:tcPr>
          <w:p w14:paraId="559DFA38" w14:textId="77777777" w:rsidR="00095411" w:rsidRPr="007348FD" w:rsidRDefault="00095411" w:rsidP="00591CBB">
            <w:pPr>
              <w:spacing w:after="160" w:line="259" w:lineRule="auto"/>
              <w:rPr>
                <w:rFonts w:ascii="Arial Narrow" w:hAnsi="Arial Narrow"/>
                <w:sz w:val="18"/>
                <w:szCs w:val="18"/>
              </w:rPr>
            </w:pPr>
          </w:p>
        </w:tc>
        <w:tc>
          <w:tcPr>
            <w:tcW w:w="273" w:type="pct"/>
          </w:tcPr>
          <w:p w14:paraId="2895204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C04B0F0" w14:textId="77777777" w:rsidR="00095411" w:rsidRPr="007348FD" w:rsidRDefault="00095411" w:rsidP="00591CBB">
            <w:pPr>
              <w:spacing w:after="160" w:line="259" w:lineRule="auto"/>
              <w:rPr>
                <w:rFonts w:ascii="Arial Narrow" w:hAnsi="Arial Narrow"/>
                <w:sz w:val="18"/>
                <w:szCs w:val="18"/>
              </w:rPr>
            </w:pPr>
          </w:p>
        </w:tc>
        <w:tc>
          <w:tcPr>
            <w:tcW w:w="283" w:type="pct"/>
          </w:tcPr>
          <w:p w14:paraId="5B04E34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58FA01C" w14:textId="77777777" w:rsidR="00095411" w:rsidRPr="007348FD" w:rsidRDefault="00095411" w:rsidP="00591CBB">
            <w:pPr>
              <w:spacing w:after="160" w:line="259" w:lineRule="auto"/>
              <w:rPr>
                <w:rFonts w:ascii="Arial Narrow" w:hAnsi="Arial Narrow"/>
                <w:sz w:val="18"/>
                <w:szCs w:val="18"/>
              </w:rPr>
            </w:pPr>
          </w:p>
        </w:tc>
        <w:tc>
          <w:tcPr>
            <w:tcW w:w="149" w:type="pct"/>
          </w:tcPr>
          <w:p w14:paraId="51FE4E6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412A567" w14:textId="77777777" w:rsidR="00095411" w:rsidRPr="007348FD" w:rsidRDefault="00095411" w:rsidP="00591CBB">
            <w:pPr>
              <w:spacing w:after="160" w:line="259" w:lineRule="auto"/>
              <w:rPr>
                <w:rFonts w:ascii="Arial Narrow" w:hAnsi="Arial Narrow"/>
                <w:sz w:val="18"/>
                <w:szCs w:val="18"/>
              </w:rPr>
            </w:pPr>
          </w:p>
        </w:tc>
        <w:tc>
          <w:tcPr>
            <w:tcW w:w="214" w:type="pct"/>
          </w:tcPr>
          <w:p w14:paraId="7A602E0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50%</w:t>
            </w:r>
          </w:p>
        </w:tc>
        <w:tc>
          <w:tcPr>
            <w:cnfStyle w:val="000010000000" w:firstRow="0" w:lastRow="0" w:firstColumn="0" w:lastColumn="0" w:oddVBand="1" w:evenVBand="0" w:oddHBand="0" w:evenHBand="0" w:firstRowFirstColumn="0" w:firstRowLastColumn="0" w:lastRowFirstColumn="0" w:lastRowLastColumn="0"/>
            <w:tcW w:w="245" w:type="pct"/>
          </w:tcPr>
          <w:p w14:paraId="56D33CB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75%</w:t>
            </w:r>
          </w:p>
        </w:tc>
        <w:tc>
          <w:tcPr>
            <w:tcW w:w="280" w:type="pct"/>
          </w:tcPr>
          <w:p w14:paraId="0E2BAD43" w14:textId="364BCEDD"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75%</w:t>
            </w:r>
          </w:p>
        </w:tc>
      </w:tr>
      <w:tr w:rsidR="00637BF8" w:rsidRPr="00591CBB" w14:paraId="7F3C4DBC"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0F71B554" w14:textId="77777777" w:rsidR="00095411" w:rsidRPr="007348FD" w:rsidRDefault="00095411" w:rsidP="00591CBB">
            <w:pPr>
              <w:spacing w:after="160" w:line="259" w:lineRule="auto"/>
              <w:rPr>
                <w:rFonts w:ascii="Arial Narrow" w:hAnsi="Arial Narrow"/>
                <w:sz w:val="18"/>
                <w:szCs w:val="18"/>
              </w:rPr>
            </w:pPr>
          </w:p>
        </w:tc>
        <w:tc>
          <w:tcPr>
            <w:tcW w:w="460" w:type="pct"/>
          </w:tcPr>
          <w:p w14:paraId="18461E0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4FAA318"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E4FC48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533761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624529C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12610C6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3025224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1BA108B6" w14:textId="77777777" w:rsidR="00095411" w:rsidRPr="007348FD" w:rsidRDefault="00095411" w:rsidP="00591CBB">
            <w:pPr>
              <w:spacing w:after="160" w:line="259" w:lineRule="auto"/>
              <w:rPr>
                <w:rFonts w:ascii="Arial Narrow" w:hAnsi="Arial Narrow"/>
                <w:sz w:val="18"/>
                <w:szCs w:val="18"/>
              </w:rPr>
            </w:pPr>
          </w:p>
        </w:tc>
        <w:tc>
          <w:tcPr>
            <w:tcW w:w="273" w:type="pct"/>
          </w:tcPr>
          <w:p w14:paraId="0BD7FED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857637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83" w:type="pct"/>
          </w:tcPr>
          <w:p w14:paraId="4B8F369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02D92B9" w14:textId="77777777" w:rsidR="00095411" w:rsidRPr="007348FD" w:rsidRDefault="00095411" w:rsidP="00591CBB">
            <w:pPr>
              <w:spacing w:after="160" w:line="259" w:lineRule="auto"/>
              <w:rPr>
                <w:rFonts w:ascii="Arial Narrow" w:hAnsi="Arial Narrow"/>
                <w:sz w:val="18"/>
                <w:szCs w:val="18"/>
              </w:rPr>
            </w:pPr>
          </w:p>
        </w:tc>
        <w:tc>
          <w:tcPr>
            <w:tcW w:w="149" w:type="pct"/>
          </w:tcPr>
          <w:p w14:paraId="7F629D9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0543C621" w14:textId="77777777" w:rsidR="00095411" w:rsidRPr="007348FD" w:rsidRDefault="00095411" w:rsidP="00591CBB">
            <w:pPr>
              <w:spacing w:after="160" w:line="259" w:lineRule="auto"/>
              <w:rPr>
                <w:rFonts w:ascii="Arial Narrow" w:hAnsi="Arial Narrow"/>
                <w:sz w:val="18"/>
                <w:szCs w:val="18"/>
              </w:rPr>
            </w:pPr>
          </w:p>
        </w:tc>
        <w:tc>
          <w:tcPr>
            <w:tcW w:w="214" w:type="pct"/>
          </w:tcPr>
          <w:p w14:paraId="14149C9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HMIS</w:t>
            </w:r>
          </w:p>
        </w:tc>
        <w:tc>
          <w:tcPr>
            <w:cnfStyle w:val="000010000000" w:firstRow="0" w:lastRow="0" w:firstColumn="0" w:lastColumn="0" w:oddVBand="1" w:evenVBand="0" w:oddHBand="0" w:evenHBand="0" w:firstRowFirstColumn="0" w:firstRowLastColumn="0" w:lastRowFirstColumn="0" w:lastRowLastColumn="0"/>
            <w:tcW w:w="245" w:type="pct"/>
          </w:tcPr>
          <w:p w14:paraId="75C8BE1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HMIS</w:t>
            </w:r>
          </w:p>
        </w:tc>
        <w:tc>
          <w:tcPr>
            <w:tcW w:w="280" w:type="pct"/>
          </w:tcPr>
          <w:p w14:paraId="44CB5E3C" w14:textId="5EDCB2CB"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HMIS</w:t>
            </w:r>
          </w:p>
        </w:tc>
      </w:tr>
      <w:tr w:rsidR="00637BF8" w:rsidRPr="00591CBB" w14:paraId="6573C637" w14:textId="77777777" w:rsidTr="00051F27">
        <w:trPr>
          <w:trHeight w:val="228"/>
        </w:trPr>
        <w:tc>
          <w:tcPr>
            <w:cnfStyle w:val="000010000000" w:firstRow="0" w:lastRow="0" w:firstColumn="0" w:lastColumn="0" w:oddVBand="1" w:evenVBand="0" w:oddHBand="0" w:evenHBand="0" w:firstRowFirstColumn="0" w:firstRowLastColumn="0" w:lastRowFirstColumn="0" w:lastRowLastColumn="0"/>
            <w:tcW w:w="432" w:type="pct"/>
          </w:tcPr>
          <w:p w14:paraId="477F16BD" w14:textId="77777777" w:rsidR="00095411" w:rsidRPr="007348FD" w:rsidRDefault="00095411" w:rsidP="00591CBB">
            <w:pPr>
              <w:spacing w:after="160" w:line="259" w:lineRule="auto"/>
              <w:rPr>
                <w:rFonts w:ascii="Arial Narrow" w:hAnsi="Arial Narrow"/>
                <w:sz w:val="18"/>
                <w:szCs w:val="18"/>
              </w:rPr>
            </w:pPr>
          </w:p>
        </w:tc>
        <w:tc>
          <w:tcPr>
            <w:tcW w:w="460" w:type="pct"/>
          </w:tcPr>
          <w:p w14:paraId="71982AC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5AEC1A7"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C48131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38CDD3D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041110BB" w14:textId="194CF7DF"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1DBB925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3FE9636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20%</w:t>
            </w:r>
          </w:p>
        </w:tc>
        <w:tc>
          <w:tcPr>
            <w:cnfStyle w:val="000010000000" w:firstRow="0" w:lastRow="0" w:firstColumn="0" w:lastColumn="0" w:oddVBand="1" w:evenVBand="0" w:oddHBand="0" w:evenHBand="0" w:firstRowFirstColumn="0" w:firstRowLastColumn="0" w:lastRowFirstColumn="0" w:lastRowLastColumn="0"/>
            <w:tcW w:w="197" w:type="pct"/>
          </w:tcPr>
          <w:p w14:paraId="77982E4D" w14:textId="77777777" w:rsidR="00095411" w:rsidRPr="007348FD" w:rsidRDefault="00095411" w:rsidP="00591CBB">
            <w:pPr>
              <w:spacing w:after="160" w:line="259" w:lineRule="auto"/>
              <w:rPr>
                <w:rFonts w:ascii="Arial Narrow" w:hAnsi="Arial Narrow"/>
                <w:sz w:val="18"/>
                <w:szCs w:val="18"/>
              </w:rPr>
            </w:pPr>
          </w:p>
        </w:tc>
        <w:tc>
          <w:tcPr>
            <w:tcW w:w="273" w:type="pct"/>
          </w:tcPr>
          <w:p w14:paraId="24353AC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91CD968" w14:textId="77777777" w:rsidR="00095411" w:rsidRPr="007348FD" w:rsidRDefault="00095411" w:rsidP="00591CBB">
            <w:pPr>
              <w:spacing w:after="160" w:line="259" w:lineRule="auto"/>
              <w:rPr>
                <w:rFonts w:ascii="Arial Narrow" w:hAnsi="Arial Narrow"/>
                <w:sz w:val="18"/>
                <w:szCs w:val="18"/>
              </w:rPr>
            </w:pPr>
          </w:p>
        </w:tc>
        <w:tc>
          <w:tcPr>
            <w:tcW w:w="283" w:type="pct"/>
          </w:tcPr>
          <w:p w14:paraId="52CD40F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7417FC6" w14:textId="77777777" w:rsidR="00095411" w:rsidRPr="007348FD" w:rsidRDefault="00095411" w:rsidP="00591CBB">
            <w:pPr>
              <w:spacing w:after="160" w:line="259" w:lineRule="auto"/>
              <w:rPr>
                <w:rFonts w:ascii="Arial Narrow" w:hAnsi="Arial Narrow"/>
                <w:sz w:val="18"/>
                <w:szCs w:val="18"/>
              </w:rPr>
            </w:pPr>
          </w:p>
        </w:tc>
        <w:tc>
          <w:tcPr>
            <w:tcW w:w="149" w:type="pct"/>
          </w:tcPr>
          <w:p w14:paraId="16CF8C1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33D70C5" w14:textId="77777777" w:rsidR="00095411" w:rsidRPr="007348FD" w:rsidRDefault="00095411" w:rsidP="00591CBB">
            <w:pPr>
              <w:spacing w:after="160" w:line="259" w:lineRule="auto"/>
              <w:rPr>
                <w:rFonts w:ascii="Arial Narrow" w:hAnsi="Arial Narrow"/>
                <w:sz w:val="18"/>
                <w:szCs w:val="18"/>
              </w:rPr>
            </w:pPr>
          </w:p>
        </w:tc>
        <w:tc>
          <w:tcPr>
            <w:tcW w:w="214" w:type="pct"/>
          </w:tcPr>
          <w:p w14:paraId="571C146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50%</w:t>
            </w:r>
          </w:p>
        </w:tc>
        <w:tc>
          <w:tcPr>
            <w:cnfStyle w:val="000010000000" w:firstRow="0" w:lastRow="0" w:firstColumn="0" w:lastColumn="0" w:oddVBand="1" w:evenVBand="0" w:oddHBand="0" w:evenHBand="0" w:firstRowFirstColumn="0" w:firstRowLastColumn="0" w:lastRowFirstColumn="0" w:lastRowLastColumn="0"/>
            <w:tcW w:w="245" w:type="pct"/>
          </w:tcPr>
          <w:p w14:paraId="6B4871C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75%</w:t>
            </w:r>
          </w:p>
        </w:tc>
        <w:tc>
          <w:tcPr>
            <w:tcW w:w="280" w:type="pct"/>
          </w:tcPr>
          <w:p w14:paraId="7B309AF3" w14:textId="68C3D16D"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75%</w:t>
            </w:r>
          </w:p>
        </w:tc>
      </w:tr>
      <w:tr w:rsidR="00637BF8" w:rsidRPr="00591CBB" w14:paraId="108DBB08" w14:textId="77777777" w:rsidTr="00051F27">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432" w:type="pct"/>
          </w:tcPr>
          <w:p w14:paraId="25881854" w14:textId="77777777" w:rsidR="00095411" w:rsidRPr="007348FD" w:rsidRDefault="00095411" w:rsidP="00591CBB">
            <w:pPr>
              <w:spacing w:after="160" w:line="259" w:lineRule="auto"/>
              <w:rPr>
                <w:rFonts w:ascii="Arial Narrow" w:hAnsi="Arial Narrow"/>
                <w:sz w:val="18"/>
                <w:szCs w:val="18"/>
              </w:rPr>
            </w:pPr>
          </w:p>
        </w:tc>
        <w:tc>
          <w:tcPr>
            <w:tcW w:w="460" w:type="pct"/>
          </w:tcPr>
          <w:p w14:paraId="711A1B0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18B53C1"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918CAC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728594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21F61E5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TBD in 2019</w:t>
            </w:r>
          </w:p>
        </w:tc>
        <w:tc>
          <w:tcPr>
            <w:cnfStyle w:val="000010000000" w:firstRow="0" w:lastRow="0" w:firstColumn="0" w:lastColumn="0" w:oddVBand="1" w:evenVBand="0" w:oddHBand="0" w:evenHBand="0" w:firstRowFirstColumn="0" w:firstRowLastColumn="0" w:lastRowFirstColumn="0" w:lastRowLastColumn="0"/>
            <w:tcW w:w="271" w:type="pct"/>
          </w:tcPr>
          <w:p w14:paraId="79F59FE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5F044DA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432355A2" w14:textId="77777777" w:rsidR="00095411" w:rsidRPr="007348FD" w:rsidRDefault="00095411" w:rsidP="00591CBB">
            <w:pPr>
              <w:spacing w:after="160" w:line="259" w:lineRule="auto"/>
              <w:rPr>
                <w:rFonts w:ascii="Arial Narrow" w:hAnsi="Arial Narrow"/>
                <w:sz w:val="18"/>
                <w:szCs w:val="18"/>
              </w:rPr>
            </w:pPr>
          </w:p>
        </w:tc>
        <w:tc>
          <w:tcPr>
            <w:tcW w:w="273" w:type="pct"/>
          </w:tcPr>
          <w:p w14:paraId="3D99058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2754E6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83" w:type="pct"/>
          </w:tcPr>
          <w:p w14:paraId="594CA64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C938665" w14:textId="77777777" w:rsidR="00095411" w:rsidRPr="007348FD" w:rsidRDefault="00095411" w:rsidP="00591CBB">
            <w:pPr>
              <w:spacing w:after="160" w:line="259" w:lineRule="auto"/>
              <w:rPr>
                <w:rFonts w:ascii="Arial Narrow" w:hAnsi="Arial Narrow"/>
                <w:sz w:val="18"/>
                <w:szCs w:val="18"/>
              </w:rPr>
            </w:pPr>
          </w:p>
        </w:tc>
        <w:tc>
          <w:tcPr>
            <w:tcW w:w="149" w:type="pct"/>
          </w:tcPr>
          <w:p w14:paraId="7297CF0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44EDD63F" w14:textId="77777777" w:rsidR="00095411" w:rsidRPr="007348FD" w:rsidRDefault="00095411" w:rsidP="00591CBB">
            <w:pPr>
              <w:spacing w:after="160" w:line="259" w:lineRule="auto"/>
              <w:rPr>
                <w:rFonts w:ascii="Arial Narrow" w:hAnsi="Arial Narrow"/>
                <w:sz w:val="18"/>
                <w:szCs w:val="18"/>
              </w:rPr>
            </w:pPr>
          </w:p>
        </w:tc>
        <w:tc>
          <w:tcPr>
            <w:tcW w:w="214" w:type="pct"/>
          </w:tcPr>
          <w:p w14:paraId="73410A3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HMIS</w:t>
            </w:r>
          </w:p>
        </w:tc>
        <w:tc>
          <w:tcPr>
            <w:cnfStyle w:val="000010000000" w:firstRow="0" w:lastRow="0" w:firstColumn="0" w:lastColumn="0" w:oddVBand="1" w:evenVBand="0" w:oddHBand="0" w:evenHBand="0" w:firstRowFirstColumn="0" w:firstRowLastColumn="0" w:lastRowFirstColumn="0" w:lastRowLastColumn="0"/>
            <w:tcW w:w="245" w:type="pct"/>
          </w:tcPr>
          <w:p w14:paraId="213216A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HMIS</w:t>
            </w:r>
          </w:p>
        </w:tc>
        <w:tc>
          <w:tcPr>
            <w:tcW w:w="280" w:type="pct"/>
          </w:tcPr>
          <w:p w14:paraId="5413DC22" w14:textId="144C5203"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HMIS</w:t>
            </w:r>
          </w:p>
        </w:tc>
      </w:tr>
      <w:tr w:rsidR="00637BF8" w:rsidRPr="00591CBB" w14:paraId="40BB2F8D" w14:textId="77777777" w:rsidTr="00051F27">
        <w:trPr>
          <w:trHeight w:val="185"/>
        </w:trPr>
        <w:tc>
          <w:tcPr>
            <w:cnfStyle w:val="000010000000" w:firstRow="0" w:lastRow="0" w:firstColumn="0" w:lastColumn="0" w:oddVBand="1" w:evenVBand="0" w:oddHBand="0" w:evenHBand="0" w:firstRowFirstColumn="0" w:firstRowLastColumn="0" w:lastRowFirstColumn="0" w:lastRowLastColumn="0"/>
            <w:tcW w:w="432" w:type="pct"/>
          </w:tcPr>
          <w:p w14:paraId="284CEBB6" w14:textId="77777777" w:rsidR="00095411" w:rsidRPr="007348FD" w:rsidRDefault="00095411" w:rsidP="00591CBB">
            <w:pPr>
              <w:spacing w:after="160" w:line="259" w:lineRule="auto"/>
              <w:rPr>
                <w:rFonts w:ascii="Arial Narrow" w:hAnsi="Arial Narrow"/>
                <w:sz w:val="18"/>
                <w:szCs w:val="18"/>
              </w:rPr>
            </w:pPr>
          </w:p>
        </w:tc>
        <w:tc>
          <w:tcPr>
            <w:tcW w:w="460" w:type="pct"/>
          </w:tcPr>
          <w:p w14:paraId="29FB7BB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13. By 2022, all six countries are conducting routine patient satisfaction surveys on the provision of SRH services and making the results publicly available.</w:t>
            </w:r>
          </w:p>
        </w:tc>
        <w:tc>
          <w:tcPr>
            <w:cnfStyle w:val="000010000000" w:firstRow="0" w:lastRow="0" w:firstColumn="0" w:lastColumn="0" w:oddVBand="1" w:evenVBand="0" w:oddHBand="0" w:evenHBand="0" w:firstRowFirstColumn="0" w:firstRowLastColumn="0" w:lastRowFirstColumn="0" w:lastRowLastColumn="0"/>
            <w:tcW w:w="371" w:type="pct"/>
          </w:tcPr>
          <w:p w14:paraId="2FC6B43D"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t>Yes</w:t>
            </w:r>
          </w:p>
        </w:tc>
        <w:tc>
          <w:tcPr>
            <w:tcW w:w="341" w:type="pct"/>
          </w:tcPr>
          <w:p w14:paraId="74FD52F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3563A5A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AD75AE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42C80CB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98" w:type="pct"/>
          </w:tcPr>
          <w:p w14:paraId="0F9CA16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06E97704" w14:textId="77777777" w:rsidR="00095411" w:rsidRPr="007348FD" w:rsidRDefault="00095411" w:rsidP="00591CBB">
            <w:pPr>
              <w:spacing w:after="160" w:line="259" w:lineRule="auto"/>
              <w:rPr>
                <w:rFonts w:ascii="Arial Narrow" w:hAnsi="Arial Narrow"/>
                <w:sz w:val="18"/>
                <w:szCs w:val="18"/>
              </w:rPr>
            </w:pPr>
          </w:p>
        </w:tc>
        <w:tc>
          <w:tcPr>
            <w:tcW w:w="273" w:type="pct"/>
          </w:tcPr>
          <w:p w14:paraId="4587929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D0EB4C4" w14:textId="77777777" w:rsidR="00095411" w:rsidRPr="007348FD" w:rsidRDefault="00095411" w:rsidP="00591CBB">
            <w:pPr>
              <w:spacing w:after="160" w:line="259" w:lineRule="auto"/>
              <w:rPr>
                <w:rFonts w:ascii="Arial Narrow" w:hAnsi="Arial Narrow"/>
                <w:sz w:val="18"/>
                <w:szCs w:val="18"/>
              </w:rPr>
            </w:pPr>
          </w:p>
        </w:tc>
        <w:tc>
          <w:tcPr>
            <w:tcW w:w="283" w:type="pct"/>
          </w:tcPr>
          <w:p w14:paraId="3839B93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983501E" w14:textId="77777777" w:rsidR="00095411" w:rsidRPr="007348FD" w:rsidRDefault="00095411" w:rsidP="00591CBB">
            <w:pPr>
              <w:spacing w:after="160" w:line="259" w:lineRule="auto"/>
              <w:rPr>
                <w:rFonts w:ascii="Arial Narrow" w:hAnsi="Arial Narrow"/>
                <w:sz w:val="18"/>
                <w:szCs w:val="18"/>
              </w:rPr>
            </w:pPr>
          </w:p>
        </w:tc>
        <w:tc>
          <w:tcPr>
            <w:tcW w:w="149" w:type="pct"/>
          </w:tcPr>
          <w:p w14:paraId="5DA5604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C6B1AF3" w14:textId="77777777" w:rsidR="00095411" w:rsidRPr="007348FD" w:rsidRDefault="00095411" w:rsidP="00591CBB">
            <w:pPr>
              <w:spacing w:after="160" w:line="259" w:lineRule="auto"/>
              <w:rPr>
                <w:rFonts w:ascii="Arial Narrow" w:hAnsi="Arial Narrow"/>
                <w:sz w:val="18"/>
                <w:szCs w:val="18"/>
              </w:rPr>
            </w:pPr>
          </w:p>
        </w:tc>
        <w:tc>
          <w:tcPr>
            <w:tcW w:w="214" w:type="pct"/>
          </w:tcPr>
          <w:p w14:paraId="23F594A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1F53886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6F2F0570" w14:textId="6F2D725A"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6699EA1B"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681C013F" w14:textId="77777777" w:rsidR="00095411" w:rsidRPr="007348FD" w:rsidRDefault="00095411" w:rsidP="00591CBB">
            <w:pPr>
              <w:spacing w:after="160" w:line="259" w:lineRule="auto"/>
              <w:rPr>
                <w:rFonts w:ascii="Arial Narrow" w:hAnsi="Arial Narrow"/>
                <w:sz w:val="18"/>
                <w:szCs w:val="18"/>
              </w:rPr>
            </w:pPr>
          </w:p>
        </w:tc>
        <w:tc>
          <w:tcPr>
            <w:tcW w:w="460" w:type="pct"/>
          </w:tcPr>
          <w:p w14:paraId="1568C39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F24AC21"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CEC6F3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5745DB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1C3CE8C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67BA572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72AE7CF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2AFCC4A2" w14:textId="77777777" w:rsidR="00095411" w:rsidRPr="007348FD" w:rsidRDefault="00095411" w:rsidP="00591CBB">
            <w:pPr>
              <w:spacing w:after="160" w:line="259" w:lineRule="auto"/>
              <w:rPr>
                <w:rFonts w:ascii="Arial Narrow" w:hAnsi="Arial Narrow"/>
                <w:sz w:val="18"/>
                <w:szCs w:val="18"/>
              </w:rPr>
            </w:pPr>
          </w:p>
        </w:tc>
        <w:tc>
          <w:tcPr>
            <w:tcW w:w="273" w:type="pct"/>
          </w:tcPr>
          <w:p w14:paraId="3E10379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F328E28" w14:textId="77777777" w:rsidR="00095411" w:rsidRPr="007348FD" w:rsidRDefault="00095411" w:rsidP="00591CBB">
            <w:pPr>
              <w:spacing w:after="160" w:line="259" w:lineRule="auto"/>
              <w:rPr>
                <w:rFonts w:ascii="Arial Narrow" w:hAnsi="Arial Narrow"/>
                <w:sz w:val="18"/>
                <w:szCs w:val="18"/>
              </w:rPr>
            </w:pPr>
          </w:p>
        </w:tc>
        <w:tc>
          <w:tcPr>
            <w:tcW w:w="283" w:type="pct"/>
          </w:tcPr>
          <w:p w14:paraId="21843B4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8E29C62" w14:textId="77777777" w:rsidR="00095411" w:rsidRPr="007348FD" w:rsidRDefault="00095411" w:rsidP="00591CBB">
            <w:pPr>
              <w:spacing w:after="160" w:line="259" w:lineRule="auto"/>
              <w:rPr>
                <w:rFonts w:ascii="Arial Narrow" w:hAnsi="Arial Narrow"/>
                <w:sz w:val="18"/>
                <w:szCs w:val="18"/>
              </w:rPr>
            </w:pPr>
          </w:p>
        </w:tc>
        <w:tc>
          <w:tcPr>
            <w:tcW w:w="149" w:type="pct"/>
          </w:tcPr>
          <w:p w14:paraId="58963F0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6FCF12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00BCE19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6927A8C2" w14:textId="77777777" w:rsidR="00095411" w:rsidRPr="007348FD" w:rsidRDefault="00095411" w:rsidP="00591CBB">
            <w:pPr>
              <w:spacing w:after="160" w:line="259" w:lineRule="auto"/>
              <w:rPr>
                <w:rFonts w:ascii="Arial Narrow" w:hAnsi="Arial Narrow"/>
                <w:sz w:val="18"/>
                <w:szCs w:val="18"/>
              </w:rPr>
            </w:pPr>
          </w:p>
        </w:tc>
        <w:tc>
          <w:tcPr>
            <w:tcW w:w="280" w:type="pct"/>
          </w:tcPr>
          <w:p w14:paraId="1EBCAC9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51286734"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39B6F044" w14:textId="77777777" w:rsidR="00095411" w:rsidRPr="007348FD" w:rsidRDefault="00095411" w:rsidP="00591CBB">
            <w:pPr>
              <w:spacing w:after="160" w:line="259" w:lineRule="auto"/>
              <w:rPr>
                <w:rFonts w:ascii="Arial Narrow" w:hAnsi="Arial Narrow"/>
                <w:sz w:val="18"/>
                <w:szCs w:val="18"/>
              </w:rPr>
            </w:pPr>
          </w:p>
        </w:tc>
        <w:tc>
          <w:tcPr>
            <w:tcW w:w="460" w:type="pct"/>
          </w:tcPr>
          <w:p w14:paraId="3A2C2E1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BF18DA3"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CD3792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27DBF6A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3C925FE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5676D93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2878162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21F7BE93" w14:textId="77777777" w:rsidR="00095411" w:rsidRPr="007348FD" w:rsidRDefault="00095411" w:rsidP="00591CBB">
            <w:pPr>
              <w:spacing w:after="160" w:line="259" w:lineRule="auto"/>
              <w:rPr>
                <w:rFonts w:ascii="Arial Narrow" w:hAnsi="Arial Narrow"/>
                <w:sz w:val="18"/>
                <w:szCs w:val="18"/>
              </w:rPr>
            </w:pPr>
          </w:p>
        </w:tc>
        <w:tc>
          <w:tcPr>
            <w:tcW w:w="273" w:type="pct"/>
          </w:tcPr>
          <w:p w14:paraId="3856DB6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72BDBA0" w14:textId="77777777" w:rsidR="00095411" w:rsidRPr="007348FD" w:rsidRDefault="00095411" w:rsidP="00591CBB">
            <w:pPr>
              <w:spacing w:after="160" w:line="259" w:lineRule="auto"/>
              <w:rPr>
                <w:rFonts w:ascii="Arial Narrow" w:hAnsi="Arial Narrow"/>
                <w:sz w:val="18"/>
                <w:szCs w:val="18"/>
              </w:rPr>
            </w:pPr>
          </w:p>
        </w:tc>
        <w:tc>
          <w:tcPr>
            <w:tcW w:w="283" w:type="pct"/>
          </w:tcPr>
          <w:p w14:paraId="689587D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B88AFD9" w14:textId="77777777" w:rsidR="00095411" w:rsidRPr="007348FD" w:rsidRDefault="00095411" w:rsidP="00591CBB">
            <w:pPr>
              <w:spacing w:after="160" w:line="259" w:lineRule="auto"/>
              <w:rPr>
                <w:rFonts w:ascii="Arial Narrow" w:hAnsi="Arial Narrow"/>
                <w:sz w:val="18"/>
                <w:szCs w:val="18"/>
              </w:rPr>
            </w:pPr>
          </w:p>
        </w:tc>
        <w:tc>
          <w:tcPr>
            <w:tcW w:w="149" w:type="pct"/>
          </w:tcPr>
          <w:p w14:paraId="55CEFDE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0EEB015" w14:textId="77777777" w:rsidR="00095411" w:rsidRPr="007348FD" w:rsidRDefault="00095411" w:rsidP="00591CBB">
            <w:pPr>
              <w:spacing w:after="160" w:line="259" w:lineRule="auto"/>
              <w:rPr>
                <w:rFonts w:ascii="Arial Narrow" w:hAnsi="Arial Narrow"/>
                <w:sz w:val="18"/>
                <w:szCs w:val="18"/>
              </w:rPr>
            </w:pPr>
          </w:p>
        </w:tc>
        <w:tc>
          <w:tcPr>
            <w:tcW w:w="214" w:type="pct"/>
          </w:tcPr>
          <w:p w14:paraId="5FE5B51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0A61650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1436489E" w14:textId="4D29C989"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49164E6E"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160C047E" w14:textId="77777777" w:rsidR="00095411" w:rsidRPr="007348FD" w:rsidRDefault="00095411" w:rsidP="00591CBB">
            <w:pPr>
              <w:spacing w:after="160" w:line="259" w:lineRule="auto"/>
              <w:rPr>
                <w:rFonts w:ascii="Arial Narrow" w:hAnsi="Arial Narrow"/>
                <w:sz w:val="18"/>
                <w:szCs w:val="18"/>
              </w:rPr>
            </w:pPr>
          </w:p>
        </w:tc>
        <w:tc>
          <w:tcPr>
            <w:tcW w:w="460" w:type="pct"/>
          </w:tcPr>
          <w:p w14:paraId="66151E0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32CEA19"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D1DA3D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7523320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6242A53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31C9CA4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2562240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410D8573" w14:textId="77777777" w:rsidR="00095411" w:rsidRPr="007348FD" w:rsidRDefault="00095411" w:rsidP="00591CBB">
            <w:pPr>
              <w:spacing w:after="160" w:line="259" w:lineRule="auto"/>
              <w:rPr>
                <w:rFonts w:ascii="Arial Narrow" w:hAnsi="Arial Narrow"/>
                <w:sz w:val="18"/>
                <w:szCs w:val="18"/>
              </w:rPr>
            </w:pPr>
          </w:p>
        </w:tc>
        <w:tc>
          <w:tcPr>
            <w:tcW w:w="273" w:type="pct"/>
          </w:tcPr>
          <w:p w14:paraId="3EC5633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57D32E4" w14:textId="77777777" w:rsidR="00095411" w:rsidRPr="007348FD" w:rsidRDefault="00095411" w:rsidP="00591CBB">
            <w:pPr>
              <w:spacing w:after="160" w:line="259" w:lineRule="auto"/>
              <w:rPr>
                <w:rFonts w:ascii="Arial Narrow" w:hAnsi="Arial Narrow"/>
                <w:sz w:val="18"/>
                <w:szCs w:val="18"/>
              </w:rPr>
            </w:pPr>
          </w:p>
        </w:tc>
        <w:tc>
          <w:tcPr>
            <w:tcW w:w="283" w:type="pct"/>
          </w:tcPr>
          <w:p w14:paraId="1F1627D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0039390" w14:textId="77777777" w:rsidR="00095411" w:rsidRPr="007348FD" w:rsidRDefault="00095411" w:rsidP="00591CBB">
            <w:pPr>
              <w:spacing w:after="160" w:line="259" w:lineRule="auto"/>
              <w:rPr>
                <w:rFonts w:ascii="Arial Narrow" w:hAnsi="Arial Narrow"/>
                <w:sz w:val="18"/>
                <w:szCs w:val="18"/>
              </w:rPr>
            </w:pPr>
          </w:p>
        </w:tc>
        <w:tc>
          <w:tcPr>
            <w:tcW w:w="149" w:type="pct"/>
          </w:tcPr>
          <w:p w14:paraId="1440CC1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4E23A7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45EAA6B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560AF4D3" w14:textId="77777777" w:rsidR="00095411" w:rsidRPr="007348FD" w:rsidRDefault="00095411" w:rsidP="00591CBB">
            <w:pPr>
              <w:spacing w:after="160" w:line="259" w:lineRule="auto"/>
              <w:rPr>
                <w:rFonts w:ascii="Arial Narrow" w:hAnsi="Arial Narrow"/>
                <w:sz w:val="18"/>
                <w:szCs w:val="18"/>
              </w:rPr>
            </w:pPr>
          </w:p>
        </w:tc>
        <w:tc>
          <w:tcPr>
            <w:tcW w:w="280" w:type="pct"/>
          </w:tcPr>
          <w:p w14:paraId="07380D6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4342C5A3"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77CBB670" w14:textId="77777777" w:rsidR="00095411" w:rsidRPr="007348FD" w:rsidRDefault="00095411" w:rsidP="00591CBB">
            <w:pPr>
              <w:spacing w:after="160" w:line="259" w:lineRule="auto"/>
              <w:rPr>
                <w:rFonts w:ascii="Arial Narrow" w:hAnsi="Arial Narrow"/>
                <w:sz w:val="18"/>
                <w:szCs w:val="18"/>
              </w:rPr>
            </w:pPr>
          </w:p>
        </w:tc>
        <w:tc>
          <w:tcPr>
            <w:tcW w:w="460" w:type="pct"/>
          </w:tcPr>
          <w:p w14:paraId="5D22D6C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C96864F"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5AB3B6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2512827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5223AA8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3D50F53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65DB734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2EE33FA5" w14:textId="77777777" w:rsidR="00095411" w:rsidRPr="007348FD" w:rsidRDefault="00095411" w:rsidP="00591CBB">
            <w:pPr>
              <w:spacing w:after="160" w:line="259" w:lineRule="auto"/>
              <w:rPr>
                <w:rFonts w:ascii="Arial Narrow" w:hAnsi="Arial Narrow"/>
                <w:sz w:val="18"/>
                <w:szCs w:val="18"/>
              </w:rPr>
            </w:pPr>
          </w:p>
        </w:tc>
        <w:tc>
          <w:tcPr>
            <w:tcW w:w="273" w:type="pct"/>
          </w:tcPr>
          <w:p w14:paraId="5F0D5B4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E73B7CB" w14:textId="77777777" w:rsidR="00095411" w:rsidRPr="007348FD" w:rsidRDefault="00095411" w:rsidP="00591CBB">
            <w:pPr>
              <w:spacing w:after="160" w:line="259" w:lineRule="auto"/>
              <w:rPr>
                <w:rFonts w:ascii="Arial Narrow" w:hAnsi="Arial Narrow"/>
                <w:sz w:val="18"/>
                <w:szCs w:val="18"/>
              </w:rPr>
            </w:pPr>
          </w:p>
        </w:tc>
        <w:tc>
          <w:tcPr>
            <w:tcW w:w="283" w:type="pct"/>
          </w:tcPr>
          <w:p w14:paraId="585EAA0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2ADD317" w14:textId="77777777" w:rsidR="00095411" w:rsidRPr="007348FD" w:rsidRDefault="00095411" w:rsidP="00591CBB">
            <w:pPr>
              <w:spacing w:after="160" w:line="259" w:lineRule="auto"/>
              <w:rPr>
                <w:rFonts w:ascii="Arial Narrow" w:hAnsi="Arial Narrow"/>
                <w:sz w:val="18"/>
                <w:szCs w:val="18"/>
              </w:rPr>
            </w:pPr>
          </w:p>
        </w:tc>
        <w:tc>
          <w:tcPr>
            <w:tcW w:w="149" w:type="pct"/>
          </w:tcPr>
          <w:p w14:paraId="2187FF8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963E17E" w14:textId="77777777" w:rsidR="00095411" w:rsidRPr="007348FD" w:rsidRDefault="00095411" w:rsidP="00591CBB">
            <w:pPr>
              <w:spacing w:after="160" w:line="259" w:lineRule="auto"/>
              <w:rPr>
                <w:rFonts w:ascii="Arial Narrow" w:hAnsi="Arial Narrow"/>
                <w:sz w:val="18"/>
                <w:szCs w:val="18"/>
              </w:rPr>
            </w:pPr>
          </w:p>
        </w:tc>
        <w:tc>
          <w:tcPr>
            <w:tcW w:w="214" w:type="pct"/>
          </w:tcPr>
          <w:p w14:paraId="07CEA91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1E39BD2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3E1D4FD4" w14:textId="5567A8B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1D9AE4F2"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73A4E204" w14:textId="77777777" w:rsidR="00095411" w:rsidRPr="007348FD" w:rsidRDefault="00095411" w:rsidP="00591CBB">
            <w:pPr>
              <w:spacing w:after="160" w:line="259" w:lineRule="auto"/>
              <w:rPr>
                <w:rFonts w:ascii="Arial Narrow" w:hAnsi="Arial Narrow"/>
                <w:sz w:val="18"/>
                <w:szCs w:val="18"/>
              </w:rPr>
            </w:pPr>
          </w:p>
        </w:tc>
        <w:tc>
          <w:tcPr>
            <w:tcW w:w="460" w:type="pct"/>
          </w:tcPr>
          <w:p w14:paraId="177FB18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8CB8967"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362EEB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156CA21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039354B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46262D8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41AD523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3138987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73" w:type="pct"/>
          </w:tcPr>
          <w:p w14:paraId="633F0BA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4AF5633" w14:textId="77777777" w:rsidR="00095411" w:rsidRPr="007348FD" w:rsidRDefault="00095411" w:rsidP="00591CBB">
            <w:pPr>
              <w:spacing w:after="160" w:line="259" w:lineRule="auto"/>
              <w:rPr>
                <w:rFonts w:ascii="Arial Narrow" w:hAnsi="Arial Narrow"/>
                <w:sz w:val="18"/>
                <w:szCs w:val="18"/>
              </w:rPr>
            </w:pPr>
          </w:p>
        </w:tc>
        <w:tc>
          <w:tcPr>
            <w:tcW w:w="283" w:type="pct"/>
          </w:tcPr>
          <w:p w14:paraId="558A830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DD236C1" w14:textId="77777777" w:rsidR="00095411" w:rsidRPr="007348FD" w:rsidRDefault="00095411" w:rsidP="00591CBB">
            <w:pPr>
              <w:spacing w:after="160" w:line="259" w:lineRule="auto"/>
              <w:rPr>
                <w:rFonts w:ascii="Arial Narrow" w:hAnsi="Arial Narrow"/>
                <w:sz w:val="18"/>
                <w:szCs w:val="18"/>
              </w:rPr>
            </w:pPr>
          </w:p>
        </w:tc>
        <w:tc>
          <w:tcPr>
            <w:tcW w:w="149" w:type="pct"/>
          </w:tcPr>
          <w:p w14:paraId="448B6A5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37AAE5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047E542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45" w:type="pct"/>
          </w:tcPr>
          <w:p w14:paraId="7D6F7099" w14:textId="77777777" w:rsidR="00095411" w:rsidRPr="007348FD" w:rsidRDefault="00095411" w:rsidP="00591CBB">
            <w:pPr>
              <w:spacing w:after="160" w:line="259" w:lineRule="auto"/>
              <w:rPr>
                <w:rFonts w:ascii="Arial Narrow" w:hAnsi="Arial Narrow"/>
                <w:sz w:val="18"/>
                <w:szCs w:val="18"/>
              </w:rPr>
            </w:pPr>
          </w:p>
        </w:tc>
        <w:tc>
          <w:tcPr>
            <w:tcW w:w="280" w:type="pct"/>
          </w:tcPr>
          <w:p w14:paraId="7142F65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305AFABC"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5A4DD834" w14:textId="77777777" w:rsidR="00095411" w:rsidRPr="007348FD" w:rsidRDefault="00095411" w:rsidP="00591CBB">
            <w:pPr>
              <w:spacing w:after="160" w:line="259" w:lineRule="auto"/>
              <w:rPr>
                <w:rFonts w:ascii="Arial Narrow" w:hAnsi="Arial Narrow"/>
                <w:sz w:val="18"/>
                <w:szCs w:val="18"/>
              </w:rPr>
            </w:pPr>
          </w:p>
        </w:tc>
        <w:tc>
          <w:tcPr>
            <w:tcW w:w="460" w:type="pct"/>
          </w:tcPr>
          <w:p w14:paraId="776C16E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8B6CDB2"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7FDE73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129C737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1705619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447D7F6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1D8E3A7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74658DBE" w14:textId="77777777" w:rsidR="00095411" w:rsidRPr="007348FD" w:rsidRDefault="00095411" w:rsidP="00591CBB">
            <w:pPr>
              <w:spacing w:after="160" w:line="259" w:lineRule="auto"/>
              <w:rPr>
                <w:rFonts w:ascii="Arial Narrow" w:hAnsi="Arial Narrow"/>
                <w:sz w:val="18"/>
                <w:szCs w:val="18"/>
              </w:rPr>
            </w:pPr>
          </w:p>
        </w:tc>
        <w:tc>
          <w:tcPr>
            <w:tcW w:w="273" w:type="pct"/>
          </w:tcPr>
          <w:p w14:paraId="76FB99C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D4816FB" w14:textId="77777777" w:rsidR="00095411" w:rsidRPr="007348FD" w:rsidRDefault="00095411" w:rsidP="00591CBB">
            <w:pPr>
              <w:spacing w:after="160" w:line="259" w:lineRule="auto"/>
              <w:rPr>
                <w:rFonts w:ascii="Arial Narrow" w:hAnsi="Arial Narrow"/>
                <w:sz w:val="18"/>
                <w:szCs w:val="18"/>
              </w:rPr>
            </w:pPr>
          </w:p>
        </w:tc>
        <w:tc>
          <w:tcPr>
            <w:tcW w:w="283" w:type="pct"/>
          </w:tcPr>
          <w:p w14:paraId="41A6560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53E2E65" w14:textId="77777777" w:rsidR="00095411" w:rsidRPr="007348FD" w:rsidRDefault="00095411" w:rsidP="00591CBB">
            <w:pPr>
              <w:spacing w:after="160" w:line="259" w:lineRule="auto"/>
              <w:rPr>
                <w:rFonts w:ascii="Arial Narrow" w:hAnsi="Arial Narrow"/>
                <w:sz w:val="18"/>
                <w:szCs w:val="18"/>
              </w:rPr>
            </w:pPr>
          </w:p>
        </w:tc>
        <w:tc>
          <w:tcPr>
            <w:tcW w:w="149" w:type="pct"/>
          </w:tcPr>
          <w:p w14:paraId="5D869DD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06280C6" w14:textId="77777777" w:rsidR="00095411" w:rsidRPr="007348FD" w:rsidRDefault="00095411" w:rsidP="00591CBB">
            <w:pPr>
              <w:spacing w:after="160" w:line="259" w:lineRule="auto"/>
              <w:rPr>
                <w:rFonts w:ascii="Arial Narrow" w:hAnsi="Arial Narrow"/>
                <w:sz w:val="18"/>
                <w:szCs w:val="18"/>
              </w:rPr>
            </w:pPr>
          </w:p>
        </w:tc>
        <w:tc>
          <w:tcPr>
            <w:tcW w:w="214" w:type="pct"/>
          </w:tcPr>
          <w:p w14:paraId="2DF2F7D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5D1A804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122EB754" w14:textId="7506FCE9"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3247F215"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2D51CCE6" w14:textId="77777777" w:rsidR="00095411" w:rsidRPr="007348FD" w:rsidRDefault="00095411" w:rsidP="00591CBB">
            <w:pPr>
              <w:spacing w:after="160" w:line="259" w:lineRule="auto"/>
              <w:rPr>
                <w:rFonts w:ascii="Arial Narrow" w:hAnsi="Arial Narrow"/>
                <w:sz w:val="18"/>
                <w:szCs w:val="18"/>
              </w:rPr>
            </w:pPr>
          </w:p>
        </w:tc>
        <w:tc>
          <w:tcPr>
            <w:tcW w:w="460" w:type="pct"/>
          </w:tcPr>
          <w:p w14:paraId="362E5BC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B840BC2"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3C3CDD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09BDA6E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4BB98D7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2873FC7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04AA62D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179D94C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73" w:type="pct"/>
          </w:tcPr>
          <w:p w14:paraId="1360D67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5100346" w14:textId="77777777" w:rsidR="00095411" w:rsidRPr="007348FD" w:rsidRDefault="00095411" w:rsidP="00591CBB">
            <w:pPr>
              <w:spacing w:after="160" w:line="259" w:lineRule="auto"/>
              <w:rPr>
                <w:rFonts w:ascii="Arial Narrow" w:hAnsi="Arial Narrow"/>
                <w:sz w:val="18"/>
                <w:szCs w:val="18"/>
              </w:rPr>
            </w:pPr>
          </w:p>
        </w:tc>
        <w:tc>
          <w:tcPr>
            <w:tcW w:w="283" w:type="pct"/>
          </w:tcPr>
          <w:p w14:paraId="525A53D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E4E6C63" w14:textId="77777777" w:rsidR="00095411" w:rsidRPr="007348FD" w:rsidRDefault="00095411" w:rsidP="00591CBB">
            <w:pPr>
              <w:spacing w:after="160" w:line="259" w:lineRule="auto"/>
              <w:rPr>
                <w:rFonts w:ascii="Arial Narrow" w:hAnsi="Arial Narrow"/>
                <w:sz w:val="18"/>
                <w:szCs w:val="18"/>
              </w:rPr>
            </w:pPr>
          </w:p>
        </w:tc>
        <w:tc>
          <w:tcPr>
            <w:tcW w:w="149" w:type="pct"/>
          </w:tcPr>
          <w:p w14:paraId="51A10EA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ABBB35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7DDD1EC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45" w:type="pct"/>
          </w:tcPr>
          <w:p w14:paraId="26F274E9" w14:textId="77777777" w:rsidR="00095411" w:rsidRPr="007348FD" w:rsidRDefault="00095411" w:rsidP="00591CBB">
            <w:pPr>
              <w:spacing w:after="160" w:line="259" w:lineRule="auto"/>
              <w:rPr>
                <w:rFonts w:ascii="Arial Narrow" w:hAnsi="Arial Narrow"/>
                <w:sz w:val="18"/>
                <w:szCs w:val="18"/>
              </w:rPr>
            </w:pPr>
          </w:p>
        </w:tc>
        <w:tc>
          <w:tcPr>
            <w:tcW w:w="280" w:type="pct"/>
          </w:tcPr>
          <w:p w14:paraId="03B5D6C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159FABF9"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0D1EE114" w14:textId="77777777" w:rsidR="00095411" w:rsidRPr="007348FD" w:rsidRDefault="00095411" w:rsidP="00591CBB">
            <w:pPr>
              <w:spacing w:after="160" w:line="259" w:lineRule="auto"/>
              <w:rPr>
                <w:rFonts w:ascii="Arial Narrow" w:hAnsi="Arial Narrow"/>
                <w:sz w:val="18"/>
                <w:szCs w:val="18"/>
              </w:rPr>
            </w:pPr>
          </w:p>
        </w:tc>
        <w:tc>
          <w:tcPr>
            <w:tcW w:w="460" w:type="pct"/>
          </w:tcPr>
          <w:p w14:paraId="74AD80B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F312057"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AB2744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0B24D83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1F875D7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271993D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1B4A8C3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15F29272" w14:textId="77777777" w:rsidR="00095411" w:rsidRPr="007348FD" w:rsidRDefault="00095411" w:rsidP="00591CBB">
            <w:pPr>
              <w:spacing w:after="160" w:line="259" w:lineRule="auto"/>
              <w:rPr>
                <w:rFonts w:ascii="Arial Narrow" w:hAnsi="Arial Narrow"/>
                <w:sz w:val="18"/>
                <w:szCs w:val="18"/>
              </w:rPr>
            </w:pPr>
          </w:p>
        </w:tc>
        <w:tc>
          <w:tcPr>
            <w:tcW w:w="273" w:type="pct"/>
          </w:tcPr>
          <w:p w14:paraId="15E8DF2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1C6B14B" w14:textId="77777777" w:rsidR="00095411" w:rsidRPr="007348FD" w:rsidRDefault="00095411" w:rsidP="00591CBB">
            <w:pPr>
              <w:spacing w:after="160" w:line="259" w:lineRule="auto"/>
              <w:rPr>
                <w:rFonts w:ascii="Arial Narrow" w:hAnsi="Arial Narrow"/>
                <w:sz w:val="18"/>
                <w:szCs w:val="18"/>
              </w:rPr>
            </w:pPr>
          </w:p>
        </w:tc>
        <w:tc>
          <w:tcPr>
            <w:tcW w:w="283" w:type="pct"/>
          </w:tcPr>
          <w:p w14:paraId="5E8C4BF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74ADB4F" w14:textId="77777777" w:rsidR="00095411" w:rsidRPr="007348FD" w:rsidRDefault="00095411" w:rsidP="00591CBB">
            <w:pPr>
              <w:spacing w:after="160" w:line="259" w:lineRule="auto"/>
              <w:rPr>
                <w:rFonts w:ascii="Arial Narrow" w:hAnsi="Arial Narrow"/>
                <w:sz w:val="18"/>
                <w:szCs w:val="18"/>
              </w:rPr>
            </w:pPr>
          </w:p>
        </w:tc>
        <w:tc>
          <w:tcPr>
            <w:tcW w:w="149" w:type="pct"/>
          </w:tcPr>
          <w:p w14:paraId="1DCC2F5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D417EBD" w14:textId="77777777" w:rsidR="00095411" w:rsidRPr="007348FD" w:rsidRDefault="00095411" w:rsidP="00591CBB">
            <w:pPr>
              <w:spacing w:after="160" w:line="259" w:lineRule="auto"/>
              <w:rPr>
                <w:rFonts w:ascii="Arial Narrow" w:hAnsi="Arial Narrow"/>
                <w:sz w:val="18"/>
                <w:szCs w:val="18"/>
              </w:rPr>
            </w:pPr>
          </w:p>
        </w:tc>
        <w:tc>
          <w:tcPr>
            <w:tcW w:w="214" w:type="pct"/>
          </w:tcPr>
          <w:p w14:paraId="14A7F9D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0B289D8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2270056E" w14:textId="4A75FB6F"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6A240B00"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29953B5C" w14:textId="77777777" w:rsidR="00095411" w:rsidRPr="007348FD" w:rsidRDefault="00095411" w:rsidP="00591CBB">
            <w:pPr>
              <w:spacing w:after="160" w:line="259" w:lineRule="auto"/>
              <w:rPr>
                <w:rFonts w:ascii="Arial Narrow" w:hAnsi="Arial Narrow"/>
                <w:sz w:val="18"/>
                <w:szCs w:val="18"/>
              </w:rPr>
            </w:pPr>
          </w:p>
        </w:tc>
        <w:tc>
          <w:tcPr>
            <w:tcW w:w="460" w:type="pct"/>
          </w:tcPr>
          <w:p w14:paraId="5D13125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FB345E2"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B8CC45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2563F1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01C003C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3E5D53F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1D6A00F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06B31DD5" w14:textId="77777777" w:rsidR="00095411" w:rsidRPr="007348FD" w:rsidRDefault="00095411" w:rsidP="00591CBB">
            <w:pPr>
              <w:spacing w:after="160" w:line="259" w:lineRule="auto"/>
              <w:rPr>
                <w:rFonts w:ascii="Arial Narrow" w:hAnsi="Arial Narrow"/>
                <w:sz w:val="18"/>
                <w:szCs w:val="18"/>
              </w:rPr>
            </w:pPr>
          </w:p>
        </w:tc>
        <w:tc>
          <w:tcPr>
            <w:tcW w:w="273" w:type="pct"/>
          </w:tcPr>
          <w:p w14:paraId="208C26A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BB3D04D" w14:textId="77777777" w:rsidR="00095411" w:rsidRPr="007348FD" w:rsidRDefault="00095411" w:rsidP="00591CBB">
            <w:pPr>
              <w:spacing w:after="160" w:line="259" w:lineRule="auto"/>
              <w:rPr>
                <w:rFonts w:ascii="Arial Narrow" w:hAnsi="Arial Narrow"/>
                <w:sz w:val="18"/>
                <w:szCs w:val="18"/>
              </w:rPr>
            </w:pPr>
          </w:p>
        </w:tc>
        <w:tc>
          <w:tcPr>
            <w:tcW w:w="283" w:type="pct"/>
          </w:tcPr>
          <w:p w14:paraId="7C4AE89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0C917A2" w14:textId="77777777" w:rsidR="00095411" w:rsidRPr="007348FD" w:rsidRDefault="00095411" w:rsidP="00591CBB">
            <w:pPr>
              <w:spacing w:after="160" w:line="259" w:lineRule="auto"/>
              <w:rPr>
                <w:rFonts w:ascii="Arial Narrow" w:hAnsi="Arial Narrow"/>
                <w:sz w:val="18"/>
                <w:szCs w:val="18"/>
              </w:rPr>
            </w:pPr>
          </w:p>
        </w:tc>
        <w:tc>
          <w:tcPr>
            <w:tcW w:w="149" w:type="pct"/>
          </w:tcPr>
          <w:p w14:paraId="1D9C7F9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7D7804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415FDA2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1541389B" w14:textId="77777777" w:rsidR="00095411" w:rsidRPr="007348FD" w:rsidRDefault="00095411" w:rsidP="00591CBB">
            <w:pPr>
              <w:spacing w:after="160" w:line="259" w:lineRule="auto"/>
              <w:rPr>
                <w:rFonts w:ascii="Arial Narrow" w:hAnsi="Arial Narrow"/>
                <w:sz w:val="18"/>
                <w:szCs w:val="18"/>
              </w:rPr>
            </w:pPr>
          </w:p>
        </w:tc>
        <w:tc>
          <w:tcPr>
            <w:tcW w:w="280" w:type="pct"/>
          </w:tcPr>
          <w:p w14:paraId="4547B87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226F7E85" w14:textId="77777777" w:rsidTr="00051F27">
        <w:trPr>
          <w:trHeight w:val="228"/>
        </w:trPr>
        <w:tc>
          <w:tcPr>
            <w:cnfStyle w:val="000010000000" w:firstRow="0" w:lastRow="0" w:firstColumn="0" w:lastColumn="0" w:oddVBand="1" w:evenVBand="0" w:oddHBand="0" w:evenHBand="0" w:firstRowFirstColumn="0" w:firstRowLastColumn="0" w:lastRowFirstColumn="0" w:lastRowLastColumn="0"/>
            <w:tcW w:w="432" w:type="pct"/>
          </w:tcPr>
          <w:p w14:paraId="03C6F492" w14:textId="77777777" w:rsidR="00095411" w:rsidRPr="007348FD" w:rsidRDefault="00095411" w:rsidP="00591CBB">
            <w:pPr>
              <w:spacing w:after="160" w:line="259" w:lineRule="auto"/>
              <w:rPr>
                <w:rFonts w:ascii="Arial Narrow" w:hAnsi="Arial Narrow"/>
                <w:sz w:val="18"/>
                <w:szCs w:val="18"/>
              </w:rPr>
            </w:pPr>
          </w:p>
        </w:tc>
        <w:tc>
          <w:tcPr>
            <w:tcW w:w="460" w:type="pct"/>
          </w:tcPr>
          <w:p w14:paraId="02A128E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BAC0C8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269574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6E45630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76F40A0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0B30D74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6BBE9B1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0A50062A" w14:textId="77777777" w:rsidR="00095411" w:rsidRPr="007348FD" w:rsidRDefault="00095411" w:rsidP="00591CBB">
            <w:pPr>
              <w:spacing w:after="160" w:line="259" w:lineRule="auto"/>
              <w:rPr>
                <w:rFonts w:ascii="Arial Narrow" w:hAnsi="Arial Narrow"/>
                <w:sz w:val="18"/>
                <w:szCs w:val="18"/>
              </w:rPr>
            </w:pPr>
          </w:p>
        </w:tc>
        <w:tc>
          <w:tcPr>
            <w:tcW w:w="273" w:type="pct"/>
          </w:tcPr>
          <w:p w14:paraId="3B09403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CF15857" w14:textId="77777777" w:rsidR="00095411" w:rsidRPr="007348FD" w:rsidRDefault="00095411" w:rsidP="00591CBB">
            <w:pPr>
              <w:spacing w:after="160" w:line="259" w:lineRule="auto"/>
              <w:rPr>
                <w:rFonts w:ascii="Arial Narrow" w:hAnsi="Arial Narrow"/>
                <w:sz w:val="18"/>
                <w:szCs w:val="18"/>
              </w:rPr>
            </w:pPr>
          </w:p>
        </w:tc>
        <w:tc>
          <w:tcPr>
            <w:tcW w:w="283" w:type="pct"/>
          </w:tcPr>
          <w:p w14:paraId="01D7040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0C37011" w14:textId="77777777" w:rsidR="00095411" w:rsidRPr="007348FD" w:rsidRDefault="00095411" w:rsidP="00591CBB">
            <w:pPr>
              <w:spacing w:after="160" w:line="259" w:lineRule="auto"/>
              <w:rPr>
                <w:rFonts w:ascii="Arial Narrow" w:hAnsi="Arial Narrow"/>
                <w:sz w:val="18"/>
                <w:szCs w:val="18"/>
              </w:rPr>
            </w:pPr>
          </w:p>
        </w:tc>
        <w:tc>
          <w:tcPr>
            <w:tcW w:w="149" w:type="pct"/>
          </w:tcPr>
          <w:p w14:paraId="54AF13F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B9EE39E" w14:textId="77777777" w:rsidR="00095411" w:rsidRPr="007348FD" w:rsidRDefault="00095411" w:rsidP="00591CBB">
            <w:pPr>
              <w:spacing w:after="160" w:line="259" w:lineRule="auto"/>
              <w:rPr>
                <w:rFonts w:ascii="Arial Narrow" w:hAnsi="Arial Narrow"/>
                <w:sz w:val="18"/>
                <w:szCs w:val="18"/>
              </w:rPr>
            </w:pPr>
          </w:p>
        </w:tc>
        <w:tc>
          <w:tcPr>
            <w:tcW w:w="214" w:type="pct"/>
          </w:tcPr>
          <w:p w14:paraId="798F174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017C50A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33AFD2EA" w14:textId="19F20C65"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689F970B" w14:textId="77777777" w:rsidTr="00051F27">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432" w:type="pct"/>
          </w:tcPr>
          <w:p w14:paraId="2A55723F" w14:textId="77777777" w:rsidR="00095411" w:rsidRPr="007348FD" w:rsidRDefault="00095411" w:rsidP="00591CBB">
            <w:pPr>
              <w:spacing w:after="160" w:line="259" w:lineRule="auto"/>
              <w:rPr>
                <w:rFonts w:ascii="Arial Narrow" w:hAnsi="Arial Narrow"/>
                <w:sz w:val="18"/>
                <w:szCs w:val="18"/>
              </w:rPr>
            </w:pPr>
          </w:p>
        </w:tc>
        <w:tc>
          <w:tcPr>
            <w:tcW w:w="460" w:type="pct"/>
          </w:tcPr>
          <w:p w14:paraId="2B0CA66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F579E03"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F558ED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1056146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5159958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74C9206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62EDAFA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53790444" w14:textId="77777777" w:rsidR="00095411" w:rsidRPr="007348FD" w:rsidRDefault="00095411" w:rsidP="00591CBB">
            <w:pPr>
              <w:spacing w:after="160" w:line="259" w:lineRule="auto"/>
              <w:rPr>
                <w:rFonts w:ascii="Arial Narrow" w:hAnsi="Arial Narrow"/>
                <w:sz w:val="18"/>
                <w:szCs w:val="18"/>
              </w:rPr>
            </w:pPr>
          </w:p>
        </w:tc>
        <w:tc>
          <w:tcPr>
            <w:tcW w:w="273" w:type="pct"/>
          </w:tcPr>
          <w:p w14:paraId="64A59A0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0135CB5" w14:textId="77777777" w:rsidR="00095411" w:rsidRPr="007348FD" w:rsidRDefault="00095411" w:rsidP="00591CBB">
            <w:pPr>
              <w:spacing w:after="160" w:line="259" w:lineRule="auto"/>
              <w:rPr>
                <w:rFonts w:ascii="Arial Narrow" w:hAnsi="Arial Narrow"/>
                <w:sz w:val="18"/>
                <w:szCs w:val="18"/>
              </w:rPr>
            </w:pPr>
          </w:p>
        </w:tc>
        <w:tc>
          <w:tcPr>
            <w:tcW w:w="283" w:type="pct"/>
          </w:tcPr>
          <w:p w14:paraId="41D854E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33D46BB" w14:textId="77777777" w:rsidR="00095411" w:rsidRPr="007348FD" w:rsidRDefault="00095411" w:rsidP="00591CBB">
            <w:pPr>
              <w:spacing w:after="160" w:line="259" w:lineRule="auto"/>
              <w:rPr>
                <w:rFonts w:ascii="Arial Narrow" w:hAnsi="Arial Narrow"/>
                <w:sz w:val="18"/>
                <w:szCs w:val="18"/>
              </w:rPr>
            </w:pPr>
          </w:p>
        </w:tc>
        <w:tc>
          <w:tcPr>
            <w:tcW w:w="149" w:type="pct"/>
          </w:tcPr>
          <w:p w14:paraId="00CF4B9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B941A5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6BC3CC8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51896616" w14:textId="77777777" w:rsidR="00095411" w:rsidRPr="007348FD" w:rsidRDefault="00095411" w:rsidP="00591CBB">
            <w:pPr>
              <w:spacing w:after="160" w:line="259" w:lineRule="auto"/>
              <w:rPr>
                <w:rFonts w:ascii="Arial Narrow" w:hAnsi="Arial Narrow"/>
                <w:sz w:val="18"/>
                <w:szCs w:val="18"/>
              </w:rPr>
            </w:pPr>
          </w:p>
        </w:tc>
        <w:tc>
          <w:tcPr>
            <w:tcW w:w="280" w:type="pct"/>
          </w:tcPr>
          <w:p w14:paraId="2705D5E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22FC4FDB" w14:textId="77777777" w:rsidTr="00051F27">
        <w:trPr>
          <w:trHeight w:val="185"/>
        </w:trPr>
        <w:tc>
          <w:tcPr>
            <w:cnfStyle w:val="000010000000" w:firstRow="0" w:lastRow="0" w:firstColumn="0" w:lastColumn="0" w:oddVBand="1" w:evenVBand="0" w:oddHBand="0" w:evenHBand="0" w:firstRowFirstColumn="0" w:firstRowLastColumn="0" w:lastRowFirstColumn="0" w:lastRowLastColumn="0"/>
            <w:tcW w:w="432" w:type="pct"/>
          </w:tcPr>
          <w:p w14:paraId="4D727210" w14:textId="77777777" w:rsidR="00095411" w:rsidRPr="007348FD" w:rsidRDefault="00095411" w:rsidP="00591CBB">
            <w:pPr>
              <w:spacing w:after="160" w:line="259" w:lineRule="auto"/>
              <w:rPr>
                <w:rFonts w:ascii="Arial Narrow" w:hAnsi="Arial Narrow"/>
                <w:sz w:val="18"/>
                <w:szCs w:val="18"/>
              </w:rPr>
            </w:pPr>
          </w:p>
        </w:tc>
        <w:tc>
          <w:tcPr>
            <w:tcW w:w="460" w:type="pct"/>
          </w:tcPr>
          <w:p w14:paraId="3A8EAD5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14. Percentage of SDPs that are providing the ESP health services package for survivors of sexual violence.</w:t>
            </w:r>
          </w:p>
        </w:tc>
        <w:tc>
          <w:tcPr>
            <w:cnfStyle w:val="000010000000" w:firstRow="0" w:lastRow="0" w:firstColumn="0" w:lastColumn="0" w:oddVBand="1" w:evenVBand="0" w:oddHBand="0" w:evenHBand="0" w:firstRowFirstColumn="0" w:firstRowLastColumn="0" w:lastRowFirstColumn="0" w:lastRowLastColumn="0"/>
            <w:tcW w:w="371" w:type="pct"/>
          </w:tcPr>
          <w:p w14:paraId="0E9C1702"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t>ö</w:t>
            </w:r>
          </w:p>
        </w:tc>
        <w:tc>
          <w:tcPr>
            <w:tcW w:w="341" w:type="pct"/>
          </w:tcPr>
          <w:p w14:paraId="152B50A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5621C64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39C15DCC" w14:textId="6C88C60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4A383A1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w:t>
            </w:r>
          </w:p>
        </w:tc>
        <w:tc>
          <w:tcPr>
            <w:tcW w:w="298" w:type="pct"/>
          </w:tcPr>
          <w:p w14:paraId="6A1A770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w:t>
            </w:r>
          </w:p>
        </w:tc>
        <w:tc>
          <w:tcPr>
            <w:cnfStyle w:val="000010000000" w:firstRow="0" w:lastRow="0" w:firstColumn="0" w:lastColumn="0" w:oddVBand="1" w:evenVBand="0" w:oddHBand="0" w:evenHBand="0" w:firstRowFirstColumn="0" w:firstRowLastColumn="0" w:lastRowFirstColumn="0" w:lastRowLastColumn="0"/>
            <w:tcW w:w="197" w:type="pct"/>
          </w:tcPr>
          <w:p w14:paraId="14551120" w14:textId="77777777" w:rsidR="00095411" w:rsidRPr="007348FD" w:rsidRDefault="00095411" w:rsidP="00591CBB">
            <w:pPr>
              <w:spacing w:after="160" w:line="259" w:lineRule="auto"/>
              <w:rPr>
                <w:rFonts w:ascii="Arial Narrow" w:hAnsi="Arial Narrow"/>
                <w:sz w:val="18"/>
                <w:szCs w:val="18"/>
              </w:rPr>
            </w:pPr>
          </w:p>
        </w:tc>
        <w:tc>
          <w:tcPr>
            <w:tcW w:w="273" w:type="pct"/>
          </w:tcPr>
          <w:p w14:paraId="1E7EBA5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EBF5A8B" w14:textId="77777777" w:rsidR="00095411" w:rsidRPr="007348FD" w:rsidRDefault="00095411" w:rsidP="00591CBB">
            <w:pPr>
              <w:spacing w:after="160" w:line="259" w:lineRule="auto"/>
              <w:rPr>
                <w:rFonts w:ascii="Arial Narrow" w:hAnsi="Arial Narrow"/>
                <w:sz w:val="18"/>
                <w:szCs w:val="18"/>
              </w:rPr>
            </w:pPr>
          </w:p>
        </w:tc>
        <w:tc>
          <w:tcPr>
            <w:tcW w:w="283" w:type="pct"/>
          </w:tcPr>
          <w:p w14:paraId="0E01768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92C6EB5" w14:textId="77777777" w:rsidR="00095411" w:rsidRPr="007348FD" w:rsidRDefault="00095411" w:rsidP="00591CBB">
            <w:pPr>
              <w:spacing w:after="160" w:line="259" w:lineRule="auto"/>
              <w:rPr>
                <w:rFonts w:ascii="Arial Narrow" w:hAnsi="Arial Narrow"/>
                <w:sz w:val="18"/>
                <w:szCs w:val="18"/>
              </w:rPr>
            </w:pPr>
          </w:p>
        </w:tc>
        <w:tc>
          <w:tcPr>
            <w:tcW w:w="149" w:type="pct"/>
          </w:tcPr>
          <w:p w14:paraId="689FFDE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CDC7330" w14:textId="77777777" w:rsidR="00095411" w:rsidRPr="007348FD" w:rsidRDefault="00095411" w:rsidP="00591CBB">
            <w:pPr>
              <w:spacing w:after="160" w:line="259" w:lineRule="auto"/>
              <w:rPr>
                <w:rFonts w:ascii="Arial Narrow" w:hAnsi="Arial Narrow"/>
                <w:sz w:val="18"/>
                <w:szCs w:val="18"/>
              </w:rPr>
            </w:pPr>
          </w:p>
        </w:tc>
        <w:tc>
          <w:tcPr>
            <w:tcW w:w="214" w:type="pct"/>
          </w:tcPr>
          <w:p w14:paraId="103BE45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15%</w:t>
            </w:r>
          </w:p>
        </w:tc>
        <w:tc>
          <w:tcPr>
            <w:cnfStyle w:val="000010000000" w:firstRow="0" w:lastRow="0" w:firstColumn="0" w:lastColumn="0" w:oddVBand="1" w:evenVBand="0" w:oddHBand="0" w:evenHBand="0" w:firstRowFirstColumn="0" w:firstRowLastColumn="0" w:lastRowFirstColumn="0" w:lastRowLastColumn="0"/>
            <w:tcW w:w="245" w:type="pct"/>
          </w:tcPr>
          <w:p w14:paraId="64B3804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20%</w:t>
            </w:r>
          </w:p>
        </w:tc>
        <w:tc>
          <w:tcPr>
            <w:tcW w:w="280" w:type="pct"/>
          </w:tcPr>
          <w:p w14:paraId="7F4D2097" w14:textId="26838253"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≥25%</w:t>
            </w:r>
          </w:p>
        </w:tc>
      </w:tr>
      <w:tr w:rsidR="00637BF8" w:rsidRPr="00591CBB" w14:paraId="0DB31DBC"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44904B97" w14:textId="77777777" w:rsidR="00095411" w:rsidRPr="007348FD" w:rsidRDefault="00095411" w:rsidP="00591CBB">
            <w:pPr>
              <w:spacing w:after="160" w:line="259" w:lineRule="auto"/>
              <w:rPr>
                <w:rFonts w:ascii="Arial Narrow" w:hAnsi="Arial Narrow"/>
                <w:sz w:val="18"/>
                <w:szCs w:val="18"/>
              </w:rPr>
            </w:pPr>
          </w:p>
        </w:tc>
        <w:tc>
          <w:tcPr>
            <w:tcW w:w="460" w:type="pct"/>
          </w:tcPr>
          <w:p w14:paraId="6EB0C12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DF02668"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0FE20D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03F001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4BF37BB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56DD59D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04CC88D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4%</w:t>
            </w:r>
          </w:p>
        </w:tc>
        <w:tc>
          <w:tcPr>
            <w:cnfStyle w:val="000010000000" w:firstRow="0" w:lastRow="0" w:firstColumn="0" w:lastColumn="0" w:oddVBand="1" w:evenVBand="0" w:oddHBand="0" w:evenHBand="0" w:firstRowFirstColumn="0" w:firstRowLastColumn="0" w:lastRowFirstColumn="0" w:lastRowLastColumn="0"/>
            <w:tcW w:w="197" w:type="pct"/>
          </w:tcPr>
          <w:p w14:paraId="35A96922" w14:textId="77777777" w:rsidR="00095411" w:rsidRPr="007348FD" w:rsidRDefault="00095411" w:rsidP="00591CBB">
            <w:pPr>
              <w:spacing w:after="160" w:line="259" w:lineRule="auto"/>
              <w:rPr>
                <w:rFonts w:ascii="Arial Narrow" w:hAnsi="Arial Narrow"/>
                <w:sz w:val="18"/>
                <w:szCs w:val="18"/>
              </w:rPr>
            </w:pPr>
          </w:p>
        </w:tc>
        <w:tc>
          <w:tcPr>
            <w:tcW w:w="273" w:type="pct"/>
          </w:tcPr>
          <w:p w14:paraId="3F33017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2CBE9F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40%</w:t>
            </w:r>
          </w:p>
        </w:tc>
        <w:tc>
          <w:tcPr>
            <w:tcW w:w="283" w:type="pct"/>
          </w:tcPr>
          <w:p w14:paraId="03DBFB0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93B1CC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149" w:type="pct"/>
          </w:tcPr>
          <w:p w14:paraId="5BCAFBB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5269E81" w14:textId="77777777" w:rsidR="00095411" w:rsidRPr="007348FD" w:rsidRDefault="00095411" w:rsidP="00591CBB">
            <w:pPr>
              <w:spacing w:after="160" w:line="259" w:lineRule="auto"/>
              <w:rPr>
                <w:rFonts w:ascii="Arial Narrow" w:hAnsi="Arial Narrow"/>
                <w:sz w:val="18"/>
                <w:szCs w:val="18"/>
              </w:rPr>
            </w:pPr>
          </w:p>
        </w:tc>
        <w:tc>
          <w:tcPr>
            <w:tcW w:w="214" w:type="pct"/>
          </w:tcPr>
          <w:p w14:paraId="059B6F3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37074FBA" w14:textId="77777777" w:rsidR="00095411" w:rsidRPr="007348FD" w:rsidRDefault="00095411" w:rsidP="00591CBB">
            <w:pPr>
              <w:spacing w:after="160" w:line="259" w:lineRule="auto"/>
              <w:rPr>
                <w:rFonts w:ascii="Arial Narrow" w:hAnsi="Arial Narrow"/>
                <w:sz w:val="18"/>
                <w:szCs w:val="18"/>
              </w:rPr>
            </w:pPr>
          </w:p>
        </w:tc>
        <w:tc>
          <w:tcPr>
            <w:tcW w:w="280" w:type="pct"/>
          </w:tcPr>
          <w:p w14:paraId="0462763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22B9D90C"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2B887D28" w14:textId="77777777" w:rsidR="00095411" w:rsidRPr="007348FD" w:rsidRDefault="00095411" w:rsidP="00591CBB">
            <w:pPr>
              <w:spacing w:after="160" w:line="259" w:lineRule="auto"/>
              <w:rPr>
                <w:rFonts w:ascii="Arial Narrow" w:hAnsi="Arial Narrow"/>
                <w:sz w:val="18"/>
                <w:szCs w:val="18"/>
              </w:rPr>
            </w:pPr>
          </w:p>
        </w:tc>
        <w:tc>
          <w:tcPr>
            <w:tcW w:w="460" w:type="pct"/>
          </w:tcPr>
          <w:p w14:paraId="2E36226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DD38098"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5F92E9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65C38BA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37E56B7" w14:textId="0AC940B1"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40D172D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w:t>
            </w:r>
          </w:p>
        </w:tc>
        <w:tc>
          <w:tcPr>
            <w:tcW w:w="298" w:type="pct"/>
          </w:tcPr>
          <w:p w14:paraId="3E304D9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w:t>
            </w:r>
          </w:p>
        </w:tc>
        <w:tc>
          <w:tcPr>
            <w:cnfStyle w:val="000010000000" w:firstRow="0" w:lastRow="0" w:firstColumn="0" w:lastColumn="0" w:oddVBand="1" w:evenVBand="0" w:oddHBand="0" w:evenHBand="0" w:firstRowFirstColumn="0" w:firstRowLastColumn="0" w:lastRowFirstColumn="0" w:lastRowLastColumn="0"/>
            <w:tcW w:w="197" w:type="pct"/>
          </w:tcPr>
          <w:p w14:paraId="5E1D9ABB" w14:textId="77777777" w:rsidR="00095411" w:rsidRPr="007348FD" w:rsidRDefault="00095411" w:rsidP="00591CBB">
            <w:pPr>
              <w:spacing w:after="160" w:line="259" w:lineRule="auto"/>
              <w:rPr>
                <w:rFonts w:ascii="Arial Narrow" w:hAnsi="Arial Narrow"/>
                <w:sz w:val="18"/>
                <w:szCs w:val="18"/>
              </w:rPr>
            </w:pPr>
          </w:p>
        </w:tc>
        <w:tc>
          <w:tcPr>
            <w:tcW w:w="273" w:type="pct"/>
          </w:tcPr>
          <w:p w14:paraId="30C5E1F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27A4EAB" w14:textId="77777777" w:rsidR="00095411" w:rsidRPr="007348FD" w:rsidRDefault="00095411" w:rsidP="00591CBB">
            <w:pPr>
              <w:spacing w:after="160" w:line="259" w:lineRule="auto"/>
              <w:rPr>
                <w:rFonts w:ascii="Arial Narrow" w:hAnsi="Arial Narrow"/>
                <w:sz w:val="18"/>
                <w:szCs w:val="18"/>
              </w:rPr>
            </w:pPr>
          </w:p>
        </w:tc>
        <w:tc>
          <w:tcPr>
            <w:tcW w:w="283" w:type="pct"/>
          </w:tcPr>
          <w:p w14:paraId="1928C7B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C82B044" w14:textId="77777777" w:rsidR="00095411" w:rsidRPr="007348FD" w:rsidRDefault="00095411" w:rsidP="00591CBB">
            <w:pPr>
              <w:spacing w:after="160" w:line="259" w:lineRule="auto"/>
              <w:rPr>
                <w:rFonts w:ascii="Arial Narrow" w:hAnsi="Arial Narrow"/>
                <w:sz w:val="18"/>
                <w:szCs w:val="18"/>
              </w:rPr>
            </w:pPr>
          </w:p>
        </w:tc>
        <w:tc>
          <w:tcPr>
            <w:tcW w:w="149" w:type="pct"/>
          </w:tcPr>
          <w:p w14:paraId="4CB0F30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B69051A" w14:textId="77777777" w:rsidR="00095411" w:rsidRPr="007348FD" w:rsidRDefault="00095411" w:rsidP="00591CBB">
            <w:pPr>
              <w:spacing w:after="160" w:line="259" w:lineRule="auto"/>
              <w:rPr>
                <w:rFonts w:ascii="Arial Narrow" w:hAnsi="Arial Narrow"/>
                <w:sz w:val="18"/>
                <w:szCs w:val="18"/>
              </w:rPr>
            </w:pPr>
          </w:p>
        </w:tc>
        <w:tc>
          <w:tcPr>
            <w:tcW w:w="214" w:type="pct"/>
          </w:tcPr>
          <w:p w14:paraId="46F585F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15%</w:t>
            </w:r>
          </w:p>
        </w:tc>
        <w:tc>
          <w:tcPr>
            <w:cnfStyle w:val="000010000000" w:firstRow="0" w:lastRow="0" w:firstColumn="0" w:lastColumn="0" w:oddVBand="1" w:evenVBand="0" w:oddHBand="0" w:evenHBand="0" w:firstRowFirstColumn="0" w:firstRowLastColumn="0" w:lastRowFirstColumn="0" w:lastRowLastColumn="0"/>
            <w:tcW w:w="245" w:type="pct"/>
          </w:tcPr>
          <w:p w14:paraId="5420640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20%</w:t>
            </w:r>
          </w:p>
        </w:tc>
        <w:tc>
          <w:tcPr>
            <w:tcW w:w="280" w:type="pct"/>
          </w:tcPr>
          <w:p w14:paraId="3EB23636" w14:textId="19B4651E"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≥25%</w:t>
            </w:r>
          </w:p>
        </w:tc>
      </w:tr>
      <w:tr w:rsidR="00637BF8" w:rsidRPr="00591CBB" w14:paraId="2C5B053A"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4EC86086" w14:textId="77777777" w:rsidR="00095411" w:rsidRPr="007348FD" w:rsidRDefault="00095411" w:rsidP="00591CBB">
            <w:pPr>
              <w:spacing w:after="160" w:line="259" w:lineRule="auto"/>
              <w:rPr>
                <w:rFonts w:ascii="Arial Narrow" w:hAnsi="Arial Narrow"/>
                <w:sz w:val="18"/>
                <w:szCs w:val="18"/>
              </w:rPr>
            </w:pPr>
          </w:p>
        </w:tc>
        <w:tc>
          <w:tcPr>
            <w:tcW w:w="460" w:type="pct"/>
          </w:tcPr>
          <w:p w14:paraId="782BD33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453ADD7"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940F37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2BC9C8D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772AD66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4170997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17BB647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w:t>
            </w:r>
          </w:p>
        </w:tc>
        <w:tc>
          <w:tcPr>
            <w:cnfStyle w:val="000010000000" w:firstRow="0" w:lastRow="0" w:firstColumn="0" w:lastColumn="0" w:oddVBand="1" w:evenVBand="0" w:oddHBand="0" w:evenHBand="0" w:firstRowFirstColumn="0" w:firstRowLastColumn="0" w:lastRowFirstColumn="0" w:lastRowLastColumn="0"/>
            <w:tcW w:w="197" w:type="pct"/>
          </w:tcPr>
          <w:p w14:paraId="0B0ABA1F" w14:textId="77777777" w:rsidR="00095411" w:rsidRPr="007348FD" w:rsidRDefault="00095411" w:rsidP="00591CBB">
            <w:pPr>
              <w:spacing w:after="160" w:line="259" w:lineRule="auto"/>
              <w:rPr>
                <w:rFonts w:ascii="Arial Narrow" w:hAnsi="Arial Narrow"/>
                <w:sz w:val="18"/>
                <w:szCs w:val="18"/>
              </w:rPr>
            </w:pPr>
          </w:p>
        </w:tc>
        <w:tc>
          <w:tcPr>
            <w:tcW w:w="273" w:type="pct"/>
          </w:tcPr>
          <w:p w14:paraId="3592FF4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357C2E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18%</w:t>
            </w:r>
          </w:p>
        </w:tc>
        <w:tc>
          <w:tcPr>
            <w:tcW w:w="283" w:type="pct"/>
          </w:tcPr>
          <w:p w14:paraId="38DCBA5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6E450DA" w14:textId="77777777" w:rsidR="00095411" w:rsidRPr="007348FD" w:rsidRDefault="00095411" w:rsidP="00591CBB">
            <w:pPr>
              <w:spacing w:after="160" w:line="259" w:lineRule="auto"/>
              <w:rPr>
                <w:rFonts w:ascii="Arial Narrow" w:hAnsi="Arial Narrow"/>
                <w:sz w:val="18"/>
                <w:szCs w:val="18"/>
              </w:rPr>
            </w:pPr>
          </w:p>
        </w:tc>
        <w:tc>
          <w:tcPr>
            <w:tcW w:w="149" w:type="pct"/>
          </w:tcPr>
          <w:p w14:paraId="7FFE811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61ABAE57" w14:textId="77777777" w:rsidR="00095411" w:rsidRPr="007348FD" w:rsidRDefault="00095411" w:rsidP="00591CBB">
            <w:pPr>
              <w:spacing w:after="160" w:line="259" w:lineRule="auto"/>
              <w:rPr>
                <w:rFonts w:ascii="Arial Narrow" w:hAnsi="Arial Narrow"/>
                <w:sz w:val="18"/>
                <w:szCs w:val="18"/>
              </w:rPr>
            </w:pPr>
          </w:p>
        </w:tc>
        <w:tc>
          <w:tcPr>
            <w:tcW w:w="214" w:type="pct"/>
          </w:tcPr>
          <w:p w14:paraId="124C2F0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0FB4D6D8" w14:textId="77777777" w:rsidR="00095411" w:rsidRPr="007348FD" w:rsidRDefault="00095411" w:rsidP="00591CBB">
            <w:pPr>
              <w:spacing w:after="160" w:line="259" w:lineRule="auto"/>
              <w:rPr>
                <w:rFonts w:ascii="Arial Narrow" w:hAnsi="Arial Narrow"/>
                <w:sz w:val="18"/>
                <w:szCs w:val="18"/>
              </w:rPr>
            </w:pPr>
          </w:p>
        </w:tc>
        <w:tc>
          <w:tcPr>
            <w:tcW w:w="280" w:type="pct"/>
          </w:tcPr>
          <w:p w14:paraId="2535D71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3547C3A9"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3AE43D0A" w14:textId="77777777" w:rsidR="00095411" w:rsidRPr="007348FD" w:rsidRDefault="00095411" w:rsidP="00591CBB">
            <w:pPr>
              <w:spacing w:after="160" w:line="259" w:lineRule="auto"/>
              <w:rPr>
                <w:rFonts w:ascii="Arial Narrow" w:hAnsi="Arial Narrow"/>
                <w:sz w:val="18"/>
                <w:szCs w:val="18"/>
              </w:rPr>
            </w:pPr>
          </w:p>
        </w:tc>
        <w:tc>
          <w:tcPr>
            <w:tcW w:w="460" w:type="pct"/>
          </w:tcPr>
          <w:p w14:paraId="6106809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18050DC"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2AAFB9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60C99B4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34837AE5" w14:textId="1BC146E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330E7A4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w:t>
            </w:r>
          </w:p>
        </w:tc>
        <w:tc>
          <w:tcPr>
            <w:tcW w:w="298" w:type="pct"/>
          </w:tcPr>
          <w:p w14:paraId="4D75125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w:t>
            </w:r>
          </w:p>
        </w:tc>
        <w:tc>
          <w:tcPr>
            <w:cnfStyle w:val="000010000000" w:firstRow="0" w:lastRow="0" w:firstColumn="0" w:lastColumn="0" w:oddVBand="1" w:evenVBand="0" w:oddHBand="0" w:evenHBand="0" w:firstRowFirstColumn="0" w:firstRowLastColumn="0" w:lastRowFirstColumn="0" w:lastRowLastColumn="0"/>
            <w:tcW w:w="197" w:type="pct"/>
          </w:tcPr>
          <w:p w14:paraId="1F4E5234" w14:textId="77777777" w:rsidR="00095411" w:rsidRPr="007348FD" w:rsidRDefault="00095411" w:rsidP="00591CBB">
            <w:pPr>
              <w:spacing w:after="160" w:line="259" w:lineRule="auto"/>
              <w:rPr>
                <w:rFonts w:ascii="Arial Narrow" w:hAnsi="Arial Narrow"/>
                <w:sz w:val="18"/>
                <w:szCs w:val="18"/>
              </w:rPr>
            </w:pPr>
          </w:p>
        </w:tc>
        <w:tc>
          <w:tcPr>
            <w:tcW w:w="273" w:type="pct"/>
          </w:tcPr>
          <w:p w14:paraId="1AB4554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3377994" w14:textId="77777777" w:rsidR="00095411" w:rsidRPr="007348FD" w:rsidRDefault="00095411" w:rsidP="00591CBB">
            <w:pPr>
              <w:spacing w:after="160" w:line="259" w:lineRule="auto"/>
              <w:rPr>
                <w:rFonts w:ascii="Arial Narrow" w:hAnsi="Arial Narrow"/>
                <w:sz w:val="18"/>
                <w:szCs w:val="18"/>
              </w:rPr>
            </w:pPr>
          </w:p>
        </w:tc>
        <w:tc>
          <w:tcPr>
            <w:tcW w:w="283" w:type="pct"/>
          </w:tcPr>
          <w:p w14:paraId="523FE9D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8FBF84F" w14:textId="77777777" w:rsidR="00095411" w:rsidRPr="007348FD" w:rsidRDefault="00095411" w:rsidP="00591CBB">
            <w:pPr>
              <w:spacing w:after="160" w:line="259" w:lineRule="auto"/>
              <w:rPr>
                <w:rFonts w:ascii="Arial Narrow" w:hAnsi="Arial Narrow"/>
                <w:sz w:val="18"/>
                <w:szCs w:val="18"/>
              </w:rPr>
            </w:pPr>
          </w:p>
        </w:tc>
        <w:tc>
          <w:tcPr>
            <w:tcW w:w="149" w:type="pct"/>
          </w:tcPr>
          <w:p w14:paraId="7571E8E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E00F003" w14:textId="77777777" w:rsidR="00095411" w:rsidRPr="007348FD" w:rsidRDefault="00095411" w:rsidP="00591CBB">
            <w:pPr>
              <w:spacing w:after="160" w:line="259" w:lineRule="auto"/>
              <w:rPr>
                <w:rFonts w:ascii="Arial Narrow" w:hAnsi="Arial Narrow"/>
                <w:sz w:val="18"/>
                <w:szCs w:val="18"/>
              </w:rPr>
            </w:pPr>
          </w:p>
        </w:tc>
        <w:tc>
          <w:tcPr>
            <w:tcW w:w="214" w:type="pct"/>
          </w:tcPr>
          <w:p w14:paraId="750473E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15%</w:t>
            </w:r>
          </w:p>
        </w:tc>
        <w:tc>
          <w:tcPr>
            <w:cnfStyle w:val="000010000000" w:firstRow="0" w:lastRow="0" w:firstColumn="0" w:lastColumn="0" w:oddVBand="1" w:evenVBand="0" w:oddHBand="0" w:evenHBand="0" w:firstRowFirstColumn="0" w:firstRowLastColumn="0" w:lastRowFirstColumn="0" w:lastRowLastColumn="0"/>
            <w:tcW w:w="245" w:type="pct"/>
          </w:tcPr>
          <w:p w14:paraId="46E097A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20%</w:t>
            </w:r>
          </w:p>
        </w:tc>
        <w:tc>
          <w:tcPr>
            <w:tcW w:w="280" w:type="pct"/>
          </w:tcPr>
          <w:p w14:paraId="10DA0390" w14:textId="794AA5A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≥25%</w:t>
            </w:r>
          </w:p>
        </w:tc>
      </w:tr>
      <w:tr w:rsidR="00637BF8" w:rsidRPr="00591CBB" w14:paraId="1F03DA36"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1D29EE82" w14:textId="77777777" w:rsidR="00095411" w:rsidRPr="007348FD" w:rsidRDefault="00095411" w:rsidP="00591CBB">
            <w:pPr>
              <w:spacing w:after="160" w:line="259" w:lineRule="auto"/>
              <w:rPr>
                <w:rFonts w:ascii="Arial Narrow" w:hAnsi="Arial Narrow"/>
                <w:sz w:val="18"/>
                <w:szCs w:val="18"/>
              </w:rPr>
            </w:pPr>
          </w:p>
        </w:tc>
        <w:tc>
          <w:tcPr>
            <w:tcW w:w="460" w:type="pct"/>
          </w:tcPr>
          <w:p w14:paraId="6CAFA8F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9F237B1"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C4F560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1AA4CE8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3F948F9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4154D58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6E8FFDF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250FFFB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73" w:type="pct"/>
          </w:tcPr>
          <w:p w14:paraId="71D1246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F6E945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83" w:type="pct"/>
          </w:tcPr>
          <w:p w14:paraId="503D3FB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8C34526" w14:textId="77777777" w:rsidR="00095411" w:rsidRPr="007348FD" w:rsidRDefault="00095411" w:rsidP="00591CBB">
            <w:pPr>
              <w:spacing w:after="160" w:line="259" w:lineRule="auto"/>
              <w:rPr>
                <w:rFonts w:ascii="Arial Narrow" w:hAnsi="Arial Narrow"/>
                <w:sz w:val="18"/>
                <w:szCs w:val="18"/>
              </w:rPr>
            </w:pPr>
          </w:p>
        </w:tc>
        <w:tc>
          <w:tcPr>
            <w:tcW w:w="149" w:type="pct"/>
          </w:tcPr>
          <w:p w14:paraId="5640969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06DD6218" w14:textId="77777777" w:rsidR="00095411" w:rsidRPr="007348FD" w:rsidRDefault="00095411" w:rsidP="00591CBB">
            <w:pPr>
              <w:spacing w:after="160" w:line="259" w:lineRule="auto"/>
              <w:rPr>
                <w:rFonts w:ascii="Arial Narrow" w:hAnsi="Arial Narrow"/>
                <w:sz w:val="18"/>
                <w:szCs w:val="18"/>
              </w:rPr>
            </w:pPr>
          </w:p>
        </w:tc>
        <w:tc>
          <w:tcPr>
            <w:tcW w:w="214" w:type="pct"/>
          </w:tcPr>
          <w:p w14:paraId="7608DA4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45" w:type="pct"/>
          </w:tcPr>
          <w:p w14:paraId="4CAAD266" w14:textId="77777777" w:rsidR="00095411" w:rsidRPr="007348FD" w:rsidRDefault="00095411" w:rsidP="00591CBB">
            <w:pPr>
              <w:spacing w:after="160" w:line="259" w:lineRule="auto"/>
              <w:rPr>
                <w:rFonts w:ascii="Arial Narrow" w:hAnsi="Arial Narrow"/>
                <w:sz w:val="18"/>
                <w:szCs w:val="18"/>
              </w:rPr>
            </w:pPr>
          </w:p>
        </w:tc>
        <w:tc>
          <w:tcPr>
            <w:tcW w:w="280" w:type="pct"/>
          </w:tcPr>
          <w:p w14:paraId="792D615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3E74D67B"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71D701BC" w14:textId="77777777" w:rsidR="00095411" w:rsidRPr="007348FD" w:rsidRDefault="00095411" w:rsidP="00591CBB">
            <w:pPr>
              <w:spacing w:after="160" w:line="259" w:lineRule="auto"/>
              <w:rPr>
                <w:rFonts w:ascii="Arial Narrow" w:hAnsi="Arial Narrow"/>
                <w:sz w:val="18"/>
                <w:szCs w:val="18"/>
              </w:rPr>
            </w:pPr>
          </w:p>
        </w:tc>
        <w:tc>
          <w:tcPr>
            <w:tcW w:w="460" w:type="pct"/>
          </w:tcPr>
          <w:p w14:paraId="606A8B5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271A1F0"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C5E59A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2F9E019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1AA1C052" w14:textId="047C4CE1"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4A5BD82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w:t>
            </w:r>
          </w:p>
        </w:tc>
        <w:tc>
          <w:tcPr>
            <w:tcW w:w="298" w:type="pct"/>
          </w:tcPr>
          <w:p w14:paraId="40809CF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w:t>
            </w:r>
          </w:p>
        </w:tc>
        <w:tc>
          <w:tcPr>
            <w:cnfStyle w:val="000010000000" w:firstRow="0" w:lastRow="0" w:firstColumn="0" w:lastColumn="0" w:oddVBand="1" w:evenVBand="0" w:oddHBand="0" w:evenHBand="0" w:firstRowFirstColumn="0" w:firstRowLastColumn="0" w:lastRowFirstColumn="0" w:lastRowLastColumn="0"/>
            <w:tcW w:w="197" w:type="pct"/>
          </w:tcPr>
          <w:p w14:paraId="2111DA04" w14:textId="77777777" w:rsidR="00095411" w:rsidRPr="007348FD" w:rsidRDefault="00095411" w:rsidP="00591CBB">
            <w:pPr>
              <w:spacing w:after="160" w:line="259" w:lineRule="auto"/>
              <w:rPr>
                <w:rFonts w:ascii="Arial Narrow" w:hAnsi="Arial Narrow"/>
                <w:sz w:val="18"/>
                <w:szCs w:val="18"/>
              </w:rPr>
            </w:pPr>
          </w:p>
        </w:tc>
        <w:tc>
          <w:tcPr>
            <w:tcW w:w="273" w:type="pct"/>
          </w:tcPr>
          <w:p w14:paraId="44E586B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46E34AF" w14:textId="77777777" w:rsidR="00095411" w:rsidRPr="007348FD" w:rsidRDefault="00095411" w:rsidP="00591CBB">
            <w:pPr>
              <w:spacing w:after="160" w:line="259" w:lineRule="auto"/>
              <w:rPr>
                <w:rFonts w:ascii="Arial Narrow" w:hAnsi="Arial Narrow"/>
                <w:sz w:val="18"/>
                <w:szCs w:val="18"/>
              </w:rPr>
            </w:pPr>
          </w:p>
        </w:tc>
        <w:tc>
          <w:tcPr>
            <w:tcW w:w="283" w:type="pct"/>
          </w:tcPr>
          <w:p w14:paraId="02E7F06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6FD3B57" w14:textId="77777777" w:rsidR="00095411" w:rsidRPr="007348FD" w:rsidRDefault="00095411" w:rsidP="00591CBB">
            <w:pPr>
              <w:spacing w:after="160" w:line="259" w:lineRule="auto"/>
              <w:rPr>
                <w:rFonts w:ascii="Arial Narrow" w:hAnsi="Arial Narrow"/>
                <w:sz w:val="18"/>
                <w:szCs w:val="18"/>
              </w:rPr>
            </w:pPr>
          </w:p>
        </w:tc>
        <w:tc>
          <w:tcPr>
            <w:tcW w:w="149" w:type="pct"/>
          </w:tcPr>
          <w:p w14:paraId="0BDA2F6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C58849D" w14:textId="77777777" w:rsidR="00095411" w:rsidRPr="007348FD" w:rsidRDefault="00095411" w:rsidP="00591CBB">
            <w:pPr>
              <w:spacing w:after="160" w:line="259" w:lineRule="auto"/>
              <w:rPr>
                <w:rFonts w:ascii="Arial Narrow" w:hAnsi="Arial Narrow"/>
                <w:sz w:val="18"/>
                <w:szCs w:val="18"/>
              </w:rPr>
            </w:pPr>
          </w:p>
        </w:tc>
        <w:tc>
          <w:tcPr>
            <w:tcW w:w="214" w:type="pct"/>
          </w:tcPr>
          <w:p w14:paraId="7AE455D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15%</w:t>
            </w:r>
          </w:p>
        </w:tc>
        <w:tc>
          <w:tcPr>
            <w:cnfStyle w:val="000010000000" w:firstRow="0" w:lastRow="0" w:firstColumn="0" w:lastColumn="0" w:oddVBand="1" w:evenVBand="0" w:oddHBand="0" w:evenHBand="0" w:firstRowFirstColumn="0" w:firstRowLastColumn="0" w:lastRowFirstColumn="0" w:lastRowLastColumn="0"/>
            <w:tcW w:w="245" w:type="pct"/>
          </w:tcPr>
          <w:p w14:paraId="24BE455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20%</w:t>
            </w:r>
          </w:p>
        </w:tc>
        <w:tc>
          <w:tcPr>
            <w:tcW w:w="280" w:type="pct"/>
          </w:tcPr>
          <w:p w14:paraId="35C78EDB" w14:textId="56EE200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≥25%</w:t>
            </w:r>
          </w:p>
        </w:tc>
      </w:tr>
      <w:tr w:rsidR="00637BF8" w:rsidRPr="00591CBB" w14:paraId="68688DE3"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23551343" w14:textId="77777777" w:rsidR="00095411" w:rsidRPr="007348FD" w:rsidRDefault="00095411" w:rsidP="00591CBB">
            <w:pPr>
              <w:spacing w:after="160" w:line="259" w:lineRule="auto"/>
              <w:rPr>
                <w:rFonts w:ascii="Arial Narrow" w:hAnsi="Arial Narrow"/>
                <w:sz w:val="18"/>
                <w:szCs w:val="18"/>
              </w:rPr>
            </w:pPr>
          </w:p>
        </w:tc>
        <w:tc>
          <w:tcPr>
            <w:tcW w:w="460" w:type="pct"/>
          </w:tcPr>
          <w:p w14:paraId="11D0BE5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023EB80"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D0E4EB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8ED90D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0CD9D52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1BD3259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0E55E55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104B8855" w14:textId="77777777" w:rsidR="00095411" w:rsidRPr="007348FD" w:rsidRDefault="00095411" w:rsidP="00591CBB">
            <w:pPr>
              <w:spacing w:after="160" w:line="259" w:lineRule="auto"/>
              <w:rPr>
                <w:rFonts w:ascii="Arial Narrow" w:hAnsi="Arial Narrow"/>
                <w:sz w:val="18"/>
                <w:szCs w:val="18"/>
              </w:rPr>
            </w:pPr>
          </w:p>
        </w:tc>
        <w:tc>
          <w:tcPr>
            <w:tcW w:w="273" w:type="pct"/>
          </w:tcPr>
          <w:p w14:paraId="3CB9DCE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15D44D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83" w:type="pct"/>
          </w:tcPr>
          <w:p w14:paraId="3226D6A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705A9C0" w14:textId="77777777" w:rsidR="00095411" w:rsidRPr="007348FD" w:rsidRDefault="00095411" w:rsidP="00591CBB">
            <w:pPr>
              <w:spacing w:after="160" w:line="259" w:lineRule="auto"/>
              <w:rPr>
                <w:rFonts w:ascii="Arial Narrow" w:hAnsi="Arial Narrow"/>
                <w:sz w:val="18"/>
                <w:szCs w:val="18"/>
              </w:rPr>
            </w:pPr>
          </w:p>
        </w:tc>
        <w:tc>
          <w:tcPr>
            <w:tcW w:w="149" w:type="pct"/>
          </w:tcPr>
          <w:p w14:paraId="4F4DDF8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7984068A" w14:textId="77777777" w:rsidR="00095411" w:rsidRPr="007348FD" w:rsidRDefault="00095411" w:rsidP="00591CBB">
            <w:pPr>
              <w:spacing w:after="160" w:line="259" w:lineRule="auto"/>
              <w:rPr>
                <w:rFonts w:ascii="Arial Narrow" w:hAnsi="Arial Narrow"/>
                <w:sz w:val="18"/>
                <w:szCs w:val="18"/>
              </w:rPr>
            </w:pPr>
          </w:p>
        </w:tc>
        <w:tc>
          <w:tcPr>
            <w:tcW w:w="214" w:type="pct"/>
          </w:tcPr>
          <w:p w14:paraId="58FBE28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NA</w:t>
            </w:r>
          </w:p>
        </w:tc>
        <w:tc>
          <w:tcPr>
            <w:cnfStyle w:val="000010000000" w:firstRow="0" w:lastRow="0" w:firstColumn="0" w:lastColumn="0" w:oddVBand="1" w:evenVBand="0" w:oddHBand="0" w:evenHBand="0" w:firstRowFirstColumn="0" w:firstRowLastColumn="0" w:lastRowFirstColumn="0" w:lastRowLastColumn="0"/>
            <w:tcW w:w="245" w:type="pct"/>
          </w:tcPr>
          <w:p w14:paraId="522F3654" w14:textId="77777777" w:rsidR="00095411" w:rsidRPr="007348FD" w:rsidRDefault="00095411" w:rsidP="00591CBB">
            <w:pPr>
              <w:spacing w:after="160" w:line="259" w:lineRule="auto"/>
              <w:rPr>
                <w:rFonts w:ascii="Arial Narrow" w:hAnsi="Arial Narrow"/>
                <w:sz w:val="18"/>
                <w:szCs w:val="18"/>
              </w:rPr>
            </w:pPr>
          </w:p>
        </w:tc>
        <w:tc>
          <w:tcPr>
            <w:tcW w:w="280" w:type="pct"/>
          </w:tcPr>
          <w:p w14:paraId="3FA86E1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407A0150"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0E183F05" w14:textId="77777777" w:rsidR="00095411" w:rsidRPr="007348FD" w:rsidRDefault="00095411" w:rsidP="00591CBB">
            <w:pPr>
              <w:spacing w:after="160" w:line="259" w:lineRule="auto"/>
              <w:rPr>
                <w:rFonts w:ascii="Arial Narrow" w:hAnsi="Arial Narrow"/>
                <w:sz w:val="18"/>
                <w:szCs w:val="18"/>
              </w:rPr>
            </w:pPr>
          </w:p>
        </w:tc>
        <w:tc>
          <w:tcPr>
            <w:tcW w:w="460" w:type="pct"/>
          </w:tcPr>
          <w:p w14:paraId="5336587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6ECA92A"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022AB9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3C9D210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6D1D98F1" w14:textId="28616CF1"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238154A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w:t>
            </w:r>
          </w:p>
        </w:tc>
        <w:tc>
          <w:tcPr>
            <w:tcW w:w="298" w:type="pct"/>
          </w:tcPr>
          <w:p w14:paraId="339880B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w:t>
            </w:r>
          </w:p>
        </w:tc>
        <w:tc>
          <w:tcPr>
            <w:cnfStyle w:val="000010000000" w:firstRow="0" w:lastRow="0" w:firstColumn="0" w:lastColumn="0" w:oddVBand="1" w:evenVBand="0" w:oddHBand="0" w:evenHBand="0" w:firstRowFirstColumn="0" w:firstRowLastColumn="0" w:lastRowFirstColumn="0" w:lastRowLastColumn="0"/>
            <w:tcW w:w="197" w:type="pct"/>
          </w:tcPr>
          <w:p w14:paraId="7C8F2A0C" w14:textId="77777777" w:rsidR="00095411" w:rsidRPr="007348FD" w:rsidRDefault="00095411" w:rsidP="00591CBB">
            <w:pPr>
              <w:spacing w:after="160" w:line="259" w:lineRule="auto"/>
              <w:rPr>
                <w:rFonts w:ascii="Arial Narrow" w:hAnsi="Arial Narrow"/>
                <w:sz w:val="18"/>
                <w:szCs w:val="18"/>
              </w:rPr>
            </w:pPr>
          </w:p>
        </w:tc>
        <w:tc>
          <w:tcPr>
            <w:tcW w:w="273" w:type="pct"/>
          </w:tcPr>
          <w:p w14:paraId="1B4CFD5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39F59CD" w14:textId="77777777" w:rsidR="00095411" w:rsidRPr="007348FD" w:rsidRDefault="00095411" w:rsidP="00591CBB">
            <w:pPr>
              <w:spacing w:after="160" w:line="259" w:lineRule="auto"/>
              <w:rPr>
                <w:rFonts w:ascii="Arial Narrow" w:hAnsi="Arial Narrow"/>
                <w:sz w:val="18"/>
                <w:szCs w:val="18"/>
              </w:rPr>
            </w:pPr>
          </w:p>
        </w:tc>
        <w:tc>
          <w:tcPr>
            <w:tcW w:w="283" w:type="pct"/>
          </w:tcPr>
          <w:p w14:paraId="434508F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A755FAB" w14:textId="77777777" w:rsidR="00095411" w:rsidRPr="007348FD" w:rsidRDefault="00095411" w:rsidP="00591CBB">
            <w:pPr>
              <w:spacing w:after="160" w:line="259" w:lineRule="auto"/>
              <w:rPr>
                <w:rFonts w:ascii="Arial Narrow" w:hAnsi="Arial Narrow"/>
                <w:sz w:val="18"/>
                <w:szCs w:val="18"/>
              </w:rPr>
            </w:pPr>
          </w:p>
        </w:tc>
        <w:tc>
          <w:tcPr>
            <w:tcW w:w="149" w:type="pct"/>
          </w:tcPr>
          <w:p w14:paraId="13E3F39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B04EB35" w14:textId="77777777" w:rsidR="00095411" w:rsidRPr="007348FD" w:rsidRDefault="00095411" w:rsidP="00591CBB">
            <w:pPr>
              <w:spacing w:after="160" w:line="259" w:lineRule="auto"/>
              <w:rPr>
                <w:rFonts w:ascii="Arial Narrow" w:hAnsi="Arial Narrow"/>
                <w:sz w:val="18"/>
                <w:szCs w:val="18"/>
              </w:rPr>
            </w:pPr>
          </w:p>
        </w:tc>
        <w:tc>
          <w:tcPr>
            <w:tcW w:w="214" w:type="pct"/>
          </w:tcPr>
          <w:p w14:paraId="76C013B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15%</w:t>
            </w:r>
          </w:p>
        </w:tc>
        <w:tc>
          <w:tcPr>
            <w:cnfStyle w:val="000010000000" w:firstRow="0" w:lastRow="0" w:firstColumn="0" w:lastColumn="0" w:oddVBand="1" w:evenVBand="0" w:oddHBand="0" w:evenHBand="0" w:firstRowFirstColumn="0" w:firstRowLastColumn="0" w:lastRowFirstColumn="0" w:lastRowLastColumn="0"/>
            <w:tcW w:w="245" w:type="pct"/>
          </w:tcPr>
          <w:p w14:paraId="41C0330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20%</w:t>
            </w:r>
          </w:p>
        </w:tc>
        <w:tc>
          <w:tcPr>
            <w:tcW w:w="280" w:type="pct"/>
          </w:tcPr>
          <w:p w14:paraId="5085FF83" w14:textId="64B53FE3"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≥25%</w:t>
            </w:r>
          </w:p>
        </w:tc>
      </w:tr>
      <w:tr w:rsidR="00637BF8" w:rsidRPr="00591CBB" w14:paraId="405F920C"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239132DB" w14:textId="77777777" w:rsidR="00095411" w:rsidRPr="007348FD" w:rsidRDefault="00095411" w:rsidP="00591CBB">
            <w:pPr>
              <w:spacing w:after="160" w:line="259" w:lineRule="auto"/>
              <w:rPr>
                <w:rFonts w:ascii="Arial Narrow" w:hAnsi="Arial Narrow"/>
                <w:sz w:val="18"/>
                <w:szCs w:val="18"/>
              </w:rPr>
            </w:pPr>
          </w:p>
        </w:tc>
        <w:tc>
          <w:tcPr>
            <w:tcW w:w="460" w:type="pct"/>
          </w:tcPr>
          <w:p w14:paraId="1458B86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AA70DC7"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5C8544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5155D81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6550FD2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6F0D47A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6B82436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7F61BFAE" w14:textId="77777777" w:rsidR="00095411" w:rsidRPr="007348FD" w:rsidRDefault="00095411" w:rsidP="00591CBB">
            <w:pPr>
              <w:spacing w:after="160" w:line="259" w:lineRule="auto"/>
              <w:rPr>
                <w:rFonts w:ascii="Arial Narrow" w:hAnsi="Arial Narrow"/>
                <w:sz w:val="18"/>
                <w:szCs w:val="18"/>
              </w:rPr>
            </w:pPr>
          </w:p>
        </w:tc>
        <w:tc>
          <w:tcPr>
            <w:tcW w:w="273" w:type="pct"/>
          </w:tcPr>
          <w:p w14:paraId="640365A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15EAF3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83" w:type="pct"/>
          </w:tcPr>
          <w:p w14:paraId="5875007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B9F984B" w14:textId="77777777" w:rsidR="00095411" w:rsidRPr="007348FD" w:rsidRDefault="00095411" w:rsidP="00591CBB">
            <w:pPr>
              <w:spacing w:after="160" w:line="259" w:lineRule="auto"/>
              <w:rPr>
                <w:rFonts w:ascii="Arial Narrow" w:hAnsi="Arial Narrow"/>
                <w:sz w:val="18"/>
                <w:szCs w:val="18"/>
              </w:rPr>
            </w:pPr>
          </w:p>
        </w:tc>
        <w:tc>
          <w:tcPr>
            <w:tcW w:w="149" w:type="pct"/>
          </w:tcPr>
          <w:p w14:paraId="54A23E8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6F458D3E" w14:textId="77777777" w:rsidR="00095411" w:rsidRPr="007348FD" w:rsidRDefault="00095411" w:rsidP="00591CBB">
            <w:pPr>
              <w:spacing w:after="160" w:line="259" w:lineRule="auto"/>
              <w:rPr>
                <w:rFonts w:ascii="Arial Narrow" w:hAnsi="Arial Narrow"/>
                <w:sz w:val="18"/>
                <w:szCs w:val="18"/>
              </w:rPr>
            </w:pPr>
          </w:p>
        </w:tc>
        <w:tc>
          <w:tcPr>
            <w:tcW w:w="214" w:type="pct"/>
          </w:tcPr>
          <w:p w14:paraId="5A48794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2962BA38" w14:textId="77777777" w:rsidR="00095411" w:rsidRPr="007348FD" w:rsidRDefault="00095411" w:rsidP="00591CBB">
            <w:pPr>
              <w:spacing w:after="160" w:line="259" w:lineRule="auto"/>
              <w:rPr>
                <w:rFonts w:ascii="Arial Narrow" w:hAnsi="Arial Narrow"/>
                <w:sz w:val="18"/>
                <w:szCs w:val="18"/>
              </w:rPr>
            </w:pPr>
          </w:p>
        </w:tc>
        <w:tc>
          <w:tcPr>
            <w:tcW w:w="280" w:type="pct"/>
          </w:tcPr>
          <w:p w14:paraId="3298319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4BEB5E08"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20D50C7E" w14:textId="77777777" w:rsidR="00095411" w:rsidRPr="007348FD" w:rsidRDefault="00095411" w:rsidP="00591CBB">
            <w:pPr>
              <w:spacing w:after="160" w:line="259" w:lineRule="auto"/>
              <w:rPr>
                <w:rFonts w:ascii="Arial Narrow" w:hAnsi="Arial Narrow"/>
                <w:sz w:val="18"/>
                <w:szCs w:val="18"/>
              </w:rPr>
            </w:pPr>
          </w:p>
        </w:tc>
        <w:tc>
          <w:tcPr>
            <w:tcW w:w="460" w:type="pct"/>
          </w:tcPr>
          <w:p w14:paraId="284CEE7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A659AB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6ECEA2C" w14:textId="512E619F"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19E05A5A" w14:textId="5A43AFE6" w:rsidR="00095411" w:rsidRPr="007348FD" w:rsidRDefault="00095411" w:rsidP="00591CBB">
            <w:pPr>
              <w:spacing w:after="160" w:line="259" w:lineRule="auto"/>
              <w:rPr>
                <w:rFonts w:ascii="Arial Narrow" w:hAnsi="Arial Narrow"/>
                <w:sz w:val="18"/>
                <w:szCs w:val="18"/>
              </w:rPr>
            </w:pPr>
            <w:r>
              <w:rPr>
                <w:rFonts w:ascii="Arial Narrow" w:hAnsi="Arial Narrow"/>
                <w:sz w:val="18"/>
                <w:szCs w:val="18"/>
              </w:rPr>
              <w:t>Planned</w:t>
            </w:r>
          </w:p>
        </w:tc>
        <w:tc>
          <w:tcPr>
            <w:tcW w:w="330" w:type="pct"/>
          </w:tcPr>
          <w:p w14:paraId="4EF6E34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707AA1B7" w14:textId="6D1680EB" w:rsidR="00095411" w:rsidRPr="007348FD" w:rsidRDefault="00095411" w:rsidP="00591CBB">
            <w:pPr>
              <w:spacing w:after="160" w:line="259" w:lineRule="auto"/>
              <w:rPr>
                <w:rFonts w:ascii="Arial Narrow" w:hAnsi="Arial Narrow"/>
                <w:sz w:val="18"/>
                <w:szCs w:val="18"/>
              </w:rPr>
            </w:pPr>
            <w:r>
              <w:rPr>
                <w:rFonts w:ascii="Arial Narrow" w:hAnsi="Arial Narrow"/>
                <w:sz w:val="18"/>
                <w:szCs w:val="18"/>
              </w:rPr>
              <w:t>5%</w:t>
            </w:r>
          </w:p>
        </w:tc>
        <w:tc>
          <w:tcPr>
            <w:tcW w:w="298" w:type="pct"/>
          </w:tcPr>
          <w:p w14:paraId="2B9AD1C8" w14:textId="03417CCB"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10%</w:t>
            </w:r>
          </w:p>
        </w:tc>
        <w:tc>
          <w:tcPr>
            <w:cnfStyle w:val="000010000000" w:firstRow="0" w:lastRow="0" w:firstColumn="0" w:lastColumn="0" w:oddVBand="1" w:evenVBand="0" w:oddHBand="0" w:evenHBand="0" w:firstRowFirstColumn="0" w:firstRowLastColumn="0" w:lastRowFirstColumn="0" w:lastRowLastColumn="0"/>
            <w:tcW w:w="197" w:type="pct"/>
          </w:tcPr>
          <w:p w14:paraId="6D6EB980" w14:textId="77777777" w:rsidR="00095411" w:rsidRPr="007348FD" w:rsidRDefault="00095411" w:rsidP="00591CBB">
            <w:pPr>
              <w:spacing w:after="160" w:line="259" w:lineRule="auto"/>
              <w:rPr>
                <w:rFonts w:ascii="Arial Narrow" w:hAnsi="Arial Narrow"/>
                <w:sz w:val="18"/>
                <w:szCs w:val="18"/>
              </w:rPr>
            </w:pPr>
          </w:p>
        </w:tc>
        <w:tc>
          <w:tcPr>
            <w:tcW w:w="273" w:type="pct"/>
          </w:tcPr>
          <w:p w14:paraId="4BCF472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9E9937C" w14:textId="77777777" w:rsidR="00095411" w:rsidRPr="007348FD" w:rsidRDefault="00095411" w:rsidP="00591CBB">
            <w:pPr>
              <w:spacing w:after="160" w:line="259" w:lineRule="auto"/>
              <w:rPr>
                <w:rFonts w:ascii="Arial Narrow" w:hAnsi="Arial Narrow"/>
                <w:sz w:val="18"/>
                <w:szCs w:val="18"/>
              </w:rPr>
            </w:pPr>
          </w:p>
        </w:tc>
        <w:tc>
          <w:tcPr>
            <w:tcW w:w="283" w:type="pct"/>
          </w:tcPr>
          <w:p w14:paraId="40CBE09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87444A4" w14:textId="77777777" w:rsidR="00095411" w:rsidRPr="007348FD" w:rsidRDefault="00095411" w:rsidP="00591CBB">
            <w:pPr>
              <w:spacing w:after="160" w:line="259" w:lineRule="auto"/>
              <w:rPr>
                <w:rFonts w:ascii="Arial Narrow" w:hAnsi="Arial Narrow"/>
                <w:sz w:val="18"/>
                <w:szCs w:val="18"/>
              </w:rPr>
            </w:pPr>
          </w:p>
        </w:tc>
        <w:tc>
          <w:tcPr>
            <w:tcW w:w="149" w:type="pct"/>
          </w:tcPr>
          <w:p w14:paraId="4F7A397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EFB8E08" w14:textId="77777777" w:rsidR="00095411" w:rsidRPr="007348FD" w:rsidRDefault="00095411" w:rsidP="00591CBB">
            <w:pPr>
              <w:spacing w:after="160" w:line="259" w:lineRule="auto"/>
              <w:rPr>
                <w:rFonts w:ascii="Arial Narrow" w:hAnsi="Arial Narrow"/>
                <w:sz w:val="18"/>
                <w:szCs w:val="18"/>
              </w:rPr>
            </w:pPr>
          </w:p>
        </w:tc>
        <w:tc>
          <w:tcPr>
            <w:tcW w:w="214" w:type="pct"/>
          </w:tcPr>
          <w:p w14:paraId="33848FCA" w14:textId="4086F312"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15%</w:t>
            </w:r>
          </w:p>
        </w:tc>
        <w:tc>
          <w:tcPr>
            <w:cnfStyle w:val="000010000000" w:firstRow="0" w:lastRow="0" w:firstColumn="0" w:lastColumn="0" w:oddVBand="1" w:evenVBand="0" w:oddHBand="0" w:evenHBand="0" w:firstRowFirstColumn="0" w:firstRowLastColumn="0" w:lastRowFirstColumn="0" w:lastRowLastColumn="0"/>
            <w:tcW w:w="245" w:type="pct"/>
          </w:tcPr>
          <w:p w14:paraId="7F8D0BC6" w14:textId="5C43728E" w:rsidR="00095411" w:rsidRPr="007348FD" w:rsidRDefault="00095411" w:rsidP="00591CBB">
            <w:pPr>
              <w:spacing w:after="160" w:line="259" w:lineRule="auto"/>
              <w:rPr>
                <w:rFonts w:ascii="Arial Narrow" w:hAnsi="Arial Narrow"/>
                <w:sz w:val="18"/>
                <w:szCs w:val="18"/>
              </w:rPr>
            </w:pPr>
            <w:r>
              <w:rPr>
                <w:rFonts w:ascii="Arial Narrow" w:hAnsi="Arial Narrow"/>
                <w:sz w:val="18"/>
                <w:szCs w:val="18"/>
              </w:rPr>
              <w:t>20%</w:t>
            </w:r>
          </w:p>
        </w:tc>
        <w:tc>
          <w:tcPr>
            <w:tcW w:w="280" w:type="pct"/>
          </w:tcPr>
          <w:p w14:paraId="0C4C2914" w14:textId="7E109C4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≥25%</w:t>
            </w:r>
          </w:p>
        </w:tc>
      </w:tr>
      <w:tr w:rsidR="00637BF8" w:rsidRPr="00591CBB" w14:paraId="2FD8F550" w14:textId="77777777" w:rsidTr="00051F27">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432" w:type="pct"/>
          </w:tcPr>
          <w:p w14:paraId="4A3A7D09" w14:textId="77777777" w:rsidR="00095411" w:rsidRPr="007348FD" w:rsidRDefault="00095411" w:rsidP="00591CBB">
            <w:pPr>
              <w:spacing w:after="160" w:line="259" w:lineRule="auto"/>
              <w:rPr>
                <w:rFonts w:ascii="Arial Narrow" w:hAnsi="Arial Narrow"/>
                <w:sz w:val="18"/>
                <w:szCs w:val="18"/>
              </w:rPr>
            </w:pPr>
          </w:p>
        </w:tc>
        <w:tc>
          <w:tcPr>
            <w:tcW w:w="460" w:type="pct"/>
          </w:tcPr>
          <w:p w14:paraId="40DB931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2A7BF5D"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86527F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1BBB8FD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0589114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7668AE2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28EDF47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4BC79101" w14:textId="77777777" w:rsidR="00095411" w:rsidRPr="007348FD" w:rsidRDefault="00095411" w:rsidP="00591CBB">
            <w:pPr>
              <w:spacing w:after="160" w:line="259" w:lineRule="auto"/>
              <w:rPr>
                <w:rFonts w:ascii="Arial Narrow" w:hAnsi="Arial Narrow"/>
                <w:sz w:val="18"/>
                <w:szCs w:val="18"/>
              </w:rPr>
            </w:pPr>
          </w:p>
        </w:tc>
        <w:tc>
          <w:tcPr>
            <w:tcW w:w="273" w:type="pct"/>
          </w:tcPr>
          <w:p w14:paraId="4212BA2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37CBF3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83" w:type="pct"/>
          </w:tcPr>
          <w:p w14:paraId="43BF7DC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44970B2" w14:textId="77777777" w:rsidR="00095411" w:rsidRPr="007348FD" w:rsidRDefault="00095411" w:rsidP="00591CBB">
            <w:pPr>
              <w:spacing w:after="160" w:line="259" w:lineRule="auto"/>
              <w:rPr>
                <w:rFonts w:ascii="Arial Narrow" w:hAnsi="Arial Narrow"/>
                <w:sz w:val="18"/>
                <w:szCs w:val="18"/>
              </w:rPr>
            </w:pPr>
          </w:p>
        </w:tc>
        <w:tc>
          <w:tcPr>
            <w:tcW w:w="149" w:type="pct"/>
          </w:tcPr>
          <w:p w14:paraId="30752CF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1A4BB4F6" w14:textId="77777777" w:rsidR="00095411" w:rsidRPr="007348FD" w:rsidRDefault="00095411" w:rsidP="00591CBB">
            <w:pPr>
              <w:spacing w:after="160" w:line="259" w:lineRule="auto"/>
              <w:rPr>
                <w:rFonts w:ascii="Arial Narrow" w:hAnsi="Arial Narrow"/>
                <w:sz w:val="18"/>
                <w:szCs w:val="18"/>
              </w:rPr>
            </w:pPr>
          </w:p>
        </w:tc>
        <w:tc>
          <w:tcPr>
            <w:tcW w:w="214" w:type="pct"/>
          </w:tcPr>
          <w:p w14:paraId="656A0D0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HFRSA</w:t>
            </w:r>
          </w:p>
        </w:tc>
        <w:tc>
          <w:tcPr>
            <w:cnfStyle w:val="000010000000" w:firstRow="0" w:lastRow="0" w:firstColumn="0" w:lastColumn="0" w:oddVBand="1" w:evenVBand="0" w:oddHBand="0" w:evenHBand="0" w:firstRowFirstColumn="0" w:firstRowLastColumn="0" w:lastRowFirstColumn="0" w:lastRowLastColumn="0"/>
            <w:tcW w:w="245" w:type="pct"/>
          </w:tcPr>
          <w:p w14:paraId="30834A5F" w14:textId="77777777" w:rsidR="00095411" w:rsidRPr="007348FD" w:rsidRDefault="00095411" w:rsidP="00591CBB">
            <w:pPr>
              <w:spacing w:after="160" w:line="259" w:lineRule="auto"/>
              <w:rPr>
                <w:rFonts w:ascii="Arial Narrow" w:hAnsi="Arial Narrow"/>
                <w:sz w:val="18"/>
                <w:szCs w:val="18"/>
              </w:rPr>
            </w:pPr>
          </w:p>
        </w:tc>
        <w:tc>
          <w:tcPr>
            <w:tcW w:w="280" w:type="pct"/>
          </w:tcPr>
          <w:p w14:paraId="402BA53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2D43CD30" w14:textId="77777777" w:rsidTr="00051F27">
        <w:trPr>
          <w:trHeight w:val="228"/>
        </w:trPr>
        <w:tc>
          <w:tcPr>
            <w:cnfStyle w:val="000010000000" w:firstRow="0" w:lastRow="0" w:firstColumn="0" w:lastColumn="0" w:oddVBand="1" w:evenVBand="0" w:oddHBand="0" w:evenHBand="0" w:firstRowFirstColumn="0" w:firstRowLastColumn="0" w:lastRowFirstColumn="0" w:lastRowLastColumn="0"/>
            <w:tcW w:w="432" w:type="pct"/>
          </w:tcPr>
          <w:p w14:paraId="71E4DF85" w14:textId="77777777" w:rsidR="00637BF8" w:rsidRPr="007348FD" w:rsidRDefault="00637BF8" w:rsidP="00637BF8">
            <w:pPr>
              <w:spacing w:after="160" w:line="259" w:lineRule="auto"/>
              <w:rPr>
                <w:rFonts w:ascii="Arial Narrow" w:hAnsi="Arial Narrow"/>
                <w:sz w:val="18"/>
                <w:szCs w:val="18"/>
              </w:rPr>
            </w:pPr>
            <w:r w:rsidRPr="007348FD">
              <w:rPr>
                <w:rFonts w:ascii="Arial Narrow" w:hAnsi="Arial Narrow"/>
                <w:b/>
                <w:bCs/>
                <w:sz w:val="18"/>
                <w:szCs w:val="18"/>
              </w:rPr>
              <w:t>Programme Outcome 2:</w:t>
            </w:r>
          </w:p>
          <w:p w14:paraId="2A823AB7" w14:textId="1F20544F" w:rsidR="00637BF8" w:rsidRPr="007348FD" w:rsidRDefault="00637BF8" w:rsidP="00591CBB">
            <w:pPr>
              <w:spacing w:after="160" w:line="259" w:lineRule="auto"/>
              <w:rPr>
                <w:rFonts w:ascii="Arial Narrow" w:hAnsi="Arial Narrow"/>
                <w:sz w:val="18"/>
                <w:szCs w:val="18"/>
              </w:rPr>
            </w:pPr>
            <w:r w:rsidRPr="007348FD">
              <w:rPr>
                <w:rFonts w:ascii="Arial Narrow" w:hAnsi="Arial Narrow"/>
                <w:sz w:val="18"/>
                <w:szCs w:val="18"/>
              </w:rPr>
              <w:t xml:space="preserve">Increased demand for integrated SRH </w:t>
            </w:r>
            <w:r w:rsidRPr="007348FD">
              <w:rPr>
                <w:rFonts w:ascii="Arial Narrow" w:hAnsi="Arial Narrow"/>
                <w:sz w:val="18"/>
                <w:szCs w:val="18"/>
              </w:rPr>
              <w:lastRenderedPageBreak/>
              <w:t>information and services, particularly for family planning</w:t>
            </w:r>
          </w:p>
        </w:tc>
        <w:tc>
          <w:tcPr>
            <w:tcW w:w="460" w:type="pct"/>
          </w:tcPr>
          <w:p w14:paraId="5603BFDC" w14:textId="77777777" w:rsidR="00637BF8" w:rsidRPr="007348FD" w:rsidRDefault="00637BF8" w:rsidP="00637BF8">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lastRenderedPageBreak/>
              <w:t xml:space="preserve">15. Number of in-school young people (disaggregated by disability status, sex, age </w:t>
            </w:r>
            <w:r w:rsidRPr="007348FD">
              <w:rPr>
                <w:rFonts w:ascii="Arial Narrow" w:hAnsi="Arial Narrow"/>
                <w:sz w:val="18"/>
                <w:szCs w:val="18"/>
              </w:rPr>
              <w:lastRenderedPageBreak/>
              <w:t>and location) reached with Family Life Education.</w:t>
            </w:r>
          </w:p>
          <w:p w14:paraId="611348E2" w14:textId="77777777" w:rsidR="00637BF8" w:rsidRPr="007348FD" w:rsidRDefault="00637BF8"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BDFEE1A" w14:textId="767E32E1" w:rsidR="00637BF8" w:rsidRPr="007348FD" w:rsidRDefault="00637BF8" w:rsidP="00591CBB">
            <w:pPr>
              <w:spacing w:after="160" w:line="259" w:lineRule="auto"/>
              <w:rPr>
                <w:rFonts w:ascii="Arial Narrow" w:hAnsi="Arial Narrow"/>
                <w:b/>
                <w:bCs/>
                <w:sz w:val="18"/>
                <w:szCs w:val="18"/>
              </w:rPr>
            </w:pPr>
            <w:r w:rsidRPr="007348FD">
              <w:rPr>
                <w:rFonts w:ascii="Arial Narrow" w:hAnsi="Arial Narrow"/>
                <w:b/>
                <w:bCs/>
                <w:sz w:val="18"/>
                <w:szCs w:val="18"/>
              </w:rPr>
              <w:lastRenderedPageBreak/>
              <w:t>ö</w:t>
            </w:r>
          </w:p>
        </w:tc>
        <w:tc>
          <w:tcPr>
            <w:tcW w:w="341" w:type="pct"/>
          </w:tcPr>
          <w:p w14:paraId="18BE39C8" w14:textId="38F8B3B1" w:rsidR="00637BF8" w:rsidRPr="007348FD" w:rsidRDefault="00637BF8"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54BB7B6E" w14:textId="453DEB58" w:rsidR="00637BF8" w:rsidRPr="007348FD" w:rsidRDefault="00637BF8" w:rsidP="00591CBB">
            <w:pPr>
              <w:spacing w:after="160" w:line="259" w:lineRule="auto"/>
              <w:rPr>
                <w:rFonts w:ascii="Arial Narrow" w:hAnsi="Arial Narrow"/>
                <w:sz w:val="18"/>
                <w:szCs w:val="18"/>
              </w:rPr>
            </w:pPr>
            <w:r>
              <w:rPr>
                <w:rFonts w:ascii="Arial Narrow" w:hAnsi="Arial Narrow"/>
                <w:sz w:val="18"/>
                <w:szCs w:val="18"/>
              </w:rPr>
              <w:t>Planned</w:t>
            </w:r>
          </w:p>
        </w:tc>
        <w:tc>
          <w:tcPr>
            <w:tcW w:w="330" w:type="pct"/>
          </w:tcPr>
          <w:p w14:paraId="377B19A2" w14:textId="200CE2C3" w:rsidR="00637BF8" w:rsidRPr="007348FD" w:rsidRDefault="00637BF8"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Planned</w:t>
            </w:r>
          </w:p>
        </w:tc>
        <w:tc>
          <w:tcPr>
            <w:cnfStyle w:val="000010000000" w:firstRow="0" w:lastRow="0" w:firstColumn="0" w:lastColumn="0" w:oddVBand="1" w:evenVBand="0" w:oddHBand="0" w:evenHBand="0" w:firstRowFirstColumn="0" w:firstRowLastColumn="0" w:lastRowFirstColumn="0" w:lastRowLastColumn="0"/>
            <w:tcW w:w="271" w:type="pct"/>
          </w:tcPr>
          <w:p w14:paraId="08931A32" w14:textId="29642616" w:rsidR="00637BF8" w:rsidRPr="007348FD" w:rsidRDefault="00637BF8" w:rsidP="00591CBB">
            <w:pPr>
              <w:spacing w:after="160" w:line="259" w:lineRule="auto"/>
              <w:rPr>
                <w:rFonts w:ascii="Arial Narrow" w:hAnsi="Arial Narrow"/>
                <w:sz w:val="18"/>
                <w:szCs w:val="18"/>
              </w:rPr>
            </w:pPr>
            <w:r>
              <w:rPr>
                <w:rFonts w:ascii="Arial Narrow" w:hAnsi="Arial Narrow"/>
                <w:sz w:val="18"/>
                <w:szCs w:val="18"/>
              </w:rPr>
              <w:t>0</w:t>
            </w:r>
          </w:p>
        </w:tc>
        <w:tc>
          <w:tcPr>
            <w:tcW w:w="298" w:type="pct"/>
          </w:tcPr>
          <w:p w14:paraId="0E60A870" w14:textId="77777777" w:rsidR="00637BF8" w:rsidRPr="007348FD" w:rsidRDefault="00637BF8"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97" w:type="pct"/>
          </w:tcPr>
          <w:p w14:paraId="2D2A93F9" w14:textId="77777777" w:rsidR="00637BF8" w:rsidRPr="007348FD" w:rsidRDefault="00637BF8" w:rsidP="00591CBB">
            <w:pPr>
              <w:spacing w:after="160" w:line="259" w:lineRule="auto"/>
              <w:rPr>
                <w:rFonts w:ascii="Arial Narrow" w:hAnsi="Arial Narrow"/>
                <w:sz w:val="18"/>
                <w:szCs w:val="18"/>
              </w:rPr>
            </w:pPr>
          </w:p>
        </w:tc>
        <w:tc>
          <w:tcPr>
            <w:tcW w:w="273" w:type="pct"/>
          </w:tcPr>
          <w:p w14:paraId="557B95A4" w14:textId="77777777" w:rsidR="00637BF8" w:rsidRPr="007348FD" w:rsidRDefault="00637BF8"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1289AC9" w14:textId="77777777" w:rsidR="00637BF8" w:rsidRPr="007348FD" w:rsidRDefault="00637BF8" w:rsidP="00591CBB">
            <w:pPr>
              <w:spacing w:after="160" w:line="259" w:lineRule="auto"/>
              <w:rPr>
                <w:rFonts w:ascii="Arial Narrow" w:hAnsi="Arial Narrow"/>
                <w:sz w:val="18"/>
                <w:szCs w:val="18"/>
              </w:rPr>
            </w:pPr>
          </w:p>
        </w:tc>
        <w:tc>
          <w:tcPr>
            <w:tcW w:w="283" w:type="pct"/>
          </w:tcPr>
          <w:p w14:paraId="0DC6BB35" w14:textId="77777777" w:rsidR="00637BF8" w:rsidRPr="007348FD" w:rsidRDefault="00637BF8"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C089DD9" w14:textId="77777777" w:rsidR="00637BF8" w:rsidRPr="007348FD" w:rsidRDefault="00637BF8" w:rsidP="00591CBB">
            <w:pPr>
              <w:spacing w:after="160" w:line="259" w:lineRule="auto"/>
              <w:rPr>
                <w:rFonts w:ascii="Arial Narrow" w:hAnsi="Arial Narrow"/>
                <w:sz w:val="18"/>
                <w:szCs w:val="18"/>
              </w:rPr>
            </w:pPr>
          </w:p>
        </w:tc>
        <w:tc>
          <w:tcPr>
            <w:tcW w:w="149" w:type="pct"/>
          </w:tcPr>
          <w:p w14:paraId="119C58A7" w14:textId="77777777" w:rsidR="00637BF8" w:rsidRPr="007348FD" w:rsidRDefault="00637BF8"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601AD16" w14:textId="77777777" w:rsidR="00637BF8" w:rsidRPr="007348FD" w:rsidRDefault="00637BF8" w:rsidP="00591CBB">
            <w:pPr>
              <w:spacing w:after="160" w:line="259" w:lineRule="auto"/>
              <w:rPr>
                <w:rFonts w:ascii="Arial Narrow" w:hAnsi="Arial Narrow"/>
                <w:sz w:val="18"/>
                <w:szCs w:val="18"/>
              </w:rPr>
            </w:pPr>
          </w:p>
        </w:tc>
        <w:tc>
          <w:tcPr>
            <w:tcW w:w="214" w:type="pct"/>
          </w:tcPr>
          <w:p w14:paraId="7959FFD7" w14:textId="77777777" w:rsidR="00637BF8" w:rsidRPr="007348FD" w:rsidRDefault="00637BF8"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0CB8D159" w14:textId="77777777" w:rsidR="00637BF8" w:rsidRPr="007348FD" w:rsidRDefault="00637BF8" w:rsidP="00591CBB">
            <w:pPr>
              <w:spacing w:after="160" w:line="259" w:lineRule="auto"/>
              <w:rPr>
                <w:rFonts w:ascii="Arial Narrow" w:hAnsi="Arial Narrow"/>
                <w:sz w:val="18"/>
                <w:szCs w:val="18"/>
              </w:rPr>
            </w:pPr>
          </w:p>
        </w:tc>
        <w:tc>
          <w:tcPr>
            <w:tcW w:w="280" w:type="pct"/>
          </w:tcPr>
          <w:p w14:paraId="2943E8B9" w14:textId="77777777" w:rsidR="00637BF8" w:rsidRPr="007348FD" w:rsidRDefault="00637BF8"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637BF8" w:rsidRPr="00591CBB" w14:paraId="0D827A0F"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4674464A" w14:textId="77777777" w:rsidR="00095411" w:rsidRPr="007348FD" w:rsidRDefault="00095411" w:rsidP="00591CBB">
            <w:pPr>
              <w:spacing w:after="160" w:line="259" w:lineRule="auto"/>
              <w:rPr>
                <w:rFonts w:ascii="Arial Narrow" w:hAnsi="Arial Narrow"/>
                <w:sz w:val="18"/>
                <w:szCs w:val="18"/>
              </w:rPr>
            </w:pPr>
          </w:p>
        </w:tc>
        <w:tc>
          <w:tcPr>
            <w:tcW w:w="460" w:type="pct"/>
          </w:tcPr>
          <w:p w14:paraId="75B95B5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2F256B2"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5F4E42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1EE063F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2167A10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1F990FB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4DFBA8B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4A84E6F3" w14:textId="77777777" w:rsidR="00095411" w:rsidRPr="007348FD" w:rsidRDefault="00095411" w:rsidP="00591CBB">
            <w:pPr>
              <w:spacing w:after="160" w:line="259" w:lineRule="auto"/>
              <w:rPr>
                <w:rFonts w:ascii="Arial Narrow" w:hAnsi="Arial Narrow"/>
                <w:sz w:val="18"/>
                <w:szCs w:val="18"/>
              </w:rPr>
            </w:pPr>
          </w:p>
        </w:tc>
        <w:tc>
          <w:tcPr>
            <w:tcW w:w="273" w:type="pct"/>
          </w:tcPr>
          <w:p w14:paraId="679CCA0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4FF288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83" w:type="pct"/>
          </w:tcPr>
          <w:p w14:paraId="4BC3003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2ECF04A" w14:textId="77777777" w:rsidR="00095411" w:rsidRPr="007348FD" w:rsidRDefault="00095411" w:rsidP="00591CBB">
            <w:pPr>
              <w:spacing w:after="160" w:line="259" w:lineRule="auto"/>
              <w:rPr>
                <w:rFonts w:ascii="Arial Narrow" w:hAnsi="Arial Narrow"/>
                <w:sz w:val="18"/>
                <w:szCs w:val="18"/>
              </w:rPr>
            </w:pPr>
          </w:p>
        </w:tc>
        <w:tc>
          <w:tcPr>
            <w:tcW w:w="149" w:type="pct"/>
          </w:tcPr>
          <w:p w14:paraId="26CB0F5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571848E2" w14:textId="77777777" w:rsidR="00095411" w:rsidRPr="007348FD" w:rsidRDefault="00095411" w:rsidP="00591CBB">
            <w:pPr>
              <w:spacing w:after="160" w:line="259" w:lineRule="auto"/>
              <w:rPr>
                <w:rFonts w:ascii="Arial Narrow" w:hAnsi="Arial Narrow"/>
                <w:sz w:val="18"/>
                <w:szCs w:val="18"/>
              </w:rPr>
            </w:pPr>
          </w:p>
        </w:tc>
        <w:tc>
          <w:tcPr>
            <w:tcW w:w="214" w:type="pct"/>
          </w:tcPr>
          <w:p w14:paraId="59B0DC7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EMIS</w:t>
            </w:r>
          </w:p>
        </w:tc>
        <w:tc>
          <w:tcPr>
            <w:cnfStyle w:val="000010000000" w:firstRow="0" w:lastRow="0" w:firstColumn="0" w:lastColumn="0" w:oddVBand="1" w:evenVBand="0" w:oddHBand="0" w:evenHBand="0" w:firstRowFirstColumn="0" w:firstRowLastColumn="0" w:lastRowFirstColumn="0" w:lastRowLastColumn="0"/>
            <w:tcW w:w="245" w:type="pct"/>
          </w:tcPr>
          <w:p w14:paraId="7107B82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EMIS</w:t>
            </w:r>
          </w:p>
        </w:tc>
        <w:tc>
          <w:tcPr>
            <w:tcW w:w="280" w:type="pct"/>
          </w:tcPr>
          <w:p w14:paraId="0B4F916C" w14:textId="41401215"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EMIS</w:t>
            </w:r>
          </w:p>
        </w:tc>
      </w:tr>
      <w:tr w:rsidR="00637BF8" w:rsidRPr="00591CBB" w14:paraId="7AED0CF1"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61914659" w14:textId="77777777" w:rsidR="00095411" w:rsidRPr="007348FD" w:rsidRDefault="00095411" w:rsidP="00591CBB">
            <w:pPr>
              <w:spacing w:after="160" w:line="259" w:lineRule="auto"/>
              <w:rPr>
                <w:rFonts w:ascii="Arial Narrow" w:hAnsi="Arial Narrow"/>
                <w:sz w:val="18"/>
                <w:szCs w:val="18"/>
              </w:rPr>
            </w:pPr>
          </w:p>
        </w:tc>
        <w:tc>
          <w:tcPr>
            <w:tcW w:w="460" w:type="pct"/>
          </w:tcPr>
          <w:p w14:paraId="1D44A75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DD37FE0"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5DDB01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4A68787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04B8EB47" w14:textId="5C8DE3C9"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4526A78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76F5003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4000</w:t>
            </w:r>
          </w:p>
        </w:tc>
        <w:tc>
          <w:tcPr>
            <w:cnfStyle w:val="000010000000" w:firstRow="0" w:lastRow="0" w:firstColumn="0" w:lastColumn="0" w:oddVBand="1" w:evenVBand="0" w:oddHBand="0" w:evenHBand="0" w:firstRowFirstColumn="0" w:firstRowLastColumn="0" w:lastRowFirstColumn="0" w:lastRowLastColumn="0"/>
            <w:tcW w:w="197" w:type="pct"/>
          </w:tcPr>
          <w:p w14:paraId="30161D97" w14:textId="77777777" w:rsidR="00095411" w:rsidRPr="007348FD" w:rsidRDefault="00095411" w:rsidP="00591CBB">
            <w:pPr>
              <w:spacing w:after="160" w:line="259" w:lineRule="auto"/>
              <w:rPr>
                <w:rFonts w:ascii="Arial Narrow" w:hAnsi="Arial Narrow"/>
                <w:sz w:val="18"/>
                <w:szCs w:val="18"/>
              </w:rPr>
            </w:pPr>
          </w:p>
        </w:tc>
        <w:tc>
          <w:tcPr>
            <w:tcW w:w="273" w:type="pct"/>
          </w:tcPr>
          <w:p w14:paraId="5B79FB0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19F2456" w14:textId="77777777" w:rsidR="00095411" w:rsidRPr="007348FD" w:rsidRDefault="00095411" w:rsidP="00591CBB">
            <w:pPr>
              <w:spacing w:after="160" w:line="259" w:lineRule="auto"/>
              <w:rPr>
                <w:rFonts w:ascii="Arial Narrow" w:hAnsi="Arial Narrow"/>
                <w:sz w:val="18"/>
                <w:szCs w:val="18"/>
              </w:rPr>
            </w:pPr>
          </w:p>
        </w:tc>
        <w:tc>
          <w:tcPr>
            <w:tcW w:w="283" w:type="pct"/>
          </w:tcPr>
          <w:p w14:paraId="0141E25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79406A1" w14:textId="77777777" w:rsidR="00095411" w:rsidRPr="007348FD" w:rsidRDefault="00095411" w:rsidP="00591CBB">
            <w:pPr>
              <w:spacing w:after="160" w:line="259" w:lineRule="auto"/>
              <w:rPr>
                <w:rFonts w:ascii="Arial Narrow" w:hAnsi="Arial Narrow"/>
                <w:sz w:val="18"/>
                <w:szCs w:val="18"/>
              </w:rPr>
            </w:pPr>
          </w:p>
        </w:tc>
        <w:tc>
          <w:tcPr>
            <w:tcW w:w="149" w:type="pct"/>
          </w:tcPr>
          <w:p w14:paraId="64CF3A1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CF43CFF" w14:textId="77777777" w:rsidR="00095411" w:rsidRPr="007348FD" w:rsidRDefault="00095411" w:rsidP="00591CBB">
            <w:pPr>
              <w:spacing w:after="160" w:line="259" w:lineRule="auto"/>
              <w:rPr>
                <w:rFonts w:ascii="Arial Narrow" w:hAnsi="Arial Narrow"/>
                <w:sz w:val="18"/>
                <w:szCs w:val="18"/>
              </w:rPr>
            </w:pPr>
          </w:p>
        </w:tc>
        <w:tc>
          <w:tcPr>
            <w:tcW w:w="214" w:type="pct"/>
          </w:tcPr>
          <w:p w14:paraId="40D50F2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48B22EA5" w14:textId="77777777" w:rsidR="00095411" w:rsidRPr="007348FD" w:rsidRDefault="00095411" w:rsidP="00591CBB">
            <w:pPr>
              <w:spacing w:after="160" w:line="259" w:lineRule="auto"/>
              <w:rPr>
                <w:rFonts w:ascii="Arial Narrow" w:hAnsi="Arial Narrow"/>
                <w:sz w:val="18"/>
                <w:szCs w:val="18"/>
              </w:rPr>
            </w:pPr>
          </w:p>
        </w:tc>
        <w:tc>
          <w:tcPr>
            <w:tcW w:w="280" w:type="pct"/>
          </w:tcPr>
          <w:p w14:paraId="0F3ECDB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637BF8" w:rsidRPr="00591CBB" w14:paraId="7C9C0EE5"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73166A04" w14:textId="77777777" w:rsidR="00095411" w:rsidRPr="007348FD" w:rsidRDefault="00095411" w:rsidP="00591CBB">
            <w:pPr>
              <w:spacing w:after="160" w:line="259" w:lineRule="auto"/>
              <w:rPr>
                <w:rFonts w:ascii="Arial Narrow" w:hAnsi="Arial Narrow"/>
                <w:sz w:val="18"/>
                <w:szCs w:val="18"/>
              </w:rPr>
            </w:pPr>
          </w:p>
        </w:tc>
        <w:tc>
          <w:tcPr>
            <w:tcW w:w="460" w:type="pct"/>
          </w:tcPr>
          <w:p w14:paraId="3DEE0E0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09CA550"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47EE38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52EC6AD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52CCADE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113835F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3479E27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9911</w:t>
            </w:r>
          </w:p>
        </w:tc>
        <w:tc>
          <w:tcPr>
            <w:cnfStyle w:val="000010000000" w:firstRow="0" w:lastRow="0" w:firstColumn="0" w:lastColumn="0" w:oddVBand="1" w:evenVBand="0" w:oddHBand="0" w:evenHBand="0" w:firstRowFirstColumn="0" w:firstRowLastColumn="0" w:lastRowFirstColumn="0" w:lastRowLastColumn="0"/>
            <w:tcW w:w="197" w:type="pct"/>
          </w:tcPr>
          <w:p w14:paraId="42F11A56" w14:textId="77777777" w:rsidR="00095411" w:rsidRPr="007348FD" w:rsidRDefault="00095411" w:rsidP="00591CBB">
            <w:pPr>
              <w:spacing w:after="160" w:line="259" w:lineRule="auto"/>
              <w:rPr>
                <w:rFonts w:ascii="Arial Narrow" w:hAnsi="Arial Narrow"/>
                <w:sz w:val="18"/>
                <w:szCs w:val="18"/>
              </w:rPr>
            </w:pPr>
          </w:p>
        </w:tc>
        <w:tc>
          <w:tcPr>
            <w:tcW w:w="273" w:type="pct"/>
          </w:tcPr>
          <w:p w14:paraId="368C36C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C1F1CFB" w14:textId="77777777" w:rsidR="00095411" w:rsidRPr="007348FD" w:rsidRDefault="00095411" w:rsidP="00591CBB">
            <w:pPr>
              <w:spacing w:after="160" w:line="259" w:lineRule="auto"/>
              <w:rPr>
                <w:rFonts w:ascii="Arial Narrow" w:hAnsi="Arial Narrow"/>
                <w:sz w:val="18"/>
                <w:szCs w:val="18"/>
              </w:rPr>
            </w:pPr>
          </w:p>
        </w:tc>
        <w:tc>
          <w:tcPr>
            <w:tcW w:w="283" w:type="pct"/>
          </w:tcPr>
          <w:p w14:paraId="10A7A01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09B5D3E6" w14:textId="77777777" w:rsidR="00095411" w:rsidRPr="007348FD" w:rsidRDefault="00095411" w:rsidP="00591CBB">
            <w:pPr>
              <w:spacing w:after="160" w:line="259" w:lineRule="auto"/>
              <w:rPr>
                <w:rFonts w:ascii="Arial Narrow" w:hAnsi="Arial Narrow"/>
                <w:sz w:val="18"/>
                <w:szCs w:val="18"/>
              </w:rPr>
            </w:pPr>
          </w:p>
        </w:tc>
        <w:tc>
          <w:tcPr>
            <w:tcW w:w="149" w:type="pct"/>
          </w:tcPr>
          <w:p w14:paraId="1F8ED8D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621E2CF" w14:textId="77777777" w:rsidR="00095411" w:rsidRPr="007348FD" w:rsidRDefault="00095411" w:rsidP="00591CBB">
            <w:pPr>
              <w:spacing w:after="160" w:line="259" w:lineRule="auto"/>
              <w:rPr>
                <w:rFonts w:ascii="Arial Narrow" w:hAnsi="Arial Narrow"/>
                <w:sz w:val="18"/>
                <w:szCs w:val="18"/>
              </w:rPr>
            </w:pPr>
          </w:p>
        </w:tc>
        <w:tc>
          <w:tcPr>
            <w:tcW w:w="214" w:type="pct"/>
          </w:tcPr>
          <w:p w14:paraId="1D07013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EMIS</w:t>
            </w:r>
          </w:p>
        </w:tc>
        <w:tc>
          <w:tcPr>
            <w:cnfStyle w:val="000010000000" w:firstRow="0" w:lastRow="0" w:firstColumn="0" w:lastColumn="0" w:oddVBand="1" w:evenVBand="0" w:oddHBand="0" w:evenHBand="0" w:firstRowFirstColumn="0" w:firstRowLastColumn="0" w:lastRowFirstColumn="0" w:lastRowLastColumn="0"/>
            <w:tcW w:w="245" w:type="pct"/>
          </w:tcPr>
          <w:p w14:paraId="30C6183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EMIS</w:t>
            </w:r>
          </w:p>
        </w:tc>
        <w:tc>
          <w:tcPr>
            <w:tcW w:w="280" w:type="pct"/>
          </w:tcPr>
          <w:p w14:paraId="183CB7C8" w14:textId="43B1E95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EMIS</w:t>
            </w:r>
          </w:p>
        </w:tc>
      </w:tr>
      <w:tr w:rsidR="00637BF8" w:rsidRPr="00591CBB" w14:paraId="6B7CA0FE"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09F45916" w14:textId="77777777" w:rsidR="00095411" w:rsidRPr="007348FD" w:rsidRDefault="00095411" w:rsidP="00591CBB">
            <w:pPr>
              <w:spacing w:after="160" w:line="259" w:lineRule="auto"/>
              <w:rPr>
                <w:rFonts w:ascii="Arial Narrow" w:hAnsi="Arial Narrow"/>
                <w:sz w:val="18"/>
                <w:szCs w:val="18"/>
              </w:rPr>
            </w:pPr>
          </w:p>
        </w:tc>
        <w:tc>
          <w:tcPr>
            <w:tcW w:w="460" w:type="pct"/>
          </w:tcPr>
          <w:p w14:paraId="7E0A581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DE14B0E"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70951F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0287067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3B9B6B7E" w14:textId="5BA921EA"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5477A21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0C92BDC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100</w:t>
            </w:r>
          </w:p>
        </w:tc>
        <w:tc>
          <w:tcPr>
            <w:cnfStyle w:val="000010000000" w:firstRow="0" w:lastRow="0" w:firstColumn="0" w:lastColumn="0" w:oddVBand="1" w:evenVBand="0" w:oddHBand="0" w:evenHBand="0" w:firstRowFirstColumn="0" w:firstRowLastColumn="0" w:lastRowFirstColumn="0" w:lastRowLastColumn="0"/>
            <w:tcW w:w="197" w:type="pct"/>
          </w:tcPr>
          <w:p w14:paraId="74873835" w14:textId="77777777" w:rsidR="00095411" w:rsidRPr="007348FD" w:rsidRDefault="00095411" w:rsidP="00591CBB">
            <w:pPr>
              <w:spacing w:after="160" w:line="259" w:lineRule="auto"/>
              <w:rPr>
                <w:rFonts w:ascii="Arial Narrow" w:hAnsi="Arial Narrow"/>
                <w:sz w:val="18"/>
                <w:szCs w:val="18"/>
              </w:rPr>
            </w:pPr>
          </w:p>
        </w:tc>
        <w:tc>
          <w:tcPr>
            <w:tcW w:w="273" w:type="pct"/>
          </w:tcPr>
          <w:p w14:paraId="02843CF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622D4C6" w14:textId="77777777" w:rsidR="00095411" w:rsidRPr="007348FD" w:rsidRDefault="00095411" w:rsidP="00591CBB">
            <w:pPr>
              <w:spacing w:after="160" w:line="259" w:lineRule="auto"/>
              <w:rPr>
                <w:rFonts w:ascii="Arial Narrow" w:hAnsi="Arial Narrow"/>
                <w:sz w:val="18"/>
                <w:szCs w:val="18"/>
              </w:rPr>
            </w:pPr>
          </w:p>
        </w:tc>
        <w:tc>
          <w:tcPr>
            <w:tcW w:w="283" w:type="pct"/>
          </w:tcPr>
          <w:p w14:paraId="2149870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CCCD807" w14:textId="77777777" w:rsidR="00095411" w:rsidRPr="007348FD" w:rsidRDefault="00095411" w:rsidP="00591CBB">
            <w:pPr>
              <w:spacing w:after="160" w:line="259" w:lineRule="auto"/>
              <w:rPr>
                <w:rFonts w:ascii="Arial Narrow" w:hAnsi="Arial Narrow"/>
                <w:sz w:val="18"/>
                <w:szCs w:val="18"/>
              </w:rPr>
            </w:pPr>
          </w:p>
        </w:tc>
        <w:tc>
          <w:tcPr>
            <w:tcW w:w="149" w:type="pct"/>
          </w:tcPr>
          <w:p w14:paraId="798853E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E073960" w14:textId="77777777" w:rsidR="00095411" w:rsidRPr="007348FD" w:rsidRDefault="00095411" w:rsidP="00591CBB">
            <w:pPr>
              <w:spacing w:after="160" w:line="259" w:lineRule="auto"/>
              <w:rPr>
                <w:rFonts w:ascii="Arial Narrow" w:hAnsi="Arial Narrow"/>
                <w:sz w:val="18"/>
                <w:szCs w:val="18"/>
              </w:rPr>
            </w:pPr>
          </w:p>
        </w:tc>
        <w:tc>
          <w:tcPr>
            <w:tcW w:w="214" w:type="pct"/>
          </w:tcPr>
          <w:p w14:paraId="7631194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54A386F1" w14:textId="77777777" w:rsidR="00095411" w:rsidRPr="007348FD" w:rsidRDefault="00095411" w:rsidP="00591CBB">
            <w:pPr>
              <w:spacing w:after="160" w:line="259" w:lineRule="auto"/>
              <w:rPr>
                <w:rFonts w:ascii="Arial Narrow" w:hAnsi="Arial Narrow"/>
                <w:sz w:val="18"/>
                <w:szCs w:val="18"/>
              </w:rPr>
            </w:pPr>
          </w:p>
        </w:tc>
        <w:tc>
          <w:tcPr>
            <w:tcW w:w="280" w:type="pct"/>
          </w:tcPr>
          <w:p w14:paraId="32C4565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637BF8" w:rsidRPr="00591CBB" w14:paraId="1AAA6E59"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27393306" w14:textId="77777777" w:rsidR="00095411" w:rsidRPr="007348FD" w:rsidRDefault="00095411" w:rsidP="00591CBB">
            <w:pPr>
              <w:spacing w:after="160" w:line="259" w:lineRule="auto"/>
              <w:rPr>
                <w:rFonts w:ascii="Arial Narrow" w:hAnsi="Arial Narrow"/>
                <w:sz w:val="18"/>
                <w:szCs w:val="18"/>
              </w:rPr>
            </w:pPr>
          </w:p>
        </w:tc>
        <w:tc>
          <w:tcPr>
            <w:tcW w:w="460" w:type="pct"/>
          </w:tcPr>
          <w:p w14:paraId="586745A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CE89ED2"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3218EC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96EE30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3E09282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0055AC5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71C084F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01B9633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40,000</w:t>
            </w:r>
          </w:p>
        </w:tc>
        <w:tc>
          <w:tcPr>
            <w:tcW w:w="273" w:type="pct"/>
          </w:tcPr>
          <w:p w14:paraId="401F8C9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56180BC" w14:textId="77777777" w:rsidR="00095411" w:rsidRPr="007348FD" w:rsidRDefault="00095411" w:rsidP="00591CBB">
            <w:pPr>
              <w:spacing w:after="160" w:line="259" w:lineRule="auto"/>
              <w:rPr>
                <w:rFonts w:ascii="Arial Narrow" w:hAnsi="Arial Narrow"/>
                <w:sz w:val="18"/>
                <w:szCs w:val="18"/>
              </w:rPr>
            </w:pPr>
          </w:p>
        </w:tc>
        <w:tc>
          <w:tcPr>
            <w:tcW w:w="283" w:type="pct"/>
          </w:tcPr>
          <w:p w14:paraId="58946AC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0D18D97" w14:textId="77777777" w:rsidR="00095411" w:rsidRPr="007348FD" w:rsidRDefault="00095411" w:rsidP="00591CBB">
            <w:pPr>
              <w:spacing w:after="160" w:line="259" w:lineRule="auto"/>
              <w:rPr>
                <w:rFonts w:ascii="Arial Narrow" w:hAnsi="Arial Narrow"/>
                <w:sz w:val="18"/>
                <w:szCs w:val="18"/>
              </w:rPr>
            </w:pPr>
          </w:p>
        </w:tc>
        <w:tc>
          <w:tcPr>
            <w:tcW w:w="149" w:type="pct"/>
          </w:tcPr>
          <w:p w14:paraId="1231BB4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8E9D84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5E1AD49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40,000</w:t>
            </w:r>
          </w:p>
        </w:tc>
        <w:tc>
          <w:tcPr>
            <w:cnfStyle w:val="000010000000" w:firstRow="0" w:lastRow="0" w:firstColumn="0" w:lastColumn="0" w:oddVBand="1" w:evenVBand="0" w:oddHBand="0" w:evenHBand="0" w:firstRowFirstColumn="0" w:firstRowLastColumn="0" w:lastRowFirstColumn="0" w:lastRowLastColumn="0"/>
            <w:tcW w:w="245" w:type="pct"/>
          </w:tcPr>
          <w:p w14:paraId="465A728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EMIS</w:t>
            </w:r>
          </w:p>
        </w:tc>
        <w:tc>
          <w:tcPr>
            <w:tcW w:w="280" w:type="pct"/>
          </w:tcPr>
          <w:p w14:paraId="22BA6D3D" w14:textId="21EA71CB"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EMIS</w:t>
            </w:r>
          </w:p>
        </w:tc>
      </w:tr>
      <w:tr w:rsidR="00637BF8" w:rsidRPr="00591CBB" w14:paraId="20712E97"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1758043B" w14:textId="77777777" w:rsidR="00095411" w:rsidRPr="007348FD" w:rsidRDefault="00095411" w:rsidP="00591CBB">
            <w:pPr>
              <w:spacing w:after="160" w:line="259" w:lineRule="auto"/>
              <w:rPr>
                <w:rFonts w:ascii="Arial Narrow" w:hAnsi="Arial Narrow"/>
                <w:sz w:val="18"/>
                <w:szCs w:val="18"/>
              </w:rPr>
            </w:pPr>
          </w:p>
        </w:tc>
        <w:tc>
          <w:tcPr>
            <w:tcW w:w="460" w:type="pct"/>
          </w:tcPr>
          <w:p w14:paraId="26A7123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273A0F3"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8F26E9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7FC829D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678A128A" w14:textId="5ED3D611"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36F616F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19DCE67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97" w:type="pct"/>
          </w:tcPr>
          <w:p w14:paraId="4A82350D" w14:textId="77777777" w:rsidR="00095411" w:rsidRPr="007348FD" w:rsidRDefault="00095411" w:rsidP="00591CBB">
            <w:pPr>
              <w:spacing w:after="160" w:line="259" w:lineRule="auto"/>
              <w:rPr>
                <w:rFonts w:ascii="Arial Narrow" w:hAnsi="Arial Narrow"/>
                <w:sz w:val="18"/>
                <w:szCs w:val="18"/>
              </w:rPr>
            </w:pPr>
          </w:p>
        </w:tc>
        <w:tc>
          <w:tcPr>
            <w:tcW w:w="273" w:type="pct"/>
          </w:tcPr>
          <w:p w14:paraId="003A1B0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02C87B4" w14:textId="77777777" w:rsidR="00095411" w:rsidRPr="007348FD" w:rsidRDefault="00095411" w:rsidP="00591CBB">
            <w:pPr>
              <w:spacing w:after="160" w:line="259" w:lineRule="auto"/>
              <w:rPr>
                <w:rFonts w:ascii="Arial Narrow" w:hAnsi="Arial Narrow"/>
                <w:sz w:val="18"/>
                <w:szCs w:val="18"/>
              </w:rPr>
            </w:pPr>
          </w:p>
        </w:tc>
        <w:tc>
          <w:tcPr>
            <w:tcW w:w="283" w:type="pct"/>
          </w:tcPr>
          <w:p w14:paraId="575EF74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140724B" w14:textId="77777777" w:rsidR="00095411" w:rsidRPr="007348FD" w:rsidRDefault="00095411" w:rsidP="00591CBB">
            <w:pPr>
              <w:spacing w:after="160" w:line="259" w:lineRule="auto"/>
              <w:rPr>
                <w:rFonts w:ascii="Arial Narrow" w:hAnsi="Arial Narrow"/>
                <w:sz w:val="18"/>
                <w:szCs w:val="18"/>
              </w:rPr>
            </w:pPr>
          </w:p>
        </w:tc>
        <w:tc>
          <w:tcPr>
            <w:tcW w:w="149" w:type="pct"/>
          </w:tcPr>
          <w:p w14:paraId="506DA6D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9A6B990" w14:textId="77777777" w:rsidR="00095411" w:rsidRPr="007348FD" w:rsidRDefault="00095411" w:rsidP="00591CBB">
            <w:pPr>
              <w:spacing w:after="160" w:line="259" w:lineRule="auto"/>
              <w:rPr>
                <w:rFonts w:ascii="Arial Narrow" w:hAnsi="Arial Narrow"/>
                <w:sz w:val="18"/>
                <w:szCs w:val="18"/>
              </w:rPr>
            </w:pPr>
          </w:p>
        </w:tc>
        <w:tc>
          <w:tcPr>
            <w:tcW w:w="214" w:type="pct"/>
          </w:tcPr>
          <w:p w14:paraId="2C297DE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4ED0411D" w14:textId="77777777" w:rsidR="00095411" w:rsidRPr="007348FD" w:rsidRDefault="00095411" w:rsidP="00591CBB">
            <w:pPr>
              <w:spacing w:after="160" w:line="259" w:lineRule="auto"/>
              <w:rPr>
                <w:rFonts w:ascii="Arial Narrow" w:hAnsi="Arial Narrow"/>
                <w:sz w:val="18"/>
                <w:szCs w:val="18"/>
              </w:rPr>
            </w:pPr>
          </w:p>
        </w:tc>
        <w:tc>
          <w:tcPr>
            <w:tcW w:w="280" w:type="pct"/>
          </w:tcPr>
          <w:p w14:paraId="6D018A6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637BF8" w:rsidRPr="00591CBB" w14:paraId="1E06B760"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31151426" w14:textId="77777777" w:rsidR="00095411" w:rsidRPr="007348FD" w:rsidRDefault="00095411" w:rsidP="00591CBB">
            <w:pPr>
              <w:spacing w:after="160" w:line="259" w:lineRule="auto"/>
              <w:rPr>
                <w:rFonts w:ascii="Arial Narrow" w:hAnsi="Arial Narrow"/>
                <w:sz w:val="18"/>
                <w:szCs w:val="18"/>
              </w:rPr>
            </w:pPr>
          </w:p>
        </w:tc>
        <w:tc>
          <w:tcPr>
            <w:tcW w:w="460" w:type="pct"/>
          </w:tcPr>
          <w:p w14:paraId="10B2BF9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46D9A4A"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BC4E1D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7B18266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68872E9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25132E9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6BEF71F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5BF39DB1" w14:textId="77777777" w:rsidR="00095411" w:rsidRPr="007348FD" w:rsidRDefault="00095411" w:rsidP="00591CBB">
            <w:pPr>
              <w:spacing w:after="160" w:line="259" w:lineRule="auto"/>
              <w:rPr>
                <w:rFonts w:ascii="Arial Narrow" w:hAnsi="Arial Narrow"/>
                <w:sz w:val="18"/>
                <w:szCs w:val="18"/>
              </w:rPr>
            </w:pPr>
          </w:p>
        </w:tc>
        <w:tc>
          <w:tcPr>
            <w:tcW w:w="273" w:type="pct"/>
          </w:tcPr>
          <w:p w14:paraId="2BF5797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341FF9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83" w:type="pct"/>
          </w:tcPr>
          <w:p w14:paraId="15F5DA4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3C4B583" w14:textId="77777777" w:rsidR="00095411" w:rsidRPr="007348FD" w:rsidRDefault="00095411" w:rsidP="00591CBB">
            <w:pPr>
              <w:spacing w:after="160" w:line="259" w:lineRule="auto"/>
              <w:rPr>
                <w:rFonts w:ascii="Arial Narrow" w:hAnsi="Arial Narrow"/>
                <w:sz w:val="18"/>
                <w:szCs w:val="18"/>
              </w:rPr>
            </w:pPr>
          </w:p>
        </w:tc>
        <w:tc>
          <w:tcPr>
            <w:tcW w:w="149" w:type="pct"/>
          </w:tcPr>
          <w:p w14:paraId="7C741E8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0DC42D3D" w14:textId="77777777" w:rsidR="00095411" w:rsidRPr="007348FD" w:rsidRDefault="00095411" w:rsidP="00591CBB">
            <w:pPr>
              <w:spacing w:after="160" w:line="259" w:lineRule="auto"/>
              <w:rPr>
                <w:rFonts w:ascii="Arial Narrow" w:hAnsi="Arial Narrow"/>
                <w:sz w:val="18"/>
                <w:szCs w:val="18"/>
              </w:rPr>
            </w:pPr>
          </w:p>
        </w:tc>
        <w:tc>
          <w:tcPr>
            <w:tcW w:w="214" w:type="pct"/>
          </w:tcPr>
          <w:p w14:paraId="3A082AF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NA</w:t>
            </w:r>
          </w:p>
        </w:tc>
        <w:tc>
          <w:tcPr>
            <w:cnfStyle w:val="000010000000" w:firstRow="0" w:lastRow="0" w:firstColumn="0" w:lastColumn="0" w:oddVBand="1" w:evenVBand="0" w:oddHBand="0" w:evenHBand="0" w:firstRowFirstColumn="0" w:firstRowLastColumn="0" w:lastRowFirstColumn="0" w:lastRowLastColumn="0"/>
            <w:tcW w:w="245" w:type="pct"/>
          </w:tcPr>
          <w:p w14:paraId="666438B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EMIS</w:t>
            </w:r>
          </w:p>
        </w:tc>
        <w:tc>
          <w:tcPr>
            <w:tcW w:w="280" w:type="pct"/>
          </w:tcPr>
          <w:p w14:paraId="6B892009" w14:textId="0BA4B76D"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EMIS</w:t>
            </w:r>
          </w:p>
        </w:tc>
      </w:tr>
      <w:tr w:rsidR="00637BF8" w:rsidRPr="00591CBB" w14:paraId="59A1A301"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02B5A8BC" w14:textId="77777777" w:rsidR="00095411" w:rsidRPr="007348FD" w:rsidRDefault="00095411" w:rsidP="00591CBB">
            <w:pPr>
              <w:spacing w:after="160" w:line="259" w:lineRule="auto"/>
              <w:rPr>
                <w:rFonts w:ascii="Arial Narrow" w:hAnsi="Arial Narrow"/>
                <w:sz w:val="18"/>
                <w:szCs w:val="18"/>
              </w:rPr>
            </w:pPr>
          </w:p>
        </w:tc>
        <w:tc>
          <w:tcPr>
            <w:tcW w:w="460" w:type="pct"/>
          </w:tcPr>
          <w:p w14:paraId="0E16D30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CAA2C6E"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77738A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06952C7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3C42299" w14:textId="31FE5F2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5670249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2737B87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97" w:type="pct"/>
          </w:tcPr>
          <w:p w14:paraId="1FACE615" w14:textId="77777777" w:rsidR="00095411" w:rsidRPr="007348FD" w:rsidRDefault="00095411" w:rsidP="00591CBB">
            <w:pPr>
              <w:spacing w:after="160" w:line="259" w:lineRule="auto"/>
              <w:rPr>
                <w:rFonts w:ascii="Arial Narrow" w:hAnsi="Arial Narrow"/>
                <w:sz w:val="18"/>
                <w:szCs w:val="18"/>
              </w:rPr>
            </w:pPr>
          </w:p>
        </w:tc>
        <w:tc>
          <w:tcPr>
            <w:tcW w:w="273" w:type="pct"/>
          </w:tcPr>
          <w:p w14:paraId="47036B3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935615E" w14:textId="77777777" w:rsidR="00095411" w:rsidRPr="007348FD" w:rsidRDefault="00095411" w:rsidP="00591CBB">
            <w:pPr>
              <w:spacing w:after="160" w:line="259" w:lineRule="auto"/>
              <w:rPr>
                <w:rFonts w:ascii="Arial Narrow" w:hAnsi="Arial Narrow"/>
                <w:sz w:val="18"/>
                <w:szCs w:val="18"/>
              </w:rPr>
            </w:pPr>
          </w:p>
        </w:tc>
        <w:tc>
          <w:tcPr>
            <w:tcW w:w="283" w:type="pct"/>
          </w:tcPr>
          <w:p w14:paraId="3FE5300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6719247" w14:textId="77777777" w:rsidR="00095411" w:rsidRPr="007348FD" w:rsidRDefault="00095411" w:rsidP="00591CBB">
            <w:pPr>
              <w:spacing w:after="160" w:line="259" w:lineRule="auto"/>
              <w:rPr>
                <w:rFonts w:ascii="Arial Narrow" w:hAnsi="Arial Narrow"/>
                <w:sz w:val="18"/>
                <w:szCs w:val="18"/>
              </w:rPr>
            </w:pPr>
          </w:p>
        </w:tc>
        <w:tc>
          <w:tcPr>
            <w:tcW w:w="149" w:type="pct"/>
          </w:tcPr>
          <w:p w14:paraId="5E059E0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88C9CDC" w14:textId="77777777" w:rsidR="00095411" w:rsidRPr="007348FD" w:rsidRDefault="00095411" w:rsidP="00591CBB">
            <w:pPr>
              <w:spacing w:after="160" w:line="259" w:lineRule="auto"/>
              <w:rPr>
                <w:rFonts w:ascii="Arial Narrow" w:hAnsi="Arial Narrow"/>
                <w:sz w:val="18"/>
                <w:szCs w:val="18"/>
              </w:rPr>
            </w:pPr>
          </w:p>
        </w:tc>
        <w:tc>
          <w:tcPr>
            <w:tcW w:w="214" w:type="pct"/>
          </w:tcPr>
          <w:p w14:paraId="656A526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3AE71E64" w14:textId="77777777" w:rsidR="00095411" w:rsidRPr="007348FD" w:rsidRDefault="00095411" w:rsidP="00591CBB">
            <w:pPr>
              <w:spacing w:after="160" w:line="259" w:lineRule="auto"/>
              <w:rPr>
                <w:rFonts w:ascii="Arial Narrow" w:hAnsi="Arial Narrow"/>
                <w:sz w:val="18"/>
                <w:szCs w:val="18"/>
              </w:rPr>
            </w:pPr>
          </w:p>
        </w:tc>
        <w:tc>
          <w:tcPr>
            <w:tcW w:w="280" w:type="pct"/>
          </w:tcPr>
          <w:p w14:paraId="1B6DED5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637BF8" w:rsidRPr="00591CBB" w14:paraId="1F631440"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28F75540" w14:textId="77777777" w:rsidR="00095411" w:rsidRPr="007348FD" w:rsidRDefault="00095411" w:rsidP="00591CBB">
            <w:pPr>
              <w:spacing w:after="160" w:line="259" w:lineRule="auto"/>
              <w:rPr>
                <w:rFonts w:ascii="Arial Narrow" w:hAnsi="Arial Narrow"/>
                <w:sz w:val="18"/>
                <w:szCs w:val="18"/>
              </w:rPr>
            </w:pPr>
          </w:p>
        </w:tc>
        <w:tc>
          <w:tcPr>
            <w:tcW w:w="460" w:type="pct"/>
          </w:tcPr>
          <w:p w14:paraId="338E43B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3C826DB"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08790E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BCFA73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784DED7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609D142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051AEF1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7554084B" w14:textId="77777777" w:rsidR="00095411" w:rsidRPr="007348FD" w:rsidRDefault="00095411" w:rsidP="00591CBB">
            <w:pPr>
              <w:spacing w:after="160" w:line="259" w:lineRule="auto"/>
              <w:rPr>
                <w:rFonts w:ascii="Arial Narrow" w:hAnsi="Arial Narrow"/>
                <w:sz w:val="18"/>
                <w:szCs w:val="18"/>
              </w:rPr>
            </w:pPr>
          </w:p>
        </w:tc>
        <w:tc>
          <w:tcPr>
            <w:tcW w:w="273" w:type="pct"/>
          </w:tcPr>
          <w:p w14:paraId="33CF208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C1EC71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83" w:type="pct"/>
          </w:tcPr>
          <w:p w14:paraId="33C76E4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4DD8B5C" w14:textId="77777777" w:rsidR="00095411" w:rsidRPr="007348FD" w:rsidRDefault="00095411" w:rsidP="00591CBB">
            <w:pPr>
              <w:spacing w:after="160" w:line="259" w:lineRule="auto"/>
              <w:rPr>
                <w:rFonts w:ascii="Arial Narrow" w:hAnsi="Arial Narrow"/>
                <w:sz w:val="18"/>
                <w:szCs w:val="18"/>
              </w:rPr>
            </w:pPr>
          </w:p>
        </w:tc>
        <w:tc>
          <w:tcPr>
            <w:tcW w:w="149" w:type="pct"/>
          </w:tcPr>
          <w:p w14:paraId="4237F06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770FAC03" w14:textId="77777777" w:rsidR="00095411" w:rsidRPr="007348FD" w:rsidRDefault="00095411" w:rsidP="00591CBB">
            <w:pPr>
              <w:spacing w:after="160" w:line="259" w:lineRule="auto"/>
              <w:rPr>
                <w:rFonts w:ascii="Arial Narrow" w:hAnsi="Arial Narrow"/>
                <w:sz w:val="18"/>
                <w:szCs w:val="18"/>
              </w:rPr>
            </w:pPr>
          </w:p>
        </w:tc>
        <w:tc>
          <w:tcPr>
            <w:tcW w:w="214" w:type="pct"/>
          </w:tcPr>
          <w:p w14:paraId="2F46D93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EMIS</w:t>
            </w:r>
          </w:p>
        </w:tc>
        <w:tc>
          <w:tcPr>
            <w:cnfStyle w:val="000010000000" w:firstRow="0" w:lastRow="0" w:firstColumn="0" w:lastColumn="0" w:oddVBand="1" w:evenVBand="0" w:oddHBand="0" w:evenHBand="0" w:firstRowFirstColumn="0" w:firstRowLastColumn="0" w:lastRowFirstColumn="0" w:lastRowLastColumn="0"/>
            <w:tcW w:w="245" w:type="pct"/>
          </w:tcPr>
          <w:p w14:paraId="4C06E81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EMIS</w:t>
            </w:r>
          </w:p>
        </w:tc>
        <w:tc>
          <w:tcPr>
            <w:tcW w:w="280" w:type="pct"/>
          </w:tcPr>
          <w:p w14:paraId="6C74C58D" w14:textId="64410C78"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EMIS</w:t>
            </w:r>
          </w:p>
        </w:tc>
      </w:tr>
      <w:tr w:rsidR="00637BF8" w:rsidRPr="00591CBB" w14:paraId="2033373F" w14:textId="77777777" w:rsidTr="00051F27">
        <w:trPr>
          <w:trHeight w:val="228"/>
        </w:trPr>
        <w:tc>
          <w:tcPr>
            <w:cnfStyle w:val="000010000000" w:firstRow="0" w:lastRow="0" w:firstColumn="0" w:lastColumn="0" w:oddVBand="1" w:evenVBand="0" w:oddHBand="0" w:evenHBand="0" w:firstRowFirstColumn="0" w:firstRowLastColumn="0" w:lastRowFirstColumn="0" w:lastRowLastColumn="0"/>
            <w:tcW w:w="432" w:type="pct"/>
          </w:tcPr>
          <w:p w14:paraId="370CAA13" w14:textId="77777777" w:rsidR="00095411" w:rsidRPr="007348FD" w:rsidRDefault="00095411" w:rsidP="00591CBB">
            <w:pPr>
              <w:spacing w:after="160" w:line="259" w:lineRule="auto"/>
              <w:rPr>
                <w:rFonts w:ascii="Arial Narrow" w:hAnsi="Arial Narrow"/>
                <w:sz w:val="18"/>
                <w:szCs w:val="18"/>
              </w:rPr>
            </w:pPr>
          </w:p>
        </w:tc>
        <w:tc>
          <w:tcPr>
            <w:tcW w:w="460" w:type="pct"/>
          </w:tcPr>
          <w:p w14:paraId="7BE5780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D3AE902"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809AF6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32AAE8D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369A7BFA" w14:textId="7F63CC8B"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5F92E7D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21D4B13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10,000 </w:t>
            </w:r>
          </w:p>
        </w:tc>
        <w:tc>
          <w:tcPr>
            <w:cnfStyle w:val="000010000000" w:firstRow="0" w:lastRow="0" w:firstColumn="0" w:lastColumn="0" w:oddVBand="1" w:evenVBand="0" w:oddHBand="0" w:evenHBand="0" w:firstRowFirstColumn="0" w:firstRowLastColumn="0" w:lastRowFirstColumn="0" w:lastRowLastColumn="0"/>
            <w:tcW w:w="197" w:type="pct"/>
          </w:tcPr>
          <w:p w14:paraId="779E8455" w14:textId="77777777" w:rsidR="00095411" w:rsidRPr="007348FD" w:rsidRDefault="00095411" w:rsidP="00591CBB">
            <w:pPr>
              <w:spacing w:after="160" w:line="259" w:lineRule="auto"/>
              <w:rPr>
                <w:rFonts w:ascii="Arial Narrow" w:hAnsi="Arial Narrow"/>
                <w:sz w:val="18"/>
                <w:szCs w:val="18"/>
              </w:rPr>
            </w:pPr>
          </w:p>
        </w:tc>
        <w:tc>
          <w:tcPr>
            <w:tcW w:w="273" w:type="pct"/>
          </w:tcPr>
          <w:p w14:paraId="1747A16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2087F7B" w14:textId="77777777" w:rsidR="00095411" w:rsidRPr="007348FD" w:rsidRDefault="00095411" w:rsidP="00591CBB">
            <w:pPr>
              <w:spacing w:after="160" w:line="259" w:lineRule="auto"/>
              <w:rPr>
                <w:rFonts w:ascii="Arial Narrow" w:hAnsi="Arial Narrow"/>
                <w:sz w:val="18"/>
                <w:szCs w:val="18"/>
              </w:rPr>
            </w:pPr>
          </w:p>
        </w:tc>
        <w:tc>
          <w:tcPr>
            <w:tcW w:w="283" w:type="pct"/>
          </w:tcPr>
          <w:p w14:paraId="0B0F63F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87A7269" w14:textId="77777777" w:rsidR="00095411" w:rsidRPr="007348FD" w:rsidRDefault="00095411" w:rsidP="00591CBB">
            <w:pPr>
              <w:spacing w:after="160" w:line="259" w:lineRule="auto"/>
              <w:rPr>
                <w:rFonts w:ascii="Arial Narrow" w:hAnsi="Arial Narrow"/>
                <w:sz w:val="18"/>
                <w:szCs w:val="18"/>
              </w:rPr>
            </w:pPr>
          </w:p>
        </w:tc>
        <w:tc>
          <w:tcPr>
            <w:tcW w:w="149" w:type="pct"/>
          </w:tcPr>
          <w:p w14:paraId="3C84202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3D160BD" w14:textId="77777777" w:rsidR="00095411" w:rsidRPr="007348FD" w:rsidRDefault="00095411" w:rsidP="00591CBB">
            <w:pPr>
              <w:spacing w:after="160" w:line="259" w:lineRule="auto"/>
              <w:rPr>
                <w:rFonts w:ascii="Arial Narrow" w:hAnsi="Arial Narrow"/>
                <w:sz w:val="18"/>
                <w:szCs w:val="18"/>
              </w:rPr>
            </w:pPr>
          </w:p>
        </w:tc>
        <w:tc>
          <w:tcPr>
            <w:tcW w:w="214" w:type="pct"/>
          </w:tcPr>
          <w:p w14:paraId="027908D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78548281" w14:textId="77777777" w:rsidR="00095411" w:rsidRPr="007348FD" w:rsidRDefault="00095411" w:rsidP="00591CBB">
            <w:pPr>
              <w:spacing w:after="160" w:line="259" w:lineRule="auto"/>
              <w:rPr>
                <w:rFonts w:ascii="Arial Narrow" w:hAnsi="Arial Narrow"/>
                <w:sz w:val="18"/>
                <w:szCs w:val="18"/>
              </w:rPr>
            </w:pPr>
          </w:p>
        </w:tc>
        <w:tc>
          <w:tcPr>
            <w:tcW w:w="280" w:type="pct"/>
          </w:tcPr>
          <w:p w14:paraId="5F3B34C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637BF8" w:rsidRPr="00591CBB" w14:paraId="6D01D2FD" w14:textId="77777777" w:rsidTr="00051F27">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432" w:type="pct"/>
          </w:tcPr>
          <w:p w14:paraId="67DB2248" w14:textId="77777777" w:rsidR="00095411" w:rsidRPr="007348FD" w:rsidRDefault="00095411" w:rsidP="00591CBB">
            <w:pPr>
              <w:spacing w:after="160" w:line="259" w:lineRule="auto"/>
              <w:rPr>
                <w:rFonts w:ascii="Arial Narrow" w:hAnsi="Arial Narrow"/>
                <w:sz w:val="18"/>
                <w:szCs w:val="18"/>
              </w:rPr>
            </w:pPr>
          </w:p>
        </w:tc>
        <w:tc>
          <w:tcPr>
            <w:tcW w:w="460" w:type="pct"/>
          </w:tcPr>
          <w:p w14:paraId="5CBF1F6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B24F7A1"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43CB85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6878240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640A7B7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012EEE5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TBD in 2019</w:t>
            </w:r>
          </w:p>
        </w:tc>
        <w:tc>
          <w:tcPr>
            <w:tcW w:w="298" w:type="pct"/>
          </w:tcPr>
          <w:p w14:paraId="007ACB0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01CBF808" w14:textId="77777777" w:rsidR="00095411" w:rsidRPr="007348FD" w:rsidRDefault="00095411" w:rsidP="00591CBB">
            <w:pPr>
              <w:spacing w:after="160" w:line="259" w:lineRule="auto"/>
              <w:rPr>
                <w:rFonts w:ascii="Arial Narrow" w:hAnsi="Arial Narrow"/>
                <w:sz w:val="18"/>
                <w:szCs w:val="18"/>
              </w:rPr>
            </w:pPr>
          </w:p>
        </w:tc>
        <w:tc>
          <w:tcPr>
            <w:tcW w:w="273" w:type="pct"/>
          </w:tcPr>
          <w:p w14:paraId="08F70F2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90C236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83" w:type="pct"/>
          </w:tcPr>
          <w:p w14:paraId="31B5F81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CFA99A3" w14:textId="77777777" w:rsidR="00095411" w:rsidRPr="007348FD" w:rsidRDefault="00095411" w:rsidP="00591CBB">
            <w:pPr>
              <w:spacing w:after="160" w:line="259" w:lineRule="auto"/>
              <w:rPr>
                <w:rFonts w:ascii="Arial Narrow" w:hAnsi="Arial Narrow"/>
                <w:sz w:val="18"/>
                <w:szCs w:val="18"/>
              </w:rPr>
            </w:pPr>
          </w:p>
        </w:tc>
        <w:tc>
          <w:tcPr>
            <w:tcW w:w="149" w:type="pct"/>
          </w:tcPr>
          <w:p w14:paraId="24E4CD7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8AA4FF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38CB013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EMIS</w:t>
            </w:r>
          </w:p>
        </w:tc>
        <w:tc>
          <w:tcPr>
            <w:cnfStyle w:val="000010000000" w:firstRow="0" w:lastRow="0" w:firstColumn="0" w:lastColumn="0" w:oddVBand="1" w:evenVBand="0" w:oddHBand="0" w:evenHBand="0" w:firstRowFirstColumn="0" w:firstRowLastColumn="0" w:lastRowFirstColumn="0" w:lastRowLastColumn="0"/>
            <w:tcW w:w="245" w:type="pct"/>
          </w:tcPr>
          <w:p w14:paraId="5EF9607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EMIS</w:t>
            </w:r>
          </w:p>
        </w:tc>
        <w:tc>
          <w:tcPr>
            <w:tcW w:w="280" w:type="pct"/>
          </w:tcPr>
          <w:p w14:paraId="7E576A40" w14:textId="50A3761F"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EMIS</w:t>
            </w:r>
          </w:p>
        </w:tc>
      </w:tr>
      <w:tr w:rsidR="00637BF8" w:rsidRPr="00591CBB" w14:paraId="2D1F3375"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7A0827E5" w14:textId="77777777" w:rsidR="00095411" w:rsidRPr="007348FD" w:rsidRDefault="00095411" w:rsidP="00591CBB">
            <w:pPr>
              <w:spacing w:after="160" w:line="259" w:lineRule="auto"/>
              <w:rPr>
                <w:rFonts w:ascii="Arial Narrow" w:hAnsi="Arial Narrow"/>
                <w:sz w:val="18"/>
                <w:szCs w:val="18"/>
              </w:rPr>
            </w:pPr>
          </w:p>
        </w:tc>
        <w:tc>
          <w:tcPr>
            <w:tcW w:w="460" w:type="pct"/>
          </w:tcPr>
          <w:p w14:paraId="25EF834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16. Number of out-of-school young people (disaggregated by disability status, sex, age and location) reached with </w:t>
            </w:r>
            <w:r w:rsidRPr="007348FD">
              <w:rPr>
                <w:rFonts w:ascii="Arial Narrow" w:hAnsi="Arial Narrow"/>
                <w:sz w:val="18"/>
                <w:szCs w:val="18"/>
              </w:rPr>
              <w:lastRenderedPageBreak/>
              <w:t>Family Life Education.</w:t>
            </w:r>
          </w:p>
        </w:tc>
        <w:tc>
          <w:tcPr>
            <w:cnfStyle w:val="000010000000" w:firstRow="0" w:lastRow="0" w:firstColumn="0" w:lastColumn="0" w:oddVBand="1" w:evenVBand="0" w:oddHBand="0" w:evenHBand="0" w:firstRowFirstColumn="0" w:firstRowLastColumn="0" w:lastRowFirstColumn="0" w:lastRowLastColumn="0"/>
            <w:tcW w:w="371" w:type="pct"/>
          </w:tcPr>
          <w:p w14:paraId="708C748A"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lastRenderedPageBreak/>
              <w:t>ö</w:t>
            </w:r>
          </w:p>
        </w:tc>
        <w:tc>
          <w:tcPr>
            <w:tcW w:w="341" w:type="pct"/>
          </w:tcPr>
          <w:p w14:paraId="575FB6F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485EAF5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0DFBCE45" w14:textId="365A7C48"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1024F60D" w14:textId="77777777" w:rsidR="00095411" w:rsidRPr="007348FD" w:rsidRDefault="00095411" w:rsidP="00591CBB">
            <w:pPr>
              <w:spacing w:after="160" w:line="259" w:lineRule="auto"/>
              <w:rPr>
                <w:rFonts w:ascii="Arial Narrow" w:hAnsi="Arial Narrow"/>
                <w:sz w:val="18"/>
                <w:szCs w:val="18"/>
              </w:rPr>
            </w:pPr>
          </w:p>
        </w:tc>
        <w:tc>
          <w:tcPr>
            <w:tcW w:w="298" w:type="pct"/>
          </w:tcPr>
          <w:p w14:paraId="7500010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150</w:t>
            </w:r>
          </w:p>
        </w:tc>
        <w:tc>
          <w:tcPr>
            <w:cnfStyle w:val="000010000000" w:firstRow="0" w:lastRow="0" w:firstColumn="0" w:lastColumn="0" w:oddVBand="1" w:evenVBand="0" w:oddHBand="0" w:evenHBand="0" w:firstRowFirstColumn="0" w:firstRowLastColumn="0" w:lastRowFirstColumn="0" w:lastRowLastColumn="0"/>
            <w:tcW w:w="197" w:type="pct"/>
          </w:tcPr>
          <w:p w14:paraId="1C352FA2" w14:textId="77777777" w:rsidR="00095411" w:rsidRPr="007348FD" w:rsidRDefault="00095411" w:rsidP="00591CBB">
            <w:pPr>
              <w:spacing w:after="160" w:line="259" w:lineRule="auto"/>
              <w:rPr>
                <w:rFonts w:ascii="Arial Narrow" w:hAnsi="Arial Narrow"/>
                <w:sz w:val="18"/>
                <w:szCs w:val="18"/>
              </w:rPr>
            </w:pPr>
          </w:p>
        </w:tc>
        <w:tc>
          <w:tcPr>
            <w:tcW w:w="273" w:type="pct"/>
          </w:tcPr>
          <w:p w14:paraId="3F71208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1F90014" w14:textId="77777777" w:rsidR="00095411" w:rsidRPr="007348FD" w:rsidRDefault="00095411" w:rsidP="00591CBB">
            <w:pPr>
              <w:spacing w:after="160" w:line="259" w:lineRule="auto"/>
              <w:rPr>
                <w:rFonts w:ascii="Arial Narrow" w:hAnsi="Arial Narrow"/>
                <w:sz w:val="18"/>
                <w:szCs w:val="18"/>
              </w:rPr>
            </w:pPr>
          </w:p>
        </w:tc>
        <w:tc>
          <w:tcPr>
            <w:tcW w:w="283" w:type="pct"/>
          </w:tcPr>
          <w:p w14:paraId="7884EBD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E58523A" w14:textId="77777777" w:rsidR="00095411" w:rsidRPr="007348FD" w:rsidRDefault="00095411" w:rsidP="00591CBB">
            <w:pPr>
              <w:spacing w:after="160" w:line="259" w:lineRule="auto"/>
              <w:rPr>
                <w:rFonts w:ascii="Arial Narrow" w:hAnsi="Arial Narrow"/>
                <w:sz w:val="18"/>
                <w:szCs w:val="18"/>
              </w:rPr>
            </w:pPr>
          </w:p>
        </w:tc>
        <w:tc>
          <w:tcPr>
            <w:tcW w:w="149" w:type="pct"/>
          </w:tcPr>
          <w:p w14:paraId="3D573AA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6732D94" w14:textId="77777777" w:rsidR="00095411" w:rsidRPr="007348FD" w:rsidRDefault="00095411" w:rsidP="00591CBB">
            <w:pPr>
              <w:spacing w:after="160" w:line="259" w:lineRule="auto"/>
              <w:rPr>
                <w:rFonts w:ascii="Arial Narrow" w:hAnsi="Arial Narrow"/>
                <w:sz w:val="18"/>
                <w:szCs w:val="18"/>
              </w:rPr>
            </w:pPr>
          </w:p>
        </w:tc>
        <w:tc>
          <w:tcPr>
            <w:tcW w:w="214" w:type="pct"/>
          </w:tcPr>
          <w:p w14:paraId="1BA8771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28ED452F" w14:textId="77777777" w:rsidR="00095411" w:rsidRPr="007348FD" w:rsidRDefault="00095411" w:rsidP="00591CBB">
            <w:pPr>
              <w:spacing w:after="160" w:line="259" w:lineRule="auto"/>
              <w:rPr>
                <w:rFonts w:ascii="Arial Narrow" w:hAnsi="Arial Narrow"/>
                <w:sz w:val="18"/>
                <w:szCs w:val="18"/>
              </w:rPr>
            </w:pPr>
          </w:p>
        </w:tc>
        <w:tc>
          <w:tcPr>
            <w:tcW w:w="280" w:type="pct"/>
          </w:tcPr>
          <w:p w14:paraId="1F48016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637BF8" w:rsidRPr="00591CBB" w14:paraId="27DD2441"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2105ECF1" w14:textId="77777777" w:rsidR="00095411" w:rsidRPr="007348FD" w:rsidRDefault="00095411" w:rsidP="00591CBB">
            <w:pPr>
              <w:spacing w:after="160" w:line="259" w:lineRule="auto"/>
              <w:rPr>
                <w:rFonts w:ascii="Arial Narrow" w:hAnsi="Arial Narrow"/>
                <w:sz w:val="18"/>
                <w:szCs w:val="18"/>
              </w:rPr>
            </w:pPr>
          </w:p>
        </w:tc>
        <w:tc>
          <w:tcPr>
            <w:tcW w:w="460" w:type="pct"/>
          </w:tcPr>
          <w:p w14:paraId="7B5FA06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E9A95B9"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B6E942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BEA0F4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4C357920" w14:textId="3E4A1A91"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3A7490E0" w14:textId="77777777" w:rsidR="00095411" w:rsidRPr="007348FD" w:rsidRDefault="00095411" w:rsidP="00591CBB">
            <w:pPr>
              <w:spacing w:after="160" w:line="259" w:lineRule="auto"/>
              <w:rPr>
                <w:rFonts w:ascii="Arial Narrow" w:hAnsi="Arial Narrow"/>
                <w:sz w:val="18"/>
                <w:szCs w:val="18"/>
              </w:rPr>
            </w:pPr>
          </w:p>
        </w:tc>
        <w:tc>
          <w:tcPr>
            <w:tcW w:w="298" w:type="pct"/>
          </w:tcPr>
          <w:p w14:paraId="24E6A97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34</w:t>
            </w:r>
          </w:p>
        </w:tc>
        <w:tc>
          <w:tcPr>
            <w:cnfStyle w:val="000010000000" w:firstRow="0" w:lastRow="0" w:firstColumn="0" w:lastColumn="0" w:oddVBand="1" w:evenVBand="0" w:oddHBand="0" w:evenHBand="0" w:firstRowFirstColumn="0" w:firstRowLastColumn="0" w:lastRowFirstColumn="0" w:lastRowLastColumn="0"/>
            <w:tcW w:w="197" w:type="pct"/>
          </w:tcPr>
          <w:p w14:paraId="3FFFBD4E" w14:textId="77777777" w:rsidR="00095411" w:rsidRPr="007348FD" w:rsidRDefault="00095411" w:rsidP="00591CBB">
            <w:pPr>
              <w:spacing w:after="160" w:line="259" w:lineRule="auto"/>
              <w:rPr>
                <w:rFonts w:ascii="Arial Narrow" w:hAnsi="Arial Narrow"/>
                <w:sz w:val="18"/>
                <w:szCs w:val="18"/>
              </w:rPr>
            </w:pPr>
          </w:p>
        </w:tc>
        <w:tc>
          <w:tcPr>
            <w:tcW w:w="273" w:type="pct"/>
          </w:tcPr>
          <w:p w14:paraId="510E1DF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23%</w:t>
            </w:r>
          </w:p>
        </w:tc>
        <w:tc>
          <w:tcPr>
            <w:cnfStyle w:val="000010000000" w:firstRow="0" w:lastRow="0" w:firstColumn="0" w:lastColumn="0" w:oddVBand="1" w:evenVBand="0" w:oddHBand="0" w:evenHBand="0" w:firstRowFirstColumn="0" w:firstRowLastColumn="0" w:lastRowFirstColumn="0" w:lastRowLastColumn="0"/>
            <w:tcW w:w="285" w:type="pct"/>
          </w:tcPr>
          <w:p w14:paraId="25A09B9F" w14:textId="77777777" w:rsidR="00095411" w:rsidRPr="007348FD" w:rsidRDefault="00095411" w:rsidP="00591CBB">
            <w:pPr>
              <w:spacing w:after="160" w:line="259" w:lineRule="auto"/>
              <w:rPr>
                <w:rFonts w:ascii="Arial Narrow" w:hAnsi="Arial Narrow"/>
                <w:sz w:val="18"/>
                <w:szCs w:val="18"/>
              </w:rPr>
            </w:pPr>
          </w:p>
        </w:tc>
        <w:tc>
          <w:tcPr>
            <w:tcW w:w="283" w:type="pct"/>
          </w:tcPr>
          <w:p w14:paraId="1D7EE52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829BA19" w14:textId="77777777" w:rsidR="00095411" w:rsidRPr="007348FD" w:rsidRDefault="00095411" w:rsidP="00591CBB">
            <w:pPr>
              <w:spacing w:after="160" w:line="259" w:lineRule="auto"/>
              <w:rPr>
                <w:rFonts w:ascii="Arial Narrow" w:hAnsi="Arial Narrow"/>
                <w:sz w:val="18"/>
                <w:szCs w:val="18"/>
              </w:rPr>
            </w:pPr>
          </w:p>
        </w:tc>
        <w:tc>
          <w:tcPr>
            <w:tcW w:w="149" w:type="pct"/>
          </w:tcPr>
          <w:p w14:paraId="63D51C0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01A06B25" w14:textId="77777777" w:rsidR="00095411" w:rsidRPr="007348FD" w:rsidRDefault="00095411" w:rsidP="00591CBB">
            <w:pPr>
              <w:spacing w:after="160" w:line="259" w:lineRule="auto"/>
              <w:rPr>
                <w:rFonts w:ascii="Arial Narrow" w:hAnsi="Arial Narrow"/>
                <w:sz w:val="18"/>
                <w:szCs w:val="18"/>
              </w:rPr>
            </w:pPr>
          </w:p>
        </w:tc>
        <w:tc>
          <w:tcPr>
            <w:tcW w:w="214" w:type="pct"/>
          </w:tcPr>
          <w:p w14:paraId="023B2BE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CAR</w:t>
            </w:r>
          </w:p>
        </w:tc>
        <w:tc>
          <w:tcPr>
            <w:cnfStyle w:val="000010000000" w:firstRow="0" w:lastRow="0" w:firstColumn="0" w:lastColumn="0" w:oddVBand="1" w:evenVBand="0" w:oddHBand="0" w:evenHBand="0" w:firstRowFirstColumn="0" w:firstRowLastColumn="0" w:lastRowFirstColumn="0" w:lastRowLastColumn="0"/>
            <w:tcW w:w="245" w:type="pct"/>
          </w:tcPr>
          <w:p w14:paraId="331119D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CAR</w:t>
            </w:r>
          </w:p>
        </w:tc>
        <w:tc>
          <w:tcPr>
            <w:tcW w:w="280" w:type="pct"/>
          </w:tcPr>
          <w:p w14:paraId="0723D064" w14:textId="6E7F14BC"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CAR</w:t>
            </w:r>
          </w:p>
        </w:tc>
      </w:tr>
      <w:tr w:rsidR="00637BF8" w:rsidRPr="00591CBB" w14:paraId="03F88341"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69C4A079" w14:textId="77777777" w:rsidR="00095411" w:rsidRPr="007348FD" w:rsidRDefault="00095411" w:rsidP="00591CBB">
            <w:pPr>
              <w:spacing w:after="160" w:line="259" w:lineRule="auto"/>
              <w:rPr>
                <w:rFonts w:ascii="Arial Narrow" w:hAnsi="Arial Narrow"/>
                <w:sz w:val="18"/>
                <w:szCs w:val="18"/>
              </w:rPr>
            </w:pPr>
          </w:p>
        </w:tc>
        <w:tc>
          <w:tcPr>
            <w:tcW w:w="460" w:type="pct"/>
          </w:tcPr>
          <w:p w14:paraId="374D35C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81435EF"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A65DF3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570036F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1317FE6" w14:textId="7FC58159"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03046D81" w14:textId="77777777" w:rsidR="00095411" w:rsidRPr="007348FD" w:rsidRDefault="00095411" w:rsidP="00591CBB">
            <w:pPr>
              <w:spacing w:after="160" w:line="259" w:lineRule="auto"/>
              <w:rPr>
                <w:rFonts w:ascii="Arial Narrow" w:hAnsi="Arial Narrow"/>
                <w:sz w:val="18"/>
                <w:szCs w:val="18"/>
              </w:rPr>
            </w:pPr>
          </w:p>
        </w:tc>
        <w:tc>
          <w:tcPr>
            <w:tcW w:w="298" w:type="pct"/>
          </w:tcPr>
          <w:p w14:paraId="5BE9A44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2500</w:t>
            </w:r>
          </w:p>
        </w:tc>
        <w:tc>
          <w:tcPr>
            <w:cnfStyle w:val="000010000000" w:firstRow="0" w:lastRow="0" w:firstColumn="0" w:lastColumn="0" w:oddVBand="1" w:evenVBand="0" w:oddHBand="0" w:evenHBand="0" w:firstRowFirstColumn="0" w:firstRowLastColumn="0" w:lastRowFirstColumn="0" w:lastRowLastColumn="0"/>
            <w:tcW w:w="197" w:type="pct"/>
          </w:tcPr>
          <w:p w14:paraId="2D4F733D" w14:textId="77777777" w:rsidR="00095411" w:rsidRPr="007348FD" w:rsidRDefault="00095411" w:rsidP="00591CBB">
            <w:pPr>
              <w:spacing w:after="160" w:line="259" w:lineRule="auto"/>
              <w:rPr>
                <w:rFonts w:ascii="Arial Narrow" w:hAnsi="Arial Narrow"/>
                <w:sz w:val="18"/>
                <w:szCs w:val="18"/>
              </w:rPr>
            </w:pPr>
          </w:p>
        </w:tc>
        <w:tc>
          <w:tcPr>
            <w:tcW w:w="273" w:type="pct"/>
          </w:tcPr>
          <w:p w14:paraId="5C04ADE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A910A81" w14:textId="77777777" w:rsidR="00095411" w:rsidRPr="007348FD" w:rsidRDefault="00095411" w:rsidP="00591CBB">
            <w:pPr>
              <w:spacing w:after="160" w:line="259" w:lineRule="auto"/>
              <w:rPr>
                <w:rFonts w:ascii="Arial Narrow" w:hAnsi="Arial Narrow"/>
                <w:sz w:val="18"/>
                <w:szCs w:val="18"/>
              </w:rPr>
            </w:pPr>
          </w:p>
        </w:tc>
        <w:tc>
          <w:tcPr>
            <w:tcW w:w="283" w:type="pct"/>
          </w:tcPr>
          <w:p w14:paraId="694CD38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35C9626" w14:textId="77777777" w:rsidR="00095411" w:rsidRPr="007348FD" w:rsidRDefault="00095411" w:rsidP="00591CBB">
            <w:pPr>
              <w:spacing w:after="160" w:line="259" w:lineRule="auto"/>
              <w:rPr>
                <w:rFonts w:ascii="Arial Narrow" w:hAnsi="Arial Narrow"/>
                <w:sz w:val="18"/>
                <w:szCs w:val="18"/>
              </w:rPr>
            </w:pPr>
          </w:p>
        </w:tc>
        <w:tc>
          <w:tcPr>
            <w:tcW w:w="149" w:type="pct"/>
          </w:tcPr>
          <w:p w14:paraId="51F9060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969D6D2" w14:textId="77777777" w:rsidR="00095411" w:rsidRPr="007348FD" w:rsidRDefault="00095411" w:rsidP="00591CBB">
            <w:pPr>
              <w:spacing w:after="160" w:line="259" w:lineRule="auto"/>
              <w:rPr>
                <w:rFonts w:ascii="Arial Narrow" w:hAnsi="Arial Narrow"/>
                <w:sz w:val="18"/>
                <w:szCs w:val="18"/>
              </w:rPr>
            </w:pPr>
          </w:p>
        </w:tc>
        <w:tc>
          <w:tcPr>
            <w:tcW w:w="214" w:type="pct"/>
          </w:tcPr>
          <w:p w14:paraId="4C6315A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10434A18" w14:textId="77777777" w:rsidR="00095411" w:rsidRPr="007348FD" w:rsidRDefault="00095411" w:rsidP="00591CBB">
            <w:pPr>
              <w:spacing w:after="160" w:line="259" w:lineRule="auto"/>
              <w:rPr>
                <w:rFonts w:ascii="Arial Narrow" w:hAnsi="Arial Narrow"/>
                <w:sz w:val="18"/>
                <w:szCs w:val="18"/>
              </w:rPr>
            </w:pPr>
          </w:p>
        </w:tc>
        <w:tc>
          <w:tcPr>
            <w:tcW w:w="280" w:type="pct"/>
          </w:tcPr>
          <w:p w14:paraId="4D19058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637BF8" w:rsidRPr="00591CBB" w14:paraId="22A1BD11"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6FD001F2" w14:textId="77777777" w:rsidR="00095411" w:rsidRPr="007348FD" w:rsidRDefault="00095411" w:rsidP="00591CBB">
            <w:pPr>
              <w:spacing w:after="160" w:line="259" w:lineRule="auto"/>
              <w:rPr>
                <w:rFonts w:ascii="Arial Narrow" w:hAnsi="Arial Narrow"/>
                <w:sz w:val="18"/>
                <w:szCs w:val="18"/>
              </w:rPr>
            </w:pPr>
          </w:p>
        </w:tc>
        <w:tc>
          <w:tcPr>
            <w:tcW w:w="460" w:type="pct"/>
          </w:tcPr>
          <w:p w14:paraId="19E7822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1780514"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467A8F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ADC481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27CA816C" w14:textId="44D2177F"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1ED3D6B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3FE0F31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250</w:t>
            </w:r>
          </w:p>
        </w:tc>
        <w:tc>
          <w:tcPr>
            <w:cnfStyle w:val="000010000000" w:firstRow="0" w:lastRow="0" w:firstColumn="0" w:lastColumn="0" w:oddVBand="1" w:evenVBand="0" w:oddHBand="0" w:evenHBand="0" w:firstRowFirstColumn="0" w:firstRowLastColumn="0" w:lastRowFirstColumn="0" w:lastRowLastColumn="0"/>
            <w:tcW w:w="197" w:type="pct"/>
          </w:tcPr>
          <w:p w14:paraId="33DA6D35" w14:textId="77777777" w:rsidR="00095411" w:rsidRPr="007348FD" w:rsidRDefault="00095411" w:rsidP="00591CBB">
            <w:pPr>
              <w:spacing w:after="160" w:line="259" w:lineRule="auto"/>
              <w:rPr>
                <w:rFonts w:ascii="Arial Narrow" w:hAnsi="Arial Narrow"/>
                <w:sz w:val="18"/>
                <w:szCs w:val="18"/>
              </w:rPr>
            </w:pPr>
          </w:p>
        </w:tc>
        <w:tc>
          <w:tcPr>
            <w:tcW w:w="273" w:type="pct"/>
          </w:tcPr>
          <w:p w14:paraId="5D9C586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w:t>
            </w:r>
          </w:p>
        </w:tc>
        <w:tc>
          <w:tcPr>
            <w:cnfStyle w:val="000010000000" w:firstRow="0" w:lastRow="0" w:firstColumn="0" w:lastColumn="0" w:oddVBand="1" w:evenVBand="0" w:oddHBand="0" w:evenHBand="0" w:firstRowFirstColumn="0" w:firstRowLastColumn="0" w:lastRowFirstColumn="0" w:lastRowLastColumn="0"/>
            <w:tcW w:w="285" w:type="pct"/>
          </w:tcPr>
          <w:p w14:paraId="51F85291" w14:textId="77777777" w:rsidR="00095411" w:rsidRPr="007348FD" w:rsidRDefault="00095411" w:rsidP="00591CBB">
            <w:pPr>
              <w:spacing w:after="160" w:line="259" w:lineRule="auto"/>
              <w:rPr>
                <w:rFonts w:ascii="Arial Narrow" w:hAnsi="Arial Narrow"/>
                <w:sz w:val="18"/>
                <w:szCs w:val="18"/>
              </w:rPr>
            </w:pPr>
          </w:p>
        </w:tc>
        <w:tc>
          <w:tcPr>
            <w:tcW w:w="283" w:type="pct"/>
          </w:tcPr>
          <w:p w14:paraId="3E8454C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5B5106F" w14:textId="77777777" w:rsidR="00095411" w:rsidRPr="007348FD" w:rsidRDefault="00095411" w:rsidP="00591CBB">
            <w:pPr>
              <w:spacing w:after="160" w:line="259" w:lineRule="auto"/>
              <w:rPr>
                <w:rFonts w:ascii="Arial Narrow" w:hAnsi="Arial Narrow"/>
                <w:sz w:val="18"/>
                <w:szCs w:val="18"/>
              </w:rPr>
            </w:pPr>
          </w:p>
        </w:tc>
        <w:tc>
          <w:tcPr>
            <w:tcW w:w="149" w:type="pct"/>
          </w:tcPr>
          <w:p w14:paraId="3E4470B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62A579E4" w14:textId="77777777" w:rsidR="00095411" w:rsidRPr="007348FD" w:rsidRDefault="00095411" w:rsidP="00591CBB">
            <w:pPr>
              <w:spacing w:after="160" w:line="259" w:lineRule="auto"/>
              <w:rPr>
                <w:rFonts w:ascii="Arial Narrow" w:hAnsi="Arial Narrow"/>
                <w:sz w:val="18"/>
                <w:szCs w:val="18"/>
              </w:rPr>
            </w:pPr>
          </w:p>
        </w:tc>
        <w:tc>
          <w:tcPr>
            <w:tcW w:w="214" w:type="pct"/>
          </w:tcPr>
          <w:p w14:paraId="0142165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CAR</w:t>
            </w:r>
          </w:p>
        </w:tc>
        <w:tc>
          <w:tcPr>
            <w:cnfStyle w:val="000010000000" w:firstRow="0" w:lastRow="0" w:firstColumn="0" w:lastColumn="0" w:oddVBand="1" w:evenVBand="0" w:oddHBand="0" w:evenHBand="0" w:firstRowFirstColumn="0" w:firstRowLastColumn="0" w:lastRowFirstColumn="0" w:lastRowLastColumn="0"/>
            <w:tcW w:w="245" w:type="pct"/>
          </w:tcPr>
          <w:p w14:paraId="5F60D54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CAR</w:t>
            </w:r>
          </w:p>
        </w:tc>
        <w:tc>
          <w:tcPr>
            <w:tcW w:w="280" w:type="pct"/>
          </w:tcPr>
          <w:p w14:paraId="2EF94086" w14:textId="06121A80"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CAR</w:t>
            </w:r>
          </w:p>
        </w:tc>
      </w:tr>
      <w:tr w:rsidR="00637BF8" w:rsidRPr="00591CBB" w14:paraId="118D0D71"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31DEF2D8" w14:textId="77777777" w:rsidR="00095411" w:rsidRPr="007348FD" w:rsidRDefault="00095411" w:rsidP="00591CBB">
            <w:pPr>
              <w:spacing w:after="160" w:line="259" w:lineRule="auto"/>
              <w:rPr>
                <w:rFonts w:ascii="Arial Narrow" w:hAnsi="Arial Narrow"/>
                <w:sz w:val="18"/>
                <w:szCs w:val="18"/>
              </w:rPr>
            </w:pPr>
          </w:p>
        </w:tc>
        <w:tc>
          <w:tcPr>
            <w:tcW w:w="460" w:type="pct"/>
          </w:tcPr>
          <w:p w14:paraId="51170EC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C9DC41F"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B79DA7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5D5A634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1CBDDA39" w14:textId="6BCAC7A8"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3A6986E3" w14:textId="77777777" w:rsidR="00095411" w:rsidRPr="007348FD" w:rsidRDefault="00095411" w:rsidP="00591CBB">
            <w:pPr>
              <w:spacing w:after="160" w:line="259" w:lineRule="auto"/>
              <w:rPr>
                <w:rFonts w:ascii="Arial Narrow" w:hAnsi="Arial Narrow"/>
                <w:sz w:val="18"/>
                <w:szCs w:val="18"/>
              </w:rPr>
            </w:pPr>
          </w:p>
        </w:tc>
        <w:tc>
          <w:tcPr>
            <w:tcW w:w="298" w:type="pct"/>
          </w:tcPr>
          <w:p w14:paraId="7D68858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97" w:type="pct"/>
          </w:tcPr>
          <w:p w14:paraId="2DD8A9A6" w14:textId="77777777" w:rsidR="00095411" w:rsidRPr="007348FD" w:rsidRDefault="00095411" w:rsidP="00591CBB">
            <w:pPr>
              <w:spacing w:after="160" w:line="259" w:lineRule="auto"/>
              <w:rPr>
                <w:rFonts w:ascii="Arial Narrow" w:hAnsi="Arial Narrow"/>
                <w:sz w:val="18"/>
                <w:szCs w:val="18"/>
              </w:rPr>
            </w:pPr>
          </w:p>
        </w:tc>
        <w:tc>
          <w:tcPr>
            <w:tcW w:w="273" w:type="pct"/>
          </w:tcPr>
          <w:p w14:paraId="6BF111F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A4AB6E1" w14:textId="77777777" w:rsidR="00095411" w:rsidRPr="007348FD" w:rsidRDefault="00095411" w:rsidP="00591CBB">
            <w:pPr>
              <w:spacing w:after="160" w:line="259" w:lineRule="auto"/>
              <w:rPr>
                <w:rFonts w:ascii="Arial Narrow" w:hAnsi="Arial Narrow"/>
                <w:sz w:val="18"/>
                <w:szCs w:val="18"/>
              </w:rPr>
            </w:pPr>
          </w:p>
        </w:tc>
        <w:tc>
          <w:tcPr>
            <w:tcW w:w="283" w:type="pct"/>
          </w:tcPr>
          <w:p w14:paraId="3F56855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5455B60" w14:textId="77777777" w:rsidR="00095411" w:rsidRPr="007348FD" w:rsidRDefault="00095411" w:rsidP="00591CBB">
            <w:pPr>
              <w:spacing w:after="160" w:line="259" w:lineRule="auto"/>
              <w:rPr>
                <w:rFonts w:ascii="Arial Narrow" w:hAnsi="Arial Narrow"/>
                <w:sz w:val="18"/>
                <w:szCs w:val="18"/>
              </w:rPr>
            </w:pPr>
          </w:p>
        </w:tc>
        <w:tc>
          <w:tcPr>
            <w:tcW w:w="149" w:type="pct"/>
          </w:tcPr>
          <w:p w14:paraId="00CF61B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EE59735" w14:textId="77777777" w:rsidR="00095411" w:rsidRPr="007348FD" w:rsidRDefault="00095411" w:rsidP="00591CBB">
            <w:pPr>
              <w:spacing w:after="160" w:line="259" w:lineRule="auto"/>
              <w:rPr>
                <w:rFonts w:ascii="Arial Narrow" w:hAnsi="Arial Narrow"/>
                <w:sz w:val="18"/>
                <w:szCs w:val="18"/>
              </w:rPr>
            </w:pPr>
          </w:p>
        </w:tc>
        <w:tc>
          <w:tcPr>
            <w:tcW w:w="214" w:type="pct"/>
          </w:tcPr>
          <w:p w14:paraId="38E6964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01203F2F" w14:textId="77777777" w:rsidR="00095411" w:rsidRPr="007348FD" w:rsidRDefault="00095411" w:rsidP="00591CBB">
            <w:pPr>
              <w:spacing w:after="160" w:line="259" w:lineRule="auto"/>
              <w:rPr>
                <w:rFonts w:ascii="Arial Narrow" w:hAnsi="Arial Narrow"/>
                <w:sz w:val="18"/>
                <w:szCs w:val="18"/>
              </w:rPr>
            </w:pPr>
          </w:p>
        </w:tc>
        <w:tc>
          <w:tcPr>
            <w:tcW w:w="280" w:type="pct"/>
          </w:tcPr>
          <w:p w14:paraId="7DC0889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637BF8" w:rsidRPr="00591CBB" w14:paraId="765FB415"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40EA13C2" w14:textId="77777777" w:rsidR="001E222B" w:rsidRPr="007348FD" w:rsidRDefault="001E222B" w:rsidP="00591CBB">
            <w:pPr>
              <w:spacing w:after="160" w:line="259" w:lineRule="auto"/>
              <w:rPr>
                <w:rFonts w:ascii="Arial Narrow" w:hAnsi="Arial Narrow"/>
                <w:sz w:val="18"/>
                <w:szCs w:val="18"/>
              </w:rPr>
            </w:pPr>
          </w:p>
        </w:tc>
        <w:tc>
          <w:tcPr>
            <w:tcW w:w="460" w:type="pct"/>
          </w:tcPr>
          <w:p w14:paraId="6F04D09E" w14:textId="77777777"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6C420C1" w14:textId="77777777" w:rsidR="001E222B" w:rsidRPr="007348FD" w:rsidRDefault="001E222B" w:rsidP="00591CBB">
            <w:pPr>
              <w:spacing w:after="160" w:line="259" w:lineRule="auto"/>
              <w:rPr>
                <w:rFonts w:ascii="Arial Narrow" w:hAnsi="Arial Narrow"/>
                <w:b/>
                <w:bCs/>
                <w:sz w:val="18"/>
                <w:szCs w:val="18"/>
              </w:rPr>
            </w:pPr>
          </w:p>
        </w:tc>
        <w:tc>
          <w:tcPr>
            <w:tcW w:w="341" w:type="pct"/>
          </w:tcPr>
          <w:p w14:paraId="4D29608F" w14:textId="77777777"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76A1CA0" w14:textId="2BE4BB51" w:rsidR="001E222B" w:rsidRPr="007348FD" w:rsidRDefault="001E222B" w:rsidP="00591CBB">
            <w:pPr>
              <w:spacing w:after="160" w:line="259" w:lineRule="auto"/>
              <w:rPr>
                <w:rFonts w:ascii="Arial Narrow" w:hAnsi="Arial Narrow"/>
                <w:sz w:val="18"/>
                <w:szCs w:val="18"/>
              </w:rPr>
            </w:pPr>
            <w:r>
              <w:rPr>
                <w:rFonts w:ascii="Arial Narrow" w:hAnsi="Arial Narrow"/>
                <w:sz w:val="18"/>
                <w:szCs w:val="18"/>
              </w:rPr>
              <w:t>Actual</w:t>
            </w:r>
          </w:p>
        </w:tc>
        <w:tc>
          <w:tcPr>
            <w:tcW w:w="330" w:type="pct"/>
          </w:tcPr>
          <w:p w14:paraId="4CD8F553" w14:textId="77777777"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3A484AC4" w14:textId="77777777" w:rsidR="001E222B" w:rsidRPr="007348FD" w:rsidRDefault="001E222B" w:rsidP="00591CBB">
            <w:pPr>
              <w:spacing w:after="160" w:line="259" w:lineRule="auto"/>
              <w:rPr>
                <w:rFonts w:ascii="Arial Narrow" w:hAnsi="Arial Narrow"/>
                <w:sz w:val="18"/>
                <w:szCs w:val="18"/>
              </w:rPr>
            </w:pPr>
          </w:p>
        </w:tc>
        <w:tc>
          <w:tcPr>
            <w:tcW w:w="298" w:type="pct"/>
          </w:tcPr>
          <w:p w14:paraId="02692456" w14:textId="0B4C588A"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No updates</w:t>
            </w:r>
          </w:p>
        </w:tc>
        <w:tc>
          <w:tcPr>
            <w:cnfStyle w:val="000010000000" w:firstRow="0" w:lastRow="0" w:firstColumn="0" w:lastColumn="0" w:oddVBand="1" w:evenVBand="0" w:oddHBand="0" w:evenHBand="0" w:firstRowFirstColumn="0" w:firstRowLastColumn="0" w:lastRowFirstColumn="0" w:lastRowLastColumn="0"/>
            <w:tcW w:w="197" w:type="pct"/>
          </w:tcPr>
          <w:p w14:paraId="16A3B6A2" w14:textId="16C56695" w:rsidR="001E222B" w:rsidRPr="007348FD" w:rsidRDefault="001E222B" w:rsidP="00591CBB">
            <w:pPr>
              <w:spacing w:after="160" w:line="259" w:lineRule="auto"/>
              <w:rPr>
                <w:rFonts w:ascii="Arial Narrow" w:hAnsi="Arial Narrow"/>
                <w:sz w:val="18"/>
                <w:szCs w:val="18"/>
              </w:rPr>
            </w:pPr>
            <w:r>
              <w:rPr>
                <w:rFonts w:ascii="Arial Narrow" w:hAnsi="Arial Narrow"/>
                <w:sz w:val="18"/>
                <w:szCs w:val="18"/>
              </w:rPr>
              <w:t>No updates</w:t>
            </w:r>
          </w:p>
        </w:tc>
        <w:tc>
          <w:tcPr>
            <w:tcW w:w="273" w:type="pct"/>
          </w:tcPr>
          <w:p w14:paraId="21A231F5" w14:textId="39CF92D7"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No Data</w:t>
            </w:r>
          </w:p>
        </w:tc>
        <w:tc>
          <w:tcPr>
            <w:cnfStyle w:val="000010000000" w:firstRow="0" w:lastRow="0" w:firstColumn="0" w:lastColumn="0" w:oddVBand="1" w:evenVBand="0" w:oddHBand="0" w:evenHBand="0" w:firstRowFirstColumn="0" w:firstRowLastColumn="0" w:lastRowFirstColumn="0" w:lastRowLastColumn="0"/>
            <w:tcW w:w="285" w:type="pct"/>
          </w:tcPr>
          <w:p w14:paraId="66634AF5" w14:textId="2178B3C1" w:rsidR="001E222B" w:rsidRPr="007348FD" w:rsidRDefault="001E222B" w:rsidP="00591CBB">
            <w:pPr>
              <w:spacing w:after="160" w:line="259" w:lineRule="auto"/>
              <w:rPr>
                <w:rFonts w:ascii="Arial Narrow" w:hAnsi="Arial Narrow"/>
                <w:sz w:val="18"/>
                <w:szCs w:val="18"/>
              </w:rPr>
            </w:pPr>
            <w:r>
              <w:rPr>
                <w:rFonts w:ascii="Arial Narrow" w:hAnsi="Arial Narrow"/>
                <w:sz w:val="18"/>
                <w:szCs w:val="18"/>
              </w:rPr>
              <w:t>No Data</w:t>
            </w:r>
          </w:p>
        </w:tc>
        <w:tc>
          <w:tcPr>
            <w:tcW w:w="283" w:type="pct"/>
          </w:tcPr>
          <w:p w14:paraId="0A3F99BC" w14:textId="77777777"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4F97705" w14:textId="77777777" w:rsidR="001E222B" w:rsidRPr="007348FD" w:rsidRDefault="001E222B" w:rsidP="00591CBB">
            <w:pPr>
              <w:spacing w:after="160" w:line="259" w:lineRule="auto"/>
              <w:rPr>
                <w:rFonts w:ascii="Arial Narrow" w:hAnsi="Arial Narrow"/>
                <w:sz w:val="18"/>
                <w:szCs w:val="18"/>
              </w:rPr>
            </w:pPr>
          </w:p>
        </w:tc>
        <w:tc>
          <w:tcPr>
            <w:tcW w:w="149" w:type="pct"/>
          </w:tcPr>
          <w:p w14:paraId="3157DDB9" w14:textId="77777777"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2E1D30F" w14:textId="2E94C649" w:rsidR="001E222B" w:rsidRPr="007348FD" w:rsidRDefault="001E222B" w:rsidP="00591CBB">
            <w:pPr>
              <w:spacing w:after="160" w:line="259" w:lineRule="auto"/>
              <w:rPr>
                <w:rFonts w:ascii="Arial Narrow" w:hAnsi="Arial Narrow"/>
                <w:sz w:val="18"/>
                <w:szCs w:val="18"/>
              </w:rPr>
            </w:pPr>
            <w:r>
              <w:rPr>
                <w:rFonts w:ascii="Arial Narrow" w:hAnsi="Arial Narrow"/>
                <w:sz w:val="18"/>
                <w:szCs w:val="18"/>
              </w:rPr>
              <w:t>1</w:t>
            </w:r>
          </w:p>
        </w:tc>
        <w:tc>
          <w:tcPr>
            <w:tcW w:w="214" w:type="pct"/>
          </w:tcPr>
          <w:p w14:paraId="7C6A998C" w14:textId="36C7FA52"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CAR</w:t>
            </w:r>
          </w:p>
        </w:tc>
        <w:tc>
          <w:tcPr>
            <w:cnfStyle w:val="000010000000" w:firstRow="0" w:lastRow="0" w:firstColumn="0" w:lastColumn="0" w:oddVBand="1" w:evenVBand="0" w:oddHBand="0" w:evenHBand="0" w:firstRowFirstColumn="0" w:firstRowLastColumn="0" w:lastRowFirstColumn="0" w:lastRowLastColumn="0"/>
            <w:tcW w:w="245" w:type="pct"/>
          </w:tcPr>
          <w:p w14:paraId="20918B6B" w14:textId="3F6E7E54" w:rsidR="001E222B" w:rsidRPr="007348FD" w:rsidRDefault="001E222B" w:rsidP="00591CBB">
            <w:pPr>
              <w:spacing w:after="160" w:line="259" w:lineRule="auto"/>
              <w:rPr>
                <w:rFonts w:ascii="Arial Narrow" w:hAnsi="Arial Narrow"/>
                <w:sz w:val="18"/>
                <w:szCs w:val="18"/>
              </w:rPr>
            </w:pPr>
            <w:r>
              <w:rPr>
                <w:rFonts w:ascii="Arial Narrow" w:hAnsi="Arial Narrow"/>
                <w:sz w:val="18"/>
                <w:szCs w:val="18"/>
              </w:rPr>
              <w:t>CAR</w:t>
            </w:r>
          </w:p>
        </w:tc>
        <w:tc>
          <w:tcPr>
            <w:tcW w:w="280" w:type="pct"/>
          </w:tcPr>
          <w:p w14:paraId="0A9E4F95" w14:textId="28893182"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CAR</w:t>
            </w:r>
          </w:p>
        </w:tc>
      </w:tr>
      <w:tr w:rsidR="00637BF8" w:rsidRPr="00591CBB" w14:paraId="6D32BCFF"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4246C20D" w14:textId="77777777" w:rsidR="00095411" w:rsidRPr="007348FD" w:rsidRDefault="00095411" w:rsidP="00591CBB">
            <w:pPr>
              <w:spacing w:after="160" w:line="259" w:lineRule="auto"/>
              <w:rPr>
                <w:rFonts w:ascii="Arial Narrow" w:hAnsi="Arial Narrow"/>
                <w:sz w:val="18"/>
                <w:szCs w:val="18"/>
              </w:rPr>
            </w:pPr>
          </w:p>
        </w:tc>
        <w:tc>
          <w:tcPr>
            <w:tcW w:w="460" w:type="pct"/>
          </w:tcPr>
          <w:p w14:paraId="2F8F412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5C3DD4C"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60D7BC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209FD2A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E538DD1" w14:textId="0B24DF8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567447B1" w14:textId="77777777" w:rsidR="00095411" w:rsidRPr="007348FD" w:rsidRDefault="00095411" w:rsidP="00591CBB">
            <w:pPr>
              <w:spacing w:after="160" w:line="259" w:lineRule="auto"/>
              <w:rPr>
                <w:rFonts w:ascii="Arial Narrow" w:hAnsi="Arial Narrow"/>
                <w:sz w:val="18"/>
                <w:szCs w:val="18"/>
              </w:rPr>
            </w:pPr>
          </w:p>
        </w:tc>
        <w:tc>
          <w:tcPr>
            <w:tcW w:w="298" w:type="pct"/>
          </w:tcPr>
          <w:p w14:paraId="45EF370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97" w:type="pct"/>
          </w:tcPr>
          <w:p w14:paraId="051FE131" w14:textId="77777777" w:rsidR="00095411" w:rsidRPr="007348FD" w:rsidRDefault="00095411" w:rsidP="00591CBB">
            <w:pPr>
              <w:spacing w:after="160" w:line="259" w:lineRule="auto"/>
              <w:rPr>
                <w:rFonts w:ascii="Arial Narrow" w:hAnsi="Arial Narrow"/>
                <w:sz w:val="18"/>
                <w:szCs w:val="18"/>
              </w:rPr>
            </w:pPr>
          </w:p>
        </w:tc>
        <w:tc>
          <w:tcPr>
            <w:tcW w:w="273" w:type="pct"/>
          </w:tcPr>
          <w:p w14:paraId="330EC4C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89F038B" w14:textId="77777777" w:rsidR="00095411" w:rsidRPr="007348FD" w:rsidRDefault="00095411" w:rsidP="00591CBB">
            <w:pPr>
              <w:spacing w:after="160" w:line="259" w:lineRule="auto"/>
              <w:rPr>
                <w:rFonts w:ascii="Arial Narrow" w:hAnsi="Arial Narrow"/>
                <w:sz w:val="18"/>
                <w:szCs w:val="18"/>
              </w:rPr>
            </w:pPr>
          </w:p>
        </w:tc>
        <w:tc>
          <w:tcPr>
            <w:tcW w:w="283" w:type="pct"/>
          </w:tcPr>
          <w:p w14:paraId="6757C6C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D70E375" w14:textId="77777777" w:rsidR="00095411" w:rsidRPr="007348FD" w:rsidRDefault="00095411" w:rsidP="00591CBB">
            <w:pPr>
              <w:spacing w:after="160" w:line="259" w:lineRule="auto"/>
              <w:rPr>
                <w:rFonts w:ascii="Arial Narrow" w:hAnsi="Arial Narrow"/>
                <w:sz w:val="18"/>
                <w:szCs w:val="18"/>
              </w:rPr>
            </w:pPr>
          </w:p>
        </w:tc>
        <w:tc>
          <w:tcPr>
            <w:tcW w:w="149" w:type="pct"/>
          </w:tcPr>
          <w:p w14:paraId="5ED2D75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99B3A22" w14:textId="77777777" w:rsidR="00095411" w:rsidRPr="007348FD" w:rsidRDefault="00095411" w:rsidP="00591CBB">
            <w:pPr>
              <w:spacing w:after="160" w:line="259" w:lineRule="auto"/>
              <w:rPr>
                <w:rFonts w:ascii="Arial Narrow" w:hAnsi="Arial Narrow"/>
                <w:sz w:val="18"/>
                <w:szCs w:val="18"/>
              </w:rPr>
            </w:pPr>
          </w:p>
        </w:tc>
        <w:tc>
          <w:tcPr>
            <w:tcW w:w="214" w:type="pct"/>
          </w:tcPr>
          <w:p w14:paraId="3311FFE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5493C4D8" w14:textId="77777777" w:rsidR="00095411" w:rsidRPr="007348FD" w:rsidRDefault="00095411" w:rsidP="00591CBB">
            <w:pPr>
              <w:spacing w:after="160" w:line="259" w:lineRule="auto"/>
              <w:rPr>
                <w:rFonts w:ascii="Arial Narrow" w:hAnsi="Arial Narrow"/>
                <w:sz w:val="18"/>
                <w:szCs w:val="18"/>
              </w:rPr>
            </w:pPr>
          </w:p>
        </w:tc>
        <w:tc>
          <w:tcPr>
            <w:tcW w:w="280" w:type="pct"/>
          </w:tcPr>
          <w:p w14:paraId="1C80798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637BF8" w:rsidRPr="00591CBB" w14:paraId="633C1C6C"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642C3D88" w14:textId="77777777" w:rsidR="001E222B" w:rsidRPr="007348FD" w:rsidRDefault="001E222B" w:rsidP="00591CBB">
            <w:pPr>
              <w:spacing w:after="160" w:line="259" w:lineRule="auto"/>
              <w:rPr>
                <w:rFonts w:ascii="Arial Narrow" w:hAnsi="Arial Narrow"/>
                <w:sz w:val="18"/>
                <w:szCs w:val="18"/>
              </w:rPr>
            </w:pPr>
          </w:p>
        </w:tc>
        <w:tc>
          <w:tcPr>
            <w:tcW w:w="460" w:type="pct"/>
          </w:tcPr>
          <w:p w14:paraId="104173E9" w14:textId="77777777"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A085B88" w14:textId="77777777" w:rsidR="001E222B" w:rsidRPr="007348FD" w:rsidRDefault="001E222B" w:rsidP="00591CBB">
            <w:pPr>
              <w:spacing w:after="160" w:line="259" w:lineRule="auto"/>
              <w:rPr>
                <w:rFonts w:ascii="Arial Narrow" w:hAnsi="Arial Narrow"/>
                <w:b/>
                <w:bCs/>
                <w:sz w:val="18"/>
                <w:szCs w:val="18"/>
              </w:rPr>
            </w:pPr>
          </w:p>
        </w:tc>
        <w:tc>
          <w:tcPr>
            <w:tcW w:w="341" w:type="pct"/>
          </w:tcPr>
          <w:p w14:paraId="6DAC387C" w14:textId="77777777"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02FFE336" w14:textId="41F1166C" w:rsidR="001E222B" w:rsidRPr="007348FD" w:rsidRDefault="001E222B" w:rsidP="00591CBB">
            <w:pPr>
              <w:spacing w:after="160" w:line="259" w:lineRule="auto"/>
              <w:rPr>
                <w:rFonts w:ascii="Arial Narrow" w:hAnsi="Arial Narrow"/>
                <w:sz w:val="18"/>
                <w:szCs w:val="18"/>
              </w:rPr>
            </w:pPr>
            <w:r>
              <w:rPr>
                <w:rFonts w:ascii="Arial Narrow" w:hAnsi="Arial Narrow"/>
                <w:sz w:val="18"/>
                <w:szCs w:val="18"/>
              </w:rPr>
              <w:t>Actual</w:t>
            </w:r>
          </w:p>
        </w:tc>
        <w:tc>
          <w:tcPr>
            <w:tcW w:w="330" w:type="pct"/>
          </w:tcPr>
          <w:p w14:paraId="2DBC5354" w14:textId="77777777"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2CD586A6" w14:textId="77777777" w:rsidR="001E222B" w:rsidRPr="007348FD" w:rsidRDefault="001E222B" w:rsidP="00591CBB">
            <w:pPr>
              <w:spacing w:after="160" w:line="259" w:lineRule="auto"/>
              <w:rPr>
                <w:rFonts w:ascii="Arial Narrow" w:hAnsi="Arial Narrow"/>
                <w:sz w:val="18"/>
                <w:szCs w:val="18"/>
              </w:rPr>
            </w:pPr>
          </w:p>
        </w:tc>
        <w:tc>
          <w:tcPr>
            <w:tcW w:w="298" w:type="pct"/>
          </w:tcPr>
          <w:p w14:paraId="169B6393" w14:textId="702F0000"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CAR</w:t>
            </w:r>
          </w:p>
        </w:tc>
        <w:tc>
          <w:tcPr>
            <w:cnfStyle w:val="000010000000" w:firstRow="0" w:lastRow="0" w:firstColumn="0" w:lastColumn="0" w:oddVBand="1" w:evenVBand="0" w:oddHBand="0" w:evenHBand="0" w:firstRowFirstColumn="0" w:firstRowLastColumn="0" w:lastRowFirstColumn="0" w:lastRowLastColumn="0"/>
            <w:tcW w:w="197" w:type="pct"/>
          </w:tcPr>
          <w:p w14:paraId="6247CD00" w14:textId="77777777" w:rsidR="001E222B" w:rsidRPr="007348FD" w:rsidRDefault="001E222B" w:rsidP="00591CBB">
            <w:pPr>
              <w:spacing w:after="160" w:line="259" w:lineRule="auto"/>
              <w:rPr>
                <w:rFonts w:ascii="Arial Narrow" w:hAnsi="Arial Narrow"/>
                <w:sz w:val="18"/>
                <w:szCs w:val="18"/>
              </w:rPr>
            </w:pPr>
          </w:p>
        </w:tc>
        <w:tc>
          <w:tcPr>
            <w:tcW w:w="273" w:type="pct"/>
          </w:tcPr>
          <w:p w14:paraId="77906797" w14:textId="227B6638"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No data</w:t>
            </w:r>
          </w:p>
        </w:tc>
        <w:tc>
          <w:tcPr>
            <w:cnfStyle w:val="000010000000" w:firstRow="0" w:lastRow="0" w:firstColumn="0" w:lastColumn="0" w:oddVBand="1" w:evenVBand="0" w:oddHBand="0" w:evenHBand="0" w:firstRowFirstColumn="0" w:firstRowLastColumn="0" w:lastRowFirstColumn="0" w:lastRowLastColumn="0"/>
            <w:tcW w:w="285" w:type="pct"/>
          </w:tcPr>
          <w:p w14:paraId="79E30FF3" w14:textId="06C6E929" w:rsidR="001E222B" w:rsidRPr="007348FD" w:rsidRDefault="001E222B" w:rsidP="00591CBB">
            <w:pPr>
              <w:spacing w:after="160" w:line="259" w:lineRule="auto"/>
              <w:rPr>
                <w:rFonts w:ascii="Arial Narrow" w:hAnsi="Arial Narrow"/>
                <w:sz w:val="18"/>
                <w:szCs w:val="18"/>
              </w:rPr>
            </w:pPr>
            <w:r>
              <w:rPr>
                <w:rFonts w:ascii="Arial Narrow" w:hAnsi="Arial Narrow"/>
                <w:sz w:val="18"/>
                <w:szCs w:val="18"/>
              </w:rPr>
              <w:t>No Data</w:t>
            </w:r>
          </w:p>
        </w:tc>
        <w:tc>
          <w:tcPr>
            <w:tcW w:w="283" w:type="pct"/>
          </w:tcPr>
          <w:p w14:paraId="16E7E679" w14:textId="77777777"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98179E9" w14:textId="77777777" w:rsidR="001E222B" w:rsidRPr="007348FD" w:rsidRDefault="001E222B" w:rsidP="00591CBB">
            <w:pPr>
              <w:spacing w:after="160" w:line="259" w:lineRule="auto"/>
              <w:rPr>
                <w:rFonts w:ascii="Arial Narrow" w:hAnsi="Arial Narrow"/>
                <w:sz w:val="18"/>
                <w:szCs w:val="18"/>
              </w:rPr>
            </w:pPr>
          </w:p>
        </w:tc>
        <w:tc>
          <w:tcPr>
            <w:tcW w:w="149" w:type="pct"/>
          </w:tcPr>
          <w:p w14:paraId="572EC432" w14:textId="77777777"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829A93A" w14:textId="77777777" w:rsidR="001E222B" w:rsidRPr="007348FD" w:rsidRDefault="001E222B" w:rsidP="00591CBB">
            <w:pPr>
              <w:spacing w:after="160" w:line="259" w:lineRule="auto"/>
              <w:rPr>
                <w:rFonts w:ascii="Arial Narrow" w:hAnsi="Arial Narrow"/>
                <w:sz w:val="18"/>
                <w:szCs w:val="18"/>
              </w:rPr>
            </w:pPr>
          </w:p>
        </w:tc>
        <w:tc>
          <w:tcPr>
            <w:tcW w:w="214" w:type="pct"/>
          </w:tcPr>
          <w:p w14:paraId="314DE199" w14:textId="3E8EEA32"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NA</w:t>
            </w:r>
          </w:p>
        </w:tc>
        <w:tc>
          <w:tcPr>
            <w:cnfStyle w:val="000010000000" w:firstRow="0" w:lastRow="0" w:firstColumn="0" w:lastColumn="0" w:oddVBand="1" w:evenVBand="0" w:oddHBand="0" w:evenHBand="0" w:firstRowFirstColumn="0" w:firstRowLastColumn="0" w:lastRowFirstColumn="0" w:lastRowLastColumn="0"/>
            <w:tcW w:w="245" w:type="pct"/>
          </w:tcPr>
          <w:p w14:paraId="13D48805" w14:textId="5C0B3703" w:rsidR="001E222B" w:rsidRPr="007348FD" w:rsidRDefault="001E222B" w:rsidP="00591CBB">
            <w:pPr>
              <w:spacing w:after="160" w:line="259" w:lineRule="auto"/>
              <w:rPr>
                <w:rFonts w:ascii="Arial Narrow" w:hAnsi="Arial Narrow"/>
                <w:sz w:val="18"/>
                <w:szCs w:val="18"/>
              </w:rPr>
            </w:pPr>
            <w:r>
              <w:rPr>
                <w:rFonts w:ascii="Arial Narrow" w:hAnsi="Arial Narrow"/>
                <w:sz w:val="18"/>
                <w:szCs w:val="18"/>
              </w:rPr>
              <w:t>CAR</w:t>
            </w:r>
          </w:p>
        </w:tc>
        <w:tc>
          <w:tcPr>
            <w:tcW w:w="280" w:type="pct"/>
          </w:tcPr>
          <w:p w14:paraId="5B72EEB2" w14:textId="48717B81"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CAR</w:t>
            </w:r>
          </w:p>
        </w:tc>
      </w:tr>
      <w:tr w:rsidR="00637BF8" w:rsidRPr="00591CBB" w14:paraId="3D09390B"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7D124C98" w14:textId="77777777" w:rsidR="00095411" w:rsidRPr="007348FD" w:rsidRDefault="00095411" w:rsidP="00591CBB">
            <w:pPr>
              <w:spacing w:after="160" w:line="259" w:lineRule="auto"/>
              <w:rPr>
                <w:rFonts w:ascii="Arial Narrow" w:hAnsi="Arial Narrow"/>
                <w:sz w:val="18"/>
                <w:szCs w:val="18"/>
              </w:rPr>
            </w:pPr>
          </w:p>
        </w:tc>
        <w:tc>
          <w:tcPr>
            <w:tcW w:w="460" w:type="pct"/>
          </w:tcPr>
          <w:p w14:paraId="42114D3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CCD1E43"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40EC8E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2C0C7F8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563E3A95" w14:textId="54D5E058"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2C5A38DA" w14:textId="77777777" w:rsidR="00095411" w:rsidRPr="007348FD" w:rsidRDefault="00095411" w:rsidP="00591CBB">
            <w:pPr>
              <w:spacing w:after="160" w:line="259" w:lineRule="auto"/>
              <w:rPr>
                <w:rFonts w:ascii="Arial Narrow" w:hAnsi="Arial Narrow"/>
                <w:sz w:val="18"/>
                <w:szCs w:val="18"/>
              </w:rPr>
            </w:pPr>
          </w:p>
        </w:tc>
        <w:tc>
          <w:tcPr>
            <w:tcW w:w="298" w:type="pct"/>
          </w:tcPr>
          <w:p w14:paraId="1C43CB0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97" w:type="pct"/>
          </w:tcPr>
          <w:p w14:paraId="6FD192FA" w14:textId="77777777" w:rsidR="00095411" w:rsidRPr="007348FD" w:rsidRDefault="00095411" w:rsidP="00591CBB">
            <w:pPr>
              <w:spacing w:after="160" w:line="259" w:lineRule="auto"/>
              <w:rPr>
                <w:rFonts w:ascii="Arial Narrow" w:hAnsi="Arial Narrow"/>
                <w:sz w:val="18"/>
                <w:szCs w:val="18"/>
              </w:rPr>
            </w:pPr>
          </w:p>
        </w:tc>
        <w:tc>
          <w:tcPr>
            <w:tcW w:w="273" w:type="pct"/>
          </w:tcPr>
          <w:p w14:paraId="5600782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B0F642F" w14:textId="77777777" w:rsidR="00095411" w:rsidRPr="007348FD" w:rsidRDefault="00095411" w:rsidP="00591CBB">
            <w:pPr>
              <w:spacing w:after="160" w:line="259" w:lineRule="auto"/>
              <w:rPr>
                <w:rFonts w:ascii="Arial Narrow" w:hAnsi="Arial Narrow"/>
                <w:sz w:val="18"/>
                <w:szCs w:val="18"/>
              </w:rPr>
            </w:pPr>
          </w:p>
        </w:tc>
        <w:tc>
          <w:tcPr>
            <w:tcW w:w="283" w:type="pct"/>
          </w:tcPr>
          <w:p w14:paraId="4883595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207E2AE" w14:textId="77777777" w:rsidR="00095411" w:rsidRPr="007348FD" w:rsidRDefault="00095411" w:rsidP="00591CBB">
            <w:pPr>
              <w:spacing w:after="160" w:line="259" w:lineRule="auto"/>
              <w:rPr>
                <w:rFonts w:ascii="Arial Narrow" w:hAnsi="Arial Narrow"/>
                <w:sz w:val="18"/>
                <w:szCs w:val="18"/>
              </w:rPr>
            </w:pPr>
          </w:p>
        </w:tc>
        <w:tc>
          <w:tcPr>
            <w:tcW w:w="149" w:type="pct"/>
          </w:tcPr>
          <w:p w14:paraId="3390194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A25D01E" w14:textId="77777777" w:rsidR="00095411" w:rsidRPr="007348FD" w:rsidRDefault="00095411" w:rsidP="00591CBB">
            <w:pPr>
              <w:spacing w:after="160" w:line="259" w:lineRule="auto"/>
              <w:rPr>
                <w:rFonts w:ascii="Arial Narrow" w:hAnsi="Arial Narrow"/>
                <w:sz w:val="18"/>
                <w:szCs w:val="18"/>
              </w:rPr>
            </w:pPr>
          </w:p>
        </w:tc>
        <w:tc>
          <w:tcPr>
            <w:tcW w:w="214" w:type="pct"/>
          </w:tcPr>
          <w:p w14:paraId="57ADF24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47337BE8" w14:textId="77777777" w:rsidR="00095411" w:rsidRPr="007348FD" w:rsidRDefault="00095411" w:rsidP="00591CBB">
            <w:pPr>
              <w:spacing w:after="160" w:line="259" w:lineRule="auto"/>
              <w:rPr>
                <w:rFonts w:ascii="Arial Narrow" w:hAnsi="Arial Narrow"/>
                <w:sz w:val="18"/>
                <w:szCs w:val="18"/>
              </w:rPr>
            </w:pPr>
          </w:p>
        </w:tc>
        <w:tc>
          <w:tcPr>
            <w:tcW w:w="280" w:type="pct"/>
          </w:tcPr>
          <w:p w14:paraId="66B5BF4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637BF8" w:rsidRPr="00591CBB" w14:paraId="2F14F661"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563DB975" w14:textId="77777777" w:rsidR="001E222B" w:rsidRPr="007348FD" w:rsidRDefault="001E222B" w:rsidP="00591CBB">
            <w:pPr>
              <w:spacing w:after="160" w:line="259" w:lineRule="auto"/>
              <w:rPr>
                <w:rFonts w:ascii="Arial Narrow" w:hAnsi="Arial Narrow"/>
                <w:sz w:val="18"/>
                <w:szCs w:val="18"/>
              </w:rPr>
            </w:pPr>
          </w:p>
        </w:tc>
        <w:tc>
          <w:tcPr>
            <w:tcW w:w="460" w:type="pct"/>
          </w:tcPr>
          <w:p w14:paraId="1900B0BF" w14:textId="77777777"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A8950CC" w14:textId="77777777" w:rsidR="001E222B" w:rsidRPr="007348FD" w:rsidRDefault="001E222B" w:rsidP="00591CBB">
            <w:pPr>
              <w:spacing w:after="160" w:line="259" w:lineRule="auto"/>
              <w:rPr>
                <w:rFonts w:ascii="Arial Narrow" w:hAnsi="Arial Narrow"/>
                <w:b/>
                <w:bCs/>
                <w:sz w:val="18"/>
                <w:szCs w:val="18"/>
              </w:rPr>
            </w:pPr>
          </w:p>
        </w:tc>
        <w:tc>
          <w:tcPr>
            <w:tcW w:w="341" w:type="pct"/>
          </w:tcPr>
          <w:p w14:paraId="10ED91E8" w14:textId="77777777"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05032510" w14:textId="1E5F510D" w:rsidR="001E222B" w:rsidRPr="007348FD" w:rsidRDefault="001E222B" w:rsidP="00591CBB">
            <w:pPr>
              <w:spacing w:after="160" w:line="259" w:lineRule="auto"/>
              <w:rPr>
                <w:rFonts w:ascii="Arial Narrow" w:hAnsi="Arial Narrow"/>
                <w:sz w:val="18"/>
                <w:szCs w:val="18"/>
              </w:rPr>
            </w:pPr>
            <w:r>
              <w:rPr>
                <w:rFonts w:ascii="Arial Narrow" w:hAnsi="Arial Narrow"/>
                <w:sz w:val="18"/>
                <w:szCs w:val="18"/>
              </w:rPr>
              <w:t>Actual</w:t>
            </w:r>
          </w:p>
        </w:tc>
        <w:tc>
          <w:tcPr>
            <w:tcW w:w="330" w:type="pct"/>
          </w:tcPr>
          <w:p w14:paraId="64B177A1" w14:textId="77777777"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07474AC3" w14:textId="77777777" w:rsidR="001E222B" w:rsidRPr="007348FD" w:rsidRDefault="001E222B" w:rsidP="00591CBB">
            <w:pPr>
              <w:spacing w:after="160" w:line="259" w:lineRule="auto"/>
              <w:rPr>
                <w:rFonts w:ascii="Arial Narrow" w:hAnsi="Arial Narrow"/>
                <w:sz w:val="18"/>
                <w:szCs w:val="18"/>
              </w:rPr>
            </w:pPr>
          </w:p>
        </w:tc>
        <w:tc>
          <w:tcPr>
            <w:tcW w:w="298" w:type="pct"/>
          </w:tcPr>
          <w:p w14:paraId="550BC433" w14:textId="62D29022"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210</w:t>
            </w:r>
          </w:p>
        </w:tc>
        <w:tc>
          <w:tcPr>
            <w:cnfStyle w:val="000010000000" w:firstRow="0" w:lastRow="0" w:firstColumn="0" w:lastColumn="0" w:oddVBand="1" w:evenVBand="0" w:oddHBand="0" w:evenHBand="0" w:firstRowFirstColumn="0" w:firstRowLastColumn="0" w:lastRowFirstColumn="0" w:lastRowLastColumn="0"/>
            <w:tcW w:w="197" w:type="pct"/>
          </w:tcPr>
          <w:p w14:paraId="3F72BC8F" w14:textId="77777777" w:rsidR="001E222B" w:rsidRPr="007348FD" w:rsidRDefault="001E222B" w:rsidP="00591CBB">
            <w:pPr>
              <w:spacing w:after="160" w:line="259" w:lineRule="auto"/>
              <w:rPr>
                <w:rFonts w:ascii="Arial Narrow" w:hAnsi="Arial Narrow"/>
                <w:sz w:val="18"/>
                <w:szCs w:val="18"/>
              </w:rPr>
            </w:pPr>
          </w:p>
        </w:tc>
        <w:tc>
          <w:tcPr>
            <w:tcW w:w="273" w:type="pct"/>
          </w:tcPr>
          <w:p w14:paraId="2FB8803C" w14:textId="02A3C9C8"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No data</w:t>
            </w:r>
          </w:p>
        </w:tc>
        <w:tc>
          <w:tcPr>
            <w:cnfStyle w:val="000010000000" w:firstRow="0" w:lastRow="0" w:firstColumn="0" w:lastColumn="0" w:oddVBand="1" w:evenVBand="0" w:oddHBand="0" w:evenHBand="0" w:firstRowFirstColumn="0" w:firstRowLastColumn="0" w:lastRowFirstColumn="0" w:lastRowLastColumn="0"/>
            <w:tcW w:w="285" w:type="pct"/>
          </w:tcPr>
          <w:p w14:paraId="541C3FCF" w14:textId="4D523233" w:rsidR="001E222B" w:rsidRPr="007348FD" w:rsidRDefault="001E222B" w:rsidP="00591CBB">
            <w:pPr>
              <w:spacing w:after="160" w:line="259" w:lineRule="auto"/>
              <w:rPr>
                <w:rFonts w:ascii="Arial Narrow" w:hAnsi="Arial Narrow"/>
                <w:sz w:val="18"/>
                <w:szCs w:val="18"/>
              </w:rPr>
            </w:pPr>
            <w:r>
              <w:rPr>
                <w:rFonts w:ascii="Arial Narrow" w:hAnsi="Arial Narrow"/>
                <w:sz w:val="18"/>
                <w:szCs w:val="18"/>
              </w:rPr>
              <w:t>No data</w:t>
            </w:r>
          </w:p>
        </w:tc>
        <w:tc>
          <w:tcPr>
            <w:tcW w:w="283" w:type="pct"/>
          </w:tcPr>
          <w:p w14:paraId="5AC8C303" w14:textId="77777777"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2EE299F" w14:textId="77777777" w:rsidR="001E222B" w:rsidRPr="007348FD" w:rsidRDefault="001E222B" w:rsidP="00591CBB">
            <w:pPr>
              <w:spacing w:after="160" w:line="259" w:lineRule="auto"/>
              <w:rPr>
                <w:rFonts w:ascii="Arial Narrow" w:hAnsi="Arial Narrow"/>
                <w:sz w:val="18"/>
                <w:szCs w:val="18"/>
              </w:rPr>
            </w:pPr>
          </w:p>
        </w:tc>
        <w:tc>
          <w:tcPr>
            <w:tcW w:w="149" w:type="pct"/>
          </w:tcPr>
          <w:p w14:paraId="65BFA94D" w14:textId="77777777"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4CEE86F" w14:textId="77777777" w:rsidR="001E222B" w:rsidRPr="007348FD" w:rsidRDefault="001E222B" w:rsidP="00591CBB">
            <w:pPr>
              <w:spacing w:after="160" w:line="259" w:lineRule="auto"/>
              <w:rPr>
                <w:rFonts w:ascii="Arial Narrow" w:hAnsi="Arial Narrow"/>
                <w:sz w:val="18"/>
                <w:szCs w:val="18"/>
              </w:rPr>
            </w:pPr>
          </w:p>
        </w:tc>
        <w:tc>
          <w:tcPr>
            <w:tcW w:w="214" w:type="pct"/>
          </w:tcPr>
          <w:p w14:paraId="10B7AEA9" w14:textId="69CEA70B"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CAR</w:t>
            </w:r>
          </w:p>
        </w:tc>
        <w:tc>
          <w:tcPr>
            <w:cnfStyle w:val="000010000000" w:firstRow="0" w:lastRow="0" w:firstColumn="0" w:lastColumn="0" w:oddVBand="1" w:evenVBand="0" w:oddHBand="0" w:evenHBand="0" w:firstRowFirstColumn="0" w:firstRowLastColumn="0" w:lastRowFirstColumn="0" w:lastRowLastColumn="0"/>
            <w:tcW w:w="245" w:type="pct"/>
          </w:tcPr>
          <w:p w14:paraId="71B4560B" w14:textId="0A90F3C0" w:rsidR="001E222B" w:rsidRPr="007348FD" w:rsidRDefault="001E222B" w:rsidP="00591CBB">
            <w:pPr>
              <w:spacing w:after="160" w:line="259" w:lineRule="auto"/>
              <w:rPr>
                <w:rFonts w:ascii="Arial Narrow" w:hAnsi="Arial Narrow"/>
                <w:sz w:val="18"/>
                <w:szCs w:val="18"/>
              </w:rPr>
            </w:pPr>
            <w:r>
              <w:rPr>
                <w:rFonts w:ascii="Arial Narrow" w:hAnsi="Arial Narrow"/>
                <w:sz w:val="18"/>
                <w:szCs w:val="18"/>
              </w:rPr>
              <w:t>CAR</w:t>
            </w:r>
          </w:p>
        </w:tc>
        <w:tc>
          <w:tcPr>
            <w:tcW w:w="280" w:type="pct"/>
          </w:tcPr>
          <w:p w14:paraId="2E55DD3B" w14:textId="49172982" w:rsidR="001E222B" w:rsidRPr="007348FD" w:rsidRDefault="001E222B"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CAR</w:t>
            </w:r>
          </w:p>
        </w:tc>
      </w:tr>
      <w:tr w:rsidR="00637BF8" w:rsidRPr="00591CBB" w14:paraId="09F549C7" w14:textId="77777777" w:rsidTr="00051F27">
        <w:trPr>
          <w:trHeight w:val="228"/>
        </w:trPr>
        <w:tc>
          <w:tcPr>
            <w:cnfStyle w:val="000010000000" w:firstRow="0" w:lastRow="0" w:firstColumn="0" w:lastColumn="0" w:oddVBand="1" w:evenVBand="0" w:oddHBand="0" w:evenHBand="0" w:firstRowFirstColumn="0" w:firstRowLastColumn="0" w:lastRowFirstColumn="0" w:lastRowLastColumn="0"/>
            <w:tcW w:w="432" w:type="pct"/>
          </w:tcPr>
          <w:p w14:paraId="3566D969" w14:textId="77777777" w:rsidR="00095411" w:rsidRPr="007348FD" w:rsidRDefault="00095411" w:rsidP="00591CBB">
            <w:pPr>
              <w:spacing w:after="160" w:line="259" w:lineRule="auto"/>
              <w:rPr>
                <w:rFonts w:ascii="Arial Narrow" w:hAnsi="Arial Narrow"/>
                <w:sz w:val="18"/>
                <w:szCs w:val="18"/>
              </w:rPr>
            </w:pPr>
          </w:p>
        </w:tc>
        <w:tc>
          <w:tcPr>
            <w:tcW w:w="460" w:type="pct"/>
          </w:tcPr>
          <w:p w14:paraId="45AF5ED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3D66C2B"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400967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4A0CCAE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59871C0" w14:textId="3841A968"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6450A086" w14:textId="77777777" w:rsidR="00095411" w:rsidRPr="007348FD" w:rsidRDefault="00095411" w:rsidP="00591CBB">
            <w:pPr>
              <w:spacing w:after="160" w:line="259" w:lineRule="auto"/>
              <w:rPr>
                <w:rFonts w:ascii="Arial Narrow" w:hAnsi="Arial Narrow"/>
                <w:sz w:val="18"/>
                <w:szCs w:val="18"/>
              </w:rPr>
            </w:pPr>
          </w:p>
        </w:tc>
        <w:tc>
          <w:tcPr>
            <w:tcW w:w="298" w:type="pct"/>
          </w:tcPr>
          <w:p w14:paraId="042B235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500</w:t>
            </w:r>
          </w:p>
        </w:tc>
        <w:tc>
          <w:tcPr>
            <w:cnfStyle w:val="000010000000" w:firstRow="0" w:lastRow="0" w:firstColumn="0" w:lastColumn="0" w:oddVBand="1" w:evenVBand="0" w:oddHBand="0" w:evenHBand="0" w:firstRowFirstColumn="0" w:firstRowLastColumn="0" w:lastRowFirstColumn="0" w:lastRowLastColumn="0"/>
            <w:tcW w:w="197" w:type="pct"/>
          </w:tcPr>
          <w:p w14:paraId="05F7F20A" w14:textId="77777777" w:rsidR="00095411" w:rsidRPr="007348FD" w:rsidRDefault="00095411" w:rsidP="00591CBB">
            <w:pPr>
              <w:spacing w:after="160" w:line="259" w:lineRule="auto"/>
              <w:rPr>
                <w:rFonts w:ascii="Arial Narrow" w:hAnsi="Arial Narrow"/>
                <w:sz w:val="18"/>
                <w:szCs w:val="18"/>
              </w:rPr>
            </w:pPr>
          </w:p>
        </w:tc>
        <w:tc>
          <w:tcPr>
            <w:tcW w:w="273" w:type="pct"/>
          </w:tcPr>
          <w:p w14:paraId="140D21E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6DA8491" w14:textId="77777777" w:rsidR="00095411" w:rsidRPr="007348FD" w:rsidRDefault="00095411" w:rsidP="00591CBB">
            <w:pPr>
              <w:spacing w:after="160" w:line="259" w:lineRule="auto"/>
              <w:rPr>
                <w:rFonts w:ascii="Arial Narrow" w:hAnsi="Arial Narrow"/>
                <w:sz w:val="18"/>
                <w:szCs w:val="18"/>
              </w:rPr>
            </w:pPr>
          </w:p>
        </w:tc>
        <w:tc>
          <w:tcPr>
            <w:tcW w:w="283" w:type="pct"/>
          </w:tcPr>
          <w:p w14:paraId="181C8CD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A54BA20" w14:textId="77777777" w:rsidR="00095411" w:rsidRPr="007348FD" w:rsidRDefault="00095411" w:rsidP="00591CBB">
            <w:pPr>
              <w:spacing w:after="160" w:line="259" w:lineRule="auto"/>
              <w:rPr>
                <w:rFonts w:ascii="Arial Narrow" w:hAnsi="Arial Narrow"/>
                <w:sz w:val="18"/>
                <w:szCs w:val="18"/>
              </w:rPr>
            </w:pPr>
          </w:p>
        </w:tc>
        <w:tc>
          <w:tcPr>
            <w:tcW w:w="149" w:type="pct"/>
          </w:tcPr>
          <w:p w14:paraId="3F752E2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D7931F1" w14:textId="77777777" w:rsidR="00095411" w:rsidRPr="007348FD" w:rsidRDefault="00095411" w:rsidP="00591CBB">
            <w:pPr>
              <w:spacing w:after="160" w:line="259" w:lineRule="auto"/>
              <w:rPr>
                <w:rFonts w:ascii="Arial Narrow" w:hAnsi="Arial Narrow"/>
                <w:sz w:val="18"/>
                <w:szCs w:val="18"/>
              </w:rPr>
            </w:pPr>
          </w:p>
        </w:tc>
        <w:tc>
          <w:tcPr>
            <w:tcW w:w="214" w:type="pct"/>
          </w:tcPr>
          <w:p w14:paraId="7D7DA9D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58EA6FC8" w14:textId="77777777" w:rsidR="00095411" w:rsidRPr="007348FD" w:rsidRDefault="00095411" w:rsidP="00591CBB">
            <w:pPr>
              <w:spacing w:after="160" w:line="259" w:lineRule="auto"/>
              <w:rPr>
                <w:rFonts w:ascii="Arial Narrow" w:hAnsi="Arial Narrow"/>
                <w:sz w:val="18"/>
                <w:szCs w:val="18"/>
              </w:rPr>
            </w:pPr>
          </w:p>
        </w:tc>
        <w:tc>
          <w:tcPr>
            <w:tcW w:w="280" w:type="pct"/>
          </w:tcPr>
          <w:p w14:paraId="2B43068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637BF8" w:rsidRPr="00591CBB" w14:paraId="797250CF" w14:textId="77777777" w:rsidTr="00051F27">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432" w:type="pct"/>
          </w:tcPr>
          <w:p w14:paraId="221C0FB7" w14:textId="77777777" w:rsidR="00095411" w:rsidRPr="007348FD" w:rsidRDefault="00095411" w:rsidP="00591CBB">
            <w:pPr>
              <w:spacing w:after="160" w:line="259" w:lineRule="auto"/>
              <w:rPr>
                <w:rFonts w:ascii="Arial Narrow" w:hAnsi="Arial Narrow"/>
                <w:sz w:val="18"/>
                <w:szCs w:val="18"/>
              </w:rPr>
            </w:pPr>
          </w:p>
        </w:tc>
        <w:tc>
          <w:tcPr>
            <w:tcW w:w="460" w:type="pct"/>
          </w:tcPr>
          <w:p w14:paraId="2993B0B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1EEBF56"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F2F06D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19BB0F2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2A25E2E3" w14:textId="1B68ACD4"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0A7DD93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1902AFA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10030</w:t>
            </w:r>
          </w:p>
        </w:tc>
        <w:tc>
          <w:tcPr>
            <w:cnfStyle w:val="000010000000" w:firstRow="0" w:lastRow="0" w:firstColumn="0" w:lastColumn="0" w:oddVBand="1" w:evenVBand="0" w:oddHBand="0" w:evenHBand="0" w:firstRowFirstColumn="0" w:firstRowLastColumn="0" w:lastRowFirstColumn="0" w:lastRowLastColumn="0"/>
            <w:tcW w:w="197" w:type="pct"/>
          </w:tcPr>
          <w:p w14:paraId="171A6F7E" w14:textId="77777777" w:rsidR="00095411" w:rsidRPr="007348FD" w:rsidRDefault="00095411" w:rsidP="00591CBB">
            <w:pPr>
              <w:spacing w:after="160" w:line="259" w:lineRule="auto"/>
              <w:rPr>
                <w:rFonts w:ascii="Arial Narrow" w:hAnsi="Arial Narrow"/>
                <w:sz w:val="18"/>
                <w:szCs w:val="18"/>
              </w:rPr>
            </w:pPr>
          </w:p>
        </w:tc>
        <w:tc>
          <w:tcPr>
            <w:tcW w:w="273" w:type="pct"/>
          </w:tcPr>
          <w:p w14:paraId="6C3400F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2006%</w:t>
            </w:r>
          </w:p>
        </w:tc>
        <w:tc>
          <w:tcPr>
            <w:cnfStyle w:val="000010000000" w:firstRow="0" w:lastRow="0" w:firstColumn="0" w:lastColumn="0" w:oddVBand="1" w:evenVBand="0" w:oddHBand="0" w:evenHBand="0" w:firstRowFirstColumn="0" w:firstRowLastColumn="0" w:lastRowFirstColumn="0" w:lastRowLastColumn="0"/>
            <w:tcW w:w="285" w:type="pct"/>
          </w:tcPr>
          <w:p w14:paraId="2216463F" w14:textId="77777777" w:rsidR="00095411" w:rsidRPr="007348FD" w:rsidRDefault="00095411" w:rsidP="00591CBB">
            <w:pPr>
              <w:spacing w:after="160" w:line="259" w:lineRule="auto"/>
              <w:rPr>
                <w:rFonts w:ascii="Arial Narrow" w:hAnsi="Arial Narrow"/>
                <w:sz w:val="18"/>
                <w:szCs w:val="18"/>
              </w:rPr>
            </w:pPr>
          </w:p>
        </w:tc>
        <w:tc>
          <w:tcPr>
            <w:tcW w:w="283" w:type="pct"/>
          </w:tcPr>
          <w:p w14:paraId="4B91A70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DC227C4" w14:textId="77777777" w:rsidR="00095411" w:rsidRPr="007348FD" w:rsidRDefault="00095411" w:rsidP="00591CBB">
            <w:pPr>
              <w:spacing w:after="160" w:line="259" w:lineRule="auto"/>
              <w:rPr>
                <w:rFonts w:ascii="Arial Narrow" w:hAnsi="Arial Narrow"/>
                <w:sz w:val="18"/>
                <w:szCs w:val="18"/>
              </w:rPr>
            </w:pPr>
          </w:p>
        </w:tc>
        <w:tc>
          <w:tcPr>
            <w:tcW w:w="149" w:type="pct"/>
          </w:tcPr>
          <w:p w14:paraId="0C7C4AB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74B376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3B98697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CAR</w:t>
            </w:r>
          </w:p>
        </w:tc>
        <w:tc>
          <w:tcPr>
            <w:cnfStyle w:val="000010000000" w:firstRow="0" w:lastRow="0" w:firstColumn="0" w:lastColumn="0" w:oddVBand="1" w:evenVBand="0" w:oddHBand="0" w:evenHBand="0" w:firstRowFirstColumn="0" w:firstRowLastColumn="0" w:lastRowFirstColumn="0" w:lastRowLastColumn="0"/>
            <w:tcW w:w="245" w:type="pct"/>
          </w:tcPr>
          <w:p w14:paraId="6112E34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CAR</w:t>
            </w:r>
          </w:p>
        </w:tc>
        <w:tc>
          <w:tcPr>
            <w:tcW w:w="280" w:type="pct"/>
          </w:tcPr>
          <w:p w14:paraId="51EA0834" w14:textId="48768DF4"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CAR</w:t>
            </w:r>
          </w:p>
        </w:tc>
      </w:tr>
      <w:tr w:rsidR="00637BF8" w:rsidRPr="00591CBB" w14:paraId="22980EBF"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3193091D" w14:textId="77777777" w:rsidR="00095411" w:rsidRPr="007348FD" w:rsidRDefault="00095411" w:rsidP="00591CBB">
            <w:pPr>
              <w:spacing w:after="160" w:line="259" w:lineRule="auto"/>
              <w:rPr>
                <w:rFonts w:ascii="Arial Narrow" w:hAnsi="Arial Narrow"/>
                <w:sz w:val="18"/>
                <w:szCs w:val="18"/>
              </w:rPr>
            </w:pPr>
          </w:p>
        </w:tc>
        <w:tc>
          <w:tcPr>
            <w:tcW w:w="460" w:type="pct"/>
          </w:tcPr>
          <w:p w14:paraId="70D1775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17. FLE delivered in all countries meets international standards (assess through spot checks and more systematic means)</w:t>
            </w:r>
          </w:p>
        </w:tc>
        <w:tc>
          <w:tcPr>
            <w:cnfStyle w:val="000010000000" w:firstRow="0" w:lastRow="0" w:firstColumn="0" w:lastColumn="0" w:oddVBand="1" w:evenVBand="0" w:oddHBand="0" w:evenHBand="0" w:firstRowFirstColumn="0" w:firstRowLastColumn="0" w:lastRowFirstColumn="0" w:lastRowLastColumn="0"/>
            <w:tcW w:w="371" w:type="pct"/>
          </w:tcPr>
          <w:p w14:paraId="2EDD6F8C"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t>Yes</w:t>
            </w:r>
          </w:p>
        </w:tc>
        <w:tc>
          <w:tcPr>
            <w:tcW w:w="341" w:type="pct"/>
          </w:tcPr>
          <w:p w14:paraId="000D276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7F41C7B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13AD5038" w14:textId="47E38A69"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7AEB37D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2CCAA6F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75733FD8" w14:textId="77777777" w:rsidR="00095411" w:rsidRPr="007348FD" w:rsidRDefault="00095411" w:rsidP="00591CBB">
            <w:pPr>
              <w:spacing w:after="160" w:line="259" w:lineRule="auto"/>
              <w:rPr>
                <w:rFonts w:ascii="Arial Narrow" w:hAnsi="Arial Narrow"/>
                <w:sz w:val="18"/>
                <w:szCs w:val="18"/>
              </w:rPr>
            </w:pPr>
          </w:p>
        </w:tc>
        <w:tc>
          <w:tcPr>
            <w:tcW w:w="273" w:type="pct"/>
          </w:tcPr>
          <w:p w14:paraId="6165289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0D2407C" w14:textId="77777777" w:rsidR="00095411" w:rsidRPr="007348FD" w:rsidRDefault="00095411" w:rsidP="00591CBB">
            <w:pPr>
              <w:spacing w:after="160" w:line="259" w:lineRule="auto"/>
              <w:rPr>
                <w:rFonts w:ascii="Arial Narrow" w:hAnsi="Arial Narrow"/>
                <w:sz w:val="18"/>
                <w:szCs w:val="18"/>
              </w:rPr>
            </w:pPr>
          </w:p>
        </w:tc>
        <w:tc>
          <w:tcPr>
            <w:tcW w:w="283" w:type="pct"/>
          </w:tcPr>
          <w:p w14:paraId="1D00878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85CF009" w14:textId="77777777" w:rsidR="00095411" w:rsidRPr="007348FD" w:rsidRDefault="00095411" w:rsidP="00591CBB">
            <w:pPr>
              <w:spacing w:after="160" w:line="259" w:lineRule="auto"/>
              <w:rPr>
                <w:rFonts w:ascii="Arial Narrow" w:hAnsi="Arial Narrow"/>
                <w:sz w:val="18"/>
                <w:szCs w:val="18"/>
              </w:rPr>
            </w:pPr>
          </w:p>
        </w:tc>
        <w:tc>
          <w:tcPr>
            <w:tcW w:w="149" w:type="pct"/>
          </w:tcPr>
          <w:p w14:paraId="6071570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723BFB0" w14:textId="77777777" w:rsidR="00095411" w:rsidRPr="007348FD" w:rsidRDefault="00095411" w:rsidP="00591CBB">
            <w:pPr>
              <w:spacing w:after="160" w:line="259" w:lineRule="auto"/>
              <w:rPr>
                <w:rFonts w:ascii="Arial Narrow" w:hAnsi="Arial Narrow"/>
                <w:sz w:val="18"/>
                <w:szCs w:val="18"/>
              </w:rPr>
            </w:pPr>
          </w:p>
        </w:tc>
        <w:tc>
          <w:tcPr>
            <w:tcW w:w="214" w:type="pct"/>
          </w:tcPr>
          <w:p w14:paraId="317DCC9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421E3D8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15ADF0D2" w14:textId="45636CBC"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04873C1F"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3E7A6BC9" w14:textId="77777777" w:rsidR="00095411" w:rsidRPr="007348FD" w:rsidRDefault="00095411" w:rsidP="00591CBB">
            <w:pPr>
              <w:spacing w:after="160" w:line="259" w:lineRule="auto"/>
              <w:rPr>
                <w:rFonts w:ascii="Arial Narrow" w:hAnsi="Arial Narrow"/>
                <w:sz w:val="18"/>
                <w:szCs w:val="18"/>
              </w:rPr>
            </w:pPr>
          </w:p>
        </w:tc>
        <w:tc>
          <w:tcPr>
            <w:tcW w:w="460" w:type="pct"/>
          </w:tcPr>
          <w:p w14:paraId="7985D2E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DF92D22"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B4527D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2715A58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047B871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11FADB9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5FC7265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7615D1EE" w14:textId="77777777" w:rsidR="00095411" w:rsidRPr="007348FD" w:rsidRDefault="00095411" w:rsidP="00591CBB">
            <w:pPr>
              <w:spacing w:after="160" w:line="259" w:lineRule="auto"/>
              <w:rPr>
                <w:rFonts w:ascii="Arial Narrow" w:hAnsi="Arial Narrow"/>
                <w:sz w:val="18"/>
                <w:szCs w:val="18"/>
              </w:rPr>
            </w:pPr>
          </w:p>
        </w:tc>
        <w:tc>
          <w:tcPr>
            <w:tcW w:w="273" w:type="pct"/>
          </w:tcPr>
          <w:p w14:paraId="3E2395D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7639299B" w14:textId="77777777" w:rsidR="00095411" w:rsidRPr="007348FD" w:rsidRDefault="00095411" w:rsidP="00591CBB">
            <w:pPr>
              <w:spacing w:after="160" w:line="259" w:lineRule="auto"/>
              <w:rPr>
                <w:rFonts w:ascii="Arial Narrow" w:hAnsi="Arial Narrow"/>
                <w:sz w:val="18"/>
                <w:szCs w:val="18"/>
              </w:rPr>
            </w:pPr>
          </w:p>
        </w:tc>
        <w:tc>
          <w:tcPr>
            <w:tcW w:w="283" w:type="pct"/>
          </w:tcPr>
          <w:p w14:paraId="09FE15D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398E717" w14:textId="77777777" w:rsidR="00095411" w:rsidRPr="007348FD" w:rsidRDefault="00095411" w:rsidP="00591CBB">
            <w:pPr>
              <w:spacing w:after="160" w:line="259" w:lineRule="auto"/>
              <w:rPr>
                <w:rFonts w:ascii="Arial Narrow" w:hAnsi="Arial Narrow"/>
                <w:sz w:val="18"/>
                <w:szCs w:val="18"/>
              </w:rPr>
            </w:pPr>
          </w:p>
        </w:tc>
        <w:tc>
          <w:tcPr>
            <w:tcW w:w="149" w:type="pct"/>
          </w:tcPr>
          <w:p w14:paraId="4BE6659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60D39AEE" w14:textId="77777777" w:rsidR="00095411" w:rsidRPr="007348FD" w:rsidRDefault="00095411" w:rsidP="00591CBB">
            <w:pPr>
              <w:spacing w:after="160" w:line="259" w:lineRule="auto"/>
              <w:rPr>
                <w:rFonts w:ascii="Arial Narrow" w:hAnsi="Arial Narrow"/>
                <w:sz w:val="18"/>
                <w:szCs w:val="18"/>
              </w:rPr>
            </w:pPr>
          </w:p>
        </w:tc>
        <w:tc>
          <w:tcPr>
            <w:tcW w:w="214" w:type="pct"/>
          </w:tcPr>
          <w:p w14:paraId="30EB973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591420DF" w14:textId="77777777" w:rsidR="00095411" w:rsidRPr="007348FD" w:rsidRDefault="00095411" w:rsidP="00591CBB">
            <w:pPr>
              <w:spacing w:after="160" w:line="259" w:lineRule="auto"/>
              <w:rPr>
                <w:rFonts w:ascii="Arial Narrow" w:hAnsi="Arial Narrow"/>
                <w:sz w:val="18"/>
                <w:szCs w:val="18"/>
              </w:rPr>
            </w:pPr>
          </w:p>
        </w:tc>
        <w:tc>
          <w:tcPr>
            <w:tcW w:w="280" w:type="pct"/>
          </w:tcPr>
          <w:p w14:paraId="08E059C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23E42BBB"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531A31A0" w14:textId="77777777" w:rsidR="00095411" w:rsidRPr="007348FD" w:rsidRDefault="00095411" w:rsidP="00591CBB">
            <w:pPr>
              <w:spacing w:after="160" w:line="259" w:lineRule="auto"/>
              <w:rPr>
                <w:rFonts w:ascii="Arial Narrow" w:hAnsi="Arial Narrow"/>
                <w:sz w:val="18"/>
                <w:szCs w:val="18"/>
              </w:rPr>
            </w:pPr>
          </w:p>
        </w:tc>
        <w:tc>
          <w:tcPr>
            <w:tcW w:w="460" w:type="pct"/>
          </w:tcPr>
          <w:p w14:paraId="2EEEA21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3CD1377"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D707E2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52DACD9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1FA50B78" w14:textId="10EC4334"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19B5B7E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6B5C494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4E73B2AF" w14:textId="77777777" w:rsidR="00095411" w:rsidRPr="007348FD" w:rsidRDefault="00095411" w:rsidP="00591CBB">
            <w:pPr>
              <w:spacing w:after="160" w:line="259" w:lineRule="auto"/>
              <w:rPr>
                <w:rFonts w:ascii="Arial Narrow" w:hAnsi="Arial Narrow"/>
                <w:sz w:val="18"/>
                <w:szCs w:val="18"/>
              </w:rPr>
            </w:pPr>
          </w:p>
        </w:tc>
        <w:tc>
          <w:tcPr>
            <w:tcW w:w="273" w:type="pct"/>
          </w:tcPr>
          <w:p w14:paraId="479ABC8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63EDEBC" w14:textId="77777777" w:rsidR="00095411" w:rsidRPr="007348FD" w:rsidRDefault="00095411" w:rsidP="00591CBB">
            <w:pPr>
              <w:spacing w:after="160" w:line="259" w:lineRule="auto"/>
              <w:rPr>
                <w:rFonts w:ascii="Arial Narrow" w:hAnsi="Arial Narrow"/>
                <w:sz w:val="18"/>
                <w:szCs w:val="18"/>
              </w:rPr>
            </w:pPr>
          </w:p>
        </w:tc>
        <w:tc>
          <w:tcPr>
            <w:tcW w:w="283" w:type="pct"/>
          </w:tcPr>
          <w:p w14:paraId="04F3906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EF7FC3E" w14:textId="77777777" w:rsidR="00095411" w:rsidRPr="007348FD" w:rsidRDefault="00095411" w:rsidP="00591CBB">
            <w:pPr>
              <w:spacing w:after="160" w:line="259" w:lineRule="auto"/>
              <w:rPr>
                <w:rFonts w:ascii="Arial Narrow" w:hAnsi="Arial Narrow"/>
                <w:sz w:val="18"/>
                <w:szCs w:val="18"/>
              </w:rPr>
            </w:pPr>
          </w:p>
        </w:tc>
        <w:tc>
          <w:tcPr>
            <w:tcW w:w="149" w:type="pct"/>
          </w:tcPr>
          <w:p w14:paraId="5A947FC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DF80543" w14:textId="77777777" w:rsidR="00095411" w:rsidRPr="007348FD" w:rsidRDefault="00095411" w:rsidP="00591CBB">
            <w:pPr>
              <w:spacing w:after="160" w:line="259" w:lineRule="auto"/>
              <w:rPr>
                <w:rFonts w:ascii="Arial Narrow" w:hAnsi="Arial Narrow"/>
                <w:sz w:val="18"/>
                <w:szCs w:val="18"/>
              </w:rPr>
            </w:pPr>
          </w:p>
        </w:tc>
        <w:tc>
          <w:tcPr>
            <w:tcW w:w="214" w:type="pct"/>
          </w:tcPr>
          <w:p w14:paraId="7EEEA5B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2459520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6C5ADFF5" w14:textId="7C3F1731"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38E4AF97"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036E6D3E" w14:textId="77777777" w:rsidR="00095411" w:rsidRPr="007348FD" w:rsidRDefault="00095411" w:rsidP="00591CBB">
            <w:pPr>
              <w:spacing w:after="160" w:line="259" w:lineRule="auto"/>
              <w:rPr>
                <w:rFonts w:ascii="Arial Narrow" w:hAnsi="Arial Narrow"/>
                <w:sz w:val="18"/>
                <w:szCs w:val="18"/>
              </w:rPr>
            </w:pPr>
          </w:p>
        </w:tc>
        <w:tc>
          <w:tcPr>
            <w:tcW w:w="460" w:type="pct"/>
          </w:tcPr>
          <w:p w14:paraId="3E61A1D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28B79EB"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BD1160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1F469C0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72DB924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6C87854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2612078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1CB7D289" w14:textId="77777777" w:rsidR="00095411" w:rsidRPr="007348FD" w:rsidRDefault="00095411" w:rsidP="00591CBB">
            <w:pPr>
              <w:spacing w:after="160" w:line="259" w:lineRule="auto"/>
              <w:rPr>
                <w:rFonts w:ascii="Arial Narrow" w:hAnsi="Arial Narrow"/>
                <w:sz w:val="18"/>
                <w:szCs w:val="18"/>
              </w:rPr>
            </w:pPr>
          </w:p>
        </w:tc>
        <w:tc>
          <w:tcPr>
            <w:tcW w:w="273" w:type="pct"/>
          </w:tcPr>
          <w:p w14:paraId="53149B5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85" w:type="pct"/>
          </w:tcPr>
          <w:p w14:paraId="58988D68" w14:textId="77777777" w:rsidR="00095411" w:rsidRPr="007348FD" w:rsidRDefault="00095411" w:rsidP="00591CBB">
            <w:pPr>
              <w:spacing w:after="160" w:line="259" w:lineRule="auto"/>
              <w:rPr>
                <w:rFonts w:ascii="Arial Narrow" w:hAnsi="Arial Narrow"/>
                <w:sz w:val="18"/>
                <w:szCs w:val="18"/>
              </w:rPr>
            </w:pPr>
          </w:p>
        </w:tc>
        <w:tc>
          <w:tcPr>
            <w:tcW w:w="283" w:type="pct"/>
          </w:tcPr>
          <w:p w14:paraId="6F75B41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118A79A6" w14:textId="77777777" w:rsidR="00095411" w:rsidRPr="007348FD" w:rsidRDefault="00095411" w:rsidP="00591CBB">
            <w:pPr>
              <w:spacing w:after="160" w:line="259" w:lineRule="auto"/>
              <w:rPr>
                <w:rFonts w:ascii="Arial Narrow" w:hAnsi="Arial Narrow"/>
                <w:sz w:val="18"/>
                <w:szCs w:val="18"/>
              </w:rPr>
            </w:pPr>
          </w:p>
        </w:tc>
        <w:tc>
          <w:tcPr>
            <w:tcW w:w="149" w:type="pct"/>
          </w:tcPr>
          <w:p w14:paraId="08699E1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6E18D99" w14:textId="77777777" w:rsidR="00095411" w:rsidRPr="007348FD" w:rsidRDefault="00095411" w:rsidP="00591CBB">
            <w:pPr>
              <w:spacing w:after="160" w:line="259" w:lineRule="auto"/>
              <w:rPr>
                <w:rFonts w:ascii="Arial Narrow" w:hAnsi="Arial Narrow"/>
                <w:sz w:val="18"/>
                <w:szCs w:val="18"/>
              </w:rPr>
            </w:pPr>
          </w:p>
        </w:tc>
        <w:tc>
          <w:tcPr>
            <w:tcW w:w="214" w:type="pct"/>
          </w:tcPr>
          <w:p w14:paraId="260212D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389A2118" w14:textId="77777777" w:rsidR="00095411" w:rsidRPr="007348FD" w:rsidRDefault="00095411" w:rsidP="00591CBB">
            <w:pPr>
              <w:spacing w:after="160" w:line="259" w:lineRule="auto"/>
              <w:rPr>
                <w:rFonts w:ascii="Arial Narrow" w:hAnsi="Arial Narrow"/>
                <w:sz w:val="18"/>
                <w:szCs w:val="18"/>
              </w:rPr>
            </w:pPr>
          </w:p>
        </w:tc>
        <w:tc>
          <w:tcPr>
            <w:tcW w:w="280" w:type="pct"/>
          </w:tcPr>
          <w:p w14:paraId="645F223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1B4DADB9"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38310FA5" w14:textId="77777777" w:rsidR="00095411" w:rsidRPr="007348FD" w:rsidRDefault="00095411" w:rsidP="00591CBB">
            <w:pPr>
              <w:spacing w:after="160" w:line="259" w:lineRule="auto"/>
              <w:rPr>
                <w:rFonts w:ascii="Arial Narrow" w:hAnsi="Arial Narrow"/>
                <w:sz w:val="18"/>
                <w:szCs w:val="18"/>
              </w:rPr>
            </w:pPr>
          </w:p>
        </w:tc>
        <w:tc>
          <w:tcPr>
            <w:tcW w:w="460" w:type="pct"/>
          </w:tcPr>
          <w:p w14:paraId="4D31F3F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06978CB"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94BB55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51F62E5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878FA9D" w14:textId="40FD56C2"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4433265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795382A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13C7CB03" w14:textId="77777777" w:rsidR="00095411" w:rsidRPr="007348FD" w:rsidRDefault="00095411" w:rsidP="00591CBB">
            <w:pPr>
              <w:spacing w:after="160" w:line="259" w:lineRule="auto"/>
              <w:rPr>
                <w:rFonts w:ascii="Arial Narrow" w:hAnsi="Arial Narrow"/>
                <w:sz w:val="18"/>
                <w:szCs w:val="18"/>
              </w:rPr>
            </w:pPr>
          </w:p>
        </w:tc>
        <w:tc>
          <w:tcPr>
            <w:tcW w:w="273" w:type="pct"/>
          </w:tcPr>
          <w:p w14:paraId="72C3E84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0B238B1" w14:textId="77777777" w:rsidR="00095411" w:rsidRPr="007348FD" w:rsidRDefault="00095411" w:rsidP="00591CBB">
            <w:pPr>
              <w:spacing w:after="160" w:line="259" w:lineRule="auto"/>
              <w:rPr>
                <w:rFonts w:ascii="Arial Narrow" w:hAnsi="Arial Narrow"/>
                <w:sz w:val="18"/>
                <w:szCs w:val="18"/>
              </w:rPr>
            </w:pPr>
          </w:p>
        </w:tc>
        <w:tc>
          <w:tcPr>
            <w:tcW w:w="283" w:type="pct"/>
          </w:tcPr>
          <w:p w14:paraId="3035BCF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89E067A" w14:textId="77777777" w:rsidR="00095411" w:rsidRPr="007348FD" w:rsidRDefault="00095411" w:rsidP="00591CBB">
            <w:pPr>
              <w:spacing w:after="160" w:line="259" w:lineRule="auto"/>
              <w:rPr>
                <w:rFonts w:ascii="Arial Narrow" w:hAnsi="Arial Narrow"/>
                <w:sz w:val="18"/>
                <w:szCs w:val="18"/>
              </w:rPr>
            </w:pPr>
          </w:p>
        </w:tc>
        <w:tc>
          <w:tcPr>
            <w:tcW w:w="149" w:type="pct"/>
          </w:tcPr>
          <w:p w14:paraId="016B2E2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7D60149" w14:textId="77777777" w:rsidR="00095411" w:rsidRPr="007348FD" w:rsidRDefault="00095411" w:rsidP="00591CBB">
            <w:pPr>
              <w:spacing w:after="160" w:line="259" w:lineRule="auto"/>
              <w:rPr>
                <w:rFonts w:ascii="Arial Narrow" w:hAnsi="Arial Narrow"/>
                <w:sz w:val="18"/>
                <w:szCs w:val="18"/>
              </w:rPr>
            </w:pPr>
          </w:p>
        </w:tc>
        <w:tc>
          <w:tcPr>
            <w:tcW w:w="214" w:type="pct"/>
          </w:tcPr>
          <w:p w14:paraId="37FBF7B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585AA3D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7565A385" w14:textId="682A1D91"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6BF3001E"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0E0E484F" w14:textId="77777777" w:rsidR="00095411" w:rsidRPr="007348FD" w:rsidRDefault="00095411" w:rsidP="00591CBB">
            <w:pPr>
              <w:spacing w:after="160" w:line="259" w:lineRule="auto"/>
              <w:rPr>
                <w:rFonts w:ascii="Arial Narrow" w:hAnsi="Arial Narrow"/>
                <w:sz w:val="18"/>
                <w:szCs w:val="18"/>
              </w:rPr>
            </w:pPr>
          </w:p>
        </w:tc>
        <w:tc>
          <w:tcPr>
            <w:tcW w:w="460" w:type="pct"/>
          </w:tcPr>
          <w:p w14:paraId="54F8B7B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4ACF073"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991471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5620D7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0DAC21B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1F974BB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0A418A1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0F5AAA69" w14:textId="77777777" w:rsidR="00095411" w:rsidRPr="007348FD" w:rsidRDefault="00095411" w:rsidP="00591CBB">
            <w:pPr>
              <w:spacing w:after="160" w:line="259" w:lineRule="auto"/>
              <w:rPr>
                <w:rFonts w:ascii="Arial Narrow" w:hAnsi="Arial Narrow"/>
                <w:sz w:val="18"/>
                <w:szCs w:val="18"/>
              </w:rPr>
            </w:pPr>
          </w:p>
        </w:tc>
        <w:tc>
          <w:tcPr>
            <w:tcW w:w="273" w:type="pct"/>
          </w:tcPr>
          <w:p w14:paraId="244837C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019027D5" w14:textId="77777777" w:rsidR="00095411" w:rsidRPr="007348FD" w:rsidRDefault="00095411" w:rsidP="00591CBB">
            <w:pPr>
              <w:spacing w:after="160" w:line="259" w:lineRule="auto"/>
              <w:rPr>
                <w:rFonts w:ascii="Arial Narrow" w:hAnsi="Arial Narrow"/>
                <w:sz w:val="18"/>
                <w:szCs w:val="18"/>
              </w:rPr>
            </w:pPr>
          </w:p>
        </w:tc>
        <w:tc>
          <w:tcPr>
            <w:tcW w:w="283" w:type="pct"/>
          </w:tcPr>
          <w:p w14:paraId="1254D0C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AD91C55" w14:textId="77777777" w:rsidR="00095411" w:rsidRPr="007348FD" w:rsidRDefault="00095411" w:rsidP="00591CBB">
            <w:pPr>
              <w:spacing w:after="160" w:line="259" w:lineRule="auto"/>
              <w:rPr>
                <w:rFonts w:ascii="Arial Narrow" w:hAnsi="Arial Narrow"/>
                <w:sz w:val="18"/>
                <w:szCs w:val="18"/>
              </w:rPr>
            </w:pPr>
          </w:p>
        </w:tc>
        <w:tc>
          <w:tcPr>
            <w:tcW w:w="149" w:type="pct"/>
          </w:tcPr>
          <w:p w14:paraId="5620D24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442F53B8" w14:textId="77777777" w:rsidR="00095411" w:rsidRPr="007348FD" w:rsidRDefault="00095411" w:rsidP="00591CBB">
            <w:pPr>
              <w:spacing w:after="160" w:line="259" w:lineRule="auto"/>
              <w:rPr>
                <w:rFonts w:ascii="Arial Narrow" w:hAnsi="Arial Narrow"/>
                <w:sz w:val="18"/>
                <w:szCs w:val="18"/>
              </w:rPr>
            </w:pPr>
          </w:p>
        </w:tc>
        <w:tc>
          <w:tcPr>
            <w:tcW w:w="214" w:type="pct"/>
          </w:tcPr>
          <w:p w14:paraId="66AB8B9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45" w:type="pct"/>
          </w:tcPr>
          <w:p w14:paraId="5E170036" w14:textId="77777777" w:rsidR="00095411" w:rsidRPr="007348FD" w:rsidRDefault="00095411" w:rsidP="00591CBB">
            <w:pPr>
              <w:spacing w:after="160" w:line="259" w:lineRule="auto"/>
              <w:rPr>
                <w:rFonts w:ascii="Arial Narrow" w:hAnsi="Arial Narrow"/>
                <w:sz w:val="18"/>
                <w:szCs w:val="18"/>
              </w:rPr>
            </w:pPr>
          </w:p>
        </w:tc>
        <w:tc>
          <w:tcPr>
            <w:tcW w:w="280" w:type="pct"/>
          </w:tcPr>
          <w:p w14:paraId="2A280CB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6D3C14E9"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64586DB7" w14:textId="77777777" w:rsidR="00095411" w:rsidRPr="007348FD" w:rsidRDefault="00095411" w:rsidP="00591CBB">
            <w:pPr>
              <w:spacing w:after="160" w:line="259" w:lineRule="auto"/>
              <w:rPr>
                <w:rFonts w:ascii="Arial Narrow" w:hAnsi="Arial Narrow"/>
                <w:sz w:val="18"/>
                <w:szCs w:val="18"/>
              </w:rPr>
            </w:pPr>
          </w:p>
        </w:tc>
        <w:tc>
          <w:tcPr>
            <w:tcW w:w="460" w:type="pct"/>
          </w:tcPr>
          <w:p w14:paraId="2F75F83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BBF7386"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ABFC1F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4B70714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0980AB86" w14:textId="1BF970FE"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2840ED2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5DD6B0D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104BAA89" w14:textId="77777777" w:rsidR="00095411" w:rsidRPr="007348FD" w:rsidRDefault="00095411" w:rsidP="00591CBB">
            <w:pPr>
              <w:spacing w:after="160" w:line="259" w:lineRule="auto"/>
              <w:rPr>
                <w:rFonts w:ascii="Arial Narrow" w:hAnsi="Arial Narrow"/>
                <w:sz w:val="18"/>
                <w:szCs w:val="18"/>
              </w:rPr>
            </w:pPr>
          </w:p>
        </w:tc>
        <w:tc>
          <w:tcPr>
            <w:tcW w:w="273" w:type="pct"/>
          </w:tcPr>
          <w:p w14:paraId="41DA0F9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5956BDF" w14:textId="77777777" w:rsidR="00095411" w:rsidRPr="007348FD" w:rsidRDefault="00095411" w:rsidP="00591CBB">
            <w:pPr>
              <w:spacing w:after="160" w:line="259" w:lineRule="auto"/>
              <w:rPr>
                <w:rFonts w:ascii="Arial Narrow" w:hAnsi="Arial Narrow"/>
                <w:sz w:val="18"/>
                <w:szCs w:val="18"/>
              </w:rPr>
            </w:pPr>
          </w:p>
        </w:tc>
        <w:tc>
          <w:tcPr>
            <w:tcW w:w="283" w:type="pct"/>
          </w:tcPr>
          <w:p w14:paraId="30583D8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43E2782" w14:textId="77777777" w:rsidR="00095411" w:rsidRPr="007348FD" w:rsidRDefault="00095411" w:rsidP="00591CBB">
            <w:pPr>
              <w:spacing w:after="160" w:line="259" w:lineRule="auto"/>
              <w:rPr>
                <w:rFonts w:ascii="Arial Narrow" w:hAnsi="Arial Narrow"/>
                <w:sz w:val="18"/>
                <w:szCs w:val="18"/>
              </w:rPr>
            </w:pPr>
          </w:p>
        </w:tc>
        <w:tc>
          <w:tcPr>
            <w:tcW w:w="149" w:type="pct"/>
          </w:tcPr>
          <w:p w14:paraId="1F7E858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3D5B468" w14:textId="77777777" w:rsidR="00095411" w:rsidRPr="007348FD" w:rsidRDefault="00095411" w:rsidP="00591CBB">
            <w:pPr>
              <w:spacing w:after="160" w:line="259" w:lineRule="auto"/>
              <w:rPr>
                <w:rFonts w:ascii="Arial Narrow" w:hAnsi="Arial Narrow"/>
                <w:sz w:val="18"/>
                <w:szCs w:val="18"/>
              </w:rPr>
            </w:pPr>
          </w:p>
        </w:tc>
        <w:tc>
          <w:tcPr>
            <w:tcW w:w="214" w:type="pct"/>
          </w:tcPr>
          <w:p w14:paraId="4876D93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1278E2B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34D33DB3" w14:textId="0974C960"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1D00A613"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34FB252F" w14:textId="77777777" w:rsidR="00095411" w:rsidRPr="007348FD" w:rsidRDefault="00095411" w:rsidP="00591CBB">
            <w:pPr>
              <w:spacing w:after="160" w:line="259" w:lineRule="auto"/>
              <w:rPr>
                <w:rFonts w:ascii="Arial Narrow" w:hAnsi="Arial Narrow"/>
                <w:sz w:val="18"/>
                <w:szCs w:val="18"/>
              </w:rPr>
            </w:pPr>
          </w:p>
        </w:tc>
        <w:tc>
          <w:tcPr>
            <w:tcW w:w="460" w:type="pct"/>
          </w:tcPr>
          <w:p w14:paraId="21CE3D5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013EE1A"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7A2177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06AF6A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6285B55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3E8B7DB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0863840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6CCD5F4D" w14:textId="77777777" w:rsidR="00095411" w:rsidRPr="007348FD" w:rsidRDefault="00095411" w:rsidP="00591CBB">
            <w:pPr>
              <w:spacing w:after="160" w:line="259" w:lineRule="auto"/>
              <w:rPr>
                <w:rFonts w:ascii="Arial Narrow" w:hAnsi="Arial Narrow"/>
                <w:sz w:val="18"/>
                <w:szCs w:val="18"/>
              </w:rPr>
            </w:pPr>
          </w:p>
        </w:tc>
        <w:tc>
          <w:tcPr>
            <w:tcW w:w="273" w:type="pct"/>
          </w:tcPr>
          <w:p w14:paraId="1DCE0DD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04F627DC" w14:textId="77777777" w:rsidR="00095411" w:rsidRPr="007348FD" w:rsidRDefault="00095411" w:rsidP="00591CBB">
            <w:pPr>
              <w:spacing w:after="160" w:line="259" w:lineRule="auto"/>
              <w:rPr>
                <w:rFonts w:ascii="Arial Narrow" w:hAnsi="Arial Narrow"/>
                <w:sz w:val="18"/>
                <w:szCs w:val="18"/>
              </w:rPr>
            </w:pPr>
          </w:p>
        </w:tc>
        <w:tc>
          <w:tcPr>
            <w:tcW w:w="283" w:type="pct"/>
          </w:tcPr>
          <w:p w14:paraId="7263D73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B44774D" w14:textId="77777777" w:rsidR="00095411" w:rsidRPr="007348FD" w:rsidRDefault="00095411" w:rsidP="00591CBB">
            <w:pPr>
              <w:spacing w:after="160" w:line="259" w:lineRule="auto"/>
              <w:rPr>
                <w:rFonts w:ascii="Arial Narrow" w:hAnsi="Arial Narrow"/>
                <w:sz w:val="18"/>
                <w:szCs w:val="18"/>
              </w:rPr>
            </w:pPr>
          </w:p>
        </w:tc>
        <w:tc>
          <w:tcPr>
            <w:tcW w:w="149" w:type="pct"/>
          </w:tcPr>
          <w:p w14:paraId="0CA1BDD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33FC6DC5" w14:textId="77777777" w:rsidR="00095411" w:rsidRPr="007348FD" w:rsidRDefault="00095411" w:rsidP="00591CBB">
            <w:pPr>
              <w:spacing w:after="160" w:line="259" w:lineRule="auto"/>
              <w:rPr>
                <w:rFonts w:ascii="Arial Narrow" w:hAnsi="Arial Narrow"/>
                <w:sz w:val="18"/>
                <w:szCs w:val="18"/>
              </w:rPr>
            </w:pPr>
          </w:p>
        </w:tc>
        <w:tc>
          <w:tcPr>
            <w:tcW w:w="214" w:type="pct"/>
          </w:tcPr>
          <w:p w14:paraId="760BECC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45" w:type="pct"/>
          </w:tcPr>
          <w:p w14:paraId="4287F380" w14:textId="77777777" w:rsidR="00095411" w:rsidRPr="007348FD" w:rsidRDefault="00095411" w:rsidP="00591CBB">
            <w:pPr>
              <w:spacing w:after="160" w:line="259" w:lineRule="auto"/>
              <w:rPr>
                <w:rFonts w:ascii="Arial Narrow" w:hAnsi="Arial Narrow"/>
                <w:sz w:val="18"/>
                <w:szCs w:val="18"/>
              </w:rPr>
            </w:pPr>
          </w:p>
        </w:tc>
        <w:tc>
          <w:tcPr>
            <w:tcW w:w="280" w:type="pct"/>
          </w:tcPr>
          <w:p w14:paraId="48EA468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7A16B523"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3CEFF773" w14:textId="77777777" w:rsidR="00095411" w:rsidRPr="007348FD" w:rsidRDefault="00095411" w:rsidP="00591CBB">
            <w:pPr>
              <w:spacing w:after="160" w:line="259" w:lineRule="auto"/>
              <w:rPr>
                <w:rFonts w:ascii="Arial Narrow" w:hAnsi="Arial Narrow"/>
                <w:sz w:val="18"/>
                <w:szCs w:val="18"/>
              </w:rPr>
            </w:pPr>
          </w:p>
        </w:tc>
        <w:tc>
          <w:tcPr>
            <w:tcW w:w="460" w:type="pct"/>
          </w:tcPr>
          <w:p w14:paraId="5CF4DAB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8781D9D"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314D62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1B33FAF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01690A10" w14:textId="60CC5DB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35B3C49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4C89478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498991E2" w14:textId="77777777" w:rsidR="00095411" w:rsidRPr="007348FD" w:rsidRDefault="00095411" w:rsidP="00591CBB">
            <w:pPr>
              <w:spacing w:after="160" w:line="259" w:lineRule="auto"/>
              <w:rPr>
                <w:rFonts w:ascii="Arial Narrow" w:hAnsi="Arial Narrow"/>
                <w:sz w:val="18"/>
                <w:szCs w:val="18"/>
              </w:rPr>
            </w:pPr>
          </w:p>
        </w:tc>
        <w:tc>
          <w:tcPr>
            <w:tcW w:w="273" w:type="pct"/>
          </w:tcPr>
          <w:p w14:paraId="3DAE596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4A89723" w14:textId="77777777" w:rsidR="00095411" w:rsidRPr="007348FD" w:rsidRDefault="00095411" w:rsidP="00591CBB">
            <w:pPr>
              <w:spacing w:after="160" w:line="259" w:lineRule="auto"/>
              <w:rPr>
                <w:rFonts w:ascii="Arial Narrow" w:hAnsi="Arial Narrow"/>
                <w:sz w:val="18"/>
                <w:szCs w:val="18"/>
              </w:rPr>
            </w:pPr>
          </w:p>
        </w:tc>
        <w:tc>
          <w:tcPr>
            <w:tcW w:w="283" w:type="pct"/>
          </w:tcPr>
          <w:p w14:paraId="32BB07E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C2C3D15" w14:textId="77777777" w:rsidR="00095411" w:rsidRPr="007348FD" w:rsidRDefault="00095411" w:rsidP="00591CBB">
            <w:pPr>
              <w:spacing w:after="160" w:line="259" w:lineRule="auto"/>
              <w:rPr>
                <w:rFonts w:ascii="Arial Narrow" w:hAnsi="Arial Narrow"/>
                <w:sz w:val="18"/>
                <w:szCs w:val="18"/>
              </w:rPr>
            </w:pPr>
          </w:p>
        </w:tc>
        <w:tc>
          <w:tcPr>
            <w:tcW w:w="149" w:type="pct"/>
          </w:tcPr>
          <w:p w14:paraId="58301FA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93A2487" w14:textId="77777777" w:rsidR="00095411" w:rsidRPr="007348FD" w:rsidRDefault="00095411" w:rsidP="00591CBB">
            <w:pPr>
              <w:spacing w:after="160" w:line="259" w:lineRule="auto"/>
              <w:rPr>
                <w:rFonts w:ascii="Arial Narrow" w:hAnsi="Arial Narrow"/>
                <w:sz w:val="18"/>
                <w:szCs w:val="18"/>
              </w:rPr>
            </w:pPr>
          </w:p>
        </w:tc>
        <w:tc>
          <w:tcPr>
            <w:tcW w:w="214" w:type="pct"/>
          </w:tcPr>
          <w:p w14:paraId="56981BF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2476CE0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4A2C7EED" w14:textId="71460EB3"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30CC4D75"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542FE9BD" w14:textId="77777777" w:rsidR="00095411" w:rsidRPr="007348FD" w:rsidRDefault="00095411" w:rsidP="00591CBB">
            <w:pPr>
              <w:spacing w:after="160" w:line="259" w:lineRule="auto"/>
              <w:rPr>
                <w:rFonts w:ascii="Arial Narrow" w:hAnsi="Arial Narrow"/>
                <w:sz w:val="18"/>
                <w:szCs w:val="18"/>
              </w:rPr>
            </w:pPr>
          </w:p>
        </w:tc>
        <w:tc>
          <w:tcPr>
            <w:tcW w:w="460" w:type="pct"/>
          </w:tcPr>
          <w:p w14:paraId="4D26D26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5626B9E"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BC7811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7FAF158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7AD9F09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15F10B7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5B515F8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5BCB41BE" w14:textId="77777777" w:rsidR="00095411" w:rsidRPr="007348FD" w:rsidRDefault="00095411" w:rsidP="00591CBB">
            <w:pPr>
              <w:spacing w:after="160" w:line="259" w:lineRule="auto"/>
              <w:rPr>
                <w:rFonts w:ascii="Arial Narrow" w:hAnsi="Arial Narrow"/>
                <w:sz w:val="18"/>
                <w:szCs w:val="18"/>
              </w:rPr>
            </w:pPr>
          </w:p>
        </w:tc>
        <w:tc>
          <w:tcPr>
            <w:tcW w:w="273" w:type="pct"/>
          </w:tcPr>
          <w:p w14:paraId="1FA6059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3F315D74" w14:textId="77777777" w:rsidR="00095411" w:rsidRPr="007348FD" w:rsidRDefault="00095411" w:rsidP="00591CBB">
            <w:pPr>
              <w:spacing w:after="160" w:line="259" w:lineRule="auto"/>
              <w:rPr>
                <w:rFonts w:ascii="Arial Narrow" w:hAnsi="Arial Narrow"/>
                <w:sz w:val="18"/>
                <w:szCs w:val="18"/>
              </w:rPr>
            </w:pPr>
          </w:p>
        </w:tc>
        <w:tc>
          <w:tcPr>
            <w:tcW w:w="283" w:type="pct"/>
          </w:tcPr>
          <w:p w14:paraId="63DAFEA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3696DB8" w14:textId="77777777" w:rsidR="00095411" w:rsidRPr="007348FD" w:rsidRDefault="00095411" w:rsidP="00591CBB">
            <w:pPr>
              <w:spacing w:after="160" w:line="259" w:lineRule="auto"/>
              <w:rPr>
                <w:rFonts w:ascii="Arial Narrow" w:hAnsi="Arial Narrow"/>
                <w:sz w:val="18"/>
                <w:szCs w:val="18"/>
              </w:rPr>
            </w:pPr>
          </w:p>
        </w:tc>
        <w:tc>
          <w:tcPr>
            <w:tcW w:w="149" w:type="pct"/>
          </w:tcPr>
          <w:p w14:paraId="5EA3062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2F2F1B79" w14:textId="77777777" w:rsidR="00095411" w:rsidRPr="007348FD" w:rsidRDefault="00095411" w:rsidP="00591CBB">
            <w:pPr>
              <w:spacing w:after="160" w:line="259" w:lineRule="auto"/>
              <w:rPr>
                <w:rFonts w:ascii="Arial Narrow" w:hAnsi="Arial Narrow"/>
                <w:sz w:val="18"/>
                <w:szCs w:val="18"/>
              </w:rPr>
            </w:pPr>
          </w:p>
        </w:tc>
        <w:tc>
          <w:tcPr>
            <w:tcW w:w="214" w:type="pct"/>
          </w:tcPr>
          <w:p w14:paraId="3D3DB19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02D3F13D" w14:textId="77777777" w:rsidR="00095411" w:rsidRPr="007348FD" w:rsidRDefault="00095411" w:rsidP="00591CBB">
            <w:pPr>
              <w:spacing w:after="160" w:line="259" w:lineRule="auto"/>
              <w:rPr>
                <w:rFonts w:ascii="Arial Narrow" w:hAnsi="Arial Narrow"/>
                <w:sz w:val="18"/>
                <w:szCs w:val="18"/>
              </w:rPr>
            </w:pPr>
          </w:p>
        </w:tc>
        <w:tc>
          <w:tcPr>
            <w:tcW w:w="280" w:type="pct"/>
          </w:tcPr>
          <w:p w14:paraId="425196A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71FB7AFC" w14:textId="77777777" w:rsidTr="00051F27">
        <w:trPr>
          <w:trHeight w:val="228"/>
        </w:trPr>
        <w:tc>
          <w:tcPr>
            <w:cnfStyle w:val="000010000000" w:firstRow="0" w:lastRow="0" w:firstColumn="0" w:lastColumn="0" w:oddVBand="1" w:evenVBand="0" w:oddHBand="0" w:evenHBand="0" w:firstRowFirstColumn="0" w:firstRowLastColumn="0" w:lastRowFirstColumn="0" w:lastRowLastColumn="0"/>
            <w:tcW w:w="432" w:type="pct"/>
          </w:tcPr>
          <w:p w14:paraId="28C45E44" w14:textId="77777777" w:rsidR="00095411" w:rsidRPr="007348FD" w:rsidRDefault="00095411" w:rsidP="00591CBB">
            <w:pPr>
              <w:spacing w:after="160" w:line="259" w:lineRule="auto"/>
              <w:rPr>
                <w:rFonts w:ascii="Arial Narrow" w:hAnsi="Arial Narrow"/>
                <w:sz w:val="18"/>
                <w:szCs w:val="18"/>
              </w:rPr>
            </w:pPr>
          </w:p>
        </w:tc>
        <w:tc>
          <w:tcPr>
            <w:tcW w:w="460" w:type="pct"/>
          </w:tcPr>
          <w:p w14:paraId="10612B9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AD25EB3"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387FC3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27E9143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2E41902" w14:textId="16E3455F"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43A036C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7462039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6F31E5B7" w14:textId="77777777" w:rsidR="00095411" w:rsidRPr="007348FD" w:rsidRDefault="00095411" w:rsidP="00591CBB">
            <w:pPr>
              <w:spacing w:after="160" w:line="259" w:lineRule="auto"/>
              <w:rPr>
                <w:rFonts w:ascii="Arial Narrow" w:hAnsi="Arial Narrow"/>
                <w:sz w:val="18"/>
                <w:szCs w:val="18"/>
              </w:rPr>
            </w:pPr>
          </w:p>
        </w:tc>
        <w:tc>
          <w:tcPr>
            <w:tcW w:w="273" w:type="pct"/>
          </w:tcPr>
          <w:p w14:paraId="6846A08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8894F67" w14:textId="77777777" w:rsidR="00095411" w:rsidRPr="007348FD" w:rsidRDefault="00095411" w:rsidP="00591CBB">
            <w:pPr>
              <w:spacing w:after="160" w:line="259" w:lineRule="auto"/>
              <w:rPr>
                <w:rFonts w:ascii="Arial Narrow" w:hAnsi="Arial Narrow"/>
                <w:sz w:val="18"/>
                <w:szCs w:val="18"/>
              </w:rPr>
            </w:pPr>
          </w:p>
        </w:tc>
        <w:tc>
          <w:tcPr>
            <w:tcW w:w="283" w:type="pct"/>
          </w:tcPr>
          <w:p w14:paraId="46B825F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196599E" w14:textId="77777777" w:rsidR="00095411" w:rsidRPr="007348FD" w:rsidRDefault="00095411" w:rsidP="00591CBB">
            <w:pPr>
              <w:spacing w:after="160" w:line="259" w:lineRule="auto"/>
              <w:rPr>
                <w:rFonts w:ascii="Arial Narrow" w:hAnsi="Arial Narrow"/>
                <w:sz w:val="18"/>
                <w:szCs w:val="18"/>
              </w:rPr>
            </w:pPr>
          </w:p>
        </w:tc>
        <w:tc>
          <w:tcPr>
            <w:tcW w:w="149" w:type="pct"/>
          </w:tcPr>
          <w:p w14:paraId="1FF8BBC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44939D5" w14:textId="77777777" w:rsidR="00095411" w:rsidRPr="007348FD" w:rsidRDefault="00095411" w:rsidP="00591CBB">
            <w:pPr>
              <w:spacing w:after="160" w:line="259" w:lineRule="auto"/>
              <w:rPr>
                <w:rFonts w:ascii="Arial Narrow" w:hAnsi="Arial Narrow"/>
                <w:sz w:val="18"/>
                <w:szCs w:val="18"/>
              </w:rPr>
            </w:pPr>
          </w:p>
        </w:tc>
        <w:tc>
          <w:tcPr>
            <w:tcW w:w="214" w:type="pct"/>
          </w:tcPr>
          <w:p w14:paraId="283C671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304C88F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7381ADAE" w14:textId="21787CE0"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2B186F7D" w14:textId="77777777" w:rsidTr="00051F27">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432" w:type="pct"/>
          </w:tcPr>
          <w:p w14:paraId="57AA1753" w14:textId="77777777" w:rsidR="00095411" w:rsidRPr="007348FD" w:rsidRDefault="00095411" w:rsidP="00591CBB">
            <w:pPr>
              <w:spacing w:after="160" w:line="259" w:lineRule="auto"/>
              <w:rPr>
                <w:rFonts w:ascii="Arial Narrow" w:hAnsi="Arial Narrow"/>
                <w:sz w:val="18"/>
                <w:szCs w:val="18"/>
              </w:rPr>
            </w:pPr>
          </w:p>
        </w:tc>
        <w:tc>
          <w:tcPr>
            <w:tcW w:w="460" w:type="pct"/>
          </w:tcPr>
          <w:p w14:paraId="334DACC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5EA687F"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CB7A2E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BF279A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6031B27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6D976A6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64DA951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30975852" w14:textId="77777777" w:rsidR="00095411" w:rsidRPr="007348FD" w:rsidRDefault="00095411" w:rsidP="00591CBB">
            <w:pPr>
              <w:spacing w:after="160" w:line="259" w:lineRule="auto"/>
              <w:rPr>
                <w:rFonts w:ascii="Arial Narrow" w:hAnsi="Arial Narrow"/>
                <w:sz w:val="18"/>
                <w:szCs w:val="18"/>
              </w:rPr>
            </w:pPr>
          </w:p>
        </w:tc>
        <w:tc>
          <w:tcPr>
            <w:tcW w:w="273" w:type="pct"/>
          </w:tcPr>
          <w:p w14:paraId="3924130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37FA3009" w14:textId="77777777" w:rsidR="00095411" w:rsidRPr="007348FD" w:rsidRDefault="00095411" w:rsidP="00591CBB">
            <w:pPr>
              <w:spacing w:after="160" w:line="259" w:lineRule="auto"/>
              <w:rPr>
                <w:rFonts w:ascii="Arial Narrow" w:hAnsi="Arial Narrow"/>
                <w:sz w:val="18"/>
                <w:szCs w:val="18"/>
              </w:rPr>
            </w:pPr>
          </w:p>
        </w:tc>
        <w:tc>
          <w:tcPr>
            <w:tcW w:w="283" w:type="pct"/>
          </w:tcPr>
          <w:p w14:paraId="141189D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FE2866C" w14:textId="77777777" w:rsidR="00095411" w:rsidRPr="007348FD" w:rsidRDefault="00095411" w:rsidP="00591CBB">
            <w:pPr>
              <w:spacing w:after="160" w:line="259" w:lineRule="auto"/>
              <w:rPr>
                <w:rFonts w:ascii="Arial Narrow" w:hAnsi="Arial Narrow"/>
                <w:sz w:val="18"/>
                <w:szCs w:val="18"/>
              </w:rPr>
            </w:pPr>
          </w:p>
        </w:tc>
        <w:tc>
          <w:tcPr>
            <w:tcW w:w="149" w:type="pct"/>
          </w:tcPr>
          <w:p w14:paraId="304BE4B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6A91B6D0" w14:textId="77777777" w:rsidR="00095411" w:rsidRPr="007348FD" w:rsidRDefault="00095411" w:rsidP="00591CBB">
            <w:pPr>
              <w:spacing w:after="160" w:line="259" w:lineRule="auto"/>
              <w:rPr>
                <w:rFonts w:ascii="Arial Narrow" w:hAnsi="Arial Narrow"/>
                <w:sz w:val="18"/>
                <w:szCs w:val="18"/>
              </w:rPr>
            </w:pPr>
          </w:p>
        </w:tc>
        <w:tc>
          <w:tcPr>
            <w:tcW w:w="214" w:type="pct"/>
          </w:tcPr>
          <w:p w14:paraId="731F393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0FE27276" w14:textId="77777777" w:rsidR="00095411" w:rsidRPr="007348FD" w:rsidRDefault="00095411" w:rsidP="00591CBB">
            <w:pPr>
              <w:spacing w:after="160" w:line="259" w:lineRule="auto"/>
              <w:rPr>
                <w:rFonts w:ascii="Arial Narrow" w:hAnsi="Arial Narrow"/>
                <w:sz w:val="18"/>
                <w:szCs w:val="18"/>
              </w:rPr>
            </w:pPr>
          </w:p>
        </w:tc>
        <w:tc>
          <w:tcPr>
            <w:tcW w:w="280" w:type="pct"/>
          </w:tcPr>
          <w:p w14:paraId="465408B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1E7341F1" w14:textId="77777777" w:rsidTr="00051F27">
        <w:trPr>
          <w:trHeight w:val="185"/>
        </w:trPr>
        <w:tc>
          <w:tcPr>
            <w:cnfStyle w:val="000010000000" w:firstRow="0" w:lastRow="0" w:firstColumn="0" w:lastColumn="0" w:oddVBand="1" w:evenVBand="0" w:oddHBand="0" w:evenHBand="0" w:firstRowFirstColumn="0" w:firstRowLastColumn="0" w:lastRowFirstColumn="0" w:lastRowLastColumn="0"/>
            <w:tcW w:w="432" w:type="pct"/>
          </w:tcPr>
          <w:p w14:paraId="6379E10E" w14:textId="77777777" w:rsidR="00095411" w:rsidRPr="007348FD" w:rsidRDefault="00095411" w:rsidP="00591CBB">
            <w:pPr>
              <w:spacing w:after="160" w:line="259" w:lineRule="auto"/>
              <w:rPr>
                <w:rFonts w:ascii="Arial Narrow" w:hAnsi="Arial Narrow"/>
                <w:sz w:val="18"/>
                <w:szCs w:val="18"/>
              </w:rPr>
            </w:pPr>
          </w:p>
        </w:tc>
        <w:tc>
          <w:tcPr>
            <w:tcW w:w="460" w:type="pct"/>
          </w:tcPr>
          <w:p w14:paraId="55BBBD5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18. Country has operationalized school based comprehensive FLE curricula in accordance with international standards.</w:t>
            </w:r>
          </w:p>
        </w:tc>
        <w:tc>
          <w:tcPr>
            <w:cnfStyle w:val="000010000000" w:firstRow="0" w:lastRow="0" w:firstColumn="0" w:lastColumn="0" w:oddVBand="1" w:evenVBand="0" w:oddHBand="0" w:evenHBand="0" w:firstRowFirstColumn="0" w:firstRowLastColumn="0" w:lastRowFirstColumn="0" w:lastRowLastColumn="0"/>
            <w:tcW w:w="371" w:type="pct"/>
          </w:tcPr>
          <w:p w14:paraId="1E5B719F"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t>Yes</w:t>
            </w:r>
          </w:p>
        </w:tc>
        <w:tc>
          <w:tcPr>
            <w:tcW w:w="341" w:type="pct"/>
          </w:tcPr>
          <w:p w14:paraId="3522B16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667311D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0EFBE787" w14:textId="24658A30"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70EDE13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70E6A7A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5BBB221D" w14:textId="77777777" w:rsidR="00095411" w:rsidRPr="007348FD" w:rsidRDefault="00095411" w:rsidP="00591CBB">
            <w:pPr>
              <w:spacing w:after="160" w:line="259" w:lineRule="auto"/>
              <w:rPr>
                <w:rFonts w:ascii="Arial Narrow" w:hAnsi="Arial Narrow"/>
                <w:sz w:val="18"/>
                <w:szCs w:val="18"/>
              </w:rPr>
            </w:pPr>
          </w:p>
        </w:tc>
        <w:tc>
          <w:tcPr>
            <w:tcW w:w="273" w:type="pct"/>
          </w:tcPr>
          <w:p w14:paraId="3518880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927580D" w14:textId="77777777" w:rsidR="00095411" w:rsidRPr="007348FD" w:rsidRDefault="00095411" w:rsidP="00591CBB">
            <w:pPr>
              <w:spacing w:after="160" w:line="259" w:lineRule="auto"/>
              <w:rPr>
                <w:rFonts w:ascii="Arial Narrow" w:hAnsi="Arial Narrow"/>
                <w:sz w:val="18"/>
                <w:szCs w:val="18"/>
              </w:rPr>
            </w:pPr>
          </w:p>
        </w:tc>
        <w:tc>
          <w:tcPr>
            <w:tcW w:w="283" w:type="pct"/>
          </w:tcPr>
          <w:p w14:paraId="4569A69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128CDB8" w14:textId="77777777" w:rsidR="00095411" w:rsidRPr="007348FD" w:rsidRDefault="00095411" w:rsidP="00591CBB">
            <w:pPr>
              <w:spacing w:after="160" w:line="259" w:lineRule="auto"/>
              <w:rPr>
                <w:rFonts w:ascii="Arial Narrow" w:hAnsi="Arial Narrow"/>
                <w:sz w:val="18"/>
                <w:szCs w:val="18"/>
              </w:rPr>
            </w:pPr>
          </w:p>
        </w:tc>
        <w:tc>
          <w:tcPr>
            <w:tcW w:w="149" w:type="pct"/>
          </w:tcPr>
          <w:p w14:paraId="1568BDA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6E41414E" w14:textId="77777777" w:rsidR="00095411" w:rsidRPr="007348FD" w:rsidRDefault="00095411" w:rsidP="00591CBB">
            <w:pPr>
              <w:spacing w:after="160" w:line="259" w:lineRule="auto"/>
              <w:rPr>
                <w:rFonts w:ascii="Arial Narrow" w:hAnsi="Arial Narrow"/>
                <w:sz w:val="18"/>
                <w:szCs w:val="18"/>
              </w:rPr>
            </w:pPr>
          </w:p>
        </w:tc>
        <w:tc>
          <w:tcPr>
            <w:tcW w:w="214" w:type="pct"/>
          </w:tcPr>
          <w:p w14:paraId="5873402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5871600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1615F96B" w14:textId="339331DB"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29294242"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46B56F4D" w14:textId="77777777" w:rsidR="00095411" w:rsidRPr="007348FD" w:rsidRDefault="00095411" w:rsidP="00591CBB">
            <w:pPr>
              <w:spacing w:after="160" w:line="259" w:lineRule="auto"/>
              <w:rPr>
                <w:rFonts w:ascii="Arial Narrow" w:hAnsi="Arial Narrow"/>
                <w:sz w:val="18"/>
                <w:szCs w:val="18"/>
              </w:rPr>
            </w:pPr>
          </w:p>
        </w:tc>
        <w:tc>
          <w:tcPr>
            <w:tcW w:w="460" w:type="pct"/>
          </w:tcPr>
          <w:p w14:paraId="397BB20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9692383"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1842D2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6C640B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6EAC66E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66F4398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4250D8D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329AE122" w14:textId="77777777" w:rsidR="00095411" w:rsidRPr="007348FD" w:rsidRDefault="00095411" w:rsidP="00591CBB">
            <w:pPr>
              <w:spacing w:after="160" w:line="259" w:lineRule="auto"/>
              <w:rPr>
                <w:rFonts w:ascii="Arial Narrow" w:hAnsi="Arial Narrow"/>
                <w:sz w:val="18"/>
                <w:szCs w:val="18"/>
              </w:rPr>
            </w:pPr>
          </w:p>
        </w:tc>
        <w:tc>
          <w:tcPr>
            <w:tcW w:w="273" w:type="pct"/>
          </w:tcPr>
          <w:p w14:paraId="7ABB9DF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0AA79A39" w14:textId="77777777" w:rsidR="00095411" w:rsidRPr="007348FD" w:rsidRDefault="00095411" w:rsidP="00591CBB">
            <w:pPr>
              <w:spacing w:after="160" w:line="259" w:lineRule="auto"/>
              <w:rPr>
                <w:rFonts w:ascii="Arial Narrow" w:hAnsi="Arial Narrow"/>
                <w:sz w:val="18"/>
                <w:szCs w:val="18"/>
              </w:rPr>
            </w:pPr>
          </w:p>
        </w:tc>
        <w:tc>
          <w:tcPr>
            <w:tcW w:w="283" w:type="pct"/>
          </w:tcPr>
          <w:p w14:paraId="5AD4247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788E0EC" w14:textId="77777777" w:rsidR="00095411" w:rsidRPr="007348FD" w:rsidRDefault="00095411" w:rsidP="00591CBB">
            <w:pPr>
              <w:spacing w:after="160" w:line="259" w:lineRule="auto"/>
              <w:rPr>
                <w:rFonts w:ascii="Arial Narrow" w:hAnsi="Arial Narrow"/>
                <w:sz w:val="18"/>
                <w:szCs w:val="18"/>
              </w:rPr>
            </w:pPr>
          </w:p>
        </w:tc>
        <w:tc>
          <w:tcPr>
            <w:tcW w:w="149" w:type="pct"/>
          </w:tcPr>
          <w:p w14:paraId="79298DD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4A3304E3" w14:textId="77777777" w:rsidR="00095411" w:rsidRPr="007348FD" w:rsidRDefault="00095411" w:rsidP="00591CBB">
            <w:pPr>
              <w:spacing w:after="160" w:line="259" w:lineRule="auto"/>
              <w:rPr>
                <w:rFonts w:ascii="Arial Narrow" w:hAnsi="Arial Narrow"/>
                <w:sz w:val="18"/>
                <w:szCs w:val="18"/>
              </w:rPr>
            </w:pPr>
          </w:p>
        </w:tc>
        <w:tc>
          <w:tcPr>
            <w:tcW w:w="214" w:type="pct"/>
          </w:tcPr>
          <w:p w14:paraId="224F508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57D04F1C" w14:textId="77777777" w:rsidR="00095411" w:rsidRPr="007348FD" w:rsidRDefault="00095411" w:rsidP="00591CBB">
            <w:pPr>
              <w:spacing w:after="160" w:line="259" w:lineRule="auto"/>
              <w:rPr>
                <w:rFonts w:ascii="Arial Narrow" w:hAnsi="Arial Narrow"/>
                <w:sz w:val="18"/>
                <w:szCs w:val="18"/>
              </w:rPr>
            </w:pPr>
          </w:p>
        </w:tc>
        <w:tc>
          <w:tcPr>
            <w:tcW w:w="280" w:type="pct"/>
          </w:tcPr>
          <w:p w14:paraId="10E3C55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57CFC599"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2EDFB186" w14:textId="77777777" w:rsidR="00095411" w:rsidRPr="007348FD" w:rsidRDefault="00095411" w:rsidP="00591CBB">
            <w:pPr>
              <w:spacing w:after="160" w:line="259" w:lineRule="auto"/>
              <w:rPr>
                <w:rFonts w:ascii="Arial Narrow" w:hAnsi="Arial Narrow"/>
                <w:sz w:val="18"/>
                <w:szCs w:val="18"/>
              </w:rPr>
            </w:pPr>
          </w:p>
        </w:tc>
        <w:tc>
          <w:tcPr>
            <w:tcW w:w="460" w:type="pct"/>
          </w:tcPr>
          <w:p w14:paraId="56AA297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9056E28"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05FC9A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64146BA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35C7CC55" w14:textId="164B5BFB"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4CF6A95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2DCBBEA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7C5F0302" w14:textId="77777777" w:rsidR="00095411" w:rsidRPr="007348FD" w:rsidRDefault="00095411" w:rsidP="00591CBB">
            <w:pPr>
              <w:spacing w:after="160" w:line="259" w:lineRule="auto"/>
              <w:rPr>
                <w:rFonts w:ascii="Arial Narrow" w:hAnsi="Arial Narrow"/>
                <w:sz w:val="18"/>
                <w:szCs w:val="18"/>
              </w:rPr>
            </w:pPr>
          </w:p>
        </w:tc>
        <w:tc>
          <w:tcPr>
            <w:tcW w:w="273" w:type="pct"/>
          </w:tcPr>
          <w:p w14:paraId="64034FD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E1B15DD" w14:textId="77777777" w:rsidR="00095411" w:rsidRPr="007348FD" w:rsidRDefault="00095411" w:rsidP="00591CBB">
            <w:pPr>
              <w:spacing w:after="160" w:line="259" w:lineRule="auto"/>
              <w:rPr>
                <w:rFonts w:ascii="Arial Narrow" w:hAnsi="Arial Narrow"/>
                <w:sz w:val="18"/>
                <w:szCs w:val="18"/>
              </w:rPr>
            </w:pPr>
          </w:p>
        </w:tc>
        <w:tc>
          <w:tcPr>
            <w:tcW w:w="283" w:type="pct"/>
          </w:tcPr>
          <w:p w14:paraId="2022BDE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FDC92F2" w14:textId="77777777" w:rsidR="00095411" w:rsidRPr="007348FD" w:rsidRDefault="00095411" w:rsidP="00591CBB">
            <w:pPr>
              <w:spacing w:after="160" w:line="259" w:lineRule="auto"/>
              <w:rPr>
                <w:rFonts w:ascii="Arial Narrow" w:hAnsi="Arial Narrow"/>
                <w:sz w:val="18"/>
                <w:szCs w:val="18"/>
              </w:rPr>
            </w:pPr>
          </w:p>
        </w:tc>
        <w:tc>
          <w:tcPr>
            <w:tcW w:w="149" w:type="pct"/>
          </w:tcPr>
          <w:p w14:paraId="7BFE3F0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63C5E0B6" w14:textId="77777777" w:rsidR="00095411" w:rsidRPr="007348FD" w:rsidRDefault="00095411" w:rsidP="00591CBB">
            <w:pPr>
              <w:spacing w:after="160" w:line="259" w:lineRule="auto"/>
              <w:rPr>
                <w:rFonts w:ascii="Arial Narrow" w:hAnsi="Arial Narrow"/>
                <w:sz w:val="18"/>
                <w:szCs w:val="18"/>
              </w:rPr>
            </w:pPr>
          </w:p>
        </w:tc>
        <w:tc>
          <w:tcPr>
            <w:tcW w:w="214" w:type="pct"/>
          </w:tcPr>
          <w:p w14:paraId="394AA43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7F8AED1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486EA2DF" w14:textId="189094FB"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05BB49BE"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58DC672E" w14:textId="77777777" w:rsidR="00095411" w:rsidRPr="007348FD" w:rsidRDefault="00095411" w:rsidP="00591CBB">
            <w:pPr>
              <w:spacing w:after="160" w:line="259" w:lineRule="auto"/>
              <w:rPr>
                <w:rFonts w:ascii="Arial Narrow" w:hAnsi="Arial Narrow"/>
                <w:sz w:val="18"/>
                <w:szCs w:val="18"/>
              </w:rPr>
            </w:pPr>
          </w:p>
        </w:tc>
        <w:tc>
          <w:tcPr>
            <w:tcW w:w="460" w:type="pct"/>
          </w:tcPr>
          <w:p w14:paraId="1A6F3F6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8E13222"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24D0DA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5111AE9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2E629D8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1843493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685CD41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4C425685" w14:textId="77777777" w:rsidR="00095411" w:rsidRPr="007348FD" w:rsidRDefault="00095411" w:rsidP="00591CBB">
            <w:pPr>
              <w:spacing w:after="160" w:line="259" w:lineRule="auto"/>
              <w:rPr>
                <w:rFonts w:ascii="Arial Narrow" w:hAnsi="Arial Narrow"/>
                <w:sz w:val="18"/>
                <w:szCs w:val="18"/>
              </w:rPr>
            </w:pPr>
          </w:p>
        </w:tc>
        <w:tc>
          <w:tcPr>
            <w:tcW w:w="273" w:type="pct"/>
          </w:tcPr>
          <w:p w14:paraId="27FDFB1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55959158" w14:textId="77777777" w:rsidR="00095411" w:rsidRPr="007348FD" w:rsidRDefault="00095411" w:rsidP="00591CBB">
            <w:pPr>
              <w:spacing w:after="160" w:line="259" w:lineRule="auto"/>
              <w:rPr>
                <w:rFonts w:ascii="Arial Narrow" w:hAnsi="Arial Narrow"/>
                <w:sz w:val="18"/>
                <w:szCs w:val="18"/>
              </w:rPr>
            </w:pPr>
          </w:p>
        </w:tc>
        <w:tc>
          <w:tcPr>
            <w:tcW w:w="283" w:type="pct"/>
          </w:tcPr>
          <w:p w14:paraId="65F5B27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1DCC3C60" w14:textId="77777777" w:rsidR="00095411" w:rsidRPr="007348FD" w:rsidRDefault="00095411" w:rsidP="00591CBB">
            <w:pPr>
              <w:spacing w:after="160" w:line="259" w:lineRule="auto"/>
              <w:rPr>
                <w:rFonts w:ascii="Arial Narrow" w:hAnsi="Arial Narrow"/>
                <w:sz w:val="18"/>
                <w:szCs w:val="18"/>
              </w:rPr>
            </w:pPr>
          </w:p>
        </w:tc>
        <w:tc>
          <w:tcPr>
            <w:tcW w:w="149" w:type="pct"/>
          </w:tcPr>
          <w:p w14:paraId="3F34EAB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6C1E59E1" w14:textId="77777777" w:rsidR="00095411" w:rsidRPr="007348FD" w:rsidRDefault="00095411" w:rsidP="00591CBB">
            <w:pPr>
              <w:spacing w:after="160" w:line="259" w:lineRule="auto"/>
              <w:rPr>
                <w:rFonts w:ascii="Arial Narrow" w:hAnsi="Arial Narrow"/>
                <w:sz w:val="18"/>
                <w:szCs w:val="18"/>
              </w:rPr>
            </w:pPr>
          </w:p>
        </w:tc>
        <w:tc>
          <w:tcPr>
            <w:tcW w:w="214" w:type="pct"/>
          </w:tcPr>
          <w:p w14:paraId="636B0B4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1C9D0E25" w14:textId="77777777" w:rsidR="00095411" w:rsidRPr="007348FD" w:rsidRDefault="00095411" w:rsidP="00591CBB">
            <w:pPr>
              <w:spacing w:after="160" w:line="259" w:lineRule="auto"/>
              <w:rPr>
                <w:rFonts w:ascii="Arial Narrow" w:hAnsi="Arial Narrow"/>
                <w:sz w:val="18"/>
                <w:szCs w:val="18"/>
              </w:rPr>
            </w:pPr>
          </w:p>
        </w:tc>
        <w:tc>
          <w:tcPr>
            <w:tcW w:w="280" w:type="pct"/>
          </w:tcPr>
          <w:p w14:paraId="4690A01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24121892"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7D08A488" w14:textId="77777777" w:rsidR="00095411" w:rsidRPr="007348FD" w:rsidRDefault="00095411" w:rsidP="00591CBB">
            <w:pPr>
              <w:spacing w:after="160" w:line="259" w:lineRule="auto"/>
              <w:rPr>
                <w:rFonts w:ascii="Arial Narrow" w:hAnsi="Arial Narrow"/>
                <w:sz w:val="18"/>
                <w:szCs w:val="18"/>
              </w:rPr>
            </w:pPr>
          </w:p>
        </w:tc>
        <w:tc>
          <w:tcPr>
            <w:tcW w:w="460" w:type="pct"/>
          </w:tcPr>
          <w:p w14:paraId="4F9D038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59DDB5D"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3F55FE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4E9B18A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176C9741" w14:textId="1686DB63"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3BF361E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02FF5A6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193BA41E" w14:textId="77777777" w:rsidR="00095411" w:rsidRPr="007348FD" w:rsidRDefault="00095411" w:rsidP="00591CBB">
            <w:pPr>
              <w:spacing w:after="160" w:line="259" w:lineRule="auto"/>
              <w:rPr>
                <w:rFonts w:ascii="Arial Narrow" w:hAnsi="Arial Narrow"/>
                <w:sz w:val="18"/>
                <w:szCs w:val="18"/>
              </w:rPr>
            </w:pPr>
          </w:p>
        </w:tc>
        <w:tc>
          <w:tcPr>
            <w:tcW w:w="273" w:type="pct"/>
          </w:tcPr>
          <w:p w14:paraId="2013DB0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4C795DB" w14:textId="77777777" w:rsidR="00095411" w:rsidRPr="007348FD" w:rsidRDefault="00095411" w:rsidP="00591CBB">
            <w:pPr>
              <w:spacing w:after="160" w:line="259" w:lineRule="auto"/>
              <w:rPr>
                <w:rFonts w:ascii="Arial Narrow" w:hAnsi="Arial Narrow"/>
                <w:sz w:val="18"/>
                <w:szCs w:val="18"/>
              </w:rPr>
            </w:pPr>
          </w:p>
        </w:tc>
        <w:tc>
          <w:tcPr>
            <w:tcW w:w="283" w:type="pct"/>
          </w:tcPr>
          <w:p w14:paraId="67CCD05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7628FE0" w14:textId="77777777" w:rsidR="00095411" w:rsidRPr="007348FD" w:rsidRDefault="00095411" w:rsidP="00591CBB">
            <w:pPr>
              <w:spacing w:after="160" w:line="259" w:lineRule="auto"/>
              <w:rPr>
                <w:rFonts w:ascii="Arial Narrow" w:hAnsi="Arial Narrow"/>
                <w:sz w:val="18"/>
                <w:szCs w:val="18"/>
              </w:rPr>
            </w:pPr>
          </w:p>
        </w:tc>
        <w:tc>
          <w:tcPr>
            <w:tcW w:w="149" w:type="pct"/>
          </w:tcPr>
          <w:p w14:paraId="5B36432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BBB8457" w14:textId="77777777" w:rsidR="00095411" w:rsidRPr="007348FD" w:rsidRDefault="00095411" w:rsidP="00591CBB">
            <w:pPr>
              <w:spacing w:after="160" w:line="259" w:lineRule="auto"/>
              <w:rPr>
                <w:rFonts w:ascii="Arial Narrow" w:hAnsi="Arial Narrow"/>
                <w:sz w:val="18"/>
                <w:szCs w:val="18"/>
              </w:rPr>
            </w:pPr>
          </w:p>
        </w:tc>
        <w:tc>
          <w:tcPr>
            <w:tcW w:w="214" w:type="pct"/>
          </w:tcPr>
          <w:p w14:paraId="73D0CE8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2C8FF17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583D6C67" w14:textId="0DBC3B8A"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00C485E6"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65455DBF" w14:textId="77777777" w:rsidR="00095411" w:rsidRPr="007348FD" w:rsidRDefault="00095411" w:rsidP="00591CBB">
            <w:pPr>
              <w:spacing w:after="160" w:line="259" w:lineRule="auto"/>
              <w:rPr>
                <w:rFonts w:ascii="Arial Narrow" w:hAnsi="Arial Narrow"/>
                <w:sz w:val="18"/>
                <w:szCs w:val="18"/>
              </w:rPr>
            </w:pPr>
          </w:p>
        </w:tc>
        <w:tc>
          <w:tcPr>
            <w:tcW w:w="460" w:type="pct"/>
          </w:tcPr>
          <w:p w14:paraId="312A57E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07A375E"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BAAE8D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56B2615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144CD7B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62FB64A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61518C8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1089B8F2" w14:textId="77777777" w:rsidR="00095411" w:rsidRPr="007348FD" w:rsidRDefault="00095411" w:rsidP="00591CBB">
            <w:pPr>
              <w:spacing w:after="160" w:line="259" w:lineRule="auto"/>
              <w:rPr>
                <w:rFonts w:ascii="Arial Narrow" w:hAnsi="Arial Narrow"/>
                <w:sz w:val="18"/>
                <w:szCs w:val="18"/>
              </w:rPr>
            </w:pPr>
          </w:p>
        </w:tc>
        <w:tc>
          <w:tcPr>
            <w:tcW w:w="273" w:type="pct"/>
          </w:tcPr>
          <w:p w14:paraId="0E88C67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3032F064" w14:textId="77777777" w:rsidR="00095411" w:rsidRPr="007348FD" w:rsidRDefault="00095411" w:rsidP="00591CBB">
            <w:pPr>
              <w:spacing w:after="160" w:line="259" w:lineRule="auto"/>
              <w:rPr>
                <w:rFonts w:ascii="Arial Narrow" w:hAnsi="Arial Narrow"/>
                <w:sz w:val="18"/>
                <w:szCs w:val="18"/>
              </w:rPr>
            </w:pPr>
          </w:p>
        </w:tc>
        <w:tc>
          <w:tcPr>
            <w:tcW w:w="283" w:type="pct"/>
          </w:tcPr>
          <w:p w14:paraId="2D3CFD6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7D2206D" w14:textId="77777777" w:rsidR="00095411" w:rsidRPr="007348FD" w:rsidRDefault="00095411" w:rsidP="00591CBB">
            <w:pPr>
              <w:spacing w:after="160" w:line="259" w:lineRule="auto"/>
              <w:rPr>
                <w:rFonts w:ascii="Arial Narrow" w:hAnsi="Arial Narrow"/>
                <w:sz w:val="18"/>
                <w:szCs w:val="18"/>
              </w:rPr>
            </w:pPr>
          </w:p>
        </w:tc>
        <w:tc>
          <w:tcPr>
            <w:tcW w:w="149" w:type="pct"/>
          </w:tcPr>
          <w:p w14:paraId="7332BE6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7CC04AB7" w14:textId="77777777" w:rsidR="00095411" w:rsidRPr="007348FD" w:rsidRDefault="00095411" w:rsidP="00591CBB">
            <w:pPr>
              <w:spacing w:after="160" w:line="259" w:lineRule="auto"/>
              <w:rPr>
                <w:rFonts w:ascii="Arial Narrow" w:hAnsi="Arial Narrow"/>
                <w:sz w:val="18"/>
                <w:szCs w:val="18"/>
              </w:rPr>
            </w:pPr>
          </w:p>
        </w:tc>
        <w:tc>
          <w:tcPr>
            <w:tcW w:w="214" w:type="pct"/>
          </w:tcPr>
          <w:p w14:paraId="77FF36B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45" w:type="pct"/>
          </w:tcPr>
          <w:p w14:paraId="14E28AB5" w14:textId="77777777" w:rsidR="00095411" w:rsidRPr="007348FD" w:rsidRDefault="00095411" w:rsidP="00591CBB">
            <w:pPr>
              <w:spacing w:after="160" w:line="259" w:lineRule="auto"/>
              <w:rPr>
                <w:rFonts w:ascii="Arial Narrow" w:hAnsi="Arial Narrow"/>
                <w:sz w:val="18"/>
                <w:szCs w:val="18"/>
              </w:rPr>
            </w:pPr>
          </w:p>
        </w:tc>
        <w:tc>
          <w:tcPr>
            <w:tcW w:w="280" w:type="pct"/>
          </w:tcPr>
          <w:p w14:paraId="5BCFEAA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6DD32972"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0E517896" w14:textId="77777777" w:rsidR="00095411" w:rsidRPr="007348FD" w:rsidRDefault="00095411" w:rsidP="00591CBB">
            <w:pPr>
              <w:spacing w:after="160" w:line="259" w:lineRule="auto"/>
              <w:rPr>
                <w:rFonts w:ascii="Arial Narrow" w:hAnsi="Arial Narrow"/>
                <w:sz w:val="18"/>
                <w:szCs w:val="18"/>
              </w:rPr>
            </w:pPr>
          </w:p>
        </w:tc>
        <w:tc>
          <w:tcPr>
            <w:tcW w:w="460" w:type="pct"/>
          </w:tcPr>
          <w:p w14:paraId="668BD68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DB1DBB0"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B45BA9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0CC77BB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D150468" w14:textId="2FE55A5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3A56EEC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3413692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67B6496C" w14:textId="77777777" w:rsidR="00095411" w:rsidRPr="007348FD" w:rsidRDefault="00095411" w:rsidP="00591CBB">
            <w:pPr>
              <w:spacing w:after="160" w:line="259" w:lineRule="auto"/>
              <w:rPr>
                <w:rFonts w:ascii="Arial Narrow" w:hAnsi="Arial Narrow"/>
                <w:sz w:val="18"/>
                <w:szCs w:val="18"/>
              </w:rPr>
            </w:pPr>
          </w:p>
        </w:tc>
        <w:tc>
          <w:tcPr>
            <w:tcW w:w="273" w:type="pct"/>
          </w:tcPr>
          <w:p w14:paraId="572B93E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DD6767D" w14:textId="77777777" w:rsidR="00095411" w:rsidRPr="007348FD" w:rsidRDefault="00095411" w:rsidP="00591CBB">
            <w:pPr>
              <w:spacing w:after="160" w:line="259" w:lineRule="auto"/>
              <w:rPr>
                <w:rFonts w:ascii="Arial Narrow" w:hAnsi="Arial Narrow"/>
                <w:sz w:val="18"/>
                <w:szCs w:val="18"/>
              </w:rPr>
            </w:pPr>
          </w:p>
        </w:tc>
        <w:tc>
          <w:tcPr>
            <w:tcW w:w="283" w:type="pct"/>
          </w:tcPr>
          <w:p w14:paraId="678C644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FEF49CA" w14:textId="77777777" w:rsidR="00095411" w:rsidRPr="007348FD" w:rsidRDefault="00095411" w:rsidP="00591CBB">
            <w:pPr>
              <w:spacing w:after="160" w:line="259" w:lineRule="auto"/>
              <w:rPr>
                <w:rFonts w:ascii="Arial Narrow" w:hAnsi="Arial Narrow"/>
                <w:sz w:val="18"/>
                <w:szCs w:val="18"/>
              </w:rPr>
            </w:pPr>
          </w:p>
        </w:tc>
        <w:tc>
          <w:tcPr>
            <w:tcW w:w="149" w:type="pct"/>
          </w:tcPr>
          <w:p w14:paraId="69EE8FF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016D34D" w14:textId="77777777" w:rsidR="00095411" w:rsidRPr="007348FD" w:rsidRDefault="00095411" w:rsidP="00591CBB">
            <w:pPr>
              <w:spacing w:after="160" w:line="259" w:lineRule="auto"/>
              <w:rPr>
                <w:rFonts w:ascii="Arial Narrow" w:hAnsi="Arial Narrow"/>
                <w:sz w:val="18"/>
                <w:szCs w:val="18"/>
              </w:rPr>
            </w:pPr>
          </w:p>
        </w:tc>
        <w:tc>
          <w:tcPr>
            <w:tcW w:w="214" w:type="pct"/>
          </w:tcPr>
          <w:p w14:paraId="06B4E42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64A161F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4AB7AF9A" w14:textId="6EA86B4F"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226833E3"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28FC5DD5" w14:textId="77777777" w:rsidR="0094479E" w:rsidRPr="007348FD" w:rsidRDefault="0094479E" w:rsidP="00591CBB">
            <w:pPr>
              <w:spacing w:after="160" w:line="259" w:lineRule="auto"/>
              <w:rPr>
                <w:rFonts w:ascii="Arial Narrow" w:hAnsi="Arial Narrow"/>
                <w:sz w:val="18"/>
                <w:szCs w:val="18"/>
              </w:rPr>
            </w:pPr>
          </w:p>
        </w:tc>
        <w:tc>
          <w:tcPr>
            <w:tcW w:w="460" w:type="pct"/>
          </w:tcPr>
          <w:p w14:paraId="74A86F0B" w14:textId="77777777" w:rsidR="0094479E" w:rsidRPr="007348FD" w:rsidRDefault="0094479E"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CB901D0" w14:textId="77777777" w:rsidR="0094479E" w:rsidRPr="007348FD" w:rsidRDefault="0094479E" w:rsidP="00591CBB">
            <w:pPr>
              <w:spacing w:after="160" w:line="259" w:lineRule="auto"/>
              <w:rPr>
                <w:rFonts w:ascii="Arial Narrow" w:hAnsi="Arial Narrow"/>
                <w:b/>
                <w:bCs/>
                <w:sz w:val="18"/>
                <w:szCs w:val="18"/>
              </w:rPr>
            </w:pPr>
          </w:p>
        </w:tc>
        <w:tc>
          <w:tcPr>
            <w:tcW w:w="341" w:type="pct"/>
          </w:tcPr>
          <w:p w14:paraId="60877C7A" w14:textId="77777777" w:rsidR="0094479E" w:rsidRPr="007348FD" w:rsidRDefault="0094479E"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8BF2E29" w14:textId="01DA652F" w:rsidR="0094479E" w:rsidRPr="007348FD" w:rsidRDefault="0094479E" w:rsidP="00591CBB">
            <w:pPr>
              <w:spacing w:after="160" w:line="259" w:lineRule="auto"/>
              <w:rPr>
                <w:rFonts w:ascii="Arial Narrow" w:hAnsi="Arial Narrow"/>
                <w:sz w:val="18"/>
                <w:szCs w:val="18"/>
              </w:rPr>
            </w:pPr>
            <w:r>
              <w:rPr>
                <w:rFonts w:ascii="Arial Narrow" w:hAnsi="Arial Narrow"/>
                <w:sz w:val="18"/>
                <w:szCs w:val="18"/>
              </w:rPr>
              <w:t>Actual</w:t>
            </w:r>
          </w:p>
        </w:tc>
        <w:tc>
          <w:tcPr>
            <w:tcW w:w="330" w:type="pct"/>
          </w:tcPr>
          <w:p w14:paraId="695AAC90" w14:textId="6C2A5EC8" w:rsidR="0094479E" w:rsidRPr="007348FD" w:rsidRDefault="0094479E"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569B1010" w14:textId="2F6C44E1" w:rsidR="0094479E" w:rsidRPr="007348FD" w:rsidRDefault="0094479E" w:rsidP="00591CBB">
            <w:pPr>
              <w:spacing w:after="160" w:line="259" w:lineRule="auto"/>
              <w:rPr>
                <w:rFonts w:ascii="Arial Narrow" w:hAnsi="Arial Narrow"/>
                <w:sz w:val="18"/>
                <w:szCs w:val="18"/>
              </w:rPr>
            </w:pPr>
            <w:r>
              <w:rPr>
                <w:rFonts w:ascii="Arial Narrow" w:hAnsi="Arial Narrow"/>
                <w:sz w:val="18"/>
                <w:szCs w:val="18"/>
              </w:rPr>
              <w:t>No</w:t>
            </w:r>
          </w:p>
        </w:tc>
        <w:tc>
          <w:tcPr>
            <w:tcW w:w="298" w:type="pct"/>
          </w:tcPr>
          <w:p w14:paraId="15C42A67" w14:textId="498FBE89" w:rsidR="0094479E" w:rsidRPr="007348FD" w:rsidRDefault="0094479E"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219B7D2C" w14:textId="77777777" w:rsidR="0094479E" w:rsidRPr="007348FD" w:rsidRDefault="0094479E" w:rsidP="00591CBB">
            <w:pPr>
              <w:spacing w:after="160" w:line="259" w:lineRule="auto"/>
              <w:rPr>
                <w:rFonts w:ascii="Arial Narrow" w:hAnsi="Arial Narrow"/>
                <w:sz w:val="18"/>
                <w:szCs w:val="18"/>
              </w:rPr>
            </w:pPr>
          </w:p>
        </w:tc>
        <w:tc>
          <w:tcPr>
            <w:tcW w:w="273" w:type="pct"/>
          </w:tcPr>
          <w:p w14:paraId="651DCCF6" w14:textId="0C0F1165" w:rsidR="0094479E" w:rsidRPr="007348FD" w:rsidRDefault="0094479E"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434CDA40" w14:textId="77777777" w:rsidR="0094479E" w:rsidRPr="007348FD" w:rsidRDefault="0094479E" w:rsidP="00591CBB">
            <w:pPr>
              <w:spacing w:after="160" w:line="259" w:lineRule="auto"/>
              <w:rPr>
                <w:rFonts w:ascii="Arial Narrow" w:hAnsi="Arial Narrow"/>
                <w:sz w:val="18"/>
                <w:szCs w:val="18"/>
              </w:rPr>
            </w:pPr>
          </w:p>
        </w:tc>
        <w:tc>
          <w:tcPr>
            <w:tcW w:w="283" w:type="pct"/>
          </w:tcPr>
          <w:p w14:paraId="765D9DC4" w14:textId="77777777" w:rsidR="0094479E" w:rsidRPr="007348FD" w:rsidRDefault="0094479E"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07A6437" w14:textId="77777777" w:rsidR="0094479E" w:rsidRPr="007348FD" w:rsidRDefault="0094479E" w:rsidP="00591CBB">
            <w:pPr>
              <w:spacing w:after="160" w:line="259" w:lineRule="auto"/>
              <w:rPr>
                <w:rFonts w:ascii="Arial Narrow" w:hAnsi="Arial Narrow"/>
                <w:sz w:val="18"/>
                <w:szCs w:val="18"/>
              </w:rPr>
            </w:pPr>
          </w:p>
        </w:tc>
        <w:tc>
          <w:tcPr>
            <w:tcW w:w="149" w:type="pct"/>
          </w:tcPr>
          <w:p w14:paraId="726336C4" w14:textId="391AF54E" w:rsidR="0094479E" w:rsidRPr="007348FD" w:rsidRDefault="0094479E"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1</w:t>
            </w:r>
          </w:p>
        </w:tc>
        <w:tc>
          <w:tcPr>
            <w:cnfStyle w:val="000010000000" w:firstRow="0" w:lastRow="0" w:firstColumn="0" w:lastColumn="0" w:oddVBand="1" w:evenVBand="0" w:oddHBand="0" w:evenHBand="0" w:firstRowFirstColumn="0" w:firstRowLastColumn="0" w:lastRowFirstColumn="0" w:lastRowLastColumn="0"/>
            <w:tcW w:w="101" w:type="pct"/>
          </w:tcPr>
          <w:p w14:paraId="63390486" w14:textId="77777777" w:rsidR="0094479E" w:rsidRPr="007348FD" w:rsidRDefault="0094479E" w:rsidP="00591CBB">
            <w:pPr>
              <w:spacing w:after="160" w:line="259" w:lineRule="auto"/>
              <w:rPr>
                <w:rFonts w:ascii="Arial Narrow" w:hAnsi="Arial Narrow"/>
                <w:sz w:val="18"/>
                <w:szCs w:val="18"/>
              </w:rPr>
            </w:pPr>
          </w:p>
        </w:tc>
        <w:tc>
          <w:tcPr>
            <w:tcW w:w="214" w:type="pct"/>
          </w:tcPr>
          <w:p w14:paraId="1D6F6FB5" w14:textId="77777777" w:rsidR="0094479E" w:rsidRPr="007348FD" w:rsidRDefault="0094479E"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571D433A" w14:textId="77777777" w:rsidR="0094479E" w:rsidRPr="007348FD" w:rsidRDefault="0094479E" w:rsidP="00591CBB">
            <w:pPr>
              <w:spacing w:after="160" w:line="259" w:lineRule="auto"/>
              <w:rPr>
                <w:rFonts w:ascii="Arial Narrow" w:hAnsi="Arial Narrow"/>
                <w:sz w:val="18"/>
                <w:szCs w:val="18"/>
              </w:rPr>
            </w:pPr>
          </w:p>
        </w:tc>
        <w:tc>
          <w:tcPr>
            <w:tcW w:w="280" w:type="pct"/>
          </w:tcPr>
          <w:p w14:paraId="18A8E50F" w14:textId="77777777" w:rsidR="0094479E" w:rsidRDefault="0094479E"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6B3BA390"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158BA56A" w14:textId="77777777" w:rsidR="00095411" w:rsidRPr="007348FD" w:rsidRDefault="00095411" w:rsidP="00591CBB">
            <w:pPr>
              <w:spacing w:after="160" w:line="259" w:lineRule="auto"/>
              <w:rPr>
                <w:rFonts w:ascii="Arial Narrow" w:hAnsi="Arial Narrow"/>
                <w:sz w:val="18"/>
                <w:szCs w:val="18"/>
              </w:rPr>
            </w:pPr>
          </w:p>
        </w:tc>
        <w:tc>
          <w:tcPr>
            <w:tcW w:w="460" w:type="pct"/>
          </w:tcPr>
          <w:p w14:paraId="29558BC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1E03AF1"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2420DB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2829CB6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5B15CB7F" w14:textId="485962A2"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6E2CBE0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4583B65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68F600E3" w14:textId="77777777" w:rsidR="00095411" w:rsidRPr="007348FD" w:rsidRDefault="00095411" w:rsidP="00591CBB">
            <w:pPr>
              <w:spacing w:after="160" w:line="259" w:lineRule="auto"/>
              <w:rPr>
                <w:rFonts w:ascii="Arial Narrow" w:hAnsi="Arial Narrow"/>
                <w:sz w:val="18"/>
                <w:szCs w:val="18"/>
              </w:rPr>
            </w:pPr>
          </w:p>
        </w:tc>
        <w:tc>
          <w:tcPr>
            <w:tcW w:w="273" w:type="pct"/>
          </w:tcPr>
          <w:p w14:paraId="408CFEE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C1B8FBF" w14:textId="77777777" w:rsidR="00095411" w:rsidRPr="007348FD" w:rsidRDefault="00095411" w:rsidP="00591CBB">
            <w:pPr>
              <w:spacing w:after="160" w:line="259" w:lineRule="auto"/>
              <w:rPr>
                <w:rFonts w:ascii="Arial Narrow" w:hAnsi="Arial Narrow"/>
                <w:sz w:val="18"/>
                <w:szCs w:val="18"/>
              </w:rPr>
            </w:pPr>
          </w:p>
        </w:tc>
        <w:tc>
          <w:tcPr>
            <w:tcW w:w="283" w:type="pct"/>
          </w:tcPr>
          <w:p w14:paraId="48669C8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390CB54" w14:textId="77777777" w:rsidR="00095411" w:rsidRPr="007348FD" w:rsidRDefault="00095411" w:rsidP="00591CBB">
            <w:pPr>
              <w:spacing w:after="160" w:line="259" w:lineRule="auto"/>
              <w:rPr>
                <w:rFonts w:ascii="Arial Narrow" w:hAnsi="Arial Narrow"/>
                <w:sz w:val="18"/>
                <w:szCs w:val="18"/>
              </w:rPr>
            </w:pPr>
          </w:p>
        </w:tc>
        <w:tc>
          <w:tcPr>
            <w:tcW w:w="149" w:type="pct"/>
          </w:tcPr>
          <w:p w14:paraId="04D523E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FCEBB84" w14:textId="77777777" w:rsidR="00095411" w:rsidRPr="007348FD" w:rsidRDefault="00095411" w:rsidP="00591CBB">
            <w:pPr>
              <w:spacing w:after="160" w:line="259" w:lineRule="auto"/>
              <w:rPr>
                <w:rFonts w:ascii="Arial Narrow" w:hAnsi="Arial Narrow"/>
                <w:sz w:val="18"/>
                <w:szCs w:val="18"/>
              </w:rPr>
            </w:pPr>
          </w:p>
        </w:tc>
        <w:tc>
          <w:tcPr>
            <w:tcW w:w="214" w:type="pct"/>
          </w:tcPr>
          <w:p w14:paraId="38FCA10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4EBB515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47B88934" w14:textId="5C82C0E9"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0C657C01"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69FEC080" w14:textId="77777777" w:rsidR="00095411" w:rsidRPr="007348FD" w:rsidRDefault="00095411" w:rsidP="00591CBB">
            <w:pPr>
              <w:spacing w:after="160" w:line="259" w:lineRule="auto"/>
              <w:rPr>
                <w:rFonts w:ascii="Arial Narrow" w:hAnsi="Arial Narrow"/>
                <w:sz w:val="18"/>
                <w:szCs w:val="18"/>
              </w:rPr>
            </w:pPr>
          </w:p>
        </w:tc>
        <w:tc>
          <w:tcPr>
            <w:tcW w:w="460" w:type="pct"/>
          </w:tcPr>
          <w:p w14:paraId="6D2BE2B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7A555C1"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CD7ADD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6935246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36C2D46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6B5AF10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1ADD2DD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3234C05D" w14:textId="77777777" w:rsidR="00095411" w:rsidRPr="007348FD" w:rsidRDefault="00095411" w:rsidP="00591CBB">
            <w:pPr>
              <w:spacing w:after="160" w:line="259" w:lineRule="auto"/>
              <w:rPr>
                <w:rFonts w:ascii="Arial Narrow" w:hAnsi="Arial Narrow"/>
                <w:sz w:val="18"/>
                <w:szCs w:val="18"/>
              </w:rPr>
            </w:pPr>
          </w:p>
        </w:tc>
        <w:tc>
          <w:tcPr>
            <w:tcW w:w="273" w:type="pct"/>
          </w:tcPr>
          <w:p w14:paraId="2CC4842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0A0EBA3E" w14:textId="77777777" w:rsidR="00095411" w:rsidRPr="007348FD" w:rsidRDefault="00095411" w:rsidP="00591CBB">
            <w:pPr>
              <w:spacing w:after="160" w:line="259" w:lineRule="auto"/>
              <w:rPr>
                <w:rFonts w:ascii="Arial Narrow" w:hAnsi="Arial Narrow"/>
                <w:sz w:val="18"/>
                <w:szCs w:val="18"/>
              </w:rPr>
            </w:pPr>
          </w:p>
        </w:tc>
        <w:tc>
          <w:tcPr>
            <w:tcW w:w="283" w:type="pct"/>
          </w:tcPr>
          <w:p w14:paraId="720B897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FA60CEC" w14:textId="77777777" w:rsidR="00095411" w:rsidRPr="007348FD" w:rsidRDefault="00095411" w:rsidP="00591CBB">
            <w:pPr>
              <w:spacing w:after="160" w:line="259" w:lineRule="auto"/>
              <w:rPr>
                <w:rFonts w:ascii="Arial Narrow" w:hAnsi="Arial Narrow"/>
                <w:sz w:val="18"/>
                <w:szCs w:val="18"/>
              </w:rPr>
            </w:pPr>
          </w:p>
        </w:tc>
        <w:tc>
          <w:tcPr>
            <w:tcW w:w="149" w:type="pct"/>
          </w:tcPr>
          <w:p w14:paraId="604AA07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29FAA9D5" w14:textId="77777777" w:rsidR="00095411" w:rsidRPr="007348FD" w:rsidRDefault="00095411" w:rsidP="00591CBB">
            <w:pPr>
              <w:spacing w:after="160" w:line="259" w:lineRule="auto"/>
              <w:rPr>
                <w:rFonts w:ascii="Arial Narrow" w:hAnsi="Arial Narrow"/>
                <w:sz w:val="18"/>
                <w:szCs w:val="18"/>
              </w:rPr>
            </w:pPr>
          </w:p>
        </w:tc>
        <w:tc>
          <w:tcPr>
            <w:tcW w:w="214" w:type="pct"/>
          </w:tcPr>
          <w:p w14:paraId="1052177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385BD859" w14:textId="77777777" w:rsidR="00095411" w:rsidRPr="007348FD" w:rsidRDefault="00095411" w:rsidP="00591CBB">
            <w:pPr>
              <w:spacing w:after="160" w:line="259" w:lineRule="auto"/>
              <w:rPr>
                <w:rFonts w:ascii="Arial Narrow" w:hAnsi="Arial Narrow"/>
                <w:sz w:val="18"/>
                <w:szCs w:val="18"/>
              </w:rPr>
            </w:pPr>
          </w:p>
        </w:tc>
        <w:tc>
          <w:tcPr>
            <w:tcW w:w="280" w:type="pct"/>
          </w:tcPr>
          <w:p w14:paraId="46DAD32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3D517492" w14:textId="77777777" w:rsidTr="00051F27">
        <w:trPr>
          <w:trHeight w:val="228"/>
        </w:trPr>
        <w:tc>
          <w:tcPr>
            <w:cnfStyle w:val="000010000000" w:firstRow="0" w:lastRow="0" w:firstColumn="0" w:lastColumn="0" w:oddVBand="1" w:evenVBand="0" w:oddHBand="0" w:evenHBand="0" w:firstRowFirstColumn="0" w:firstRowLastColumn="0" w:lastRowFirstColumn="0" w:lastRowLastColumn="0"/>
            <w:tcW w:w="432" w:type="pct"/>
          </w:tcPr>
          <w:p w14:paraId="2C52FC2B" w14:textId="77777777" w:rsidR="00095411" w:rsidRPr="007348FD" w:rsidRDefault="00095411" w:rsidP="00591CBB">
            <w:pPr>
              <w:spacing w:after="160" w:line="259" w:lineRule="auto"/>
              <w:rPr>
                <w:rFonts w:ascii="Arial Narrow" w:hAnsi="Arial Narrow"/>
                <w:sz w:val="18"/>
                <w:szCs w:val="18"/>
              </w:rPr>
            </w:pPr>
          </w:p>
        </w:tc>
        <w:tc>
          <w:tcPr>
            <w:tcW w:w="460" w:type="pct"/>
          </w:tcPr>
          <w:p w14:paraId="06A0D43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2FB0119"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2660D3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2EE4DFD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30162830" w14:textId="177CEEE1"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5D10832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5D84D84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4C69AC20" w14:textId="77777777" w:rsidR="00095411" w:rsidRPr="007348FD" w:rsidRDefault="00095411" w:rsidP="00591CBB">
            <w:pPr>
              <w:spacing w:after="160" w:line="259" w:lineRule="auto"/>
              <w:rPr>
                <w:rFonts w:ascii="Arial Narrow" w:hAnsi="Arial Narrow"/>
                <w:sz w:val="18"/>
                <w:szCs w:val="18"/>
              </w:rPr>
            </w:pPr>
          </w:p>
        </w:tc>
        <w:tc>
          <w:tcPr>
            <w:tcW w:w="273" w:type="pct"/>
          </w:tcPr>
          <w:p w14:paraId="0CFD386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9693C54" w14:textId="77777777" w:rsidR="00095411" w:rsidRPr="007348FD" w:rsidRDefault="00095411" w:rsidP="00591CBB">
            <w:pPr>
              <w:spacing w:after="160" w:line="259" w:lineRule="auto"/>
              <w:rPr>
                <w:rFonts w:ascii="Arial Narrow" w:hAnsi="Arial Narrow"/>
                <w:sz w:val="18"/>
                <w:szCs w:val="18"/>
              </w:rPr>
            </w:pPr>
          </w:p>
        </w:tc>
        <w:tc>
          <w:tcPr>
            <w:tcW w:w="283" w:type="pct"/>
          </w:tcPr>
          <w:p w14:paraId="053C40D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390B8F8" w14:textId="77777777" w:rsidR="00095411" w:rsidRPr="007348FD" w:rsidRDefault="00095411" w:rsidP="00591CBB">
            <w:pPr>
              <w:spacing w:after="160" w:line="259" w:lineRule="auto"/>
              <w:rPr>
                <w:rFonts w:ascii="Arial Narrow" w:hAnsi="Arial Narrow"/>
                <w:sz w:val="18"/>
                <w:szCs w:val="18"/>
              </w:rPr>
            </w:pPr>
          </w:p>
        </w:tc>
        <w:tc>
          <w:tcPr>
            <w:tcW w:w="149" w:type="pct"/>
          </w:tcPr>
          <w:p w14:paraId="1214F0C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8654D9E" w14:textId="77777777" w:rsidR="00095411" w:rsidRPr="007348FD" w:rsidRDefault="00095411" w:rsidP="00591CBB">
            <w:pPr>
              <w:spacing w:after="160" w:line="259" w:lineRule="auto"/>
              <w:rPr>
                <w:rFonts w:ascii="Arial Narrow" w:hAnsi="Arial Narrow"/>
                <w:sz w:val="18"/>
                <w:szCs w:val="18"/>
              </w:rPr>
            </w:pPr>
          </w:p>
        </w:tc>
        <w:tc>
          <w:tcPr>
            <w:tcW w:w="214" w:type="pct"/>
          </w:tcPr>
          <w:p w14:paraId="715F8C0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798AC18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65F1430D" w14:textId="2139FB4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2F67BCE0" w14:textId="77777777" w:rsidTr="00051F27">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432" w:type="pct"/>
          </w:tcPr>
          <w:p w14:paraId="78F1EA30" w14:textId="77777777" w:rsidR="00095411" w:rsidRPr="007348FD" w:rsidRDefault="00095411" w:rsidP="00591CBB">
            <w:pPr>
              <w:spacing w:after="160" w:line="259" w:lineRule="auto"/>
              <w:rPr>
                <w:rFonts w:ascii="Arial Narrow" w:hAnsi="Arial Narrow"/>
                <w:sz w:val="18"/>
                <w:szCs w:val="18"/>
              </w:rPr>
            </w:pPr>
          </w:p>
        </w:tc>
        <w:tc>
          <w:tcPr>
            <w:tcW w:w="460" w:type="pct"/>
          </w:tcPr>
          <w:p w14:paraId="73B23BE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7B01E1A"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A7F8C8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6A401DD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38C6B84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3A981B1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7854FE8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6FB55675" w14:textId="77777777" w:rsidR="00095411" w:rsidRPr="007348FD" w:rsidRDefault="00095411" w:rsidP="00591CBB">
            <w:pPr>
              <w:spacing w:after="160" w:line="259" w:lineRule="auto"/>
              <w:rPr>
                <w:rFonts w:ascii="Arial Narrow" w:hAnsi="Arial Narrow"/>
                <w:sz w:val="18"/>
                <w:szCs w:val="18"/>
              </w:rPr>
            </w:pPr>
          </w:p>
        </w:tc>
        <w:tc>
          <w:tcPr>
            <w:tcW w:w="273" w:type="pct"/>
          </w:tcPr>
          <w:p w14:paraId="1AC2C96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3DB55AD8" w14:textId="77777777" w:rsidR="00095411" w:rsidRPr="007348FD" w:rsidRDefault="00095411" w:rsidP="00591CBB">
            <w:pPr>
              <w:spacing w:after="160" w:line="259" w:lineRule="auto"/>
              <w:rPr>
                <w:rFonts w:ascii="Arial Narrow" w:hAnsi="Arial Narrow"/>
                <w:sz w:val="18"/>
                <w:szCs w:val="18"/>
              </w:rPr>
            </w:pPr>
          </w:p>
        </w:tc>
        <w:tc>
          <w:tcPr>
            <w:tcW w:w="283" w:type="pct"/>
          </w:tcPr>
          <w:p w14:paraId="716AF5E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F693654" w14:textId="77777777" w:rsidR="00095411" w:rsidRPr="007348FD" w:rsidRDefault="00095411" w:rsidP="00591CBB">
            <w:pPr>
              <w:spacing w:after="160" w:line="259" w:lineRule="auto"/>
              <w:rPr>
                <w:rFonts w:ascii="Arial Narrow" w:hAnsi="Arial Narrow"/>
                <w:sz w:val="18"/>
                <w:szCs w:val="18"/>
              </w:rPr>
            </w:pPr>
          </w:p>
        </w:tc>
        <w:tc>
          <w:tcPr>
            <w:tcW w:w="149" w:type="pct"/>
          </w:tcPr>
          <w:p w14:paraId="7255F50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66A5F671" w14:textId="77777777" w:rsidR="00095411" w:rsidRPr="007348FD" w:rsidRDefault="00095411" w:rsidP="00591CBB">
            <w:pPr>
              <w:spacing w:after="160" w:line="259" w:lineRule="auto"/>
              <w:rPr>
                <w:rFonts w:ascii="Arial Narrow" w:hAnsi="Arial Narrow"/>
                <w:sz w:val="18"/>
                <w:szCs w:val="18"/>
              </w:rPr>
            </w:pPr>
          </w:p>
        </w:tc>
        <w:tc>
          <w:tcPr>
            <w:tcW w:w="214" w:type="pct"/>
          </w:tcPr>
          <w:p w14:paraId="07EC324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0B51B6D9" w14:textId="77777777" w:rsidR="00095411" w:rsidRPr="007348FD" w:rsidRDefault="00095411" w:rsidP="00591CBB">
            <w:pPr>
              <w:spacing w:after="160" w:line="259" w:lineRule="auto"/>
              <w:rPr>
                <w:rFonts w:ascii="Arial Narrow" w:hAnsi="Arial Narrow"/>
                <w:sz w:val="18"/>
                <w:szCs w:val="18"/>
              </w:rPr>
            </w:pPr>
          </w:p>
        </w:tc>
        <w:tc>
          <w:tcPr>
            <w:tcW w:w="280" w:type="pct"/>
          </w:tcPr>
          <w:p w14:paraId="4D0A3F4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215E6739"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39C5AAED" w14:textId="77777777" w:rsidR="00095411" w:rsidRPr="007348FD" w:rsidRDefault="00095411" w:rsidP="00591CBB">
            <w:pPr>
              <w:spacing w:after="160" w:line="259" w:lineRule="auto"/>
              <w:rPr>
                <w:rFonts w:ascii="Arial Narrow" w:hAnsi="Arial Narrow"/>
                <w:sz w:val="18"/>
                <w:szCs w:val="18"/>
              </w:rPr>
            </w:pPr>
          </w:p>
        </w:tc>
        <w:tc>
          <w:tcPr>
            <w:tcW w:w="460" w:type="pct"/>
          </w:tcPr>
          <w:p w14:paraId="6F3B1FD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19. Proportion of young people and persons with a disability who state that they are aware of at least one BCC message over the past year.  </w:t>
            </w:r>
          </w:p>
        </w:tc>
        <w:tc>
          <w:tcPr>
            <w:cnfStyle w:val="000010000000" w:firstRow="0" w:lastRow="0" w:firstColumn="0" w:lastColumn="0" w:oddVBand="1" w:evenVBand="0" w:oddHBand="0" w:evenHBand="0" w:firstRowFirstColumn="0" w:firstRowLastColumn="0" w:lastRowFirstColumn="0" w:lastRowLastColumn="0"/>
            <w:tcW w:w="371" w:type="pct"/>
          </w:tcPr>
          <w:p w14:paraId="4A422BFD"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t>ö</w:t>
            </w:r>
          </w:p>
        </w:tc>
        <w:tc>
          <w:tcPr>
            <w:tcW w:w="341" w:type="pct"/>
          </w:tcPr>
          <w:p w14:paraId="679E667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41D407C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2CEEAF5" w14:textId="4FDBE459"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17188429" w14:textId="77777777" w:rsidR="00095411" w:rsidRPr="007348FD" w:rsidRDefault="00095411" w:rsidP="00591CBB">
            <w:pPr>
              <w:spacing w:after="160" w:line="259" w:lineRule="auto"/>
              <w:rPr>
                <w:rFonts w:ascii="Arial Narrow" w:hAnsi="Arial Narrow"/>
                <w:sz w:val="18"/>
                <w:szCs w:val="18"/>
              </w:rPr>
            </w:pPr>
          </w:p>
        </w:tc>
        <w:tc>
          <w:tcPr>
            <w:tcW w:w="298" w:type="pct"/>
          </w:tcPr>
          <w:p w14:paraId="2292D37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75C83DE5" w14:textId="77777777" w:rsidR="00095411" w:rsidRPr="007348FD" w:rsidRDefault="00095411" w:rsidP="00591CBB">
            <w:pPr>
              <w:spacing w:after="160" w:line="259" w:lineRule="auto"/>
              <w:rPr>
                <w:rFonts w:ascii="Arial Narrow" w:hAnsi="Arial Narrow"/>
                <w:sz w:val="18"/>
                <w:szCs w:val="18"/>
              </w:rPr>
            </w:pPr>
          </w:p>
        </w:tc>
        <w:tc>
          <w:tcPr>
            <w:tcW w:w="273" w:type="pct"/>
          </w:tcPr>
          <w:p w14:paraId="1DFB721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25434B8" w14:textId="77777777" w:rsidR="00095411" w:rsidRPr="007348FD" w:rsidRDefault="00095411" w:rsidP="00591CBB">
            <w:pPr>
              <w:spacing w:after="160" w:line="259" w:lineRule="auto"/>
              <w:rPr>
                <w:rFonts w:ascii="Arial Narrow" w:hAnsi="Arial Narrow"/>
                <w:sz w:val="18"/>
                <w:szCs w:val="18"/>
              </w:rPr>
            </w:pPr>
          </w:p>
        </w:tc>
        <w:tc>
          <w:tcPr>
            <w:tcW w:w="283" w:type="pct"/>
          </w:tcPr>
          <w:p w14:paraId="03774D5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2DDC112" w14:textId="77777777" w:rsidR="00095411" w:rsidRPr="007348FD" w:rsidRDefault="00095411" w:rsidP="00591CBB">
            <w:pPr>
              <w:spacing w:after="160" w:line="259" w:lineRule="auto"/>
              <w:rPr>
                <w:rFonts w:ascii="Arial Narrow" w:hAnsi="Arial Narrow"/>
                <w:sz w:val="18"/>
                <w:szCs w:val="18"/>
              </w:rPr>
            </w:pPr>
          </w:p>
        </w:tc>
        <w:tc>
          <w:tcPr>
            <w:tcW w:w="149" w:type="pct"/>
          </w:tcPr>
          <w:p w14:paraId="60447C3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E5D6DE5" w14:textId="77777777" w:rsidR="00095411" w:rsidRPr="007348FD" w:rsidRDefault="00095411" w:rsidP="00591CBB">
            <w:pPr>
              <w:spacing w:after="160" w:line="259" w:lineRule="auto"/>
              <w:rPr>
                <w:rFonts w:ascii="Arial Narrow" w:hAnsi="Arial Narrow"/>
                <w:sz w:val="18"/>
                <w:szCs w:val="18"/>
              </w:rPr>
            </w:pPr>
          </w:p>
        </w:tc>
        <w:tc>
          <w:tcPr>
            <w:tcW w:w="214" w:type="pct"/>
          </w:tcPr>
          <w:p w14:paraId="214DBAF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3E0A683A" w14:textId="77777777" w:rsidR="00095411" w:rsidRPr="007348FD" w:rsidRDefault="00095411" w:rsidP="00591CBB">
            <w:pPr>
              <w:spacing w:after="160" w:line="259" w:lineRule="auto"/>
              <w:rPr>
                <w:rFonts w:ascii="Arial Narrow" w:hAnsi="Arial Narrow"/>
                <w:sz w:val="18"/>
                <w:szCs w:val="18"/>
              </w:rPr>
            </w:pPr>
          </w:p>
        </w:tc>
        <w:tc>
          <w:tcPr>
            <w:tcW w:w="280" w:type="pct"/>
          </w:tcPr>
          <w:p w14:paraId="1918BE0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637BF8" w:rsidRPr="00591CBB" w14:paraId="52571B26"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3DAAC595" w14:textId="77777777" w:rsidR="00095411" w:rsidRPr="007348FD" w:rsidRDefault="00095411" w:rsidP="00591CBB">
            <w:pPr>
              <w:spacing w:after="160" w:line="259" w:lineRule="auto"/>
              <w:rPr>
                <w:rFonts w:ascii="Arial Narrow" w:hAnsi="Arial Narrow"/>
                <w:sz w:val="18"/>
                <w:szCs w:val="18"/>
              </w:rPr>
            </w:pPr>
          </w:p>
        </w:tc>
        <w:tc>
          <w:tcPr>
            <w:tcW w:w="460" w:type="pct"/>
          </w:tcPr>
          <w:p w14:paraId="5B6AB0B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70ADA57"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666FE5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2365982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18392FEC" w14:textId="7D1ED886"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64F0270E" w14:textId="77777777" w:rsidR="00095411" w:rsidRPr="007348FD" w:rsidRDefault="00095411" w:rsidP="00591CBB">
            <w:pPr>
              <w:spacing w:after="160" w:line="259" w:lineRule="auto"/>
              <w:rPr>
                <w:rFonts w:ascii="Arial Narrow" w:hAnsi="Arial Narrow"/>
                <w:sz w:val="18"/>
                <w:szCs w:val="18"/>
              </w:rPr>
            </w:pPr>
          </w:p>
        </w:tc>
        <w:tc>
          <w:tcPr>
            <w:tcW w:w="298" w:type="pct"/>
          </w:tcPr>
          <w:p w14:paraId="6C17385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51DA911E" w14:textId="77777777" w:rsidR="00095411" w:rsidRPr="007348FD" w:rsidRDefault="00095411" w:rsidP="00591CBB">
            <w:pPr>
              <w:spacing w:after="160" w:line="259" w:lineRule="auto"/>
              <w:rPr>
                <w:rFonts w:ascii="Arial Narrow" w:hAnsi="Arial Narrow"/>
                <w:sz w:val="18"/>
                <w:szCs w:val="18"/>
              </w:rPr>
            </w:pPr>
          </w:p>
        </w:tc>
        <w:tc>
          <w:tcPr>
            <w:tcW w:w="273" w:type="pct"/>
          </w:tcPr>
          <w:p w14:paraId="48FE086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49670AD" w14:textId="77777777" w:rsidR="00095411" w:rsidRPr="007348FD" w:rsidRDefault="00095411" w:rsidP="00591CBB">
            <w:pPr>
              <w:spacing w:after="160" w:line="259" w:lineRule="auto"/>
              <w:rPr>
                <w:rFonts w:ascii="Arial Narrow" w:hAnsi="Arial Narrow"/>
                <w:sz w:val="18"/>
                <w:szCs w:val="18"/>
              </w:rPr>
            </w:pPr>
          </w:p>
        </w:tc>
        <w:tc>
          <w:tcPr>
            <w:tcW w:w="283" w:type="pct"/>
          </w:tcPr>
          <w:p w14:paraId="2A6D7B5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5214797" w14:textId="77777777" w:rsidR="00095411" w:rsidRPr="007348FD" w:rsidRDefault="00095411" w:rsidP="00591CBB">
            <w:pPr>
              <w:spacing w:after="160" w:line="259" w:lineRule="auto"/>
              <w:rPr>
                <w:rFonts w:ascii="Arial Narrow" w:hAnsi="Arial Narrow"/>
                <w:sz w:val="18"/>
                <w:szCs w:val="18"/>
              </w:rPr>
            </w:pPr>
          </w:p>
        </w:tc>
        <w:tc>
          <w:tcPr>
            <w:tcW w:w="149" w:type="pct"/>
          </w:tcPr>
          <w:p w14:paraId="28C4524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0E95799D" w14:textId="77777777" w:rsidR="00095411" w:rsidRPr="007348FD" w:rsidRDefault="00095411" w:rsidP="00591CBB">
            <w:pPr>
              <w:spacing w:after="160" w:line="259" w:lineRule="auto"/>
              <w:rPr>
                <w:rFonts w:ascii="Arial Narrow" w:hAnsi="Arial Narrow"/>
                <w:sz w:val="18"/>
                <w:szCs w:val="18"/>
              </w:rPr>
            </w:pPr>
          </w:p>
        </w:tc>
        <w:tc>
          <w:tcPr>
            <w:tcW w:w="214" w:type="pct"/>
          </w:tcPr>
          <w:p w14:paraId="17672D4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6C404A24" w14:textId="77777777" w:rsidR="00095411" w:rsidRPr="007348FD" w:rsidRDefault="00095411" w:rsidP="00591CBB">
            <w:pPr>
              <w:spacing w:after="160" w:line="259" w:lineRule="auto"/>
              <w:rPr>
                <w:rFonts w:ascii="Arial Narrow" w:hAnsi="Arial Narrow"/>
                <w:sz w:val="18"/>
                <w:szCs w:val="18"/>
              </w:rPr>
            </w:pPr>
          </w:p>
        </w:tc>
        <w:tc>
          <w:tcPr>
            <w:tcW w:w="280" w:type="pct"/>
          </w:tcPr>
          <w:p w14:paraId="15FF9BE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0AE0A69A"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72B97085" w14:textId="77777777" w:rsidR="00095411" w:rsidRPr="007348FD" w:rsidRDefault="00095411" w:rsidP="00591CBB">
            <w:pPr>
              <w:spacing w:after="160" w:line="259" w:lineRule="auto"/>
              <w:rPr>
                <w:rFonts w:ascii="Arial Narrow" w:hAnsi="Arial Narrow"/>
                <w:sz w:val="18"/>
                <w:szCs w:val="18"/>
              </w:rPr>
            </w:pPr>
          </w:p>
        </w:tc>
        <w:tc>
          <w:tcPr>
            <w:tcW w:w="460" w:type="pct"/>
          </w:tcPr>
          <w:p w14:paraId="4F1E97D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3B451A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7AD23C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6035703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68422DEE" w14:textId="1E6D3FCD"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4DE8FCD8" w14:textId="77777777" w:rsidR="00095411" w:rsidRPr="007348FD" w:rsidRDefault="00095411" w:rsidP="00591CBB">
            <w:pPr>
              <w:spacing w:after="160" w:line="259" w:lineRule="auto"/>
              <w:rPr>
                <w:rFonts w:ascii="Arial Narrow" w:hAnsi="Arial Narrow"/>
                <w:sz w:val="18"/>
                <w:szCs w:val="18"/>
              </w:rPr>
            </w:pPr>
          </w:p>
        </w:tc>
        <w:tc>
          <w:tcPr>
            <w:tcW w:w="298" w:type="pct"/>
          </w:tcPr>
          <w:p w14:paraId="7E38CE3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644B4B4C" w14:textId="77777777" w:rsidR="00095411" w:rsidRPr="007348FD" w:rsidRDefault="00095411" w:rsidP="00591CBB">
            <w:pPr>
              <w:spacing w:after="160" w:line="259" w:lineRule="auto"/>
              <w:rPr>
                <w:rFonts w:ascii="Arial Narrow" w:hAnsi="Arial Narrow"/>
                <w:sz w:val="18"/>
                <w:szCs w:val="18"/>
              </w:rPr>
            </w:pPr>
          </w:p>
        </w:tc>
        <w:tc>
          <w:tcPr>
            <w:tcW w:w="273" w:type="pct"/>
          </w:tcPr>
          <w:p w14:paraId="37949B9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B22E3A6" w14:textId="77777777" w:rsidR="00095411" w:rsidRPr="007348FD" w:rsidRDefault="00095411" w:rsidP="00591CBB">
            <w:pPr>
              <w:spacing w:after="160" w:line="259" w:lineRule="auto"/>
              <w:rPr>
                <w:rFonts w:ascii="Arial Narrow" w:hAnsi="Arial Narrow"/>
                <w:sz w:val="18"/>
                <w:szCs w:val="18"/>
              </w:rPr>
            </w:pPr>
          </w:p>
        </w:tc>
        <w:tc>
          <w:tcPr>
            <w:tcW w:w="283" w:type="pct"/>
          </w:tcPr>
          <w:p w14:paraId="64843CA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018D633" w14:textId="77777777" w:rsidR="00095411" w:rsidRPr="007348FD" w:rsidRDefault="00095411" w:rsidP="00591CBB">
            <w:pPr>
              <w:spacing w:after="160" w:line="259" w:lineRule="auto"/>
              <w:rPr>
                <w:rFonts w:ascii="Arial Narrow" w:hAnsi="Arial Narrow"/>
                <w:sz w:val="18"/>
                <w:szCs w:val="18"/>
              </w:rPr>
            </w:pPr>
          </w:p>
        </w:tc>
        <w:tc>
          <w:tcPr>
            <w:tcW w:w="149" w:type="pct"/>
          </w:tcPr>
          <w:p w14:paraId="13DE271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C8E588C" w14:textId="77777777" w:rsidR="00095411" w:rsidRPr="007348FD" w:rsidRDefault="00095411" w:rsidP="00591CBB">
            <w:pPr>
              <w:spacing w:after="160" w:line="259" w:lineRule="auto"/>
              <w:rPr>
                <w:rFonts w:ascii="Arial Narrow" w:hAnsi="Arial Narrow"/>
                <w:sz w:val="18"/>
                <w:szCs w:val="18"/>
              </w:rPr>
            </w:pPr>
          </w:p>
        </w:tc>
        <w:tc>
          <w:tcPr>
            <w:tcW w:w="214" w:type="pct"/>
          </w:tcPr>
          <w:p w14:paraId="0BE7DFB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597EDFD9" w14:textId="77777777" w:rsidR="00095411" w:rsidRPr="007348FD" w:rsidRDefault="00095411" w:rsidP="00591CBB">
            <w:pPr>
              <w:spacing w:after="160" w:line="259" w:lineRule="auto"/>
              <w:rPr>
                <w:rFonts w:ascii="Arial Narrow" w:hAnsi="Arial Narrow"/>
                <w:sz w:val="18"/>
                <w:szCs w:val="18"/>
              </w:rPr>
            </w:pPr>
          </w:p>
        </w:tc>
        <w:tc>
          <w:tcPr>
            <w:tcW w:w="280" w:type="pct"/>
          </w:tcPr>
          <w:p w14:paraId="1825FF7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637BF8" w:rsidRPr="00591CBB" w14:paraId="676B175A"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676421B5" w14:textId="77777777" w:rsidR="00095411" w:rsidRPr="007348FD" w:rsidRDefault="00095411" w:rsidP="00591CBB">
            <w:pPr>
              <w:spacing w:after="160" w:line="259" w:lineRule="auto"/>
              <w:rPr>
                <w:rFonts w:ascii="Arial Narrow" w:hAnsi="Arial Narrow"/>
                <w:sz w:val="18"/>
                <w:szCs w:val="18"/>
              </w:rPr>
            </w:pPr>
          </w:p>
        </w:tc>
        <w:tc>
          <w:tcPr>
            <w:tcW w:w="460" w:type="pct"/>
          </w:tcPr>
          <w:p w14:paraId="076E0CB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3E9F0BE"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0C567F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743488B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10323863" w14:textId="66916DF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71A9F6A5" w14:textId="77777777" w:rsidR="00095411" w:rsidRPr="007348FD" w:rsidRDefault="00095411" w:rsidP="00591CBB">
            <w:pPr>
              <w:spacing w:after="160" w:line="259" w:lineRule="auto"/>
              <w:rPr>
                <w:rFonts w:ascii="Arial Narrow" w:hAnsi="Arial Narrow"/>
                <w:sz w:val="18"/>
                <w:szCs w:val="18"/>
              </w:rPr>
            </w:pPr>
          </w:p>
        </w:tc>
        <w:tc>
          <w:tcPr>
            <w:tcW w:w="298" w:type="pct"/>
          </w:tcPr>
          <w:p w14:paraId="2067F92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97" w:type="pct"/>
          </w:tcPr>
          <w:p w14:paraId="4FCD0ABA" w14:textId="77777777" w:rsidR="00095411" w:rsidRPr="007348FD" w:rsidRDefault="00095411" w:rsidP="00591CBB">
            <w:pPr>
              <w:spacing w:after="160" w:line="259" w:lineRule="auto"/>
              <w:rPr>
                <w:rFonts w:ascii="Arial Narrow" w:hAnsi="Arial Narrow"/>
                <w:sz w:val="18"/>
                <w:szCs w:val="18"/>
              </w:rPr>
            </w:pPr>
          </w:p>
        </w:tc>
        <w:tc>
          <w:tcPr>
            <w:tcW w:w="273" w:type="pct"/>
          </w:tcPr>
          <w:p w14:paraId="0821741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66E5246" w14:textId="77777777" w:rsidR="00095411" w:rsidRPr="007348FD" w:rsidRDefault="00095411" w:rsidP="00591CBB">
            <w:pPr>
              <w:spacing w:after="160" w:line="259" w:lineRule="auto"/>
              <w:rPr>
                <w:rFonts w:ascii="Arial Narrow" w:hAnsi="Arial Narrow"/>
                <w:sz w:val="18"/>
                <w:szCs w:val="18"/>
              </w:rPr>
            </w:pPr>
          </w:p>
        </w:tc>
        <w:tc>
          <w:tcPr>
            <w:tcW w:w="283" w:type="pct"/>
          </w:tcPr>
          <w:p w14:paraId="5156ED5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EDC1F5D" w14:textId="77777777" w:rsidR="00095411" w:rsidRPr="007348FD" w:rsidRDefault="00095411" w:rsidP="00591CBB">
            <w:pPr>
              <w:spacing w:after="160" w:line="259" w:lineRule="auto"/>
              <w:rPr>
                <w:rFonts w:ascii="Arial Narrow" w:hAnsi="Arial Narrow"/>
                <w:sz w:val="18"/>
                <w:szCs w:val="18"/>
              </w:rPr>
            </w:pPr>
          </w:p>
        </w:tc>
        <w:tc>
          <w:tcPr>
            <w:tcW w:w="149" w:type="pct"/>
          </w:tcPr>
          <w:p w14:paraId="2DABF6D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3928AD6E" w14:textId="77777777" w:rsidR="00095411" w:rsidRPr="007348FD" w:rsidRDefault="00095411" w:rsidP="00591CBB">
            <w:pPr>
              <w:spacing w:after="160" w:line="259" w:lineRule="auto"/>
              <w:rPr>
                <w:rFonts w:ascii="Arial Narrow" w:hAnsi="Arial Narrow"/>
                <w:sz w:val="18"/>
                <w:szCs w:val="18"/>
              </w:rPr>
            </w:pPr>
          </w:p>
        </w:tc>
        <w:tc>
          <w:tcPr>
            <w:tcW w:w="214" w:type="pct"/>
          </w:tcPr>
          <w:p w14:paraId="6892385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4C874FB8" w14:textId="77777777" w:rsidR="00095411" w:rsidRPr="007348FD" w:rsidRDefault="00095411" w:rsidP="00591CBB">
            <w:pPr>
              <w:spacing w:after="160" w:line="259" w:lineRule="auto"/>
              <w:rPr>
                <w:rFonts w:ascii="Arial Narrow" w:hAnsi="Arial Narrow"/>
                <w:sz w:val="18"/>
                <w:szCs w:val="18"/>
              </w:rPr>
            </w:pPr>
          </w:p>
        </w:tc>
        <w:tc>
          <w:tcPr>
            <w:tcW w:w="280" w:type="pct"/>
          </w:tcPr>
          <w:p w14:paraId="2A26DDA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7AB323D7"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126BD700" w14:textId="77777777" w:rsidR="00095411" w:rsidRPr="007348FD" w:rsidRDefault="00095411" w:rsidP="00591CBB">
            <w:pPr>
              <w:spacing w:after="160" w:line="259" w:lineRule="auto"/>
              <w:rPr>
                <w:rFonts w:ascii="Arial Narrow" w:hAnsi="Arial Narrow"/>
                <w:sz w:val="18"/>
                <w:szCs w:val="18"/>
              </w:rPr>
            </w:pPr>
          </w:p>
        </w:tc>
        <w:tc>
          <w:tcPr>
            <w:tcW w:w="460" w:type="pct"/>
          </w:tcPr>
          <w:p w14:paraId="4E23E5C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232E7C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5F260A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0062BA4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3E73030B" w14:textId="187FF83B"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5D489A0E" w14:textId="77777777" w:rsidR="00095411" w:rsidRPr="007348FD" w:rsidRDefault="00095411" w:rsidP="00591CBB">
            <w:pPr>
              <w:spacing w:after="160" w:line="259" w:lineRule="auto"/>
              <w:rPr>
                <w:rFonts w:ascii="Arial Narrow" w:hAnsi="Arial Narrow"/>
                <w:sz w:val="18"/>
                <w:szCs w:val="18"/>
              </w:rPr>
            </w:pPr>
          </w:p>
        </w:tc>
        <w:tc>
          <w:tcPr>
            <w:tcW w:w="298" w:type="pct"/>
          </w:tcPr>
          <w:p w14:paraId="454AFBD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68ACC232" w14:textId="77777777" w:rsidR="00095411" w:rsidRPr="007348FD" w:rsidRDefault="00095411" w:rsidP="00591CBB">
            <w:pPr>
              <w:spacing w:after="160" w:line="259" w:lineRule="auto"/>
              <w:rPr>
                <w:rFonts w:ascii="Arial Narrow" w:hAnsi="Arial Narrow"/>
                <w:sz w:val="18"/>
                <w:szCs w:val="18"/>
              </w:rPr>
            </w:pPr>
          </w:p>
        </w:tc>
        <w:tc>
          <w:tcPr>
            <w:tcW w:w="273" w:type="pct"/>
          </w:tcPr>
          <w:p w14:paraId="46A2D68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00BBA46" w14:textId="77777777" w:rsidR="00095411" w:rsidRPr="007348FD" w:rsidRDefault="00095411" w:rsidP="00591CBB">
            <w:pPr>
              <w:spacing w:after="160" w:line="259" w:lineRule="auto"/>
              <w:rPr>
                <w:rFonts w:ascii="Arial Narrow" w:hAnsi="Arial Narrow"/>
                <w:sz w:val="18"/>
                <w:szCs w:val="18"/>
              </w:rPr>
            </w:pPr>
          </w:p>
        </w:tc>
        <w:tc>
          <w:tcPr>
            <w:tcW w:w="283" w:type="pct"/>
          </w:tcPr>
          <w:p w14:paraId="0CF5FE1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421E9DC" w14:textId="77777777" w:rsidR="00095411" w:rsidRPr="007348FD" w:rsidRDefault="00095411" w:rsidP="00591CBB">
            <w:pPr>
              <w:spacing w:after="160" w:line="259" w:lineRule="auto"/>
              <w:rPr>
                <w:rFonts w:ascii="Arial Narrow" w:hAnsi="Arial Narrow"/>
                <w:sz w:val="18"/>
                <w:szCs w:val="18"/>
              </w:rPr>
            </w:pPr>
          </w:p>
        </w:tc>
        <w:tc>
          <w:tcPr>
            <w:tcW w:w="149" w:type="pct"/>
          </w:tcPr>
          <w:p w14:paraId="3415828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83D3435" w14:textId="77777777" w:rsidR="00095411" w:rsidRPr="007348FD" w:rsidRDefault="00095411" w:rsidP="00591CBB">
            <w:pPr>
              <w:spacing w:after="160" w:line="259" w:lineRule="auto"/>
              <w:rPr>
                <w:rFonts w:ascii="Arial Narrow" w:hAnsi="Arial Narrow"/>
                <w:sz w:val="18"/>
                <w:szCs w:val="18"/>
              </w:rPr>
            </w:pPr>
          </w:p>
        </w:tc>
        <w:tc>
          <w:tcPr>
            <w:tcW w:w="214" w:type="pct"/>
          </w:tcPr>
          <w:p w14:paraId="1F08B3D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2BE7153F" w14:textId="77777777" w:rsidR="00095411" w:rsidRPr="007348FD" w:rsidRDefault="00095411" w:rsidP="00591CBB">
            <w:pPr>
              <w:spacing w:after="160" w:line="259" w:lineRule="auto"/>
              <w:rPr>
                <w:rFonts w:ascii="Arial Narrow" w:hAnsi="Arial Narrow"/>
                <w:sz w:val="18"/>
                <w:szCs w:val="18"/>
              </w:rPr>
            </w:pPr>
          </w:p>
        </w:tc>
        <w:tc>
          <w:tcPr>
            <w:tcW w:w="280" w:type="pct"/>
          </w:tcPr>
          <w:p w14:paraId="6FBC37F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637BF8" w:rsidRPr="00591CBB" w14:paraId="483FDA64"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4572E98A" w14:textId="77777777" w:rsidR="00095411" w:rsidRPr="007348FD" w:rsidRDefault="00095411" w:rsidP="00591CBB">
            <w:pPr>
              <w:spacing w:after="160" w:line="259" w:lineRule="auto"/>
              <w:rPr>
                <w:rFonts w:ascii="Arial Narrow" w:hAnsi="Arial Narrow"/>
                <w:sz w:val="18"/>
                <w:szCs w:val="18"/>
              </w:rPr>
            </w:pPr>
          </w:p>
        </w:tc>
        <w:tc>
          <w:tcPr>
            <w:tcW w:w="460" w:type="pct"/>
          </w:tcPr>
          <w:p w14:paraId="6476257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388AB10"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D17545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6F39D3D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130A5031" w14:textId="4C5836C4"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0DB31416" w14:textId="77777777" w:rsidR="00095411" w:rsidRPr="007348FD" w:rsidRDefault="00095411" w:rsidP="00591CBB">
            <w:pPr>
              <w:spacing w:after="160" w:line="259" w:lineRule="auto"/>
              <w:rPr>
                <w:rFonts w:ascii="Arial Narrow" w:hAnsi="Arial Narrow"/>
                <w:sz w:val="18"/>
                <w:szCs w:val="18"/>
              </w:rPr>
            </w:pPr>
          </w:p>
        </w:tc>
        <w:tc>
          <w:tcPr>
            <w:tcW w:w="298" w:type="pct"/>
          </w:tcPr>
          <w:p w14:paraId="2A1650E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3529AD1E" w14:textId="77777777" w:rsidR="00095411" w:rsidRPr="007348FD" w:rsidRDefault="00095411" w:rsidP="00591CBB">
            <w:pPr>
              <w:spacing w:after="160" w:line="259" w:lineRule="auto"/>
              <w:rPr>
                <w:rFonts w:ascii="Arial Narrow" w:hAnsi="Arial Narrow"/>
                <w:sz w:val="18"/>
                <w:szCs w:val="18"/>
              </w:rPr>
            </w:pPr>
          </w:p>
        </w:tc>
        <w:tc>
          <w:tcPr>
            <w:tcW w:w="273" w:type="pct"/>
          </w:tcPr>
          <w:p w14:paraId="1AE3288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796613E" w14:textId="77777777" w:rsidR="00095411" w:rsidRPr="007348FD" w:rsidRDefault="00095411" w:rsidP="00591CBB">
            <w:pPr>
              <w:spacing w:after="160" w:line="259" w:lineRule="auto"/>
              <w:rPr>
                <w:rFonts w:ascii="Arial Narrow" w:hAnsi="Arial Narrow"/>
                <w:sz w:val="18"/>
                <w:szCs w:val="18"/>
              </w:rPr>
            </w:pPr>
          </w:p>
        </w:tc>
        <w:tc>
          <w:tcPr>
            <w:tcW w:w="283" w:type="pct"/>
          </w:tcPr>
          <w:p w14:paraId="7F1D42B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095535B" w14:textId="77777777" w:rsidR="00095411" w:rsidRPr="007348FD" w:rsidRDefault="00095411" w:rsidP="00591CBB">
            <w:pPr>
              <w:spacing w:after="160" w:line="259" w:lineRule="auto"/>
              <w:rPr>
                <w:rFonts w:ascii="Arial Narrow" w:hAnsi="Arial Narrow"/>
                <w:sz w:val="18"/>
                <w:szCs w:val="18"/>
              </w:rPr>
            </w:pPr>
          </w:p>
        </w:tc>
        <w:tc>
          <w:tcPr>
            <w:tcW w:w="149" w:type="pct"/>
          </w:tcPr>
          <w:p w14:paraId="1BAB7AB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1C8E875C" w14:textId="77777777" w:rsidR="00095411" w:rsidRPr="007348FD" w:rsidRDefault="00095411" w:rsidP="00591CBB">
            <w:pPr>
              <w:spacing w:after="160" w:line="259" w:lineRule="auto"/>
              <w:rPr>
                <w:rFonts w:ascii="Arial Narrow" w:hAnsi="Arial Narrow"/>
                <w:sz w:val="18"/>
                <w:szCs w:val="18"/>
              </w:rPr>
            </w:pPr>
          </w:p>
        </w:tc>
        <w:tc>
          <w:tcPr>
            <w:tcW w:w="214" w:type="pct"/>
          </w:tcPr>
          <w:p w14:paraId="22EB8A9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4130CF92" w14:textId="77777777" w:rsidR="00095411" w:rsidRPr="007348FD" w:rsidRDefault="00095411" w:rsidP="00591CBB">
            <w:pPr>
              <w:spacing w:after="160" w:line="259" w:lineRule="auto"/>
              <w:rPr>
                <w:rFonts w:ascii="Arial Narrow" w:hAnsi="Arial Narrow"/>
                <w:sz w:val="18"/>
                <w:szCs w:val="18"/>
              </w:rPr>
            </w:pPr>
          </w:p>
        </w:tc>
        <w:tc>
          <w:tcPr>
            <w:tcW w:w="280" w:type="pct"/>
          </w:tcPr>
          <w:p w14:paraId="2B45347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03E9CAA4"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54AA14C1" w14:textId="77777777" w:rsidR="00095411" w:rsidRPr="007348FD" w:rsidRDefault="00095411" w:rsidP="00591CBB">
            <w:pPr>
              <w:spacing w:after="160" w:line="259" w:lineRule="auto"/>
              <w:rPr>
                <w:rFonts w:ascii="Arial Narrow" w:hAnsi="Arial Narrow"/>
                <w:sz w:val="18"/>
                <w:szCs w:val="18"/>
              </w:rPr>
            </w:pPr>
          </w:p>
        </w:tc>
        <w:tc>
          <w:tcPr>
            <w:tcW w:w="460" w:type="pct"/>
          </w:tcPr>
          <w:p w14:paraId="1BEB159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4A7334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D669E8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5075A56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4DB9CCC" w14:textId="0D8F607F"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181B0119" w14:textId="77777777" w:rsidR="00095411" w:rsidRPr="007348FD" w:rsidRDefault="00095411" w:rsidP="00591CBB">
            <w:pPr>
              <w:spacing w:after="160" w:line="259" w:lineRule="auto"/>
              <w:rPr>
                <w:rFonts w:ascii="Arial Narrow" w:hAnsi="Arial Narrow"/>
                <w:sz w:val="18"/>
                <w:szCs w:val="18"/>
              </w:rPr>
            </w:pPr>
          </w:p>
        </w:tc>
        <w:tc>
          <w:tcPr>
            <w:tcW w:w="298" w:type="pct"/>
          </w:tcPr>
          <w:p w14:paraId="5F05DE6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7F319903" w14:textId="77777777" w:rsidR="00095411" w:rsidRPr="007348FD" w:rsidRDefault="00095411" w:rsidP="00591CBB">
            <w:pPr>
              <w:spacing w:after="160" w:line="259" w:lineRule="auto"/>
              <w:rPr>
                <w:rFonts w:ascii="Arial Narrow" w:hAnsi="Arial Narrow"/>
                <w:sz w:val="18"/>
                <w:szCs w:val="18"/>
              </w:rPr>
            </w:pPr>
          </w:p>
        </w:tc>
        <w:tc>
          <w:tcPr>
            <w:tcW w:w="273" w:type="pct"/>
          </w:tcPr>
          <w:p w14:paraId="2CC7FD8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F55099E" w14:textId="77777777" w:rsidR="00095411" w:rsidRPr="007348FD" w:rsidRDefault="00095411" w:rsidP="00591CBB">
            <w:pPr>
              <w:spacing w:after="160" w:line="259" w:lineRule="auto"/>
              <w:rPr>
                <w:rFonts w:ascii="Arial Narrow" w:hAnsi="Arial Narrow"/>
                <w:sz w:val="18"/>
                <w:szCs w:val="18"/>
              </w:rPr>
            </w:pPr>
          </w:p>
        </w:tc>
        <w:tc>
          <w:tcPr>
            <w:tcW w:w="283" w:type="pct"/>
          </w:tcPr>
          <w:p w14:paraId="4C5EBE6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9BA49C1" w14:textId="77777777" w:rsidR="00095411" w:rsidRPr="007348FD" w:rsidRDefault="00095411" w:rsidP="00591CBB">
            <w:pPr>
              <w:spacing w:after="160" w:line="259" w:lineRule="auto"/>
              <w:rPr>
                <w:rFonts w:ascii="Arial Narrow" w:hAnsi="Arial Narrow"/>
                <w:sz w:val="18"/>
                <w:szCs w:val="18"/>
              </w:rPr>
            </w:pPr>
          </w:p>
        </w:tc>
        <w:tc>
          <w:tcPr>
            <w:tcW w:w="149" w:type="pct"/>
          </w:tcPr>
          <w:p w14:paraId="2AAC6BF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3B7EB48" w14:textId="77777777" w:rsidR="00095411" w:rsidRPr="007348FD" w:rsidRDefault="00095411" w:rsidP="00591CBB">
            <w:pPr>
              <w:spacing w:after="160" w:line="259" w:lineRule="auto"/>
              <w:rPr>
                <w:rFonts w:ascii="Arial Narrow" w:hAnsi="Arial Narrow"/>
                <w:sz w:val="18"/>
                <w:szCs w:val="18"/>
              </w:rPr>
            </w:pPr>
          </w:p>
        </w:tc>
        <w:tc>
          <w:tcPr>
            <w:tcW w:w="214" w:type="pct"/>
          </w:tcPr>
          <w:p w14:paraId="31C9F43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2BAB7BCA" w14:textId="77777777" w:rsidR="00095411" w:rsidRPr="007348FD" w:rsidRDefault="00095411" w:rsidP="00591CBB">
            <w:pPr>
              <w:spacing w:after="160" w:line="259" w:lineRule="auto"/>
              <w:rPr>
                <w:rFonts w:ascii="Arial Narrow" w:hAnsi="Arial Narrow"/>
                <w:sz w:val="18"/>
                <w:szCs w:val="18"/>
              </w:rPr>
            </w:pPr>
          </w:p>
        </w:tc>
        <w:tc>
          <w:tcPr>
            <w:tcW w:w="280" w:type="pct"/>
          </w:tcPr>
          <w:p w14:paraId="35F8AE3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637BF8" w:rsidRPr="00591CBB" w14:paraId="6A15F27F"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3B0F9E44" w14:textId="77777777" w:rsidR="00095411" w:rsidRPr="007348FD" w:rsidRDefault="00095411" w:rsidP="00591CBB">
            <w:pPr>
              <w:spacing w:after="160" w:line="259" w:lineRule="auto"/>
              <w:rPr>
                <w:rFonts w:ascii="Arial Narrow" w:hAnsi="Arial Narrow"/>
                <w:sz w:val="18"/>
                <w:szCs w:val="18"/>
              </w:rPr>
            </w:pPr>
          </w:p>
        </w:tc>
        <w:tc>
          <w:tcPr>
            <w:tcW w:w="460" w:type="pct"/>
          </w:tcPr>
          <w:p w14:paraId="6137626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4C60E9D"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D2B5BA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A41E8D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6368CFFE" w14:textId="7E7DC6D6"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47001C70" w14:textId="77777777" w:rsidR="00095411" w:rsidRPr="007348FD" w:rsidRDefault="00095411" w:rsidP="00591CBB">
            <w:pPr>
              <w:spacing w:after="160" w:line="259" w:lineRule="auto"/>
              <w:rPr>
                <w:rFonts w:ascii="Arial Narrow" w:hAnsi="Arial Narrow"/>
                <w:sz w:val="18"/>
                <w:szCs w:val="18"/>
              </w:rPr>
            </w:pPr>
          </w:p>
        </w:tc>
        <w:tc>
          <w:tcPr>
            <w:tcW w:w="298" w:type="pct"/>
          </w:tcPr>
          <w:p w14:paraId="6A4FD45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139318A1" w14:textId="77777777" w:rsidR="00095411" w:rsidRPr="007348FD" w:rsidRDefault="00095411" w:rsidP="00591CBB">
            <w:pPr>
              <w:spacing w:after="160" w:line="259" w:lineRule="auto"/>
              <w:rPr>
                <w:rFonts w:ascii="Arial Narrow" w:hAnsi="Arial Narrow"/>
                <w:sz w:val="18"/>
                <w:szCs w:val="18"/>
              </w:rPr>
            </w:pPr>
          </w:p>
        </w:tc>
        <w:tc>
          <w:tcPr>
            <w:tcW w:w="273" w:type="pct"/>
          </w:tcPr>
          <w:p w14:paraId="0D24A35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19B2C0D" w14:textId="77777777" w:rsidR="00095411" w:rsidRPr="007348FD" w:rsidRDefault="00095411" w:rsidP="00591CBB">
            <w:pPr>
              <w:spacing w:after="160" w:line="259" w:lineRule="auto"/>
              <w:rPr>
                <w:rFonts w:ascii="Arial Narrow" w:hAnsi="Arial Narrow"/>
                <w:sz w:val="18"/>
                <w:szCs w:val="18"/>
              </w:rPr>
            </w:pPr>
          </w:p>
        </w:tc>
        <w:tc>
          <w:tcPr>
            <w:tcW w:w="283" w:type="pct"/>
          </w:tcPr>
          <w:p w14:paraId="48F5DAB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AD3AEB1" w14:textId="77777777" w:rsidR="00095411" w:rsidRPr="007348FD" w:rsidRDefault="00095411" w:rsidP="00591CBB">
            <w:pPr>
              <w:spacing w:after="160" w:line="259" w:lineRule="auto"/>
              <w:rPr>
                <w:rFonts w:ascii="Arial Narrow" w:hAnsi="Arial Narrow"/>
                <w:sz w:val="18"/>
                <w:szCs w:val="18"/>
              </w:rPr>
            </w:pPr>
          </w:p>
        </w:tc>
        <w:tc>
          <w:tcPr>
            <w:tcW w:w="149" w:type="pct"/>
          </w:tcPr>
          <w:p w14:paraId="45E16F7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747E777B" w14:textId="77777777" w:rsidR="00095411" w:rsidRPr="007348FD" w:rsidRDefault="00095411" w:rsidP="00591CBB">
            <w:pPr>
              <w:spacing w:after="160" w:line="259" w:lineRule="auto"/>
              <w:rPr>
                <w:rFonts w:ascii="Arial Narrow" w:hAnsi="Arial Narrow"/>
                <w:sz w:val="18"/>
                <w:szCs w:val="18"/>
              </w:rPr>
            </w:pPr>
          </w:p>
        </w:tc>
        <w:tc>
          <w:tcPr>
            <w:tcW w:w="214" w:type="pct"/>
          </w:tcPr>
          <w:p w14:paraId="32BA938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NA</w:t>
            </w:r>
          </w:p>
        </w:tc>
        <w:tc>
          <w:tcPr>
            <w:cnfStyle w:val="000010000000" w:firstRow="0" w:lastRow="0" w:firstColumn="0" w:lastColumn="0" w:oddVBand="1" w:evenVBand="0" w:oddHBand="0" w:evenHBand="0" w:firstRowFirstColumn="0" w:firstRowLastColumn="0" w:lastRowFirstColumn="0" w:lastRowLastColumn="0"/>
            <w:tcW w:w="245" w:type="pct"/>
          </w:tcPr>
          <w:p w14:paraId="3ABBA1C0" w14:textId="77777777" w:rsidR="00095411" w:rsidRPr="007348FD" w:rsidRDefault="00095411" w:rsidP="00591CBB">
            <w:pPr>
              <w:spacing w:after="160" w:line="259" w:lineRule="auto"/>
              <w:rPr>
                <w:rFonts w:ascii="Arial Narrow" w:hAnsi="Arial Narrow"/>
                <w:sz w:val="18"/>
                <w:szCs w:val="18"/>
              </w:rPr>
            </w:pPr>
          </w:p>
        </w:tc>
        <w:tc>
          <w:tcPr>
            <w:tcW w:w="280" w:type="pct"/>
          </w:tcPr>
          <w:p w14:paraId="0768059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2B135719"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6704F243" w14:textId="77777777" w:rsidR="00095411" w:rsidRPr="007348FD" w:rsidRDefault="00095411" w:rsidP="00591CBB">
            <w:pPr>
              <w:spacing w:after="160" w:line="259" w:lineRule="auto"/>
              <w:rPr>
                <w:rFonts w:ascii="Arial Narrow" w:hAnsi="Arial Narrow"/>
                <w:sz w:val="18"/>
                <w:szCs w:val="18"/>
              </w:rPr>
            </w:pPr>
          </w:p>
        </w:tc>
        <w:tc>
          <w:tcPr>
            <w:tcW w:w="460" w:type="pct"/>
          </w:tcPr>
          <w:p w14:paraId="43CEE56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343A44A"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5029F1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7BE7964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509E516E" w14:textId="719F009E"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64A6D083" w14:textId="77777777" w:rsidR="00095411" w:rsidRPr="007348FD" w:rsidRDefault="00095411" w:rsidP="00591CBB">
            <w:pPr>
              <w:spacing w:after="160" w:line="259" w:lineRule="auto"/>
              <w:rPr>
                <w:rFonts w:ascii="Arial Narrow" w:hAnsi="Arial Narrow"/>
                <w:sz w:val="18"/>
                <w:szCs w:val="18"/>
              </w:rPr>
            </w:pPr>
          </w:p>
        </w:tc>
        <w:tc>
          <w:tcPr>
            <w:tcW w:w="298" w:type="pct"/>
          </w:tcPr>
          <w:p w14:paraId="6E9A0C7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26DD8AD3" w14:textId="77777777" w:rsidR="00095411" w:rsidRPr="007348FD" w:rsidRDefault="00095411" w:rsidP="00591CBB">
            <w:pPr>
              <w:spacing w:after="160" w:line="259" w:lineRule="auto"/>
              <w:rPr>
                <w:rFonts w:ascii="Arial Narrow" w:hAnsi="Arial Narrow"/>
                <w:sz w:val="18"/>
                <w:szCs w:val="18"/>
              </w:rPr>
            </w:pPr>
          </w:p>
        </w:tc>
        <w:tc>
          <w:tcPr>
            <w:tcW w:w="273" w:type="pct"/>
          </w:tcPr>
          <w:p w14:paraId="1C2386B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9F3C797" w14:textId="77777777" w:rsidR="00095411" w:rsidRPr="007348FD" w:rsidRDefault="00095411" w:rsidP="00591CBB">
            <w:pPr>
              <w:spacing w:after="160" w:line="259" w:lineRule="auto"/>
              <w:rPr>
                <w:rFonts w:ascii="Arial Narrow" w:hAnsi="Arial Narrow"/>
                <w:sz w:val="18"/>
                <w:szCs w:val="18"/>
              </w:rPr>
            </w:pPr>
          </w:p>
        </w:tc>
        <w:tc>
          <w:tcPr>
            <w:tcW w:w="283" w:type="pct"/>
          </w:tcPr>
          <w:p w14:paraId="383CACA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AB8FA89" w14:textId="77777777" w:rsidR="00095411" w:rsidRPr="007348FD" w:rsidRDefault="00095411" w:rsidP="00591CBB">
            <w:pPr>
              <w:spacing w:after="160" w:line="259" w:lineRule="auto"/>
              <w:rPr>
                <w:rFonts w:ascii="Arial Narrow" w:hAnsi="Arial Narrow"/>
                <w:sz w:val="18"/>
                <w:szCs w:val="18"/>
              </w:rPr>
            </w:pPr>
          </w:p>
        </w:tc>
        <w:tc>
          <w:tcPr>
            <w:tcW w:w="149" w:type="pct"/>
          </w:tcPr>
          <w:p w14:paraId="7570082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65F5845A" w14:textId="77777777" w:rsidR="00095411" w:rsidRPr="007348FD" w:rsidRDefault="00095411" w:rsidP="00591CBB">
            <w:pPr>
              <w:spacing w:after="160" w:line="259" w:lineRule="auto"/>
              <w:rPr>
                <w:rFonts w:ascii="Arial Narrow" w:hAnsi="Arial Narrow"/>
                <w:sz w:val="18"/>
                <w:szCs w:val="18"/>
              </w:rPr>
            </w:pPr>
          </w:p>
        </w:tc>
        <w:tc>
          <w:tcPr>
            <w:tcW w:w="214" w:type="pct"/>
          </w:tcPr>
          <w:p w14:paraId="16E355E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2A6427C9" w14:textId="77777777" w:rsidR="00095411" w:rsidRPr="007348FD" w:rsidRDefault="00095411" w:rsidP="00591CBB">
            <w:pPr>
              <w:spacing w:after="160" w:line="259" w:lineRule="auto"/>
              <w:rPr>
                <w:rFonts w:ascii="Arial Narrow" w:hAnsi="Arial Narrow"/>
                <w:sz w:val="18"/>
                <w:szCs w:val="18"/>
              </w:rPr>
            </w:pPr>
          </w:p>
        </w:tc>
        <w:tc>
          <w:tcPr>
            <w:tcW w:w="280" w:type="pct"/>
          </w:tcPr>
          <w:p w14:paraId="3D992D1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637BF8" w:rsidRPr="00591CBB" w14:paraId="63EE7BFF"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200127A3" w14:textId="77777777" w:rsidR="00095411" w:rsidRPr="007348FD" w:rsidRDefault="00095411" w:rsidP="00591CBB">
            <w:pPr>
              <w:spacing w:after="160" w:line="259" w:lineRule="auto"/>
              <w:rPr>
                <w:rFonts w:ascii="Arial Narrow" w:hAnsi="Arial Narrow"/>
                <w:sz w:val="18"/>
                <w:szCs w:val="18"/>
              </w:rPr>
            </w:pPr>
          </w:p>
        </w:tc>
        <w:tc>
          <w:tcPr>
            <w:tcW w:w="460" w:type="pct"/>
          </w:tcPr>
          <w:p w14:paraId="675A4B9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E13B71B"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5643DF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409A8D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11A9ADDC" w14:textId="7FF6A44A"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357F79D5" w14:textId="77777777" w:rsidR="00095411" w:rsidRPr="007348FD" w:rsidRDefault="00095411" w:rsidP="00591CBB">
            <w:pPr>
              <w:spacing w:after="160" w:line="259" w:lineRule="auto"/>
              <w:rPr>
                <w:rFonts w:ascii="Arial Narrow" w:hAnsi="Arial Narrow"/>
                <w:sz w:val="18"/>
                <w:szCs w:val="18"/>
              </w:rPr>
            </w:pPr>
          </w:p>
        </w:tc>
        <w:tc>
          <w:tcPr>
            <w:tcW w:w="298" w:type="pct"/>
          </w:tcPr>
          <w:p w14:paraId="7671C0F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05047C61" w14:textId="77777777" w:rsidR="00095411" w:rsidRPr="007348FD" w:rsidRDefault="00095411" w:rsidP="00591CBB">
            <w:pPr>
              <w:spacing w:after="160" w:line="259" w:lineRule="auto"/>
              <w:rPr>
                <w:rFonts w:ascii="Arial Narrow" w:hAnsi="Arial Narrow"/>
                <w:sz w:val="18"/>
                <w:szCs w:val="18"/>
              </w:rPr>
            </w:pPr>
          </w:p>
        </w:tc>
        <w:tc>
          <w:tcPr>
            <w:tcW w:w="273" w:type="pct"/>
          </w:tcPr>
          <w:p w14:paraId="1824550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4DDD0F1" w14:textId="77777777" w:rsidR="00095411" w:rsidRPr="007348FD" w:rsidRDefault="00095411" w:rsidP="00591CBB">
            <w:pPr>
              <w:spacing w:after="160" w:line="259" w:lineRule="auto"/>
              <w:rPr>
                <w:rFonts w:ascii="Arial Narrow" w:hAnsi="Arial Narrow"/>
                <w:sz w:val="18"/>
                <w:szCs w:val="18"/>
              </w:rPr>
            </w:pPr>
          </w:p>
        </w:tc>
        <w:tc>
          <w:tcPr>
            <w:tcW w:w="283" w:type="pct"/>
          </w:tcPr>
          <w:p w14:paraId="0CA595A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76A006E" w14:textId="77777777" w:rsidR="00095411" w:rsidRPr="007348FD" w:rsidRDefault="00095411" w:rsidP="00591CBB">
            <w:pPr>
              <w:spacing w:after="160" w:line="259" w:lineRule="auto"/>
              <w:rPr>
                <w:rFonts w:ascii="Arial Narrow" w:hAnsi="Arial Narrow"/>
                <w:sz w:val="18"/>
                <w:szCs w:val="18"/>
              </w:rPr>
            </w:pPr>
          </w:p>
        </w:tc>
        <w:tc>
          <w:tcPr>
            <w:tcW w:w="149" w:type="pct"/>
          </w:tcPr>
          <w:p w14:paraId="489F459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213E8715" w14:textId="77777777" w:rsidR="00095411" w:rsidRPr="007348FD" w:rsidRDefault="00095411" w:rsidP="00591CBB">
            <w:pPr>
              <w:spacing w:after="160" w:line="259" w:lineRule="auto"/>
              <w:rPr>
                <w:rFonts w:ascii="Arial Narrow" w:hAnsi="Arial Narrow"/>
                <w:sz w:val="18"/>
                <w:szCs w:val="18"/>
              </w:rPr>
            </w:pPr>
          </w:p>
        </w:tc>
        <w:tc>
          <w:tcPr>
            <w:tcW w:w="214" w:type="pct"/>
          </w:tcPr>
          <w:p w14:paraId="76D0EB7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47E564CE" w14:textId="77777777" w:rsidR="00095411" w:rsidRPr="007348FD" w:rsidRDefault="00095411" w:rsidP="00591CBB">
            <w:pPr>
              <w:spacing w:after="160" w:line="259" w:lineRule="auto"/>
              <w:rPr>
                <w:rFonts w:ascii="Arial Narrow" w:hAnsi="Arial Narrow"/>
                <w:sz w:val="18"/>
                <w:szCs w:val="18"/>
              </w:rPr>
            </w:pPr>
          </w:p>
        </w:tc>
        <w:tc>
          <w:tcPr>
            <w:tcW w:w="280" w:type="pct"/>
          </w:tcPr>
          <w:p w14:paraId="032CE01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226715B0" w14:textId="77777777" w:rsidTr="00051F27">
        <w:trPr>
          <w:trHeight w:val="228"/>
        </w:trPr>
        <w:tc>
          <w:tcPr>
            <w:cnfStyle w:val="000010000000" w:firstRow="0" w:lastRow="0" w:firstColumn="0" w:lastColumn="0" w:oddVBand="1" w:evenVBand="0" w:oddHBand="0" w:evenHBand="0" w:firstRowFirstColumn="0" w:firstRowLastColumn="0" w:lastRowFirstColumn="0" w:lastRowLastColumn="0"/>
            <w:tcW w:w="432" w:type="pct"/>
          </w:tcPr>
          <w:p w14:paraId="4F17D7E7" w14:textId="77777777" w:rsidR="00095411" w:rsidRPr="007348FD" w:rsidRDefault="00095411" w:rsidP="00591CBB">
            <w:pPr>
              <w:spacing w:after="160" w:line="259" w:lineRule="auto"/>
              <w:rPr>
                <w:rFonts w:ascii="Arial Narrow" w:hAnsi="Arial Narrow"/>
                <w:sz w:val="18"/>
                <w:szCs w:val="18"/>
              </w:rPr>
            </w:pPr>
          </w:p>
        </w:tc>
        <w:tc>
          <w:tcPr>
            <w:tcW w:w="460" w:type="pct"/>
          </w:tcPr>
          <w:p w14:paraId="60C292D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387CE0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BF76B1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4D6A3EC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DD3F997" w14:textId="4E2DC84E"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581B0473" w14:textId="77777777" w:rsidR="00095411" w:rsidRPr="007348FD" w:rsidRDefault="00095411" w:rsidP="00591CBB">
            <w:pPr>
              <w:spacing w:after="160" w:line="259" w:lineRule="auto"/>
              <w:rPr>
                <w:rFonts w:ascii="Arial Narrow" w:hAnsi="Arial Narrow"/>
                <w:sz w:val="18"/>
                <w:szCs w:val="18"/>
              </w:rPr>
            </w:pPr>
          </w:p>
        </w:tc>
        <w:tc>
          <w:tcPr>
            <w:tcW w:w="298" w:type="pct"/>
          </w:tcPr>
          <w:p w14:paraId="1F868D8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07EFBD59" w14:textId="77777777" w:rsidR="00095411" w:rsidRPr="007348FD" w:rsidRDefault="00095411" w:rsidP="00591CBB">
            <w:pPr>
              <w:spacing w:after="160" w:line="259" w:lineRule="auto"/>
              <w:rPr>
                <w:rFonts w:ascii="Arial Narrow" w:hAnsi="Arial Narrow"/>
                <w:sz w:val="18"/>
                <w:szCs w:val="18"/>
              </w:rPr>
            </w:pPr>
          </w:p>
        </w:tc>
        <w:tc>
          <w:tcPr>
            <w:tcW w:w="273" w:type="pct"/>
          </w:tcPr>
          <w:p w14:paraId="133FC23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00BA63C" w14:textId="77777777" w:rsidR="00095411" w:rsidRPr="007348FD" w:rsidRDefault="00095411" w:rsidP="00591CBB">
            <w:pPr>
              <w:spacing w:after="160" w:line="259" w:lineRule="auto"/>
              <w:rPr>
                <w:rFonts w:ascii="Arial Narrow" w:hAnsi="Arial Narrow"/>
                <w:sz w:val="18"/>
                <w:szCs w:val="18"/>
              </w:rPr>
            </w:pPr>
          </w:p>
        </w:tc>
        <w:tc>
          <w:tcPr>
            <w:tcW w:w="283" w:type="pct"/>
          </w:tcPr>
          <w:p w14:paraId="29F4F9E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622FB6A" w14:textId="77777777" w:rsidR="00095411" w:rsidRPr="007348FD" w:rsidRDefault="00095411" w:rsidP="00591CBB">
            <w:pPr>
              <w:spacing w:after="160" w:line="259" w:lineRule="auto"/>
              <w:rPr>
                <w:rFonts w:ascii="Arial Narrow" w:hAnsi="Arial Narrow"/>
                <w:sz w:val="18"/>
                <w:szCs w:val="18"/>
              </w:rPr>
            </w:pPr>
          </w:p>
        </w:tc>
        <w:tc>
          <w:tcPr>
            <w:tcW w:w="149" w:type="pct"/>
          </w:tcPr>
          <w:p w14:paraId="7713E0B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0A0595E" w14:textId="77777777" w:rsidR="00095411" w:rsidRPr="007348FD" w:rsidRDefault="00095411" w:rsidP="00591CBB">
            <w:pPr>
              <w:spacing w:after="160" w:line="259" w:lineRule="auto"/>
              <w:rPr>
                <w:rFonts w:ascii="Arial Narrow" w:hAnsi="Arial Narrow"/>
                <w:sz w:val="18"/>
                <w:szCs w:val="18"/>
              </w:rPr>
            </w:pPr>
          </w:p>
        </w:tc>
        <w:tc>
          <w:tcPr>
            <w:tcW w:w="214" w:type="pct"/>
          </w:tcPr>
          <w:p w14:paraId="32914E4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0B74DF8D" w14:textId="77777777" w:rsidR="00095411" w:rsidRPr="007348FD" w:rsidRDefault="00095411" w:rsidP="00591CBB">
            <w:pPr>
              <w:spacing w:after="160" w:line="259" w:lineRule="auto"/>
              <w:rPr>
                <w:rFonts w:ascii="Arial Narrow" w:hAnsi="Arial Narrow"/>
                <w:sz w:val="18"/>
                <w:szCs w:val="18"/>
              </w:rPr>
            </w:pPr>
          </w:p>
        </w:tc>
        <w:tc>
          <w:tcPr>
            <w:tcW w:w="280" w:type="pct"/>
          </w:tcPr>
          <w:p w14:paraId="1D3C90D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637BF8" w:rsidRPr="00591CBB" w14:paraId="2C3CF41D" w14:textId="77777777" w:rsidTr="00051F27">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432" w:type="pct"/>
          </w:tcPr>
          <w:p w14:paraId="67B7BE01" w14:textId="77777777" w:rsidR="00095411" w:rsidRPr="007348FD" w:rsidRDefault="00095411" w:rsidP="00591CBB">
            <w:pPr>
              <w:spacing w:after="160" w:line="259" w:lineRule="auto"/>
              <w:rPr>
                <w:rFonts w:ascii="Arial Narrow" w:hAnsi="Arial Narrow"/>
                <w:sz w:val="18"/>
                <w:szCs w:val="18"/>
              </w:rPr>
            </w:pPr>
          </w:p>
        </w:tc>
        <w:tc>
          <w:tcPr>
            <w:tcW w:w="460" w:type="pct"/>
          </w:tcPr>
          <w:p w14:paraId="0F0107A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58E681B"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33CABA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712FB48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3990EE78" w14:textId="5D5A6DB6"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0819472A" w14:textId="77777777" w:rsidR="00095411" w:rsidRPr="007348FD" w:rsidRDefault="00095411" w:rsidP="00591CBB">
            <w:pPr>
              <w:spacing w:after="160" w:line="259" w:lineRule="auto"/>
              <w:rPr>
                <w:rFonts w:ascii="Arial Narrow" w:hAnsi="Arial Narrow"/>
                <w:sz w:val="18"/>
                <w:szCs w:val="18"/>
              </w:rPr>
            </w:pPr>
          </w:p>
        </w:tc>
        <w:tc>
          <w:tcPr>
            <w:tcW w:w="298" w:type="pct"/>
          </w:tcPr>
          <w:p w14:paraId="4CCBDA5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43852642" w14:textId="77777777" w:rsidR="00095411" w:rsidRPr="007348FD" w:rsidRDefault="00095411" w:rsidP="00591CBB">
            <w:pPr>
              <w:spacing w:after="160" w:line="259" w:lineRule="auto"/>
              <w:rPr>
                <w:rFonts w:ascii="Arial Narrow" w:hAnsi="Arial Narrow"/>
                <w:sz w:val="18"/>
                <w:szCs w:val="18"/>
              </w:rPr>
            </w:pPr>
          </w:p>
        </w:tc>
        <w:tc>
          <w:tcPr>
            <w:tcW w:w="273" w:type="pct"/>
          </w:tcPr>
          <w:p w14:paraId="6619913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DE49948" w14:textId="77777777" w:rsidR="00095411" w:rsidRPr="007348FD" w:rsidRDefault="00095411" w:rsidP="00591CBB">
            <w:pPr>
              <w:spacing w:after="160" w:line="259" w:lineRule="auto"/>
              <w:rPr>
                <w:rFonts w:ascii="Arial Narrow" w:hAnsi="Arial Narrow"/>
                <w:sz w:val="18"/>
                <w:szCs w:val="18"/>
              </w:rPr>
            </w:pPr>
          </w:p>
        </w:tc>
        <w:tc>
          <w:tcPr>
            <w:tcW w:w="283" w:type="pct"/>
          </w:tcPr>
          <w:p w14:paraId="45D9691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0A1CD5B" w14:textId="77777777" w:rsidR="00095411" w:rsidRPr="007348FD" w:rsidRDefault="00095411" w:rsidP="00591CBB">
            <w:pPr>
              <w:spacing w:after="160" w:line="259" w:lineRule="auto"/>
              <w:rPr>
                <w:rFonts w:ascii="Arial Narrow" w:hAnsi="Arial Narrow"/>
                <w:sz w:val="18"/>
                <w:szCs w:val="18"/>
              </w:rPr>
            </w:pPr>
          </w:p>
        </w:tc>
        <w:tc>
          <w:tcPr>
            <w:tcW w:w="149" w:type="pct"/>
          </w:tcPr>
          <w:p w14:paraId="1A4FFDC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09C71CA7" w14:textId="77777777" w:rsidR="00095411" w:rsidRPr="007348FD" w:rsidRDefault="00095411" w:rsidP="00591CBB">
            <w:pPr>
              <w:spacing w:after="160" w:line="259" w:lineRule="auto"/>
              <w:rPr>
                <w:rFonts w:ascii="Arial Narrow" w:hAnsi="Arial Narrow"/>
                <w:sz w:val="18"/>
                <w:szCs w:val="18"/>
              </w:rPr>
            </w:pPr>
          </w:p>
        </w:tc>
        <w:tc>
          <w:tcPr>
            <w:tcW w:w="214" w:type="pct"/>
          </w:tcPr>
          <w:p w14:paraId="36A2DAF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20B79E63" w14:textId="77777777" w:rsidR="00095411" w:rsidRPr="007348FD" w:rsidRDefault="00095411" w:rsidP="00591CBB">
            <w:pPr>
              <w:spacing w:after="160" w:line="259" w:lineRule="auto"/>
              <w:rPr>
                <w:rFonts w:ascii="Arial Narrow" w:hAnsi="Arial Narrow"/>
                <w:sz w:val="18"/>
                <w:szCs w:val="18"/>
              </w:rPr>
            </w:pPr>
          </w:p>
        </w:tc>
        <w:tc>
          <w:tcPr>
            <w:tcW w:w="280" w:type="pct"/>
          </w:tcPr>
          <w:p w14:paraId="18BE9B4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677DD7F5" w14:textId="77777777" w:rsidTr="00051F27">
        <w:trPr>
          <w:trHeight w:val="185"/>
        </w:trPr>
        <w:tc>
          <w:tcPr>
            <w:cnfStyle w:val="000010000000" w:firstRow="0" w:lastRow="0" w:firstColumn="0" w:lastColumn="0" w:oddVBand="1" w:evenVBand="0" w:oddHBand="0" w:evenHBand="0" w:firstRowFirstColumn="0" w:firstRowLastColumn="0" w:lastRowFirstColumn="0" w:lastRowLastColumn="0"/>
            <w:tcW w:w="432" w:type="pct"/>
          </w:tcPr>
          <w:p w14:paraId="396DBBE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b/>
                <w:bCs/>
                <w:sz w:val="18"/>
                <w:szCs w:val="18"/>
              </w:rPr>
              <w:t>Programme Outcome 3:</w:t>
            </w:r>
          </w:p>
          <w:p w14:paraId="41CF4033" w14:textId="77777777" w:rsidR="00095411" w:rsidRPr="007348FD" w:rsidRDefault="00095411" w:rsidP="00591CBB">
            <w:pPr>
              <w:spacing w:after="160" w:line="259" w:lineRule="auto"/>
              <w:rPr>
                <w:rFonts w:ascii="Arial Narrow" w:hAnsi="Arial Narrow"/>
                <w:sz w:val="18"/>
                <w:szCs w:val="18"/>
              </w:rPr>
            </w:pPr>
          </w:p>
          <w:p w14:paraId="46DEBAD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More conducive and supportive environment for </w:t>
            </w:r>
            <w:r w:rsidRPr="007348FD">
              <w:rPr>
                <w:rFonts w:ascii="Arial Narrow" w:hAnsi="Arial Narrow"/>
                <w:sz w:val="18"/>
                <w:szCs w:val="18"/>
              </w:rPr>
              <w:lastRenderedPageBreak/>
              <w:t xml:space="preserve">people to access and benefit from quality SRH, especially contraceptive </w:t>
            </w:r>
            <w:proofErr w:type="gramStart"/>
            <w:r w:rsidRPr="007348FD">
              <w:rPr>
                <w:rFonts w:ascii="Arial Narrow" w:hAnsi="Arial Narrow"/>
                <w:sz w:val="18"/>
                <w:szCs w:val="18"/>
              </w:rPr>
              <w:t>choice</w:t>
            </w:r>
            <w:proofErr w:type="gramEnd"/>
          </w:p>
          <w:p w14:paraId="69B2D3E5" w14:textId="77777777" w:rsidR="00095411" w:rsidRPr="007348FD" w:rsidRDefault="00095411" w:rsidP="00591CBB">
            <w:pPr>
              <w:spacing w:after="160" w:line="259" w:lineRule="auto"/>
              <w:rPr>
                <w:rFonts w:ascii="Arial Narrow" w:hAnsi="Arial Narrow"/>
                <w:sz w:val="18"/>
                <w:szCs w:val="18"/>
              </w:rPr>
            </w:pPr>
          </w:p>
        </w:tc>
        <w:tc>
          <w:tcPr>
            <w:tcW w:w="460" w:type="pct"/>
          </w:tcPr>
          <w:p w14:paraId="0C77F9D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lastRenderedPageBreak/>
              <w:t xml:space="preserve">20. By 2022, operational standards for integrated SRH services have been developed and are being </w:t>
            </w:r>
            <w:r w:rsidRPr="007348FD">
              <w:rPr>
                <w:rFonts w:ascii="Arial Narrow" w:hAnsi="Arial Narrow"/>
                <w:sz w:val="18"/>
                <w:szCs w:val="18"/>
              </w:rPr>
              <w:lastRenderedPageBreak/>
              <w:t xml:space="preserve">implemented in all six countries [with key indicators for monitoring this to be agreed once guidelines developed] </w:t>
            </w:r>
          </w:p>
        </w:tc>
        <w:tc>
          <w:tcPr>
            <w:cnfStyle w:val="000010000000" w:firstRow="0" w:lastRow="0" w:firstColumn="0" w:lastColumn="0" w:oddVBand="1" w:evenVBand="0" w:oddHBand="0" w:evenHBand="0" w:firstRowFirstColumn="0" w:firstRowLastColumn="0" w:lastRowFirstColumn="0" w:lastRowLastColumn="0"/>
            <w:tcW w:w="371" w:type="pct"/>
          </w:tcPr>
          <w:p w14:paraId="71B7A9E7"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lastRenderedPageBreak/>
              <w:t>Yes</w:t>
            </w:r>
          </w:p>
        </w:tc>
        <w:tc>
          <w:tcPr>
            <w:tcW w:w="341" w:type="pct"/>
          </w:tcPr>
          <w:p w14:paraId="2DFE011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047CF16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846B82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5C140DB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085F9D0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57188E3B" w14:textId="77777777" w:rsidR="00095411" w:rsidRPr="007348FD" w:rsidRDefault="00095411" w:rsidP="00591CBB">
            <w:pPr>
              <w:spacing w:after="160" w:line="259" w:lineRule="auto"/>
              <w:rPr>
                <w:rFonts w:ascii="Arial Narrow" w:hAnsi="Arial Narrow"/>
                <w:sz w:val="18"/>
                <w:szCs w:val="18"/>
              </w:rPr>
            </w:pPr>
          </w:p>
        </w:tc>
        <w:tc>
          <w:tcPr>
            <w:tcW w:w="273" w:type="pct"/>
          </w:tcPr>
          <w:p w14:paraId="6415421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E95C307" w14:textId="77777777" w:rsidR="00095411" w:rsidRPr="007348FD" w:rsidRDefault="00095411" w:rsidP="00591CBB">
            <w:pPr>
              <w:spacing w:after="160" w:line="259" w:lineRule="auto"/>
              <w:rPr>
                <w:rFonts w:ascii="Arial Narrow" w:hAnsi="Arial Narrow"/>
                <w:sz w:val="18"/>
                <w:szCs w:val="18"/>
              </w:rPr>
            </w:pPr>
          </w:p>
        </w:tc>
        <w:tc>
          <w:tcPr>
            <w:tcW w:w="283" w:type="pct"/>
          </w:tcPr>
          <w:p w14:paraId="7267A66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D66B1FB" w14:textId="77777777" w:rsidR="00095411" w:rsidRPr="007348FD" w:rsidRDefault="00095411" w:rsidP="00591CBB">
            <w:pPr>
              <w:spacing w:after="160" w:line="259" w:lineRule="auto"/>
              <w:rPr>
                <w:rFonts w:ascii="Arial Narrow" w:hAnsi="Arial Narrow"/>
                <w:sz w:val="18"/>
                <w:szCs w:val="18"/>
              </w:rPr>
            </w:pPr>
          </w:p>
        </w:tc>
        <w:tc>
          <w:tcPr>
            <w:tcW w:w="149" w:type="pct"/>
          </w:tcPr>
          <w:p w14:paraId="37C69C7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96D3022" w14:textId="77777777" w:rsidR="00095411" w:rsidRPr="007348FD" w:rsidRDefault="00095411" w:rsidP="00591CBB">
            <w:pPr>
              <w:spacing w:after="160" w:line="259" w:lineRule="auto"/>
              <w:rPr>
                <w:rFonts w:ascii="Arial Narrow" w:hAnsi="Arial Narrow"/>
                <w:sz w:val="18"/>
                <w:szCs w:val="18"/>
              </w:rPr>
            </w:pPr>
          </w:p>
        </w:tc>
        <w:tc>
          <w:tcPr>
            <w:tcW w:w="214" w:type="pct"/>
          </w:tcPr>
          <w:p w14:paraId="4CDC7D5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41C054A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14C5E4FE" w14:textId="7C15F80B"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679F3158"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61D2BB47" w14:textId="77777777" w:rsidR="00095411" w:rsidRPr="007348FD" w:rsidRDefault="00095411" w:rsidP="00591CBB">
            <w:pPr>
              <w:spacing w:after="160" w:line="259" w:lineRule="auto"/>
              <w:rPr>
                <w:rFonts w:ascii="Arial Narrow" w:hAnsi="Arial Narrow"/>
                <w:sz w:val="18"/>
                <w:szCs w:val="18"/>
              </w:rPr>
            </w:pPr>
          </w:p>
        </w:tc>
        <w:tc>
          <w:tcPr>
            <w:tcW w:w="460" w:type="pct"/>
          </w:tcPr>
          <w:p w14:paraId="6C67747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7ED26F1"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FFBE0A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CE6AFE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78F7EC9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5A3C405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547DEBA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7DC64486" w14:textId="77777777" w:rsidR="00095411" w:rsidRPr="007348FD" w:rsidRDefault="00095411" w:rsidP="00591CBB">
            <w:pPr>
              <w:spacing w:after="160" w:line="259" w:lineRule="auto"/>
              <w:rPr>
                <w:rFonts w:ascii="Arial Narrow" w:hAnsi="Arial Narrow"/>
                <w:sz w:val="18"/>
                <w:szCs w:val="18"/>
              </w:rPr>
            </w:pPr>
          </w:p>
        </w:tc>
        <w:tc>
          <w:tcPr>
            <w:tcW w:w="273" w:type="pct"/>
          </w:tcPr>
          <w:p w14:paraId="3A3FC73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3BCB1AB2" w14:textId="77777777" w:rsidR="00095411" w:rsidRPr="007348FD" w:rsidRDefault="00095411" w:rsidP="00591CBB">
            <w:pPr>
              <w:spacing w:after="160" w:line="259" w:lineRule="auto"/>
              <w:rPr>
                <w:rFonts w:ascii="Arial Narrow" w:hAnsi="Arial Narrow"/>
                <w:sz w:val="18"/>
                <w:szCs w:val="18"/>
              </w:rPr>
            </w:pPr>
          </w:p>
        </w:tc>
        <w:tc>
          <w:tcPr>
            <w:tcW w:w="283" w:type="pct"/>
          </w:tcPr>
          <w:p w14:paraId="79CBE69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E5A3D72" w14:textId="77777777" w:rsidR="00095411" w:rsidRPr="007348FD" w:rsidRDefault="00095411" w:rsidP="00591CBB">
            <w:pPr>
              <w:spacing w:after="160" w:line="259" w:lineRule="auto"/>
              <w:rPr>
                <w:rFonts w:ascii="Arial Narrow" w:hAnsi="Arial Narrow"/>
                <w:sz w:val="18"/>
                <w:szCs w:val="18"/>
              </w:rPr>
            </w:pPr>
          </w:p>
        </w:tc>
        <w:tc>
          <w:tcPr>
            <w:tcW w:w="149" w:type="pct"/>
          </w:tcPr>
          <w:p w14:paraId="06F40B5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B64DD8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47936FB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7E3199FE" w14:textId="77777777" w:rsidR="00095411" w:rsidRPr="007348FD" w:rsidRDefault="00095411" w:rsidP="00591CBB">
            <w:pPr>
              <w:spacing w:after="160" w:line="259" w:lineRule="auto"/>
              <w:rPr>
                <w:rFonts w:ascii="Arial Narrow" w:hAnsi="Arial Narrow"/>
                <w:sz w:val="18"/>
                <w:szCs w:val="18"/>
              </w:rPr>
            </w:pPr>
          </w:p>
        </w:tc>
        <w:tc>
          <w:tcPr>
            <w:tcW w:w="280" w:type="pct"/>
          </w:tcPr>
          <w:p w14:paraId="0B7124B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37EEDEE6"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6134FBE5" w14:textId="77777777" w:rsidR="00095411" w:rsidRPr="007348FD" w:rsidRDefault="00095411" w:rsidP="00591CBB">
            <w:pPr>
              <w:spacing w:after="160" w:line="259" w:lineRule="auto"/>
              <w:rPr>
                <w:rFonts w:ascii="Arial Narrow" w:hAnsi="Arial Narrow"/>
                <w:sz w:val="18"/>
                <w:szCs w:val="18"/>
              </w:rPr>
            </w:pPr>
          </w:p>
        </w:tc>
        <w:tc>
          <w:tcPr>
            <w:tcW w:w="460" w:type="pct"/>
          </w:tcPr>
          <w:p w14:paraId="48B074D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47FC848"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5333A0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3945665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3674355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232EBEE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535F0A5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001BDA8A" w14:textId="77777777" w:rsidR="00095411" w:rsidRPr="007348FD" w:rsidRDefault="00095411" w:rsidP="00591CBB">
            <w:pPr>
              <w:spacing w:after="160" w:line="259" w:lineRule="auto"/>
              <w:rPr>
                <w:rFonts w:ascii="Arial Narrow" w:hAnsi="Arial Narrow"/>
                <w:sz w:val="18"/>
                <w:szCs w:val="18"/>
              </w:rPr>
            </w:pPr>
          </w:p>
        </w:tc>
        <w:tc>
          <w:tcPr>
            <w:tcW w:w="273" w:type="pct"/>
          </w:tcPr>
          <w:p w14:paraId="479B7F1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366FCC8" w14:textId="77777777" w:rsidR="00095411" w:rsidRPr="007348FD" w:rsidRDefault="00095411" w:rsidP="00591CBB">
            <w:pPr>
              <w:spacing w:after="160" w:line="259" w:lineRule="auto"/>
              <w:rPr>
                <w:rFonts w:ascii="Arial Narrow" w:hAnsi="Arial Narrow"/>
                <w:sz w:val="18"/>
                <w:szCs w:val="18"/>
              </w:rPr>
            </w:pPr>
          </w:p>
        </w:tc>
        <w:tc>
          <w:tcPr>
            <w:tcW w:w="283" w:type="pct"/>
          </w:tcPr>
          <w:p w14:paraId="10FC56B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B970D42" w14:textId="77777777" w:rsidR="00095411" w:rsidRPr="007348FD" w:rsidRDefault="00095411" w:rsidP="00591CBB">
            <w:pPr>
              <w:spacing w:after="160" w:line="259" w:lineRule="auto"/>
              <w:rPr>
                <w:rFonts w:ascii="Arial Narrow" w:hAnsi="Arial Narrow"/>
                <w:sz w:val="18"/>
                <w:szCs w:val="18"/>
              </w:rPr>
            </w:pPr>
          </w:p>
        </w:tc>
        <w:tc>
          <w:tcPr>
            <w:tcW w:w="149" w:type="pct"/>
          </w:tcPr>
          <w:p w14:paraId="2CE47CF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49AB6FE" w14:textId="77777777" w:rsidR="00095411" w:rsidRPr="007348FD" w:rsidRDefault="00095411" w:rsidP="00591CBB">
            <w:pPr>
              <w:spacing w:after="160" w:line="259" w:lineRule="auto"/>
              <w:rPr>
                <w:rFonts w:ascii="Arial Narrow" w:hAnsi="Arial Narrow"/>
                <w:sz w:val="18"/>
                <w:szCs w:val="18"/>
              </w:rPr>
            </w:pPr>
          </w:p>
        </w:tc>
        <w:tc>
          <w:tcPr>
            <w:tcW w:w="214" w:type="pct"/>
          </w:tcPr>
          <w:p w14:paraId="4E6B0F0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7C2B864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503D67D8" w14:textId="5CAD2D40"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r>
      <w:tr w:rsidR="00637BF8" w:rsidRPr="00591CBB" w14:paraId="7509816F"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61E9DF31" w14:textId="77777777" w:rsidR="00095411" w:rsidRPr="007348FD" w:rsidRDefault="00095411" w:rsidP="00591CBB">
            <w:pPr>
              <w:spacing w:after="160" w:line="259" w:lineRule="auto"/>
              <w:rPr>
                <w:rFonts w:ascii="Arial Narrow" w:hAnsi="Arial Narrow"/>
                <w:sz w:val="18"/>
                <w:szCs w:val="18"/>
              </w:rPr>
            </w:pPr>
          </w:p>
        </w:tc>
        <w:tc>
          <w:tcPr>
            <w:tcW w:w="460" w:type="pct"/>
          </w:tcPr>
          <w:p w14:paraId="6424392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CB0C17D"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3FBC71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6D112EF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4743BEB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0CF8CF4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4035556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591A0C22" w14:textId="77777777" w:rsidR="00095411" w:rsidRPr="007348FD" w:rsidRDefault="00095411" w:rsidP="00591CBB">
            <w:pPr>
              <w:spacing w:after="160" w:line="259" w:lineRule="auto"/>
              <w:rPr>
                <w:rFonts w:ascii="Arial Narrow" w:hAnsi="Arial Narrow"/>
                <w:sz w:val="18"/>
                <w:szCs w:val="18"/>
              </w:rPr>
            </w:pPr>
          </w:p>
        </w:tc>
        <w:tc>
          <w:tcPr>
            <w:tcW w:w="273" w:type="pct"/>
          </w:tcPr>
          <w:p w14:paraId="57506BA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433E2CA6" w14:textId="77777777" w:rsidR="00095411" w:rsidRPr="007348FD" w:rsidRDefault="00095411" w:rsidP="00591CBB">
            <w:pPr>
              <w:spacing w:after="160" w:line="259" w:lineRule="auto"/>
              <w:rPr>
                <w:rFonts w:ascii="Arial Narrow" w:hAnsi="Arial Narrow"/>
                <w:sz w:val="18"/>
                <w:szCs w:val="18"/>
              </w:rPr>
            </w:pPr>
          </w:p>
        </w:tc>
        <w:tc>
          <w:tcPr>
            <w:tcW w:w="283" w:type="pct"/>
          </w:tcPr>
          <w:p w14:paraId="4343AD6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65F2A3F" w14:textId="77777777" w:rsidR="00095411" w:rsidRPr="007348FD" w:rsidRDefault="00095411" w:rsidP="00591CBB">
            <w:pPr>
              <w:spacing w:after="160" w:line="259" w:lineRule="auto"/>
              <w:rPr>
                <w:rFonts w:ascii="Arial Narrow" w:hAnsi="Arial Narrow"/>
                <w:sz w:val="18"/>
                <w:szCs w:val="18"/>
              </w:rPr>
            </w:pPr>
          </w:p>
        </w:tc>
        <w:tc>
          <w:tcPr>
            <w:tcW w:w="149" w:type="pct"/>
          </w:tcPr>
          <w:p w14:paraId="5BE47BB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676B0A9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108277B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78382D34" w14:textId="77777777" w:rsidR="00095411" w:rsidRPr="007348FD" w:rsidRDefault="00095411" w:rsidP="00591CBB">
            <w:pPr>
              <w:spacing w:after="160" w:line="259" w:lineRule="auto"/>
              <w:rPr>
                <w:rFonts w:ascii="Arial Narrow" w:hAnsi="Arial Narrow"/>
                <w:sz w:val="18"/>
                <w:szCs w:val="18"/>
              </w:rPr>
            </w:pPr>
          </w:p>
        </w:tc>
        <w:tc>
          <w:tcPr>
            <w:tcW w:w="280" w:type="pct"/>
          </w:tcPr>
          <w:p w14:paraId="5E8725D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56205F8A"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08B7835A" w14:textId="77777777" w:rsidR="00095411" w:rsidRPr="007348FD" w:rsidRDefault="00095411" w:rsidP="00591CBB">
            <w:pPr>
              <w:spacing w:after="160" w:line="259" w:lineRule="auto"/>
              <w:rPr>
                <w:rFonts w:ascii="Arial Narrow" w:hAnsi="Arial Narrow"/>
                <w:sz w:val="18"/>
                <w:szCs w:val="18"/>
              </w:rPr>
            </w:pPr>
          </w:p>
        </w:tc>
        <w:tc>
          <w:tcPr>
            <w:tcW w:w="460" w:type="pct"/>
          </w:tcPr>
          <w:p w14:paraId="0336C94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7D43108"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269FF5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47765C2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2B9A44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46DEF68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72A56E1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4F7E4825" w14:textId="77777777" w:rsidR="00095411" w:rsidRPr="007348FD" w:rsidRDefault="00095411" w:rsidP="00591CBB">
            <w:pPr>
              <w:spacing w:after="160" w:line="259" w:lineRule="auto"/>
              <w:rPr>
                <w:rFonts w:ascii="Arial Narrow" w:hAnsi="Arial Narrow"/>
                <w:sz w:val="18"/>
                <w:szCs w:val="18"/>
              </w:rPr>
            </w:pPr>
          </w:p>
        </w:tc>
        <w:tc>
          <w:tcPr>
            <w:tcW w:w="273" w:type="pct"/>
          </w:tcPr>
          <w:p w14:paraId="3AA285C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7F361C4" w14:textId="77777777" w:rsidR="00095411" w:rsidRPr="007348FD" w:rsidRDefault="00095411" w:rsidP="00591CBB">
            <w:pPr>
              <w:spacing w:after="160" w:line="259" w:lineRule="auto"/>
              <w:rPr>
                <w:rFonts w:ascii="Arial Narrow" w:hAnsi="Arial Narrow"/>
                <w:sz w:val="18"/>
                <w:szCs w:val="18"/>
              </w:rPr>
            </w:pPr>
          </w:p>
        </w:tc>
        <w:tc>
          <w:tcPr>
            <w:tcW w:w="283" w:type="pct"/>
          </w:tcPr>
          <w:p w14:paraId="1EFA455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242E9BC" w14:textId="77777777" w:rsidR="00095411" w:rsidRPr="007348FD" w:rsidRDefault="00095411" w:rsidP="00591CBB">
            <w:pPr>
              <w:spacing w:after="160" w:line="259" w:lineRule="auto"/>
              <w:rPr>
                <w:rFonts w:ascii="Arial Narrow" w:hAnsi="Arial Narrow"/>
                <w:sz w:val="18"/>
                <w:szCs w:val="18"/>
              </w:rPr>
            </w:pPr>
          </w:p>
        </w:tc>
        <w:tc>
          <w:tcPr>
            <w:tcW w:w="149" w:type="pct"/>
          </w:tcPr>
          <w:p w14:paraId="5C0D7D9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C977E06" w14:textId="77777777" w:rsidR="00095411" w:rsidRPr="007348FD" w:rsidRDefault="00095411" w:rsidP="00591CBB">
            <w:pPr>
              <w:spacing w:after="160" w:line="259" w:lineRule="auto"/>
              <w:rPr>
                <w:rFonts w:ascii="Arial Narrow" w:hAnsi="Arial Narrow"/>
                <w:sz w:val="18"/>
                <w:szCs w:val="18"/>
              </w:rPr>
            </w:pPr>
          </w:p>
        </w:tc>
        <w:tc>
          <w:tcPr>
            <w:tcW w:w="214" w:type="pct"/>
          </w:tcPr>
          <w:p w14:paraId="2ACA5BD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3031E84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40D47A01" w14:textId="4425912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r>
      <w:tr w:rsidR="00637BF8" w:rsidRPr="00591CBB" w14:paraId="0C7CC647"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32FE1709" w14:textId="77777777" w:rsidR="00095411" w:rsidRPr="007348FD" w:rsidRDefault="00095411" w:rsidP="00591CBB">
            <w:pPr>
              <w:spacing w:after="160" w:line="259" w:lineRule="auto"/>
              <w:rPr>
                <w:rFonts w:ascii="Arial Narrow" w:hAnsi="Arial Narrow"/>
                <w:sz w:val="18"/>
                <w:szCs w:val="18"/>
              </w:rPr>
            </w:pPr>
          </w:p>
        </w:tc>
        <w:tc>
          <w:tcPr>
            <w:tcW w:w="460" w:type="pct"/>
          </w:tcPr>
          <w:p w14:paraId="58C68F4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47497C6"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7EF6B1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56ECE56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59290D7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16F6436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0085AB7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230F4879" w14:textId="77777777" w:rsidR="00095411" w:rsidRPr="007348FD" w:rsidRDefault="00095411" w:rsidP="00591CBB">
            <w:pPr>
              <w:spacing w:after="160" w:line="259" w:lineRule="auto"/>
              <w:rPr>
                <w:rFonts w:ascii="Arial Narrow" w:hAnsi="Arial Narrow"/>
                <w:sz w:val="18"/>
                <w:szCs w:val="18"/>
              </w:rPr>
            </w:pPr>
          </w:p>
        </w:tc>
        <w:tc>
          <w:tcPr>
            <w:tcW w:w="273" w:type="pct"/>
          </w:tcPr>
          <w:p w14:paraId="1C5C20C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15632B75" w14:textId="77777777" w:rsidR="00095411" w:rsidRPr="007348FD" w:rsidRDefault="00095411" w:rsidP="00591CBB">
            <w:pPr>
              <w:spacing w:after="160" w:line="259" w:lineRule="auto"/>
              <w:rPr>
                <w:rFonts w:ascii="Arial Narrow" w:hAnsi="Arial Narrow"/>
                <w:sz w:val="18"/>
                <w:szCs w:val="18"/>
              </w:rPr>
            </w:pPr>
          </w:p>
        </w:tc>
        <w:tc>
          <w:tcPr>
            <w:tcW w:w="283" w:type="pct"/>
          </w:tcPr>
          <w:p w14:paraId="1886F49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C6144B2" w14:textId="77777777" w:rsidR="00095411" w:rsidRPr="007348FD" w:rsidRDefault="00095411" w:rsidP="00591CBB">
            <w:pPr>
              <w:spacing w:after="160" w:line="259" w:lineRule="auto"/>
              <w:rPr>
                <w:rFonts w:ascii="Arial Narrow" w:hAnsi="Arial Narrow"/>
                <w:sz w:val="18"/>
                <w:szCs w:val="18"/>
              </w:rPr>
            </w:pPr>
          </w:p>
        </w:tc>
        <w:tc>
          <w:tcPr>
            <w:tcW w:w="149" w:type="pct"/>
          </w:tcPr>
          <w:p w14:paraId="0A950C9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31197C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24F75F2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45" w:type="pct"/>
          </w:tcPr>
          <w:p w14:paraId="410943ED" w14:textId="77777777" w:rsidR="00095411" w:rsidRPr="007348FD" w:rsidRDefault="00095411" w:rsidP="00591CBB">
            <w:pPr>
              <w:spacing w:after="160" w:line="259" w:lineRule="auto"/>
              <w:rPr>
                <w:rFonts w:ascii="Arial Narrow" w:hAnsi="Arial Narrow"/>
                <w:sz w:val="18"/>
                <w:szCs w:val="18"/>
              </w:rPr>
            </w:pPr>
          </w:p>
        </w:tc>
        <w:tc>
          <w:tcPr>
            <w:tcW w:w="280" w:type="pct"/>
          </w:tcPr>
          <w:p w14:paraId="28FB2ED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5F790885"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29CF402D" w14:textId="77777777" w:rsidR="00095411" w:rsidRPr="007348FD" w:rsidRDefault="00095411" w:rsidP="00591CBB">
            <w:pPr>
              <w:spacing w:after="160" w:line="259" w:lineRule="auto"/>
              <w:rPr>
                <w:rFonts w:ascii="Arial Narrow" w:hAnsi="Arial Narrow"/>
                <w:sz w:val="18"/>
                <w:szCs w:val="18"/>
              </w:rPr>
            </w:pPr>
          </w:p>
        </w:tc>
        <w:tc>
          <w:tcPr>
            <w:tcW w:w="460" w:type="pct"/>
          </w:tcPr>
          <w:p w14:paraId="0EDDC28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C7CC07B"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8F1302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27D169F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7D9FC3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70AED17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7DA7384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13278292" w14:textId="77777777" w:rsidR="00095411" w:rsidRPr="007348FD" w:rsidRDefault="00095411" w:rsidP="00591CBB">
            <w:pPr>
              <w:spacing w:after="160" w:line="259" w:lineRule="auto"/>
              <w:rPr>
                <w:rFonts w:ascii="Arial Narrow" w:hAnsi="Arial Narrow"/>
                <w:sz w:val="18"/>
                <w:szCs w:val="18"/>
              </w:rPr>
            </w:pPr>
          </w:p>
        </w:tc>
        <w:tc>
          <w:tcPr>
            <w:tcW w:w="273" w:type="pct"/>
          </w:tcPr>
          <w:p w14:paraId="6DC8CF1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BBE6E97" w14:textId="77777777" w:rsidR="00095411" w:rsidRPr="007348FD" w:rsidRDefault="00095411" w:rsidP="00591CBB">
            <w:pPr>
              <w:spacing w:after="160" w:line="259" w:lineRule="auto"/>
              <w:rPr>
                <w:rFonts w:ascii="Arial Narrow" w:hAnsi="Arial Narrow"/>
                <w:sz w:val="18"/>
                <w:szCs w:val="18"/>
              </w:rPr>
            </w:pPr>
          </w:p>
        </w:tc>
        <w:tc>
          <w:tcPr>
            <w:tcW w:w="283" w:type="pct"/>
          </w:tcPr>
          <w:p w14:paraId="63A575C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DA4A58A" w14:textId="77777777" w:rsidR="00095411" w:rsidRPr="007348FD" w:rsidRDefault="00095411" w:rsidP="00591CBB">
            <w:pPr>
              <w:spacing w:after="160" w:line="259" w:lineRule="auto"/>
              <w:rPr>
                <w:rFonts w:ascii="Arial Narrow" w:hAnsi="Arial Narrow"/>
                <w:sz w:val="18"/>
                <w:szCs w:val="18"/>
              </w:rPr>
            </w:pPr>
          </w:p>
        </w:tc>
        <w:tc>
          <w:tcPr>
            <w:tcW w:w="149" w:type="pct"/>
          </w:tcPr>
          <w:p w14:paraId="106F933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36ECCDE" w14:textId="77777777" w:rsidR="00095411" w:rsidRPr="007348FD" w:rsidRDefault="00095411" w:rsidP="00591CBB">
            <w:pPr>
              <w:spacing w:after="160" w:line="259" w:lineRule="auto"/>
              <w:rPr>
                <w:rFonts w:ascii="Arial Narrow" w:hAnsi="Arial Narrow"/>
                <w:sz w:val="18"/>
                <w:szCs w:val="18"/>
              </w:rPr>
            </w:pPr>
          </w:p>
        </w:tc>
        <w:tc>
          <w:tcPr>
            <w:tcW w:w="214" w:type="pct"/>
          </w:tcPr>
          <w:p w14:paraId="6CB6231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226DC76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016D2A2B" w14:textId="001C1D64"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r>
      <w:tr w:rsidR="00637BF8" w:rsidRPr="00591CBB" w14:paraId="0F981AD7"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4148B267" w14:textId="77777777" w:rsidR="00095411" w:rsidRPr="007348FD" w:rsidRDefault="00095411" w:rsidP="00591CBB">
            <w:pPr>
              <w:spacing w:after="160" w:line="259" w:lineRule="auto"/>
              <w:rPr>
                <w:rFonts w:ascii="Arial Narrow" w:hAnsi="Arial Narrow"/>
                <w:sz w:val="18"/>
                <w:szCs w:val="18"/>
              </w:rPr>
            </w:pPr>
          </w:p>
        </w:tc>
        <w:tc>
          <w:tcPr>
            <w:tcW w:w="460" w:type="pct"/>
          </w:tcPr>
          <w:p w14:paraId="1CF0FC5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40CCD00"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A21527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B65746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0E30413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6C4340C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6B193C6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422E3BAA" w14:textId="77777777" w:rsidR="00095411" w:rsidRPr="007348FD" w:rsidRDefault="00095411" w:rsidP="00591CBB">
            <w:pPr>
              <w:spacing w:after="160" w:line="259" w:lineRule="auto"/>
              <w:rPr>
                <w:rFonts w:ascii="Arial Narrow" w:hAnsi="Arial Narrow"/>
                <w:sz w:val="18"/>
                <w:szCs w:val="18"/>
              </w:rPr>
            </w:pPr>
          </w:p>
        </w:tc>
        <w:tc>
          <w:tcPr>
            <w:tcW w:w="273" w:type="pct"/>
          </w:tcPr>
          <w:p w14:paraId="02B3CE4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46FDA514" w14:textId="77777777" w:rsidR="00095411" w:rsidRPr="007348FD" w:rsidRDefault="00095411" w:rsidP="00591CBB">
            <w:pPr>
              <w:spacing w:after="160" w:line="259" w:lineRule="auto"/>
              <w:rPr>
                <w:rFonts w:ascii="Arial Narrow" w:hAnsi="Arial Narrow"/>
                <w:sz w:val="18"/>
                <w:szCs w:val="18"/>
              </w:rPr>
            </w:pPr>
          </w:p>
        </w:tc>
        <w:tc>
          <w:tcPr>
            <w:tcW w:w="283" w:type="pct"/>
          </w:tcPr>
          <w:p w14:paraId="0BB2D2F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6538739" w14:textId="77777777" w:rsidR="00095411" w:rsidRPr="007348FD" w:rsidRDefault="00095411" w:rsidP="00591CBB">
            <w:pPr>
              <w:spacing w:after="160" w:line="259" w:lineRule="auto"/>
              <w:rPr>
                <w:rFonts w:ascii="Arial Narrow" w:hAnsi="Arial Narrow"/>
                <w:sz w:val="18"/>
                <w:szCs w:val="18"/>
              </w:rPr>
            </w:pPr>
          </w:p>
        </w:tc>
        <w:tc>
          <w:tcPr>
            <w:tcW w:w="149" w:type="pct"/>
          </w:tcPr>
          <w:p w14:paraId="2D77727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A6F3A7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78239F8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45" w:type="pct"/>
          </w:tcPr>
          <w:p w14:paraId="09AC013F" w14:textId="77777777" w:rsidR="00095411" w:rsidRPr="007348FD" w:rsidRDefault="00095411" w:rsidP="00591CBB">
            <w:pPr>
              <w:spacing w:after="160" w:line="259" w:lineRule="auto"/>
              <w:rPr>
                <w:rFonts w:ascii="Arial Narrow" w:hAnsi="Arial Narrow"/>
                <w:sz w:val="18"/>
                <w:szCs w:val="18"/>
              </w:rPr>
            </w:pPr>
          </w:p>
        </w:tc>
        <w:tc>
          <w:tcPr>
            <w:tcW w:w="280" w:type="pct"/>
          </w:tcPr>
          <w:p w14:paraId="562F50C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5B398AD5"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594A5CD5" w14:textId="77777777" w:rsidR="00095411" w:rsidRPr="007348FD" w:rsidRDefault="00095411" w:rsidP="00591CBB">
            <w:pPr>
              <w:spacing w:after="160" w:line="259" w:lineRule="auto"/>
              <w:rPr>
                <w:rFonts w:ascii="Arial Narrow" w:hAnsi="Arial Narrow"/>
                <w:sz w:val="18"/>
                <w:szCs w:val="18"/>
              </w:rPr>
            </w:pPr>
          </w:p>
        </w:tc>
        <w:tc>
          <w:tcPr>
            <w:tcW w:w="460" w:type="pct"/>
          </w:tcPr>
          <w:p w14:paraId="14D8301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4B9E4F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A91557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24893EA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403566E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5BB8BA4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58CE146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74F15D26" w14:textId="77777777" w:rsidR="00095411" w:rsidRPr="007348FD" w:rsidRDefault="00095411" w:rsidP="00591CBB">
            <w:pPr>
              <w:spacing w:after="160" w:line="259" w:lineRule="auto"/>
              <w:rPr>
                <w:rFonts w:ascii="Arial Narrow" w:hAnsi="Arial Narrow"/>
                <w:sz w:val="18"/>
                <w:szCs w:val="18"/>
              </w:rPr>
            </w:pPr>
          </w:p>
        </w:tc>
        <w:tc>
          <w:tcPr>
            <w:tcW w:w="273" w:type="pct"/>
          </w:tcPr>
          <w:p w14:paraId="6A8F81A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E6EA1E4" w14:textId="77777777" w:rsidR="00095411" w:rsidRPr="007348FD" w:rsidRDefault="00095411" w:rsidP="00591CBB">
            <w:pPr>
              <w:spacing w:after="160" w:line="259" w:lineRule="auto"/>
              <w:rPr>
                <w:rFonts w:ascii="Arial Narrow" w:hAnsi="Arial Narrow"/>
                <w:sz w:val="18"/>
                <w:szCs w:val="18"/>
              </w:rPr>
            </w:pPr>
          </w:p>
        </w:tc>
        <w:tc>
          <w:tcPr>
            <w:tcW w:w="283" w:type="pct"/>
          </w:tcPr>
          <w:p w14:paraId="15456BB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34214B0" w14:textId="77777777" w:rsidR="00095411" w:rsidRPr="007348FD" w:rsidRDefault="00095411" w:rsidP="00591CBB">
            <w:pPr>
              <w:spacing w:after="160" w:line="259" w:lineRule="auto"/>
              <w:rPr>
                <w:rFonts w:ascii="Arial Narrow" w:hAnsi="Arial Narrow"/>
                <w:sz w:val="18"/>
                <w:szCs w:val="18"/>
              </w:rPr>
            </w:pPr>
          </w:p>
        </w:tc>
        <w:tc>
          <w:tcPr>
            <w:tcW w:w="149" w:type="pct"/>
          </w:tcPr>
          <w:p w14:paraId="3920692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B6F9088" w14:textId="77777777" w:rsidR="00095411" w:rsidRPr="007348FD" w:rsidRDefault="00095411" w:rsidP="00591CBB">
            <w:pPr>
              <w:spacing w:after="160" w:line="259" w:lineRule="auto"/>
              <w:rPr>
                <w:rFonts w:ascii="Arial Narrow" w:hAnsi="Arial Narrow"/>
                <w:sz w:val="18"/>
                <w:szCs w:val="18"/>
              </w:rPr>
            </w:pPr>
          </w:p>
        </w:tc>
        <w:tc>
          <w:tcPr>
            <w:tcW w:w="214" w:type="pct"/>
          </w:tcPr>
          <w:p w14:paraId="7208792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4A1E00B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0237348A" w14:textId="0C4B7AAF"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r>
      <w:tr w:rsidR="00637BF8" w:rsidRPr="00591CBB" w14:paraId="37A6F443"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49900018" w14:textId="77777777" w:rsidR="00095411" w:rsidRPr="007348FD" w:rsidRDefault="00095411" w:rsidP="00591CBB">
            <w:pPr>
              <w:spacing w:after="160" w:line="259" w:lineRule="auto"/>
              <w:rPr>
                <w:rFonts w:ascii="Arial Narrow" w:hAnsi="Arial Narrow"/>
                <w:sz w:val="18"/>
                <w:szCs w:val="18"/>
              </w:rPr>
            </w:pPr>
          </w:p>
        </w:tc>
        <w:tc>
          <w:tcPr>
            <w:tcW w:w="460" w:type="pct"/>
          </w:tcPr>
          <w:p w14:paraId="3460761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39EC38A"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CC0830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706EE9E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6A10E8C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25BF502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37726F3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3C21474E" w14:textId="77777777" w:rsidR="00095411" w:rsidRPr="007348FD" w:rsidRDefault="00095411" w:rsidP="00591CBB">
            <w:pPr>
              <w:spacing w:after="160" w:line="259" w:lineRule="auto"/>
              <w:rPr>
                <w:rFonts w:ascii="Arial Narrow" w:hAnsi="Arial Narrow"/>
                <w:sz w:val="18"/>
                <w:szCs w:val="18"/>
              </w:rPr>
            </w:pPr>
          </w:p>
        </w:tc>
        <w:tc>
          <w:tcPr>
            <w:tcW w:w="273" w:type="pct"/>
          </w:tcPr>
          <w:p w14:paraId="63B9494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563C6595" w14:textId="77777777" w:rsidR="00095411" w:rsidRPr="007348FD" w:rsidRDefault="00095411" w:rsidP="00591CBB">
            <w:pPr>
              <w:spacing w:after="160" w:line="259" w:lineRule="auto"/>
              <w:rPr>
                <w:rFonts w:ascii="Arial Narrow" w:hAnsi="Arial Narrow"/>
                <w:sz w:val="18"/>
                <w:szCs w:val="18"/>
              </w:rPr>
            </w:pPr>
          </w:p>
        </w:tc>
        <w:tc>
          <w:tcPr>
            <w:tcW w:w="283" w:type="pct"/>
          </w:tcPr>
          <w:p w14:paraId="6611E19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7083D3D" w14:textId="77777777" w:rsidR="00095411" w:rsidRPr="007348FD" w:rsidRDefault="00095411" w:rsidP="00591CBB">
            <w:pPr>
              <w:spacing w:after="160" w:line="259" w:lineRule="auto"/>
              <w:rPr>
                <w:rFonts w:ascii="Arial Narrow" w:hAnsi="Arial Narrow"/>
                <w:sz w:val="18"/>
                <w:szCs w:val="18"/>
              </w:rPr>
            </w:pPr>
          </w:p>
        </w:tc>
        <w:tc>
          <w:tcPr>
            <w:tcW w:w="149" w:type="pct"/>
          </w:tcPr>
          <w:p w14:paraId="72222FC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48F4D8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289E912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66338631" w14:textId="77777777" w:rsidR="00095411" w:rsidRPr="007348FD" w:rsidRDefault="00095411" w:rsidP="00591CBB">
            <w:pPr>
              <w:spacing w:after="160" w:line="259" w:lineRule="auto"/>
              <w:rPr>
                <w:rFonts w:ascii="Arial Narrow" w:hAnsi="Arial Narrow"/>
                <w:sz w:val="18"/>
                <w:szCs w:val="18"/>
              </w:rPr>
            </w:pPr>
          </w:p>
        </w:tc>
        <w:tc>
          <w:tcPr>
            <w:tcW w:w="280" w:type="pct"/>
          </w:tcPr>
          <w:p w14:paraId="37B0A8F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7F97CD93"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1AF580B0" w14:textId="77777777" w:rsidR="00095411" w:rsidRPr="007348FD" w:rsidRDefault="00095411" w:rsidP="00591CBB">
            <w:pPr>
              <w:spacing w:after="160" w:line="259" w:lineRule="auto"/>
              <w:rPr>
                <w:rFonts w:ascii="Arial Narrow" w:hAnsi="Arial Narrow"/>
                <w:sz w:val="18"/>
                <w:szCs w:val="18"/>
              </w:rPr>
            </w:pPr>
          </w:p>
        </w:tc>
        <w:tc>
          <w:tcPr>
            <w:tcW w:w="460" w:type="pct"/>
          </w:tcPr>
          <w:p w14:paraId="5756AB5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2F711ED"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B77803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427EDD5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17FEACF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203DA54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77FAFED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73107591" w14:textId="77777777" w:rsidR="00095411" w:rsidRPr="007348FD" w:rsidRDefault="00095411" w:rsidP="00591CBB">
            <w:pPr>
              <w:spacing w:after="160" w:line="259" w:lineRule="auto"/>
              <w:rPr>
                <w:rFonts w:ascii="Arial Narrow" w:hAnsi="Arial Narrow"/>
                <w:sz w:val="18"/>
                <w:szCs w:val="18"/>
              </w:rPr>
            </w:pPr>
          </w:p>
        </w:tc>
        <w:tc>
          <w:tcPr>
            <w:tcW w:w="273" w:type="pct"/>
          </w:tcPr>
          <w:p w14:paraId="597B43A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8DFEB08" w14:textId="77777777" w:rsidR="00095411" w:rsidRPr="007348FD" w:rsidRDefault="00095411" w:rsidP="00591CBB">
            <w:pPr>
              <w:spacing w:after="160" w:line="259" w:lineRule="auto"/>
              <w:rPr>
                <w:rFonts w:ascii="Arial Narrow" w:hAnsi="Arial Narrow"/>
                <w:sz w:val="18"/>
                <w:szCs w:val="18"/>
              </w:rPr>
            </w:pPr>
          </w:p>
        </w:tc>
        <w:tc>
          <w:tcPr>
            <w:tcW w:w="283" w:type="pct"/>
          </w:tcPr>
          <w:p w14:paraId="7148920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8172DFA" w14:textId="77777777" w:rsidR="00095411" w:rsidRPr="007348FD" w:rsidRDefault="00095411" w:rsidP="00591CBB">
            <w:pPr>
              <w:spacing w:after="160" w:line="259" w:lineRule="auto"/>
              <w:rPr>
                <w:rFonts w:ascii="Arial Narrow" w:hAnsi="Arial Narrow"/>
                <w:sz w:val="18"/>
                <w:szCs w:val="18"/>
              </w:rPr>
            </w:pPr>
          </w:p>
        </w:tc>
        <w:tc>
          <w:tcPr>
            <w:tcW w:w="149" w:type="pct"/>
          </w:tcPr>
          <w:p w14:paraId="7C4B870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88885D0" w14:textId="77777777" w:rsidR="00095411" w:rsidRPr="007348FD" w:rsidRDefault="00095411" w:rsidP="00591CBB">
            <w:pPr>
              <w:spacing w:after="160" w:line="259" w:lineRule="auto"/>
              <w:rPr>
                <w:rFonts w:ascii="Arial Narrow" w:hAnsi="Arial Narrow"/>
                <w:sz w:val="18"/>
                <w:szCs w:val="18"/>
              </w:rPr>
            </w:pPr>
          </w:p>
        </w:tc>
        <w:tc>
          <w:tcPr>
            <w:tcW w:w="214" w:type="pct"/>
          </w:tcPr>
          <w:p w14:paraId="28826E1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2EC5D64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5EE9D94F" w14:textId="07FC3765"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r>
      <w:tr w:rsidR="00637BF8" w:rsidRPr="00591CBB" w14:paraId="568C2B3D" w14:textId="77777777" w:rsidTr="00051F27">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432" w:type="pct"/>
          </w:tcPr>
          <w:p w14:paraId="7DB672AA" w14:textId="77777777" w:rsidR="00095411" w:rsidRPr="007348FD" w:rsidRDefault="00095411" w:rsidP="00591CBB">
            <w:pPr>
              <w:spacing w:after="160" w:line="259" w:lineRule="auto"/>
              <w:rPr>
                <w:rFonts w:ascii="Arial Narrow" w:hAnsi="Arial Narrow"/>
                <w:sz w:val="18"/>
                <w:szCs w:val="18"/>
              </w:rPr>
            </w:pPr>
          </w:p>
        </w:tc>
        <w:tc>
          <w:tcPr>
            <w:tcW w:w="460" w:type="pct"/>
          </w:tcPr>
          <w:p w14:paraId="5B59E41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290E5DC"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BCEDAA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9A7E9B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79BD637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719E04E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562FEE8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07DFC489" w14:textId="77777777" w:rsidR="00095411" w:rsidRPr="007348FD" w:rsidRDefault="00095411" w:rsidP="00591CBB">
            <w:pPr>
              <w:spacing w:after="160" w:line="259" w:lineRule="auto"/>
              <w:rPr>
                <w:rFonts w:ascii="Arial Narrow" w:hAnsi="Arial Narrow"/>
                <w:sz w:val="18"/>
                <w:szCs w:val="18"/>
              </w:rPr>
            </w:pPr>
          </w:p>
        </w:tc>
        <w:tc>
          <w:tcPr>
            <w:tcW w:w="273" w:type="pct"/>
          </w:tcPr>
          <w:p w14:paraId="2E83746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0415ECA4" w14:textId="77777777" w:rsidR="00095411" w:rsidRPr="007348FD" w:rsidRDefault="00095411" w:rsidP="00591CBB">
            <w:pPr>
              <w:spacing w:after="160" w:line="259" w:lineRule="auto"/>
              <w:rPr>
                <w:rFonts w:ascii="Arial Narrow" w:hAnsi="Arial Narrow"/>
                <w:sz w:val="18"/>
                <w:szCs w:val="18"/>
              </w:rPr>
            </w:pPr>
          </w:p>
        </w:tc>
        <w:tc>
          <w:tcPr>
            <w:tcW w:w="283" w:type="pct"/>
          </w:tcPr>
          <w:p w14:paraId="5823F2C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6263DD2" w14:textId="77777777" w:rsidR="00095411" w:rsidRPr="007348FD" w:rsidRDefault="00095411" w:rsidP="00591CBB">
            <w:pPr>
              <w:spacing w:after="160" w:line="259" w:lineRule="auto"/>
              <w:rPr>
                <w:rFonts w:ascii="Arial Narrow" w:hAnsi="Arial Narrow"/>
                <w:sz w:val="18"/>
                <w:szCs w:val="18"/>
              </w:rPr>
            </w:pPr>
          </w:p>
        </w:tc>
        <w:tc>
          <w:tcPr>
            <w:tcW w:w="149" w:type="pct"/>
          </w:tcPr>
          <w:p w14:paraId="341E869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21E3EE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2D5EE00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2BC65A45" w14:textId="77777777" w:rsidR="00095411" w:rsidRPr="007348FD" w:rsidRDefault="00095411" w:rsidP="00591CBB">
            <w:pPr>
              <w:spacing w:after="160" w:line="259" w:lineRule="auto"/>
              <w:rPr>
                <w:rFonts w:ascii="Arial Narrow" w:hAnsi="Arial Narrow"/>
                <w:sz w:val="18"/>
                <w:szCs w:val="18"/>
              </w:rPr>
            </w:pPr>
          </w:p>
        </w:tc>
        <w:tc>
          <w:tcPr>
            <w:tcW w:w="280" w:type="pct"/>
          </w:tcPr>
          <w:p w14:paraId="2E9F759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225F5B90"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5A63B62C" w14:textId="77777777" w:rsidR="00095411" w:rsidRPr="007348FD" w:rsidRDefault="00095411" w:rsidP="00591CBB">
            <w:pPr>
              <w:spacing w:after="160" w:line="259" w:lineRule="auto"/>
              <w:rPr>
                <w:rFonts w:ascii="Arial Narrow" w:hAnsi="Arial Narrow"/>
                <w:sz w:val="18"/>
                <w:szCs w:val="18"/>
              </w:rPr>
            </w:pPr>
          </w:p>
        </w:tc>
        <w:tc>
          <w:tcPr>
            <w:tcW w:w="460" w:type="pct"/>
          </w:tcPr>
          <w:p w14:paraId="3E50AF3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21. All countries have cervical cancer policies and guidelines and have taken </w:t>
            </w:r>
            <w:r w:rsidRPr="007348FD">
              <w:rPr>
                <w:rFonts w:ascii="Arial Narrow" w:hAnsi="Arial Narrow"/>
                <w:sz w:val="18"/>
                <w:szCs w:val="18"/>
              </w:rPr>
              <w:lastRenderedPageBreak/>
              <w:t xml:space="preserve">steps to implement them. </w:t>
            </w:r>
          </w:p>
        </w:tc>
        <w:tc>
          <w:tcPr>
            <w:cnfStyle w:val="000010000000" w:firstRow="0" w:lastRow="0" w:firstColumn="0" w:lastColumn="0" w:oddVBand="1" w:evenVBand="0" w:oddHBand="0" w:evenHBand="0" w:firstRowFirstColumn="0" w:firstRowLastColumn="0" w:lastRowFirstColumn="0" w:lastRowLastColumn="0"/>
            <w:tcW w:w="371" w:type="pct"/>
          </w:tcPr>
          <w:p w14:paraId="385ECD23"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lastRenderedPageBreak/>
              <w:t>Yes</w:t>
            </w:r>
          </w:p>
        </w:tc>
        <w:tc>
          <w:tcPr>
            <w:tcW w:w="341" w:type="pct"/>
          </w:tcPr>
          <w:p w14:paraId="27F090B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1154E96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52ED27AE" w14:textId="5622D512"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6F181E9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98" w:type="pct"/>
          </w:tcPr>
          <w:p w14:paraId="0B59912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062204A6" w14:textId="77777777" w:rsidR="00095411" w:rsidRPr="007348FD" w:rsidRDefault="00095411" w:rsidP="00591CBB">
            <w:pPr>
              <w:spacing w:after="160" w:line="259" w:lineRule="auto"/>
              <w:rPr>
                <w:rFonts w:ascii="Arial Narrow" w:hAnsi="Arial Narrow"/>
                <w:sz w:val="18"/>
                <w:szCs w:val="18"/>
              </w:rPr>
            </w:pPr>
          </w:p>
        </w:tc>
        <w:tc>
          <w:tcPr>
            <w:tcW w:w="273" w:type="pct"/>
          </w:tcPr>
          <w:p w14:paraId="6218FD5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3BCC74D" w14:textId="77777777" w:rsidR="00095411" w:rsidRPr="007348FD" w:rsidRDefault="00095411" w:rsidP="00591CBB">
            <w:pPr>
              <w:spacing w:after="160" w:line="259" w:lineRule="auto"/>
              <w:rPr>
                <w:rFonts w:ascii="Arial Narrow" w:hAnsi="Arial Narrow"/>
                <w:sz w:val="18"/>
                <w:szCs w:val="18"/>
              </w:rPr>
            </w:pPr>
          </w:p>
        </w:tc>
        <w:tc>
          <w:tcPr>
            <w:tcW w:w="283" w:type="pct"/>
          </w:tcPr>
          <w:p w14:paraId="2C36D21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E271679" w14:textId="77777777" w:rsidR="00095411" w:rsidRPr="007348FD" w:rsidRDefault="00095411" w:rsidP="00591CBB">
            <w:pPr>
              <w:spacing w:after="160" w:line="259" w:lineRule="auto"/>
              <w:rPr>
                <w:rFonts w:ascii="Arial Narrow" w:hAnsi="Arial Narrow"/>
                <w:sz w:val="18"/>
                <w:szCs w:val="18"/>
              </w:rPr>
            </w:pPr>
          </w:p>
        </w:tc>
        <w:tc>
          <w:tcPr>
            <w:tcW w:w="149" w:type="pct"/>
          </w:tcPr>
          <w:p w14:paraId="4C95F06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F3588F3" w14:textId="77777777" w:rsidR="00095411" w:rsidRPr="007348FD" w:rsidRDefault="00095411" w:rsidP="00591CBB">
            <w:pPr>
              <w:spacing w:after="160" w:line="259" w:lineRule="auto"/>
              <w:rPr>
                <w:rFonts w:ascii="Arial Narrow" w:hAnsi="Arial Narrow"/>
                <w:sz w:val="18"/>
                <w:szCs w:val="18"/>
              </w:rPr>
            </w:pPr>
          </w:p>
        </w:tc>
        <w:tc>
          <w:tcPr>
            <w:tcW w:w="214" w:type="pct"/>
          </w:tcPr>
          <w:p w14:paraId="33D395B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5723533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5A840FCB" w14:textId="6C740339"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r>
      <w:tr w:rsidR="00637BF8" w:rsidRPr="00591CBB" w14:paraId="24E52F7E"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3F4859DD" w14:textId="77777777" w:rsidR="00095411" w:rsidRPr="007348FD" w:rsidRDefault="00095411" w:rsidP="00591CBB">
            <w:pPr>
              <w:spacing w:after="160" w:line="259" w:lineRule="auto"/>
              <w:rPr>
                <w:rFonts w:ascii="Arial Narrow" w:hAnsi="Arial Narrow"/>
                <w:sz w:val="18"/>
                <w:szCs w:val="18"/>
              </w:rPr>
            </w:pPr>
          </w:p>
        </w:tc>
        <w:tc>
          <w:tcPr>
            <w:tcW w:w="460" w:type="pct"/>
          </w:tcPr>
          <w:p w14:paraId="55AC3B4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B6A052E"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D55840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14B639D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2DD4A86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524DF22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134EACF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97" w:type="pct"/>
          </w:tcPr>
          <w:p w14:paraId="4C4F26F3" w14:textId="77777777" w:rsidR="00095411" w:rsidRPr="007348FD" w:rsidRDefault="00095411" w:rsidP="00591CBB">
            <w:pPr>
              <w:spacing w:after="160" w:line="259" w:lineRule="auto"/>
              <w:rPr>
                <w:rFonts w:ascii="Arial Narrow" w:hAnsi="Arial Narrow"/>
                <w:sz w:val="18"/>
                <w:szCs w:val="18"/>
              </w:rPr>
            </w:pPr>
          </w:p>
        </w:tc>
        <w:tc>
          <w:tcPr>
            <w:tcW w:w="273" w:type="pct"/>
          </w:tcPr>
          <w:p w14:paraId="1396053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7D5370D0" w14:textId="77777777" w:rsidR="00095411" w:rsidRPr="007348FD" w:rsidRDefault="00095411" w:rsidP="00591CBB">
            <w:pPr>
              <w:spacing w:after="160" w:line="259" w:lineRule="auto"/>
              <w:rPr>
                <w:rFonts w:ascii="Arial Narrow" w:hAnsi="Arial Narrow"/>
                <w:sz w:val="18"/>
                <w:szCs w:val="18"/>
              </w:rPr>
            </w:pPr>
          </w:p>
        </w:tc>
        <w:tc>
          <w:tcPr>
            <w:tcW w:w="283" w:type="pct"/>
          </w:tcPr>
          <w:p w14:paraId="051BC73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5B72363" w14:textId="77777777" w:rsidR="00095411" w:rsidRPr="007348FD" w:rsidRDefault="00095411" w:rsidP="00591CBB">
            <w:pPr>
              <w:spacing w:after="160" w:line="259" w:lineRule="auto"/>
              <w:rPr>
                <w:rFonts w:ascii="Arial Narrow" w:hAnsi="Arial Narrow"/>
                <w:sz w:val="18"/>
                <w:szCs w:val="18"/>
              </w:rPr>
            </w:pPr>
          </w:p>
        </w:tc>
        <w:tc>
          <w:tcPr>
            <w:tcW w:w="149" w:type="pct"/>
          </w:tcPr>
          <w:p w14:paraId="2DD5579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6C8E38C2" w14:textId="77777777" w:rsidR="00095411" w:rsidRPr="007348FD" w:rsidRDefault="00095411" w:rsidP="00591CBB">
            <w:pPr>
              <w:spacing w:after="160" w:line="259" w:lineRule="auto"/>
              <w:rPr>
                <w:rFonts w:ascii="Arial Narrow" w:hAnsi="Arial Narrow"/>
                <w:sz w:val="18"/>
                <w:szCs w:val="18"/>
              </w:rPr>
            </w:pPr>
          </w:p>
        </w:tc>
        <w:tc>
          <w:tcPr>
            <w:tcW w:w="214" w:type="pct"/>
          </w:tcPr>
          <w:p w14:paraId="272462D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39EF949D" w14:textId="77777777" w:rsidR="00095411" w:rsidRPr="007348FD" w:rsidRDefault="00095411" w:rsidP="00591CBB">
            <w:pPr>
              <w:spacing w:after="160" w:line="259" w:lineRule="auto"/>
              <w:rPr>
                <w:rFonts w:ascii="Arial Narrow" w:hAnsi="Arial Narrow"/>
                <w:sz w:val="18"/>
                <w:szCs w:val="18"/>
              </w:rPr>
            </w:pPr>
          </w:p>
        </w:tc>
        <w:tc>
          <w:tcPr>
            <w:tcW w:w="280" w:type="pct"/>
          </w:tcPr>
          <w:p w14:paraId="2807423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5C8C6A13"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075BB36B" w14:textId="77777777" w:rsidR="00095411" w:rsidRPr="007348FD" w:rsidRDefault="00095411" w:rsidP="00591CBB">
            <w:pPr>
              <w:spacing w:after="160" w:line="259" w:lineRule="auto"/>
              <w:rPr>
                <w:rFonts w:ascii="Arial Narrow" w:hAnsi="Arial Narrow"/>
                <w:sz w:val="18"/>
                <w:szCs w:val="18"/>
              </w:rPr>
            </w:pPr>
          </w:p>
        </w:tc>
        <w:tc>
          <w:tcPr>
            <w:tcW w:w="460" w:type="pct"/>
          </w:tcPr>
          <w:p w14:paraId="63FEBDA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EBE88D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E94331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58DE8E6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0677C4EF" w14:textId="557A88CA"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3BCAA95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98" w:type="pct"/>
          </w:tcPr>
          <w:p w14:paraId="68CE4D8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4D806033" w14:textId="77777777" w:rsidR="00095411" w:rsidRPr="007348FD" w:rsidRDefault="00095411" w:rsidP="00591CBB">
            <w:pPr>
              <w:spacing w:after="160" w:line="259" w:lineRule="auto"/>
              <w:rPr>
                <w:rFonts w:ascii="Arial Narrow" w:hAnsi="Arial Narrow"/>
                <w:sz w:val="18"/>
                <w:szCs w:val="18"/>
              </w:rPr>
            </w:pPr>
          </w:p>
        </w:tc>
        <w:tc>
          <w:tcPr>
            <w:tcW w:w="273" w:type="pct"/>
          </w:tcPr>
          <w:p w14:paraId="50F7548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B737EC3" w14:textId="77777777" w:rsidR="00095411" w:rsidRPr="007348FD" w:rsidRDefault="00095411" w:rsidP="00591CBB">
            <w:pPr>
              <w:spacing w:after="160" w:line="259" w:lineRule="auto"/>
              <w:rPr>
                <w:rFonts w:ascii="Arial Narrow" w:hAnsi="Arial Narrow"/>
                <w:sz w:val="18"/>
                <w:szCs w:val="18"/>
              </w:rPr>
            </w:pPr>
          </w:p>
        </w:tc>
        <w:tc>
          <w:tcPr>
            <w:tcW w:w="283" w:type="pct"/>
          </w:tcPr>
          <w:p w14:paraId="58D2DB0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C2878E0" w14:textId="77777777" w:rsidR="00095411" w:rsidRPr="007348FD" w:rsidRDefault="00095411" w:rsidP="00591CBB">
            <w:pPr>
              <w:spacing w:after="160" w:line="259" w:lineRule="auto"/>
              <w:rPr>
                <w:rFonts w:ascii="Arial Narrow" w:hAnsi="Arial Narrow"/>
                <w:sz w:val="18"/>
                <w:szCs w:val="18"/>
              </w:rPr>
            </w:pPr>
          </w:p>
        </w:tc>
        <w:tc>
          <w:tcPr>
            <w:tcW w:w="149" w:type="pct"/>
          </w:tcPr>
          <w:p w14:paraId="27B1F61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13B1D48" w14:textId="77777777" w:rsidR="00095411" w:rsidRPr="007348FD" w:rsidRDefault="00095411" w:rsidP="00591CBB">
            <w:pPr>
              <w:spacing w:after="160" w:line="259" w:lineRule="auto"/>
              <w:rPr>
                <w:rFonts w:ascii="Arial Narrow" w:hAnsi="Arial Narrow"/>
                <w:sz w:val="18"/>
                <w:szCs w:val="18"/>
              </w:rPr>
            </w:pPr>
          </w:p>
        </w:tc>
        <w:tc>
          <w:tcPr>
            <w:tcW w:w="214" w:type="pct"/>
          </w:tcPr>
          <w:p w14:paraId="03DF4B3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2854705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2856B993" w14:textId="2D163AE9"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r>
      <w:tr w:rsidR="00637BF8" w:rsidRPr="00591CBB" w14:paraId="3DBFDFBF" w14:textId="77777777" w:rsidTr="00051F27">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432" w:type="pct"/>
          </w:tcPr>
          <w:p w14:paraId="11CE4DFF" w14:textId="77777777" w:rsidR="00095411" w:rsidRPr="007348FD" w:rsidRDefault="00095411" w:rsidP="00591CBB">
            <w:pPr>
              <w:spacing w:after="160" w:line="259" w:lineRule="auto"/>
              <w:rPr>
                <w:rFonts w:ascii="Arial Narrow" w:hAnsi="Arial Narrow"/>
                <w:sz w:val="18"/>
                <w:szCs w:val="18"/>
              </w:rPr>
            </w:pPr>
          </w:p>
        </w:tc>
        <w:tc>
          <w:tcPr>
            <w:tcW w:w="460" w:type="pct"/>
          </w:tcPr>
          <w:p w14:paraId="3292E31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81FA13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07847A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2161532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2DC0646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48D78E5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 Draft available to be validated in 2019</w:t>
            </w:r>
          </w:p>
        </w:tc>
        <w:tc>
          <w:tcPr>
            <w:tcW w:w="298" w:type="pct"/>
          </w:tcPr>
          <w:p w14:paraId="107D023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26CB400A" w14:textId="77777777" w:rsidR="00095411" w:rsidRPr="007348FD" w:rsidRDefault="00095411" w:rsidP="00591CBB">
            <w:pPr>
              <w:spacing w:after="160" w:line="259" w:lineRule="auto"/>
              <w:rPr>
                <w:rFonts w:ascii="Arial Narrow" w:hAnsi="Arial Narrow"/>
                <w:sz w:val="18"/>
                <w:szCs w:val="18"/>
              </w:rPr>
            </w:pPr>
          </w:p>
        </w:tc>
        <w:tc>
          <w:tcPr>
            <w:tcW w:w="273" w:type="pct"/>
          </w:tcPr>
          <w:p w14:paraId="5E6498B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5443C9EC" w14:textId="77777777" w:rsidR="00095411" w:rsidRPr="007348FD" w:rsidRDefault="00095411" w:rsidP="00591CBB">
            <w:pPr>
              <w:spacing w:after="160" w:line="259" w:lineRule="auto"/>
              <w:rPr>
                <w:rFonts w:ascii="Arial Narrow" w:hAnsi="Arial Narrow"/>
                <w:sz w:val="18"/>
                <w:szCs w:val="18"/>
              </w:rPr>
            </w:pPr>
          </w:p>
        </w:tc>
        <w:tc>
          <w:tcPr>
            <w:tcW w:w="283" w:type="pct"/>
          </w:tcPr>
          <w:p w14:paraId="47A63EF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FCAA0EF" w14:textId="77777777" w:rsidR="00095411" w:rsidRPr="007348FD" w:rsidRDefault="00095411" w:rsidP="00591CBB">
            <w:pPr>
              <w:spacing w:after="160" w:line="259" w:lineRule="auto"/>
              <w:rPr>
                <w:rFonts w:ascii="Arial Narrow" w:hAnsi="Arial Narrow"/>
                <w:sz w:val="18"/>
                <w:szCs w:val="18"/>
              </w:rPr>
            </w:pPr>
          </w:p>
        </w:tc>
        <w:tc>
          <w:tcPr>
            <w:tcW w:w="149" w:type="pct"/>
          </w:tcPr>
          <w:p w14:paraId="2B8CDFC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567248F5" w14:textId="77777777" w:rsidR="00095411" w:rsidRPr="007348FD" w:rsidRDefault="00095411" w:rsidP="00591CBB">
            <w:pPr>
              <w:spacing w:after="160" w:line="259" w:lineRule="auto"/>
              <w:rPr>
                <w:rFonts w:ascii="Arial Narrow" w:hAnsi="Arial Narrow"/>
                <w:sz w:val="18"/>
                <w:szCs w:val="18"/>
              </w:rPr>
            </w:pPr>
          </w:p>
        </w:tc>
        <w:tc>
          <w:tcPr>
            <w:tcW w:w="214" w:type="pct"/>
          </w:tcPr>
          <w:p w14:paraId="7965D38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52705A1A" w14:textId="77777777" w:rsidR="00095411" w:rsidRPr="007348FD" w:rsidRDefault="00095411" w:rsidP="00591CBB">
            <w:pPr>
              <w:spacing w:after="160" w:line="259" w:lineRule="auto"/>
              <w:rPr>
                <w:rFonts w:ascii="Arial Narrow" w:hAnsi="Arial Narrow"/>
                <w:sz w:val="18"/>
                <w:szCs w:val="18"/>
              </w:rPr>
            </w:pPr>
          </w:p>
        </w:tc>
        <w:tc>
          <w:tcPr>
            <w:tcW w:w="280" w:type="pct"/>
          </w:tcPr>
          <w:p w14:paraId="598CEB7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370CE8FB"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04F77230" w14:textId="77777777" w:rsidR="00095411" w:rsidRPr="007348FD" w:rsidRDefault="00095411" w:rsidP="00591CBB">
            <w:pPr>
              <w:spacing w:after="160" w:line="259" w:lineRule="auto"/>
              <w:rPr>
                <w:rFonts w:ascii="Arial Narrow" w:hAnsi="Arial Narrow"/>
                <w:sz w:val="18"/>
                <w:szCs w:val="18"/>
              </w:rPr>
            </w:pPr>
          </w:p>
        </w:tc>
        <w:tc>
          <w:tcPr>
            <w:tcW w:w="460" w:type="pct"/>
          </w:tcPr>
          <w:p w14:paraId="23E4601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B467B11"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9EBFD9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7F1DEBD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5D6B549A" w14:textId="050A81B0"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7999893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1232B53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3E5EC08B" w14:textId="77777777" w:rsidR="00095411" w:rsidRPr="007348FD" w:rsidRDefault="00095411" w:rsidP="00591CBB">
            <w:pPr>
              <w:spacing w:after="160" w:line="259" w:lineRule="auto"/>
              <w:rPr>
                <w:rFonts w:ascii="Arial Narrow" w:hAnsi="Arial Narrow"/>
                <w:sz w:val="18"/>
                <w:szCs w:val="18"/>
              </w:rPr>
            </w:pPr>
          </w:p>
        </w:tc>
        <w:tc>
          <w:tcPr>
            <w:tcW w:w="273" w:type="pct"/>
          </w:tcPr>
          <w:p w14:paraId="540D6BD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1EFCF2F" w14:textId="77777777" w:rsidR="00095411" w:rsidRPr="007348FD" w:rsidRDefault="00095411" w:rsidP="00591CBB">
            <w:pPr>
              <w:spacing w:after="160" w:line="259" w:lineRule="auto"/>
              <w:rPr>
                <w:rFonts w:ascii="Arial Narrow" w:hAnsi="Arial Narrow"/>
                <w:sz w:val="18"/>
                <w:szCs w:val="18"/>
              </w:rPr>
            </w:pPr>
          </w:p>
        </w:tc>
        <w:tc>
          <w:tcPr>
            <w:tcW w:w="283" w:type="pct"/>
          </w:tcPr>
          <w:p w14:paraId="07EC060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4AF3C98" w14:textId="77777777" w:rsidR="00095411" w:rsidRPr="007348FD" w:rsidRDefault="00095411" w:rsidP="00591CBB">
            <w:pPr>
              <w:spacing w:after="160" w:line="259" w:lineRule="auto"/>
              <w:rPr>
                <w:rFonts w:ascii="Arial Narrow" w:hAnsi="Arial Narrow"/>
                <w:sz w:val="18"/>
                <w:szCs w:val="18"/>
              </w:rPr>
            </w:pPr>
          </w:p>
        </w:tc>
        <w:tc>
          <w:tcPr>
            <w:tcW w:w="149" w:type="pct"/>
          </w:tcPr>
          <w:p w14:paraId="51B439B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A17A2B7" w14:textId="77777777" w:rsidR="00095411" w:rsidRPr="007348FD" w:rsidRDefault="00095411" w:rsidP="00591CBB">
            <w:pPr>
              <w:spacing w:after="160" w:line="259" w:lineRule="auto"/>
              <w:rPr>
                <w:rFonts w:ascii="Arial Narrow" w:hAnsi="Arial Narrow"/>
                <w:sz w:val="18"/>
                <w:szCs w:val="18"/>
              </w:rPr>
            </w:pPr>
          </w:p>
        </w:tc>
        <w:tc>
          <w:tcPr>
            <w:tcW w:w="214" w:type="pct"/>
          </w:tcPr>
          <w:p w14:paraId="47C9E98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28117A0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3696BD8F" w14:textId="3D006203"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r>
      <w:tr w:rsidR="00637BF8" w:rsidRPr="00591CBB" w14:paraId="1A789CAB"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0552B4E9" w14:textId="77777777" w:rsidR="00095411" w:rsidRPr="007348FD" w:rsidRDefault="00095411" w:rsidP="00591CBB">
            <w:pPr>
              <w:spacing w:after="160" w:line="259" w:lineRule="auto"/>
              <w:rPr>
                <w:rFonts w:ascii="Arial Narrow" w:hAnsi="Arial Narrow"/>
                <w:sz w:val="18"/>
                <w:szCs w:val="18"/>
              </w:rPr>
            </w:pPr>
          </w:p>
        </w:tc>
        <w:tc>
          <w:tcPr>
            <w:tcW w:w="460" w:type="pct"/>
          </w:tcPr>
          <w:p w14:paraId="50F30C4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72C1F59"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2BB5B5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8AC19C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3D65ED3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0A493AF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3668824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97" w:type="pct"/>
          </w:tcPr>
          <w:p w14:paraId="625AC87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73" w:type="pct"/>
          </w:tcPr>
          <w:p w14:paraId="4FCA566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20626678" w14:textId="77777777" w:rsidR="00095411" w:rsidRPr="007348FD" w:rsidRDefault="00095411" w:rsidP="00591CBB">
            <w:pPr>
              <w:spacing w:after="160" w:line="259" w:lineRule="auto"/>
              <w:rPr>
                <w:rFonts w:ascii="Arial Narrow" w:hAnsi="Arial Narrow"/>
                <w:sz w:val="18"/>
                <w:szCs w:val="18"/>
              </w:rPr>
            </w:pPr>
          </w:p>
        </w:tc>
        <w:tc>
          <w:tcPr>
            <w:tcW w:w="283" w:type="pct"/>
          </w:tcPr>
          <w:p w14:paraId="7A01DF6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4E3B1FB" w14:textId="77777777" w:rsidR="00095411" w:rsidRPr="007348FD" w:rsidRDefault="00095411" w:rsidP="00591CBB">
            <w:pPr>
              <w:spacing w:after="160" w:line="259" w:lineRule="auto"/>
              <w:rPr>
                <w:rFonts w:ascii="Arial Narrow" w:hAnsi="Arial Narrow"/>
                <w:sz w:val="18"/>
                <w:szCs w:val="18"/>
              </w:rPr>
            </w:pPr>
          </w:p>
        </w:tc>
        <w:tc>
          <w:tcPr>
            <w:tcW w:w="149" w:type="pct"/>
          </w:tcPr>
          <w:p w14:paraId="1E2FBBE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284979D2" w14:textId="77777777" w:rsidR="00095411" w:rsidRPr="007348FD" w:rsidRDefault="00095411" w:rsidP="00591CBB">
            <w:pPr>
              <w:spacing w:after="160" w:line="259" w:lineRule="auto"/>
              <w:rPr>
                <w:rFonts w:ascii="Arial Narrow" w:hAnsi="Arial Narrow"/>
                <w:sz w:val="18"/>
                <w:szCs w:val="18"/>
              </w:rPr>
            </w:pPr>
          </w:p>
        </w:tc>
        <w:tc>
          <w:tcPr>
            <w:tcW w:w="214" w:type="pct"/>
          </w:tcPr>
          <w:p w14:paraId="25D3376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45" w:type="pct"/>
          </w:tcPr>
          <w:p w14:paraId="3300E9D2" w14:textId="77777777" w:rsidR="00095411" w:rsidRPr="007348FD" w:rsidRDefault="00095411" w:rsidP="00591CBB">
            <w:pPr>
              <w:spacing w:after="160" w:line="259" w:lineRule="auto"/>
              <w:rPr>
                <w:rFonts w:ascii="Arial Narrow" w:hAnsi="Arial Narrow"/>
                <w:sz w:val="18"/>
                <w:szCs w:val="18"/>
              </w:rPr>
            </w:pPr>
          </w:p>
        </w:tc>
        <w:tc>
          <w:tcPr>
            <w:tcW w:w="280" w:type="pct"/>
          </w:tcPr>
          <w:p w14:paraId="33CA810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6281C09B"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201EFC27" w14:textId="77777777" w:rsidR="00095411" w:rsidRPr="007348FD" w:rsidRDefault="00095411" w:rsidP="00591CBB">
            <w:pPr>
              <w:spacing w:after="160" w:line="259" w:lineRule="auto"/>
              <w:rPr>
                <w:rFonts w:ascii="Arial Narrow" w:hAnsi="Arial Narrow"/>
                <w:sz w:val="18"/>
                <w:szCs w:val="18"/>
              </w:rPr>
            </w:pPr>
          </w:p>
        </w:tc>
        <w:tc>
          <w:tcPr>
            <w:tcW w:w="460" w:type="pct"/>
          </w:tcPr>
          <w:p w14:paraId="5FBC283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05F2A08"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DDC584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7AD6B0B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3932D6A3" w14:textId="1D9BBE0D"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6E60EC0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98" w:type="pct"/>
          </w:tcPr>
          <w:p w14:paraId="174BA6F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4C50B362" w14:textId="77777777" w:rsidR="00095411" w:rsidRPr="007348FD" w:rsidRDefault="00095411" w:rsidP="00591CBB">
            <w:pPr>
              <w:spacing w:after="160" w:line="259" w:lineRule="auto"/>
              <w:rPr>
                <w:rFonts w:ascii="Arial Narrow" w:hAnsi="Arial Narrow"/>
                <w:sz w:val="18"/>
                <w:szCs w:val="18"/>
              </w:rPr>
            </w:pPr>
          </w:p>
        </w:tc>
        <w:tc>
          <w:tcPr>
            <w:tcW w:w="273" w:type="pct"/>
          </w:tcPr>
          <w:p w14:paraId="4EFEA12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97913E3" w14:textId="77777777" w:rsidR="00095411" w:rsidRPr="007348FD" w:rsidRDefault="00095411" w:rsidP="00591CBB">
            <w:pPr>
              <w:spacing w:after="160" w:line="259" w:lineRule="auto"/>
              <w:rPr>
                <w:rFonts w:ascii="Arial Narrow" w:hAnsi="Arial Narrow"/>
                <w:sz w:val="18"/>
                <w:szCs w:val="18"/>
              </w:rPr>
            </w:pPr>
          </w:p>
        </w:tc>
        <w:tc>
          <w:tcPr>
            <w:tcW w:w="283" w:type="pct"/>
          </w:tcPr>
          <w:p w14:paraId="54FCA03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A9B3305" w14:textId="77777777" w:rsidR="00095411" w:rsidRPr="007348FD" w:rsidRDefault="00095411" w:rsidP="00591CBB">
            <w:pPr>
              <w:spacing w:after="160" w:line="259" w:lineRule="auto"/>
              <w:rPr>
                <w:rFonts w:ascii="Arial Narrow" w:hAnsi="Arial Narrow"/>
                <w:sz w:val="18"/>
                <w:szCs w:val="18"/>
              </w:rPr>
            </w:pPr>
          </w:p>
        </w:tc>
        <w:tc>
          <w:tcPr>
            <w:tcW w:w="149" w:type="pct"/>
          </w:tcPr>
          <w:p w14:paraId="2F014D3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FFCF1E7" w14:textId="77777777" w:rsidR="00095411" w:rsidRPr="007348FD" w:rsidRDefault="00095411" w:rsidP="00591CBB">
            <w:pPr>
              <w:spacing w:after="160" w:line="259" w:lineRule="auto"/>
              <w:rPr>
                <w:rFonts w:ascii="Arial Narrow" w:hAnsi="Arial Narrow"/>
                <w:sz w:val="18"/>
                <w:szCs w:val="18"/>
              </w:rPr>
            </w:pPr>
          </w:p>
        </w:tc>
        <w:tc>
          <w:tcPr>
            <w:tcW w:w="214" w:type="pct"/>
          </w:tcPr>
          <w:p w14:paraId="05D9157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74195B4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099CC6CB" w14:textId="1B1EA798"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r>
      <w:tr w:rsidR="00637BF8" w:rsidRPr="00591CBB" w14:paraId="180BE7F0"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26C6DA5E" w14:textId="77777777" w:rsidR="00095411" w:rsidRPr="007348FD" w:rsidRDefault="00095411" w:rsidP="00591CBB">
            <w:pPr>
              <w:spacing w:after="160" w:line="259" w:lineRule="auto"/>
              <w:rPr>
                <w:rFonts w:ascii="Arial Narrow" w:hAnsi="Arial Narrow"/>
                <w:sz w:val="18"/>
                <w:szCs w:val="18"/>
              </w:rPr>
            </w:pPr>
          </w:p>
        </w:tc>
        <w:tc>
          <w:tcPr>
            <w:tcW w:w="460" w:type="pct"/>
          </w:tcPr>
          <w:p w14:paraId="35B41CB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9BF81A2"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2DD112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15E89F5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1835F56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6914ECC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62CC5F2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97" w:type="pct"/>
          </w:tcPr>
          <w:p w14:paraId="556AC18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73" w:type="pct"/>
          </w:tcPr>
          <w:p w14:paraId="7B8FC6B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55C63BEE" w14:textId="77777777" w:rsidR="00095411" w:rsidRPr="007348FD" w:rsidRDefault="00095411" w:rsidP="00591CBB">
            <w:pPr>
              <w:spacing w:after="160" w:line="259" w:lineRule="auto"/>
              <w:rPr>
                <w:rFonts w:ascii="Arial Narrow" w:hAnsi="Arial Narrow"/>
                <w:sz w:val="18"/>
                <w:szCs w:val="18"/>
              </w:rPr>
            </w:pPr>
          </w:p>
        </w:tc>
        <w:tc>
          <w:tcPr>
            <w:tcW w:w="283" w:type="pct"/>
          </w:tcPr>
          <w:p w14:paraId="30F60C2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A3DF7B5" w14:textId="77777777" w:rsidR="00095411" w:rsidRPr="007348FD" w:rsidRDefault="00095411" w:rsidP="00591CBB">
            <w:pPr>
              <w:spacing w:after="160" w:line="259" w:lineRule="auto"/>
              <w:rPr>
                <w:rFonts w:ascii="Arial Narrow" w:hAnsi="Arial Narrow"/>
                <w:sz w:val="18"/>
                <w:szCs w:val="18"/>
              </w:rPr>
            </w:pPr>
          </w:p>
        </w:tc>
        <w:tc>
          <w:tcPr>
            <w:tcW w:w="149" w:type="pct"/>
          </w:tcPr>
          <w:p w14:paraId="6654C10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5C7E276C" w14:textId="77777777" w:rsidR="00095411" w:rsidRPr="007348FD" w:rsidRDefault="00095411" w:rsidP="00591CBB">
            <w:pPr>
              <w:spacing w:after="160" w:line="259" w:lineRule="auto"/>
              <w:rPr>
                <w:rFonts w:ascii="Arial Narrow" w:hAnsi="Arial Narrow"/>
                <w:sz w:val="18"/>
                <w:szCs w:val="18"/>
              </w:rPr>
            </w:pPr>
          </w:p>
        </w:tc>
        <w:tc>
          <w:tcPr>
            <w:tcW w:w="214" w:type="pct"/>
          </w:tcPr>
          <w:p w14:paraId="6EBB3A1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45" w:type="pct"/>
          </w:tcPr>
          <w:p w14:paraId="1FAF843B" w14:textId="77777777" w:rsidR="00095411" w:rsidRPr="007348FD" w:rsidRDefault="00095411" w:rsidP="00591CBB">
            <w:pPr>
              <w:spacing w:after="160" w:line="259" w:lineRule="auto"/>
              <w:rPr>
                <w:rFonts w:ascii="Arial Narrow" w:hAnsi="Arial Narrow"/>
                <w:sz w:val="18"/>
                <w:szCs w:val="18"/>
              </w:rPr>
            </w:pPr>
          </w:p>
        </w:tc>
        <w:tc>
          <w:tcPr>
            <w:tcW w:w="280" w:type="pct"/>
          </w:tcPr>
          <w:p w14:paraId="651D8FB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6D336592"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1BCD9883" w14:textId="77777777" w:rsidR="00095411" w:rsidRPr="007348FD" w:rsidRDefault="00095411" w:rsidP="00591CBB">
            <w:pPr>
              <w:spacing w:after="160" w:line="259" w:lineRule="auto"/>
              <w:rPr>
                <w:rFonts w:ascii="Arial Narrow" w:hAnsi="Arial Narrow"/>
                <w:sz w:val="18"/>
                <w:szCs w:val="18"/>
              </w:rPr>
            </w:pPr>
          </w:p>
        </w:tc>
        <w:tc>
          <w:tcPr>
            <w:tcW w:w="460" w:type="pct"/>
          </w:tcPr>
          <w:p w14:paraId="3960A78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C074932"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E8FDFA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1751013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0082DC83" w14:textId="38C92303"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375249D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98" w:type="pct"/>
          </w:tcPr>
          <w:p w14:paraId="6AE74BB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4650A0E5" w14:textId="77777777" w:rsidR="00095411" w:rsidRPr="007348FD" w:rsidRDefault="00095411" w:rsidP="00591CBB">
            <w:pPr>
              <w:spacing w:after="160" w:line="259" w:lineRule="auto"/>
              <w:rPr>
                <w:rFonts w:ascii="Arial Narrow" w:hAnsi="Arial Narrow"/>
                <w:sz w:val="18"/>
                <w:szCs w:val="18"/>
              </w:rPr>
            </w:pPr>
          </w:p>
        </w:tc>
        <w:tc>
          <w:tcPr>
            <w:tcW w:w="273" w:type="pct"/>
          </w:tcPr>
          <w:p w14:paraId="1E393CF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4E3DBE5" w14:textId="77777777" w:rsidR="00095411" w:rsidRPr="007348FD" w:rsidRDefault="00095411" w:rsidP="00591CBB">
            <w:pPr>
              <w:spacing w:after="160" w:line="259" w:lineRule="auto"/>
              <w:rPr>
                <w:rFonts w:ascii="Arial Narrow" w:hAnsi="Arial Narrow"/>
                <w:sz w:val="18"/>
                <w:szCs w:val="18"/>
              </w:rPr>
            </w:pPr>
          </w:p>
        </w:tc>
        <w:tc>
          <w:tcPr>
            <w:tcW w:w="283" w:type="pct"/>
          </w:tcPr>
          <w:p w14:paraId="04779AB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B770CA2" w14:textId="77777777" w:rsidR="00095411" w:rsidRPr="007348FD" w:rsidRDefault="00095411" w:rsidP="00591CBB">
            <w:pPr>
              <w:spacing w:after="160" w:line="259" w:lineRule="auto"/>
              <w:rPr>
                <w:rFonts w:ascii="Arial Narrow" w:hAnsi="Arial Narrow"/>
                <w:sz w:val="18"/>
                <w:szCs w:val="18"/>
              </w:rPr>
            </w:pPr>
          </w:p>
        </w:tc>
        <w:tc>
          <w:tcPr>
            <w:tcW w:w="149" w:type="pct"/>
          </w:tcPr>
          <w:p w14:paraId="212C9ED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7D72913" w14:textId="77777777" w:rsidR="00095411" w:rsidRPr="007348FD" w:rsidRDefault="00095411" w:rsidP="00591CBB">
            <w:pPr>
              <w:spacing w:after="160" w:line="259" w:lineRule="auto"/>
              <w:rPr>
                <w:rFonts w:ascii="Arial Narrow" w:hAnsi="Arial Narrow"/>
                <w:sz w:val="18"/>
                <w:szCs w:val="18"/>
              </w:rPr>
            </w:pPr>
          </w:p>
        </w:tc>
        <w:tc>
          <w:tcPr>
            <w:tcW w:w="214" w:type="pct"/>
          </w:tcPr>
          <w:p w14:paraId="244F9ED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1D8E396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3429CEA3" w14:textId="5E8B2DE2"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r>
      <w:tr w:rsidR="00637BF8" w:rsidRPr="00591CBB" w14:paraId="63BE1F46"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67CC8EF1" w14:textId="77777777" w:rsidR="00095411" w:rsidRPr="007348FD" w:rsidRDefault="00095411" w:rsidP="00591CBB">
            <w:pPr>
              <w:spacing w:after="160" w:line="259" w:lineRule="auto"/>
              <w:rPr>
                <w:rFonts w:ascii="Arial Narrow" w:hAnsi="Arial Narrow"/>
                <w:sz w:val="18"/>
                <w:szCs w:val="18"/>
              </w:rPr>
            </w:pPr>
          </w:p>
        </w:tc>
        <w:tc>
          <w:tcPr>
            <w:tcW w:w="460" w:type="pct"/>
          </w:tcPr>
          <w:p w14:paraId="2D94ABF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B95D23C"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DAF27C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395F14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6A5637E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08AAEC6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203C560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97" w:type="pct"/>
          </w:tcPr>
          <w:p w14:paraId="45BD3B3C" w14:textId="77777777" w:rsidR="00095411" w:rsidRPr="007348FD" w:rsidRDefault="00095411" w:rsidP="00591CBB">
            <w:pPr>
              <w:spacing w:after="160" w:line="259" w:lineRule="auto"/>
              <w:rPr>
                <w:rFonts w:ascii="Arial Narrow" w:hAnsi="Arial Narrow"/>
                <w:sz w:val="18"/>
                <w:szCs w:val="18"/>
              </w:rPr>
            </w:pPr>
          </w:p>
        </w:tc>
        <w:tc>
          <w:tcPr>
            <w:tcW w:w="273" w:type="pct"/>
          </w:tcPr>
          <w:p w14:paraId="07964DD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2C34A079" w14:textId="77777777" w:rsidR="00095411" w:rsidRPr="007348FD" w:rsidRDefault="00095411" w:rsidP="00591CBB">
            <w:pPr>
              <w:spacing w:after="160" w:line="259" w:lineRule="auto"/>
              <w:rPr>
                <w:rFonts w:ascii="Arial Narrow" w:hAnsi="Arial Narrow"/>
                <w:sz w:val="18"/>
                <w:szCs w:val="18"/>
              </w:rPr>
            </w:pPr>
          </w:p>
        </w:tc>
        <w:tc>
          <w:tcPr>
            <w:tcW w:w="283" w:type="pct"/>
          </w:tcPr>
          <w:p w14:paraId="79FD0F5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C43083F" w14:textId="77777777" w:rsidR="00095411" w:rsidRPr="007348FD" w:rsidRDefault="00095411" w:rsidP="00591CBB">
            <w:pPr>
              <w:spacing w:after="160" w:line="259" w:lineRule="auto"/>
              <w:rPr>
                <w:rFonts w:ascii="Arial Narrow" w:hAnsi="Arial Narrow"/>
                <w:sz w:val="18"/>
                <w:szCs w:val="18"/>
              </w:rPr>
            </w:pPr>
          </w:p>
        </w:tc>
        <w:tc>
          <w:tcPr>
            <w:tcW w:w="149" w:type="pct"/>
          </w:tcPr>
          <w:p w14:paraId="32A0523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4B7E2500" w14:textId="77777777" w:rsidR="00095411" w:rsidRPr="007348FD" w:rsidRDefault="00095411" w:rsidP="00591CBB">
            <w:pPr>
              <w:spacing w:after="160" w:line="259" w:lineRule="auto"/>
              <w:rPr>
                <w:rFonts w:ascii="Arial Narrow" w:hAnsi="Arial Narrow"/>
                <w:sz w:val="18"/>
                <w:szCs w:val="18"/>
              </w:rPr>
            </w:pPr>
          </w:p>
        </w:tc>
        <w:tc>
          <w:tcPr>
            <w:tcW w:w="214" w:type="pct"/>
          </w:tcPr>
          <w:p w14:paraId="415E4CD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59B78849" w14:textId="77777777" w:rsidR="00095411" w:rsidRPr="007348FD" w:rsidRDefault="00095411" w:rsidP="00591CBB">
            <w:pPr>
              <w:spacing w:after="160" w:line="259" w:lineRule="auto"/>
              <w:rPr>
                <w:rFonts w:ascii="Arial Narrow" w:hAnsi="Arial Narrow"/>
                <w:sz w:val="18"/>
                <w:szCs w:val="18"/>
              </w:rPr>
            </w:pPr>
          </w:p>
        </w:tc>
        <w:tc>
          <w:tcPr>
            <w:tcW w:w="280" w:type="pct"/>
          </w:tcPr>
          <w:p w14:paraId="01B68EA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2BC6E082" w14:textId="77777777" w:rsidTr="00051F27">
        <w:trPr>
          <w:trHeight w:val="228"/>
        </w:trPr>
        <w:tc>
          <w:tcPr>
            <w:cnfStyle w:val="000010000000" w:firstRow="0" w:lastRow="0" w:firstColumn="0" w:lastColumn="0" w:oddVBand="1" w:evenVBand="0" w:oddHBand="0" w:evenHBand="0" w:firstRowFirstColumn="0" w:firstRowLastColumn="0" w:lastRowFirstColumn="0" w:lastRowLastColumn="0"/>
            <w:tcW w:w="432" w:type="pct"/>
          </w:tcPr>
          <w:p w14:paraId="0FC2A044" w14:textId="77777777" w:rsidR="00095411" w:rsidRPr="007348FD" w:rsidRDefault="00095411" w:rsidP="00591CBB">
            <w:pPr>
              <w:spacing w:after="160" w:line="259" w:lineRule="auto"/>
              <w:rPr>
                <w:rFonts w:ascii="Arial Narrow" w:hAnsi="Arial Narrow"/>
                <w:sz w:val="18"/>
                <w:szCs w:val="18"/>
              </w:rPr>
            </w:pPr>
          </w:p>
        </w:tc>
        <w:tc>
          <w:tcPr>
            <w:tcW w:w="460" w:type="pct"/>
          </w:tcPr>
          <w:p w14:paraId="388B106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A00B54D"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838372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29A8C4E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3FA9518D" w14:textId="5DA1F7B5"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5DAA5B6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98" w:type="pct"/>
          </w:tcPr>
          <w:p w14:paraId="6B81355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56E829EA" w14:textId="77777777" w:rsidR="00095411" w:rsidRPr="007348FD" w:rsidRDefault="00095411" w:rsidP="00591CBB">
            <w:pPr>
              <w:spacing w:after="160" w:line="259" w:lineRule="auto"/>
              <w:rPr>
                <w:rFonts w:ascii="Arial Narrow" w:hAnsi="Arial Narrow"/>
                <w:sz w:val="18"/>
                <w:szCs w:val="18"/>
              </w:rPr>
            </w:pPr>
          </w:p>
        </w:tc>
        <w:tc>
          <w:tcPr>
            <w:tcW w:w="273" w:type="pct"/>
          </w:tcPr>
          <w:p w14:paraId="239CD1A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2238666" w14:textId="77777777" w:rsidR="00095411" w:rsidRPr="007348FD" w:rsidRDefault="00095411" w:rsidP="00591CBB">
            <w:pPr>
              <w:spacing w:after="160" w:line="259" w:lineRule="auto"/>
              <w:rPr>
                <w:rFonts w:ascii="Arial Narrow" w:hAnsi="Arial Narrow"/>
                <w:sz w:val="18"/>
                <w:szCs w:val="18"/>
              </w:rPr>
            </w:pPr>
          </w:p>
        </w:tc>
        <w:tc>
          <w:tcPr>
            <w:tcW w:w="283" w:type="pct"/>
          </w:tcPr>
          <w:p w14:paraId="37E7E0A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5A157B4" w14:textId="77777777" w:rsidR="00095411" w:rsidRPr="007348FD" w:rsidRDefault="00095411" w:rsidP="00591CBB">
            <w:pPr>
              <w:spacing w:after="160" w:line="259" w:lineRule="auto"/>
              <w:rPr>
                <w:rFonts w:ascii="Arial Narrow" w:hAnsi="Arial Narrow"/>
                <w:sz w:val="18"/>
                <w:szCs w:val="18"/>
              </w:rPr>
            </w:pPr>
          </w:p>
        </w:tc>
        <w:tc>
          <w:tcPr>
            <w:tcW w:w="149" w:type="pct"/>
          </w:tcPr>
          <w:p w14:paraId="29AE7EB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64002A8" w14:textId="77777777" w:rsidR="00095411" w:rsidRPr="007348FD" w:rsidRDefault="00095411" w:rsidP="00591CBB">
            <w:pPr>
              <w:spacing w:after="160" w:line="259" w:lineRule="auto"/>
              <w:rPr>
                <w:rFonts w:ascii="Arial Narrow" w:hAnsi="Arial Narrow"/>
                <w:sz w:val="18"/>
                <w:szCs w:val="18"/>
              </w:rPr>
            </w:pPr>
          </w:p>
        </w:tc>
        <w:tc>
          <w:tcPr>
            <w:tcW w:w="214" w:type="pct"/>
          </w:tcPr>
          <w:p w14:paraId="00B2A82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60E9675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2FF692B4" w14:textId="37CEBDBB"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r>
      <w:tr w:rsidR="00637BF8" w:rsidRPr="00591CBB" w14:paraId="6744E626" w14:textId="77777777" w:rsidTr="00051F27">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432" w:type="pct"/>
          </w:tcPr>
          <w:p w14:paraId="079FAA48" w14:textId="77777777" w:rsidR="00095411" w:rsidRPr="007348FD" w:rsidRDefault="00095411" w:rsidP="00591CBB">
            <w:pPr>
              <w:spacing w:after="160" w:line="259" w:lineRule="auto"/>
              <w:rPr>
                <w:rFonts w:ascii="Arial Narrow" w:hAnsi="Arial Narrow"/>
                <w:sz w:val="18"/>
                <w:szCs w:val="18"/>
              </w:rPr>
            </w:pPr>
          </w:p>
        </w:tc>
        <w:tc>
          <w:tcPr>
            <w:tcW w:w="460" w:type="pct"/>
          </w:tcPr>
          <w:p w14:paraId="1354317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FFAB3F8"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FD6EFB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23B7D37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5E376F4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0FB5508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39DF6BC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97" w:type="pct"/>
          </w:tcPr>
          <w:p w14:paraId="4B36096E" w14:textId="77777777" w:rsidR="00095411" w:rsidRPr="007348FD" w:rsidRDefault="00095411" w:rsidP="00591CBB">
            <w:pPr>
              <w:spacing w:after="160" w:line="259" w:lineRule="auto"/>
              <w:rPr>
                <w:rFonts w:ascii="Arial Narrow" w:hAnsi="Arial Narrow"/>
                <w:sz w:val="18"/>
                <w:szCs w:val="18"/>
              </w:rPr>
            </w:pPr>
          </w:p>
        </w:tc>
        <w:tc>
          <w:tcPr>
            <w:tcW w:w="273" w:type="pct"/>
          </w:tcPr>
          <w:p w14:paraId="7314A8E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85" w:type="pct"/>
          </w:tcPr>
          <w:p w14:paraId="7A9FE3D4" w14:textId="77777777" w:rsidR="00095411" w:rsidRPr="007348FD" w:rsidRDefault="00095411" w:rsidP="00591CBB">
            <w:pPr>
              <w:spacing w:after="160" w:line="259" w:lineRule="auto"/>
              <w:rPr>
                <w:rFonts w:ascii="Arial Narrow" w:hAnsi="Arial Narrow"/>
                <w:sz w:val="18"/>
                <w:szCs w:val="18"/>
              </w:rPr>
            </w:pPr>
          </w:p>
        </w:tc>
        <w:tc>
          <w:tcPr>
            <w:tcW w:w="283" w:type="pct"/>
          </w:tcPr>
          <w:p w14:paraId="62F4346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D8C0F8A" w14:textId="77777777" w:rsidR="00095411" w:rsidRPr="007348FD" w:rsidRDefault="00095411" w:rsidP="00591CBB">
            <w:pPr>
              <w:spacing w:after="160" w:line="259" w:lineRule="auto"/>
              <w:rPr>
                <w:rFonts w:ascii="Arial Narrow" w:hAnsi="Arial Narrow"/>
                <w:sz w:val="18"/>
                <w:szCs w:val="18"/>
              </w:rPr>
            </w:pPr>
          </w:p>
        </w:tc>
        <w:tc>
          <w:tcPr>
            <w:tcW w:w="149" w:type="pct"/>
          </w:tcPr>
          <w:p w14:paraId="113D081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01" w:type="pct"/>
          </w:tcPr>
          <w:p w14:paraId="6D6BFD7F" w14:textId="77777777" w:rsidR="00095411" w:rsidRPr="007348FD" w:rsidRDefault="00095411" w:rsidP="00591CBB">
            <w:pPr>
              <w:spacing w:after="160" w:line="259" w:lineRule="auto"/>
              <w:rPr>
                <w:rFonts w:ascii="Arial Narrow" w:hAnsi="Arial Narrow"/>
                <w:sz w:val="18"/>
                <w:szCs w:val="18"/>
              </w:rPr>
            </w:pPr>
          </w:p>
        </w:tc>
        <w:tc>
          <w:tcPr>
            <w:tcW w:w="214" w:type="pct"/>
          </w:tcPr>
          <w:p w14:paraId="62E8D23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18D67DF3" w14:textId="77777777" w:rsidR="00095411" w:rsidRPr="007348FD" w:rsidRDefault="00095411" w:rsidP="00591CBB">
            <w:pPr>
              <w:spacing w:after="160" w:line="259" w:lineRule="auto"/>
              <w:rPr>
                <w:rFonts w:ascii="Arial Narrow" w:hAnsi="Arial Narrow"/>
                <w:sz w:val="18"/>
                <w:szCs w:val="18"/>
              </w:rPr>
            </w:pPr>
          </w:p>
        </w:tc>
        <w:tc>
          <w:tcPr>
            <w:tcW w:w="280" w:type="pct"/>
          </w:tcPr>
          <w:p w14:paraId="7E623EB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7DB9D1D6"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593E35AA" w14:textId="77777777" w:rsidR="00095411" w:rsidRPr="007348FD" w:rsidRDefault="00095411" w:rsidP="00591CBB">
            <w:pPr>
              <w:spacing w:after="160" w:line="259" w:lineRule="auto"/>
              <w:rPr>
                <w:rFonts w:ascii="Arial Narrow" w:hAnsi="Arial Narrow"/>
                <w:sz w:val="18"/>
                <w:szCs w:val="18"/>
              </w:rPr>
            </w:pPr>
          </w:p>
        </w:tc>
        <w:tc>
          <w:tcPr>
            <w:tcW w:w="460" w:type="pct"/>
          </w:tcPr>
          <w:p w14:paraId="429DB03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22. More people accept and support access to and use of contraception, including for youth and people living with disabilities </w:t>
            </w:r>
          </w:p>
        </w:tc>
        <w:tc>
          <w:tcPr>
            <w:cnfStyle w:val="000010000000" w:firstRow="0" w:lastRow="0" w:firstColumn="0" w:lastColumn="0" w:oddVBand="1" w:evenVBand="0" w:oddHBand="0" w:evenHBand="0" w:firstRowFirstColumn="0" w:firstRowLastColumn="0" w:lastRowFirstColumn="0" w:lastRowLastColumn="0"/>
            <w:tcW w:w="371" w:type="pct"/>
          </w:tcPr>
          <w:p w14:paraId="367F3389"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t>Yes. An increasing number of people accept and support to and use of contraception</w:t>
            </w:r>
          </w:p>
        </w:tc>
        <w:tc>
          <w:tcPr>
            <w:tcW w:w="341" w:type="pct"/>
          </w:tcPr>
          <w:p w14:paraId="48E8CFA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2673456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F3A9DC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76C3531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3E58D42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70D0D5BB" w14:textId="77777777" w:rsidR="00095411" w:rsidRPr="007348FD" w:rsidRDefault="00095411" w:rsidP="00591CBB">
            <w:pPr>
              <w:spacing w:after="160" w:line="259" w:lineRule="auto"/>
              <w:rPr>
                <w:rFonts w:ascii="Arial Narrow" w:hAnsi="Arial Narrow"/>
                <w:sz w:val="18"/>
                <w:szCs w:val="18"/>
              </w:rPr>
            </w:pPr>
          </w:p>
        </w:tc>
        <w:tc>
          <w:tcPr>
            <w:tcW w:w="273" w:type="pct"/>
          </w:tcPr>
          <w:p w14:paraId="16A44BC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7FC4ABE" w14:textId="77777777" w:rsidR="00095411" w:rsidRPr="007348FD" w:rsidRDefault="00095411" w:rsidP="00591CBB">
            <w:pPr>
              <w:spacing w:after="160" w:line="259" w:lineRule="auto"/>
              <w:rPr>
                <w:rFonts w:ascii="Arial Narrow" w:hAnsi="Arial Narrow"/>
                <w:sz w:val="18"/>
                <w:szCs w:val="18"/>
              </w:rPr>
            </w:pPr>
          </w:p>
        </w:tc>
        <w:tc>
          <w:tcPr>
            <w:tcW w:w="283" w:type="pct"/>
          </w:tcPr>
          <w:p w14:paraId="64CC240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68E110F" w14:textId="77777777" w:rsidR="00095411" w:rsidRPr="007348FD" w:rsidRDefault="00095411" w:rsidP="00591CBB">
            <w:pPr>
              <w:spacing w:after="160" w:line="259" w:lineRule="auto"/>
              <w:rPr>
                <w:rFonts w:ascii="Arial Narrow" w:hAnsi="Arial Narrow"/>
                <w:sz w:val="18"/>
                <w:szCs w:val="18"/>
              </w:rPr>
            </w:pPr>
          </w:p>
        </w:tc>
        <w:tc>
          <w:tcPr>
            <w:tcW w:w="149" w:type="pct"/>
          </w:tcPr>
          <w:p w14:paraId="133125F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F8B6E4B" w14:textId="77777777" w:rsidR="00095411" w:rsidRPr="007348FD" w:rsidRDefault="00095411" w:rsidP="00591CBB">
            <w:pPr>
              <w:spacing w:after="160" w:line="259" w:lineRule="auto"/>
              <w:rPr>
                <w:rFonts w:ascii="Arial Narrow" w:hAnsi="Arial Narrow"/>
                <w:sz w:val="18"/>
                <w:szCs w:val="18"/>
              </w:rPr>
            </w:pPr>
          </w:p>
        </w:tc>
        <w:tc>
          <w:tcPr>
            <w:tcW w:w="214" w:type="pct"/>
          </w:tcPr>
          <w:p w14:paraId="0313181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0E9063A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03CE8FCD" w14:textId="4999AC4D"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r>
      <w:tr w:rsidR="00637BF8" w:rsidRPr="00591CBB" w14:paraId="503C2C91"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5CB3FB32" w14:textId="77777777" w:rsidR="00095411" w:rsidRPr="007348FD" w:rsidRDefault="00095411" w:rsidP="00591CBB">
            <w:pPr>
              <w:spacing w:after="160" w:line="259" w:lineRule="auto"/>
              <w:rPr>
                <w:rFonts w:ascii="Arial Narrow" w:hAnsi="Arial Narrow"/>
                <w:sz w:val="18"/>
                <w:szCs w:val="18"/>
              </w:rPr>
            </w:pPr>
          </w:p>
        </w:tc>
        <w:tc>
          <w:tcPr>
            <w:tcW w:w="460" w:type="pct"/>
          </w:tcPr>
          <w:p w14:paraId="7FB8A22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9309438"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7B3061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79FD100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7C5C791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029E492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0D689F3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01B05F6B" w14:textId="77777777" w:rsidR="00095411" w:rsidRPr="007348FD" w:rsidRDefault="00095411" w:rsidP="00591CBB">
            <w:pPr>
              <w:spacing w:after="160" w:line="259" w:lineRule="auto"/>
              <w:rPr>
                <w:rFonts w:ascii="Arial Narrow" w:hAnsi="Arial Narrow"/>
                <w:sz w:val="18"/>
                <w:szCs w:val="18"/>
              </w:rPr>
            </w:pPr>
          </w:p>
        </w:tc>
        <w:tc>
          <w:tcPr>
            <w:tcW w:w="273" w:type="pct"/>
          </w:tcPr>
          <w:p w14:paraId="664947F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45A9C23" w14:textId="77777777" w:rsidR="00095411" w:rsidRPr="007348FD" w:rsidRDefault="00095411" w:rsidP="00591CBB">
            <w:pPr>
              <w:spacing w:after="160" w:line="259" w:lineRule="auto"/>
              <w:rPr>
                <w:rFonts w:ascii="Arial Narrow" w:hAnsi="Arial Narrow"/>
                <w:sz w:val="18"/>
                <w:szCs w:val="18"/>
              </w:rPr>
            </w:pPr>
          </w:p>
        </w:tc>
        <w:tc>
          <w:tcPr>
            <w:tcW w:w="283" w:type="pct"/>
          </w:tcPr>
          <w:p w14:paraId="4324A72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02E7FF3" w14:textId="77777777" w:rsidR="00095411" w:rsidRPr="007348FD" w:rsidRDefault="00095411" w:rsidP="00591CBB">
            <w:pPr>
              <w:spacing w:after="160" w:line="259" w:lineRule="auto"/>
              <w:rPr>
                <w:rFonts w:ascii="Arial Narrow" w:hAnsi="Arial Narrow"/>
                <w:sz w:val="18"/>
                <w:szCs w:val="18"/>
              </w:rPr>
            </w:pPr>
          </w:p>
        </w:tc>
        <w:tc>
          <w:tcPr>
            <w:tcW w:w="149" w:type="pct"/>
          </w:tcPr>
          <w:p w14:paraId="42EF913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BA332F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3EE6FFD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3EF22B08" w14:textId="77777777" w:rsidR="00095411" w:rsidRPr="007348FD" w:rsidRDefault="00095411" w:rsidP="00591CBB">
            <w:pPr>
              <w:spacing w:after="160" w:line="259" w:lineRule="auto"/>
              <w:rPr>
                <w:rFonts w:ascii="Arial Narrow" w:hAnsi="Arial Narrow"/>
                <w:sz w:val="18"/>
                <w:szCs w:val="18"/>
              </w:rPr>
            </w:pPr>
          </w:p>
        </w:tc>
        <w:tc>
          <w:tcPr>
            <w:tcW w:w="280" w:type="pct"/>
          </w:tcPr>
          <w:p w14:paraId="1B57EDE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1D3A916A"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2F8693F6" w14:textId="77777777" w:rsidR="00095411" w:rsidRPr="007348FD" w:rsidRDefault="00095411" w:rsidP="00591CBB">
            <w:pPr>
              <w:spacing w:after="160" w:line="259" w:lineRule="auto"/>
              <w:rPr>
                <w:rFonts w:ascii="Arial Narrow" w:hAnsi="Arial Narrow"/>
                <w:sz w:val="18"/>
                <w:szCs w:val="18"/>
              </w:rPr>
            </w:pPr>
          </w:p>
        </w:tc>
        <w:tc>
          <w:tcPr>
            <w:tcW w:w="460" w:type="pct"/>
          </w:tcPr>
          <w:p w14:paraId="58E723A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6507F7C"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937978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74BC196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6F28B4E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07B0EC3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2963D6C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76333202" w14:textId="77777777" w:rsidR="00095411" w:rsidRPr="007348FD" w:rsidRDefault="00095411" w:rsidP="00591CBB">
            <w:pPr>
              <w:spacing w:after="160" w:line="259" w:lineRule="auto"/>
              <w:rPr>
                <w:rFonts w:ascii="Arial Narrow" w:hAnsi="Arial Narrow"/>
                <w:sz w:val="18"/>
                <w:szCs w:val="18"/>
              </w:rPr>
            </w:pPr>
          </w:p>
        </w:tc>
        <w:tc>
          <w:tcPr>
            <w:tcW w:w="273" w:type="pct"/>
          </w:tcPr>
          <w:p w14:paraId="25126CE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EE82B89" w14:textId="77777777" w:rsidR="00095411" w:rsidRPr="007348FD" w:rsidRDefault="00095411" w:rsidP="00591CBB">
            <w:pPr>
              <w:spacing w:after="160" w:line="259" w:lineRule="auto"/>
              <w:rPr>
                <w:rFonts w:ascii="Arial Narrow" w:hAnsi="Arial Narrow"/>
                <w:sz w:val="18"/>
                <w:szCs w:val="18"/>
              </w:rPr>
            </w:pPr>
          </w:p>
        </w:tc>
        <w:tc>
          <w:tcPr>
            <w:tcW w:w="283" w:type="pct"/>
          </w:tcPr>
          <w:p w14:paraId="3BDB164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EF1ECF8" w14:textId="77777777" w:rsidR="00095411" w:rsidRPr="007348FD" w:rsidRDefault="00095411" w:rsidP="00591CBB">
            <w:pPr>
              <w:spacing w:after="160" w:line="259" w:lineRule="auto"/>
              <w:rPr>
                <w:rFonts w:ascii="Arial Narrow" w:hAnsi="Arial Narrow"/>
                <w:sz w:val="18"/>
                <w:szCs w:val="18"/>
              </w:rPr>
            </w:pPr>
          </w:p>
        </w:tc>
        <w:tc>
          <w:tcPr>
            <w:tcW w:w="149" w:type="pct"/>
          </w:tcPr>
          <w:p w14:paraId="021CBDC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3A8A940" w14:textId="77777777" w:rsidR="00095411" w:rsidRPr="007348FD" w:rsidRDefault="00095411" w:rsidP="00591CBB">
            <w:pPr>
              <w:spacing w:after="160" w:line="259" w:lineRule="auto"/>
              <w:rPr>
                <w:rFonts w:ascii="Arial Narrow" w:hAnsi="Arial Narrow"/>
                <w:sz w:val="18"/>
                <w:szCs w:val="18"/>
              </w:rPr>
            </w:pPr>
          </w:p>
        </w:tc>
        <w:tc>
          <w:tcPr>
            <w:tcW w:w="214" w:type="pct"/>
          </w:tcPr>
          <w:p w14:paraId="1871B3B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5D07B46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3E057DC7" w14:textId="59F2B1E2"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r>
      <w:tr w:rsidR="00637BF8" w:rsidRPr="00591CBB" w14:paraId="4986ABE6"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6AE9605A" w14:textId="77777777" w:rsidR="00095411" w:rsidRPr="007348FD" w:rsidRDefault="00095411" w:rsidP="00591CBB">
            <w:pPr>
              <w:spacing w:after="160" w:line="259" w:lineRule="auto"/>
              <w:rPr>
                <w:rFonts w:ascii="Arial Narrow" w:hAnsi="Arial Narrow"/>
                <w:sz w:val="18"/>
                <w:szCs w:val="18"/>
              </w:rPr>
            </w:pPr>
          </w:p>
        </w:tc>
        <w:tc>
          <w:tcPr>
            <w:tcW w:w="460" w:type="pct"/>
          </w:tcPr>
          <w:p w14:paraId="16225C8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F445606"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BA4F9C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30DFED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0AF71C0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44FB3E2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758BBFB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0D47E5F8" w14:textId="77777777" w:rsidR="00095411" w:rsidRPr="007348FD" w:rsidRDefault="00095411" w:rsidP="00591CBB">
            <w:pPr>
              <w:spacing w:after="160" w:line="259" w:lineRule="auto"/>
              <w:rPr>
                <w:rFonts w:ascii="Arial Narrow" w:hAnsi="Arial Narrow"/>
                <w:sz w:val="18"/>
                <w:szCs w:val="18"/>
              </w:rPr>
            </w:pPr>
          </w:p>
        </w:tc>
        <w:tc>
          <w:tcPr>
            <w:tcW w:w="273" w:type="pct"/>
          </w:tcPr>
          <w:p w14:paraId="1A4E1E0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1E1EE12" w14:textId="77777777" w:rsidR="00095411" w:rsidRPr="007348FD" w:rsidRDefault="00095411" w:rsidP="00591CBB">
            <w:pPr>
              <w:spacing w:after="160" w:line="259" w:lineRule="auto"/>
              <w:rPr>
                <w:rFonts w:ascii="Arial Narrow" w:hAnsi="Arial Narrow"/>
                <w:sz w:val="18"/>
                <w:szCs w:val="18"/>
              </w:rPr>
            </w:pPr>
          </w:p>
        </w:tc>
        <w:tc>
          <w:tcPr>
            <w:tcW w:w="283" w:type="pct"/>
          </w:tcPr>
          <w:p w14:paraId="1376FCF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6D41E38" w14:textId="77777777" w:rsidR="00095411" w:rsidRPr="007348FD" w:rsidRDefault="00095411" w:rsidP="00591CBB">
            <w:pPr>
              <w:spacing w:after="160" w:line="259" w:lineRule="auto"/>
              <w:rPr>
                <w:rFonts w:ascii="Arial Narrow" w:hAnsi="Arial Narrow"/>
                <w:sz w:val="18"/>
                <w:szCs w:val="18"/>
              </w:rPr>
            </w:pPr>
          </w:p>
        </w:tc>
        <w:tc>
          <w:tcPr>
            <w:tcW w:w="149" w:type="pct"/>
          </w:tcPr>
          <w:p w14:paraId="22983FE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5D880E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1DD5B45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2A73938B" w14:textId="77777777" w:rsidR="00095411" w:rsidRPr="007348FD" w:rsidRDefault="00095411" w:rsidP="00591CBB">
            <w:pPr>
              <w:spacing w:after="160" w:line="259" w:lineRule="auto"/>
              <w:rPr>
                <w:rFonts w:ascii="Arial Narrow" w:hAnsi="Arial Narrow"/>
                <w:sz w:val="18"/>
                <w:szCs w:val="18"/>
              </w:rPr>
            </w:pPr>
          </w:p>
        </w:tc>
        <w:tc>
          <w:tcPr>
            <w:tcW w:w="280" w:type="pct"/>
          </w:tcPr>
          <w:p w14:paraId="4E45D27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1F4C9A08"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4E7D79FC" w14:textId="77777777" w:rsidR="00095411" w:rsidRPr="007348FD" w:rsidRDefault="00095411" w:rsidP="00591CBB">
            <w:pPr>
              <w:spacing w:after="160" w:line="259" w:lineRule="auto"/>
              <w:rPr>
                <w:rFonts w:ascii="Arial Narrow" w:hAnsi="Arial Narrow"/>
                <w:sz w:val="18"/>
                <w:szCs w:val="18"/>
              </w:rPr>
            </w:pPr>
          </w:p>
        </w:tc>
        <w:tc>
          <w:tcPr>
            <w:tcW w:w="460" w:type="pct"/>
          </w:tcPr>
          <w:p w14:paraId="3EBD93C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9DC4F2F"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3D66F8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3481636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62CEA28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2C3E25E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674006D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1E539211" w14:textId="77777777" w:rsidR="00095411" w:rsidRPr="007348FD" w:rsidRDefault="00095411" w:rsidP="00591CBB">
            <w:pPr>
              <w:spacing w:after="160" w:line="259" w:lineRule="auto"/>
              <w:rPr>
                <w:rFonts w:ascii="Arial Narrow" w:hAnsi="Arial Narrow"/>
                <w:sz w:val="18"/>
                <w:szCs w:val="18"/>
              </w:rPr>
            </w:pPr>
          </w:p>
        </w:tc>
        <w:tc>
          <w:tcPr>
            <w:tcW w:w="273" w:type="pct"/>
          </w:tcPr>
          <w:p w14:paraId="07176AD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86AC40D" w14:textId="77777777" w:rsidR="00095411" w:rsidRPr="007348FD" w:rsidRDefault="00095411" w:rsidP="00591CBB">
            <w:pPr>
              <w:spacing w:after="160" w:line="259" w:lineRule="auto"/>
              <w:rPr>
                <w:rFonts w:ascii="Arial Narrow" w:hAnsi="Arial Narrow"/>
                <w:sz w:val="18"/>
                <w:szCs w:val="18"/>
              </w:rPr>
            </w:pPr>
          </w:p>
        </w:tc>
        <w:tc>
          <w:tcPr>
            <w:tcW w:w="283" w:type="pct"/>
          </w:tcPr>
          <w:p w14:paraId="22EFE99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8DFEDAF" w14:textId="77777777" w:rsidR="00095411" w:rsidRPr="007348FD" w:rsidRDefault="00095411" w:rsidP="00591CBB">
            <w:pPr>
              <w:spacing w:after="160" w:line="259" w:lineRule="auto"/>
              <w:rPr>
                <w:rFonts w:ascii="Arial Narrow" w:hAnsi="Arial Narrow"/>
                <w:sz w:val="18"/>
                <w:szCs w:val="18"/>
              </w:rPr>
            </w:pPr>
          </w:p>
        </w:tc>
        <w:tc>
          <w:tcPr>
            <w:tcW w:w="149" w:type="pct"/>
          </w:tcPr>
          <w:p w14:paraId="71AE518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779902A" w14:textId="77777777" w:rsidR="00095411" w:rsidRPr="007348FD" w:rsidRDefault="00095411" w:rsidP="00591CBB">
            <w:pPr>
              <w:spacing w:after="160" w:line="259" w:lineRule="auto"/>
              <w:rPr>
                <w:rFonts w:ascii="Arial Narrow" w:hAnsi="Arial Narrow"/>
                <w:sz w:val="18"/>
                <w:szCs w:val="18"/>
              </w:rPr>
            </w:pPr>
          </w:p>
        </w:tc>
        <w:tc>
          <w:tcPr>
            <w:tcW w:w="214" w:type="pct"/>
          </w:tcPr>
          <w:p w14:paraId="1D9C6E0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1536DDE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3660874B" w14:textId="366CF37F"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r>
      <w:tr w:rsidR="00637BF8" w:rsidRPr="00591CBB" w14:paraId="738A316E"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58BDE292" w14:textId="77777777" w:rsidR="00095411" w:rsidRPr="007348FD" w:rsidRDefault="00095411" w:rsidP="00591CBB">
            <w:pPr>
              <w:spacing w:after="160" w:line="259" w:lineRule="auto"/>
              <w:rPr>
                <w:rFonts w:ascii="Arial Narrow" w:hAnsi="Arial Narrow"/>
                <w:sz w:val="18"/>
                <w:szCs w:val="18"/>
              </w:rPr>
            </w:pPr>
          </w:p>
        </w:tc>
        <w:tc>
          <w:tcPr>
            <w:tcW w:w="460" w:type="pct"/>
          </w:tcPr>
          <w:p w14:paraId="07A9E7B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C2A0CF4"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43FA11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6813CEE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5AF4CB0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7C1CDED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7A9D08F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756E9E8F" w14:textId="77777777" w:rsidR="00095411" w:rsidRPr="007348FD" w:rsidRDefault="00095411" w:rsidP="00591CBB">
            <w:pPr>
              <w:spacing w:after="160" w:line="259" w:lineRule="auto"/>
              <w:rPr>
                <w:rFonts w:ascii="Arial Narrow" w:hAnsi="Arial Narrow"/>
                <w:sz w:val="18"/>
                <w:szCs w:val="18"/>
              </w:rPr>
            </w:pPr>
          </w:p>
        </w:tc>
        <w:tc>
          <w:tcPr>
            <w:tcW w:w="273" w:type="pct"/>
          </w:tcPr>
          <w:p w14:paraId="2FC5CD4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26039D0" w14:textId="77777777" w:rsidR="00095411" w:rsidRPr="007348FD" w:rsidRDefault="00095411" w:rsidP="00591CBB">
            <w:pPr>
              <w:spacing w:after="160" w:line="259" w:lineRule="auto"/>
              <w:rPr>
                <w:rFonts w:ascii="Arial Narrow" w:hAnsi="Arial Narrow"/>
                <w:sz w:val="18"/>
                <w:szCs w:val="18"/>
              </w:rPr>
            </w:pPr>
          </w:p>
        </w:tc>
        <w:tc>
          <w:tcPr>
            <w:tcW w:w="283" w:type="pct"/>
          </w:tcPr>
          <w:p w14:paraId="5096BC6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1C76F99" w14:textId="77777777" w:rsidR="00095411" w:rsidRPr="007348FD" w:rsidRDefault="00095411" w:rsidP="00591CBB">
            <w:pPr>
              <w:spacing w:after="160" w:line="259" w:lineRule="auto"/>
              <w:rPr>
                <w:rFonts w:ascii="Arial Narrow" w:hAnsi="Arial Narrow"/>
                <w:sz w:val="18"/>
                <w:szCs w:val="18"/>
              </w:rPr>
            </w:pPr>
          </w:p>
        </w:tc>
        <w:tc>
          <w:tcPr>
            <w:tcW w:w="149" w:type="pct"/>
          </w:tcPr>
          <w:p w14:paraId="1B111DC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AB0CD1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6BB8A4C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NA</w:t>
            </w:r>
          </w:p>
        </w:tc>
        <w:tc>
          <w:tcPr>
            <w:cnfStyle w:val="000010000000" w:firstRow="0" w:lastRow="0" w:firstColumn="0" w:lastColumn="0" w:oddVBand="1" w:evenVBand="0" w:oddHBand="0" w:evenHBand="0" w:firstRowFirstColumn="0" w:firstRowLastColumn="0" w:lastRowFirstColumn="0" w:lastRowLastColumn="0"/>
            <w:tcW w:w="245" w:type="pct"/>
          </w:tcPr>
          <w:p w14:paraId="259538FC" w14:textId="77777777" w:rsidR="00095411" w:rsidRPr="007348FD" w:rsidRDefault="00095411" w:rsidP="00591CBB">
            <w:pPr>
              <w:spacing w:after="160" w:line="259" w:lineRule="auto"/>
              <w:rPr>
                <w:rFonts w:ascii="Arial Narrow" w:hAnsi="Arial Narrow"/>
                <w:sz w:val="18"/>
                <w:szCs w:val="18"/>
              </w:rPr>
            </w:pPr>
          </w:p>
        </w:tc>
        <w:tc>
          <w:tcPr>
            <w:tcW w:w="280" w:type="pct"/>
          </w:tcPr>
          <w:p w14:paraId="31F2173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17A38B0F"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17972E0B" w14:textId="77777777" w:rsidR="00095411" w:rsidRPr="007348FD" w:rsidRDefault="00095411" w:rsidP="00591CBB">
            <w:pPr>
              <w:spacing w:after="160" w:line="259" w:lineRule="auto"/>
              <w:rPr>
                <w:rFonts w:ascii="Arial Narrow" w:hAnsi="Arial Narrow"/>
                <w:sz w:val="18"/>
                <w:szCs w:val="18"/>
              </w:rPr>
            </w:pPr>
          </w:p>
        </w:tc>
        <w:tc>
          <w:tcPr>
            <w:tcW w:w="460" w:type="pct"/>
          </w:tcPr>
          <w:p w14:paraId="1DCE10D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568244E"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74579E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0F62B49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58B7C42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1CEBD85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1ED75DD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4737F1F3" w14:textId="77777777" w:rsidR="00095411" w:rsidRPr="007348FD" w:rsidRDefault="00095411" w:rsidP="00591CBB">
            <w:pPr>
              <w:spacing w:after="160" w:line="259" w:lineRule="auto"/>
              <w:rPr>
                <w:rFonts w:ascii="Arial Narrow" w:hAnsi="Arial Narrow"/>
                <w:sz w:val="18"/>
                <w:szCs w:val="18"/>
              </w:rPr>
            </w:pPr>
          </w:p>
        </w:tc>
        <w:tc>
          <w:tcPr>
            <w:tcW w:w="273" w:type="pct"/>
          </w:tcPr>
          <w:p w14:paraId="4849BFE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0531B51" w14:textId="77777777" w:rsidR="00095411" w:rsidRPr="007348FD" w:rsidRDefault="00095411" w:rsidP="00591CBB">
            <w:pPr>
              <w:spacing w:after="160" w:line="259" w:lineRule="auto"/>
              <w:rPr>
                <w:rFonts w:ascii="Arial Narrow" w:hAnsi="Arial Narrow"/>
                <w:sz w:val="18"/>
                <w:szCs w:val="18"/>
              </w:rPr>
            </w:pPr>
          </w:p>
        </w:tc>
        <w:tc>
          <w:tcPr>
            <w:tcW w:w="283" w:type="pct"/>
          </w:tcPr>
          <w:p w14:paraId="1F4BC09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827B28D" w14:textId="77777777" w:rsidR="00095411" w:rsidRPr="007348FD" w:rsidRDefault="00095411" w:rsidP="00591CBB">
            <w:pPr>
              <w:spacing w:after="160" w:line="259" w:lineRule="auto"/>
              <w:rPr>
                <w:rFonts w:ascii="Arial Narrow" w:hAnsi="Arial Narrow"/>
                <w:sz w:val="18"/>
                <w:szCs w:val="18"/>
              </w:rPr>
            </w:pPr>
          </w:p>
        </w:tc>
        <w:tc>
          <w:tcPr>
            <w:tcW w:w="149" w:type="pct"/>
          </w:tcPr>
          <w:p w14:paraId="65F99B5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3C8794C" w14:textId="77777777" w:rsidR="00095411" w:rsidRPr="007348FD" w:rsidRDefault="00095411" w:rsidP="00591CBB">
            <w:pPr>
              <w:spacing w:after="160" w:line="259" w:lineRule="auto"/>
              <w:rPr>
                <w:rFonts w:ascii="Arial Narrow" w:hAnsi="Arial Narrow"/>
                <w:sz w:val="18"/>
                <w:szCs w:val="18"/>
              </w:rPr>
            </w:pPr>
          </w:p>
        </w:tc>
        <w:tc>
          <w:tcPr>
            <w:tcW w:w="214" w:type="pct"/>
          </w:tcPr>
          <w:p w14:paraId="2CE230A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7C713A8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3533A48E" w14:textId="0352980F"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r>
      <w:tr w:rsidR="00637BF8" w:rsidRPr="00591CBB" w14:paraId="65908163"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781A7299" w14:textId="77777777" w:rsidR="00095411" w:rsidRPr="007348FD" w:rsidRDefault="00095411" w:rsidP="00591CBB">
            <w:pPr>
              <w:spacing w:after="160" w:line="259" w:lineRule="auto"/>
              <w:rPr>
                <w:rFonts w:ascii="Arial Narrow" w:hAnsi="Arial Narrow"/>
                <w:sz w:val="18"/>
                <w:szCs w:val="18"/>
              </w:rPr>
            </w:pPr>
          </w:p>
        </w:tc>
        <w:tc>
          <w:tcPr>
            <w:tcW w:w="460" w:type="pct"/>
          </w:tcPr>
          <w:p w14:paraId="29AB419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A00B20C"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7BB4EE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67CFA86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247C23D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4978310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22FD69F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6ED68703" w14:textId="77777777" w:rsidR="00095411" w:rsidRPr="007348FD" w:rsidRDefault="00095411" w:rsidP="00591CBB">
            <w:pPr>
              <w:spacing w:after="160" w:line="259" w:lineRule="auto"/>
              <w:rPr>
                <w:rFonts w:ascii="Arial Narrow" w:hAnsi="Arial Narrow"/>
                <w:sz w:val="18"/>
                <w:szCs w:val="18"/>
              </w:rPr>
            </w:pPr>
          </w:p>
        </w:tc>
        <w:tc>
          <w:tcPr>
            <w:tcW w:w="273" w:type="pct"/>
          </w:tcPr>
          <w:p w14:paraId="370661F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AE945E2" w14:textId="77777777" w:rsidR="00095411" w:rsidRPr="007348FD" w:rsidRDefault="00095411" w:rsidP="00591CBB">
            <w:pPr>
              <w:spacing w:after="160" w:line="259" w:lineRule="auto"/>
              <w:rPr>
                <w:rFonts w:ascii="Arial Narrow" w:hAnsi="Arial Narrow"/>
                <w:sz w:val="18"/>
                <w:szCs w:val="18"/>
              </w:rPr>
            </w:pPr>
          </w:p>
        </w:tc>
        <w:tc>
          <w:tcPr>
            <w:tcW w:w="283" w:type="pct"/>
          </w:tcPr>
          <w:p w14:paraId="322A99F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7614850" w14:textId="77777777" w:rsidR="00095411" w:rsidRPr="007348FD" w:rsidRDefault="00095411" w:rsidP="00591CBB">
            <w:pPr>
              <w:spacing w:after="160" w:line="259" w:lineRule="auto"/>
              <w:rPr>
                <w:rFonts w:ascii="Arial Narrow" w:hAnsi="Arial Narrow"/>
                <w:sz w:val="18"/>
                <w:szCs w:val="18"/>
              </w:rPr>
            </w:pPr>
          </w:p>
        </w:tc>
        <w:tc>
          <w:tcPr>
            <w:tcW w:w="149" w:type="pct"/>
          </w:tcPr>
          <w:p w14:paraId="5A1FE5A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4BA012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3ECBD61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NA</w:t>
            </w:r>
          </w:p>
        </w:tc>
        <w:tc>
          <w:tcPr>
            <w:cnfStyle w:val="000010000000" w:firstRow="0" w:lastRow="0" w:firstColumn="0" w:lastColumn="0" w:oddVBand="1" w:evenVBand="0" w:oddHBand="0" w:evenHBand="0" w:firstRowFirstColumn="0" w:firstRowLastColumn="0" w:lastRowFirstColumn="0" w:lastRowLastColumn="0"/>
            <w:tcW w:w="245" w:type="pct"/>
          </w:tcPr>
          <w:p w14:paraId="2CE119C8" w14:textId="77777777" w:rsidR="00095411" w:rsidRPr="007348FD" w:rsidRDefault="00095411" w:rsidP="00591CBB">
            <w:pPr>
              <w:spacing w:after="160" w:line="259" w:lineRule="auto"/>
              <w:rPr>
                <w:rFonts w:ascii="Arial Narrow" w:hAnsi="Arial Narrow"/>
                <w:sz w:val="18"/>
                <w:szCs w:val="18"/>
              </w:rPr>
            </w:pPr>
          </w:p>
        </w:tc>
        <w:tc>
          <w:tcPr>
            <w:tcW w:w="280" w:type="pct"/>
          </w:tcPr>
          <w:p w14:paraId="4936E63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00E22ACE"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73C0A8C0" w14:textId="77777777" w:rsidR="00095411" w:rsidRPr="007348FD" w:rsidRDefault="00095411" w:rsidP="00591CBB">
            <w:pPr>
              <w:spacing w:after="160" w:line="259" w:lineRule="auto"/>
              <w:rPr>
                <w:rFonts w:ascii="Arial Narrow" w:hAnsi="Arial Narrow"/>
                <w:sz w:val="18"/>
                <w:szCs w:val="18"/>
              </w:rPr>
            </w:pPr>
          </w:p>
        </w:tc>
        <w:tc>
          <w:tcPr>
            <w:tcW w:w="460" w:type="pct"/>
          </w:tcPr>
          <w:p w14:paraId="4116BC4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04179E9"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AEEA72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008E5B6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7055640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16EAF95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4F6C8F2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12BC40AE" w14:textId="77777777" w:rsidR="00095411" w:rsidRPr="007348FD" w:rsidRDefault="00095411" w:rsidP="00591CBB">
            <w:pPr>
              <w:spacing w:after="160" w:line="259" w:lineRule="auto"/>
              <w:rPr>
                <w:rFonts w:ascii="Arial Narrow" w:hAnsi="Arial Narrow"/>
                <w:sz w:val="18"/>
                <w:szCs w:val="18"/>
              </w:rPr>
            </w:pPr>
          </w:p>
        </w:tc>
        <w:tc>
          <w:tcPr>
            <w:tcW w:w="273" w:type="pct"/>
          </w:tcPr>
          <w:p w14:paraId="5B0A1C9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DF6B9D9" w14:textId="77777777" w:rsidR="00095411" w:rsidRPr="007348FD" w:rsidRDefault="00095411" w:rsidP="00591CBB">
            <w:pPr>
              <w:spacing w:after="160" w:line="259" w:lineRule="auto"/>
              <w:rPr>
                <w:rFonts w:ascii="Arial Narrow" w:hAnsi="Arial Narrow"/>
                <w:sz w:val="18"/>
                <w:szCs w:val="18"/>
              </w:rPr>
            </w:pPr>
          </w:p>
        </w:tc>
        <w:tc>
          <w:tcPr>
            <w:tcW w:w="283" w:type="pct"/>
          </w:tcPr>
          <w:p w14:paraId="6D44852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8B4583E" w14:textId="77777777" w:rsidR="00095411" w:rsidRPr="007348FD" w:rsidRDefault="00095411" w:rsidP="00591CBB">
            <w:pPr>
              <w:spacing w:after="160" w:line="259" w:lineRule="auto"/>
              <w:rPr>
                <w:rFonts w:ascii="Arial Narrow" w:hAnsi="Arial Narrow"/>
                <w:sz w:val="18"/>
                <w:szCs w:val="18"/>
              </w:rPr>
            </w:pPr>
          </w:p>
        </w:tc>
        <w:tc>
          <w:tcPr>
            <w:tcW w:w="149" w:type="pct"/>
          </w:tcPr>
          <w:p w14:paraId="39AA3C2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2D1B6B2" w14:textId="77777777" w:rsidR="00095411" w:rsidRPr="007348FD" w:rsidRDefault="00095411" w:rsidP="00591CBB">
            <w:pPr>
              <w:spacing w:after="160" w:line="259" w:lineRule="auto"/>
              <w:rPr>
                <w:rFonts w:ascii="Arial Narrow" w:hAnsi="Arial Narrow"/>
                <w:sz w:val="18"/>
                <w:szCs w:val="18"/>
              </w:rPr>
            </w:pPr>
          </w:p>
        </w:tc>
        <w:tc>
          <w:tcPr>
            <w:tcW w:w="214" w:type="pct"/>
          </w:tcPr>
          <w:p w14:paraId="525ABC6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7DFAB14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1BB5F1FA" w14:textId="456DD472"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r>
      <w:tr w:rsidR="00637BF8" w:rsidRPr="00591CBB" w14:paraId="76AAA9D2"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7F90E1B8" w14:textId="77777777" w:rsidR="00095411" w:rsidRPr="007348FD" w:rsidRDefault="00095411" w:rsidP="00591CBB">
            <w:pPr>
              <w:spacing w:after="160" w:line="259" w:lineRule="auto"/>
              <w:rPr>
                <w:rFonts w:ascii="Arial Narrow" w:hAnsi="Arial Narrow"/>
                <w:sz w:val="18"/>
                <w:szCs w:val="18"/>
              </w:rPr>
            </w:pPr>
          </w:p>
        </w:tc>
        <w:tc>
          <w:tcPr>
            <w:tcW w:w="460" w:type="pct"/>
          </w:tcPr>
          <w:p w14:paraId="74305B9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E3665BA"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7E9817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2419681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7DB9E48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5F803FF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5623DB5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38A2CAA3" w14:textId="77777777" w:rsidR="00095411" w:rsidRPr="007348FD" w:rsidRDefault="00095411" w:rsidP="00591CBB">
            <w:pPr>
              <w:spacing w:after="160" w:line="259" w:lineRule="auto"/>
              <w:rPr>
                <w:rFonts w:ascii="Arial Narrow" w:hAnsi="Arial Narrow"/>
                <w:sz w:val="18"/>
                <w:szCs w:val="18"/>
              </w:rPr>
            </w:pPr>
          </w:p>
        </w:tc>
        <w:tc>
          <w:tcPr>
            <w:tcW w:w="273" w:type="pct"/>
          </w:tcPr>
          <w:p w14:paraId="584498D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AA96BB1" w14:textId="77777777" w:rsidR="00095411" w:rsidRPr="007348FD" w:rsidRDefault="00095411" w:rsidP="00591CBB">
            <w:pPr>
              <w:spacing w:after="160" w:line="259" w:lineRule="auto"/>
              <w:rPr>
                <w:rFonts w:ascii="Arial Narrow" w:hAnsi="Arial Narrow"/>
                <w:sz w:val="18"/>
                <w:szCs w:val="18"/>
              </w:rPr>
            </w:pPr>
          </w:p>
        </w:tc>
        <w:tc>
          <w:tcPr>
            <w:tcW w:w="283" w:type="pct"/>
          </w:tcPr>
          <w:p w14:paraId="3095467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9BDCD13" w14:textId="77777777" w:rsidR="00095411" w:rsidRPr="007348FD" w:rsidRDefault="00095411" w:rsidP="00591CBB">
            <w:pPr>
              <w:spacing w:after="160" w:line="259" w:lineRule="auto"/>
              <w:rPr>
                <w:rFonts w:ascii="Arial Narrow" w:hAnsi="Arial Narrow"/>
                <w:sz w:val="18"/>
                <w:szCs w:val="18"/>
              </w:rPr>
            </w:pPr>
          </w:p>
        </w:tc>
        <w:tc>
          <w:tcPr>
            <w:tcW w:w="149" w:type="pct"/>
          </w:tcPr>
          <w:p w14:paraId="31713D6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604E4B2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36A6C94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3783762A" w14:textId="77777777" w:rsidR="00095411" w:rsidRPr="007348FD" w:rsidRDefault="00095411" w:rsidP="00591CBB">
            <w:pPr>
              <w:spacing w:after="160" w:line="259" w:lineRule="auto"/>
              <w:rPr>
                <w:rFonts w:ascii="Arial Narrow" w:hAnsi="Arial Narrow"/>
                <w:sz w:val="18"/>
                <w:szCs w:val="18"/>
              </w:rPr>
            </w:pPr>
          </w:p>
        </w:tc>
        <w:tc>
          <w:tcPr>
            <w:tcW w:w="280" w:type="pct"/>
          </w:tcPr>
          <w:p w14:paraId="5346256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0F1FC998" w14:textId="77777777" w:rsidTr="00051F27">
        <w:trPr>
          <w:trHeight w:val="228"/>
        </w:trPr>
        <w:tc>
          <w:tcPr>
            <w:cnfStyle w:val="000010000000" w:firstRow="0" w:lastRow="0" w:firstColumn="0" w:lastColumn="0" w:oddVBand="1" w:evenVBand="0" w:oddHBand="0" w:evenHBand="0" w:firstRowFirstColumn="0" w:firstRowLastColumn="0" w:lastRowFirstColumn="0" w:lastRowLastColumn="0"/>
            <w:tcW w:w="432" w:type="pct"/>
          </w:tcPr>
          <w:p w14:paraId="0C41D241" w14:textId="77777777" w:rsidR="00095411" w:rsidRPr="007348FD" w:rsidRDefault="00095411" w:rsidP="00591CBB">
            <w:pPr>
              <w:spacing w:after="160" w:line="259" w:lineRule="auto"/>
              <w:rPr>
                <w:rFonts w:ascii="Arial Narrow" w:hAnsi="Arial Narrow"/>
                <w:sz w:val="18"/>
                <w:szCs w:val="18"/>
              </w:rPr>
            </w:pPr>
          </w:p>
        </w:tc>
        <w:tc>
          <w:tcPr>
            <w:tcW w:w="460" w:type="pct"/>
          </w:tcPr>
          <w:p w14:paraId="542BCFE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FD44F13"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EEA6A8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0205F36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39582E3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06F1750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7823933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07D3809F" w14:textId="77777777" w:rsidR="00095411" w:rsidRPr="007348FD" w:rsidRDefault="00095411" w:rsidP="00591CBB">
            <w:pPr>
              <w:spacing w:after="160" w:line="259" w:lineRule="auto"/>
              <w:rPr>
                <w:rFonts w:ascii="Arial Narrow" w:hAnsi="Arial Narrow"/>
                <w:sz w:val="18"/>
                <w:szCs w:val="18"/>
              </w:rPr>
            </w:pPr>
          </w:p>
        </w:tc>
        <w:tc>
          <w:tcPr>
            <w:tcW w:w="273" w:type="pct"/>
          </w:tcPr>
          <w:p w14:paraId="57FA0CE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ECEF701" w14:textId="77777777" w:rsidR="00095411" w:rsidRPr="007348FD" w:rsidRDefault="00095411" w:rsidP="00591CBB">
            <w:pPr>
              <w:spacing w:after="160" w:line="259" w:lineRule="auto"/>
              <w:rPr>
                <w:rFonts w:ascii="Arial Narrow" w:hAnsi="Arial Narrow"/>
                <w:sz w:val="18"/>
                <w:szCs w:val="18"/>
              </w:rPr>
            </w:pPr>
          </w:p>
        </w:tc>
        <w:tc>
          <w:tcPr>
            <w:tcW w:w="283" w:type="pct"/>
          </w:tcPr>
          <w:p w14:paraId="54E6B47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1A5D734" w14:textId="77777777" w:rsidR="00095411" w:rsidRPr="007348FD" w:rsidRDefault="00095411" w:rsidP="00591CBB">
            <w:pPr>
              <w:spacing w:after="160" w:line="259" w:lineRule="auto"/>
              <w:rPr>
                <w:rFonts w:ascii="Arial Narrow" w:hAnsi="Arial Narrow"/>
                <w:sz w:val="18"/>
                <w:szCs w:val="18"/>
              </w:rPr>
            </w:pPr>
          </w:p>
        </w:tc>
        <w:tc>
          <w:tcPr>
            <w:tcW w:w="149" w:type="pct"/>
          </w:tcPr>
          <w:p w14:paraId="423DB28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3F7515E" w14:textId="77777777" w:rsidR="00095411" w:rsidRPr="007348FD" w:rsidRDefault="00095411" w:rsidP="00591CBB">
            <w:pPr>
              <w:spacing w:after="160" w:line="259" w:lineRule="auto"/>
              <w:rPr>
                <w:rFonts w:ascii="Arial Narrow" w:hAnsi="Arial Narrow"/>
                <w:sz w:val="18"/>
                <w:szCs w:val="18"/>
              </w:rPr>
            </w:pPr>
          </w:p>
        </w:tc>
        <w:tc>
          <w:tcPr>
            <w:tcW w:w="214" w:type="pct"/>
          </w:tcPr>
          <w:p w14:paraId="51F958F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65D5EE9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0462811F" w14:textId="0AF3EF84"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r>
      <w:tr w:rsidR="00637BF8" w:rsidRPr="00591CBB" w14:paraId="5C36EBEB" w14:textId="77777777" w:rsidTr="00051F27">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432" w:type="pct"/>
          </w:tcPr>
          <w:p w14:paraId="51859652" w14:textId="77777777" w:rsidR="00095411" w:rsidRPr="007348FD" w:rsidRDefault="00095411" w:rsidP="00591CBB">
            <w:pPr>
              <w:spacing w:after="160" w:line="259" w:lineRule="auto"/>
              <w:rPr>
                <w:rFonts w:ascii="Arial Narrow" w:hAnsi="Arial Narrow"/>
                <w:sz w:val="18"/>
                <w:szCs w:val="18"/>
              </w:rPr>
            </w:pPr>
          </w:p>
        </w:tc>
        <w:tc>
          <w:tcPr>
            <w:tcW w:w="460" w:type="pct"/>
          </w:tcPr>
          <w:p w14:paraId="0CE4BA4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DCB249D"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548675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5B03E7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4558D28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7B91CF4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23C993C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07375A78" w14:textId="77777777" w:rsidR="00095411" w:rsidRPr="007348FD" w:rsidRDefault="00095411" w:rsidP="00591CBB">
            <w:pPr>
              <w:spacing w:after="160" w:line="259" w:lineRule="auto"/>
              <w:rPr>
                <w:rFonts w:ascii="Arial Narrow" w:hAnsi="Arial Narrow"/>
                <w:sz w:val="18"/>
                <w:szCs w:val="18"/>
              </w:rPr>
            </w:pPr>
          </w:p>
        </w:tc>
        <w:tc>
          <w:tcPr>
            <w:tcW w:w="273" w:type="pct"/>
          </w:tcPr>
          <w:p w14:paraId="719655E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F6A747B" w14:textId="77777777" w:rsidR="00095411" w:rsidRPr="007348FD" w:rsidRDefault="00095411" w:rsidP="00591CBB">
            <w:pPr>
              <w:spacing w:after="160" w:line="259" w:lineRule="auto"/>
              <w:rPr>
                <w:rFonts w:ascii="Arial Narrow" w:hAnsi="Arial Narrow"/>
                <w:sz w:val="18"/>
                <w:szCs w:val="18"/>
              </w:rPr>
            </w:pPr>
          </w:p>
        </w:tc>
        <w:tc>
          <w:tcPr>
            <w:tcW w:w="283" w:type="pct"/>
          </w:tcPr>
          <w:p w14:paraId="22036C6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861629B" w14:textId="77777777" w:rsidR="00095411" w:rsidRPr="007348FD" w:rsidRDefault="00095411" w:rsidP="00591CBB">
            <w:pPr>
              <w:spacing w:after="160" w:line="259" w:lineRule="auto"/>
              <w:rPr>
                <w:rFonts w:ascii="Arial Narrow" w:hAnsi="Arial Narrow"/>
                <w:sz w:val="18"/>
                <w:szCs w:val="18"/>
              </w:rPr>
            </w:pPr>
          </w:p>
        </w:tc>
        <w:tc>
          <w:tcPr>
            <w:tcW w:w="149" w:type="pct"/>
          </w:tcPr>
          <w:p w14:paraId="4B10DC4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60E069E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1C4B033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04C7B924" w14:textId="77777777" w:rsidR="00095411" w:rsidRPr="007348FD" w:rsidRDefault="00095411" w:rsidP="00591CBB">
            <w:pPr>
              <w:spacing w:after="160" w:line="259" w:lineRule="auto"/>
              <w:rPr>
                <w:rFonts w:ascii="Arial Narrow" w:hAnsi="Arial Narrow"/>
                <w:sz w:val="18"/>
                <w:szCs w:val="18"/>
              </w:rPr>
            </w:pPr>
          </w:p>
        </w:tc>
        <w:tc>
          <w:tcPr>
            <w:tcW w:w="280" w:type="pct"/>
          </w:tcPr>
          <w:p w14:paraId="6CA76A8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75FB885F"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42058C15" w14:textId="77777777" w:rsidR="00095411" w:rsidRPr="007348FD" w:rsidRDefault="00095411" w:rsidP="00591CBB">
            <w:pPr>
              <w:spacing w:after="160" w:line="259" w:lineRule="auto"/>
              <w:rPr>
                <w:rFonts w:ascii="Arial Narrow" w:hAnsi="Arial Narrow"/>
                <w:sz w:val="18"/>
                <w:szCs w:val="18"/>
              </w:rPr>
            </w:pPr>
          </w:p>
        </w:tc>
        <w:tc>
          <w:tcPr>
            <w:tcW w:w="460" w:type="pct"/>
          </w:tcPr>
          <w:p w14:paraId="69DBE92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23. Number of influential SRH analytical products - with potential to impact policy and practice - are produced and appropriately disseminated by UNFPA in each of the six countries.</w:t>
            </w:r>
          </w:p>
        </w:tc>
        <w:tc>
          <w:tcPr>
            <w:cnfStyle w:val="000010000000" w:firstRow="0" w:lastRow="0" w:firstColumn="0" w:lastColumn="0" w:oddVBand="1" w:evenVBand="0" w:oddHBand="0" w:evenHBand="0" w:firstRowFirstColumn="0" w:firstRowLastColumn="0" w:lastRowFirstColumn="0" w:lastRowLastColumn="0"/>
            <w:tcW w:w="371" w:type="pct"/>
          </w:tcPr>
          <w:p w14:paraId="348D649A"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t>ö</w:t>
            </w:r>
          </w:p>
        </w:tc>
        <w:tc>
          <w:tcPr>
            <w:tcW w:w="341" w:type="pct"/>
          </w:tcPr>
          <w:p w14:paraId="2F59281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12ABCCC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0A639A0E" w14:textId="518FBF54"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2A19B83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37BC16F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45CA533B" w14:textId="77777777" w:rsidR="00095411" w:rsidRPr="007348FD" w:rsidRDefault="00095411" w:rsidP="00591CBB">
            <w:pPr>
              <w:spacing w:after="160" w:line="259" w:lineRule="auto"/>
              <w:rPr>
                <w:rFonts w:ascii="Arial Narrow" w:hAnsi="Arial Narrow"/>
                <w:sz w:val="18"/>
                <w:szCs w:val="18"/>
              </w:rPr>
            </w:pPr>
          </w:p>
        </w:tc>
        <w:tc>
          <w:tcPr>
            <w:tcW w:w="273" w:type="pct"/>
          </w:tcPr>
          <w:p w14:paraId="7DE7D32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19D4FE5" w14:textId="77777777" w:rsidR="00095411" w:rsidRPr="007348FD" w:rsidRDefault="00095411" w:rsidP="00591CBB">
            <w:pPr>
              <w:spacing w:after="160" w:line="259" w:lineRule="auto"/>
              <w:rPr>
                <w:rFonts w:ascii="Arial Narrow" w:hAnsi="Arial Narrow"/>
                <w:sz w:val="18"/>
                <w:szCs w:val="18"/>
              </w:rPr>
            </w:pPr>
          </w:p>
        </w:tc>
        <w:tc>
          <w:tcPr>
            <w:tcW w:w="283" w:type="pct"/>
          </w:tcPr>
          <w:p w14:paraId="4B0EE96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61D96EC" w14:textId="77777777" w:rsidR="00095411" w:rsidRPr="007348FD" w:rsidRDefault="00095411" w:rsidP="00591CBB">
            <w:pPr>
              <w:spacing w:after="160" w:line="259" w:lineRule="auto"/>
              <w:rPr>
                <w:rFonts w:ascii="Arial Narrow" w:hAnsi="Arial Narrow"/>
                <w:sz w:val="18"/>
                <w:szCs w:val="18"/>
              </w:rPr>
            </w:pPr>
          </w:p>
        </w:tc>
        <w:tc>
          <w:tcPr>
            <w:tcW w:w="149" w:type="pct"/>
          </w:tcPr>
          <w:p w14:paraId="0833A88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0D57094" w14:textId="77777777" w:rsidR="00095411" w:rsidRPr="007348FD" w:rsidRDefault="00095411" w:rsidP="00591CBB">
            <w:pPr>
              <w:spacing w:after="160" w:line="259" w:lineRule="auto"/>
              <w:rPr>
                <w:rFonts w:ascii="Arial Narrow" w:hAnsi="Arial Narrow"/>
                <w:sz w:val="18"/>
                <w:szCs w:val="18"/>
              </w:rPr>
            </w:pPr>
          </w:p>
        </w:tc>
        <w:tc>
          <w:tcPr>
            <w:tcW w:w="214" w:type="pct"/>
          </w:tcPr>
          <w:p w14:paraId="574CAB5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45" w:type="pct"/>
          </w:tcPr>
          <w:p w14:paraId="33551C3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w:t>
            </w:r>
          </w:p>
        </w:tc>
        <w:tc>
          <w:tcPr>
            <w:tcW w:w="280" w:type="pct"/>
          </w:tcPr>
          <w:p w14:paraId="3D046842" w14:textId="2DD0701F"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w:t>
            </w:r>
          </w:p>
        </w:tc>
      </w:tr>
      <w:tr w:rsidR="00637BF8" w:rsidRPr="00591CBB" w14:paraId="67E9749E"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4DAB98BA" w14:textId="77777777" w:rsidR="00095411" w:rsidRPr="007348FD" w:rsidRDefault="00095411" w:rsidP="00591CBB">
            <w:pPr>
              <w:spacing w:after="160" w:line="259" w:lineRule="auto"/>
              <w:rPr>
                <w:rFonts w:ascii="Arial Narrow" w:hAnsi="Arial Narrow"/>
                <w:sz w:val="18"/>
                <w:szCs w:val="18"/>
              </w:rPr>
            </w:pPr>
          </w:p>
        </w:tc>
        <w:tc>
          <w:tcPr>
            <w:tcW w:w="460" w:type="pct"/>
          </w:tcPr>
          <w:p w14:paraId="4B0EE6E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5BDACED"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89FB4A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11E11E4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0452DCC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79EBF84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6CA1D5E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1796D0DD" w14:textId="77777777" w:rsidR="00095411" w:rsidRPr="007348FD" w:rsidRDefault="00095411" w:rsidP="00591CBB">
            <w:pPr>
              <w:spacing w:after="160" w:line="259" w:lineRule="auto"/>
              <w:rPr>
                <w:rFonts w:ascii="Arial Narrow" w:hAnsi="Arial Narrow"/>
                <w:sz w:val="18"/>
                <w:szCs w:val="18"/>
              </w:rPr>
            </w:pPr>
          </w:p>
        </w:tc>
        <w:tc>
          <w:tcPr>
            <w:tcW w:w="273" w:type="pct"/>
          </w:tcPr>
          <w:p w14:paraId="0FD763B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5190426" w14:textId="77777777" w:rsidR="00095411" w:rsidRPr="007348FD" w:rsidRDefault="00095411" w:rsidP="00591CBB">
            <w:pPr>
              <w:spacing w:after="160" w:line="259" w:lineRule="auto"/>
              <w:rPr>
                <w:rFonts w:ascii="Arial Narrow" w:hAnsi="Arial Narrow"/>
                <w:sz w:val="18"/>
                <w:szCs w:val="18"/>
              </w:rPr>
            </w:pPr>
          </w:p>
        </w:tc>
        <w:tc>
          <w:tcPr>
            <w:tcW w:w="283" w:type="pct"/>
          </w:tcPr>
          <w:p w14:paraId="3BC1072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73BA1AD" w14:textId="77777777" w:rsidR="00095411" w:rsidRPr="007348FD" w:rsidRDefault="00095411" w:rsidP="00591CBB">
            <w:pPr>
              <w:spacing w:after="160" w:line="259" w:lineRule="auto"/>
              <w:rPr>
                <w:rFonts w:ascii="Arial Narrow" w:hAnsi="Arial Narrow"/>
                <w:sz w:val="18"/>
                <w:szCs w:val="18"/>
              </w:rPr>
            </w:pPr>
          </w:p>
        </w:tc>
        <w:tc>
          <w:tcPr>
            <w:tcW w:w="149" w:type="pct"/>
          </w:tcPr>
          <w:p w14:paraId="45B6737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379762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65B7682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4824594B" w14:textId="77777777" w:rsidR="00095411" w:rsidRPr="007348FD" w:rsidRDefault="00095411" w:rsidP="00591CBB">
            <w:pPr>
              <w:spacing w:after="160" w:line="259" w:lineRule="auto"/>
              <w:rPr>
                <w:rFonts w:ascii="Arial Narrow" w:hAnsi="Arial Narrow"/>
                <w:sz w:val="18"/>
                <w:szCs w:val="18"/>
              </w:rPr>
            </w:pPr>
          </w:p>
        </w:tc>
        <w:tc>
          <w:tcPr>
            <w:tcW w:w="280" w:type="pct"/>
          </w:tcPr>
          <w:p w14:paraId="10C9567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6C01A728"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022BC9E3" w14:textId="77777777" w:rsidR="00095411" w:rsidRPr="007348FD" w:rsidRDefault="00095411" w:rsidP="00591CBB">
            <w:pPr>
              <w:spacing w:after="160" w:line="259" w:lineRule="auto"/>
              <w:rPr>
                <w:rFonts w:ascii="Arial Narrow" w:hAnsi="Arial Narrow"/>
                <w:sz w:val="18"/>
                <w:szCs w:val="18"/>
              </w:rPr>
            </w:pPr>
          </w:p>
        </w:tc>
        <w:tc>
          <w:tcPr>
            <w:tcW w:w="460" w:type="pct"/>
          </w:tcPr>
          <w:p w14:paraId="64ECBFF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98C360D"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30275B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1D798E8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506B34B7" w14:textId="3558747C"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3BD229A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08947EA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w:t>
            </w:r>
          </w:p>
        </w:tc>
        <w:tc>
          <w:tcPr>
            <w:cnfStyle w:val="000010000000" w:firstRow="0" w:lastRow="0" w:firstColumn="0" w:lastColumn="0" w:oddVBand="1" w:evenVBand="0" w:oddHBand="0" w:evenHBand="0" w:firstRowFirstColumn="0" w:firstRowLastColumn="0" w:lastRowFirstColumn="0" w:lastRowLastColumn="0"/>
            <w:tcW w:w="197" w:type="pct"/>
          </w:tcPr>
          <w:p w14:paraId="43CA983E" w14:textId="77777777" w:rsidR="00095411" w:rsidRPr="007348FD" w:rsidRDefault="00095411" w:rsidP="00591CBB">
            <w:pPr>
              <w:spacing w:after="160" w:line="259" w:lineRule="auto"/>
              <w:rPr>
                <w:rFonts w:ascii="Arial Narrow" w:hAnsi="Arial Narrow"/>
                <w:sz w:val="18"/>
                <w:szCs w:val="18"/>
              </w:rPr>
            </w:pPr>
          </w:p>
        </w:tc>
        <w:tc>
          <w:tcPr>
            <w:tcW w:w="273" w:type="pct"/>
          </w:tcPr>
          <w:p w14:paraId="4E3F4D6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D884752" w14:textId="77777777" w:rsidR="00095411" w:rsidRPr="007348FD" w:rsidRDefault="00095411" w:rsidP="00591CBB">
            <w:pPr>
              <w:spacing w:after="160" w:line="259" w:lineRule="auto"/>
              <w:rPr>
                <w:rFonts w:ascii="Arial Narrow" w:hAnsi="Arial Narrow"/>
                <w:sz w:val="18"/>
                <w:szCs w:val="18"/>
              </w:rPr>
            </w:pPr>
          </w:p>
        </w:tc>
        <w:tc>
          <w:tcPr>
            <w:tcW w:w="283" w:type="pct"/>
          </w:tcPr>
          <w:p w14:paraId="202500C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69B08F0" w14:textId="77777777" w:rsidR="00095411" w:rsidRPr="007348FD" w:rsidRDefault="00095411" w:rsidP="00591CBB">
            <w:pPr>
              <w:spacing w:after="160" w:line="259" w:lineRule="auto"/>
              <w:rPr>
                <w:rFonts w:ascii="Arial Narrow" w:hAnsi="Arial Narrow"/>
                <w:sz w:val="18"/>
                <w:szCs w:val="18"/>
              </w:rPr>
            </w:pPr>
          </w:p>
        </w:tc>
        <w:tc>
          <w:tcPr>
            <w:tcW w:w="149" w:type="pct"/>
          </w:tcPr>
          <w:p w14:paraId="44B2BFB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870E7B5" w14:textId="77777777" w:rsidR="00095411" w:rsidRPr="007348FD" w:rsidRDefault="00095411" w:rsidP="00591CBB">
            <w:pPr>
              <w:spacing w:after="160" w:line="259" w:lineRule="auto"/>
              <w:rPr>
                <w:rFonts w:ascii="Arial Narrow" w:hAnsi="Arial Narrow"/>
                <w:sz w:val="18"/>
                <w:szCs w:val="18"/>
              </w:rPr>
            </w:pPr>
          </w:p>
        </w:tc>
        <w:tc>
          <w:tcPr>
            <w:tcW w:w="214" w:type="pct"/>
          </w:tcPr>
          <w:p w14:paraId="3E75CEA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w:t>
            </w:r>
          </w:p>
        </w:tc>
        <w:tc>
          <w:tcPr>
            <w:cnfStyle w:val="000010000000" w:firstRow="0" w:lastRow="0" w:firstColumn="0" w:lastColumn="0" w:oddVBand="1" w:evenVBand="0" w:oddHBand="0" w:evenHBand="0" w:firstRowFirstColumn="0" w:firstRowLastColumn="0" w:lastRowFirstColumn="0" w:lastRowLastColumn="0"/>
            <w:tcW w:w="245" w:type="pct"/>
          </w:tcPr>
          <w:p w14:paraId="488532C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w:t>
            </w:r>
          </w:p>
        </w:tc>
        <w:tc>
          <w:tcPr>
            <w:tcW w:w="280" w:type="pct"/>
          </w:tcPr>
          <w:p w14:paraId="17840B8F" w14:textId="6CF43365"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w:t>
            </w:r>
          </w:p>
        </w:tc>
      </w:tr>
      <w:tr w:rsidR="00637BF8" w:rsidRPr="00591CBB" w14:paraId="02715F83"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167697AE" w14:textId="77777777" w:rsidR="00095411" w:rsidRPr="007348FD" w:rsidRDefault="00095411" w:rsidP="00591CBB">
            <w:pPr>
              <w:spacing w:after="160" w:line="259" w:lineRule="auto"/>
              <w:rPr>
                <w:rFonts w:ascii="Arial Narrow" w:hAnsi="Arial Narrow"/>
                <w:sz w:val="18"/>
                <w:szCs w:val="18"/>
              </w:rPr>
            </w:pPr>
          </w:p>
        </w:tc>
        <w:tc>
          <w:tcPr>
            <w:tcW w:w="460" w:type="pct"/>
          </w:tcPr>
          <w:p w14:paraId="5EA5A24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34FAD94"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2C2BF2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42D65A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4CA1DA5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7841FC3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1674D3A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w:t>
            </w:r>
          </w:p>
        </w:tc>
        <w:tc>
          <w:tcPr>
            <w:cnfStyle w:val="000010000000" w:firstRow="0" w:lastRow="0" w:firstColumn="0" w:lastColumn="0" w:oddVBand="1" w:evenVBand="0" w:oddHBand="0" w:evenHBand="0" w:firstRowFirstColumn="0" w:firstRowLastColumn="0" w:lastRowFirstColumn="0" w:lastRowLastColumn="0"/>
            <w:tcW w:w="197" w:type="pct"/>
          </w:tcPr>
          <w:p w14:paraId="1AE9284E" w14:textId="77777777" w:rsidR="00095411" w:rsidRPr="007348FD" w:rsidRDefault="00095411" w:rsidP="00591CBB">
            <w:pPr>
              <w:spacing w:after="160" w:line="259" w:lineRule="auto"/>
              <w:rPr>
                <w:rFonts w:ascii="Arial Narrow" w:hAnsi="Arial Narrow"/>
                <w:sz w:val="18"/>
                <w:szCs w:val="18"/>
              </w:rPr>
            </w:pPr>
          </w:p>
        </w:tc>
        <w:tc>
          <w:tcPr>
            <w:tcW w:w="273" w:type="pct"/>
          </w:tcPr>
          <w:p w14:paraId="7DBC025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0B3954F" w14:textId="77777777" w:rsidR="00095411" w:rsidRPr="007348FD" w:rsidRDefault="00095411" w:rsidP="00591CBB">
            <w:pPr>
              <w:spacing w:after="160" w:line="259" w:lineRule="auto"/>
              <w:rPr>
                <w:rFonts w:ascii="Arial Narrow" w:hAnsi="Arial Narrow"/>
                <w:sz w:val="18"/>
                <w:szCs w:val="18"/>
              </w:rPr>
            </w:pPr>
          </w:p>
        </w:tc>
        <w:tc>
          <w:tcPr>
            <w:tcW w:w="283" w:type="pct"/>
          </w:tcPr>
          <w:p w14:paraId="7473C45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18408392" w14:textId="77777777" w:rsidR="00095411" w:rsidRPr="007348FD" w:rsidRDefault="00095411" w:rsidP="00591CBB">
            <w:pPr>
              <w:spacing w:after="160" w:line="259" w:lineRule="auto"/>
              <w:rPr>
                <w:rFonts w:ascii="Arial Narrow" w:hAnsi="Arial Narrow"/>
                <w:sz w:val="18"/>
                <w:szCs w:val="18"/>
              </w:rPr>
            </w:pPr>
          </w:p>
        </w:tc>
        <w:tc>
          <w:tcPr>
            <w:tcW w:w="149" w:type="pct"/>
          </w:tcPr>
          <w:p w14:paraId="7E04279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070BF5B" w14:textId="77777777" w:rsidR="00095411" w:rsidRPr="007348FD" w:rsidRDefault="00095411" w:rsidP="00591CBB">
            <w:pPr>
              <w:spacing w:after="160" w:line="259" w:lineRule="auto"/>
              <w:rPr>
                <w:rFonts w:ascii="Arial Narrow" w:hAnsi="Arial Narrow"/>
                <w:sz w:val="18"/>
                <w:szCs w:val="18"/>
              </w:rPr>
            </w:pPr>
          </w:p>
        </w:tc>
        <w:tc>
          <w:tcPr>
            <w:tcW w:w="214" w:type="pct"/>
          </w:tcPr>
          <w:p w14:paraId="0069A95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7092AA60" w14:textId="77777777" w:rsidR="00095411" w:rsidRPr="007348FD" w:rsidRDefault="00095411" w:rsidP="00591CBB">
            <w:pPr>
              <w:spacing w:after="160" w:line="259" w:lineRule="auto"/>
              <w:rPr>
                <w:rFonts w:ascii="Arial Narrow" w:hAnsi="Arial Narrow"/>
                <w:sz w:val="18"/>
                <w:szCs w:val="18"/>
              </w:rPr>
            </w:pPr>
          </w:p>
        </w:tc>
        <w:tc>
          <w:tcPr>
            <w:tcW w:w="280" w:type="pct"/>
          </w:tcPr>
          <w:p w14:paraId="3322DA0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6462B29E"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5269DFC8" w14:textId="77777777" w:rsidR="00095411" w:rsidRPr="007348FD" w:rsidRDefault="00095411" w:rsidP="00591CBB">
            <w:pPr>
              <w:spacing w:after="160" w:line="259" w:lineRule="auto"/>
              <w:rPr>
                <w:rFonts w:ascii="Arial Narrow" w:hAnsi="Arial Narrow"/>
                <w:sz w:val="18"/>
                <w:szCs w:val="18"/>
              </w:rPr>
            </w:pPr>
          </w:p>
        </w:tc>
        <w:tc>
          <w:tcPr>
            <w:tcW w:w="460" w:type="pct"/>
          </w:tcPr>
          <w:p w14:paraId="42BAE88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77770F7"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C35791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2546477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0A742F05" w14:textId="00E67C9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263C925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7CC7881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0DBCF529" w14:textId="77777777" w:rsidR="00095411" w:rsidRPr="007348FD" w:rsidRDefault="00095411" w:rsidP="00591CBB">
            <w:pPr>
              <w:spacing w:after="160" w:line="259" w:lineRule="auto"/>
              <w:rPr>
                <w:rFonts w:ascii="Arial Narrow" w:hAnsi="Arial Narrow"/>
                <w:sz w:val="18"/>
                <w:szCs w:val="18"/>
              </w:rPr>
            </w:pPr>
          </w:p>
        </w:tc>
        <w:tc>
          <w:tcPr>
            <w:tcW w:w="273" w:type="pct"/>
          </w:tcPr>
          <w:p w14:paraId="2515E3D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3D35114" w14:textId="77777777" w:rsidR="00095411" w:rsidRPr="007348FD" w:rsidRDefault="00095411" w:rsidP="00591CBB">
            <w:pPr>
              <w:spacing w:after="160" w:line="259" w:lineRule="auto"/>
              <w:rPr>
                <w:rFonts w:ascii="Arial Narrow" w:hAnsi="Arial Narrow"/>
                <w:sz w:val="18"/>
                <w:szCs w:val="18"/>
              </w:rPr>
            </w:pPr>
          </w:p>
        </w:tc>
        <w:tc>
          <w:tcPr>
            <w:tcW w:w="283" w:type="pct"/>
          </w:tcPr>
          <w:p w14:paraId="6CDA442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C758ED9" w14:textId="77777777" w:rsidR="00095411" w:rsidRPr="007348FD" w:rsidRDefault="00095411" w:rsidP="00591CBB">
            <w:pPr>
              <w:spacing w:after="160" w:line="259" w:lineRule="auto"/>
              <w:rPr>
                <w:rFonts w:ascii="Arial Narrow" w:hAnsi="Arial Narrow"/>
                <w:sz w:val="18"/>
                <w:szCs w:val="18"/>
              </w:rPr>
            </w:pPr>
          </w:p>
        </w:tc>
        <w:tc>
          <w:tcPr>
            <w:tcW w:w="149" w:type="pct"/>
          </w:tcPr>
          <w:p w14:paraId="14F5C5E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3B68CDB" w14:textId="77777777" w:rsidR="00095411" w:rsidRPr="007348FD" w:rsidRDefault="00095411" w:rsidP="00591CBB">
            <w:pPr>
              <w:spacing w:after="160" w:line="259" w:lineRule="auto"/>
              <w:rPr>
                <w:rFonts w:ascii="Arial Narrow" w:hAnsi="Arial Narrow"/>
                <w:sz w:val="18"/>
                <w:szCs w:val="18"/>
              </w:rPr>
            </w:pPr>
          </w:p>
        </w:tc>
        <w:tc>
          <w:tcPr>
            <w:tcW w:w="214" w:type="pct"/>
          </w:tcPr>
          <w:p w14:paraId="7D46882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w:t>
            </w:r>
          </w:p>
        </w:tc>
        <w:tc>
          <w:tcPr>
            <w:cnfStyle w:val="000010000000" w:firstRow="0" w:lastRow="0" w:firstColumn="0" w:lastColumn="0" w:oddVBand="1" w:evenVBand="0" w:oddHBand="0" w:evenHBand="0" w:firstRowFirstColumn="0" w:firstRowLastColumn="0" w:lastRowFirstColumn="0" w:lastRowLastColumn="0"/>
            <w:tcW w:w="245" w:type="pct"/>
          </w:tcPr>
          <w:p w14:paraId="15E1E47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w:t>
            </w:r>
          </w:p>
        </w:tc>
        <w:tc>
          <w:tcPr>
            <w:tcW w:w="280" w:type="pct"/>
          </w:tcPr>
          <w:p w14:paraId="665BACB2" w14:textId="6003AD1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w:t>
            </w:r>
          </w:p>
        </w:tc>
      </w:tr>
      <w:tr w:rsidR="00637BF8" w:rsidRPr="00591CBB" w14:paraId="6FB4F8CE"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396B4CA9" w14:textId="77777777" w:rsidR="00095411" w:rsidRPr="007348FD" w:rsidRDefault="00095411" w:rsidP="00591CBB">
            <w:pPr>
              <w:spacing w:after="160" w:line="259" w:lineRule="auto"/>
              <w:rPr>
                <w:rFonts w:ascii="Arial Narrow" w:hAnsi="Arial Narrow"/>
                <w:sz w:val="18"/>
                <w:szCs w:val="18"/>
              </w:rPr>
            </w:pPr>
          </w:p>
        </w:tc>
        <w:tc>
          <w:tcPr>
            <w:tcW w:w="460" w:type="pct"/>
          </w:tcPr>
          <w:p w14:paraId="6468D37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486A2C1"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C1E840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19BAF58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346AFE3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07A81FB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57D6444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w:t>
            </w:r>
          </w:p>
        </w:tc>
        <w:tc>
          <w:tcPr>
            <w:cnfStyle w:val="000010000000" w:firstRow="0" w:lastRow="0" w:firstColumn="0" w:lastColumn="0" w:oddVBand="1" w:evenVBand="0" w:oddHBand="0" w:evenHBand="0" w:firstRowFirstColumn="0" w:firstRowLastColumn="0" w:lastRowFirstColumn="0" w:lastRowLastColumn="0"/>
            <w:tcW w:w="197" w:type="pct"/>
          </w:tcPr>
          <w:p w14:paraId="5205BDC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5</w:t>
            </w:r>
          </w:p>
        </w:tc>
        <w:tc>
          <w:tcPr>
            <w:tcW w:w="273" w:type="pct"/>
          </w:tcPr>
          <w:p w14:paraId="414EED7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7</w:t>
            </w:r>
          </w:p>
        </w:tc>
        <w:tc>
          <w:tcPr>
            <w:cnfStyle w:val="000010000000" w:firstRow="0" w:lastRow="0" w:firstColumn="0" w:lastColumn="0" w:oddVBand="1" w:evenVBand="0" w:oddHBand="0" w:evenHBand="0" w:firstRowFirstColumn="0" w:firstRowLastColumn="0" w:lastRowFirstColumn="0" w:lastRowLastColumn="0"/>
            <w:tcW w:w="285" w:type="pct"/>
          </w:tcPr>
          <w:p w14:paraId="0BF8A41B" w14:textId="77777777" w:rsidR="00095411" w:rsidRPr="007348FD" w:rsidRDefault="00095411" w:rsidP="00591CBB">
            <w:pPr>
              <w:spacing w:after="160" w:line="259" w:lineRule="auto"/>
              <w:rPr>
                <w:rFonts w:ascii="Arial Narrow" w:hAnsi="Arial Narrow"/>
                <w:sz w:val="18"/>
                <w:szCs w:val="18"/>
              </w:rPr>
            </w:pPr>
          </w:p>
        </w:tc>
        <w:tc>
          <w:tcPr>
            <w:tcW w:w="283" w:type="pct"/>
          </w:tcPr>
          <w:p w14:paraId="5CBC6A4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4346617D" w14:textId="77777777" w:rsidR="00095411" w:rsidRPr="007348FD" w:rsidRDefault="00095411" w:rsidP="00591CBB">
            <w:pPr>
              <w:spacing w:after="160" w:line="259" w:lineRule="auto"/>
              <w:rPr>
                <w:rFonts w:ascii="Arial Narrow" w:hAnsi="Arial Narrow"/>
                <w:sz w:val="18"/>
                <w:szCs w:val="18"/>
              </w:rPr>
            </w:pPr>
          </w:p>
        </w:tc>
        <w:tc>
          <w:tcPr>
            <w:tcW w:w="149" w:type="pct"/>
          </w:tcPr>
          <w:p w14:paraId="7E16D29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C9B1246" w14:textId="77777777" w:rsidR="00095411" w:rsidRPr="007348FD" w:rsidRDefault="00095411" w:rsidP="00591CBB">
            <w:pPr>
              <w:spacing w:after="160" w:line="259" w:lineRule="auto"/>
              <w:rPr>
                <w:rFonts w:ascii="Arial Narrow" w:hAnsi="Arial Narrow"/>
                <w:sz w:val="18"/>
                <w:szCs w:val="18"/>
              </w:rPr>
            </w:pPr>
          </w:p>
        </w:tc>
        <w:tc>
          <w:tcPr>
            <w:tcW w:w="214" w:type="pct"/>
          </w:tcPr>
          <w:p w14:paraId="7418F2A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w:t>
            </w:r>
          </w:p>
        </w:tc>
        <w:tc>
          <w:tcPr>
            <w:cnfStyle w:val="000010000000" w:firstRow="0" w:lastRow="0" w:firstColumn="0" w:lastColumn="0" w:oddVBand="1" w:evenVBand="0" w:oddHBand="0" w:evenHBand="0" w:firstRowFirstColumn="0" w:firstRowLastColumn="0" w:lastRowFirstColumn="0" w:lastRowLastColumn="0"/>
            <w:tcW w:w="245" w:type="pct"/>
          </w:tcPr>
          <w:p w14:paraId="7C21C7BB" w14:textId="77777777" w:rsidR="00095411" w:rsidRPr="007348FD" w:rsidRDefault="00095411" w:rsidP="00591CBB">
            <w:pPr>
              <w:spacing w:after="160" w:line="259" w:lineRule="auto"/>
              <w:rPr>
                <w:rFonts w:ascii="Arial Narrow" w:hAnsi="Arial Narrow"/>
                <w:sz w:val="18"/>
                <w:szCs w:val="18"/>
              </w:rPr>
            </w:pPr>
          </w:p>
        </w:tc>
        <w:tc>
          <w:tcPr>
            <w:tcW w:w="280" w:type="pct"/>
          </w:tcPr>
          <w:p w14:paraId="393B7F2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514259EF"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0CB9DC4B" w14:textId="77777777" w:rsidR="00095411" w:rsidRPr="007348FD" w:rsidRDefault="00095411" w:rsidP="00591CBB">
            <w:pPr>
              <w:spacing w:after="160" w:line="259" w:lineRule="auto"/>
              <w:rPr>
                <w:rFonts w:ascii="Arial Narrow" w:hAnsi="Arial Narrow"/>
                <w:sz w:val="18"/>
                <w:szCs w:val="18"/>
              </w:rPr>
            </w:pPr>
          </w:p>
        </w:tc>
        <w:tc>
          <w:tcPr>
            <w:tcW w:w="460" w:type="pct"/>
          </w:tcPr>
          <w:p w14:paraId="5144DAA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983FA80"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72DDA3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20A8706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75184D88" w14:textId="72AAE1E1"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4063626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3FC2D6F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30BDC1DC" w14:textId="77777777" w:rsidR="00095411" w:rsidRPr="007348FD" w:rsidRDefault="00095411" w:rsidP="00591CBB">
            <w:pPr>
              <w:spacing w:after="160" w:line="259" w:lineRule="auto"/>
              <w:rPr>
                <w:rFonts w:ascii="Arial Narrow" w:hAnsi="Arial Narrow"/>
                <w:sz w:val="18"/>
                <w:szCs w:val="18"/>
              </w:rPr>
            </w:pPr>
          </w:p>
        </w:tc>
        <w:tc>
          <w:tcPr>
            <w:tcW w:w="273" w:type="pct"/>
          </w:tcPr>
          <w:p w14:paraId="7AC2DF9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109DAA3" w14:textId="77777777" w:rsidR="00095411" w:rsidRPr="007348FD" w:rsidRDefault="00095411" w:rsidP="00591CBB">
            <w:pPr>
              <w:spacing w:after="160" w:line="259" w:lineRule="auto"/>
              <w:rPr>
                <w:rFonts w:ascii="Arial Narrow" w:hAnsi="Arial Narrow"/>
                <w:sz w:val="18"/>
                <w:szCs w:val="18"/>
              </w:rPr>
            </w:pPr>
          </w:p>
        </w:tc>
        <w:tc>
          <w:tcPr>
            <w:tcW w:w="283" w:type="pct"/>
          </w:tcPr>
          <w:p w14:paraId="12156D1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B05F473" w14:textId="77777777" w:rsidR="00095411" w:rsidRPr="007348FD" w:rsidRDefault="00095411" w:rsidP="00591CBB">
            <w:pPr>
              <w:spacing w:after="160" w:line="259" w:lineRule="auto"/>
              <w:rPr>
                <w:rFonts w:ascii="Arial Narrow" w:hAnsi="Arial Narrow"/>
                <w:sz w:val="18"/>
                <w:szCs w:val="18"/>
              </w:rPr>
            </w:pPr>
          </w:p>
        </w:tc>
        <w:tc>
          <w:tcPr>
            <w:tcW w:w="149" w:type="pct"/>
          </w:tcPr>
          <w:p w14:paraId="0E7FC05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603686E" w14:textId="77777777" w:rsidR="00095411" w:rsidRPr="007348FD" w:rsidRDefault="00095411" w:rsidP="00591CBB">
            <w:pPr>
              <w:spacing w:after="160" w:line="259" w:lineRule="auto"/>
              <w:rPr>
                <w:rFonts w:ascii="Arial Narrow" w:hAnsi="Arial Narrow"/>
                <w:sz w:val="18"/>
                <w:szCs w:val="18"/>
              </w:rPr>
            </w:pPr>
          </w:p>
        </w:tc>
        <w:tc>
          <w:tcPr>
            <w:tcW w:w="214" w:type="pct"/>
          </w:tcPr>
          <w:p w14:paraId="5BCA2A1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45" w:type="pct"/>
          </w:tcPr>
          <w:p w14:paraId="75BD7DE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80" w:type="pct"/>
          </w:tcPr>
          <w:p w14:paraId="6D4EE46E" w14:textId="087C3A4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w:t>
            </w:r>
          </w:p>
        </w:tc>
      </w:tr>
      <w:tr w:rsidR="00637BF8" w:rsidRPr="00591CBB" w14:paraId="2BE43CE6"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7980F672" w14:textId="77777777" w:rsidR="00095411" w:rsidRPr="007348FD" w:rsidRDefault="00095411" w:rsidP="00591CBB">
            <w:pPr>
              <w:spacing w:after="160" w:line="259" w:lineRule="auto"/>
              <w:rPr>
                <w:rFonts w:ascii="Arial Narrow" w:hAnsi="Arial Narrow"/>
                <w:sz w:val="18"/>
                <w:szCs w:val="18"/>
              </w:rPr>
            </w:pPr>
          </w:p>
        </w:tc>
        <w:tc>
          <w:tcPr>
            <w:tcW w:w="460" w:type="pct"/>
          </w:tcPr>
          <w:p w14:paraId="637B69C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096B704"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0F7CA4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D16E32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32140F5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469DD50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30012AA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37CE37B6" w14:textId="77777777" w:rsidR="00095411" w:rsidRPr="007348FD" w:rsidRDefault="00095411" w:rsidP="00591CBB">
            <w:pPr>
              <w:spacing w:after="160" w:line="259" w:lineRule="auto"/>
              <w:rPr>
                <w:rFonts w:ascii="Arial Narrow" w:hAnsi="Arial Narrow"/>
                <w:sz w:val="18"/>
                <w:szCs w:val="18"/>
              </w:rPr>
            </w:pPr>
          </w:p>
        </w:tc>
        <w:tc>
          <w:tcPr>
            <w:tcW w:w="273" w:type="pct"/>
          </w:tcPr>
          <w:p w14:paraId="7D3C224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6FCAE01" w14:textId="77777777" w:rsidR="00095411" w:rsidRPr="007348FD" w:rsidRDefault="00095411" w:rsidP="00591CBB">
            <w:pPr>
              <w:spacing w:after="160" w:line="259" w:lineRule="auto"/>
              <w:rPr>
                <w:rFonts w:ascii="Arial Narrow" w:hAnsi="Arial Narrow"/>
                <w:sz w:val="18"/>
                <w:szCs w:val="18"/>
              </w:rPr>
            </w:pPr>
          </w:p>
        </w:tc>
        <w:tc>
          <w:tcPr>
            <w:tcW w:w="283" w:type="pct"/>
          </w:tcPr>
          <w:p w14:paraId="26AC218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48EDE42" w14:textId="77777777" w:rsidR="00095411" w:rsidRPr="007348FD" w:rsidRDefault="00095411" w:rsidP="00591CBB">
            <w:pPr>
              <w:spacing w:after="160" w:line="259" w:lineRule="auto"/>
              <w:rPr>
                <w:rFonts w:ascii="Arial Narrow" w:hAnsi="Arial Narrow"/>
                <w:sz w:val="18"/>
                <w:szCs w:val="18"/>
              </w:rPr>
            </w:pPr>
          </w:p>
        </w:tc>
        <w:tc>
          <w:tcPr>
            <w:tcW w:w="149" w:type="pct"/>
          </w:tcPr>
          <w:p w14:paraId="67F155E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07872A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17D3495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45" w:type="pct"/>
          </w:tcPr>
          <w:p w14:paraId="1FB030F8" w14:textId="77777777" w:rsidR="00095411" w:rsidRPr="007348FD" w:rsidRDefault="00095411" w:rsidP="00591CBB">
            <w:pPr>
              <w:spacing w:after="160" w:line="259" w:lineRule="auto"/>
              <w:rPr>
                <w:rFonts w:ascii="Arial Narrow" w:hAnsi="Arial Narrow"/>
                <w:sz w:val="18"/>
                <w:szCs w:val="18"/>
              </w:rPr>
            </w:pPr>
          </w:p>
        </w:tc>
        <w:tc>
          <w:tcPr>
            <w:tcW w:w="280" w:type="pct"/>
          </w:tcPr>
          <w:p w14:paraId="022B705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080CF8D3"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6E00FAED" w14:textId="77777777" w:rsidR="00095411" w:rsidRPr="007348FD" w:rsidRDefault="00095411" w:rsidP="00591CBB">
            <w:pPr>
              <w:spacing w:after="160" w:line="259" w:lineRule="auto"/>
              <w:rPr>
                <w:rFonts w:ascii="Arial Narrow" w:hAnsi="Arial Narrow"/>
                <w:sz w:val="18"/>
                <w:szCs w:val="18"/>
              </w:rPr>
            </w:pPr>
          </w:p>
        </w:tc>
        <w:tc>
          <w:tcPr>
            <w:tcW w:w="460" w:type="pct"/>
          </w:tcPr>
          <w:p w14:paraId="36A738D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483CEC9F"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44E590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5EB13ED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CBAC733" w14:textId="69C5A754"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1478BEF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77425EC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483B8EE0" w14:textId="77777777" w:rsidR="00095411" w:rsidRPr="007348FD" w:rsidRDefault="00095411" w:rsidP="00591CBB">
            <w:pPr>
              <w:spacing w:after="160" w:line="259" w:lineRule="auto"/>
              <w:rPr>
                <w:rFonts w:ascii="Arial Narrow" w:hAnsi="Arial Narrow"/>
                <w:sz w:val="18"/>
                <w:szCs w:val="18"/>
              </w:rPr>
            </w:pPr>
          </w:p>
        </w:tc>
        <w:tc>
          <w:tcPr>
            <w:tcW w:w="273" w:type="pct"/>
          </w:tcPr>
          <w:p w14:paraId="2FE50E6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016655E5" w14:textId="77777777" w:rsidR="00095411" w:rsidRPr="007348FD" w:rsidRDefault="00095411" w:rsidP="00591CBB">
            <w:pPr>
              <w:spacing w:after="160" w:line="259" w:lineRule="auto"/>
              <w:rPr>
                <w:rFonts w:ascii="Arial Narrow" w:hAnsi="Arial Narrow"/>
                <w:sz w:val="18"/>
                <w:szCs w:val="18"/>
              </w:rPr>
            </w:pPr>
          </w:p>
        </w:tc>
        <w:tc>
          <w:tcPr>
            <w:tcW w:w="283" w:type="pct"/>
          </w:tcPr>
          <w:p w14:paraId="4DF9E8D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7655D5E" w14:textId="77777777" w:rsidR="00095411" w:rsidRPr="007348FD" w:rsidRDefault="00095411" w:rsidP="00591CBB">
            <w:pPr>
              <w:spacing w:after="160" w:line="259" w:lineRule="auto"/>
              <w:rPr>
                <w:rFonts w:ascii="Arial Narrow" w:hAnsi="Arial Narrow"/>
                <w:sz w:val="18"/>
                <w:szCs w:val="18"/>
              </w:rPr>
            </w:pPr>
          </w:p>
        </w:tc>
        <w:tc>
          <w:tcPr>
            <w:tcW w:w="149" w:type="pct"/>
          </w:tcPr>
          <w:p w14:paraId="56BB8A0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3AA44AB" w14:textId="77777777" w:rsidR="00095411" w:rsidRPr="007348FD" w:rsidRDefault="00095411" w:rsidP="00591CBB">
            <w:pPr>
              <w:spacing w:after="160" w:line="259" w:lineRule="auto"/>
              <w:rPr>
                <w:rFonts w:ascii="Arial Narrow" w:hAnsi="Arial Narrow"/>
                <w:sz w:val="18"/>
                <w:szCs w:val="18"/>
              </w:rPr>
            </w:pPr>
          </w:p>
        </w:tc>
        <w:tc>
          <w:tcPr>
            <w:tcW w:w="214" w:type="pct"/>
          </w:tcPr>
          <w:p w14:paraId="66193B1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w:t>
            </w:r>
          </w:p>
        </w:tc>
        <w:tc>
          <w:tcPr>
            <w:cnfStyle w:val="000010000000" w:firstRow="0" w:lastRow="0" w:firstColumn="0" w:lastColumn="0" w:oddVBand="1" w:evenVBand="0" w:oddHBand="0" w:evenHBand="0" w:firstRowFirstColumn="0" w:firstRowLastColumn="0" w:lastRowFirstColumn="0" w:lastRowLastColumn="0"/>
            <w:tcW w:w="245" w:type="pct"/>
          </w:tcPr>
          <w:p w14:paraId="70FC118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2</w:t>
            </w:r>
          </w:p>
        </w:tc>
        <w:tc>
          <w:tcPr>
            <w:tcW w:w="280" w:type="pct"/>
          </w:tcPr>
          <w:p w14:paraId="4909E10B" w14:textId="5288D3B1"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w:t>
            </w:r>
          </w:p>
        </w:tc>
      </w:tr>
      <w:tr w:rsidR="00637BF8" w:rsidRPr="00591CBB" w14:paraId="70C8A103"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74B26841" w14:textId="77777777" w:rsidR="00095411" w:rsidRPr="007348FD" w:rsidRDefault="00095411" w:rsidP="00591CBB">
            <w:pPr>
              <w:spacing w:after="160" w:line="259" w:lineRule="auto"/>
              <w:rPr>
                <w:rFonts w:ascii="Arial Narrow" w:hAnsi="Arial Narrow"/>
                <w:sz w:val="18"/>
                <w:szCs w:val="18"/>
              </w:rPr>
            </w:pPr>
          </w:p>
        </w:tc>
        <w:tc>
          <w:tcPr>
            <w:tcW w:w="460" w:type="pct"/>
          </w:tcPr>
          <w:p w14:paraId="7B5668E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3D02E698"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355211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63E47C2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4F7CA2F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7B85992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4F52484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22ACED5F" w14:textId="77777777" w:rsidR="00095411" w:rsidRPr="007348FD" w:rsidRDefault="00095411" w:rsidP="00591CBB">
            <w:pPr>
              <w:spacing w:after="160" w:line="259" w:lineRule="auto"/>
              <w:rPr>
                <w:rFonts w:ascii="Arial Narrow" w:hAnsi="Arial Narrow"/>
                <w:sz w:val="18"/>
                <w:szCs w:val="18"/>
              </w:rPr>
            </w:pPr>
          </w:p>
        </w:tc>
        <w:tc>
          <w:tcPr>
            <w:tcW w:w="273" w:type="pct"/>
          </w:tcPr>
          <w:p w14:paraId="5F1B13D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CD570D5" w14:textId="77777777" w:rsidR="00095411" w:rsidRPr="007348FD" w:rsidRDefault="00095411" w:rsidP="00591CBB">
            <w:pPr>
              <w:spacing w:after="160" w:line="259" w:lineRule="auto"/>
              <w:rPr>
                <w:rFonts w:ascii="Arial Narrow" w:hAnsi="Arial Narrow"/>
                <w:sz w:val="18"/>
                <w:szCs w:val="18"/>
              </w:rPr>
            </w:pPr>
          </w:p>
        </w:tc>
        <w:tc>
          <w:tcPr>
            <w:tcW w:w="283" w:type="pct"/>
          </w:tcPr>
          <w:p w14:paraId="13565EA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37A7DF1" w14:textId="77777777" w:rsidR="00095411" w:rsidRPr="007348FD" w:rsidRDefault="00095411" w:rsidP="00591CBB">
            <w:pPr>
              <w:spacing w:after="160" w:line="259" w:lineRule="auto"/>
              <w:rPr>
                <w:rFonts w:ascii="Arial Narrow" w:hAnsi="Arial Narrow"/>
                <w:sz w:val="18"/>
                <w:szCs w:val="18"/>
              </w:rPr>
            </w:pPr>
          </w:p>
        </w:tc>
        <w:tc>
          <w:tcPr>
            <w:tcW w:w="149" w:type="pct"/>
          </w:tcPr>
          <w:p w14:paraId="3D3E6CC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EDEF8A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6AF64F5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064EEF03" w14:textId="77777777" w:rsidR="00095411" w:rsidRPr="007348FD" w:rsidRDefault="00095411" w:rsidP="00591CBB">
            <w:pPr>
              <w:spacing w:after="160" w:line="259" w:lineRule="auto"/>
              <w:rPr>
                <w:rFonts w:ascii="Arial Narrow" w:hAnsi="Arial Narrow"/>
                <w:sz w:val="18"/>
                <w:szCs w:val="18"/>
              </w:rPr>
            </w:pPr>
          </w:p>
        </w:tc>
        <w:tc>
          <w:tcPr>
            <w:tcW w:w="280" w:type="pct"/>
          </w:tcPr>
          <w:p w14:paraId="170787F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17F8A516" w14:textId="77777777" w:rsidTr="00051F27">
        <w:trPr>
          <w:trHeight w:val="228"/>
        </w:trPr>
        <w:tc>
          <w:tcPr>
            <w:cnfStyle w:val="000010000000" w:firstRow="0" w:lastRow="0" w:firstColumn="0" w:lastColumn="0" w:oddVBand="1" w:evenVBand="0" w:oddHBand="0" w:evenHBand="0" w:firstRowFirstColumn="0" w:firstRowLastColumn="0" w:lastRowFirstColumn="0" w:lastRowLastColumn="0"/>
            <w:tcW w:w="432" w:type="pct"/>
          </w:tcPr>
          <w:p w14:paraId="5BD5F563" w14:textId="77777777" w:rsidR="00095411" w:rsidRPr="007348FD" w:rsidRDefault="00095411" w:rsidP="00591CBB">
            <w:pPr>
              <w:spacing w:after="160" w:line="259" w:lineRule="auto"/>
              <w:rPr>
                <w:rFonts w:ascii="Arial Narrow" w:hAnsi="Arial Narrow"/>
                <w:sz w:val="18"/>
                <w:szCs w:val="18"/>
              </w:rPr>
            </w:pPr>
          </w:p>
        </w:tc>
        <w:tc>
          <w:tcPr>
            <w:tcW w:w="460" w:type="pct"/>
          </w:tcPr>
          <w:p w14:paraId="3A33B63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CE19732"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25723CB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700E4D3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A912E4D" w14:textId="579AFDFA"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1EA9FB5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7A1B26D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7EAF07AF" w14:textId="77777777" w:rsidR="00095411" w:rsidRPr="007348FD" w:rsidRDefault="00095411" w:rsidP="00591CBB">
            <w:pPr>
              <w:spacing w:after="160" w:line="259" w:lineRule="auto"/>
              <w:rPr>
                <w:rFonts w:ascii="Arial Narrow" w:hAnsi="Arial Narrow"/>
                <w:sz w:val="18"/>
                <w:szCs w:val="18"/>
              </w:rPr>
            </w:pPr>
          </w:p>
        </w:tc>
        <w:tc>
          <w:tcPr>
            <w:tcW w:w="273" w:type="pct"/>
          </w:tcPr>
          <w:p w14:paraId="1BC6BA4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1E56A26" w14:textId="77777777" w:rsidR="00095411" w:rsidRPr="007348FD" w:rsidRDefault="00095411" w:rsidP="00591CBB">
            <w:pPr>
              <w:spacing w:after="160" w:line="259" w:lineRule="auto"/>
              <w:rPr>
                <w:rFonts w:ascii="Arial Narrow" w:hAnsi="Arial Narrow"/>
                <w:sz w:val="18"/>
                <w:szCs w:val="18"/>
              </w:rPr>
            </w:pPr>
          </w:p>
        </w:tc>
        <w:tc>
          <w:tcPr>
            <w:tcW w:w="283" w:type="pct"/>
          </w:tcPr>
          <w:p w14:paraId="4925EF4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F5A18FD" w14:textId="77777777" w:rsidR="00095411" w:rsidRPr="007348FD" w:rsidRDefault="00095411" w:rsidP="00591CBB">
            <w:pPr>
              <w:spacing w:after="160" w:line="259" w:lineRule="auto"/>
              <w:rPr>
                <w:rFonts w:ascii="Arial Narrow" w:hAnsi="Arial Narrow"/>
                <w:sz w:val="18"/>
                <w:szCs w:val="18"/>
              </w:rPr>
            </w:pPr>
          </w:p>
        </w:tc>
        <w:tc>
          <w:tcPr>
            <w:tcW w:w="149" w:type="pct"/>
          </w:tcPr>
          <w:p w14:paraId="4E7D8EB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1D885B4" w14:textId="77777777" w:rsidR="00095411" w:rsidRPr="007348FD" w:rsidRDefault="00095411" w:rsidP="00591CBB">
            <w:pPr>
              <w:spacing w:after="160" w:line="259" w:lineRule="auto"/>
              <w:rPr>
                <w:rFonts w:ascii="Arial Narrow" w:hAnsi="Arial Narrow"/>
                <w:sz w:val="18"/>
                <w:szCs w:val="18"/>
              </w:rPr>
            </w:pPr>
          </w:p>
        </w:tc>
        <w:tc>
          <w:tcPr>
            <w:tcW w:w="214" w:type="pct"/>
          </w:tcPr>
          <w:p w14:paraId="2A8E1CF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45" w:type="pct"/>
          </w:tcPr>
          <w:p w14:paraId="28F9E9A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80" w:type="pct"/>
          </w:tcPr>
          <w:p w14:paraId="5EAB1541" w14:textId="056C2860"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w:t>
            </w:r>
          </w:p>
        </w:tc>
      </w:tr>
      <w:tr w:rsidR="00637BF8" w:rsidRPr="00591CBB" w14:paraId="733463AA" w14:textId="77777777" w:rsidTr="00051F27">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432" w:type="pct"/>
          </w:tcPr>
          <w:p w14:paraId="38E20513" w14:textId="77777777" w:rsidR="00095411" w:rsidRPr="007348FD" w:rsidRDefault="00095411" w:rsidP="00591CBB">
            <w:pPr>
              <w:spacing w:after="160" w:line="259" w:lineRule="auto"/>
              <w:rPr>
                <w:rFonts w:ascii="Arial Narrow" w:hAnsi="Arial Narrow"/>
                <w:sz w:val="18"/>
                <w:szCs w:val="18"/>
              </w:rPr>
            </w:pPr>
          </w:p>
        </w:tc>
        <w:tc>
          <w:tcPr>
            <w:tcW w:w="460" w:type="pct"/>
          </w:tcPr>
          <w:p w14:paraId="51E979B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4EEB307"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456D5B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2251432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2289935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271" w:type="pct"/>
          </w:tcPr>
          <w:p w14:paraId="12E76E7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0</w:t>
            </w:r>
          </w:p>
        </w:tc>
        <w:tc>
          <w:tcPr>
            <w:tcW w:w="298" w:type="pct"/>
          </w:tcPr>
          <w:p w14:paraId="5384B11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0</w:t>
            </w:r>
          </w:p>
        </w:tc>
        <w:tc>
          <w:tcPr>
            <w:cnfStyle w:val="000010000000" w:firstRow="0" w:lastRow="0" w:firstColumn="0" w:lastColumn="0" w:oddVBand="1" w:evenVBand="0" w:oddHBand="0" w:evenHBand="0" w:firstRowFirstColumn="0" w:firstRowLastColumn="0" w:lastRowFirstColumn="0" w:lastRowLastColumn="0"/>
            <w:tcW w:w="197" w:type="pct"/>
          </w:tcPr>
          <w:p w14:paraId="248B1A4C" w14:textId="77777777" w:rsidR="00095411" w:rsidRPr="007348FD" w:rsidRDefault="00095411" w:rsidP="00591CBB">
            <w:pPr>
              <w:spacing w:after="160" w:line="259" w:lineRule="auto"/>
              <w:rPr>
                <w:rFonts w:ascii="Arial Narrow" w:hAnsi="Arial Narrow"/>
                <w:sz w:val="18"/>
                <w:szCs w:val="18"/>
              </w:rPr>
            </w:pPr>
          </w:p>
        </w:tc>
        <w:tc>
          <w:tcPr>
            <w:tcW w:w="273" w:type="pct"/>
          </w:tcPr>
          <w:p w14:paraId="077CA60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3F970BE" w14:textId="77777777" w:rsidR="00095411" w:rsidRPr="007348FD" w:rsidRDefault="00095411" w:rsidP="00591CBB">
            <w:pPr>
              <w:spacing w:after="160" w:line="259" w:lineRule="auto"/>
              <w:rPr>
                <w:rFonts w:ascii="Arial Narrow" w:hAnsi="Arial Narrow"/>
                <w:sz w:val="18"/>
                <w:szCs w:val="18"/>
              </w:rPr>
            </w:pPr>
          </w:p>
        </w:tc>
        <w:tc>
          <w:tcPr>
            <w:tcW w:w="283" w:type="pct"/>
          </w:tcPr>
          <w:p w14:paraId="236716F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4E8074C" w14:textId="77777777" w:rsidR="00095411" w:rsidRPr="007348FD" w:rsidRDefault="00095411" w:rsidP="00591CBB">
            <w:pPr>
              <w:spacing w:after="160" w:line="259" w:lineRule="auto"/>
              <w:rPr>
                <w:rFonts w:ascii="Arial Narrow" w:hAnsi="Arial Narrow"/>
                <w:sz w:val="18"/>
                <w:szCs w:val="18"/>
              </w:rPr>
            </w:pPr>
          </w:p>
        </w:tc>
        <w:tc>
          <w:tcPr>
            <w:tcW w:w="149" w:type="pct"/>
          </w:tcPr>
          <w:p w14:paraId="146CD01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D77E84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6C16070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2417F288" w14:textId="77777777" w:rsidR="00095411" w:rsidRPr="007348FD" w:rsidRDefault="00095411" w:rsidP="00591CBB">
            <w:pPr>
              <w:spacing w:after="160" w:line="259" w:lineRule="auto"/>
              <w:rPr>
                <w:rFonts w:ascii="Arial Narrow" w:hAnsi="Arial Narrow"/>
                <w:sz w:val="18"/>
                <w:szCs w:val="18"/>
              </w:rPr>
            </w:pPr>
          </w:p>
        </w:tc>
        <w:tc>
          <w:tcPr>
            <w:tcW w:w="280" w:type="pct"/>
          </w:tcPr>
          <w:p w14:paraId="1AFEC6E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222F67E0" w14:textId="77777777" w:rsidTr="00051F27">
        <w:trPr>
          <w:trHeight w:val="228"/>
        </w:trPr>
        <w:tc>
          <w:tcPr>
            <w:cnfStyle w:val="000010000000" w:firstRow="0" w:lastRow="0" w:firstColumn="0" w:lastColumn="0" w:oddVBand="1" w:evenVBand="0" w:oddHBand="0" w:evenHBand="0" w:firstRowFirstColumn="0" w:firstRowLastColumn="0" w:lastRowFirstColumn="0" w:lastRowLastColumn="0"/>
            <w:tcW w:w="432" w:type="pct"/>
          </w:tcPr>
          <w:p w14:paraId="3BE06F03" w14:textId="77777777" w:rsidR="00095411" w:rsidRPr="007348FD" w:rsidRDefault="00095411" w:rsidP="00591CBB">
            <w:pPr>
              <w:spacing w:after="160" w:line="259" w:lineRule="auto"/>
              <w:rPr>
                <w:rFonts w:ascii="Arial Narrow" w:hAnsi="Arial Narrow"/>
                <w:sz w:val="18"/>
                <w:szCs w:val="18"/>
              </w:rPr>
            </w:pPr>
          </w:p>
        </w:tc>
        <w:tc>
          <w:tcPr>
            <w:tcW w:w="460" w:type="pct"/>
          </w:tcPr>
          <w:p w14:paraId="2C0FA27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24. Policymakers use data and evidence on SRH to inform decision making related to policy and programming</w:t>
            </w:r>
          </w:p>
        </w:tc>
        <w:tc>
          <w:tcPr>
            <w:cnfStyle w:val="000010000000" w:firstRow="0" w:lastRow="0" w:firstColumn="0" w:lastColumn="0" w:oddVBand="1" w:evenVBand="0" w:oddHBand="0" w:evenHBand="0" w:firstRowFirstColumn="0" w:firstRowLastColumn="0" w:lastRowFirstColumn="0" w:lastRowLastColumn="0"/>
            <w:tcW w:w="371" w:type="pct"/>
          </w:tcPr>
          <w:p w14:paraId="6ED8FABC"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t>Yes</w:t>
            </w:r>
          </w:p>
        </w:tc>
        <w:tc>
          <w:tcPr>
            <w:tcW w:w="341" w:type="pct"/>
          </w:tcPr>
          <w:p w14:paraId="1517E50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52F7C96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50B9F238" w14:textId="68926349"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088E1C6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4EE5190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45FEDBF1" w14:textId="77777777" w:rsidR="00095411" w:rsidRPr="007348FD" w:rsidRDefault="00095411" w:rsidP="00591CBB">
            <w:pPr>
              <w:spacing w:after="160" w:line="259" w:lineRule="auto"/>
              <w:rPr>
                <w:rFonts w:ascii="Arial Narrow" w:hAnsi="Arial Narrow"/>
                <w:sz w:val="18"/>
                <w:szCs w:val="18"/>
              </w:rPr>
            </w:pPr>
          </w:p>
        </w:tc>
        <w:tc>
          <w:tcPr>
            <w:tcW w:w="273" w:type="pct"/>
          </w:tcPr>
          <w:p w14:paraId="5D488CA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349F123" w14:textId="77777777" w:rsidR="00095411" w:rsidRPr="007348FD" w:rsidRDefault="00095411" w:rsidP="00591CBB">
            <w:pPr>
              <w:spacing w:after="160" w:line="259" w:lineRule="auto"/>
              <w:rPr>
                <w:rFonts w:ascii="Arial Narrow" w:hAnsi="Arial Narrow"/>
                <w:sz w:val="18"/>
                <w:szCs w:val="18"/>
              </w:rPr>
            </w:pPr>
          </w:p>
        </w:tc>
        <w:tc>
          <w:tcPr>
            <w:tcW w:w="283" w:type="pct"/>
          </w:tcPr>
          <w:p w14:paraId="06B4A43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B0C4C96" w14:textId="77777777" w:rsidR="00095411" w:rsidRPr="007348FD" w:rsidRDefault="00095411" w:rsidP="00591CBB">
            <w:pPr>
              <w:spacing w:after="160" w:line="259" w:lineRule="auto"/>
              <w:rPr>
                <w:rFonts w:ascii="Arial Narrow" w:hAnsi="Arial Narrow"/>
                <w:sz w:val="18"/>
                <w:szCs w:val="18"/>
              </w:rPr>
            </w:pPr>
          </w:p>
        </w:tc>
        <w:tc>
          <w:tcPr>
            <w:tcW w:w="149" w:type="pct"/>
          </w:tcPr>
          <w:p w14:paraId="01E2ED5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9B7C3B8" w14:textId="77777777" w:rsidR="00095411" w:rsidRPr="007348FD" w:rsidRDefault="00095411" w:rsidP="00591CBB">
            <w:pPr>
              <w:spacing w:after="160" w:line="259" w:lineRule="auto"/>
              <w:rPr>
                <w:rFonts w:ascii="Arial Narrow" w:hAnsi="Arial Narrow"/>
                <w:sz w:val="18"/>
                <w:szCs w:val="18"/>
              </w:rPr>
            </w:pPr>
          </w:p>
        </w:tc>
        <w:tc>
          <w:tcPr>
            <w:tcW w:w="214" w:type="pct"/>
          </w:tcPr>
          <w:p w14:paraId="19DC74F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3980E42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04FFDD93" w14:textId="0F703E9E"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46255D16" w14:textId="77777777" w:rsidTr="00051F27">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432" w:type="pct"/>
          </w:tcPr>
          <w:p w14:paraId="0FB0B89F" w14:textId="77777777" w:rsidR="00095411" w:rsidRPr="007348FD" w:rsidRDefault="00095411" w:rsidP="00591CBB">
            <w:pPr>
              <w:spacing w:after="160" w:line="259" w:lineRule="auto"/>
              <w:rPr>
                <w:rFonts w:ascii="Arial Narrow" w:hAnsi="Arial Narrow"/>
                <w:sz w:val="18"/>
                <w:szCs w:val="18"/>
              </w:rPr>
            </w:pPr>
          </w:p>
        </w:tc>
        <w:tc>
          <w:tcPr>
            <w:tcW w:w="460" w:type="pct"/>
          </w:tcPr>
          <w:p w14:paraId="09A760B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536F63E"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891A29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661703E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1BFE4DC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05F9908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5229387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12692A3E" w14:textId="77777777" w:rsidR="00095411" w:rsidRPr="007348FD" w:rsidRDefault="00095411" w:rsidP="00591CBB">
            <w:pPr>
              <w:spacing w:after="160" w:line="259" w:lineRule="auto"/>
              <w:rPr>
                <w:rFonts w:ascii="Arial Narrow" w:hAnsi="Arial Narrow"/>
                <w:sz w:val="18"/>
                <w:szCs w:val="18"/>
              </w:rPr>
            </w:pPr>
          </w:p>
        </w:tc>
        <w:tc>
          <w:tcPr>
            <w:tcW w:w="273" w:type="pct"/>
          </w:tcPr>
          <w:p w14:paraId="678658A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803C720" w14:textId="77777777" w:rsidR="00095411" w:rsidRPr="007348FD" w:rsidRDefault="00095411" w:rsidP="00591CBB">
            <w:pPr>
              <w:spacing w:after="160" w:line="259" w:lineRule="auto"/>
              <w:rPr>
                <w:rFonts w:ascii="Arial Narrow" w:hAnsi="Arial Narrow"/>
                <w:sz w:val="18"/>
                <w:szCs w:val="18"/>
              </w:rPr>
            </w:pPr>
          </w:p>
        </w:tc>
        <w:tc>
          <w:tcPr>
            <w:tcW w:w="283" w:type="pct"/>
          </w:tcPr>
          <w:p w14:paraId="33FAE2E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ADF8E50" w14:textId="77777777" w:rsidR="00095411" w:rsidRPr="007348FD" w:rsidRDefault="00095411" w:rsidP="00591CBB">
            <w:pPr>
              <w:spacing w:after="160" w:line="259" w:lineRule="auto"/>
              <w:rPr>
                <w:rFonts w:ascii="Arial Narrow" w:hAnsi="Arial Narrow"/>
                <w:sz w:val="18"/>
                <w:szCs w:val="18"/>
              </w:rPr>
            </w:pPr>
          </w:p>
        </w:tc>
        <w:tc>
          <w:tcPr>
            <w:tcW w:w="149" w:type="pct"/>
          </w:tcPr>
          <w:p w14:paraId="2D63571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711313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499A3B1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ARP</w:t>
            </w:r>
          </w:p>
        </w:tc>
        <w:tc>
          <w:tcPr>
            <w:cnfStyle w:val="000010000000" w:firstRow="0" w:lastRow="0" w:firstColumn="0" w:lastColumn="0" w:oddVBand="1" w:evenVBand="0" w:oddHBand="0" w:evenHBand="0" w:firstRowFirstColumn="0" w:firstRowLastColumn="0" w:lastRowFirstColumn="0" w:lastRowLastColumn="0"/>
            <w:tcW w:w="245" w:type="pct"/>
          </w:tcPr>
          <w:p w14:paraId="3CD8A91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ARP</w:t>
            </w:r>
          </w:p>
        </w:tc>
        <w:tc>
          <w:tcPr>
            <w:tcW w:w="280" w:type="pct"/>
          </w:tcPr>
          <w:p w14:paraId="554A56D7" w14:textId="3BDD6A9F"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ARP</w:t>
            </w:r>
          </w:p>
        </w:tc>
      </w:tr>
      <w:tr w:rsidR="00637BF8" w:rsidRPr="00591CBB" w14:paraId="14531397"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2270EDDC" w14:textId="77777777" w:rsidR="00095411" w:rsidRPr="007348FD" w:rsidRDefault="00095411" w:rsidP="00591CBB">
            <w:pPr>
              <w:spacing w:after="160" w:line="259" w:lineRule="auto"/>
              <w:rPr>
                <w:rFonts w:ascii="Arial Narrow" w:hAnsi="Arial Narrow"/>
                <w:sz w:val="18"/>
                <w:szCs w:val="18"/>
              </w:rPr>
            </w:pPr>
          </w:p>
        </w:tc>
        <w:tc>
          <w:tcPr>
            <w:tcW w:w="460" w:type="pct"/>
          </w:tcPr>
          <w:p w14:paraId="6161D4B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12AF28A"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7A73B1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4997FAC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15940DCD" w14:textId="29FF7E2B"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6BE221E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5D3A754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26B1013A" w14:textId="77777777" w:rsidR="00095411" w:rsidRPr="007348FD" w:rsidRDefault="00095411" w:rsidP="00591CBB">
            <w:pPr>
              <w:spacing w:after="160" w:line="259" w:lineRule="auto"/>
              <w:rPr>
                <w:rFonts w:ascii="Arial Narrow" w:hAnsi="Arial Narrow"/>
                <w:sz w:val="18"/>
                <w:szCs w:val="18"/>
              </w:rPr>
            </w:pPr>
          </w:p>
        </w:tc>
        <w:tc>
          <w:tcPr>
            <w:tcW w:w="273" w:type="pct"/>
          </w:tcPr>
          <w:p w14:paraId="6F88D3E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F3629D8" w14:textId="77777777" w:rsidR="00095411" w:rsidRPr="007348FD" w:rsidRDefault="00095411" w:rsidP="00591CBB">
            <w:pPr>
              <w:spacing w:after="160" w:line="259" w:lineRule="auto"/>
              <w:rPr>
                <w:rFonts w:ascii="Arial Narrow" w:hAnsi="Arial Narrow"/>
                <w:sz w:val="18"/>
                <w:szCs w:val="18"/>
              </w:rPr>
            </w:pPr>
          </w:p>
        </w:tc>
        <w:tc>
          <w:tcPr>
            <w:tcW w:w="283" w:type="pct"/>
          </w:tcPr>
          <w:p w14:paraId="0BF0371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97E04F6" w14:textId="77777777" w:rsidR="00095411" w:rsidRPr="007348FD" w:rsidRDefault="00095411" w:rsidP="00591CBB">
            <w:pPr>
              <w:spacing w:after="160" w:line="259" w:lineRule="auto"/>
              <w:rPr>
                <w:rFonts w:ascii="Arial Narrow" w:hAnsi="Arial Narrow"/>
                <w:sz w:val="18"/>
                <w:szCs w:val="18"/>
              </w:rPr>
            </w:pPr>
          </w:p>
        </w:tc>
        <w:tc>
          <w:tcPr>
            <w:tcW w:w="149" w:type="pct"/>
          </w:tcPr>
          <w:p w14:paraId="12910D2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61B2B5C9" w14:textId="77777777" w:rsidR="00095411" w:rsidRPr="007348FD" w:rsidRDefault="00095411" w:rsidP="00591CBB">
            <w:pPr>
              <w:spacing w:after="160" w:line="259" w:lineRule="auto"/>
              <w:rPr>
                <w:rFonts w:ascii="Arial Narrow" w:hAnsi="Arial Narrow"/>
                <w:sz w:val="18"/>
                <w:szCs w:val="18"/>
              </w:rPr>
            </w:pPr>
          </w:p>
        </w:tc>
        <w:tc>
          <w:tcPr>
            <w:tcW w:w="214" w:type="pct"/>
          </w:tcPr>
          <w:p w14:paraId="1FF4BC5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0AE9DA5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2E2B4600" w14:textId="7B01611D"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0AD6C632"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5223527C" w14:textId="77777777" w:rsidR="00095411" w:rsidRPr="007348FD" w:rsidRDefault="00095411" w:rsidP="00591CBB">
            <w:pPr>
              <w:spacing w:after="160" w:line="259" w:lineRule="auto"/>
              <w:rPr>
                <w:rFonts w:ascii="Arial Narrow" w:hAnsi="Arial Narrow"/>
                <w:sz w:val="18"/>
                <w:szCs w:val="18"/>
              </w:rPr>
            </w:pPr>
          </w:p>
        </w:tc>
        <w:tc>
          <w:tcPr>
            <w:tcW w:w="460" w:type="pct"/>
          </w:tcPr>
          <w:p w14:paraId="3020359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EB4B3D3"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5639AE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693AE71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13C110C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70ADD34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578EFF9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23F12C7D" w14:textId="77777777" w:rsidR="00095411" w:rsidRPr="007348FD" w:rsidRDefault="00095411" w:rsidP="00591CBB">
            <w:pPr>
              <w:spacing w:after="160" w:line="259" w:lineRule="auto"/>
              <w:rPr>
                <w:rFonts w:ascii="Arial Narrow" w:hAnsi="Arial Narrow"/>
                <w:sz w:val="18"/>
                <w:szCs w:val="18"/>
              </w:rPr>
            </w:pPr>
          </w:p>
        </w:tc>
        <w:tc>
          <w:tcPr>
            <w:tcW w:w="273" w:type="pct"/>
          </w:tcPr>
          <w:p w14:paraId="764473F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B21287D" w14:textId="77777777" w:rsidR="00095411" w:rsidRPr="007348FD" w:rsidRDefault="00095411" w:rsidP="00591CBB">
            <w:pPr>
              <w:spacing w:after="160" w:line="259" w:lineRule="auto"/>
              <w:rPr>
                <w:rFonts w:ascii="Arial Narrow" w:hAnsi="Arial Narrow"/>
                <w:sz w:val="18"/>
                <w:szCs w:val="18"/>
              </w:rPr>
            </w:pPr>
          </w:p>
        </w:tc>
        <w:tc>
          <w:tcPr>
            <w:tcW w:w="283" w:type="pct"/>
          </w:tcPr>
          <w:p w14:paraId="021B1CF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5327270" w14:textId="77777777" w:rsidR="00095411" w:rsidRPr="007348FD" w:rsidRDefault="00095411" w:rsidP="00591CBB">
            <w:pPr>
              <w:spacing w:after="160" w:line="259" w:lineRule="auto"/>
              <w:rPr>
                <w:rFonts w:ascii="Arial Narrow" w:hAnsi="Arial Narrow"/>
                <w:sz w:val="18"/>
                <w:szCs w:val="18"/>
              </w:rPr>
            </w:pPr>
          </w:p>
        </w:tc>
        <w:tc>
          <w:tcPr>
            <w:tcW w:w="149" w:type="pct"/>
          </w:tcPr>
          <w:p w14:paraId="5B5D1C9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E1DA40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722B0AC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ARP</w:t>
            </w:r>
          </w:p>
        </w:tc>
        <w:tc>
          <w:tcPr>
            <w:cnfStyle w:val="000010000000" w:firstRow="0" w:lastRow="0" w:firstColumn="0" w:lastColumn="0" w:oddVBand="1" w:evenVBand="0" w:oddHBand="0" w:evenHBand="0" w:firstRowFirstColumn="0" w:firstRowLastColumn="0" w:lastRowFirstColumn="0" w:lastRowLastColumn="0"/>
            <w:tcW w:w="245" w:type="pct"/>
          </w:tcPr>
          <w:p w14:paraId="7848FA0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ARP</w:t>
            </w:r>
          </w:p>
        </w:tc>
        <w:tc>
          <w:tcPr>
            <w:tcW w:w="280" w:type="pct"/>
          </w:tcPr>
          <w:p w14:paraId="42CA1F62" w14:textId="5A960995"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ARP</w:t>
            </w:r>
          </w:p>
        </w:tc>
      </w:tr>
      <w:tr w:rsidR="00637BF8" w:rsidRPr="00591CBB" w14:paraId="74414133"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6C7E1885" w14:textId="77777777" w:rsidR="00095411" w:rsidRPr="007348FD" w:rsidRDefault="00095411" w:rsidP="00591CBB">
            <w:pPr>
              <w:spacing w:after="160" w:line="259" w:lineRule="auto"/>
              <w:rPr>
                <w:rFonts w:ascii="Arial Narrow" w:hAnsi="Arial Narrow"/>
                <w:sz w:val="18"/>
                <w:szCs w:val="18"/>
              </w:rPr>
            </w:pPr>
          </w:p>
        </w:tc>
        <w:tc>
          <w:tcPr>
            <w:tcW w:w="460" w:type="pct"/>
          </w:tcPr>
          <w:p w14:paraId="3C7F948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5722D1B"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839166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569B2DF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111D9D6D" w14:textId="4F219698"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382D2BE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37FAE7F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2FA17912" w14:textId="77777777" w:rsidR="00095411" w:rsidRPr="007348FD" w:rsidRDefault="00095411" w:rsidP="00591CBB">
            <w:pPr>
              <w:spacing w:after="160" w:line="259" w:lineRule="auto"/>
              <w:rPr>
                <w:rFonts w:ascii="Arial Narrow" w:hAnsi="Arial Narrow"/>
                <w:sz w:val="18"/>
                <w:szCs w:val="18"/>
              </w:rPr>
            </w:pPr>
          </w:p>
        </w:tc>
        <w:tc>
          <w:tcPr>
            <w:tcW w:w="273" w:type="pct"/>
          </w:tcPr>
          <w:p w14:paraId="60AE83E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207F384" w14:textId="77777777" w:rsidR="00095411" w:rsidRPr="007348FD" w:rsidRDefault="00095411" w:rsidP="00591CBB">
            <w:pPr>
              <w:spacing w:after="160" w:line="259" w:lineRule="auto"/>
              <w:rPr>
                <w:rFonts w:ascii="Arial Narrow" w:hAnsi="Arial Narrow"/>
                <w:sz w:val="18"/>
                <w:szCs w:val="18"/>
              </w:rPr>
            </w:pPr>
          </w:p>
        </w:tc>
        <w:tc>
          <w:tcPr>
            <w:tcW w:w="283" w:type="pct"/>
          </w:tcPr>
          <w:p w14:paraId="2615CF5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2DBF3164" w14:textId="77777777" w:rsidR="00095411" w:rsidRPr="007348FD" w:rsidRDefault="00095411" w:rsidP="00591CBB">
            <w:pPr>
              <w:spacing w:after="160" w:line="259" w:lineRule="auto"/>
              <w:rPr>
                <w:rFonts w:ascii="Arial Narrow" w:hAnsi="Arial Narrow"/>
                <w:sz w:val="18"/>
                <w:szCs w:val="18"/>
              </w:rPr>
            </w:pPr>
          </w:p>
        </w:tc>
        <w:tc>
          <w:tcPr>
            <w:tcW w:w="149" w:type="pct"/>
          </w:tcPr>
          <w:p w14:paraId="1AD6907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46FDAA0" w14:textId="77777777" w:rsidR="00095411" w:rsidRPr="007348FD" w:rsidRDefault="00095411" w:rsidP="00591CBB">
            <w:pPr>
              <w:spacing w:after="160" w:line="259" w:lineRule="auto"/>
              <w:rPr>
                <w:rFonts w:ascii="Arial Narrow" w:hAnsi="Arial Narrow"/>
                <w:sz w:val="18"/>
                <w:szCs w:val="18"/>
              </w:rPr>
            </w:pPr>
          </w:p>
        </w:tc>
        <w:tc>
          <w:tcPr>
            <w:tcW w:w="214" w:type="pct"/>
          </w:tcPr>
          <w:p w14:paraId="4222FFF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53C2B0B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53DEEA2C" w14:textId="73160A28"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191035E3"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066F40D6" w14:textId="77777777" w:rsidR="00095411" w:rsidRPr="007348FD" w:rsidRDefault="00095411" w:rsidP="00591CBB">
            <w:pPr>
              <w:spacing w:after="160" w:line="259" w:lineRule="auto"/>
              <w:rPr>
                <w:rFonts w:ascii="Arial Narrow" w:hAnsi="Arial Narrow"/>
                <w:sz w:val="18"/>
                <w:szCs w:val="18"/>
              </w:rPr>
            </w:pPr>
          </w:p>
        </w:tc>
        <w:tc>
          <w:tcPr>
            <w:tcW w:w="460" w:type="pct"/>
          </w:tcPr>
          <w:p w14:paraId="7516F63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CF120E2"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98743D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75432CE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2D1DAB6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71" w:type="pct"/>
          </w:tcPr>
          <w:p w14:paraId="6645450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0A767A6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7E43BA14" w14:textId="77777777" w:rsidR="00095411" w:rsidRPr="007348FD" w:rsidRDefault="00095411" w:rsidP="00591CBB">
            <w:pPr>
              <w:spacing w:after="160" w:line="259" w:lineRule="auto"/>
              <w:rPr>
                <w:rFonts w:ascii="Arial Narrow" w:hAnsi="Arial Narrow"/>
                <w:sz w:val="18"/>
                <w:szCs w:val="18"/>
              </w:rPr>
            </w:pPr>
          </w:p>
        </w:tc>
        <w:tc>
          <w:tcPr>
            <w:tcW w:w="273" w:type="pct"/>
          </w:tcPr>
          <w:p w14:paraId="0746959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9E5934E" w14:textId="77777777" w:rsidR="00095411" w:rsidRPr="007348FD" w:rsidRDefault="00095411" w:rsidP="00591CBB">
            <w:pPr>
              <w:spacing w:after="160" w:line="259" w:lineRule="auto"/>
              <w:rPr>
                <w:rFonts w:ascii="Arial Narrow" w:hAnsi="Arial Narrow"/>
                <w:sz w:val="18"/>
                <w:szCs w:val="18"/>
              </w:rPr>
            </w:pPr>
          </w:p>
        </w:tc>
        <w:tc>
          <w:tcPr>
            <w:tcW w:w="283" w:type="pct"/>
          </w:tcPr>
          <w:p w14:paraId="3750DBD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40DE1E1" w14:textId="77777777" w:rsidR="00095411" w:rsidRPr="007348FD" w:rsidRDefault="00095411" w:rsidP="00591CBB">
            <w:pPr>
              <w:spacing w:after="160" w:line="259" w:lineRule="auto"/>
              <w:rPr>
                <w:rFonts w:ascii="Arial Narrow" w:hAnsi="Arial Narrow"/>
                <w:sz w:val="18"/>
                <w:szCs w:val="18"/>
              </w:rPr>
            </w:pPr>
          </w:p>
        </w:tc>
        <w:tc>
          <w:tcPr>
            <w:tcW w:w="149" w:type="pct"/>
          </w:tcPr>
          <w:p w14:paraId="139F3F5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F4ECFB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6D828B4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ARP</w:t>
            </w:r>
          </w:p>
        </w:tc>
        <w:tc>
          <w:tcPr>
            <w:cnfStyle w:val="000010000000" w:firstRow="0" w:lastRow="0" w:firstColumn="0" w:lastColumn="0" w:oddVBand="1" w:evenVBand="0" w:oddHBand="0" w:evenHBand="0" w:firstRowFirstColumn="0" w:firstRowLastColumn="0" w:lastRowFirstColumn="0" w:lastRowLastColumn="0"/>
            <w:tcW w:w="245" w:type="pct"/>
          </w:tcPr>
          <w:p w14:paraId="4425CB5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ARP</w:t>
            </w:r>
          </w:p>
        </w:tc>
        <w:tc>
          <w:tcPr>
            <w:tcW w:w="280" w:type="pct"/>
          </w:tcPr>
          <w:p w14:paraId="57B5ECB8" w14:textId="31604A3D"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ARP</w:t>
            </w:r>
          </w:p>
        </w:tc>
      </w:tr>
      <w:tr w:rsidR="00637BF8" w:rsidRPr="00591CBB" w14:paraId="47C610F8"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1DEFFF3D" w14:textId="77777777" w:rsidR="00095411" w:rsidRPr="007348FD" w:rsidRDefault="00095411" w:rsidP="00591CBB">
            <w:pPr>
              <w:spacing w:after="160" w:line="259" w:lineRule="auto"/>
              <w:rPr>
                <w:rFonts w:ascii="Arial Narrow" w:hAnsi="Arial Narrow"/>
                <w:sz w:val="18"/>
                <w:szCs w:val="18"/>
              </w:rPr>
            </w:pPr>
          </w:p>
        </w:tc>
        <w:tc>
          <w:tcPr>
            <w:tcW w:w="460" w:type="pct"/>
          </w:tcPr>
          <w:p w14:paraId="1B1F7C5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1F2ADEA"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606B15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6E219F7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79CE2D72" w14:textId="2876BC4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75B25C5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568D14B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7D5FFF8D" w14:textId="77777777" w:rsidR="00095411" w:rsidRPr="007348FD" w:rsidRDefault="00095411" w:rsidP="00591CBB">
            <w:pPr>
              <w:spacing w:after="160" w:line="259" w:lineRule="auto"/>
              <w:rPr>
                <w:rFonts w:ascii="Arial Narrow" w:hAnsi="Arial Narrow"/>
                <w:sz w:val="18"/>
                <w:szCs w:val="18"/>
              </w:rPr>
            </w:pPr>
          </w:p>
        </w:tc>
        <w:tc>
          <w:tcPr>
            <w:tcW w:w="273" w:type="pct"/>
          </w:tcPr>
          <w:p w14:paraId="66DBACF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487A3E7" w14:textId="77777777" w:rsidR="00095411" w:rsidRPr="007348FD" w:rsidRDefault="00095411" w:rsidP="00591CBB">
            <w:pPr>
              <w:spacing w:after="160" w:line="259" w:lineRule="auto"/>
              <w:rPr>
                <w:rFonts w:ascii="Arial Narrow" w:hAnsi="Arial Narrow"/>
                <w:sz w:val="18"/>
                <w:szCs w:val="18"/>
              </w:rPr>
            </w:pPr>
          </w:p>
        </w:tc>
        <w:tc>
          <w:tcPr>
            <w:tcW w:w="283" w:type="pct"/>
          </w:tcPr>
          <w:p w14:paraId="32A7876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002FE0B" w14:textId="77777777" w:rsidR="00095411" w:rsidRPr="007348FD" w:rsidRDefault="00095411" w:rsidP="00591CBB">
            <w:pPr>
              <w:spacing w:after="160" w:line="259" w:lineRule="auto"/>
              <w:rPr>
                <w:rFonts w:ascii="Arial Narrow" w:hAnsi="Arial Narrow"/>
                <w:sz w:val="18"/>
                <w:szCs w:val="18"/>
              </w:rPr>
            </w:pPr>
          </w:p>
        </w:tc>
        <w:tc>
          <w:tcPr>
            <w:tcW w:w="149" w:type="pct"/>
          </w:tcPr>
          <w:p w14:paraId="6DD8D49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260BAF0" w14:textId="77777777" w:rsidR="00095411" w:rsidRPr="007348FD" w:rsidRDefault="00095411" w:rsidP="00591CBB">
            <w:pPr>
              <w:spacing w:after="160" w:line="259" w:lineRule="auto"/>
              <w:rPr>
                <w:rFonts w:ascii="Arial Narrow" w:hAnsi="Arial Narrow"/>
                <w:sz w:val="18"/>
                <w:szCs w:val="18"/>
              </w:rPr>
            </w:pPr>
          </w:p>
        </w:tc>
        <w:tc>
          <w:tcPr>
            <w:tcW w:w="214" w:type="pct"/>
          </w:tcPr>
          <w:p w14:paraId="43F05C6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45" w:type="pct"/>
          </w:tcPr>
          <w:p w14:paraId="7716E09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3AF90759" w14:textId="1D735CA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454F45C3"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1485CFD1" w14:textId="77777777" w:rsidR="00095411" w:rsidRPr="007348FD" w:rsidRDefault="00095411" w:rsidP="00591CBB">
            <w:pPr>
              <w:spacing w:after="160" w:line="259" w:lineRule="auto"/>
              <w:rPr>
                <w:rFonts w:ascii="Arial Narrow" w:hAnsi="Arial Narrow"/>
                <w:sz w:val="18"/>
                <w:szCs w:val="18"/>
              </w:rPr>
            </w:pPr>
          </w:p>
        </w:tc>
        <w:tc>
          <w:tcPr>
            <w:tcW w:w="460" w:type="pct"/>
          </w:tcPr>
          <w:p w14:paraId="6C82309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98FA68A"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6F4DC4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2AB2F84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2EEB215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71" w:type="pct"/>
          </w:tcPr>
          <w:p w14:paraId="0D6B023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5D41ACC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3B8D7D12" w14:textId="77777777" w:rsidR="00095411" w:rsidRPr="007348FD" w:rsidRDefault="00095411" w:rsidP="00591CBB">
            <w:pPr>
              <w:spacing w:after="160" w:line="259" w:lineRule="auto"/>
              <w:rPr>
                <w:rFonts w:ascii="Arial Narrow" w:hAnsi="Arial Narrow"/>
                <w:sz w:val="18"/>
                <w:szCs w:val="18"/>
              </w:rPr>
            </w:pPr>
          </w:p>
        </w:tc>
        <w:tc>
          <w:tcPr>
            <w:tcW w:w="273" w:type="pct"/>
          </w:tcPr>
          <w:p w14:paraId="3E03F94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97ED530" w14:textId="77777777" w:rsidR="00095411" w:rsidRPr="007348FD" w:rsidRDefault="00095411" w:rsidP="00591CBB">
            <w:pPr>
              <w:spacing w:after="160" w:line="259" w:lineRule="auto"/>
              <w:rPr>
                <w:rFonts w:ascii="Arial Narrow" w:hAnsi="Arial Narrow"/>
                <w:sz w:val="18"/>
                <w:szCs w:val="18"/>
              </w:rPr>
            </w:pPr>
          </w:p>
        </w:tc>
        <w:tc>
          <w:tcPr>
            <w:tcW w:w="283" w:type="pct"/>
          </w:tcPr>
          <w:p w14:paraId="51C5555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A68190B" w14:textId="77777777" w:rsidR="00095411" w:rsidRPr="007348FD" w:rsidRDefault="00095411" w:rsidP="00591CBB">
            <w:pPr>
              <w:spacing w:after="160" w:line="259" w:lineRule="auto"/>
              <w:rPr>
                <w:rFonts w:ascii="Arial Narrow" w:hAnsi="Arial Narrow"/>
                <w:sz w:val="18"/>
                <w:szCs w:val="18"/>
              </w:rPr>
            </w:pPr>
          </w:p>
        </w:tc>
        <w:tc>
          <w:tcPr>
            <w:tcW w:w="149" w:type="pct"/>
          </w:tcPr>
          <w:p w14:paraId="2695691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CECF2F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3930D6C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ARP</w:t>
            </w:r>
          </w:p>
        </w:tc>
        <w:tc>
          <w:tcPr>
            <w:cnfStyle w:val="000010000000" w:firstRow="0" w:lastRow="0" w:firstColumn="0" w:lastColumn="0" w:oddVBand="1" w:evenVBand="0" w:oddHBand="0" w:evenHBand="0" w:firstRowFirstColumn="0" w:firstRowLastColumn="0" w:lastRowFirstColumn="0" w:lastRowLastColumn="0"/>
            <w:tcW w:w="245" w:type="pct"/>
          </w:tcPr>
          <w:p w14:paraId="21AB5D5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ARP</w:t>
            </w:r>
          </w:p>
        </w:tc>
        <w:tc>
          <w:tcPr>
            <w:tcW w:w="280" w:type="pct"/>
          </w:tcPr>
          <w:p w14:paraId="3809516A" w14:textId="6650F2D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ARP</w:t>
            </w:r>
          </w:p>
        </w:tc>
      </w:tr>
      <w:tr w:rsidR="00637BF8" w:rsidRPr="00591CBB" w14:paraId="769CF7E9"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0D3416F2" w14:textId="77777777" w:rsidR="00095411" w:rsidRPr="007348FD" w:rsidRDefault="00095411" w:rsidP="00591CBB">
            <w:pPr>
              <w:spacing w:after="160" w:line="259" w:lineRule="auto"/>
              <w:rPr>
                <w:rFonts w:ascii="Arial Narrow" w:hAnsi="Arial Narrow"/>
                <w:sz w:val="18"/>
                <w:szCs w:val="18"/>
              </w:rPr>
            </w:pPr>
          </w:p>
        </w:tc>
        <w:tc>
          <w:tcPr>
            <w:tcW w:w="460" w:type="pct"/>
          </w:tcPr>
          <w:p w14:paraId="2260F1D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C2BB513"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3CE9B8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121B997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18316D2D" w14:textId="1B39C3DC"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3B3616B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98" w:type="pct"/>
          </w:tcPr>
          <w:p w14:paraId="25131DC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69699828" w14:textId="77777777" w:rsidR="00095411" w:rsidRPr="007348FD" w:rsidRDefault="00095411" w:rsidP="00591CBB">
            <w:pPr>
              <w:spacing w:after="160" w:line="259" w:lineRule="auto"/>
              <w:rPr>
                <w:rFonts w:ascii="Arial Narrow" w:hAnsi="Arial Narrow"/>
                <w:sz w:val="18"/>
                <w:szCs w:val="18"/>
              </w:rPr>
            </w:pPr>
          </w:p>
        </w:tc>
        <w:tc>
          <w:tcPr>
            <w:tcW w:w="273" w:type="pct"/>
          </w:tcPr>
          <w:p w14:paraId="12FF19F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F93CDA1" w14:textId="77777777" w:rsidR="00095411" w:rsidRPr="007348FD" w:rsidRDefault="00095411" w:rsidP="00591CBB">
            <w:pPr>
              <w:spacing w:after="160" w:line="259" w:lineRule="auto"/>
              <w:rPr>
                <w:rFonts w:ascii="Arial Narrow" w:hAnsi="Arial Narrow"/>
                <w:sz w:val="18"/>
                <w:szCs w:val="18"/>
              </w:rPr>
            </w:pPr>
          </w:p>
        </w:tc>
        <w:tc>
          <w:tcPr>
            <w:tcW w:w="283" w:type="pct"/>
          </w:tcPr>
          <w:p w14:paraId="44447C7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267DF6A" w14:textId="77777777" w:rsidR="00095411" w:rsidRPr="007348FD" w:rsidRDefault="00095411" w:rsidP="00591CBB">
            <w:pPr>
              <w:spacing w:after="160" w:line="259" w:lineRule="auto"/>
              <w:rPr>
                <w:rFonts w:ascii="Arial Narrow" w:hAnsi="Arial Narrow"/>
                <w:sz w:val="18"/>
                <w:szCs w:val="18"/>
              </w:rPr>
            </w:pPr>
          </w:p>
        </w:tc>
        <w:tc>
          <w:tcPr>
            <w:tcW w:w="149" w:type="pct"/>
          </w:tcPr>
          <w:p w14:paraId="35F2947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63754FB" w14:textId="77777777" w:rsidR="00095411" w:rsidRPr="007348FD" w:rsidRDefault="00095411" w:rsidP="00591CBB">
            <w:pPr>
              <w:spacing w:after="160" w:line="259" w:lineRule="auto"/>
              <w:rPr>
                <w:rFonts w:ascii="Arial Narrow" w:hAnsi="Arial Narrow"/>
                <w:sz w:val="18"/>
                <w:szCs w:val="18"/>
              </w:rPr>
            </w:pPr>
          </w:p>
        </w:tc>
        <w:tc>
          <w:tcPr>
            <w:tcW w:w="214" w:type="pct"/>
          </w:tcPr>
          <w:p w14:paraId="03C3E54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45" w:type="pct"/>
          </w:tcPr>
          <w:p w14:paraId="0D404C5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076D8E8F" w14:textId="0E8A5DDF"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176653B0"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7EDFAFBC" w14:textId="77777777" w:rsidR="00095411" w:rsidRPr="007348FD" w:rsidRDefault="00095411" w:rsidP="00591CBB">
            <w:pPr>
              <w:spacing w:after="160" w:line="259" w:lineRule="auto"/>
              <w:rPr>
                <w:rFonts w:ascii="Arial Narrow" w:hAnsi="Arial Narrow"/>
                <w:sz w:val="18"/>
                <w:szCs w:val="18"/>
              </w:rPr>
            </w:pPr>
          </w:p>
        </w:tc>
        <w:tc>
          <w:tcPr>
            <w:tcW w:w="460" w:type="pct"/>
          </w:tcPr>
          <w:p w14:paraId="6665B68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71772C4"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99AA55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0CC6CAA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4159821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71" w:type="pct"/>
          </w:tcPr>
          <w:p w14:paraId="21E1B91A"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98" w:type="pct"/>
          </w:tcPr>
          <w:p w14:paraId="6B86EC1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321D144A" w14:textId="77777777" w:rsidR="00095411" w:rsidRPr="007348FD" w:rsidRDefault="00095411" w:rsidP="00591CBB">
            <w:pPr>
              <w:spacing w:after="160" w:line="259" w:lineRule="auto"/>
              <w:rPr>
                <w:rFonts w:ascii="Arial Narrow" w:hAnsi="Arial Narrow"/>
                <w:sz w:val="18"/>
                <w:szCs w:val="18"/>
              </w:rPr>
            </w:pPr>
          </w:p>
        </w:tc>
        <w:tc>
          <w:tcPr>
            <w:tcW w:w="273" w:type="pct"/>
          </w:tcPr>
          <w:p w14:paraId="20A0292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B58C2CC" w14:textId="77777777" w:rsidR="00095411" w:rsidRPr="007348FD" w:rsidRDefault="00095411" w:rsidP="00591CBB">
            <w:pPr>
              <w:spacing w:after="160" w:line="259" w:lineRule="auto"/>
              <w:rPr>
                <w:rFonts w:ascii="Arial Narrow" w:hAnsi="Arial Narrow"/>
                <w:sz w:val="18"/>
                <w:szCs w:val="18"/>
              </w:rPr>
            </w:pPr>
          </w:p>
        </w:tc>
        <w:tc>
          <w:tcPr>
            <w:tcW w:w="283" w:type="pct"/>
          </w:tcPr>
          <w:p w14:paraId="5735D3F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47118BFD" w14:textId="77777777" w:rsidR="00095411" w:rsidRPr="007348FD" w:rsidRDefault="00095411" w:rsidP="00591CBB">
            <w:pPr>
              <w:spacing w:after="160" w:line="259" w:lineRule="auto"/>
              <w:rPr>
                <w:rFonts w:ascii="Arial Narrow" w:hAnsi="Arial Narrow"/>
                <w:sz w:val="18"/>
                <w:szCs w:val="18"/>
              </w:rPr>
            </w:pPr>
          </w:p>
        </w:tc>
        <w:tc>
          <w:tcPr>
            <w:tcW w:w="149" w:type="pct"/>
          </w:tcPr>
          <w:p w14:paraId="073439E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99E60A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4BEFE68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ARP</w:t>
            </w:r>
          </w:p>
        </w:tc>
        <w:tc>
          <w:tcPr>
            <w:cnfStyle w:val="000010000000" w:firstRow="0" w:lastRow="0" w:firstColumn="0" w:lastColumn="0" w:oddVBand="1" w:evenVBand="0" w:oddHBand="0" w:evenHBand="0" w:firstRowFirstColumn="0" w:firstRowLastColumn="0" w:lastRowFirstColumn="0" w:lastRowLastColumn="0"/>
            <w:tcW w:w="245" w:type="pct"/>
          </w:tcPr>
          <w:p w14:paraId="4D6B918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ARP</w:t>
            </w:r>
          </w:p>
        </w:tc>
        <w:tc>
          <w:tcPr>
            <w:tcW w:w="280" w:type="pct"/>
          </w:tcPr>
          <w:p w14:paraId="31DBCFE8" w14:textId="759C07E6"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ARP</w:t>
            </w:r>
          </w:p>
        </w:tc>
      </w:tr>
      <w:tr w:rsidR="00637BF8" w:rsidRPr="00591CBB" w14:paraId="5BA45654" w14:textId="77777777" w:rsidTr="00051F27">
        <w:trPr>
          <w:trHeight w:val="228"/>
        </w:trPr>
        <w:tc>
          <w:tcPr>
            <w:cnfStyle w:val="000010000000" w:firstRow="0" w:lastRow="0" w:firstColumn="0" w:lastColumn="0" w:oddVBand="1" w:evenVBand="0" w:oddHBand="0" w:evenHBand="0" w:firstRowFirstColumn="0" w:firstRowLastColumn="0" w:lastRowFirstColumn="0" w:lastRowLastColumn="0"/>
            <w:tcW w:w="432" w:type="pct"/>
          </w:tcPr>
          <w:p w14:paraId="4BA54AF9" w14:textId="77777777" w:rsidR="00095411" w:rsidRPr="007348FD" w:rsidRDefault="00095411" w:rsidP="00591CBB">
            <w:pPr>
              <w:spacing w:after="160" w:line="259" w:lineRule="auto"/>
              <w:rPr>
                <w:rFonts w:ascii="Arial Narrow" w:hAnsi="Arial Narrow"/>
                <w:sz w:val="18"/>
                <w:szCs w:val="18"/>
              </w:rPr>
            </w:pPr>
          </w:p>
        </w:tc>
        <w:tc>
          <w:tcPr>
            <w:tcW w:w="460" w:type="pct"/>
          </w:tcPr>
          <w:p w14:paraId="1F3A099A"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08F15F1"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C496C7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666AD3C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07D391CA" w14:textId="76F3149D"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5A8CA37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6067BEB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070CF61C" w14:textId="77777777" w:rsidR="00095411" w:rsidRPr="007348FD" w:rsidRDefault="00095411" w:rsidP="00591CBB">
            <w:pPr>
              <w:spacing w:after="160" w:line="259" w:lineRule="auto"/>
              <w:rPr>
                <w:rFonts w:ascii="Arial Narrow" w:hAnsi="Arial Narrow"/>
                <w:sz w:val="18"/>
                <w:szCs w:val="18"/>
              </w:rPr>
            </w:pPr>
          </w:p>
        </w:tc>
        <w:tc>
          <w:tcPr>
            <w:tcW w:w="273" w:type="pct"/>
          </w:tcPr>
          <w:p w14:paraId="174A526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9484F81" w14:textId="77777777" w:rsidR="00095411" w:rsidRPr="007348FD" w:rsidRDefault="00095411" w:rsidP="00591CBB">
            <w:pPr>
              <w:spacing w:after="160" w:line="259" w:lineRule="auto"/>
              <w:rPr>
                <w:rFonts w:ascii="Arial Narrow" w:hAnsi="Arial Narrow"/>
                <w:sz w:val="18"/>
                <w:szCs w:val="18"/>
              </w:rPr>
            </w:pPr>
          </w:p>
        </w:tc>
        <w:tc>
          <w:tcPr>
            <w:tcW w:w="283" w:type="pct"/>
          </w:tcPr>
          <w:p w14:paraId="061EB4A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305F5C9" w14:textId="77777777" w:rsidR="00095411" w:rsidRPr="007348FD" w:rsidRDefault="00095411" w:rsidP="00591CBB">
            <w:pPr>
              <w:spacing w:after="160" w:line="259" w:lineRule="auto"/>
              <w:rPr>
                <w:rFonts w:ascii="Arial Narrow" w:hAnsi="Arial Narrow"/>
                <w:sz w:val="18"/>
                <w:szCs w:val="18"/>
              </w:rPr>
            </w:pPr>
          </w:p>
        </w:tc>
        <w:tc>
          <w:tcPr>
            <w:tcW w:w="149" w:type="pct"/>
          </w:tcPr>
          <w:p w14:paraId="76B30EE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E4FFA41" w14:textId="77777777" w:rsidR="00095411" w:rsidRPr="007348FD" w:rsidRDefault="00095411" w:rsidP="00591CBB">
            <w:pPr>
              <w:spacing w:after="160" w:line="259" w:lineRule="auto"/>
              <w:rPr>
                <w:rFonts w:ascii="Arial Narrow" w:hAnsi="Arial Narrow"/>
                <w:sz w:val="18"/>
                <w:szCs w:val="18"/>
              </w:rPr>
            </w:pPr>
          </w:p>
        </w:tc>
        <w:tc>
          <w:tcPr>
            <w:tcW w:w="214" w:type="pct"/>
          </w:tcPr>
          <w:p w14:paraId="6D4061F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245" w:type="pct"/>
          </w:tcPr>
          <w:p w14:paraId="59FAE5B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0" w:type="pct"/>
          </w:tcPr>
          <w:p w14:paraId="69B37585" w14:textId="096F280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7E0BC1DB" w14:textId="77777777" w:rsidTr="00051F27">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432" w:type="pct"/>
          </w:tcPr>
          <w:p w14:paraId="4A90C548" w14:textId="77777777" w:rsidR="00095411" w:rsidRPr="007348FD" w:rsidRDefault="00095411" w:rsidP="00591CBB">
            <w:pPr>
              <w:spacing w:after="160" w:line="259" w:lineRule="auto"/>
              <w:rPr>
                <w:rFonts w:ascii="Arial Narrow" w:hAnsi="Arial Narrow"/>
                <w:sz w:val="18"/>
                <w:szCs w:val="18"/>
              </w:rPr>
            </w:pPr>
          </w:p>
        </w:tc>
        <w:tc>
          <w:tcPr>
            <w:tcW w:w="460" w:type="pct"/>
          </w:tcPr>
          <w:p w14:paraId="2EED432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F3633DD"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3D70996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23BAB2E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4C6E2C9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39B2AE6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98" w:type="pct"/>
          </w:tcPr>
          <w:p w14:paraId="16D9425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27D2E1CB" w14:textId="77777777" w:rsidR="00095411" w:rsidRPr="007348FD" w:rsidRDefault="00095411" w:rsidP="00591CBB">
            <w:pPr>
              <w:spacing w:after="160" w:line="259" w:lineRule="auto"/>
              <w:rPr>
                <w:rFonts w:ascii="Arial Narrow" w:hAnsi="Arial Narrow"/>
                <w:sz w:val="18"/>
                <w:szCs w:val="18"/>
              </w:rPr>
            </w:pPr>
          </w:p>
        </w:tc>
        <w:tc>
          <w:tcPr>
            <w:tcW w:w="273" w:type="pct"/>
          </w:tcPr>
          <w:p w14:paraId="602CE89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5E3930B" w14:textId="77777777" w:rsidR="00095411" w:rsidRPr="007348FD" w:rsidRDefault="00095411" w:rsidP="00591CBB">
            <w:pPr>
              <w:spacing w:after="160" w:line="259" w:lineRule="auto"/>
              <w:rPr>
                <w:rFonts w:ascii="Arial Narrow" w:hAnsi="Arial Narrow"/>
                <w:sz w:val="18"/>
                <w:szCs w:val="18"/>
              </w:rPr>
            </w:pPr>
          </w:p>
        </w:tc>
        <w:tc>
          <w:tcPr>
            <w:tcW w:w="283" w:type="pct"/>
          </w:tcPr>
          <w:p w14:paraId="768CCA9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244C22C" w14:textId="77777777" w:rsidR="00095411" w:rsidRPr="007348FD" w:rsidRDefault="00095411" w:rsidP="00591CBB">
            <w:pPr>
              <w:spacing w:after="160" w:line="259" w:lineRule="auto"/>
              <w:rPr>
                <w:rFonts w:ascii="Arial Narrow" w:hAnsi="Arial Narrow"/>
                <w:sz w:val="18"/>
                <w:szCs w:val="18"/>
              </w:rPr>
            </w:pPr>
          </w:p>
        </w:tc>
        <w:tc>
          <w:tcPr>
            <w:tcW w:w="149" w:type="pct"/>
          </w:tcPr>
          <w:p w14:paraId="72D9D83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A47B13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1B661D3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ARP</w:t>
            </w:r>
          </w:p>
        </w:tc>
        <w:tc>
          <w:tcPr>
            <w:cnfStyle w:val="000010000000" w:firstRow="0" w:lastRow="0" w:firstColumn="0" w:lastColumn="0" w:oddVBand="1" w:evenVBand="0" w:oddHBand="0" w:evenHBand="0" w:firstRowFirstColumn="0" w:firstRowLastColumn="0" w:lastRowFirstColumn="0" w:lastRowLastColumn="0"/>
            <w:tcW w:w="245" w:type="pct"/>
          </w:tcPr>
          <w:p w14:paraId="377A999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ARP</w:t>
            </w:r>
          </w:p>
        </w:tc>
        <w:tc>
          <w:tcPr>
            <w:tcW w:w="280" w:type="pct"/>
          </w:tcPr>
          <w:p w14:paraId="1D62EDA2" w14:textId="13468E6B"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ARP</w:t>
            </w:r>
          </w:p>
        </w:tc>
      </w:tr>
      <w:tr w:rsidR="00637BF8" w:rsidRPr="00591CBB" w14:paraId="1F16B286" w14:textId="77777777" w:rsidTr="00051F27">
        <w:trPr>
          <w:trHeight w:val="185"/>
        </w:trPr>
        <w:tc>
          <w:tcPr>
            <w:cnfStyle w:val="000010000000" w:firstRow="0" w:lastRow="0" w:firstColumn="0" w:lastColumn="0" w:oddVBand="1" w:evenVBand="0" w:oddHBand="0" w:evenHBand="0" w:firstRowFirstColumn="0" w:firstRowLastColumn="0" w:lastRowFirstColumn="0" w:lastRowLastColumn="0"/>
            <w:tcW w:w="432" w:type="pct"/>
          </w:tcPr>
          <w:p w14:paraId="2418D763" w14:textId="77777777" w:rsidR="00095411" w:rsidRPr="007348FD" w:rsidRDefault="00095411" w:rsidP="00591CBB">
            <w:pPr>
              <w:spacing w:after="160" w:line="259" w:lineRule="auto"/>
              <w:rPr>
                <w:rFonts w:ascii="Arial Narrow" w:hAnsi="Arial Narrow"/>
                <w:sz w:val="18"/>
                <w:szCs w:val="18"/>
              </w:rPr>
            </w:pPr>
          </w:p>
        </w:tc>
        <w:tc>
          <w:tcPr>
            <w:tcW w:w="460" w:type="pct"/>
          </w:tcPr>
          <w:p w14:paraId="680BA8E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25. Countries have two data points for each of the core SRH Healthy islands Monitoring Framework and SDG indicators within the current 5-year timeframe (2018-2022)</w:t>
            </w:r>
          </w:p>
        </w:tc>
        <w:tc>
          <w:tcPr>
            <w:cnfStyle w:val="000010000000" w:firstRow="0" w:lastRow="0" w:firstColumn="0" w:lastColumn="0" w:oddVBand="1" w:evenVBand="0" w:oddHBand="0" w:evenHBand="0" w:firstRowFirstColumn="0" w:firstRowLastColumn="0" w:lastRowFirstColumn="0" w:lastRowLastColumn="0"/>
            <w:tcW w:w="371" w:type="pct"/>
          </w:tcPr>
          <w:p w14:paraId="225CCCF7" w14:textId="77777777" w:rsidR="00095411" w:rsidRPr="007348FD" w:rsidRDefault="00095411" w:rsidP="00591CBB">
            <w:pPr>
              <w:spacing w:after="160" w:line="259" w:lineRule="auto"/>
              <w:rPr>
                <w:rFonts w:ascii="Arial Narrow" w:hAnsi="Arial Narrow"/>
                <w:b/>
                <w:bCs/>
                <w:sz w:val="18"/>
                <w:szCs w:val="18"/>
              </w:rPr>
            </w:pPr>
            <w:r w:rsidRPr="007348FD">
              <w:rPr>
                <w:rFonts w:ascii="Arial Narrow" w:hAnsi="Arial Narrow"/>
                <w:b/>
                <w:bCs/>
                <w:sz w:val="18"/>
                <w:szCs w:val="18"/>
              </w:rPr>
              <w:t>Yes</w:t>
            </w:r>
          </w:p>
        </w:tc>
        <w:tc>
          <w:tcPr>
            <w:tcW w:w="341" w:type="pct"/>
          </w:tcPr>
          <w:p w14:paraId="5D2FE80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Fiji</w:t>
            </w:r>
          </w:p>
        </w:tc>
        <w:tc>
          <w:tcPr>
            <w:cnfStyle w:val="000010000000" w:firstRow="0" w:lastRow="0" w:firstColumn="0" w:lastColumn="0" w:oddVBand="1" w:evenVBand="0" w:oddHBand="0" w:evenHBand="0" w:firstRowFirstColumn="0" w:firstRowLastColumn="0" w:lastRowFirstColumn="0" w:lastRowLastColumn="0"/>
            <w:tcW w:w="329" w:type="pct"/>
          </w:tcPr>
          <w:p w14:paraId="3BB745B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11E585FA" w14:textId="001B8B2F"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2D51801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2AABDC0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1E23F08D" w14:textId="77777777" w:rsidR="00095411" w:rsidRPr="007348FD" w:rsidRDefault="00095411" w:rsidP="00591CBB">
            <w:pPr>
              <w:spacing w:after="160" w:line="259" w:lineRule="auto"/>
              <w:rPr>
                <w:rFonts w:ascii="Arial Narrow" w:hAnsi="Arial Narrow"/>
                <w:sz w:val="18"/>
                <w:szCs w:val="18"/>
              </w:rPr>
            </w:pPr>
          </w:p>
        </w:tc>
        <w:tc>
          <w:tcPr>
            <w:tcW w:w="273" w:type="pct"/>
          </w:tcPr>
          <w:p w14:paraId="63D0110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02B635C" w14:textId="77777777" w:rsidR="00095411" w:rsidRPr="007348FD" w:rsidRDefault="00095411" w:rsidP="00591CBB">
            <w:pPr>
              <w:spacing w:after="160" w:line="259" w:lineRule="auto"/>
              <w:rPr>
                <w:rFonts w:ascii="Arial Narrow" w:hAnsi="Arial Narrow"/>
                <w:sz w:val="18"/>
                <w:szCs w:val="18"/>
              </w:rPr>
            </w:pPr>
          </w:p>
        </w:tc>
        <w:tc>
          <w:tcPr>
            <w:tcW w:w="283" w:type="pct"/>
          </w:tcPr>
          <w:p w14:paraId="5B8FA46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0A1DC8E" w14:textId="77777777" w:rsidR="00095411" w:rsidRPr="007348FD" w:rsidRDefault="00095411" w:rsidP="00591CBB">
            <w:pPr>
              <w:spacing w:after="160" w:line="259" w:lineRule="auto"/>
              <w:rPr>
                <w:rFonts w:ascii="Arial Narrow" w:hAnsi="Arial Narrow"/>
                <w:sz w:val="18"/>
                <w:szCs w:val="18"/>
              </w:rPr>
            </w:pPr>
          </w:p>
        </w:tc>
        <w:tc>
          <w:tcPr>
            <w:tcW w:w="149" w:type="pct"/>
          </w:tcPr>
          <w:p w14:paraId="4C96F9B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6F6E248" w14:textId="77777777" w:rsidR="00095411" w:rsidRPr="007348FD" w:rsidRDefault="00095411" w:rsidP="00591CBB">
            <w:pPr>
              <w:spacing w:after="160" w:line="259" w:lineRule="auto"/>
              <w:rPr>
                <w:rFonts w:ascii="Arial Narrow" w:hAnsi="Arial Narrow"/>
                <w:sz w:val="18"/>
                <w:szCs w:val="18"/>
              </w:rPr>
            </w:pPr>
          </w:p>
        </w:tc>
        <w:tc>
          <w:tcPr>
            <w:tcW w:w="214" w:type="pct"/>
          </w:tcPr>
          <w:p w14:paraId="5853C73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45" w:type="pct"/>
          </w:tcPr>
          <w:p w14:paraId="210E416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80" w:type="pct"/>
          </w:tcPr>
          <w:p w14:paraId="63F5C76D" w14:textId="465EDBC2"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3BD3CD1E"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44CB7F45" w14:textId="77777777" w:rsidR="00095411" w:rsidRPr="007348FD" w:rsidRDefault="00095411" w:rsidP="00591CBB">
            <w:pPr>
              <w:spacing w:after="160" w:line="259" w:lineRule="auto"/>
              <w:rPr>
                <w:rFonts w:ascii="Arial Narrow" w:hAnsi="Arial Narrow"/>
                <w:sz w:val="18"/>
                <w:szCs w:val="18"/>
              </w:rPr>
            </w:pPr>
          </w:p>
        </w:tc>
        <w:tc>
          <w:tcPr>
            <w:tcW w:w="460" w:type="pct"/>
          </w:tcPr>
          <w:p w14:paraId="4DDE439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2D31925"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77889D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64DD2E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32A1C0A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0269093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1292183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09B86635" w14:textId="77777777" w:rsidR="00095411" w:rsidRPr="007348FD" w:rsidRDefault="00095411" w:rsidP="00591CBB">
            <w:pPr>
              <w:spacing w:after="160" w:line="259" w:lineRule="auto"/>
              <w:rPr>
                <w:rFonts w:ascii="Arial Narrow" w:hAnsi="Arial Narrow"/>
                <w:sz w:val="18"/>
                <w:szCs w:val="18"/>
              </w:rPr>
            </w:pPr>
          </w:p>
        </w:tc>
        <w:tc>
          <w:tcPr>
            <w:tcW w:w="273" w:type="pct"/>
          </w:tcPr>
          <w:p w14:paraId="0235B06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0BD659D" w14:textId="77777777" w:rsidR="00095411" w:rsidRPr="007348FD" w:rsidRDefault="00095411" w:rsidP="00591CBB">
            <w:pPr>
              <w:spacing w:after="160" w:line="259" w:lineRule="auto"/>
              <w:rPr>
                <w:rFonts w:ascii="Arial Narrow" w:hAnsi="Arial Narrow"/>
                <w:sz w:val="18"/>
                <w:szCs w:val="18"/>
              </w:rPr>
            </w:pPr>
          </w:p>
        </w:tc>
        <w:tc>
          <w:tcPr>
            <w:tcW w:w="283" w:type="pct"/>
          </w:tcPr>
          <w:p w14:paraId="5CF01E1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2BF31F9" w14:textId="77777777" w:rsidR="00095411" w:rsidRPr="007348FD" w:rsidRDefault="00095411" w:rsidP="00591CBB">
            <w:pPr>
              <w:spacing w:after="160" w:line="259" w:lineRule="auto"/>
              <w:rPr>
                <w:rFonts w:ascii="Arial Narrow" w:hAnsi="Arial Narrow"/>
                <w:sz w:val="18"/>
                <w:szCs w:val="18"/>
              </w:rPr>
            </w:pPr>
          </w:p>
        </w:tc>
        <w:tc>
          <w:tcPr>
            <w:tcW w:w="149" w:type="pct"/>
          </w:tcPr>
          <w:p w14:paraId="7BECDA3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87CA27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70716D0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4A713994" w14:textId="77777777" w:rsidR="00095411" w:rsidRPr="007348FD" w:rsidRDefault="00095411" w:rsidP="00591CBB">
            <w:pPr>
              <w:spacing w:after="160" w:line="259" w:lineRule="auto"/>
              <w:rPr>
                <w:rFonts w:ascii="Arial Narrow" w:hAnsi="Arial Narrow"/>
                <w:sz w:val="18"/>
                <w:szCs w:val="18"/>
              </w:rPr>
            </w:pPr>
          </w:p>
        </w:tc>
        <w:tc>
          <w:tcPr>
            <w:tcW w:w="280" w:type="pct"/>
          </w:tcPr>
          <w:p w14:paraId="35BAC82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1C9A09C6"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4770D08A" w14:textId="77777777" w:rsidR="00095411" w:rsidRPr="007348FD" w:rsidRDefault="00095411" w:rsidP="00591CBB">
            <w:pPr>
              <w:spacing w:after="160" w:line="259" w:lineRule="auto"/>
              <w:rPr>
                <w:rFonts w:ascii="Arial Narrow" w:hAnsi="Arial Narrow"/>
                <w:sz w:val="18"/>
                <w:szCs w:val="18"/>
              </w:rPr>
            </w:pPr>
          </w:p>
        </w:tc>
        <w:tc>
          <w:tcPr>
            <w:tcW w:w="460" w:type="pct"/>
          </w:tcPr>
          <w:p w14:paraId="4DFD136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0DE2506"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53EF90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Kiribati</w:t>
            </w:r>
          </w:p>
        </w:tc>
        <w:tc>
          <w:tcPr>
            <w:cnfStyle w:val="000010000000" w:firstRow="0" w:lastRow="0" w:firstColumn="0" w:lastColumn="0" w:oddVBand="1" w:evenVBand="0" w:oddHBand="0" w:evenHBand="0" w:firstRowFirstColumn="0" w:firstRowLastColumn="0" w:lastRowFirstColumn="0" w:lastRowLastColumn="0"/>
            <w:tcW w:w="329" w:type="pct"/>
          </w:tcPr>
          <w:p w14:paraId="38AA00FB"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3BE51F19" w14:textId="28895C63"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5FE6C9F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33DDDD7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61852F69" w14:textId="77777777" w:rsidR="00095411" w:rsidRPr="007348FD" w:rsidRDefault="00095411" w:rsidP="00591CBB">
            <w:pPr>
              <w:spacing w:after="160" w:line="259" w:lineRule="auto"/>
              <w:rPr>
                <w:rFonts w:ascii="Arial Narrow" w:hAnsi="Arial Narrow"/>
                <w:sz w:val="18"/>
                <w:szCs w:val="18"/>
              </w:rPr>
            </w:pPr>
          </w:p>
        </w:tc>
        <w:tc>
          <w:tcPr>
            <w:tcW w:w="273" w:type="pct"/>
          </w:tcPr>
          <w:p w14:paraId="4D78B68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2AFFE5D0" w14:textId="77777777" w:rsidR="00095411" w:rsidRPr="007348FD" w:rsidRDefault="00095411" w:rsidP="00591CBB">
            <w:pPr>
              <w:spacing w:after="160" w:line="259" w:lineRule="auto"/>
              <w:rPr>
                <w:rFonts w:ascii="Arial Narrow" w:hAnsi="Arial Narrow"/>
                <w:sz w:val="18"/>
                <w:szCs w:val="18"/>
              </w:rPr>
            </w:pPr>
          </w:p>
        </w:tc>
        <w:tc>
          <w:tcPr>
            <w:tcW w:w="283" w:type="pct"/>
          </w:tcPr>
          <w:p w14:paraId="362024F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A361D3A" w14:textId="77777777" w:rsidR="00095411" w:rsidRPr="007348FD" w:rsidRDefault="00095411" w:rsidP="00591CBB">
            <w:pPr>
              <w:spacing w:after="160" w:line="259" w:lineRule="auto"/>
              <w:rPr>
                <w:rFonts w:ascii="Arial Narrow" w:hAnsi="Arial Narrow"/>
                <w:sz w:val="18"/>
                <w:szCs w:val="18"/>
              </w:rPr>
            </w:pPr>
          </w:p>
        </w:tc>
        <w:tc>
          <w:tcPr>
            <w:tcW w:w="149" w:type="pct"/>
          </w:tcPr>
          <w:p w14:paraId="590BEE3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39BEC45E" w14:textId="77777777" w:rsidR="00095411" w:rsidRPr="007348FD" w:rsidRDefault="00095411" w:rsidP="00591CBB">
            <w:pPr>
              <w:spacing w:after="160" w:line="259" w:lineRule="auto"/>
              <w:rPr>
                <w:rFonts w:ascii="Arial Narrow" w:hAnsi="Arial Narrow"/>
                <w:sz w:val="18"/>
                <w:szCs w:val="18"/>
              </w:rPr>
            </w:pPr>
          </w:p>
        </w:tc>
        <w:tc>
          <w:tcPr>
            <w:tcW w:w="214" w:type="pct"/>
          </w:tcPr>
          <w:p w14:paraId="668024C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45" w:type="pct"/>
          </w:tcPr>
          <w:p w14:paraId="5D11112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80" w:type="pct"/>
          </w:tcPr>
          <w:p w14:paraId="7E4ED88F" w14:textId="5D2B016C"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19EF1505"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5C75BC62" w14:textId="77777777" w:rsidR="00095411" w:rsidRPr="007348FD" w:rsidRDefault="00095411" w:rsidP="00591CBB">
            <w:pPr>
              <w:spacing w:after="160" w:line="259" w:lineRule="auto"/>
              <w:rPr>
                <w:rFonts w:ascii="Arial Narrow" w:hAnsi="Arial Narrow"/>
                <w:sz w:val="18"/>
                <w:szCs w:val="18"/>
              </w:rPr>
            </w:pPr>
          </w:p>
        </w:tc>
        <w:tc>
          <w:tcPr>
            <w:tcW w:w="460" w:type="pct"/>
          </w:tcPr>
          <w:p w14:paraId="2BC8D212"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522FC78B"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E06F28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3B9295A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01852B5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6CDCC7D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6CEAE95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Yes</w:t>
            </w:r>
          </w:p>
        </w:tc>
        <w:tc>
          <w:tcPr>
            <w:cnfStyle w:val="000010000000" w:firstRow="0" w:lastRow="0" w:firstColumn="0" w:lastColumn="0" w:oddVBand="1" w:evenVBand="0" w:oddHBand="0" w:evenHBand="0" w:firstRowFirstColumn="0" w:firstRowLastColumn="0" w:lastRowFirstColumn="0" w:lastRowLastColumn="0"/>
            <w:tcW w:w="197" w:type="pct"/>
          </w:tcPr>
          <w:p w14:paraId="0B0634AE" w14:textId="77777777" w:rsidR="00095411" w:rsidRPr="007348FD" w:rsidRDefault="00095411" w:rsidP="00591CBB">
            <w:pPr>
              <w:spacing w:after="160" w:line="259" w:lineRule="auto"/>
              <w:rPr>
                <w:rFonts w:ascii="Arial Narrow" w:hAnsi="Arial Narrow"/>
                <w:sz w:val="18"/>
                <w:szCs w:val="18"/>
              </w:rPr>
            </w:pPr>
          </w:p>
        </w:tc>
        <w:tc>
          <w:tcPr>
            <w:tcW w:w="273" w:type="pct"/>
          </w:tcPr>
          <w:p w14:paraId="081F9FC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4040467E"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Yes</w:t>
            </w:r>
          </w:p>
        </w:tc>
        <w:tc>
          <w:tcPr>
            <w:tcW w:w="283" w:type="pct"/>
          </w:tcPr>
          <w:p w14:paraId="7CDD1D0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 xml:space="preserve"> 1 </w:t>
            </w:r>
          </w:p>
        </w:tc>
        <w:tc>
          <w:tcPr>
            <w:cnfStyle w:val="000010000000" w:firstRow="0" w:lastRow="0" w:firstColumn="0" w:lastColumn="0" w:oddVBand="1" w:evenVBand="0" w:oddHBand="0" w:evenHBand="0" w:firstRowFirstColumn="0" w:firstRowLastColumn="0" w:lastRowFirstColumn="0" w:lastRowLastColumn="0"/>
            <w:tcW w:w="141" w:type="pct"/>
          </w:tcPr>
          <w:p w14:paraId="49AF536F" w14:textId="77777777" w:rsidR="00095411" w:rsidRPr="007348FD" w:rsidRDefault="00095411" w:rsidP="00591CBB">
            <w:pPr>
              <w:spacing w:after="160" w:line="259" w:lineRule="auto"/>
              <w:rPr>
                <w:rFonts w:ascii="Arial Narrow" w:hAnsi="Arial Narrow"/>
                <w:sz w:val="18"/>
                <w:szCs w:val="18"/>
              </w:rPr>
            </w:pPr>
          </w:p>
        </w:tc>
        <w:tc>
          <w:tcPr>
            <w:tcW w:w="149" w:type="pct"/>
          </w:tcPr>
          <w:p w14:paraId="6620A4A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0D59D159" w14:textId="77777777" w:rsidR="00095411" w:rsidRPr="007348FD" w:rsidRDefault="00095411" w:rsidP="00591CBB">
            <w:pPr>
              <w:spacing w:after="160" w:line="259" w:lineRule="auto"/>
              <w:rPr>
                <w:rFonts w:ascii="Arial Narrow" w:hAnsi="Arial Narrow"/>
                <w:sz w:val="18"/>
                <w:szCs w:val="18"/>
              </w:rPr>
            </w:pPr>
          </w:p>
        </w:tc>
        <w:tc>
          <w:tcPr>
            <w:tcW w:w="214" w:type="pct"/>
          </w:tcPr>
          <w:p w14:paraId="49C0F0A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09DD7F7B" w14:textId="77777777" w:rsidR="00095411" w:rsidRPr="007348FD" w:rsidRDefault="00095411" w:rsidP="00591CBB">
            <w:pPr>
              <w:spacing w:after="160" w:line="259" w:lineRule="auto"/>
              <w:rPr>
                <w:rFonts w:ascii="Arial Narrow" w:hAnsi="Arial Narrow"/>
                <w:sz w:val="18"/>
                <w:szCs w:val="18"/>
              </w:rPr>
            </w:pPr>
          </w:p>
        </w:tc>
        <w:tc>
          <w:tcPr>
            <w:tcW w:w="280" w:type="pct"/>
          </w:tcPr>
          <w:p w14:paraId="1BE0BC9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1430B55D"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04061A71" w14:textId="77777777" w:rsidR="00095411" w:rsidRPr="007348FD" w:rsidRDefault="00095411" w:rsidP="00591CBB">
            <w:pPr>
              <w:spacing w:after="160" w:line="259" w:lineRule="auto"/>
              <w:rPr>
                <w:rFonts w:ascii="Arial Narrow" w:hAnsi="Arial Narrow"/>
                <w:sz w:val="18"/>
                <w:szCs w:val="18"/>
              </w:rPr>
            </w:pPr>
          </w:p>
        </w:tc>
        <w:tc>
          <w:tcPr>
            <w:tcW w:w="460" w:type="pct"/>
          </w:tcPr>
          <w:p w14:paraId="7931084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918C5CB"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7668E9C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Samoa</w:t>
            </w:r>
          </w:p>
        </w:tc>
        <w:tc>
          <w:tcPr>
            <w:cnfStyle w:val="000010000000" w:firstRow="0" w:lastRow="0" w:firstColumn="0" w:lastColumn="0" w:oddVBand="1" w:evenVBand="0" w:oddHBand="0" w:evenHBand="0" w:firstRowFirstColumn="0" w:firstRowLastColumn="0" w:lastRowFirstColumn="0" w:lastRowLastColumn="0"/>
            <w:tcW w:w="329" w:type="pct"/>
          </w:tcPr>
          <w:p w14:paraId="579B222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31DCE90F" w14:textId="228EB3F9"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02E5AAD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3FD6902E"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25660B68" w14:textId="77777777" w:rsidR="00095411" w:rsidRPr="007348FD" w:rsidRDefault="00095411" w:rsidP="00591CBB">
            <w:pPr>
              <w:spacing w:after="160" w:line="259" w:lineRule="auto"/>
              <w:rPr>
                <w:rFonts w:ascii="Arial Narrow" w:hAnsi="Arial Narrow"/>
                <w:sz w:val="18"/>
                <w:szCs w:val="18"/>
              </w:rPr>
            </w:pPr>
          </w:p>
        </w:tc>
        <w:tc>
          <w:tcPr>
            <w:tcW w:w="273" w:type="pct"/>
          </w:tcPr>
          <w:p w14:paraId="56D06554"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13CC2B79" w14:textId="77777777" w:rsidR="00095411" w:rsidRPr="007348FD" w:rsidRDefault="00095411" w:rsidP="00591CBB">
            <w:pPr>
              <w:spacing w:after="160" w:line="259" w:lineRule="auto"/>
              <w:rPr>
                <w:rFonts w:ascii="Arial Narrow" w:hAnsi="Arial Narrow"/>
                <w:sz w:val="18"/>
                <w:szCs w:val="18"/>
              </w:rPr>
            </w:pPr>
          </w:p>
        </w:tc>
        <w:tc>
          <w:tcPr>
            <w:tcW w:w="283" w:type="pct"/>
          </w:tcPr>
          <w:p w14:paraId="1AAC8046"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66C1C38F" w14:textId="77777777" w:rsidR="00095411" w:rsidRPr="007348FD" w:rsidRDefault="00095411" w:rsidP="00591CBB">
            <w:pPr>
              <w:spacing w:after="160" w:line="259" w:lineRule="auto"/>
              <w:rPr>
                <w:rFonts w:ascii="Arial Narrow" w:hAnsi="Arial Narrow"/>
                <w:sz w:val="18"/>
                <w:szCs w:val="18"/>
              </w:rPr>
            </w:pPr>
          </w:p>
        </w:tc>
        <w:tc>
          <w:tcPr>
            <w:tcW w:w="149" w:type="pct"/>
          </w:tcPr>
          <w:p w14:paraId="327845C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B18B9CE" w14:textId="77777777" w:rsidR="00095411" w:rsidRPr="007348FD" w:rsidRDefault="00095411" w:rsidP="00591CBB">
            <w:pPr>
              <w:spacing w:after="160" w:line="259" w:lineRule="auto"/>
              <w:rPr>
                <w:rFonts w:ascii="Arial Narrow" w:hAnsi="Arial Narrow"/>
                <w:sz w:val="18"/>
                <w:szCs w:val="18"/>
              </w:rPr>
            </w:pPr>
          </w:p>
        </w:tc>
        <w:tc>
          <w:tcPr>
            <w:tcW w:w="214" w:type="pct"/>
          </w:tcPr>
          <w:p w14:paraId="0E9CF2A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45" w:type="pct"/>
          </w:tcPr>
          <w:p w14:paraId="36148EF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80" w:type="pct"/>
          </w:tcPr>
          <w:p w14:paraId="30DE54F4" w14:textId="122F8C86"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4F1BAB71"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2BAA7A4B" w14:textId="77777777" w:rsidR="00095411" w:rsidRPr="007348FD" w:rsidRDefault="00095411" w:rsidP="00591CBB">
            <w:pPr>
              <w:spacing w:after="160" w:line="259" w:lineRule="auto"/>
              <w:rPr>
                <w:rFonts w:ascii="Arial Narrow" w:hAnsi="Arial Narrow"/>
                <w:sz w:val="18"/>
                <w:szCs w:val="18"/>
              </w:rPr>
            </w:pPr>
          </w:p>
        </w:tc>
        <w:tc>
          <w:tcPr>
            <w:tcW w:w="460" w:type="pct"/>
          </w:tcPr>
          <w:p w14:paraId="462249F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C7D5856"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FB2A48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635E74E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39B6D187"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3590F033"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145BAB4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1BC7432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73" w:type="pct"/>
          </w:tcPr>
          <w:p w14:paraId="4666E52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4723B1F" w14:textId="77777777" w:rsidR="00095411" w:rsidRPr="007348FD" w:rsidRDefault="00095411" w:rsidP="00591CBB">
            <w:pPr>
              <w:spacing w:after="160" w:line="259" w:lineRule="auto"/>
              <w:rPr>
                <w:rFonts w:ascii="Arial Narrow" w:hAnsi="Arial Narrow"/>
                <w:sz w:val="18"/>
                <w:szCs w:val="18"/>
              </w:rPr>
            </w:pPr>
          </w:p>
        </w:tc>
        <w:tc>
          <w:tcPr>
            <w:tcW w:w="283" w:type="pct"/>
          </w:tcPr>
          <w:p w14:paraId="5D52FD4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53CCB303" w14:textId="77777777" w:rsidR="00095411" w:rsidRPr="007348FD" w:rsidRDefault="00095411" w:rsidP="00591CBB">
            <w:pPr>
              <w:spacing w:after="160" w:line="259" w:lineRule="auto"/>
              <w:rPr>
                <w:rFonts w:ascii="Arial Narrow" w:hAnsi="Arial Narrow"/>
                <w:sz w:val="18"/>
                <w:szCs w:val="18"/>
              </w:rPr>
            </w:pPr>
          </w:p>
        </w:tc>
        <w:tc>
          <w:tcPr>
            <w:tcW w:w="149" w:type="pct"/>
          </w:tcPr>
          <w:p w14:paraId="6EFC68D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644E9F0D"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37389050"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45" w:type="pct"/>
          </w:tcPr>
          <w:p w14:paraId="100517B2" w14:textId="77777777" w:rsidR="00095411" w:rsidRPr="007348FD" w:rsidRDefault="00095411" w:rsidP="00591CBB">
            <w:pPr>
              <w:spacing w:after="160" w:line="259" w:lineRule="auto"/>
              <w:rPr>
                <w:rFonts w:ascii="Arial Narrow" w:hAnsi="Arial Narrow"/>
                <w:sz w:val="18"/>
                <w:szCs w:val="18"/>
              </w:rPr>
            </w:pPr>
          </w:p>
        </w:tc>
        <w:tc>
          <w:tcPr>
            <w:tcW w:w="280" w:type="pct"/>
          </w:tcPr>
          <w:p w14:paraId="001519D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7DB5D03B"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738CDCF3" w14:textId="77777777" w:rsidR="00095411" w:rsidRPr="007348FD" w:rsidRDefault="00095411" w:rsidP="00591CBB">
            <w:pPr>
              <w:spacing w:after="160" w:line="259" w:lineRule="auto"/>
              <w:rPr>
                <w:rFonts w:ascii="Arial Narrow" w:hAnsi="Arial Narrow"/>
                <w:sz w:val="18"/>
                <w:szCs w:val="18"/>
              </w:rPr>
            </w:pPr>
          </w:p>
        </w:tc>
        <w:tc>
          <w:tcPr>
            <w:tcW w:w="460" w:type="pct"/>
          </w:tcPr>
          <w:p w14:paraId="7E053A6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99D8EDB"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C7E258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Solomon Islands</w:t>
            </w:r>
          </w:p>
        </w:tc>
        <w:tc>
          <w:tcPr>
            <w:cnfStyle w:val="000010000000" w:firstRow="0" w:lastRow="0" w:firstColumn="0" w:lastColumn="0" w:oddVBand="1" w:evenVBand="0" w:oddHBand="0" w:evenHBand="0" w:firstRowFirstColumn="0" w:firstRowLastColumn="0" w:lastRowFirstColumn="0" w:lastRowLastColumn="0"/>
            <w:tcW w:w="329" w:type="pct"/>
          </w:tcPr>
          <w:p w14:paraId="51B7B38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E7267D6" w14:textId="0B7CE70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760654A1"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6BE9A729"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7DBEC7B4" w14:textId="77777777" w:rsidR="00095411" w:rsidRPr="007348FD" w:rsidRDefault="00095411" w:rsidP="00591CBB">
            <w:pPr>
              <w:spacing w:after="160" w:line="259" w:lineRule="auto"/>
              <w:rPr>
                <w:rFonts w:ascii="Arial Narrow" w:hAnsi="Arial Narrow"/>
                <w:sz w:val="18"/>
                <w:szCs w:val="18"/>
              </w:rPr>
            </w:pPr>
          </w:p>
        </w:tc>
        <w:tc>
          <w:tcPr>
            <w:tcW w:w="273" w:type="pct"/>
          </w:tcPr>
          <w:p w14:paraId="1B002F5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123F1B1" w14:textId="77777777" w:rsidR="00095411" w:rsidRPr="007348FD" w:rsidRDefault="00095411" w:rsidP="00591CBB">
            <w:pPr>
              <w:spacing w:after="160" w:line="259" w:lineRule="auto"/>
              <w:rPr>
                <w:rFonts w:ascii="Arial Narrow" w:hAnsi="Arial Narrow"/>
                <w:sz w:val="18"/>
                <w:szCs w:val="18"/>
              </w:rPr>
            </w:pPr>
          </w:p>
        </w:tc>
        <w:tc>
          <w:tcPr>
            <w:tcW w:w="283" w:type="pct"/>
          </w:tcPr>
          <w:p w14:paraId="0AFC072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1AAC307" w14:textId="77777777" w:rsidR="00095411" w:rsidRPr="007348FD" w:rsidRDefault="00095411" w:rsidP="00591CBB">
            <w:pPr>
              <w:spacing w:after="160" w:line="259" w:lineRule="auto"/>
              <w:rPr>
                <w:rFonts w:ascii="Arial Narrow" w:hAnsi="Arial Narrow"/>
                <w:sz w:val="18"/>
                <w:szCs w:val="18"/>
              </w:rPr>
            </w:pPr>
          </w:p>
        </w:tc>
        <w:tc>
          <w:tcPr>
            <w:tcW w:w="149" w:type="pct"/>
          </w:tcPr>
          <w:p w14:paraId="0F0899F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58068772" w14:textId="77777777" w:rsidR="00095411" w:rsidRPr="007348FD" w:rsidRDefault="00095411" w:rsidP="00591CBB">
            <w:pPr>
              <w:spacing w:after="160" w:line="259" w:lineRule="auto"/>
              <w:rPr>
                <w:rFonts w:ascii="Arial Narrow" w:hAnsi="Arial Narrow"/>
                <w:sz w:val="18"/>
                <w:szCs w:val="18"/>
              </w:rPr>
            </w:pPr>
          </w:p>
        </w:tc>
        <w:tc>
          <w:tcPr>
            <w:tcW w:w="214" w:type="pct"/>
          </w:tcPr>
          <w:p w14:paraId="0D87098B"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45" w:type="pct"/>
          </w:tcPr>
          <w:p w14:paraId="1085C6E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80" w:type="pct"/>
          </w:tcPr>
          <w:p w14:paraId="00F78689" w14:textId="0DC8D7B8"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092194CE"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4302640A" w14:textId="77777777" w:rsidR="00095411" w:rsidRPr="007348FD" w:rsidRDefault="00095411" w:rsidP="00591CBB">
            <w:pPr>
              <w:spacing w:after="160" w:line="259" w:lineRule="auto"/>
              <w:rPr>
                <w:rFonts w:ascii="Arial Narrow" w:hAnsi="Arial Narrow"/>
                <w:sz w:val="18"/>
                <w:szCs w:val="18"/>
              </w:rPr>
            </w:pPr>
          </w:p>
        </w:tc>
        <w:tc>
          <w:tcPr>
            <w:tcW w:w="460" w:type="pct"/>
          </w:tcPr>
          <w:p w14:paraId="4DC4B02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0DA747FA"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6580F9F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20016E44"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71EFE6C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1B74D2A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6BC24EC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1854D04F" w14:textId="77777777" w:rsidR="00095411" w:rsidRPr="007348FD" w:rsidRDefault="00095411" w:rsidP="00591CBB">
            <w:pPr>
              <w:spacing w:after="160" w:line="259" w:lineRule="auto"/>
              <w:rPr>
                <w:rFonts w:ascii="Arial Narrow" w:hAnsi="Arial Narrow"/>
                <w:sz w:val="18"/>
                <w:szCs w:val="18"/>
              </w:rPr>
            </w:pPr>
          </w:p>
        </w:tc>
        <w:tc>
          <w:tcPr>
            <w:tcW w:w="273" w:type="pct"/>
          </w:tcPr>
          <w:p w14:paraId="08C81A2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7FA10204" w14:textId="77777777" w:rsidR="00095411" w:rsidRPr="007348FD" w:rsidRDefault="00095411" w:rsidP="00591CBB">
            <w:pPr>
              <w:spacing w:after="160" w:line="259" w:lineRule="auto"/>
              <w:rPr>
                <w:rFonts w:ascii="Arial Narrow" w:hAnsi="Arial Narrow"/>
                <w:sz w:val="18"/>
                <w:szCs w:val="18"/>
              </w:rPr>
            </w:pPr>
          </w:p>
        </w:tc>
        <w:tc>
          <w:tcPr>
            <w:tcW w:w="283" w:type="pct"/>
          </w:tcPr>
          <w:p w14:paraId="5ED7533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059FE68F" w14:textId="77777777" w:rsidR="00095411" w:rsidRPr="007348FD" w:rsidRDefault="00095411" w:rsidP="00591CBB">
            <w:pPr>
              <w:spacing w:after="160" w:line="259" w:lineRule="auto"/>
              <w:rPr>
                <w:rFonts w:ascii="Arial Narrow" w:hAnsi="Arial Narrow"/>
                <w:sz w:val="18"/>
                <w:szCs w:val="18"/>
              </w:rPr>
            </w:pPr>
          </w:p>
        </w:tc>
        <w:tc>
          <w:tcPr>
            <w:tcW w:w="149" w:type="pct"/>
          </w:tcPr>
          <w:p w14:paraId="625CA84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17B1A68F"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154F76D9"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45" w:type="pct"/>
          </w:tcPr>
          <w:p w14:paraId="248F0D78" w14:textId="77777777" w:rsidR="00095411" w:rsidRPr="007348FD" w:rsidRDefault="00095411" w:rsidP="00591CBB">
            <w:pPr>
              <w:spacing w:after="160" w:line="259" w:lineRule="auto"/>
              <w:rPr>
                <w:rFonts w:ascii="Arial Narrow" w:hAnsi="Arial Narrow"/>
                <w:sz w:val="18"/>
                <w:szCs w:val="18"/>
              </w:rPr>
            </w:pPr>
          </w:p>
        </w:tc>
        <w:tc>
          <w:tcPr>
            <w:tcW w:w="280" w:type="pct"/>
          </w:tcPr>
          <w:p w14:paraId="5C202AD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0CD5F40C" w14:textId="77777777" w:rsidTr="00051F27">
        <w:trPr>
          <w:trHeight w:val="218"/>
        </w:trPr>
        <w:tc>
          <w:tcPr>
            <w:cnfStyle w:val="000010000000" w:firstRow="0" w:lastRow="0" w:firstColumn="0" w:lastColumn="0" w:oddVBand="1" w:evenVBand="0" w:oddHBand="0" w:evenHBand="0" w:firstRowFirstColumn="0" w:firstRowLastColumn="0" w:lastRowFirstColumn="0" w:lastRowLastColumn="0"/>
            <w:tcW w:w="432" w:type="pct"/>
          </w:tcPr>
          <w:p w14:paraId="68566B37" w14:textId="77777777" w:rsidR="00095411" w:rsidRPr="007348FD" w:rsidRDefault="00095411" w:rsidP="00591CBB">
            <w:pPr>
              <w:spacing w:after="160" w:line="259" w:lineRule="auto"/>
              <w:rPr>
                <w:rFonts w:ascii="Arial Narrow" w:hAnsi="Arial Narrow"/>
                <w:sz w:val="18"/>
                <w:szCs w:val="18"/>
              </w:rPr>
            </w:pPr>
          </w:p>
        </w:tc>
        <w:tc>
          <w:tcPr>
            <w:tcW w:w="460" w:type="pct"/>
          </w:tcPr>
          <w:p w14:paraId="565C08A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23C4C92F"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4F66D3BC"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Tonga</w:t>
            </w:r>
          </w:p>
        </w:tc>
        <w:tc>
          <w:tcPr>
            <w:cnfStyle w:val="000010000000" w:firstRow="0" w:lastRow="0" w:firstColumn="0" w:lastColumn="0" w:oddVBand="1" w:evenVBand="0" w:oddHBand="0" w:evenHBand="0" w:firstRowFirstColumn="0" w:firstRowLastColumn="0" w:lastRowFirstColumn="0" w:lastRowLastColumn="0"/>
            <w:tcW w:w="329" w:type="pct"/>
          </w:tcPr>
          <w:p w14:paraId="068D5D5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36D5ADF6" w14:textId="25ECBFF8"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3E7F87F7"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3D8FE12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53BD6783" w14:textId="77777777" w:rsidR="00095411" w:rsidRPr="007348FD" w:rsidRDefault="00095411" w:rsidP="00591CBB">
            <w:pPr>
              <w:spacing w:after="160" w:line="259" w:lineRule="auto"/>
              <w:rPr>
                <w:rFonts w:ascii="Arial Narrow" w:hAnsi="Arial Narrow"/>
                <w:sz w:val="18"/>
                <w:szCs w:val="18"/>
              </w:rPr>
            </w:pPr>
          </w:p>
        </w:tc>
        <w:tc>
          <w:tcPr>
            <w:tcW w:w="273" w:type="pct"/>
          </w:tcPr>
          <w:p w14:paraId="2438FE5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981D261" w14:textId="77777777" w:rsidR="00095411" w:rsidRPr="007348FD" w:rsidRDefault="00095411" w:rsidP="00591CBB">
            <w:pPr>
              <w:spacing w:after="160" w:line="259" w:lineRule="auto"/>
              <w:rPr>
                <w:rFonts w:ascii="Arial Narrow" w:hAnsi="Arial Narrow"/>
                <w:sz w:val="18"/>
                <w:szCs w:val="18"/>
              </w:rPr>
            </w:pPr>
          </w:p>
        </w:tc>
        <w:tc>
          <w:tcPr>
            <w:tcW w:w="283" w:type="pct"/>
          </w:tcPr>
          <w:p w14:paraId="4470A25D"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0119C6F" w14:textId="77777777" w:rsidR="00095411" w:rsidRPr="007348FD" w:rsidRDefault="00095411" w:rsidP="00591CBB">
            <w:pPr>
              <w:spacing w:after="160" w:line="259" w:lineRule="auto"/>
              <w:rPr>
                <w:rFonts w:ascii="Arial Narrow" w:hAnsi="Arial Narrow"/>
                <w:sz w:val="18"/>
                <w:szCs w:val="18"/>
              </w:rPr>
            </w:pPr>
          </w:p>
        </w:tc>
        <w:tc>
          <w:tcPr>
            <w:tcW w:w="149" w:type="pct"/>
          </w:tcPr>
          <w:p w14:paraId="2EAB0F3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73736FFE" w14:textId="77777777" w:rsidR="00095411" w:rsidRPr="007348FD" w:rsidRDefault="00095411" w:rsidP="00591CBB">
            <w:pPr>
              <w:spacing w:after="160" w:line="259" w:lineRule="auto"/>
              <w:rPr>
                <w:rFonts w:ascii="Arial Narrow" w:hAnsi="Arial Narrow"/>
                <w:sz w:val="18"/>
                <w:szCs w:val="18"/>
              </w:rPr>
            </w:pPr>
          </w:p>
        </w:tc>
        <w:tc>
          <w:tcPr>
            <w:tcW w:w="214" w:type="pct"/>
          </w:tcPr>
          <w:p w14:paraId="2E9C5A43"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45" w:type="pct"/>
          </w:tcPr>
          <w:p w14:paraId="3F3F80E6"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80" w:type="pct"/>
          </w:tcPr>
          <w:p w14:paraId="3B5FB696" w14:textId="2A1D8879"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6B67C049"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070020EB" w14:textId="77777777" w:rsidR="00095411" w:rsidRPr="007348FD" w:rsidRDefault="00095411" w:rsidP="00591CBB">
            <w:pPr>
              <w:spacing w:after="160" w:line="259" w:lineRule="auto"/>
              <w:rPr>
                <w:rFonts w:ascii="Arial Narrow" w:hAnsi="Arial Narrow"/>
                <w:sz w:val="18"/>
                <w:szCs w:val="18"/>
              </w:rPr>
            </w:pPr>
          </w:p>
        </w:tc>
        <w:tc>
          <w:tcPr>
            <w:tcW w:w="460" w:type="pct"/>
          </w:tcPr>
          <w:p w14:paraId="2AFB967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10C7A87A"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5697161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7D36DB39"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3C85115E"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57F8202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64F5A226"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3E5A77ED" w14:textId="77777777" w:rsidR="00095411" w:rsidRPr="007348FD" w:rsidRDefault="00095411" w:rsidP="00591CBB">
            <w:pPr>
              <w:spacing w:after="160" w:line="259" w:lineRule="auto"/>
              <w:rPr>
                <w:rFonts w:ascii="Arial Narrow" w:hAnsi="Arial Narrow"/>
                <w:sz w:val="18"/>
                <w:szCs w:val="18"/>
              </w:rPr>
            </w:pPr>
          </w:p>
        </w:tc>
        <w:tc>
          <w:tcPr>
            <w:tcW w:w="273" w:type="pct"/>
          </w:tcPr>
          <w:p w14:paraId="2FB79D0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321119BF" w14:textId="77777777" w:rsidR="00095411" w:rsidRPr="007348FD" w:rsidRDefault="00095411" w:rsidP="00591CBB">
            <w:pPr>
              <w:spacing w:after="160" w:line="259" w:lineRule="auto"/>
              <w:rPr>
                <w:rFonts w:ascii="Arial Narrow" w:hAnsi="Arial Narrow"/>
                <w:sz w:val="18"/>
                <w:szCs w:val="18"/>
              </w:rPr>
            </w:pPr>
          </w:p>
        </w:tc>
        <w:tc>
          <w:tcPr>
            <w:tcW w:w="283" w:type="pct"/>
          </w:tcPr>
          <w:p w14:paraId="5515914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3773F371" w14:textId="77777777" w:rsidR="00095411" w:rsidRPr="007348FD" w:rsidRDefault="00095411" w:rsidP="00591CBB">
            <w:pPr>
              <w:spacing w:after="160" w:line="259" w:lineRule="auto"/>
              <w:rPr>
                <w:rFonts w:ascii="Arial Narrow" w:hAnsi="Arial Narrow"/>
                <w:sz w:val="18"/>
                <w:szCs w:val="18"/>
              </w:rPr>
            </w:pPr>
          </w:p>
        </w:tc>
        <w:tc>
          <w:tcPr>
            <w:tcW w:w="149" w:type="pct"/>
          </w:tcPr>
          <w:p w14:paraId="764EFFE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FBD2B0C"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27294041"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7492CFBB" w14:textId="77777777" w:rsidR="00095411" w:rsidRPr="007348FD" w:rsidRDefault="00095411" w:rsidP="00591CBB">
            <w:pPr>
              <w:spacing w:after="160" w:line="259" w:lineRule="auto"/>
              <w:rPr>
                <w:rFonts w:ascii="Arial Narrow" w:hAnsi="Arial Narrow"/>
                <w:sz w:val="18"/>
                <w:szCs w:val="18"/>
              </w:rPr>
            </w:pPr>
          </w:p>
        </w:tc>
        <w:tc>
          <w:tcPr>
            <w:tcW w:w="280" w:type="pct"/>
          </w:tcPr>
          <w:p w14:paraId="4791B10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637BF8" w:rsidRPr="00591CBB" w14:paraId="04EEC44A" w14:textId="77777777" w:rsidTr="00051F27">
        <w:trPr>
          <w:trHeight w:val="228"/>
        </w:trPr>
        <w:tc>
          <w:tcPr>
            <w:cnfStyle w:val="000010000000" w:firstRow="0" w:lastRow="0" w:firstColumn="0" w:lastColumn="0" w:oddVBand="1" w:evenVBand="0" w:oddHBand="0" w:evenHBand="0" w:firstRowFirstColumn="0" w:firstRowLastColumn="0" w:lastRowFirstColumn="0" w:lastRowLastColumn="0"/>
            <w:tcW w:w="432" w:type="pct"/>
          </w:tcPr>
          <w:p w14:paraId="0648ABDB" w14:textId="77777777" w:rsidR="00095411" w:rsidRPr="007348FD" w:rsidRDefault="00095411" w:rsidP="00591CBB">
            <w:pPr>
              <w:spacing w:after="160" w:line="259" w:lineRule="auto"/>
              <w:rPr>
                <w:rFonts w:ascii="Arial Narrow" w:hAnsi="Arial Narrow"/>
                <w:sz w:val="18"/>
                <w:szCs w:val="18"/>
              </w:rPr>
            </w:pPr>
          </w:p>
        </w:tc>
        <w:tc>
          <w:tcPr>
            <w:tcW w:w="460" w:type="pct"/>
          </w:tcPr>
          <w:p w14:paraId="2CF5A370"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668BBFF9"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1A50ADD1"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7348FD">
              <w:rPr>
                <w:rFonts w:ascii="Arial Narrow" w:hAnsi="Arial Narrow"/>
                <w:b/>
                <w:bCs/>
                <w:sz w:val="18"/>
                <w:szCs w:val="18"/>
              </w:rPr>
              <w:t>Vanuatu</w:t>
            </w:r>
          </w:p>
        </w:tc>
        <w:tc>
          <w:tcPr>
            <w:cnfStyle w:val="000010000000" w:firstRow="0" w:lastRow="0" w:firstColumn="0" w:lastColumn="0" w:oddVBand="1" w:evenVBand="0" w:oddHBand="0" w:evenHBand="0" w:firstRowFirstColumn="0" w:firstRowLastColumn="0" w:lastRowFirstColumn="0" w:lastRowLastColumn="0"/>
            <w:tcW w:w="329" w:type="pct"/>
          </w:tcPr>
          <w:p w14:paraId="1A5B8205"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Planned </w:t>
            </w:r>
          </w:p>
        </w:tc>
        <w:tc>
          <w:tcPr>
            <w:tcW w:w="330" w:type="pct"/>
          </w:tcPr>
          <w:p w14:paraId="2428F628" w14:textId="2672BA22"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71" w:type="pct"/>
          </w:tcPr>
          <w:p w14:paraId="52781E1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65275615"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311E5BE4" w14:textId="77777777" w:rsidR="00095411" w:rsidRPr="007348FD" w:rsidRDefault="00095411" w:rsidP="00591CBB">
            <w:pPr>
              <w:spacing w:after="160" w:line="259" w:lineRule="auto"/>
              <w:rPr>
                <w:rFonts w:ascii="Arial Narrow" w:hAnsi="Arial Narrow"/>
                <w:sz w:val="18"/>
                <w:szCs w:val="18"/>
              </w:rPr>
            </w:pPr>
          </w:p>
        </w:tc>
        <w:tc>
          <w:tcPr>
            <w:tcW w:w="273" w:type="pct"/>
          </w:tcPr>
          <w:p w14:paraId="74B801C2"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522857B3" w14:textId="77777777" w:rsidR="00095411" w:rsidRPr="007348FD" w:rsidRDefault="00095411" w:rsidP="00591CBB">
            <w:pPr>
              <w:spacing w:after="160" w:line="259" w:lineRule="auto"/>
              <w:rPr>
                <w:rFonts w:ascii="Arial Narrow" w:hAnsi="Arial Narrow"/>
                <w:sz w:val="18"/>
                <w:szCs w:val="18"/>
              </w:rPr>
            </w:pPr>
          </w:p>
        </w:tc>
        <w:tc>
          <w:tcPr>
            <w:tcW w:w="283" w:type="pct"/>
          </w:tcPr>
          <w:p w14:paraId="70B96157"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12D8355A" w14:textId="77777777" w:rsidR="00095411" w:rsidRPr="007348FD" w:rsidRDefault="00095411" w:rsidP="00591CBB">
            <w:pPr>
              <w:spacing w:after="160" w:line="259" w:lineRule="auto"/>
              <w:rPr>
                <w:rFonts w:ascii="Arial Narrow" w:hAnsi="Arial Narrow"/>
                <w:sz w:val="18"/>
                <w:szCs w:val="18"/>
              </w:rPr>
            </w:pPr>
          </w:p>
        </w:tc>
        <w:tc>
          <w:tcPr>
            <w:tcW w:w="149" w:type="pct"/>
          </w:tcPr>
          <w:p w14:paraId="0B838328"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4F4B579E" w14:textId="77777777" w:rsidR="00095411" w:rsidRPr="007348FD" w:rsidRDefault="00095411" w:rsidP="00591CBB">
            <w:pPr>
              <w:spacing w:after="160" w:line="259" w:lineRule="auto"/>
              <w:rPr>
                <w:rFonts w:ascii="Arial Narrow" w:hAnsi="Arial Narrow"/>
                <w:sz w:val="18"/>
                <w:szCs w:val="18"/>
              </w:rPr>
            </w:pPr>
          </w:p>
        </w:tc>
        <w:tc>
          <w:tcPr>
            <w:tcW w:w="214" w:type="pct"/>
          </w:tcPr>
          <w:p w14:paraId="186D2A2F" w14:textId="77777777"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45" w:type="pct"/>
          </w:tcPr>
          <w:p w14:paraId="2EF80220"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80" w:type="pct"/>
          </w:tcPr>
          <w:p w14:paraId="70770B05" w14:textId="2DAF716C" w:rsidR="00095411" w:rsidRPr="007348FD" w:rsidRDefault="00095411" w:rsidP="00591CBB">
            <w:pPr>
              <w:spacing w:after="160"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Yes</w:t>
            </w:r>
          </w:p>
        </w:tc>
      </w:tr>
      <w:tr w:rsidR="00637BF8" w:rsidRPr="00591CBB" w14:paraId="364864F2" w14:textId="77777777" w:rsidTr="00051F2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2" w:type="pct"/>
          </w:tcPr>
          <w:p w14:paraId="56ECFAC3" w14:textId="77777777" w:rsidR="00095411" w:rsidRPr="007348FD" w:rsidRDefault="00095411" w:rsidP="00591CBB">
            <w:pPr>
              <w:spacing w:after="160" w:line="259" w:lineRule="auto"/>
              <w:rPr>
                <w:rFonts w:ascii="Arial Narrow" w:hAnsi="Arial Narrow"/>
                <w:sz w:val="18"/>
                <w:szCs w:val="18"/>
              </w:rPr>
            </w:pPr>
          </w:p>
        </w:tc>
        <w:tc>
          <w:tcPr>
            <w:tcW w:w="460" w:type="pct"/>
          </w:tcPr>
          <w:p w14:paraId="5C5CE74D"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371" w:type="pct"/>
          </w:tcPr>
          <w:p w14:paraId="7322545B" w14:textId="77777777" w:rsidR="00095411" w:rsidRPr="007348FD" w:rsidRDefault="00095411" w:rsidP="00591CBB">
            <w:pPr>
              <w:spacing w:after="160" w:line="259" w:lineRule="auto"/>
              <w:rPr>
                <w:rFonts w:ascii="Arial Narrow" w:hAnsi="Arial Narrow"/>
                <w:b/>
                <w:bCs/>
                <w:sz w:val="18"/>
                <w:szCs w:val="18"/>
              </w:rPr>
            </w:pPr>
          </w:p>
        </w:tc>
        <w:tc>
          <w:tcPr>
            <w:tcW w:w="341" w:type="pct"/>
          </w:tcPr>
          <w:p w14:paraId="070B09AB"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
        </w:tc>
        <w:tc>
          <w:tcPr>
            <w:cnfStyle w:val="000010000000" w:firstRow="0" w:lastRow="0" w:firstColumn="0" w:lastColumn="0" w:oddVBand="1" w:evenVBand="0" w:oddHBand="0" w:evenHBand="0" w:firstRowFirstColumn="0" w:firstRowLastColumn="0" w:lastRowFirstColumn="0" w:lastRowLastColumn="0"/>
            <w:tcW w:w="329" w:type="pct"/>
          </w:tcPr>
          <w:p w14:paraId="4D7E9A18"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Actual</w:t>
            </w:r>
          </w:p>
        </w:tc>
        <w:tc>
          <w:tcPr>
            <w:tcW w:w="330" w:type="pct"/>
          </w:tcPr>
          <w:p w14:paraId="0CEA74AC"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271" w:type="pct"/>
          </w:tcPr>
          <w:p w14:paraId="198A97D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No</w:t>
            </w:r>
          </w:p>
        </w:tc>
        <w:tc>
          <w:tcPr>
            <w:tcW w:w="298" w:type="pct"/>
          </w:tcPr>
          <w:p w14:paraId="74EF02A4"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348FD">
              <w:rPr>
                <w:rFonts w:ascii="Arial Narrow" w:hAnsi="Arial Narrow"/>
                <w:sz w:val="18"/>
                <w:szCs w:val="18"/>
              </w:rPr>
              <w:t>No</w:t>
            </w:r>
          </w:p>
        </w:tc>
        <w:tc>
          <w:tcPr>
            <w:cnfStyle w:val="000010000000" w:firstRow="0" w:lastRow="0" w:firstColumn="0" w:lastColumn="0" w:oddVBand="1" w:evenVBand="0" w:oddHBand="0" w:evenHBand="0" w:firstRowFirstColumn="0" w:firstRowLastColumn="0" w:lastRowFirstColumn="0" w:lastRowLastColumn="0"/>
            <w:tcW w:w="197" w:type="pct"/>
          </w:tcPr>
          <w:p w14:paraId="104545FE" w14:textId="77777777" w:rsidR="00095411" w:rsidRPr="007348FD" w:rsidRDefault="00095411" w:rsidP="00591CBB">
            <w:pPr>
              <w:spacing w:after="160" w:line="259" w:lineRule="auto"/>
              <w:rPr>
                <w:rFonts w:ascii="Arial Narrow" w:hAnsi="Arial Narrow"/>
                <w:sz w:val="18"/>
                <w:szCs w:val="18"/>
              </w:rPr>
            </w:pPr>
          </w:p>
        </w:tc>
        <w:tc>
          <w:tcPr>
            <w:tcW w:w="273" w:type="pct"/>
          </w:tcPr>
          <w:p w14:paraId="4C9AD0DA"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85" w:type="pct"/>
          </w:tcPr>
          <w:p w14:paraId="6A4B2225" w14:textId="77777777" w:rsidR="00095411" w:rsidRPr="007348FD" w:rsidRDefault="00095411" w:rsidP="00591CBB">
            <w:pPr>
              <w:spacing w:after="160" w:line="259" w:lineRule="auto"/>
              <w:rPr>
                <w:rFonts w:ascii="Arial Narrow" w:hAnsi="Arial Narrow"/>
                <w:sz w:val="18"/>
                <w:szCs w:val="18"/>
              </w:rPr>
            </w:pPr>
          </w:p>
        </w:tc>
        <w:tc>
          <w:tcPr>
            <w:tcW w:w="283" w:type="pct"/>
          </w:tcPr>
          <w:p w14:paraId="5F69D54F"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41" w:type="pct"/>
          </w:tcPr>
          <w:p w14:paraId="7A2918CE" w14:textId="77777777" w:rsidR="00095411" w:rsidRPr="007348FD" w:rsidRDefault="00095411" w:rsidP="00591CBB">
            <w:pPr>
              <w:spacing w:after="160" w:line="259" w:lineRule="auto"/>
              <w:rPr>
                <w:rFonts w:ascii="Arial Narrow" w:hAnsi="Arial Narrow"/>
                <w:sz w:val="18"/>
                <w:szCs w:val="18"/>
              </w:rPr>
            </w:pPr>
          </w:p>
        </w:tc>
        <w:tc>
          <w:tcPr>
            <w:tcW w:w="149" w:type="pct"/>
          </w:tcPr>
          <w:p w14:paraId="15A98043"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101" w:type="pct"/>
          </w:tcPr>
          <w:p w14:paraId="22AA53B2" w14:textId="77777777" w:rsidR="00095411" w:rsidRPr="007348FD" w:rsidRDefault="00095411" w:rsidP="00591CBB">
            <w:pPr>
              <w:spacing w:after="160" w:line="259" w:lineRule="auto"/>
              <w:rPr>
                <w:rFonts w:ascii="Arial Narrow" w:hAnsi="Arial Narrow"/>
                <w:sz w:val="18"/>
                <w:szCs w:val="18"/>
              </w:rPr>
            </w:pPr>
            <w:r w:rsidRPr="007348FD">
              <w:rPr>
                <w:rFonts w:ascii="Arial Narrow" w:hAnsi="Arial Narrow"/>
                <w:sz w:val="18"/>
                <w:szCs w:val="18"/>
              </w:rPr>
              <w:t xml:space="preserve">  1 </w:t>
            </w:r>
          </w:p>
        </w:tc>
        <w:tc>
          <w:tcPr>
            <w:tcW w:w="214" w:type="pct"/>
          </w:tcPr>
          <w:p w14:paraId="7B59A6D5"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cnfStyle w:val="000010000000" w:firstRow="0" w:lastRow="0" w:firstColumn="0" w:lastColumn="0" w:oddVBand="1" w:evenVBand="0" w:oddHBand="0" w:evenHBand="0" w:firstRowFirstColumn="0" w:firstRowLastColumn="0" w:lastRowFirstColumn="0" w:lastRowLastColumn="0"/>
            <w:tcW w:w="245" w:type="pct"/>
          </w:tcPr>
          <w:p w14:paraId="39622B0C" w14:textId="77777777" w:rsidR="00095411" w:rsidRPr="007348FD" w:rsidRDefault="00095411" w:rsidP="00591CBB">
            <w:pPr>
              <w:spacing w:after="160" w:line="259" w:lineRule="auto"/>
              <w:rPr>
                <w:rFonts w:ascii="Arial Narrow" w:hAnsi="Arial Narrow"/>
                <w:sz w:val="18"/>
                <w:szCs w:val="18"/>
              </w:rPr>
            </w:pPr>
          </w:p>
        </w:tc>
        <w:tc>
          <w:tcPr>
            <w:tcW w:w="280" w:type="pct"/>
          </w:tcPr>
          <w:p w14:paraId="5B296258" w14:textId="77777777" w:rsidR="00095411" w:rsidRPr="007348FD" w:rsidRDefault="00095411" w:rsidP="00591CBB">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bl>
    <w:p w14:paraId="5CB6AAE6" w14:textId="77777777" w:rsidR="00B3686F" w:rsidRDefault="00B3686F" w:rsidP="00F87AA9"/>
    <w:p w14:paraId="25B3DF8D" w14:textId="77777777" w:rsidR="00540259" w:rsidRDefault="00A534C3" w:rsidP="00A534C3">
      <w:pPr>
        <w:pStyle w:val="Title"/>
      </w:pPr>
      <w:bookmarkStart w:id="54" w:name="_Toc76630111"/>
      <w:r>
        <w:t>Indicator Progress Results</w:t>
      </w:r>
      <w:bookmarkEnd w:id="54"/>
    </w:p>
    <w:tbl>
      <w:tblPr>
        <w:tblStyle w:val="TableGrid"/>
        <w:tblW w:w="4032" w:type="pct"/>
        <w:tblLook w:val="0020" w:firstRow="1" w:lastRow="0" w:firstColumn="0" w:lastColumn="0" w:noHBand="0" w:noVBand="0"/>
      </w:tblPr>
      <w:tblGrid>
        <w:gridCol w:w="1187"/>
        <w:gridCol w:w="2099"/>
        <w:gridCol w:w="1025"/>
        <w:gridCol w:w="1407"/>
        <w:gridCol w:w="831"/>
        <w:gridCol w:w="845"/>
        <w:gridCol w:w="496"/>
        <w:gridCol w:w="1919"/>
        <w:gridCol w:w="440"/>
        <w:gridCol w:w="440"/>
        <w:gridCol w:w="440"/>
        <w:gridCol w:w="708"/>
        <w:gridCol w:w="573"/>
      </w:tblGrid>
      <w:tr w:rsidR="0013144F" w:rsidRPr="007348FD" w14:paraId="4E2CDF32" w14:textId="77777777" w:rsidTr="001E222B">
        <w:trPr>
          <w:trHeight w:val="247"/>
        </w:trPr>
        <w:tc>
          <w:tcPr>
            <w:tcW w:w="478" w:type="pct"/>
          </w:tcPr>
          <w:p w14:paraId="6BEB5C2A" w14:textId="5938577E" w:rsidR="0013144F" w:rsidRPr="0013144F" w:rsidRDefault="0013144F" w:rsidP="00591CBB">
            <w:pPr>
              <w:rPr>
                <w:b/>
                <w:bCs/>
              </w:rPr>
            </w:pPr>
            <w:bookmarkStart w:id="55" w:name="_Hlk75512619"/>
            <w:r>
              <w:rPr>
                <w:b/>
                <w:bCs/>
              </w:rPr>
              <w:t>Colour</w:t>
            </w:r>
          </w:p>
        </w:tc>
        <w:tc>
          <w:tcPr>
            <w:tcW w:w="846" w:type="pct"/>
          </w:tcPr>
          <w:p w14:paraId="3F3BB9DC" w14:textId="65EFD239" w:rsidR="0013144F" w:rsidRPr="0013144F" w:rsidRDefault="0013144F" w:rsidP="00591CBB">
            <w:pPr>
              <w:rPr>
                <w:b/>
                <w:bCs/>
              </w:rPr>
            </w:pPr>
            <w:r>
              <w:rPr>
                <w:b/>
                <w:bCs/>
              </w:rPr>
              <w:t>Progress Result</w:t>
            </w:r>
          </w:p>
        </w:tc>
        <w:tc>
          <w:tcPr>
            <w:tcW w:w="413" w:type="pct"/>
          </w:tcPr>
          <w:p w14:paraId="7155F779" w14:textId="36349965" w:rsidR="0013144F" w:rsidRPr="0013144F" w:rsidRDefault="0013144F" w:rsidP="00591CBB">
            <w:pPr>
              <w:rPr>
                <w:b/>
                <w:bCs/>
              </w:rPr>
            </w:pPr>
            <w:r>
              <w:rPr>
                <w:b/>
                <w:bCs/>
              </w:rPr>
              <w:t>Range</w:t>
            </w:r>
          </w:p>
        </w:tc>
        <w:tc>
          <w:tcPr>
            <w:tcW w:w="567" w:type="pct"/>
          </w:tcPr>
          <w:p w14:paraId="0A03D2E6" w14:textId="5B9CCC32" w:rsidR="0013144F" w:rsidRPr="0013144F" w:rsidRDefault="0013144F" w:rsidP="00591CBB">
            <w:pPr>
              <w:rPr>
                <w:b/>
                <w:bCs/>
              </w:rPr>
            </w:pPr>
            <w:r>
              <w:rPr>
                <w:b/>
                <w:bCs/>
              </w:rPr>
              <w:t>Quantity</w:t>
            </w:r>
          </w:p>
        </w:tc>
        <w:tc>
          <w:tcPr>
            <w:tcW w:w="335" w:type="pct"/>
            <w:tcBorders>
              <w:right w:val="single" w:sz="4" w:space="0" w:color="auto"/>
            </w:tcBorders>
          </w:tcPr>
          <w:p w14:paraId="4FBE716F" w14:textId="1CF145AD" w:rsidR="0013144F" w:rsidRPr="0013144F" w:rsidRDefault="0013144F" w:rsidP="00591CBB">
            <w:pPr>
              <w:rPr>
                <w:b/>
                <w:bCs/>
              </w:rPr>
            </w:pPr>
            <w:r>
              <w:rPr>
                <w:b/>
                <w:bCs/>
              </w:rPr>
              <w:t>% Total</w:t>
            </w:r>
          </w:p>
        </w:tc>
        <w:tc>
          <w:tcPr>
            <w:tcW w:w="340" w:type="pct"/>
            <w:tcBorders>
              <w:top w:val="single" w:sz="4" w:space="0" w:color="auto"/>
              <w:left w:val="single" w:sz="4" w:space="0" w:color="auto"/>
              <w:bottom w:val="single" w:sz="4" w:space="0" w:color="auto"/>
              <w:right w:val="nil"/>
            </w:tcBorders>
          </w:tcPr>
          <w:p w14:paraId="58128BC9" w14:textId="0CE6C5B9" w:rsidR="0013144F" w:rsidRPr="0013144F" w:rsidRDefault="0013144F" w:rsidP="00591CBB">
            <w:pPr>
              <w:rPr>
                <w:b/>
                <w:bCs/>
              </w:rPr>
            </w:pPr>
            <w:r>
              <w:rPr>
                <w:b/>
                <w:bCs/>
              </w:rPr>
              <w:t>% among the 78 that are rated</w:t>
            </w:r>
          </w:p>
        </w:tc>
        <w:tc>
          <w:tcPr>
            <w:tcW w:w="200" w:type="pct"/>
            <w:tcBorders>
              <w:top w:val="single" w:sz="4" w:space="0" w:color="auto"/>
              <w:left w:val="nil"/>
              <w:bottom w:val="single" w:sz="4" w:space="0" w:color="auto"/>
              <w:right w:val="nil"/>
            </w:tcBorders>
          </w:tcPr>
          <w:p w14:paraId="5A897D67" w14:textId="77777777" w:rsidR="0013144F" w:rsidRPr="0013144F" w:rsidRDefault="0013144F" w:rsidP="00591CBB"/>
        </w:tc>
        <w:tc>
          <w:tcPr>
            <w:tcW w:w="773" w:type="pct"/>
            <w:tcBorders>
              <w:top w:val="single" w:sz="4" w:space="0" w:color="auto"/>
              <w:left w:val="nil"/>
              <w:bottom w:val="single" w:sz="4" w:space="0" w:color="auto"/>
              <w:right w:val="nil"/>
            </w:tcBorders>
          </w:tcPr>
          <w:p w14:paraId="679CBB06" w14:textId="77777777" w:rsidR="0013144F" w:rsidRPr="0013144F" w:rsidRDefault="0013144F" w:rsidP="00591CBB">
            <w:pPr>
              <w:rPr>
                <w:b/>
                <w:bCs/>
              </w:rPr>
            </w:pPr>
          </w:p>
        </w:tc>
        <w:tc>
          <w:tcPr>
            <w:tcW w:w="177" w:type="pct"/>
            <w:tcBorders>
              <w:top w:val="single" w:sz="4" w:space="0" w:color="auto"/>
              <w:left w:val="nil"/>
              <w:bottom w:val="single" w:sz="4" w:space="0" w:color="auto"/>
              <w:right w:val="nil"/>
            </w:tcBorders>
          </w:tcPr>
          <w:p w14:paraId="02BFB085" w14:textId="77777777" w:rsidR="0013144F" w:rsidRPr="0013144F" w:rsidRDefault="0013144F" w:rsidP="00591CBB">
            <w:pPr>
              <w:rPr>
                <w:b/>
              </w:rPr>
            </w:pPr>
          </w:p>
        </w:tc>
        <w:tc>
          <w:tcPr>
            <w:tcW w:w="177" w:type="pct"/>
            <w:tcBorders>
              <w:top w:val="single" w:sz="4" w:space="0" w:color="auto"/>
              <w:left w:val="nil"/>
              <w:bottom w:val="single" w:sz="4" w:space="0" w:color="auto"/>
              <w:right w:val="nil"/>
            </w:tcBorders>
          </w:tcPr>
          <w:p w14:paraId="0EE3A1E8" w14:textId="77777777" w:rsidR="0013144F" w:rsidRPr="0013144F" w:rsidRDefault="0013144F" w:rsidP="00591CBB"/>
        </w:tc>
        <w:tc>
          <w:tcPr>
            <w:tcW w:w="177" w:type="pct"/>
            <w:tcBorders>
              <w:top w:val="single" w:sz="4" w:space="0" w:color="auto"/>
              <w:left w:val="nil"/>
              <w:bottom w:val="single" w:sz="4" w:space="0" w:color="auto"/>
              <w:right w:val="single" w:sz="4" w:space="0" w:color="auto"/>
            </w:tcBorders>
          </w:tcPr>
          <w:p w14:paraId="4DC6EE9D" w14:textId="77777777" w:rsidR="0013144F" w:rsidRPr="0013144F" w:rsidRDefault="0013144F" w:rsidP="00591CBB">
            <w:pPr>
              <w:rPr>
                <w:b/>
              </w:rPr>
            </w:pPr>
          </w:p>
        </w:tc>
        <w:tc>
          <w:tcPr>
            <w:tcW w:w="285" w:type="pct"/>
            <w:tcBorders>
              <w:left w:val="single" w:sz="4" w:space="0" w:color="auto"/>
            </w:tcBorders>
          </w:tcPr>
          <w:p w14:paraId="63BCE9C1" w14:textId="79BAC22C" w:rsidR="0013144F" w:rsidRPr="0013144F" w:rsidRDefault="0013144F" w:rsidP="00591CBB">
            <w:pPr>
              <w:rPr>
                <w:b/>
              </w:rPr>
            </w:pPr>
            <w:r>
              <w:rPr>
                <w:b/>
              </w:rPr>
              <w:t>Not rated</w:t>
            </w:r>
          </w:p>
        </w:tc>
        <w:tc>
          <w:tcPr>
            <w:tcW w:w="231" w:type="pct"/>
          </w:tcPr>
          <w:p w14:paraId="61608074" w14:textId="77777777" w:rsidR="0013144F" w:rsidRPr="0013144F" w:rsidRDefault="0013144F" w:rsidP="00591CBB"/>
        </w:tc>
      </w:tr>
      <w:tr w:rsidR="0013144F" w:rsidRPr="007348FD" w14:paraId="5F84751A" w14:textId="77777777" w:rsidTr="001E222B">
        <w:trPr>
          <w:trHeight w:val="247"/>
        </w:trPr>
        <w:tc>
          <w:tcPr>
            <w:tcW w:w="478" w:type="pct"/>
          </w:tcPr>
          <w:p w14:paraId="5D2831CF" w14:textId="5878C55E" w:rsidR="005526F2" w:rsidRPr="000D65EC" w:rsidRDefault="005526F2" w:rsidP="00591CBB">
            <w:pPr>
              <w:rPr>
                <w:b/>
                <w:bCs/>
                <w:color w:val="006C31"/>
              </w:rPr>
            </w:pPr>
            <w:r w:rsidRPr="000D65EC">
              <w:rPr>
                <w:b/>
                <w:bCs/>
                <w:color w:val="006C31"/>
              </w:rPr>
              <w:t>Green</w:t>
            </w:r>
          </w:p>
        </w:tc>
        <w:tc>
          <w:tcPr>
            <w:tcW w:w="846" w:type="pct"/>
          </w:tcPr>
          <w:p w14:paraId="6A0BAC56" w14:textId="77777777" w:rsidR="005526F2" w:rsidRPr="000D65EC" w:rsidRDefault="005526F2" w:rsidP="00591CBB">
            <w:pPr>
              <w:rPr>
                <w:b/>
                <w:bCs/>
                <w:color w:val="006C31"/>
              </w:rPr>
            </w:pPr>
            <w:r w:rsidRPr="000D65EC">
              <w:rPr>
                <w:b/>
                <w:bCs/>
                <w:color w:val="006C31"/>
              </w:rPr>
              <w:t>achieved or /on track</w:t>
            </w:r>
          </w:p>
        </w:tc>
        <w:tc>
          <w:tcPr>
            <w:tcW w:w="413" w:type="pct"/>
          </w:tcPr>
          <w:p w14:paraId="5CDF4CC9" w14:textId="77777777" w:rsidR="005526F2" w:rsidRPr="000D65EC" w:rsidRDefault="005526F2" w:rsidP="00591CBB">
            <w:pPr>
              <w:rPr>
                <w:b/>
                <w:bCs/>
                <w:color w:val="006C31"/>
              </w:rPr>
            </w:pPr>
            <w:r w:rsidRPr="000D65EC">
              <w:rPr>
                <w:b/>
                <w:bCs/>
                <w:color w:val="006C31"/>
              </w:rPr>
              <w:t>67 - 100%</w:t>
            </w:r>
          </w:p>
        </w:tc>
        <w:tc>
          <w:tcPr>
            <w:tcW w:w="567" w:type="pct"/>
          </w:tcPr>
          <w:p w14:paraId="7D91AA49" w14:textId="41D8A707" w:rsidR="005526F2" w:rsidRPr="000D65EC" w:rsidRDefault="005526F2" w:rsidP="00591CBB">
            <w:pPr>
              <w:rPr>
                <w:b/>
                <w:bCs/>
                <w:color w:val="006C31"/>
              </w:rPr>
            </w:pPr>
            <w:r w:rsidRPr="000D65EC">
              <w:rPr>
                <w:b/>
                <w:bCs/>
                <w:color w:val="006C31"/>
              </w:rPr>
              <w:t xml:space="preserve">          2</w:t>
            </w:r>
            <w:r>
              <w:rPr>
                <w:b/>
                <w:bCs/>
                <w:color w:val="006C31"/>
              </w:rPr>
              <w:t>5</w:t>
            </w:r>
            <w:r w:rsidRPr="000D65EC">
              <w:rPr>
                <w:b/>
                <w:bCs/>
                <w:color w:val="006C31"/>
              </w:rPr>
              <w:t xml:space="preserve"> </w:t>
            </w:r>
          </w:p>
        </w:tc>
        <w:tc>
          <w:tcPr>
            <w:tcW w:w="335" w:type="pct"/>
          </w:tcPr>
          <w:p w14:paraId="583EA89B" w14:textId="77777777" w:rsidR="005526F2" w:rsidRPr="000D65EC" w:rsidRDefault="005526F2" w:rsidP="00591CBB">
            <w:pPr>
              <w:rPr>
                <w:b/>
                <w:bCs/>
                <w:color w:val="006C31"/>
              </w:rPr>
            </w:pPr>
            <w:r w:rsidRPr="000D65EC">
              <w:rPr>
                <w:b/>
                <w:bCs/>
                <w:color w:val="006C31"/>
              </w:rPr>
              <w:t>17%</w:t>
            </w:r>
          </w:p>
        </w:tc>
        <w:tc>
          <w:tcPr>
            <w:tcW w:w="340" w:type="pct"/>
            <w:tcBorders>
              <w:top w:val="single" w:sz="4" w:space="0" w:color="auto"/>
            </w:tcBorders>
          </w:tcPr>
          <w:p w14:paraId="76D72656" w14:textId="77777777" w:rsidR="005526F2" w:rsidRPr="000D65EC" w:rsidRDefault="005526F2" w:rsidP="00591CBB">
            <w:pPr>
              <w:rPr>
                <w:b/>
                <w:bCs/>
                <w:color w:val="006C31"/>
              </w:rPr>
            </w:pPr>
            <w:r w:rsidRPr="000D65EC">
              <w:rPr>
                <w:b/>
                <w:bCs/>
                <w:color w:val="006C31"/>
              </w:rPr>
              <w:t>33%</w:t>
            </w:r>
          </w:p>
        </w:tc>
        <w:tc>
          <w:tcPr>
            <w:tcW w:w="200" w:type="pct"/>
            <w:tcBorders>
              <w:top w:val="single" w:sz="4" w:space="0" w:color="auto"/>
            </w:tcBorders>
          </w:tcPr>
          <w:p w14:paraId="36E69DE4" w14:textId="77777777" w:rsidR="005526F2" w:rsidRPr="007348FD" w:rsidRDefault="005526F2" w:rsidP="00591CBB"/>
        </w:tc>
        <w:tc>
          <w:tcPr>
            <w:tcW w:w="773" w:type="pct"/>
            <w:tcBorders>
              <w:top w:val="single" w:sz="4" w:space="0" w:color="auto"/>
            </w:tcBorders>
          </w:tcPr>
          <w:p w14:paraId="7240D3A8" w14:textId="7C477CD1" w:rsidR="005526F2" w:rsidRPr="007348FD" w:rsidRDefault="005526F2" w:rsidP="00591CBB">
            <w:r w:rsidRPr="007348FD">
              <w:rPr>
                <w:b/>
                <w:bCs/>
              </w:rPr>
              <w:t>Fiji</w:t>
            </w:r>
          </w:p>
        </w:tc>
        <w:tc>
          <w:tcPr>
            <w:tcW w:w="177" w:type="pct"/>
            <w:tcBorders>
              <w:top w:val="single" w:sz="4" w:space="0" w:color="auto"/>
            </w:tcBorders>
          </w:tcPr>
          <w:p w14:paraId="3C04D1B0" w14:textId="77777777" w:rsidR="005526F2" w:rsidRPr="000D65EC" w:rsidRDefault="005526F2" w:rsidP="00591CBB">
            <w:pPr>
              <w:rPr>
                <w:b/>
                <w:color w:val="008000"/>
              </w:rPr>
            </w:pPr>
            <w:r w:rsidRPr="000D65EC">
              <w:rPr>
                <w:b/>
                <w:color w:val="008000"/>
              </w:rPr>
              <w:t xml:space="preserve"> 3 </w:t>
            </w:r>
          </w:p>
        </w:tc>
        <w:tc>
          <w:tcPr>
            <w:tcW w:w="177" w:type="pct"/>
            <w:tcBorders>
              <w:top w:val="single" w:sz="4" w:space="0" w:color="auto"/>
            </w:tcBorders>
          </w:tcPr>
          <w:p w14:paraId="1FED17F1" w14:textId="77777777" w:rsidR="005526F2" w:rsidRPr="000D65EC" w:rsidRDefault="005526F2" w:rsidP="00591CBB">
            <w:pPr>
              <w:rPr>
                <w:b/>
                <w:color w:val="0000FF"/>
              </w:rPr>
            </w:pPr>
            <w:r w:rsidRPr="000D65EC">
              <w:rPr>
                <w:color w:val="0000FF"/>
              </w:rPr>
              <w:t xml:space="preserve"> </w:t>
            </w:r>
            <w:r w:rsidRPr="000D65EC">
              <w:rPr>
                <w:b/>
                <w:color w:val="0000FF"/>
              </w:rPr>
              <w:t xml:space="preserve">4 </w:t>
            </w:r>
          </w:p>
        </w:tc>
        <w:tc>
          <w:tcPr>
            <w:tcW w:w="177" w:type="pct"/>
            <w:tcBorders>
              <w:top w:val="single" w:sz="4" w:space="0" w:color="auto"/>
            </w:tcBorders>
          </w:tcPr>
          <w:p w14:paraId="65BC4B92" w14:textId="77777777" w:rsidR="005526F2" w:rsidRPr="000D65EC" w:rsidRDefault="005526F2" w:rsidP="00591CBB">
            <w:pPr>
              <w:rPr>
                <w:b/>
                <w:color w:val="CC0000"/>
              </w:rPr>
            </w:pPr>
            <w:r w:rsidRPr="000D65EC">
              <w:rPr>
                <w:b/>
                <w:color w:val="CC0000"/>
              </w:rPr>
              <w:t xml:space="preserve"> 7 </w:t>
            </w:r>
          </w:p>
        </w:tc>
        <w:tc>
          <w:tcPr>
            <w:tcW w:w="285" w:type="pct"/>
          </w:tcPr>
          <w:p w14:paraId="03AC03C6" w14:textId="77777777" w:rsidR="005526F2" w:rsidRPr="005526F2" w:rsidRDefault="005526F2" w:rsidP="00591CBB">
            <w:pPr>
              <w:rPr>
                <w:b/>
                <w:color w:val="595959" w:themeColor="text1" w:themeTint="A6"/>
              </w:rPr>
            </w:pPr>
            <w:r w:rsidRPr="005526F2">
              <w:rPr>
                <w:b/>
                <w:color w:val="595959" w:themeColor="text1" w:themeTint="A6"/>
              </w:rPr>
              <w:t>11</w:t>
            </w:r>
          </w:p>
        </w:tc>
        <w:tc>
          <w:tcPr>
            <w:tcW w:w="231" w:type="pct"/>
          </w:tcPr>
          <w:p w14:paraId="79196D56" w14:textId="77777777" w:rsidR="005526F2" w:rsidRPr="007348FD" w:rsidRDefault="005526F2" w:rsidP="00591CBB">
            <w:r w:rsidRPr="007348FD">
              <w:t xml:space="preserve">               25 </w:t>
            </w:r>
          </w:p>
        </w:tc>
      </w:tr>
      <w:tr w:rsidR="0013144F" w:rsidRPr="007348FD" w14:paraId="0A34FDE9" w14:textId="77777777" w:rsidTr="001E222B">
        <w:trPr>
          <w:trHeight w:val="247"/>
        </w:trPr>
        <w:tc>
          <w:tcPr>
            <w:tcW w:w="478" w:type="pct"/>
          </w:tcPr>
          <w:p w14:paraId="778D3FD5" w14:textId="327F44F8" w:rsidR="00924CF1" w:rsidRPr="005526F2" w:rsidRDefault="005526F2" w:rsidP="00591CBB">
            <w:pPr>
              <w:rPr>
                <w:b/>
                <w:bCs/>
                <w:color w:val="0000FF"/>
              </w:rPr>
            </w:pPr>
            <w:r>
              <w:rPr>
                <w:b/>
                <w:bCs/>
                <w:color w:val="0000FF"/>
              </w:rPr>
              <w:t>Blue</w:t>
            </w:r>
          </w:p>
        </w:tc>
        <w:tc>
          <w:tcPr>
            <w:tcW w:w="846" w:type="pct"/>
          </w:tcPr>
          <w:p w14:paraId="00D6C2F9" w14:textId="77777777" w:rsidR="00924CF1" w:rsidRPr="005526F2" w:rsidRDefault="00924CF1" w:rsidP="00591CBB">
            <w:pPr>
              <w:rPr>
                <w:b/>
                <w:bCs/>
                <w:color w:val="0000FF"/>
              </w:rPr>
            </w:pPr>
            <w:r w:rsidRPr="005526F2">
              <w:rPr>
                <w:b/>
                <w:bCs/>
                <w:color w:val="0000FF"/>
              </w:rPr>
              <w:t>some /limited progress</w:t>
            </w:r>
          </w:p>
        </w:tc>
        <w:tc>
          <w:tcPr>
            <w:tcW w:w="413" w:type="pct"/>
          </w:tcPr>
          <w:p w14:paraId="4A026FD9" w14:textId="77777777" w:rsidR="00924CF1" w:rsidRPr="005526F2" w:rsidRDefault="00924CF1" w:rsidP="00591CBB">
            <w:pPr>
              <w:rPr>
                <w:b/>
                <w:bCs/>
                <w:color w:val="0000FF"/>
              </w:rPr>
            </w:pPr>
            <w:r w:rsidRPr="005526F2">
              <w:rPr>
                <w:b/>
                <w:bCs/>
                <w:color w:val="0000FF"/>
              </w:rPr>
              <w:t>33 - 66%</w:t>
            </w:r>
          </w:p>
        </w:tc>
        <w:tc>
          <w:tcPr>
            <w:tcW w:w="567" w:type="pct"/>
          </w:tcPr>
          <w:p w14:paraId="5A89A3CF" w14:textId="3FE5C070" w:rsidR="00924CF1" w:rsidRPr="005526F2" w:rsidRDefault="00924CF1" w:rsidP="00591CBB">
            <w:pPr>
              <w:rPr>
                <w:b/>
                <w:bCs/>
                <w:color w:val="0000FF"/>
              </w:rPr>
            </w:pPr>
            <w:r w:rsidRPr="005526F2">
              <w:rPr>
                <w:b/>
                <w:bCs/>
                <w:color w:val="0000FF"/>
              </w:rPr>
              <w:t xml:space="preserve">          1</w:t>
            </w:r>
            <w:r w:rsidR="005526F2">
              <w:rPr>
                <w:b/>
                <w:bCs/>
                <w:color w:val="0000FF"/>
              </w:rPr>
              <w:t>2</w:t>
            </w:r>
            <w:r w:rsidRPr="005526F2">
              <w:rPr>
                <w:b/>
                <w:bCs/>
                <w:color w:val="0000FF"/>
              </w:rPr>
              <w:t xml:space="preserve"> </w:t>
            </w:r>
          </w:p>
        </w:tc>
        <w:tc>
          <w:tcPr>
            <w:tcW w:w="335" w:type="pct"/>
          </w:tcPr>
          <w:p w14:paraId="6D5E288B" w14:textId="77777777" w:rsidR="00924CF1" w:rsidRPr="005526F2" w:rsidRDefault="00924CF1" w:rsidP="00591CBB">
            <w:pPr>
              <w:rPr>
                <w:b/>
                <w:bCs/>
                <w:color w:val="0000FF"/>
              </w:rPr>
            </w:pPr>
            <w:r w:rsidRPr="005526F2">
              <w:rPr>
                <w:b/>
                <w:bCs/>
                <w:color w:val="0000FF"/>
              </w:rPr>
              <w:t>7%</w:t>
            </w:r>
          </w:p>
        </w:tc>
        <w:tc>
          <w:tcPr>
            <w:tcW w:w="340" w:type="pct"/>
          </w:tcPr>
          <w:p w14:paraId="50464F5C" w14:textId="77777777" w:rsidR="00924CF1" w:rsidRPr="005526F2" w:rsidRDefault="00924CF1" w:rsidP="00591CBB">
            <w:pPr>
              <w:rPr>
                <w:b/>
                <w:bCs/>
                <w:color w:val="0000FF"/>
              </w:rPr>
            </w:pPr>
            <w:r w:rsidRPr="005526F2">
              <w:rPr>
                <w:b/>
                <w:bCs/>
                <w:color w:val="0000FF"/>
              </w:rPr>
              <w:t>14%</w:t>
            </w:r>
          </w:p>
        </w:tc>
        <w:tc>
          <w:tcPr>
            <w:tcW w:w="200" w:type="pct"/>
          </w:tcPr>
          <w:p w14:paraId="345F67CC" w14:textId="77777777" w:rsidR="00924CF1" w:rsidRPr="007348FD" w:rsidRDefault="00924CF1" w:rsidP="00591CBB"/>
        </w:tc>
        <w:tc>
          <w:tcPr>
            <w:tcW w:w="773" w:type="pct"/>
          </w:tcPr>
          <w:p w14:paraId="4B1DBBC0" w14:textId="77777777" w:rsidR="00924CF1" w:rsidRPr="007348FD" w:rsidRDefault="00924CF1" w:rsidP="00591CBB">
            <w:pPr>
              <w:rPr>
                <w:b/>
                <w:bCs/>
              </w:rPr>
            </w:pPr>
            <w:r w:rsidRPr="007348FD">
              <w:rPr>
                <w:b/>
                <w:bCs/>
              </w:rPr>
              <w:t>Kiribati</w:t>
            </w:r>
          </w:p>
        </w:tc>
        <w:tc>
          <w:tcPr>
            <w:tcW w:w="177" w:type="pct"/>
          </w:tcPr>
          <w:p w14:paraId="4EB888E5" w14:textId="77777777" w:rsidR="00924CF1" w:rsidRPr="000D65EC" w:rsidRDefault="00924CF1" w:rsidP="00591CBB">
            <w:pPr>
              <w:rPr>
                <w:b/>
                <w:color w:val="006C31"/>
              </w:rPr>
            </w:pPr>
            <w:r w:rsidRPr="000D65EC">
              <w:rPr>
                <w:b/>
                <w:color w:val="006C31"/>
              </w:rPr>
              <w:t xml:space="preserve"> 8 </w:t>
            </w:r>
          </w:p>
        </w:tc>
        <w:tc>
          <w:tcPr>
            <w:tcW w:w="177" w:type="pct"/>
          </w:tcPr>
          <w:p w14:paraId="1868925C" w14:textId="77777777" w:rsidR="00924CF1" w:rsidRPr="000D65EC" w:rsidRDefault="00924CF1" w:rsidP="00591CBB">
            <w:pPr>
              <w:rPr>
                <w:b/>
                <w:color w:val="0000FF"/>
              </w:rPr>
            </w:pPr>
            <w:r w:rsidRPr="000D65EC">
              <w:rPr>
                <w:b/>
                <w:color w:val="0000FF"/>
              </w:rPr>
              <w:t xml:space="preserve"> 2 </w:t>
            </w:r>
          </w:p>
        </w:tc>
        <w:tc>
          <w:tcPr>
            <w:tcW w:w="177" w:type="pct"/>
          </w:tcPr>
          <w:p w14:paraId="7EC38CBD" w14:textId="77777777" w:rsidR="00924CF1" w:rsidRPr="000D65EC" w:rsidRDefault="00924CF1" w:rsidP="00591CBB">
            <w:pPr>
              <w:rPr>
                <w:b/>
                <w:color w:val="CC0000"/>
              </w:rPr>
            </w:pPr>
            <w:r w:rsidRPr="000D65EC">
              <w:rPr>
                <w:b/>
                <w:color w:val="CC0000"/>
              </w:rPr>
              <w:t xml:space="preserve"> 7 </w:t>
            </w:r>
          </w:p>
        </w:tc>
        <w:tc>
          <w:tcPr>
            <w:tcW w:w="285" w:type="pct"/>
          </w:tcPr>
          <w:p w14:paraId="2EFB2D24" w14:textId="77777777" w:rsidR="00924CF1" w:rsidRPr="005526F2" w:rsidRDefault="00924CF1" w:rsidP="00591CBB">
            <w:pPr>
              <w:rPr>
                <w:b/>
                <w:color w:val="595959" w:themeColor="text1" w:themeTint="A6"/>
              </w:rPr>
            </w:pPr>
            <w:r w:rsidRPr="005526F2">
              <w:rPr>
                <w:b/>
                <w:color w:val="595959" w:themeColor="text1" w:themeTint="A6"/>
              </w:rPr>
              <w:t>8</w:t>
            </w:r>
          </w:p>
        </w:tc>
        <w:tc>
          <w:tcPr>
            <w:tcW w:w="231" w:type="pct"/>
          </w:tcPr>
          <w:p w14:paraId="74FF88EE" w14:textId="77777777" w:rsidR="00924CF1" w:rsidRPr="007348FD" w:rsidRDefault="00924CF1" w:rsidP="00591CBB">
            <w:r w:rsidRPr="007348FD">
              <w:t xml:space="preserve">               25 </w:t>
            </w:r>
          </w:p>
        </w:tc>
      </w:tr>
      <w:tr w:rsidR="0013144F" w:rsidRPr="007348FD" w14:paraId="701610F4" w14:textId="77777777" w:rsidTr="001E222B">
        <w:trPr>
          <w:trHeight w:val="247"/>
        </w:trPr>
        <w:tc>
          <w:tcPr>
            <w:tcW w:w="478" w:type="pct"/>
          </w:tcPr>
          <w:p w14:paraId="2DFD9967" w14:textId="1C6B3ABB" w:rsidR="00924CF1" w:rsidRPr="005526F2" w:rsidRDefault="005526F2" w:rsidP="00591CBB">
            <w:pPr>
              <w:rPr>
                <w:b/>
                <w:bCs/>
                <w:color w:val="CC0000"/>
              </w:rPr>
            </w:pPr>
            <w:r>
              <w:rPr>
                <w:b/>
                <w:bCs/>
                <w:color w:val="CC0000"/>
              </w:rPr>
              <w:t>Red</w:t>
            </w:r>
          </w:p>
        </w:tc>
        <w:tc>
          <w:tcPr>
            <w:tcW w:w="846" w:type="pct"/>
            <w:tcBorders>
              <w:bottom w:val="single" w:sz="4" w:space="0" w:color="auto"/>
            </w:tcBorders>
          </w:tcPr>
          <w:p w14:paraId="74F2E260" w14:textId="77777777" w:rsidR="00924CF1" w:rsidRPr="005526F2" w:rsidRDefault="00924CF1" w:rsidP="00591CBB">
            <w:pPr>
              <w:rPr>
                <w:b/>
                <w:bCs/>
                <w:color w:val="CC0000"/>
              </w:rPr>
            </w:pPr>
            <w:r w:rsidRPr="005526F2">
              <w:rPr>
                <w:b/>
                <w:bCs/>
                <w:color w:val="CC0000"/>
              </w:rPr>
              <w:t>little progress/not on track</w:t>
            </w:r>
          </w:p>
        </w:tc>
        <w:tc>
          <w:tcPr>
            <w:tcW w:w="413" w:type="pct"/>
            <w:tcBorders>
              <w:bottom w:val="single" w:sz="4" w:space="0" w:color="auto"/>
            </w:tcBorders>
          </w:tcPr>
          <w:p w14:paraId="24E3748A" w14:textId="77777777" w:rsidR="00924CF1" w:rsidRPr="005526F2" w:rsidRDefault="00924CF1" w:rsidP="00591CBB">
            <w:pPr>
              <w:rPr>
                <w:b/>
                <w:bCs/>
                <w:color w:val="CC0000"/>
              </w:rPr>
            </w:pPr>
            <w:r w:rsidRPr="005526F2">
              <w:rPr>
                <w:b/>
                <w:bCs/>
                <w:color w:val="CC0000"/>
              </w:rPr>
              <w:t>no / 0-32%</w:t>
            </w:r>
          </w:p>
        </w:tc>
        <w:tc>
          <w:tcPr>
            <w:tcW w:w="567" w:type="pct"/>
          </w:tcPr>
          <w:p w14:paraId="44FA88C1" w14:textId="77777777" w:rsidR="00924CF1" w:rsidRPr="005526F2" w:rsidRDefault="00924CF1" w:rsidP="00591CBB">
            <w:pPr>
              <w:rPr>
                <w:b/>
                <w:bCs/>
                <w:color w:val="CC0000"/>
              </w:rPr>
            </w:pPr>
            <w:r w:rsidRPr="005526F2">
              <w:rPr>
                <w:b/>
                <w:bCs/>
                <w:color w:val="CC0000"/>
              </w:rPr>
              <w:t xml:space="preserve">          41 </w:t>
            </w:r>
          </w:p>
        </w:tc>
        <w:tc>
          <w:tcPr>
            <w:tcW w:w="335" w:type="pct"/>
          </w:tcPr>
          <w:p w14:paraId="5A5D3DE9" w14:textId="77777777" w:rsidR="00924CF1" w:rsidRPr="005526F2" w:rsidRDefault="00924CF1" w:rsidP="00591CBB">
            <w:pPr>
              <w:rPr>
                <w:b/>
                <w:bCs/>
                <w:color w:val="CC0000"/>
              </w:rPr>
            </w:pPr>
            <w:r w:rsidRPr="005526F2">
              <w:rPr>
                <w:b/>
                <w:bCs/>
                <w:color w:val="CC0000"/>
              </w:rPr>
              <w:t>27%</w:t>
            </w:r>
          </w:p>
        </w:tc>
        <w:tc>
          <w:tcPr>
            <w:tcW w:w="340" w:type="pct"/>
          </w:tcPr>
          <w:p w14:paraId="461CFFC4" w14:textId="77777777" w:rsidR="00924CF1" w:rsidRPr="005526F2" w:rsidRDefault="00924CF1" w:rsidP="00591CBB">
            <w:pPr>
              <w:rPr>
                <w:b/>
                <w:bCs/>
                <w:color w:val="CC0000"/>
              </w:rPr>
            </w:pPr>
            <w:r w:rsidRPr="005526F2">
              <w:rPr>
                <w:b/>
                <w:bCs/>
                <w:color w:val="CC0000"/>
              </w:rPr>
              <w:t>53%</w:t>
            </w:r>
          </w:p>
        </w:tc>
        <w:tc>
          <w:tcPr>
            <w:tcW w:w="200" w:type="pct"/>
          </w:tcPr>
          <w:p w14:paraId="618CE029" w14:textId="77777777" w:rsidR="00924CF1" w:rsidRPr="007348FD" w:rsidRDefault="00924CF1" w:rsidP="00591CBB"/>
        </w:tc>
        <w:tc>
          <w:tcPr>
            <w:tcW w:w="773" w:type="pct"/>
          </w:tcPr>
          <w:p w14:paraId="74807C8D" w14:textId="77777777" w:rsidR="00924CF1" w:rsidRPr="007348FD" w:rsidRDefault="00924CF1" w:rsidP="00591CBB">
            <w:pPr>
              <w:rPr>
                <w:b/>
                <w:bCs/>
              </w:rPr>
            </w:pPr>
            <w:r w:rsidRPr="007348FD">
              <w:rPr>
                <w:b/>
                <w:bCs/>
              </w:rPr>
              <w:t>Samoa</w:t>
            </w:r>
          </w:p>
        </w:tc>
        <w:tc>
          <w:tcPr>
            <w:tcW w:w="177" w:type="pct"/>
          </w:tcPr>
          <w:p w14:paraId="00373080" w14:textId="77777777" w:rsidR="00924CF1" w:rsidRPr="000D65EC" w:rsidRDefault="00924CF1" w:rsidP="00591CBB">
            <w:pPr>
              <w:rPr>
                <w:b/>
                <w:color w:val="006C31"/>
              </w:rPr>
            </w:pPr>
            <w:r w:rsidRPr="000D65EC">
              <w:rPr>
                <w:b/>
                <w:color w:val="006C31"/>
              </w:rPr>
              <w:t xml:space="preserve"> 5 </w:t>
            </w:r>
          </w:p>
        </w:tc>
        <w:tc>
          <w:tcPr>
            <w:tcW w:w="177" w:type="pct"/>
          </w:tcPr>
          <w:p w14:paraId="604C5AF7" w14:textId="77777777" w:rsidR="00924CF1" w:rsidRPr="000D65EC" w:rsidRDefault="00924CF1" w:rsidP="00591CBB">
            <w:pPr>
              <w:rPr>
                <w:b/>
                <w:color w:val="0000FF"/>
              </w:rPr>
            </w:pPr>
            <w:r w:rsidRPr="000D65EC">
              <w:rPr>
                <w:b/>
                <w:color w:val="0000FF"/>
              </w:rPr>
              <w:t xml:space="preserve"> 2 </w:t>
            </w:r>
          </w:p>
        </w:tc>
        <w:tc>
          <w:tcPr>
            <w:tcW w:w="177" w:type="pct"/>
          </w:tcPr>
          <w:p w14:paraId="6C4AA5F9" w14:textId="77777777" w:rsidR="00924CF1" w:rsidRPr="000D65EC" w:rsidRDefault="00924CF1" w:rsidP="00591CBB">
            <w:pPr>
              <w:rPr>
                <w:b/>
                <w:color w:val="CC0000"/>
              </w:rPr>
            </w:pPr>
            <w:r w:rsidRPr="000D65EC">
              <w:rPr>
                <w:b/>
                <w:color w:val="CC0000"/>
              </w:rPr>
              <w:t xml:space="preserve"> 6 </w:t>
            </w:r>
          </w:p>
        </w:tc>
        <w:tc>
          <w:tcPr>
            <w:tcW w:w="285" w:type="pct"/>
          </w:tcPr>
          <w:p w14:paraId="06CE2D6F" w14:textId="77777777" w:rsidR="00924CF1" w:rsidRPr="005526F2" w:rsidRDefault="00924CF1" w:rsidP="00591CBB">
            <w:pPr>
              <w:rPr>
                <w:b/>
                <w:color w:val="595959" w:themeColor="text1" w:themeTint="A6"/>
              </w:rPr>
            </w:pPr>
            <w:r w:rsidRPr="005526F2">
              <w:rPr>
                <w:b/>
                <w:color w:val="595959" w:themeColor="text1" w:themeTint="A6"/>
              </w:rPr>
              <w:t>12</w:t>
            </w:r>
          </w:p>
        </w:tc>
        <w:tc>
          <w:tcPr>
            <w:tcW w:w="231" w:type="pct"/>
          </w:tcPr>
          <w:p w14:paraId="2EB1A510" w14:textId="77777777" w:rsidR="00924CF1" w:rsidRPr="007348FD" w:rsidRDefault="00924CF1" w:rsidP="00591CBB">
            <w:r w:rsidRPr="007348FD">
              <w:t xml:space="preserve">               25 </w:t>
            </w:r>
          </w:p>
        </w:tc>
      </w:tr>
      <w:tr w:rsidR="001E222B" w:rsidRPr="007348FD" w14:paraId="63A74A7D" w14:textId="77777777" w:rsidTr="001E222B">
        <w:trPr>
          <w:trHeight w:val="247"/>
        </w:trPr>
        <w:tc>
          <w:tcPr>
            <w:tcW w:w="478" w:type="pct"/>
            <w:tcBorders>
              <w:bottom w:val="single" w:sz="4" w:space="0" w:color="auto"/>
              <w:right w:val="single" w:sz="4" w:space="0" w:color="auto"/>
            </w:tcBorders>
          </w:tcPr>
          <w:p w14:paraId="5B619CD4" w14:textId="5B1D08AD" w:rsidR="001E222B" w:rsidRDefault="001E222B" w:rsidP="001E222B">
            <w:pPr>
              <w:rPr>
                <w:b/>
                <w:bCs/>
                <w:color w:val="CC0000"/>
              </w:rPr>
            </w:pPr>
            <w:r w:rsidRPr="005526F2">
              <w:rPr>
                <w:b/>
                <w:bCs/>
                <w:color w:val="595959" w:themeColor="text1" w:themeTint="A6"/>
              </w:rPr>
              <w:lastRenderedPageBreak/>
              <w:t>Grey</w:t>
            </w:r>
          </w:p>
        </w:tc>
        <w:tc>
          <w:tcPr>
            <w:tcW w:w="846" w:type="pct"/>
            <w:tcBorders>
              <w:top w:val="single" w:sz="4" w:space="0" w:color="auto"/>
              <w:left w:val="single" w:sz="4" w:space="0" w:color="auto"/>
              <w:bottom w:val="single" w:sz="4" w:space="0" w:color="auto"/>
              <w:right w:val="nil"/>
            </w:tcBorders>
          </w:tcPr>
          <w:p w14:paraId="4ACA539F" w14:textId="10EBEDBD" w:rsidR="001E222B" w:rsidRPr="005526F2" w:rsidRDefault="001E222B" w:rsidP="001E222B">
            <w:pPr>
              <w:rPr>
                <w:b/>
                <w:bCs/>
                <w:color w:val="CC0000"/>
              </w:rPr>
            </w:pPr>
            <w:r w:rsidRPr="005526F2">
              <w:rPr>
                <w:b/>
                <w:bCs/>
                <w:color w:val="595959" w:themeColor="text1" w:themeTint="A6"/>
              </w:rPr>
              <w:t>no data/not expected /problem indicator/impact indicator</w:t>
            </w:r>
          </w:p>
        </w:tc>
        <w:tc>
          <w:tcPr>
            <w:tcW w:w="413" w:type="pct"/>
            <w:tcBorders>
              <w:top w:val="single" w:sz="4" w:space="0" w:color="auto"/>
              <w:left w:val="nil"/>
              <w:bottom w:val="single" w:sz="4" w:space="0" w:color="auto"/>
              <w:right w:val="single" w:sz="4" w:space="0" w:color="auto"/>
            </w:tcBorders>
          </w:tcPr>
          <w:p w14:paraId="4EF6D619" w14:textId="77777777" w:rsidR="001E222B" w:rsidRPr="005526F2" w:rsidRDefault="001E222B" w:rsidP="001E222B">
            <w:pPr>
              <w:rPr>
                <w:b/>
                <w:bCs/>
                <w:color w:val="CC0000"/>
              </w:rPr>
            </w:pPr>
          </w:p>
        </w:tc>
        <w:tc>
          <w:tcPr>
            <w:tcW w:w="567" w:type="pct"/>
            <w:tcBorders>
              <w:left w:val="single" w:sz="4" w:space="0" w:color="auto"/>
            </w:tcBorders>
          </w:tcPr>
          <w:p w14:paraId="6E806707" w14:textId="4457686B" w:rsidR="001E222B" w:rsidRPr="005526F2" w:rsidRDefault="001E222B" w:rsidP="001E222B">
            <w:pPr>
              <w:rPr>
                <w:b/>
                <w:bCs/>
                <w:color w:val="CC0000"/>
              </w:rPr>
            </w:pPr>
            <w:r w:rsidRPr="005526F2">
              <w:rPr>
                <w:b/>
                <w:bCs/>
                <w:color w:val="595959" w:themeColor="text1" w:themeTint="A6"/>
              </w:rPr>
              <w:t xml:space="preserve">          72 </w:t>
            </w:r>
          </w:p>
        </w:tc>
        <w:tc>
          <w:tcPr>
            <w:tcW w:w="335" w:type="pct"/>
          </w:tcPr>
          <w:p w14:paraId="4EFD719A" w14:textId="684D9AAC" w:rsidR="001E222B" w:rsidRPr="005526F2" w:rsidRDefault="001E222B" w:rsidP="001E222B">
            <w:pPr>
              <w:rPr>
                <w:b/>
                <w:bCs/>
                <w:color w:val="CC0000"/>
              </w:rPr>
            </w:pPr>
            <w:r w:rsidRPr="005526F2">
              <w:rPr>
                <w:b/>
                <w:bCs/>
                <w:color w:val="595959" w:themeColor="text1" w:themeTint="A6"/>
              </w:rPr>
              <w:t>48%</w:t>
            </w:r>
          </w:p>
        </w:tc>
        <w:tc>
          <w:tcPr>
            <w:tcW w:w="340" w:type="pct"/>
          </w:tcPr>
          <w:p w14:paraId="6BFBF6BC" w14:textId="0433B578" w:rsidR="001E222B" w:rsidRPr="005526F2" w:rsidRDefault="001E222B" w:rsidP="001E222B">
            <w:pPr>
              <w:rPr>
                <w:b/>
                <w:bCs/>
                <w:color w:val="CC0000"/>
              </w:rPr>
            </w:pPr>
            <w:r>
              <w:rPr>
                <w:b/>
                <w:bCs/>
                <w:color w:val="595959" w:themeColor="text1" w:themeTint="A6"/>
              </w:rPr>
              <w:t>N/A</w:t>
            </w:r>
          </w:p>
        </w:tc>
        <w:tc>
          <w:tcPr>
            <w:tcW w:w="200" w:type="pct"/>
          </w:tcPr>
          <w:p w14:paraId="3C3589AD" w14:textId="77777777" w:rsidR="001E222B" w:rsidRPr="007348FD" w:rsidRDefault="001E222B" w:rsidP="001E222B"/>
        </w:tc>
        <w:tc>
          <w:tcPr>
            <w:tcW w:w="773" w:type="pct"/>
          </w:tcPr>
          <w:p w14:paraId="6CEF8398" w14:textId="4EC56F2B" w:rsidR="001E222B" w:rsidRPr="007348FD" w:rsidRDefault="001E222B" w:rsidP="001E222B">
            <w:pPr>
              <w:rPr>
                <w:b/>
                <w:bCs/>
              </w:rPr>
            </w:pPr>
            <w:r w:rsidRPr="007348FD">
              <w:rPr>
                <w:b/>
                <w:bCs/>
              </w:rPr>
              <w:t>Solomon Islands</w:t>
            </w:r>
          </w:p>
        </w:tc>
        <w:tc>
          <w:tcPr>
            <w:tcW w:w="177" w:type="pct"/>
          </w:tcPr>
          <w:p w14:paraId="3B983E94" w14:textId="0746B5C4" w:rsidR="001E222B" w:rsidRPr="000D65EC" w:rsidRDefault="001E222B" w:rsidP="001E222B">
            <w:pPr>
              <w:rPr>
                <w:b/>
                <w:color w:val="006C31"/>
              </w:rPr>
            </w:pPr>
            <w:r w:rsidRPr="000D65EC">
              <w:rPr>
                <w:b/>
                <w:color w:val="006C31"/>
              </w:rPr>
              <w:t xml:space="preserve"> 2 </w:t>
            </w:r>
          </w:p>
        </w:tc>
        <w:tc>
          <w:tcPr>
            <w:tcW w:w="177" w:type="pct"/>
          </w:tcPr>
          <w:p w14:paraId="5AA57E05" w14:textId="3EB7DE52" w:rsidR="001E222B" w:rsidRPr="000D65EC" w:rsidRDefault="001E222B" w:rsidP="001E222B">
            <w:pPr>
              <w:rPr>
                <w:b/>
                <w:color w:val="0000FF"/>
              </w:rPr>
            </w:pPr>
            <w:r w:rsidRPr="000D65EC">
              <w:rPr>
                <w:b/>
                <w:color w:val="0000FF"/>
              </w:rPr>
              <w:t xml:space="preserve"> 1 </w:t>
            </w:r>
          </w:p>
        </w:tc>
        <w:tc>
          <w:tcPr>
            <w:tcW w:w="177" w:type="pct"/>
          </w:tcPr>
          <w:p w14:paraId="19E05FE2" w14:textId="2ED8B985" w:rsidR="001E222B" w:rsidRPr="000D65EC" w:rsidRDefault="001E222B" w:rsidP="001E222B">
            <w:pPr>
              <w:rPr>
                <w:b/>
                <w:color w:val="CC0000"/>
              </w:rPr>
            </w:pPr>
            <w:r w:rsidRPr="000D65EC">
              <w:rPr>
                <w:b/>
                <w:color w:val="CC0000"/>
              </w:rPr>
              <w:t xml:space="preserve"> 7 </w:t>
            </w:r>
          </w:p>
        </w:tc>
        <w:tc>
          <w:tcPr>
            <w:tcW w:w="285" w:type="pct"/>
          </w:tcPr>
          <w:p w14:paraId="4FCB2151" w14:textId="4B51F2F7" w:rsidR="001E222B" w:rsidRPr="005526F2" w:rsidRDefault="001E222B" w:rsidP="001E222B">
            <w:pPr>
              <w:rPr>
                <w:b/>
                <w:color w:val="595959" w:themeColor="text1" w:themeTint="A6"/>
              </w:rPr>
            </w:pPr>
            <w:r w:rsidRPr="005526F2">
              <w:rPr>
                <w:b/>
                <w:color w:val="595959" w:themeColor="text1" w:themeTint="A6"/>
              </w:rPr>
              <w:t>15</w:t>
            </w:r>
          </w:p>
        </w:tc>
        <w:tc>
          <w:tcPr>
            <w:tcW w:w="231" w:type="pct"/>
          </w:tcPr>
          <w:p w14:paraId="3EC9ED74" w14:textId="21E2CACB" w:rsidR="001E222B" w:rsidRPr="007348FD" w:rsidRDefault="001E222B" w:rsidP="001E222B">
            <w:r w:rsidRPr="007348FD">
              <w:t xml:space="preserve">               25 </w:t>
            </w:r>
          </w:p>
        </w:tc>
      </w:tr>
      <w:tr w:rsidR="001E222B" w:rsidRPr="007348FD" w14:paraId="4498C1E5" w14:textId="77777777" w:rsidTr="001E222B">
        <w:trPr>
          <w:trHeight w:val="247"/>
        </w:trPr>
        <w:tc>
          <w:tcPr>
            <w:tcW w:w="478" w:type="pct"/>
            <w:tcBorders>
              <w:top w:val="single" w:sz="4" w:space="0" w:color="auto"/>
              <w:left w:val="single" w:sz="4" w:space="0" w:color="auto"/>
              <w:bottom w:val="single" w:sz="4" w:space="0" w:color="auto"/>
              <w:right w:val="nil"/>
            </w:tcBorders>
          </w:tcPr>
          <w:p w14:paraId="2AEFA919" w14:textId="4AABBF93" w:rsidR="001E222B" w:rsidRPr="005526F2" w:rsidRDefault="001E222B" w:rsidP="001E222B">
            <w:pPr>
              <w:rPr>
                <w:b/>
                <w:bCs/>
                <w:color w:val="595959" w:themeColor="text1" w:themeTint="A6"/>
              </w:rPr>
            </w:pPr>
            <w:r w:rsidRPr="007348FD">
              <w:rPr>
                <w:b/>
                <w:bCs/>
              </w:rPr>
              <w:t>Total Indicators:</w:t>
            </w:r>
          </w:p>
        </w:tc>
        <w:tc>
          <w:tcPr>
            <w:tcW w:w="846" w:type="pct"/>
            <w:tcBorders>
              <w:top w:val="single" w:sz="4" w:space="0" w:color="auto"/>
              <w:left w:val="nil"/>
              <w:bottom w:val="single" w:sz="4" w:space="0" w:color="auto"/>
              <w:right w:val="nil"/>
            </w:tcBorders>
          </w:tcPr>
          <w:p w14:paraId="4736EAF7" w14:textId="77777777" w:rsidR="001E222B" w:rsidRPr="005526F2" w:rsidRDefault="001E222B" w:rsidP="001E222B">
            <w:pPr>
              <w:rPr>
                <w:b/>
                <w:bCs/>
                <w:color w:val="595959" w:themeColor="text1" w:themeTint="A6"/>
              </w:rPr>
            </w:pPr>
          </w:p>
        </w:tc>
        <w:tc>
          <w:tcPr>
            <w:tcW w:w="413" w:type="pct"/>
            <w:tcBorders>
              <w:top w:val="single" w:sz="4" w:space="0" w:color="auto"/>
              <w:left w:val="nil"/>
              <w:bottom w:val="single" w:sz="4" w:space="0" w:color="auto"/>
              <w:right w:val="single" w:sz="4" w:space="0" w:color="auto"/>
            </w:tcBorders>
          </w:tcPr>
          <w:p w14:paraId="20E0D921" w14:textId="77777777" w:rsidR="001E222B" w:rsidRPr="005526F2" w:rsidRDefault="001E222B" w:rsidP="001E222B">
            <w:pPr>
              <w:rPr>
                <w:b/>
                <w:bCs/>
                <w:color w:val="CC0000"/>
              </w:rPr>
            </w:pPr>
          </w:p>
        </w:tc>
        <w:tc>
          <w:tcPr>
            <w:tcW w:w="567" w:type="pct"/>
            <w:tcBorders>
              <w:left w:val="single" w:sz="4" w:space="0" w:color="auto"/>
            </w:tcBorders>
          </w:tcPr>
          <w:p w14:paraId="6CF680D5" w14:textId="6F3DD7B4" w:rsidR="001E222B" w:rsidRPr="005526F2" w:rsidRDefault="001E222B" w:rsidP="001E222B">
            <w:pPr>
              <w:rPr>
                <w:b/>
                <w:bCs/>
                <w:color w:val="595959" w:themeColor="text1" w:themeTint="A6"/>
              </w:rPr>
            </w:pPr>
            <w:r w:rsidRPr="007348FD">
              <w:rPr>
                <w:b/>
                <w:bCs/>
              </w:rPr>
              <w:t xml:space="preserve">        150 </w:t>
            </w:r>
          </w:p>
        </w:tc>
        <w:tc>
          <w:tcPr>
            <w:tcW w:w="335" w:type="pct"/>
          </w:tcPr>
          <w:p w14:paraId="47B94DE9" w14:textId="77777777" w:rsidR="001E222B" w:rsidRPr="005526F2" w:rsidRDefault="001E222B" w:rsidP="001E222B">
            <w:pPr>
              <w:rPr>
                <w:b/>
                <w:bCs/>
                <w:color w:val="595959" w:themeColor="text1" w:themeTint="A6"/>
              </w:rPr>
            </w:pPr>
          </w:p>
        </w:tc>
        <w:tc>
          <w:tcPr>
            <w:tcW w:w="340" w:type="pct"/>
          </w:tcPr>
          <w:p w14:paraId="2AEEB817" w14:textId="77777777" w:rsidR="001E222B" w:rsidRDefault="001E222B" w:rsidP="001E222B">
            <w:pPr>
              <w:rPr>
                <w:b/>
                <w:bCs/>
                <w:color w:val="595959" w:themeColor="text1" w:themeTint="A6"/>
              </w:rPr>
            </w:pPr>
          </w:p>
        </w:tc>
        <w:tc>
          <w:tcPr>
            <w:tcW w:w="200" w:type="pct"/>
          </w:tcPr>
          <w:p w14:paraId="23191908" w14:textId="77777777" w:rsidR="001E222B" w:rsidRPr="007348FD" w:rsidRDefault="001E222B" w:rsidP="001E222B"/>
        </w:tc>
        <w:tc>
          <w:tcPr>
            <w:tcW w:w="773" w:type="pct"/>
          </w:tcPr>
          <w:p w14:paraId="14E2171C" w14:textId="32890383" w:rsidR="001E222B" w:rsidRPr="007348FD" w:rsidRDefault="001E222B" w:rsidP="001E222B">
            <w:pPr>
              <w:rPr>
                <w:b/>
                <w:bCs/>
              </w:rPr>
            </w:pPr>
            <w:r w:rsidRPr="007348FD">
              <w:rPr>
                <w:b/>
                <w:bCs/>
              </w:rPr>
              <w:t xml:space="preserve">Tonga </w:t>
            </w:r>
          </w:p>
        </w:tc>
        <w:tc>
          <w:tcPr>
            <w:tcW w:w="177" w:type="pct"/>
          </w:tcPr>
          <w:p w14:paraId="409D406C" w14:textId="4D587A74" w:rsidR="001E222B" w:rsidRPr="000D65EC" w:rsidRDefault="001E222B" w:rsidP="001E222B">
            <w:pPr>
              <w:rPr>
                <w:b/>
                <w:color w:val="006C31"/>
              </w:rPr>
            </w:pPr>
            <w:r w:rsidRPr="000D65EC">
              <w:rPr>
                <w:b/>
                <w:color w:val="006C31"/>
              </w:rPr>
              <w:t xml:space="preserve"> 6 </w:t>
            </w:r>
          </w:p>
        </w:tc>
        <w:tc>
          <w:tcPr>
            <w:tcW w:w="177" w:type="pct"/>
          </w:tcPr>
          <w:p w14:paraId="6BBD525D" w14:textId="565E8104" w:rsidR="001E222B" w:rsidRPr="000D65EC" w:rsidRDefault="001E222B" w:rsidP="001E222B">
            <w:pPr>
              <w:rPr>
                <w:b/>
                <w:color w:val="0000FF"/>
              </w:rPr>
            </w:pPr>
            <w:r w:rsidRPr="000D65EC">
              <w:rPr>
                <w:b/>
                <w:color w:val="0000FF"/>
              </w:rPr>
              <w:t>1</w:t>
            </w:r>
          </w:p>
        </w:tc>
        <w:tc>
          <w:tcPr>
            <w:tcW w:w="177" w:type="pct"/>
          </w:tcPr>
          <w:p w14:paraId="590D9F89" w14:textId="02885E3C" w:rsidR="001E222B" w:rsidRPr="000D65EC" w:rsidRDefault="001E222B" w:rsidP="001E222B">
            <w:pPr>
              <w:rPr>
                <w:b/>
                <w:color w:val="CC0000"/>
              </w:rPr>
            </w:pPr>
            <w:r w:rsidRPr="000D65EC">
              <w:rPr>
                <w:b/>
                <w:color w:val="CC0000"/>
              </w:rPr>
              <w:t xml:space="preserve"> 8 </w:t>
            </w:r>
          </w:p>
        </w:tc>
        <w:tc>
          <w:tcPr>
            <w:tcW w:w="285" w:type="pct"/>
          </w:tcPr>
          <w:p w14:paraId="7AAE3E61" w14:textId="4493C6DD" w:rsidR="001E222B" w:rsidRPr="005526F2" w:rsidRDefault="001E222B" w:rsidP="001E222B">
            <w:pPr>
              <w:rPr>
                <w:b/>
                <w:color w:val="595959" w:themeColor="text1" w:themeTint="A6"/>
              </w:rPr>
            </w:pPr>
            <w:r w:rsidRPr="005526F2">
              <w:rPr>
                <w:b/>
                <w:color w:val="595959" w:themeColor="text1" w:themeTint="A6"/>
              </w:rPr>
              <w:t>10</w:t>
            </w:r>
          </w:p>
        </w:tc>
        <w:tc>
          <w:tcPr>
            <w:tcW w:w="231" w:type="pct"/>
          </w:tcPr>
          <w:p w14:paraId="099C19DC" w14:textId="7440E66C" w:rsidR="001E222B" w:rsidRPr="007348FD" w:rsidRDefault="001E222B" w:rsidP="001E222B">
            <w:r w:rsidRPr="007348FD">
              <w:t xml:space="preserve">               25 </w:t>
            </w:r>
          </w:p>
        </w:tc>
      </w:tr>
      <w:tr w:rsidR="001E222B" w:rsidRPr="007348FD" w14:paraId="745CF882" w14:textId="77777777" w:rsidTr="001E222B">
        <w:trPr>
          <w:trHeight w:val="247"/>
        </w:trPr>
        <w:tc>
          <w:tcPr>
            <w:tcW w:w="478" w:type="pct"/>
            <w:tcBorders>
              <w:top w:val="single" w:sz="4" w:space="0" w:color="auto"/>
              <w:left w:val="single" w:sz="4" w:space="0" w:color="auto"/>
              <w:bottom w:val="single" w:sz="4" w:space="0" w:color="auto"/>
              <w:right w:val="nil"/>
            </w:tcBorders>
          </w:tcPr>
          <w:p w14:paraId="55DBCA8C" w14:textId="5A4C3F4B" w:rsidR="001E222B" w:rsidRPr="007348FD" w:rsidRDefault="001E222B" w:rsidP="001E222B">
            <w:pPr>
              <w:rPr>
                <w:b/>
                <w:bCs/>
              </w:rPr>
            </w:pPr>
            <w:r w:rsidRPr="007348FD">
              <w:rPr>
                <w:b/>
                <w:bCs/>
              </w:rPr>
              <w:t># Indicators that are rated:</w:t>
            </w:r>
          </w:p>
        </w:tc>
        <w:tc>
          <w:tcPr>
            <w:tcW w:w="846" w:type="pct"/>
            <w:tcBorders>
              <w:top w:val="single" w:sz="4" w:space="0" w:color="auto"/>
              <w:left w:val="nil"/>
              <w:bottom w:val="single" w:sz="4" w:space="0" w:color="auto"/>
              <w:right w:val="nil"/>
            </w:tcBorders>
          </w:tcPr>
          <w:p w14:paraId="6BF63B1E" w14:textId="77777777" w:rsidR="001E222B" w:rsidRPr="005526F2" w:rsidRDefault="001E222B" w:rsidP="001E222B">
            <w:pPr>
              <w:rPr>
                <w:b/>
                <w:bCs/>
                <w:color w:val="595959" w:themeColor="text1" w:themeTint="A6"/>
              </w:rPr>
            </w:pPr>
          </w:p>
        </w:tc>
        <w:tc>
          <w:tcPr>
            <w:tcW w:w="413" w:type="pct"/>
            <w:tcBorders>
              <w:top w:val="single" w:sz="4" w:space="0" w:color="auto"/>
              <w:left w:val="nil"/>
              <w:bottom w:val="single" w:sz="4" w:space="0" w:color="auto"/>
              <w:right w:val="single" w:sz="4" w:space="0" w:color="auto"/>
            </w:tcBorders>
          </w:tcPr>
          <w:p w14:paraId="6046DB11" w14:textId="77777777" w:rsidR="001E222B" w:rsidRPr="005526F2" w:rsidRDefault="001E222B" w:rsidP="001E222B">
            <w:pPr>
              <w:rPr>
                <w:b/>
                <w:bCs/>
                <w:color w:val="CC0000"/>
              </w:rPr>
            </w:pPr>
          </w:p>
        </w:tc>
        <w:tc>
          <w:tcPr>
            <w:tcW w:w="567" w:type="pct"/>
            <w:tcBorders>
              <w:left w:val="single" w:sz="4" w:space="0" w:color="auto"/>
            </w:tcBorders>
          </w:tcPr>
          <w:p w14:paraId="194F0E0B" w14:textId="359E8EC6" w:rsidR="001E222B" w:rsidRPr="007348FD" w:rsidRDefault="001E222B" w:rsidP="001E222B">
            <w:pPr>
              <w:rPr>
                <w:b/>
                <w:bCs/>
              </w:rPr>
            </w:pPr>
            <w:r w:rsidRPr="007348FD">
              <w:rPr>
                <w:b/>
                <w:bCs/>
              </w:rPr>
              <w:t xml:space="preserve">          78 </w:t>
            </w:r>
          </w:p>
        </w:tc>
        <w:tc>
          <w:tcPr>
            <w:tcW w:w="335" w:type="pct"/>
          </w:tcPr>
          <w:p w14:paraId="08DA80EF" w14:textId="77777777" w:rsidR="001E222B" w:rsidRPr="005526F2" w:rsidRDefault="001E222B" w:rsidP="001E222B">
            <w:pPr>
              <w:rPr>
                <w:b/>
                <w:bCs/>
                <w:color w:val="595959" w:themeColor="text1" w:themeTint="A6"/>
              </w:rPr>
            </w:pPr>
          </w:p>
        </w:tc>
        <w:tc>
          <w:tcPr>
            <w:tcW w:w="340" w:type="pct"/>
          </w:tcPr>
          <w:p w14:paraId="4191087F" w14:textId="77777777" w:rsidR="001E222B" w:rsidRDefault="001E222B" w:rsidP="001E222B">
            <w:pPr>
              <w:rPr>
                <w:b/>
                <w:bCs/>
                <w:color w:val="595959" w:themeColor="text1" w:themeTint="A6"/>
              </w:rPr>
            </w:pPr>
          </w:p>
        </w:tc>
        <w:tc>
          <w:tcPr>
            <w:tcW w:w="200" w:type="pct"/>
          </w:tcPr>
          <w:p w14:paraId="73FFC866" w14:textId="77777777" w:rsidR="001E222B" w:rsidRPr="007348FD" w:rsidRDefault="001E222B" w:rsidP="001E222B"/>
        </w:tc>
        <w:tc>
          <w:tcPr>
            <w:tcW w:w="773" w:type="pct"/>
          </w:tcPr>
          <w:p w14:paraId="36B7F035" w14:textId="1ED804FE" w:rsidR="001E222B" w:rsidRPr="007348FD" w:rsidRDefault="001E222B" w:rsidP="001E222B">
            <w:pPr>
              <w:rPr>
                <w:b/>
                <w:bCs/>
              </w:rPr>
            </w:pPr>
            <w:r w:rsidRPr="007348FD">
              <w:rPr>
                <w:b/>
                <w:bCs/>
              </w:rPr>
              <w:t>Vanuatu</w:t>
            </w:r>
          </w:p>
        </w:tc>
        <w:tc>
          <w:tcPr>
            <w:tcW w:w="177" w:type="pct"/>
          </w:tcPr>
          <w:p w14:paraId="49870489" w14:textId="60444D8D" w:rsidR="001E222B" w:rsidRPr="000D65EC" w:rsidRDefault="001E222B" w:rsidP="001E222B">
            <w:pPr>
              <w:rPr>
                <w:b/>
                <w:color w:val="006C31"/>
              </w:rPr>
            </w:pPr>
            <w:r w:rsidRPr="000D65EC">
              <w:rPr>
                <w:b/>
                <w:color w:val="006C31"/>
              </w:rPr>
              <w:t xml:space="preserve"> 1 </w:t>
            </w:r>
          </w:p>
        </w:tc>
        <w:tc>
          <w:tcPr>
            <w:tcW w:w="177" w:type="pct"/>
          </w:tcPr>
          <w:p w14:paraId="5BC5C918" w14:textId="37600CCA" w:rsidR="001E222B" w:rsidRPr="000D65EC" w:rsidRDefault="001E222B" w:rsidP="001E222B">
            <w:pPr>
              <w:rPr>
                <w:b/>
                <w:color w:val="0000FF"/>
              </w:rPr>
            </w:pPr>
            <w:r w:rsidRPr="000D65EC">
              <w:rPr>
                <w:b/>
                <w:color w:val="0000FF"/>
              </w:rPr>
              <w:t xml:space="preserve"> 2 </w:t>
            </w:r>
          </w:p>
        </w:tc>
        <w:tc>
          <w:tcPr>
            <w:tcW w:w="177" w:type="pct"/>
          </w:tcPr>
          <w:p w14:paraId="4DC088F1" w14:textId="7AD770CE" w:rsidR="001E222B" w:rsidRPr="000D65EC" w:rsidRDefault="001E222B" w:rsidP="001E222B">
            <w:pPr>
              <w:rPr>
                <w:b/>
                <w:color w:val="CC0000"/>
              </w:rPr>
            </w:pPr>
            <w:r w:rsidRPr="000D65EC">
              <w:rPr>
                <w:b/>
                <w:color w:val="CC0000"/>
              </w:rPr>
              <w:t xml:space="preserve"> 6 </w:t>
            </w:r>
          </w:p>
        </w:tc>
        <w:tc>
          <w:tcPr>
            <w:tcW w:w="285" w:type="pct"/>
          </w:tcPr>
          <w:p w14:paraId="6E525C9D" w14:textId="360F7D5B" w:rsidR="001E222B" w:rsidRPr="005526F2" w:rsidRDefault="001E222B" w:rsidP="001E222B">
            <w:pPr>
              <w:rPr>
                <w:b/>
                <w:color w:val="595959" w:themeColor="text1" w:themeTint="A6"/>
              </w:rPr>
            </w:pPr>
            <w:r w:rsidRPr="005526F2">
              <w:rPr>
                <w:b/>
                <w:color w:val="595959" w:themeColor="text1" w:themeTint="A6"/>
              </w:rPr>
              <w:t>16</w:t>
            </w:r>
          </w:p>
        </w:tc>
        <w:tc>
          <w:tcPr>
            <w:tcW w:w="231" w:type="pct"/>
          </w:tcPr>
          <w:p w14:paraId="68B7F5C8" w14:textId="0B48E2E7" w:rsidR="001E222B" w:rsidRPr="007348FD" w:rsidRDefault="001E222B" w:rsidP="001E222B">
            <w:r w:rsidRPr="007348FD">
              <w:t xml:space="preserve">               25 </w:t>
            </w:r>
          </w:p>
        </w:tc>
      </w:tr>
      <w:tr w:rsidR="001E222B" w:rsidRPr="007348FD" w14:paraId="0E51B509" w14:textId="77777777" w:rsidTr="001E222B">
        <w:trPr>
          <w:trHeight w:val="247"/>
        </w:trPr>
        <w:tc>
          <w:tcPr>
            <w:tcW w:w="478" w:type="pct"/>
            <w:tcBorders>
              <w:top w:val="single" w:sz="4" w:space="0" w:color="auto"/>
              <w:left w:val="single" w:sz="4" w:space="0" w:color="auto"/>
              <w:bottom w:val="single" w:sz="4" w:space="0" w:color="auto"/>
              <w:right w:val="nil"/>
            </w:tcBorders>
          </w:tcPr>
          <w:p w14:paraId="3F1FFA02" w14:textId="52CC6B74" w:rsidR="001E222B" w:rsidRPr="007348FD" w:rsidRDefault="001E222B" w:rsidP="001E222B">
            <w:pPr>
              <w:rPr>
                <w:b/>
                <w:bCs/>
              </w:rPr>
            </w:pPr>
            <w:r>
              <w:rPr>
                <w:b/>
                <w:bCs/>
              </w:rPr>
              <w:t>Total</w:t>
            </w:r>
          </w:p>
        </w:tc>
        <w:tc>
          <w:tcPr>
            <w:tcW w:w="846" w:type="pct"/>
            <w:tcBorders>
              <w:top w:val="single" w:sz="4" w:space="0" w:color="auto"/>
              <w:left w:val="nil"/>
              <w:bottom w:val="single" w:sz="4" w:space="0" w:color="auto"/>
              <w:right w:val="nil"/>
            </w:tcBorders>
          </w:tcPr>
          <w:p w14:paraId="48C6E648" w14:textId="77777777" w:rsidR="001E222B" w:rsidRPr="005526F2" w:rsidRDefault="001E222B" w:rsidP="001E222B">
            <w:pPr>
              <w:rPr>
                <w:b/>
                <w:bCs/>
                <w:color w:val="595959" w:themeColor="text1" w:themeTint="A6"/>
              </w:rPr>
            </w:pPr>
          </w:p>
        </w:tc>
        <w:tc>
          <w:tcPr>
            <w:tcW w:w="413" w:type="pct"/>
            <w:tcBorders>
              <w:top w:val="single" w:sz="4" w:space="0" w:color="auto"/>
              <w:left w:val="nil"/>
              <w:bottom w:val="single" w:sz="4" w:space="0" w:color="auto"/>
              <w:right w:val="single" w:sz="4" w:space="0" w:color="auto"/>
            </w:tcBorders>
          </w:tcPr>
          <w:p w14:paraId="117D43E8" w14:textId="77777777" w:rsidR="001E222B" w:rsidRPr="005526F2" w:rsidRDefault="001E222B" w:rsidP="001E222B">
            <w:pPr>
              <w:rPr>
                <w:b/>
                <w:bCs/>
                <w:color w:val="CC0000"/>
              </w:rPr>
            </w:pPr>
          </w:p>
        </w:tc>
        <w:tc>
          <w:tcPr>
            <w:tcW w:w="567" w:type="pct"/>
            <w:tcBorders>
              <w:left w:val="single" w:sz="4" w:space="0" w:color="auto"/>
            </w:tcBorders>
          </w:tcPr>
          <w:p w14:paraId="0DA2D667" w14:textId="77777777" w:rsidR="001E222B" w:rsidRPr="007348FD" w:rsidRDefault="001E222B" w:rsidP="001E222B">
            <w:pPr>
              <w:rPr>
                <w:b/>
                <w:bCs/>
              </w:rPr>
            </w:pPr>
          </w:p>
        </w:tc>
        <w:tc>
          <w:tcPr>
            <w:tcW w:w="335" w:type="pct"/>
          </w:tcPr>
          <w:p w14:paraId="3B07ECF5" w14:textId="77777777" w:rsidR="001E222B" w:rsidRPr="005526F2" w:rsidRDefault="001E222B" w:rsidP="001E222B">
            <w:pPr>
              <w:rPr>
                <w:b/>
                <w:bCs/>
                <w:color w:val="595959" w:themeColor="text1" w:themeTint="A6"/>
              </w:rPr>
            </w:pPr>
          </w:p>
        </w:tc>
        <w:tc>
          <w:tcPr>
            <w:tcW w:w="340" w:type="pct"/>
          </w:tcPr>
          <w:p w14:paraId="3A1A4E0B" w14:textId="77777777" w:rsidR="001E222B" w:rsidRDefault="001E222B" w:rsidP="001E222B">
            <w:pPr>
              <w:rPr>
                <w:b/>
                <w:bCs/>
                <w:color w:val="595959" w:themeColor="text1" w:themeTint="A6"/>
              </w:rPr>
            </w:pPr>
          </w:p>
        </w:tc>
        <w:tc>
          <w:tcPr>
            <w:tcW w:w="200" w:type="pct"/>
          </w:tcPr>
          <w:p w14:paraId="1E30CA13" w14:textId="77777777" w:rsidR="001E222B" w:rsidRPr="007348FD" w:rsidRDefault="001E222B" w:rsidP="001E222B"/>
        </w:tc>
        <w:tc>
          <w:tcPr>
            <w:tcW w:w="773" w:type="pct"/>
          </w:tcPr>
          <w:p w14:paraId="50C4F8B8" w14:textId="27EDD285" w:rsidR="001E222B" w:rsidRPr="007348FD" w:rsidRDefault="001E222B" w:rsidP="001E222B">
            <w:pPr>
              <w:rPr>
                <w:b/>
                <w:bCs/>
              </w:rPr>
            </w:pPr>
            <w:r>
              <w:rPr>
                <w:b/>
                <w:bCs/>
              </w:rPr>
              <w:t>78 Assessed</w:t>
            </w:r>
          </w:p>
        </w:tc>
        <w:tc>
          <w:tcPr>
            <w:tcW w:w="177" w:type="pct"/>
          </w:tcPr>
          <w:p w14:paraId="2F867F11" w14:textId="69B20318" w:rsidR="001E222B" w:rsidRPr="000D65EC" w:rsidRDefault="001E222B" w:rsidP="001E222B">
            <w:pPr>
              <w:rPr>
                <w:b/>
                <w:color w:val="006C31"/>
              </w:rPr>
            </w:pPr>
            <w:r>
              <w:rPr>
                <w:b/>
                <w:color w:val="006C31"/>
              </w:rPr>
              <w:t>25</w:t>
            </w:r>
          </w:p>
        </w:tc>
        <w:tc>
          <w:tcPr>
            <w:tcW w:w="177" w:type="pct"/>
          </w:tcPr>
          <w:p w14:paraId="55C568F2" w14:textId="6D2D9432" w:rsidR="001E222B" w:rsidRPr="000D65EC" w:rsidRDefault="001E222B" w:rsidP="001E222B">
            <w:pPr>
              <w:rPr>
                <w:b/>
                <w:color w:val="0000FF"/>
              </w:rPr>
            </w:pPr>
            <w:r>
              <w:rPr>
                <w:b/>
                <w:color w:val="0000FF"/>
              </w:rPr>
              <w:t>12</w:t>
            </w:r>
          </w:p>
        </w:tc>
        <w:tc>
          <w:tcPr>
            <w:tcW w:w="177" w:type="pct"/>
          </w:tcPr>
          <w:p w14:paraId="1157E77B" w14:textId="089B3243" w:rsidR="001E222B" w:rsidRPr="000D65EC" w:rsidRDefault="001E222B" w:rsidP="001E222B">
            <w:pPr>
              <w:rPr>
                <w:b/>
                <w:color w:val="CC0000"/>
              </w:rPr>
            </w:pPr>
            <w:r>
              <w:rPr>
                <w:b/>
                <w:color w:val="CC0000"/>
              </w:rPr>
              <w:t>41</w:t>
            </w:r>
          </w:p>
        </w:tc>
        <w:tc>
          <w:tcPr>
            <w:tcW w:w="285" w:type="pct"/>
          </w:tcPr>
          <w:p w14:paraId="74580BCF" w14:textId="44E3DDA0" w:rsidR="001E222B" w:rsidRPr="005526F2" w:rsidRDefault="001E222B" w:rsidP="001E222B">
            <w:pPr>
              <w:rPr>
                <w:b/>
                <w:color w:val="595959" w:themeColor="text1" w:themeTint="A6"/>
              </w:rPr>
            </w:pPr>
            <w:r>
              <w:rPr>
                <w:b/>
                <w:color w:val="595959" w:themeColor="text1" w:themeTint="A6"/>
              </w:rPr>
              <w:t>72</w:t>
            </w:r>
          </w:p>
        </w:tc>
        <w:tc>
          <w:tcPr>
            <w:tcW w:w="231" w:type="pct"/>
          </w:tcPr>
          <w:p w14:paraId="70C9F1E4" w14:textId="74BA202F" w:rsidR="001E222B" w:rsidRPr="007348FD" w:rsidRDefault="001E222B" w:rsidP="001E222B">
            <w:r>
              <w:t>150</w:t>
            </w:r>
          </w:p>
        </w:tc>
      </w:tr>
      <w:bookmarkEnd w:id="55"/>
    </w:tbl>
    <w:p w14:paraId="21FAC974" w14:textId="77777777" w:rsidR="00F128C1" w:rsidRDefault="00F128C1" w:rsidP="00F128C1">
      <w:pPr>
        <w:pStyle w:val="NumberedLevel1heading"/>
        <w:ind w:left="0" w:firstLine="0"/>
        <w:jc w:val="left"/>
        <w:sectPr w:rsidR="00F128C1" w:rsidSect="00714E9A">
          <w:pgSz w:w="16839" w:h="11907" w:orient="landscape" w:code="9"/>
          <w:pgMar w:top="720" w:right="720" w:bottom="720" w:left="720" w:header="709" w:footer="709" w:gutter="0"/>
          <w:cols w:space="708"/>
          <w:docGrid w:linePitch="360"/>
        </w:sectPr>
      </w:pPr>
    </w:p>
    <w:p w14:paraId="375792C1" w14:textId="08B61007" w:rsidR="00B21BF0" w:rsidRDefault="00F87AA9" w:rsidP="000B4E0A">
      <w:pPr>
        <w:pStyle w:val="NumberedLevel1heading"/>
        <w:ind w:left="0" w:firstLine="0"/>
        <w:jc w:val="left"/>
      </w:pPr>
      <w:bookmarkStart w:id="56" w:name="_Toc76630112"/>
      <w:r>
        <w:lastRenderedPageBreak/>
        <w:t xml:space="preserve">Annex 8: </w:t>
      </w:r>
      <w:r w:rsidR="00B21BF0">
        <w:t xml:space="preserve">Allocations, </w:t>
      </w:r>
      <w:r w:rsidR="003E508B">
        <w:t>Expenditure and Utilisation Rates 2018-2020</w:t>
      </w:r>
      <w:bookmarkEnd w:id="56"/>
    </w:p>
    <w:p w14:paraId="35A5B85A" w14:textId="77777777" w:rsidR="00B21BF0" w:rsidRPr="00010E73" w:rsidRDefault="00B21BF0" w:rsidP="00B21BF0">
      <w:pPr>
        <w:pStyle w:val="NoSpacing"/>
        <w:rPr>
          <w:b/>
          <w:bCs/>
        </w:rPr>
      </w:pPr>
      <w:r w:rsidRPr="00010E73">
        <w:rPr>
          <w:b/>
          <w:bCs/>
        </w:rPr>
        <w:t xml:space="preserve">Table 1 – </w:t>
      </w:r>
      <w:r w:rsidRPr="00BE1DA0">
        <w:rPr>
          <w:b/>
          <w:bCs/>
        </w:rPr>
        <w:t xml:space="preserve">TA </w:t>
      </w:r>
      <w:r>
        <w:rPr>
          <w:b/>
          <w:bCs/>
        </w:rPr>
        <w:t xml:space="preserve">Allocations (USD) and </w:t>
      </w:r>
      <w:r w:rsidRPr="00BE1DA0">
        <w:rPr>
          <w:b/>
          <w:bCs/>
        </w:rPr>
        <w:t xml:space="preserve">Implementation </w:t>
      </w:r>
      <w:r>
        <w:rPr>
          <w:b/>
          <w:bCs/>
        </w:rPr>
        <w:t xml:space="preserve">Rates </w:t>
      </w:r>
      <w:r w:rsidRPr="00BE1DA0">
        <w:rPr>
          <w:b/>
          <w:bCs/>
        </w:rPr>
        <w:t>201</w:t>
      </w:r>
      <w:r>
        <w:rPr>
          <w:b/>
          <w:bCs/>
        </w:rPr>
        <w:t>8 -2020</w:t>
      </w:r>
      <w:r w:rsidRPr="00BE1DA0">
        <w:rPr>
          <w:b/>
          <w:bCs/>
        </w:rPr>
        <w:t xml:space="preserve"> </w:t>
      </w:r>
    </w:p>
    <w:tbl>
      <w:tblPr>
        <w:tblStyle w:val="GridTable5Dark"/>
        <w:tblW w:w="8861" w:type="dxa"/>
        <w:tblLook w:val="04A0" w:firstRow="1" w:lastRow="0" w:firstColumn="1" w:lastColumn="0" w:noHBand="0" w:noVBand="1"/>
      </w:tblPr>
      <w:tblGrid>
        <w:gridCol w:w="2122"/>
        <w:gridCol w:w="1387"/>
        <w:gridCol w:w="1404"/>
        <w:gridCol w:w="2170"/>
        <w:gridCol w:w="1778"/>
      </w:tblGrid>
      <w:tr w:rsidR="00B21BF0" w:rsidRPr="000E4196" w14:paraId="2936266C" w14:textId="77777777" w:rsidTr="001E222B">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122" w:type="dxa"/>
            <w:noWrap/>
          </w:tcPr>
          <w:p w14:paraId="319E1E0D" w14:textId="77777777" w:rsidR="00B21BF0" w:rsidRPr="000E4196" w:rsidRDefault="00B21BF0" w:rsidP="0035508A">
            <w:pPr>
              <w:pStyle w:val="NoSpacing"/>
            </w:pPr>
          </w:p>
        </w:tc>
        <w:tc>
          <w:tcPr>
            <w:tcW w:w="1387" w:type="dxa"/>
            <w:noWrap/>
            <w:hideMark/>
          </w:tcPr>
          <w:p w14:paraId="19F3ABE5" w14:textId="77777777" w:rsidR="00B21BF0" w:rsidRPr="000E4196" w:rsidRDefault="00B21BF0" w:rsidP="0035508A">
            <w:pPr>
              <w:pStyle w:val="NoSpacing"/>
              <w:cnfStyle w:val="100000000000" w:firstRow="1" w:lastRow="0" w:firstColumn="0" w:lastColumn="0" w:oddVBand="0" w:evenVBand="0" w:oddHBand="0" w:evenHBand="0" w:firstRowFirstColumn="0" w:firstRowLastColumn="0" w:lastRowFirstColumn="0" w:lastRowLastColumn="0"/>
            </w:pPr>
          </w:p>
        </w:tc>
        <w:tc>
          <w:tcPr>
            <w:tcW w:w="1404" w:type="dxa"/>
            <w:noWrap/>
            <w:hideMark/>
          </w:tcPr>
          <w:p w14:paraId="34163B7F" w14:textId="77777777" w:rsidR="00B21BF0" w:rsidRPr="000E4196" w:rsidRDefault="00B21BF0" w:rsidP="0035508A">
            <w:pPr>
              <w:pStyle w:val="NoSpacing"/>
              <w:cnfStyle w:val="100000000000" w:firstRow="1" w:lastRow="0" w:firstColumn="0" w:lastColumn="0" w:oddVBand="0" w:evenVBand="0" w:oddHBand="0" w:evenHBand="0" w:firstRowFirstColumn="0" w:firstRowLastColumn="0" w:lastRowFirstColumn="0" w:lastRowLastColumn="0"/>
            </w:pPr>
          </w:p>
        </w:tc>
        <w:tc>
          <w:tcPr>
            <w:tcW w:w="2170" w:type="dxa"/>
            <w:noWrap/>
            <w:hideMark/>
          </w:tcPr>
          <w:p w14:paraId="53F53FAB" w14:textId="77777777" w:rsidR="00B21BF0" w:rsidRPr="000E4196" w:rsidRDefault="00B21BF0" w:rsidP="0035508A">
            <w:pPr>
              <w:pStyle w:val="NoSpacing"/>
              <w:cnfStyle w:val="100000000000" w:firstRow="1" w:lastRow="0" w:firstColumn="0" w:lastColumn="0" w:oddVBand="0" w:evenVBand="0" w:oddHBand="0" w:evenHBand="0" w:firstRowFirstColumn="0" w:firstRowLastColumn="0" w:lastRowFirstColumn="0" w:lastRowLastColumn="0"/>
            </w:pPr>
          </w:p>
        </w:tc>
        <w:tc>
          <w:tcPr>
            <w:tcW w:w="1778" w:type="dxa"/>
            <w:noWrap/>
            <w:hideMark/>
          </w:tcPr>
          <w:p w14:paraId="0298565F" w14:textId="77777777" w:rsidR="00B21BF0" w:rsidRPr="000E4196" w:rsidRDefault="00B21BF0" w:rsidP="0035508A">
            <w:pPr>
              <w:pStyle w:val="NoSpacing"/>
              <w:cnfStyle w:val="100000000000" w:firstRow="1" w:lastRow="0" w:firstColumn="0" w:lastColumn="0" w:oddVBand="0" w:evenVBand="0" w:oddHBand="0" w:evenHBand="0" w:firstRowFirstColumn="0" w:firstRowLastColumn="0" w:lastRowFirstColumn="0" w:lastRowLastColumn="0"/>
            </w:pPr>
          </w:p>
        </w:tc>
      </w:tr>
      <w:tr w:rsidR="00B21BF0" w:rsidRPr="000E4196" w14:paraId="782E4048" w14:textId="77777777" w:rsidTr="001E222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D6CC1A6" w14:textId="77777777" w:rsidR="00B21BF0" w:rsidRPr="005F68D1" w:rsidRDefault="00B21BF0" w:rsidP="0035508A">
            <w:pPr>
              <w:spacing w:after="0" w:line="240" w:lineRule="auto"/>
              <w:jc w:val="center"/>
              <w:rPr>
                <w:rFonts w:ascii="Calibri" w:hAnsi="Calibri" w:cs="Calibri"/>
                <w:b w:val="0"/>
                <w:bCs w:val="0"/>
                <w:sz w:val="20"/>
                <w:szCs w:val="20"/>
                <w:lang w:eastAsia="en-AU"/>
              </w:rPr>
            </w:pPr>
            <w:r w:rsidRPr="005F68D1">
              <w:rPr>
                <w:rFonts w:ascii="Calibri" w:hAnsi="Calibri" w:cs="Calibri"/>
                <w:b w:val="0"/>
                <w:bCs w:val="0"/>
                <w:sz w:val="20"/>
                <w:szCs w:val="20"/>
                <w:lang w:eastAsia="en-AU"/>
              </w:rPr>
              <w:t>Location</w:t>
            </w:r>
          </w:p>
        </w:tc>
        <w:tc>
          <w:tcPr>
            <w:tcW w:w="1387" w:type="dxa"/>
            <w:noWrap/>
            <w:hideMark/>
          </w:tcPr>
          <w:p w14:paraId="704DC190" w14:textId="77777777" w:rsidR="00B21BF0" w:rsidRPr="00D57C05" w:rsidRDefault="00B21BF0" w:rsidP="003550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eastAsia="en-AU"/>
              </w:rPr>
            </w:pPr>
            <w:r w:rsidRPr="00D57C05">
              <w:rPr>
                <w:rFonts w:ascii="Calibri" w:hAnsi="Calibri" w:cs="Calibri"/>
                <w:b/>
                <w:bCs/>
                <w:sz w:val="20"/>
                <w:szCs w:val="20"/>
                <w:lang w:eastAsia="en-AU"/>
              </w:rPr>
              <w:t>Allocation</w:t>
            </w:r>
          </w:p>
        </w:tc>
        <w:tc>
          <w:tcPr>
            <w:tcW w:w="1404" w:type="dxa"/>
            <w:noWrap/>
            <w:hideMark/>
          </w:tcPr>
          <w:p w14:paraId="72079D5B" w14:textId="77777777" w:rsidR="00B21BF0" w:rsidRPr="00D57C05" w:rsidRDefault="00B21BF0" w:rsidP="003550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eastAsia="en-AU"/>
              </w:rPr>
            </w:pPr>
            <w:r w:rsidRPr="00D57C05">
              <w:rPr>
                <w:rFonts w:ascii="Calibri" w:hAnsi="Calibri" w:cs="Calibri"/>
                <w:b/>
                <w:bCs/>
                <w:sz w:val="20"/>
                <w:szCs w:val="20"/>
                <w:lang w:eastAsia="en-AU"/>
              </w:rPr>
              <w:t>Expenditure</w:t>
            </w:r>
          </w:p>
        </w:tc>
        <w:tc>
          <w:tcPr>
            <w:tcW w:w="2170" w:type="dxa"/>
            <w:hideMark/>
          </w:tcPr>
          <w:p w14:paraId="292CA991" w14:textId="77777777" w:rsidR="00B21BF0" w:rsidRPr="00D57C05" w:rsidRDefault="00B21BF0" w:rsidP="003550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eastAsia="en-AU"/>
              </w:rPr>
            </w:pPr>
            <w:r w:rsidRPr="00D57C05">
              <w:rPr>
                <w:rFonts w:ascii="Calibri" w:hAnsi="Calibri" w:cs="Calibri"/>
                <w:b/>
                <w:bCs/>
                <w:sz w:val="20"/>
                <w:szCs w:val="20"/>
                <w:lang w:eastAsia="en-AU"/>
              </w:rPr>
              <w:t>Outstanding advance</w:t>
            </w:r>
          </w:p>
        </w:tc>
        <w:tc>
          <w:tcPr>
            <w:tcW w:w="1778" w:type="dxa"/>
            <w:hideMark/>
          </w:tcPr>
          <w:p w14:paraId="3171DCBE" w14:textId="77777777" w:rsidR="00B21BF0" w:rsidRPr="00D57C05" w:rsidRDefault="00B21BF0" w:rsidP="003550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eastAsia="en-AU"/>
              </w:rPr>
            </w:pPr>
            <w:r w:rsidRPr="00D57C05">
              <w:rPr>
                <w:rFonts w:ascii="Calibri" w:hAnsi="Calibri" w:cs="Calibri"/>
                <w:b/>
                <w:bCs/>
                <w:sz w:val="20"/>
                <w:szCs w:val="20"/>
                <w:lang w:eastAsia="en-AU"/>
              </w:rPr>
              <w:t>Utilisation Rate</w:t>
            </w:r>
          </w:p>
        </w:tc>
      </w:tr>
      <w:tr w:rsidR="00C15251" w:rsidRPr="000E4196" w14:paraId="3DA9ED64"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7A86255D" w14:textId="77777777" w:rsidR="00C15251" w:rsidRPr="000E4196" w:rsidRDefault="00C15251" w:rsidP="0035508A">
            <w:pPr>
              <w:spacing w:after="0" w:line="240" w:lineRule="auto"/>
              <w:rPr>
                <w:rFonts w:ascii="Calibri" w:hAnsi="Calibri" w:cs="Calibri"/>
                <w:color w:val="FFFFFF"/>
                <w:sz w:val="20"/>
                <w:szCs w:val="20"/>
                <w:lang w:eastAsia="en-AU"/>
              </w:rPr>
            </w:pPr>
            <w:r w:rsidRPr="000E4196">
              <w:rPr>
                <w:rFonts w:ascii="Calibri" w:hAnsi="Calibri" w:cs="Calibri"/>
                <w:b w:val="0"/>
                <w:bCs w:val="0"/>
                <w:color w:val="FFFFFF"/>
                <w:sz w:val="20"/>
                <w:szCs w:val="20"/>
                <w:lang w:eastAsia="en-AU"/>
              </w:rPr>
              <w:t>Fiji</w:t>
            </w:r>
          </w:p>
        </w:tc>
        <w:tc>
          <w:tcPr>
            <w:tcW w:w="1387" w:type="dxa"/>
          </w:tcPr>
          <w:p w14:paraId="0AF3E2EA"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404" w:type="dxa"/>
          </w:tcPr>
          <w:p w14:paraId="6CBCE320"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2170" w:type="dxa"/>
          </w:tcPr>
          <w:p w14:paraId="567A485D"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778" w:type="dxa"/>
          </w:tcPr>
          <w:p w14:paraId="21651381" w14:textId="4AC0834F"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r>
      <w:tr w:rsidR="00B21BF0" w:rsidRPr="000E4196" w14:paraId="6FF993B9"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B04F1A4"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D57C05">
              <w:rPr>
                <w:rFonts w:ascii="Calibri" w:hAnsi="Calibri" w:cs="Calibri"/>
                <w:i/>
                <w:iCs/>
                <w:color w:val="auto"/>
                <w:sz w:val="20"/>
                <w:szCs w:val="20"/>
                <w:lang w:eastAsia="en-AU"/>
              </w:rPr>
              <w:t>2018</w:t>
            </w:r>
          </w:p>
        </w:tc>
        <w:tc>
          <w:tcPr>
            <w:tcW w:w="1387" w:type="dxa"/>
            <w:noWrap/>
            <w:hideMark/>
          </w:tcPr>
          <w:p w14:paraId="47B6F206"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87,401 </w:t>
            </w:r>
          </w:p>
        </w:tc>
        <w:tc>
          <w:tcPr>
            <w:tcW w:w="1404" w:type="dxa"/>
            <w:noWrap/>
            <w:hideMark/>
          </w:tcPr>
          <w:p w14:paraId="506FBB07"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26,136 </w:t>
            </w:r>
          </w:p>
        </w:tc>
        <w:tc>
          <w:tcPr>
            <w:tcW w:w="2170" w:type="dxa"/>
            <w:noWrap/>
            <w:hideMark/>
          </w:tcPr>
          <w:p w14:paraId="6966D621"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c>
          <w:tcPr>
            <w:tcW w:w="1778" w:type="dxa"/>
            <w:noWrap/>
            <w:hideMark/>
          </w:tcPr>
          <w:p w14:paraId="2931A0FB" w14:textId="77777777" w:rsidR="00B21BF0" w:rsidRPr="000E4196" w:rsidRDefault="00B21BF0" w:rsidP="0035508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30%</w:t>
            </w:r>
          </w:p>
        </w:tc>
      </w:tr>
      <w:tr w:rsidR="00B21BF0" w:rsidRPr="000E4196" w14:paraId="09B64FC7"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54A5188A"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D57C05">
              <w:rPr>
                <w:rFonts w:ascii="Calibri" w:hAnsi="Calibri" w:cs="Calibri"/>
                <w:i/>
                <w:iCs/>
                <w:color w:val="auto"/>
                <w:sz w:val="20"/>
                <w:szCs w:val="20"/>
                <w:lang w:eastAsia="en-AU"/>
              </w:rPr>
              <w:t>2019</w:t>
            </w:r>
          </w:p>
        </w:tc>
        <w:tc>
          <w:tcPr>
            <w:tcW w:w="1387" w:type="dxa"/>
            <w:noWrap/>
            <w:hideMark/>
          </w:tcPr>
          <w:p w14:paraId="5CAB5B8B"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402,298 </w:t>
            </w:r>
          </w:p>
        </w:tc>
        <w:tc>
          <w:tcPr>
            <w:tcW w:w="1404" w:type="dxa"/>
            <w:noWrap/>
            <w:hideMark/>
          </w:tcPr>
          <w:p w14:paraId="34E3D58A"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141,894 </w:t>
            </w:r>
          </w:p>
        </w:tc>
        <w:tc>
          <w:tcPr>
            <w:tcW w:w="2170" w:type="dxa"/>
            <w:noWrap/>
            <w:hideMark/>
          </w:tcPr>
          <w:p w14:paraId="2383D425"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c>
          <w:tcPr>
            <w:tcW w:w="1778" w:type="dxa"/>
            <w:noWrap/>
            <w:hideMark/>
          </w:tcPr>
          <w:p w14:paraId="136E4E16" w14:textId="77777777" w:rsidR="00B21BF0" w:rsidRPr="000E4196" w:rsidRDefault="00B21BF0" w:rsidP="0035508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35%</w:t>
            </w:r>
          </w:p>
        </w:tc>
      </w:tr>
      <w:tr w:rsidR="00B21BF0" w:rsidRPr="000E4196" w14:paraId="4141D53A"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21F3818"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2E2C04">
              <w:rPr>
                <w:rFonts w:ascii="Calibri" w:hAnsi="Calibri" w:cs="Calibri"/>
                <w:i/>
                <w:iCs/>
                <w:color w:val="auto"/>
                <w:sz w:val="20"/>
                <w:szCs w:val="20"/>
                <w:lang w:eastAsia="en-AU"/>
              </w:rPr>
              <w:t>2020</w:t>
            </w:r>
          </w:p>
        </w:tc>
        <w:tc>
          <w:tcPr>
            <w:tcW w:w="1387" w:type="dxa"/>
            <w:noWrap/>
            <w:hideMark/>
          </w:tcPr>
          <w:p w14:paraId="72B7D066"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c>
          <w:tcPr>
            <w:tcW w:w="1404" w:type="dxa"/>
            <w:noWrap/>
            <w:hideMark/>
          </w:tcPr>
          <w:p w14:paraId="10C2D789"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c>
          <w:tcPr>
            <w:tcW w:w="2170" w:type="dxa"/>
            <w:noWrap/>
            <w:hideMark/>
          </w:tcPr>
          <w:p w14:paraId="1DD36DA0"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c>
          <w:tcPr>
            <w:tcW w:w="1778" w:type="dxa"/>
            <w:noWrap/>
            <w:hideMark/>
          </w:tcPr>
          <w:p w14:paraId="53215835"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r>
      <w:tr w:rsidR="00C15251" w:rsidRPr="000E4196" w14:paraId="64F78C42"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588DA9FA" w14:textId="77777777" w:rsidR="00C15251" w:rsidRPr="000E4196" w:rsidRDefault="00C15251" w:rsidP="0035508A">
            <w:pPr>
              <w:spacing w:after="0" w:line="240" w:lineRule="auto"/>
              <w:rPr>
                <w:rFonts w:ascii="Calibri" w:hAnsi="Calibri" w:cs="Calibri"/>
                <w:color w:val="FFFFFF"/>
                <w:sz w:val="20"/>
                <w:szCs w:val="20"/>
                <w:lang w:eastAsia="en-AU"/>
              </w:rPr>
            </w:pPr>
            <w:r w:rsidRPr="000E4196">
              <w:rPr>
                <w:rFonts w:ascii="Calibri" w:hAnsi="Calibri" w:cs="Calibri"/>
                <w:b w:val="0"/>
                <w:bCs w:val="0"/>
                <w:color w:val="FFFFFF"/>
                <w:sz w:val="20"/>
                <w:szCs w:val="20"/>
                <w:lang w:eastAsia="en-AU"/>
              </w:rPr>
              <w:t>Kiribati</w:t>
            </w:r>
          </w:p>
        </w:tc>
        <w:tc>
          <w:tcPr>
            <w:tcW w:w="1387" w:type="dxa"/>
          </w:tcPr>
          <w:p w14:paraId="716FCDFA"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404" w:type="dxa"/>
          </w:tcPr>
          <w:p w14:paraId="0E79EAC6" w14:textId="5BE814B8"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2170" w:type="dxa"/>
          </w:tcPr>
          <w:p w14:paraId="344F2917"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778" w:type="dxa"/>
          </w:tcPr>
          <w:p w14:paraId="159DE219" w14:textId="75901A55"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r>
      <w:tr w:rsidR="00B21BF0" w:rsidRPr="000E4196" w14:paraId="382BF198"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7CC9C24" w14:textId="77777777" w:rsidR="00B21BF0" w:rsidRPr="000D65EC"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2018</w:t>
            </w:r>
          </w:p>
        </w:tc>
        <w:tc>
          <w:tcPr>
            <w:tcW w:w="1387" w:type="dxa"/>
            <w:noWrap/>
            <w:hideMark/>
          </w:tcPr>
          <w:p w14:paraId="4F8ED497"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   </w:t>
            </w:r>
          </w:p>
        </w:tc>
        <w:tc>
          <w:tcPr>
            <w:tcW w:w="1404" w:type="dxa"/>
            <w:noWrap/>
            <w:hideMark/>
          </w:tcPr>
          <w:p w14:paraId="357E7195"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   </w:t>
            </w:r>
          </w:p>
        </w:tc>
        <w:tc>
          <w:tcPr>
            <w:tcW w:w="2170" w:type="dxa"/>
            <w:noWrap/>
            <w:hideMark/>
          </w:tcPr>
          <w:p w14:paraId="4ED83AF8"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c>
          <w:tcPr>
            <w:tcW w:w="1778" w:type="dxa"/>
            <w:noWrap/>
            <w:hideMark/>
          </w:tcPr>
          <w:p w14:paraId="585B0DC4"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r>
      <w:tr w:rsidR="00B21BF0" w:rsidRPr="000E4196" w14:paraId="7E011A64"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8E02273"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2019</w:t>
            </w:r>
          </w:p>
        </w:tc>
        <w:tc>
          <w:tcPr>
            <w:tcW w:w="1387" w:type="dxa"/>
            <w:noWrap/>
            <w:hideMark/>
          </w:tcPr>
          <w:p w14:paraId="19963B2B"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380,780 </w:t>
            </w:r>
          </w:p>
        </w:tc>
        <w:tc>
          <w:tcPr>
            <w:tcW w:w="1404" w:type="dxa"/>
            <w:noWrap/>
            <w:hideMark/>
          </w:tcPr>
          <w:p w14:paraId="3368AC99"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148,441 </w:t>
            </w:r>
          </w:p>
        </w:tc>
        <w:tc>
          <w:tcPr>
            <w:tcW w:w="2170" w:type="dxa"/>
            <w:noWrap/>
            <w:hideMark/>
          </w:tcPr>
          <w:p w14:paraId="51B24A77"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c>
          <w:tcPr>
            <w:tcW w:w="1778" w:type="dxa"/>
            <w:noWrap/>
            <w:hideMark/>
          </w:tcPr>
          <w:p w14:paraId="3FDF8BC0" w14:textId="77777777" w:rsidR="00B21BF0" w:rsidRPr="000E4196" w:rsidRDefault="00B21BF0" w:rsidP="0035508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39%</w:t>
            </w:r>
          </w:p>
        </w:tc>
      </w:tr>
      <w:tr w:rsidR="00B21BF0" w:rsidRPr="000E4196" w14:paraId="3BF45B15"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B5E5FC6"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2020</w:t>
            </w:r>
          </w:p>
        </w:tc>
        <w:tc>
          <w:tcPr>
            <w:tcW w:w="1387" w:type="dxa"/>
            <w:noWrap/>
            <w:hideMark/>
          </w:tcPr>
          <w:p w14:paraId="3E8CE2B5"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273,803 </w:t>
            </w:r>
          </w:p>
        </w:tc>
        <w:tc>
          <w:tcPr>
            <w:tcW w:w="1404" w:type="dxa"/>
            <w:noWrap/>
            <w:hideMark/>
          </w:tcPr>
          <w:p w14:paraId="3DE200F0"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10,665 </w:t>
            </w:r>
          </w:p>
        </w:tc>
        <w:tc>
          <w:tcPr>
            <w:tcW w:w="2170" w:type="dxa"/>
            <w:noWrap/>
            <w:hideMark/>
          </w:tcPr>
          <w:p w14:paraId="224AC018"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99,753 </w:t>
            </w:r>
          </w:p>
        </w:tc>
        <w:tc>
          <w:tcPr>
            <w:tcW w:w="1778" w:type="dxa"/>
            <w:noWrap/>
            <w:hideMark/>
          </w:tcPr>
          <w:p w14:paraId="28B82872" w14:textId="77777777" w:rsidR="00B21BF0" w:rsidRPr="000E4196" w:rsidRDefault="00B21BF0" w:rsidP="0035508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4%</w:t>
            </w:r>
          </w:p>
        </w:tc>
      </w:tr>
      <w:tr w:rsidR="00C15251" w:rsidRPr="000E4196" w14:paraId="2BE4A505"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6E2F1DE" w14:textId="77777777" w:rsidR="00C15251" w:rsidRPr="000E4196" w:rsidRDefault="00C15251" w:rsidP="0035508A">
            <w:pPr>
              <w:spacing w:after="0" w:line="240" w:lineRule="auto"/>
              <w:rPr>
                <w:rFonts w:ascii="Calibri" w:hAnsi="Calibri" w:cs="Calibri"/>
                <w:color w:val="FFFFFF"/>
                <w:sz w:val="20"/>
                <w:szCs w:val="20"/>
                <w:lang w:eastAsia="en-AU"/>
              </w:rPr>
            </w:pPr>
            <w:r w:rsidRPr="000E4196">
              <w:rPr>
                <w:rFonts w:ascii="Calibri" w:hAnsi="Calibri" w:cs="Calibri"/>
                <w:b w:val="0"/>
                <w:bCs w:val="0"/>
                <w:color w:val="FFFFFF"/>
                <w:sz w:val="20"/>
                <w:szCs w:val="20"/>
                <w:lang w:eastAsia="en-AU"/>
              </w:rPr>
              <w:t>Solomons</w:t>
            </w:r>
          </w:p>
        </w:tc>
        <w:tc>
          <w:tcPr>
            <w:tcW w:w="1387" w:type="dxa"/>
          </w:tcPr>
          <w:p w14:paraId="47071321"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404" w:type="dxa"/>
          </w:tcPr>
          <w:p w14:paraId="3B11E567" w14:textId="3DCEF12D"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2170" w:type="dxa"/>
          </w:tcPr>
          <w:p w14:paraId="14DB5816"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778" w:type="dxa"/>
          </w:tcPr>
          <w:p w14:paraId="2856FAEA" w14:textId="5330DEAC"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r>
      <w:tr w:rsidR="00B21BF0" w:rsidRPr="000E4196" w14:paraId="76DC6885"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7D9B8BA0"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2018</w:t>
            </w:r>
          </w:p>
        </w:tc>
        <w:tc>
          <w:tcPr>
            <w:tcW w:w="1387" w:type="dxa"/>
            <w:noWrap/>
            <w:hideMark/>
          </w:tcPr>
          <w:p w14:paraId="53487F05"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80,000 </w:t>
            </w:r>
          </w:p>
        </w:tc>
        <w:tc>
          <w:tcPr>
            <w:tcW w:w="1404" w:type="dxa"/>
            <w:noWrap/>
            <w:hideMark/>
          </w:tcPr>
          <w:p w14:paraId="1F3DD370"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78,514 </w:t>
            </w:r>
          </w:p>
        </w:tc>
        <w:tc>
          <w:tcPr>
            <w:tcW w:w="2170" w:type="dxa"/>
            <w:noWrap/>
            <w:hideMark/>
          </w:tcPr>
          <w:p w14:paraId="21E52364"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c>
          <w:tcPr>
            <w:tcW w:w="1778" w:type="dxa"/>
            <w:noWrap/>
            <w:hideMark/>
          </w:tcPr>
          <w:p w14:paraId="6E8B738A" w14:textId="77777777" w:rsidR="00B21BF0" w:rsidRPr="000E4196" w:rsidRDefault="00B21BF0" w:rsidP="0035508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98%</w:t>
            </w:r>
          </w:p>
        </w:tc>
      </w:tr>
      <w:tr w:rsidR="00B21BF0" w:rsidRPr="000E4196" w14:paraId="0A816DA3"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0A2AC08"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2019</w:t>
            </w:r>
          </w:p>
        </w:tc>
        <w:tc>
          <w:tcPr>
            <w:tcW w:w="1387" w:type="dxa"/>
            <w:noWrap/>
            <w:hideMark/>
          </w:tcPr>
          <w:p w14:paraId="7BAE702A"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162,982 </w:t>
            </w:r>
          </w:p>
        </w:tc>
        <w:tc>
          <w:tcPr>
            <w:tcW w:w="1404" w:type="dxa"/>
            <w:noWrap/>
            <w:hideMark/>
          </w:tcPr>
          <w:p w14:paraId="6E12037A"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66,751 </w:t>
            </w:r>
          </w:p>
        </w:tc>
        <w:tc>
          <w:tcPr>
            <w:tcW w:w="2170" w:type="dxa"/>
            <w:noWrap/>
            <w:hideMark/>
          </w:tcPr>
          <w:p w14:paraId="441C4D3D"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c>
          <w:tcPr>
            <w:tcW w:w="1778" w:type="dxa"/>
            <w:noWrap/>
            <w:hideMark/>
          </w:tcPr>
          <w:p w14:paraId="0CCC08FC" w14:textId="77777777" w:rsidR="00B21BF0" w:rsidRPr="000E4196" w:rsidRDefault="00B21BF0" w:rsidP="0035508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41%</w:t>
            </w:r>
          </w:p>
        </w:tc>
      </w:tr>
      <w:tr w:rsidR="00B21BF0" w:rsidRPr="000E4196" w14:paraId="36968DF4"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257C1A3"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2020</w:t>
            </w:r>
          </w:p>
        </w:tc>
        <w:tc>
          <w:tcPr>
            <w:tcW w:w="1387" w:type="dxa"/>
            <w:noWrap/>
            <w:hideMark/>
          </w:tcPr>
          <w:p w14:paraId="1BAC3F44"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336,129 </w:t>
            </w:r>
          </w:p>
        </w:tc>
        <w:tc>
          <w:tcPr>
            <w:tcW w:w="1404" w:type="dxa"/>
            <w:noWrap/>
            <w:hideMark/>
          </w:tcPr>
          <w:p w14:paraId="3A03DE42"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21,981 </w:t>
            </w:r>
          </w:p>
        </w:tc>
        <w:tc>
          <w:tcPr>
            <w:tcW w:w="2170" w:type="dxa"/>
            <w:noWrap/>
            <w:hideMark/>
          </w:tcPr>
          <w:p w14:paraId="4172598D"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32,185 </w:t>
            </w:r>
          </w:p>
        </w:tc>
        <w:tc>
          <w:tcPr>
            <w:tcW w:w="1778" w:type="dxa"/>
            <w:noWrap/>
            <w:hideMark/>
          </w:tcPr>
          <w:p w14:paraId="5AE24C50" w14:textId="77777777" w:rsidR="00B21BF0" w:rsidRPr="000E4196" w:rsidRDefault="00B21BF0" w:rsidP="0035508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7%</w:t>
            </w:r>
          </w:p>
        </w:tc>
      </w:tr>
      <w:tr w:rsidR="00C15251" w:rsidRPr="000E4196" w14:paraId="036DA1C7"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47F186F" w14:textId="77777777" w:rsidR="00C15251" w:rsidRPr="000E4196" w:rsidRDefault="00C15251" w:rsidP="0035508A">
            <w:pPr>
              <w:spacing w:after="0" w:line="240" w:lineRule="auto"/>
              <w:rPr>
                <w:rFonts w:ascii="Calibri" w:hAnsi="Calibri" w:cs="Calibri"/>
                <w:color w:val="FFFFFF"/>
                <w:sz w:val="20"/>
                <w:szCs w:val="20"/>
                <w:lang w:eastAsia="en-AU"/>
              </w:rPr>
            </w:pPr>
            <w:r w:rsidRPr="000E4196">
              <w:rPr>
                <w:rFonts w:ascii="Calibri" w:hAnsi="Calibri" w:cs="Calibri"/>
                <w:b w:val="0"/>
                <w:bCs w:val="0"/>
                <w:color w:val="FFFFFF"/>
                <w:sz w:val="20"/>
                <w:szCs w:val="20"/>
                <w:lang w:eastAsia="en-AU"/>
              </w:rPr>
              <w:t>Samoa</w:t>
            </w:r>
          </w:p>
        </w:tc>
        <w:tc>
          <w:tcPr>
            <w:tcW w:w="1387" w:type="dxa"/>
          </w:tcPr>
          <w:p w14:paraId="018B4CEF"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404" w:type="dxa"/>
          </w:tcPr>
          <w:p w14:paraId="5738CFE6" w14:textId="0ADDFEF9"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2170" w:type="dxa"/>
          </w:tcPr>
          <w:p w14:paraId="5CA040AC"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778" w:type="dxa"/>
          </w:tcPr>
          <w:p w14:paraId="48D08AE7" w14:textId="18E9CE69"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r>
      <w:tr w:rsidR="00B21BF0" w:rsidRPr="000E4196" w14:paraId="79EAFCB7"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FE40B50"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2018</w:t>
            </w:r>
          </w:p>
        </w:tc>
        <w:tc>
          <w:tcPr>
            <w:tcW w:w="1387" w:type="dxa"/>
            <w:noWrap/>
            <w:hideMark/>
          </w:tcPr>
          <w:p w14:paraId="0A92C280"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32,000 </w:t>
            </w:r>
          </w:p>
        </w:tc>
        <w:tc>
          <w:tcPr>
            <w:tcW w:w="1404" w:type="dxa"/>
            <w:noWrap/>
            <w:hideMark/>
          </w:tcPr>
          <w:p w14:paraId="3B3C5216"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   </w:t>
            </w:r>
          </w:p>
        </w:tc>
        <w:tc>
          <w:tcPr>
            <w:tcW w:w="2170" w:type="dxa"/>
            <w:noWrap/>
            <w:hideMark/>
          </w:tcPr>
          <w:p w14:paraId="1425E891"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c>
          <w:tcPr>
            <w:tcW w:w="1778" w:type="dxa"/>
            <w:noWrap/>
            <w:hideMark/>
          </w:tcPr>
          <w:p w14:paraId="0D57BC99" w14:textId="77777777" w:rsidR="00B21BF0" w:rsidRPr="000E4196" w:rsidRDefault="00B21BF0" w:rsidP="0035508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0%</w:t>
            </w:r>
          </w:p>
        </w:tc>
      </w:tr>
      <w:tr w:rsidR="00B21BF0" w:rsidRPr="000E4196" w14:paraId="13BD165D"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46EDEF18"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2019</w:t>
            </w:r>
          </w:p>
        </w:tc>
        <w:tc>
          <w:tcPr>
            <w:tcW w:w="1387" w:type="dxa"/>
            <w:noWrap/>
            <w:hideMark/>
          </w:tcPr>
          <w:p w14:paraId="30FA33E0"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421,303 </w:t>
            </w:r>
          </w:p>
        </w:tc>
        <w:tc>
          <w:tcPr>
            <w:tcW w:w="1404" w:type="dxa"/>
            <w:noWrap/>
            <w:hideMark/>
          </w:tcPr>
          <w:p w14:paraId="09A4EF25"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210,283 </w:t>
            </w:r>
          </w:p>
        </w:tc>
        <w:tc>
          <w:tcPr>
            <w:tcW w:w="2170" w:type="dxa"/>
            <w:noWrap/>
            <w:hideMark/>
          </w:tcPr>
          <w:p w14:paraId="17771EF5"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c>
          <w:tcPr>
            <w:tcW w:w="1778" w:type="dxa"/>
            <w:noWrap/>
            <w:hideMark/>
          </w:tcPr>
          <w:p w14:paraId="4FEB5F8A" w14:textId="77777777" w:rsidR="00B21BF0" w:rsidRPr="000E4196" w:rsidRDefault="00B21BF0" w:rsidP="0035508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50%</w:t>
            </w:r>
          </w:p>
        </w:tc>
      </w:tr>
      <w:tr w:rsidR="00B21BF0" w:rsidRPr="000E4196" w14:paraId="65E28230"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580FB078"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2020</w:t>
            </w:r>
          </w:p>
        </w:tc>
        <w:tc>
          <w:tcPr>
            <w:tcW w:w="1387" w:type="dxa"/>
            <w:noWrap/>
            <w:hideMark/>
          </w:tcPr>
          <w:p w14:paraId="6CF1DEC2"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127,660 </w:t>
            </w:r>
          </w:p>
        </w:tc>
        <w:tc>
          <w:tcPr>
            <w:tcW w:w="1404" w:type="dxa"/>
            <w:noWrap/>
            <w:hideMark/>
          </w:tcPr>
          <w:p w14:paraId="15FB9949"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43,856 </w:t>
            </w:r>
          </w:p>
        </w:tc>
        <w:tc>
          <w:tcPr>
            <w:tcW w:w="2170" w:type="dxa"/>
            <w:noWrap/>
            <w:hideMark/>
          </w:tcPr>
          <w:p w14:paraId="70345311"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32,231 </w:t>
            </w:r>
          </w:p>
        </w:tc>
        <w:tc>
          <w:tcPr>
            <w:tcW w:w="1778" w:type="dxa"/>
            <w:noWrap/>
            <w:hideMark/>
          </w:tcPr>
          <w:p w14:paraId="2263B34E" w14:textId="77777777" w:rsidR="00B21BF0" w:rsidRPr="000E4196" w:rsidRDefault="00B21BF0" w:rsidP="0035508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34%</w:t>
            </w:r>
          </w:p>
        </w:tc>
      </w:tr>
      <w:tr w:rsidR="00C15251" w:rsidRPr="000E4196" w14:paraId="24770813"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BE52DD0" w14:textId="77777777" w:rsidR="00C15251" w:rsidRPr="000E4196" w:rsidRDefault="00C15251" w:rsidP="0035508A">
            <w:pPr>
              <w:spacing w:after="0" w:line="240" w:lineRule="auto"/>
              <w:rPr>
                <w:rFonts w:ascii="Calibri" w:hAnsi="Calibri" w:cs="Calibri"/>
                <w:color w:val="FFFFFF"/>
                <w:sz w:val="20"/>
                <w:szCs w:val="20"/>
                <w:lang w:eastAsia="en-AU"/>
              </w:rPr>
            </w:pPr>
            <w:r w:rsidRPr="000E4196">
              <w:rPr>
                <w:rFonts w:ascii="Calibri" w:hAnsi="Calibri" w:cs="Calibri"/>
                <w:b w:val="0"/>
                <w:bCs w:val="0"/>
                <w:color w:val="FFFFFF"/>
                <w:sz w:val="20"/>
                <w:szCs w:val="20"/>
                <w:lang w:eastAsia="en-AU"/>
              </w:rPr>
              <w:t>Tonga</w:t>
            </w:r>
          </w:p>
        </w:tc>
        <w:tc>
          <w:tcPr>
            <w:tcW w:w="1387" w:type="dxa"/>
          </w:tcPr>
          <w:p w14:paraId="52108125"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404" w:type="dxa"/>
          </w:tcPr>
          <w:p w14:paraId="7A291C96" w14:textId="2D55DD1E"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2170" w:type="dxa"/>
          </w:tcPr>
          <w:p w14:paraId="26B29DA0"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778" w:type="dxa"/>
          </w:tcPr>
          <w:p w14:paraId="3DA956E3" w14:textId="3D815BFC"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r>
      <w:tr w:rsidR="00B21BF0" w:rsidRPr="000E4196" w14:paraId="0F17822A"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57D90EE"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2018</w:t>
            </w:r>
          </w:p>
        </w:tc>
        <w:tc>
          <w:tcPr>
            <w:tcW w:w="1387" w:type="dxa"/>
            <w:noWrap/>
            <w:hideMark/>
          </w:tcPr>
          <w:p w14:paraId="3D2DADA3"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   </w:t>
            </w:r>
          </w:p>
        </w:tc>
        <w:tc>
          <w:tcPr>
            <w:tcW w:w="1404" w:type="dxa"/>
            <w:noWrap/>
            <w:hideMark/>
          </w:tcPr>
          <w:p w14:paraId="1C6B2261"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   </w:t>
            </w:r>
          </w:p>
        </w:tc>
        <w:tc>
          <w:tcPr>
            <w:tcW w:w="2170" w:type="dxa"/>
            <w:noWrap/>
            <w:hideMark/>
          </w:tcPr>
          <w:p w14:paraId="5512A6BF"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c>
          <w:tcPr>
            <w:tcW w:w="1778" w:type="dxa"/>
            <w:noWrap/>
            <w:hideMark/>
          </w:tcPr>
          <w:p w14:paraId="4793E07A"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r>
      <w:tr w:rsidR="00B21BF0" w:rsidRPr="000E4196" w14:paraId="0A2D0E41"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3E93092"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2019</w:t>
            </w:r>
          </w:p>
        </w:tc>
        <w:tc>
          <w:tcPr>
            <w:tcW w:w="1387" w:type="dxa"/>
            <w:noWrap/>
            <w:hideMark/>
          </w:tcPr>
          <w:p w14:paraId="73F90410"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336,926 </w:t>
            </w:r>
          </w:p>
        </w:tc>
        <w:tc>
          <w:tcPr>
            <w:tcW w:w="1404" w:type="dxa"/>
            <w:noWrap/>
            <w:hideMark/>
          </w:tcPr>
          <w:p w14:paraId="331DCE67"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205,646 </w:t>
            </w:r>
          </w:p>
        </w:tc>
        <w:tc>
          <w:tcPr>
            <w:tcW w:w="2170" w:type="dxa"/>
            <w:noWrap/>
            <w:hideMark/>
          </w:tcPr>
          <w:p w14:paraId="1984112C"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c>
          <w:tcPr>
            <w:tcW w:w="1778" w:type="dxa"/>
            <w:noWrap/>
            <w:hideMark/>
          </w:tcPr>
          <w:p w14:paraId="7A9390F5" w14:textId="77777777" w:rsidR="00B21BF0" w:rsidRPr="000E4196" w:rsidRDefault="00B21BF0" w:rsidP="0035508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61%</w:t>
            </w:r>
          </w:p>
        </w:tc>
      </w:tr>
      <w:tr w:rsidR="00B21BF0" w:rsidRPr="000E4196" w14:paraId="22E807E4"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7D8881D7"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2020</w:t>
            </w:r>
          </w:p>
        </w:tc>
        <w:tc>
          <w:tcPr>
            <w:tcW w:w="1387" w:type="dxa"/>
            <w:noWrap/>
            <w:hideMark/>
          </w:tcPr>
          <w:p w14:paraId="78EA1814"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353,003 </w:t>
            </w:r>
          </w:p>
        </w:tc>
        <w:tc>
          <w:tcPr>
            <w:tcW w:w="1404" w:type="dxa"/>
            <w:noWrap/>
            <w:hideMark/>
          </w:tcPr>
          <w:p w14:paraId="47AAA496"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48,217 </w:t>
            </w:r>
          </w:p>
        </w:tc>
        <w:tc>
          <w:tcPr>
            <w:tcW w:w="2170" w:type="dxa"/>
            <w:noWrap/>
            <w:hideMark/>
          </w:tcPr>
          <w:p w14:paraId="7878E8ED"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148,518 </w:t>
            </w:r>
          </w:p>
        </w:tc>
        <w:tc>
          <w:tcPr>
            <w:tcW w:w="1778" w:type="dxa"/>
            <w:noWrap/>
            <w:hideMark/>
          </w:tcPr>
          <w:p w14:paraId="518CD584" w14:textId="77777777" w:rsidR="00B21BF0" w:rsidRPr="000E4196" w:rsidRDefault="00B21BF0" w:rsidP="0035508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14%</w:t>
            </w:r>
          </w:p>
        </w:tc>
      </w:tr>
      <w:tr w:rsidR="00C15251" w:rsidRPr="000E4196" w14:paraId="5F37BDD3"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B37EABD" w14:textId="77777777" w:rsidR="00C15251" w:rsidRPr="000E4196" w:rsidRDefault="00C15251" w:rsidP="0035508A">
            <w:pPr>
              <w:spacing w:after="0" w:line="240" w:lineRule="auto"/>
              <w:rPr>
                <w:rFonts w:ascii="Calibri" w:hAnsi="Calibri" w:cs="Calibri"/>
                <w:color w:val="FFFFFF"/>
                <w:sz w:val="20"/>
                <w:szCs w:val="20"/>
                <w:lang w:eastAsia="en-AU"/>
              </w:rPr>
            </w:pPr>
            <w:r w:rsidRPr="000E4196">
              <w:rPr>
                <w:rFonts w:ascii="Calibri" w:hAnsi="Calibri" w:cs="Calibri"/>
                <w:b w:val="0"/>
                <w:bCs w:val="0"/>
                <w:color w:val="FFFFFF"/>
                <w:sz w:val="20"/>
                <w:szCs w:val="20"/>
                <w:lang w:eastAsia="en-AU"/>
              </w:rPr>
              <w:t>Vanuatu</w:t>
            </w:r>
            <w:r w:rsidRPr="00B161D9">
              <w:rPr>
                <w:rFonts w:ascii="Calibri" w:hAnsi="Calibri" w:cs="Calibri"/>
                <w:b w:val="0"/>
                <w:bCs w:val="0"/>
                <w:sz w:val="20"/>
                <w:szCs w:val="20"/>
                <w:lang w:eastAsia="en-AU"/>
              </w:rPr>
              <w:t>*</w:t>
            </w:r>
          </w:p>
        </w:tc>
        <w:tc>
          <w:tcPr>
            <w:tcW w:w="1387" w:type="dxa"/>
          </w:tcPr>
          <w:p w14:paraId="3361F355"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404" w:type="dxa"/>
          </w:tcPr>
          <w:p w14:paraId="3A31EFD6"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2170" w:type="dxa"/>
          </w:tcPr>
          <w:p w14:paraId="60C362F2"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778" w:type="dxa"/>
          </w:tcPr>
          <w:p w14:paraId="3A836EA0" w14:textId="7C54EADF"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r>
      <w:tr w:rsidR="00B21BF0" w:rsidRPr="000E4196" w14:paraId="314EA0D8"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787A2F5A"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2018</w:t>
            </w:r>
          </w:p>
        </w:tc>
        <w:tc>
          <w:tcPr>
            <w:tcW w:w="1387" w:type="dxa"/>
            <w:noWrap/>
            <w:hideMark/>
          </w:tcPr>
          <w:p w14:paraId="02777886"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88,096 </w:t>
            </w:r>
          </w:p>
        </w:tc>
        <w:tc>
          <w:tcPr>
            <w:tcW w:w="1404" w:type="dxa"/>
            <w:noWrap/>
            <w:hideMark/>
          </w:tcPr>
          <w:p w14:paraId="3C5764A7"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72,850 </w:t>
            </w:r>
          </w:p>
        </w:tc>
        <w:tc>
          <w:tcPr>
            <w:tcW w:w="2170" w:type="dxa"/>
            <w:noWrap/>
            <w:hideMark/>
          </w:tcPr>
          <w:p w14:paraId="7FBD2871"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c>
          <w:tcPr>
            <w:tcW w:w="1778" w:type="dxa"/>
            <w:noWrap/>
            <w:hideMark/>
          </w:tcPr>
          <w:p w14:paraId="16C57CBA" w14:textId="77777777" w:rsidR="00B21BF0" w:rsidRPr="000E4196" w:rsidRDefault="00B21BF0" w:rsidP="0035508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83%</w:t>
            </w:r>
          </w:p>
        </w:tc>
      </w:tr>
      <w:tr w:rsidR="00B21BF0" w:rsidRPr="000E4196" w14:paraId="18E85421"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07D5DEE"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2019</w:t>
            </w:r>
          </w:p>
        </w:tc>
        <w:tc>
          <w:tcPr>
            <w:tcW w:w="1387" w:type="dxa"/>
            <w:noWrap/>
            <w:hideMark/>
          </w:tcPr>
          <w:p w14:paraId="548936AC"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302,400 </w:t>
            </w:r>
          </w:p>
        </w:tc>
        <w:tc>
          <w:tcPr>
            <w:tcW w:w="1404" w:type="dxa"/>
            <w:noWrap/>
            <w:hideMark/>
          </w:tcPr>
          <w:p w14:paraId="2F033BB4"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141,776 </w:t>
            </w:r>
          </w:p>
        </w:tc>
        <w:tc>
          <w:tcPr>
            <w:tcW w:w="2170" w:type="dxa"/>
            <w:noWrap/>
            <w:hideMark/>
          </w:tcPr>
          <w:p w14:paraId="2A162C5A"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c>
          <w:tcPr>
            <w:tcW w:w="1778" w:type="dxa"/>
            <w:noWrap/>
            <w:hideMark/>
          </w:tcPr>
          <w:p w14:paraId="2FB048DF" w14:textId="77777777" w:rsidR="00B21BF0" w:rsidRPr="000E4196" w:rsidRDefault="00B21BF0" w:rsidP="0035508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47%</w:t>
            </w:r>
          </w:p>
        </w:tc>
      </w:tr>
      <w:tr w:rsidR="00B21BF0" w:rsidRPr="000E4196" w14:paraId="0F791691"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3F0238C"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2020</w:t>
            </w:r>
          </w:p>
        </w:tc>
        <w:tc>
          <w:tcPr>
            <w:tcW w:w="1387" w:type="dxa"/>
            <w:noWrap/>
            <w:hideMark/>
          </w:tcPr>
          <w:p w14:paraId="4E90761E"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699,827 </w:t>
            </w:r>
          </w:p>
        </w:tc>
        <w:tc>
          <w:tcPr>
            <w:tcW w:w="1404" w:type="dxa"/>
            <w:noWrap/>
            <w:hideMark/>
          </w:tcPr>
          <w:p w14:paraId="171048F3"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67,204 </w:t>
            </w:r>
          </w:p>
        </w:tc>
        <w:tc>
          <w:tcPr>
            <w:tcW w:w="2170" w:type="dxa"/>
            <w:noWrap/>
            <w:hideMark/>
          </w:tcPr>
          <w:p w14:paraId="66CB42E7"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247,158 </w:t>
            </w:r>
          </w:p>
        </w:tc>
        <w:tc>
          <w:tcPr>
            <w:tcW w:w="1778" w:type="dxa"/>
            <w:noWrap/>
            <w:hideMark/>
          </w:tcPr>
          <w:p w14:paraId="1ED293B4" w14:textId="77777777" w:rsidR="00B21BF0" w:rsidRPr="000E4196" w:rsidRDefault="00B21BF0" w:rsidP="0035508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10%</w:t>
            </w:r>
          </w:p>
        </w:tc>
      </w:tr>
      <w:tr w:rsidR="00C15251" w:rsidRPr="000E4196" w14:paraId="228A223A"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3AA01DF" w14:textId="77777777" w:rsidR="00C15251" w:rsidRPr="000E4196" w:rsidRDefault="00C15251" w:rsidP="0035508A">
            <w:pPr>
              <w:spacing w:after="0" w:line="240" w:lineRule="auto"/>
              <w:rPr>
                <w:rFonts w:ascii="Calibri" w:hAnsi="Calibri" w:cs="Calibri"/>
                <w:color w:val="FFFFFF"/>
                <w:sz w:val="20"/>
                <w:szCs w:val="20"/>
                <w:lang w:eastAsia="en-AU"/>
              </w:rPr>
            </w:pPr>
            <w:r w:rsidRPr="000E4196">
              <w:rPr>
                <w:rFonts w:ascii="Calibri" w:hAnsi="Calibri" w:cs="Calibri"/>
                <w:b w:val="0"/>
                <w:bCs w:val="0"/>
                <w:color w:val="FFFFFF"/>
                <w:sz w:val="20"/>
                <w:szCs w:val="20"/>
                <w:lang w:eastAsia="en-AU"/>
              </w:rPr>
              <w:t>UNFPA Implementation</w:t>
            </w:r>
          </w:p>
        </w:tc>
        <w:tc>
          <w:tcPr>
            <w:tcW w:w="1387" w:type="dxa"/>
          </w:tcPr>
          <w:p w14:paraId="191D25F7"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404" w:type="dxa"/>
          </w:tcPr>
          <w:p w14:paraId="204B5A58" w14:textId="2863D633"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2170" w:type="dxa"/>
          </w:tcPr>
          <w:p w14:paraId="63D61EAE"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778" w:type="dxa"/>
          </w:tcPr>
          <w:p w14:paraId="79C5563C" w14:textId="5CC099B8"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r>
      <w:tr w:rsidR="00B21BF0" w:rsidRPr="000E4196" w14:paraId="6C96F204"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84FCA3D"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2018</w:t>
            </w:r>
          </w:p>
        </w:tc>
        <w:tc>
          <w:tcPr>
            <w:tcW w:w="1387" w:type="dxa"/>
            <w:noWrap/>
            <w:hideMark/>
          </w:tcPr>
          <w:p w14:paraId="180E3E5C"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1,266,391 </w:t>
            </w:r>
          </w:p>
        </w:tc>
        <w:tc>
          <w:tcPr>
            <w:tcW w:w="1404" w:type="dxa"/>
            <w:noWrap/>
            <w:hideMark/>
          </w:tcPr>
          <w:p w14:paraId="757B0BBC"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647,034 </w:t>
            </w:r>
          </w:p>
        </w:tc>
        <w:tc>
          <w:tcPr>
            <w:tcW w:w="2170" w:type="dxa"/>
            <w:noWrap/>
            <w:hideMark/>
          </w:tcPr>
          <w:p w14:paraId="0C7E33F8"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c>
          <w:tcPr>
            <w:tcW w:w="1778" w:type="dxa"/>
            <w:noWrap/>
            <w:hideMark/>
          </w:tcPr>
          <w:p w14:paraId="609C708E" w14:textId="77777777" w:rsidR="00B21BF0" w:rsidRPr="000E4196" w:rsidRDefault="00B21BF0" w:rsidP="0035508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51%</w:t>
            </w:r>
          </w:p>
        </w:tc>
      </w:tr>
      <w:tr w:rsidR="00B21BF0" w:rsidRPr="000E4196" w14:paraId="2886B6A7"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75CF7C03"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2019</w:t>
            </w:r>
          </w:p>
        </w:tc>
        <w:tc>
          <w:tcPr>
            <w:tcW w:w="1387" w:type="dxa"/>
            <w:noWrap/>
            <w:hideMark/>
          </w:tcPr>
          <w:p w14:paraId="33D562F8"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1,561,565 </w:t>
            </w:r>
          </w:p>
        </w:tc>
        <w:tc>
          <w:tcPr>
            <w:tcW w:w="1404" w:type="dxa"/>
            <w:noWrap/>
            <w:hideMark/>
          </w:tcPr>
          <w:p w14:paraId="1C42A2E1"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1,945,510 </w:t>
            </w:r>
          </w:p>
        </w:tc>
        <w:tc>
          <w:tcPr>
            <w:tcW w:w="2170" w:type="dxa"/>
            <w:noWrap/>
            <w:hideMark/>
          </w:tcPr>
          <w:p w14:paraId="436F62F6"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c>
          <w:tcPr>
            <w:tcW w:w="1778" w:type="dxa"/>
            <w:noWrap/>
            <w:hideMark/>
          </w:tcPr>
          <w:p w14:paraId="23344D50" w14:textId="77777777" w:rsidR="00B21BF0" w:rsidRPr="000E4196" w:rsidRDefault="00B21BF0" w:rsidP="0035508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125%</w:t>
            </w:r>
          </w:p>
        </w:tc>
      </w:tr>
      <w:tr w:rsidR="00B21BF0" w:rsidRPr="000E4196" w14:paraId="3A9B11C1"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5319EE2C"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lastRenderedPageBreak/>
              <w:t>2020</w:t>
            </w:r>
          </w:p>
        </w:tc>
        <w:tc>
          <w:tcPr>
            <w:tcW w:w="1387" w:type="dxa"/>
            <w:noWrap/>
            <w:hideMark/>
          </w:tcPr>
          <w:p w14:paraId="24D2EF18"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2,991,577 </w:t>
            </w:r>
          </w:p>
        </w:tc>
        <w:tc>
          <w:tcPr>
            <w:tcW w:w="1404" w:type="dxa"/>
            <w:noWrap/>
            <w:hideMark/>
          </w:tcPr>
          <w:p w14:paraId="4B2B2EC7"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1,106,559 </w:t>
            </w:r>
          </w:p>
        </w:tc>
        <w:tc>
          <w:tcPr>
            <w:tcW w:w="2170" w:type="dxa"/>
            <w:noWrap/>
            <w:hideMark/>
          </w:tcPr>
          <w:p w14:paraId="52AE77EF"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c>
          <w:tcPr>
            <w:tcW w:w="1778" w:type="dxa"/>
            <w:noWrap/>
            <w:hideMark/>
          </w:tcPr>
          <w:p w14:paraId="0A3BFE65" w14:textId="77777777" w:rsidR="00B21BF0" w:rsidRPr="000E4196" w:rsidRDefault="00B21BF0" w:rsidP="0035508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37%</w:t>
            </w:r>
          </w:p>
        </w:tc>
      </w:tr>
      <w:tr w:rsidR="00C15251" w:rsidRPr="000E4196" w14:paraId="5842EAD5"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CF6DF89" w14:textId="77777777" w:rsidR="00C15251" w:rsidRPr="000E4196" w:rsidRDefault="00C15251" w:rsidP="0035508A">
            <w:pPr>
              <w:spacing w:after="0" w:line="240" w:lineRule="auto"/>
              <w:rPr>
                <w:rFonts w:ascii="Calibri" w:hAnsi="Calibri" w:cs="Calibri"/>
                <w:color w:val="FFFFFF"/>
                <w:sz w:val="20"/>
                <w:szCs w:val="20"/>
                <w:lang w:eastAsia="en-AU"/>
              </w:rPr>
            </w:pPr>
            <w:r w:rsidRPr="000E4196">
              <w:rPr>
                <w:rFonts w:ascii="Calibri" w:hAnsi="Calibri" w:cs="Calibri"/>
                <w:b w:val="0"/>
                <w:bCs w:val="0"/>
                <w:color w:val="FFFFFF"/>
                <w:sz w:val="20"/>
                <w:szCs w:val="20"/>
                <w:lang w:eastAsia="en-AU"/>
              </w:rPr>
              <w:t>SPC</w:t>
            </w:r>
          </w:p>
        </w:tc>
        <w:tc>
          <w:tcPr>
            <w:tcW w:w="1387" w:type="dxa"/>
          </w:tcPr>
          <w:p w14:paraId="3F617926"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404" w:type="dxa"/>
          </w:tcPr>
          <w:p w14:paraId="010BFED6" w14:textId="5EFA321D"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2170" w:type="dxa"/>
          </w:tcPr>
          <w:p w14:paraId="66A4E536"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778" w:type="dxa"/>
          </w:tcPr>
          <w:p w14:paraId="6A04E144" w14:textId="13EC2DC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r>
      <w:tr w:rsidR="00B21BF0" w:rsidRPr="000E4196" w14:paraId="5D24679C"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A37D442"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2018</w:t>
            </w:r>
          </w:p>
        </w:tc>
        <w:tc>
          <w:tcPr>
            <w:tcW w:w="1387" w:type="dxa"/>
            <w:noWrap/>
            <w:hideMark/>
          </w:tcPr>
          <w:p w14:paraId="6AD6AA83"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61,398 </w:t>
            </w:r>
          </w:p>
        </w:tc>
        <w:tc>
          <w:tcPr>
            <w:tcW w:w="1404" w:type="dxa"/>
            <w:noWrap/>
            <w:hideMark/>
          </w:tcPr>
          <w:p w14:paraId="485848D1"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59,088 </w:t>
            </w:r>
          </w:p>
        </w:tc>
        <w:tc>
          <w:tcPr>
            <w:tcW w:w="2170" w:type="dxa"/>
            <w:noWrap/>
            <w:hideMark/>
          </w:tcPr>
          <w:p w14:paraId="7DEE630C"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c>
          <w:tcPr>
            <w:tcW w:w="1778" w:type="dxa"/>
            <w:noWrap/>
            <w:hideMark/>
          </w:tcPr>
          <w:p w14:paraId="3D5ABD7E" w14:textId="77777777" w:rsidR="00B21BF0" w:rsidRPr="000E4196" w:rsidRDefault="00B21BF0" w:rsidP="0035508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96%</w:t>
            </w:r>
          </w:p>
        </w:tc>
      </w:tr>
      <w:tr w:rsidR="00B21BF0" w:rsidRPr="000E4196" w14:paraId="72EF71E7"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58A7A788"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2019</w:t>
            </w:r>
          </w:p>
        </w:tc>
        <w:tc>
          <w:tcPr>
            <w:tcW w:w="1387" w:type="dxa"/>
            <w:noWrap/>
            <w:hideMark/>
          </w:tcPr>
          <w:p w14:paraId="32D300C5"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   </w:t>
            </w:r>
          </w:p>
        </w:tc>
        <w:tc>
          <w:tcPr>
            <w:tcW w:w="1404" w:type="dxa"/>
            <w:noWrap/>
            <w:hideMark/>
          </w:tcPr>
          <w:p w14:paraId="63D162C6"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   </w:t>
            </w:r>
          </w:p>
        </w:tc>
        <w:tc>
          <w:tcPr>
            <w:tcW w:w="2170" w:type="dxa"/>
            <w:noWrap/>
            <w:hideMark/>
          </w:tcPr>
          <w:p w14:paraId="72C744A1"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c>
          <w:tcPr>
            <w:tcW w:w="1778" w:type="dxa"/>
            <w:noWrap/>
            <w:hideMark/>
          </w:tcPr>
          <w:p w14:paraId="61A0DA9C" w14:textId="77777777" w:rsidR="00B21BF0" w:rsidRPr="000E4196" w:rsidRDefault="00B21BF0"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r>
      <w:tr w:rsidR="00B21BF0" w:rsidRPr="000E4196" w14:paraId="5C85CAE5"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66F1A5F3"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2020</w:t>
            </w:r>
          </w:p>
        </w:tc>
        <w:tc>
          <w:tcPr>
            <w:tcW w:w="1387" w:type="dxa"/>
            <w:noWrap/>
            <w:hideMark/>
          </w:tcPr>
          <w:p w14:paraId="5F783F01"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   </w:t>
            </w:r>
          </w:p>
        </w:tc>
        <w:tc>
          <w:tcPr>
            <w:tcW w:w="1404" w:type="dxa"/>
            <w:noWrap/>
            <w:hideMark/>
          </w:tcPr>
          <w:p w14:paraId="23160080"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   </w:t>
            </w:r>
          </w:p>
        </w:tc>
        <w:tc>
          <w:tcPr>
            <w:tcW w:w="2170" w:type="dxa"/>
            <w:noWrap/>
            <w:hideMark/>
          </w:tcPr>
          <w:p w14:paraId="1E1E0100"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c>
          <w:tcPr>
            <w:tcW w:w="1778" w:type="dxa"/>
            <w:noWrap/>
            <w:hideMark/>
          </w:tcPr>
          <w:p w14:paraId="00190FF5"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w:t>
            </w:r>
          </w:p>
        </w:tc>
      </w:tr>
      <w:tr w:rsidR="00C15251" w:rsidRPr="000E4196" w14:paraId="2101BA34"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6E997FA7" w14:textId="77777777" w:rsidR="00C15251" w:rsidRPr="000E4196" w:rsidRDefault="00C15251" w:rsidP="0035508A">
            <w:pPr>
              <w:spacing w:after="0" w:line="240" w:lineRule="auto"/>
              <w:rPr>
                <w:rFonts w:ascii="Calibri" w:hAnsi="Calibri" w:cs="Calibri"/>
                <w:color w:val="FFFFFF"/>
                <w:sz w:val="20"/>
                <w:szCs w:val="20"/>
                <w:lang w:eastAsia="en-AU"/>
              </w:rPr>
            </w:pPr>
            <w:r w:rsidRPr="000E4196">
              <w:rPr>
                <w:rFonts w:ascii="Calibri" w:hAnsi="Calibri" w:cs="Calibri"/>
                <w:b w:val="0"/>
                <w:bCs w:val="0"/>
                <w:color w:val="FFFFFF"/>
                <w:sz w:val="20"/>
                <w:szCs w:val="20"/>
                <w:lang w:eastAsia="en-AU"/>
              </w:rPr>
              <w:t>IPPF-SROP</w:t>
            </w:r>
          </w:p>
        </w:tc>
        <w:tc>
          <w:tcPr>
            <w:tcW w:w="1387" w:type="dxa"/>
          </w:tcPr>
          <w:p w14:paraId="3683E2D4"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404" w:type="dxa"/>
          </w:tcPr>
          <w:p w14:paraId="7CA1AF2F"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2170" w:type="dxa"/>
          </w:tcPr>
          <w:p w14:paraId="61CAABE9"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778" w:type="dxa"/>
          </w:tcPr>
          <w:p w14:paraId="13C5A96F" w14:textId="39C43076"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r>
      <w:tr w:rsidR="00B21BF0" w:rsidRPr="000E4196" w14:paraId="5C9FD507"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5A511D2E"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2020</w:t>
            </w:r>
          </w:p>
        </w:tc>
        <w:tc>
          <w:tcPr>
            <w:tcW w:w="1387" w:type="dxa"/>
            <w:noWrap/>
            <w:hideMark/>
          </w:tcPr>
          <w:p w14:paraId="74D941B4"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628,000 </w:t>
            </w:r>
          </w:p>
        </w:tc>
        <w:tc>
          <w:tcPr>
            <w:tcW w:w="1404" w:type="dxa"/>
            <w:noWrap/>
            <w:hideMark/>
          </w:tcPr>
          <w:p w14:paraId="4DBA87FB"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3,952 </w:t>
            </w:r>
          </w:p>
        </w:tc>
        <w:tc>
          <w:tcPr>
            <w:tcW w:w="2170" w:type="dxa"/>
            <w:noWrap/>
            <w:hideMark/>
          </w:tcPr>
          <w:p w14:paraId="07FF901D"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 xml:space="preserve">                      125,124 </w:t>
            </w:r>
          </w:p>
        </w:tc>
        <w:tc>
          <w:tcPr>
            <w:tcW w:w="1778" w:type="dxa"/>
            <w:noWrap/>
            <w:hideMark/>
          </w:tcPr>
          <w:p w14:paraId="72485989" w14:textId="77777777" w:rsidR="00B21BF0" w:rsidRPr="000E4196" w:rsidRDefault="00B21BF0" w:rsidP="0035508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0E4196">
              <w:rPr>
                <w:rFonts w:ascii="Tahoma" w:hAnsi="Tahoma" w:cs="Tahoma"/>
                <w:color w:val="000000"/>
                <w:sz w:val="20"/>
                <w:szCs w:val="20"/>
                <w:lang w:eastAsia="en-AU"/>
              </w:rPr>
              <w:t>1%</w:t>
            </w:r>
          </w:p>
        </w:tc>
      </w:tr>
      <w:tr w:rsidR="001E222B" w:rsidRPr="000E4196" w14:paraId="3EF89EBE"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tcPr>
          <w:p w14:paraId="0E224AB1" w14:textId="59AEE8F4" w:rsidR="001E222B" w:rsidRPr="000D65EC" w:rsidRDefault="001E222B" w:rsidP="001E222B">
            <w:pPr>
              <w:spacing w:after="0" w:line="240" w:lineRule="auto"/>
              <w:rPr>
                <w:rFonts w:ascii="Calibri" w:hAnsi="Calibri" w:cs="Calibri"/>
                <w:i/>
                <w:iCs/>
                <w:sz w:val="20"/>
                <w:szCs w:val="20"/>
                <w:lang w:eastAsia="en-AU"/>
              </w:rPr>
            </w:pPr>
            <w:r w:rsidRPr="000E4196">
              <w:rPr>
                <w:rFonts w:ascii="Calibri" w:hAnsi="Calibri" w:cs="Calibri"/>
                <w:b w:val="0"/>
                <w:bCs w:val="0"/>
                <w:color w:val="FFFFFF"/>
                <w:sz w:val="20"/>
                <w:szCs w:val="20"/>
                <w:lang w:eastAsia="en-AU"/>
              </w:rPr>
              <w:t>John Snow Inc</w:t>
            </w:r>
          </w:p>
        </w:tc>
        <w:tc>
          <w:tcPr>
            <w:tcW w:w="1387" w:type="dxa"/>
            <w:noWrap/>
          </w:tcPr>
          <w:p w14:paraId="54980E4A" w14:textId="77777777" w:rsidR="001E222B" w:rsidRPr="000E4196" w:rsidRDefault="001E222B"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p>
        </w:tc>
        <w:tc>
          <w:tcPr>
            <w:tcW w:w="1404" w:type="dxa"/>
            <w:noWrap/>
          </w:tcPr>
          <w:p w14:paraId="68690A3E" w14:textId="77777777" w:rsidR="001E222B" w:rsidRPr="000E4196" w:rsidRDefault="001E222B"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p>
        </w:tc>
        <w:tc>
          <w:tcPr>
            <w:tcW w:w="2170" w:type="dxa"/>
            <w:noWrap/>
          </w:tcPr>
          <w:p w14:paraId="20BAD2CE" w14:textId="77777777" w:rsidR="001E222B" w:rsidRPr="000E4196" w:rsidRDefault="001E222B"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p>
        </w:tc>
        <w:tc>
          <w:tcPr>
            <w:tcW w:w="1778" w:type="dxa"/>
            <w:noWrap/>
          </w:tcPr>
          <w:p w14:paraId="3A35D9FD" w14:textId="77777777" w:rsidR="001E222B" w:rsidRPr="000E4196" w:rsidRDefault="001E222B" w:rsidP="0035508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lang w:eastAsia="en-AU"/>
              </w:rPr>
            </w:pPr>
          </w:p>
        </w:tc>
      </w:tr>
      <w:tr w:rsidR="001E222B" w:rsidRPr="000E4196" w14:paraId="1D39187D"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tcPr>
          <w:p w14:paraId="427822CE" w14:textId="0C349956" w:rsidR="001E222B" w:rsidRPr="001E222B" w:rsidRDefault="001E222B" w:rsidP="001E222B">
            <w:pPr>
              <w:spacing w:after="0" w:line="240" w:lineRule="auto"/>
              <w:jc w:val="center"/>
              <w:rPr>
                <w:rFonts w:ascii="Calibri" w:hAnsi="Calibri" w:cs="Calibri"/>
                <w:bCs w:val="0"/>
                <w:i/>
                <w:color w:val="FFFFFF"/>
                <w:sz w:val="20"/>
                <w:szCs w:val="20"/>
                <w:lang w:eastAsia="en-AU"/>
              </w:rPr>
            </w:pPr>
            <w:r w:rsidRPr="001E222B">
              <w:rPr>
                <w:rFonts w:ascii="Calibri" w:hAnsi="Calibri" w:cs="Calibri"/>
                <w:bCs w:val="0"/>
                <w:i/>
                <w:color w:val="FFFFFF"/>
                <w:sz w:val="20"/>
                <w:szCs w:val="20"/>
                <w:lang w:eastAsia="en-AU"/>
              </w:rPr>
              <w:t>2020</w:t>
            </w:r>
          </w:p>
        </w:tc>
        <w:tc>
          <w:tcPr>
            <w:tcW w:w="1387" w:type="dxa"/>
            <w:noWrap/>
          </w:tcPr>
          <w:p w14:paraId="15DC0EEE" w14:textId="71CB9561" w:rsidR="001E222B" w:rsidRPr="000E4196" w:rsidRDefault="001E222B" w:rsidP="001E222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178,469</w:t>
            </w:r>
          </w:p>
        </w:tc>
        <w:tc>
          <w:tcPr>
            <w:tcW w:w="1404" w:type="dxa"/>
            <w:noWrap/>
          </w:tcPr>
          <w:p w14:paraId="36358EFD" w14:textId="36273071" w:rsidR="001E222B" w:rsidRPr="000E4196" w:rsidRDefault="001E222B" w:rsidP="001E222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Pr>
                <w:rFonts w:ascii="Calibri" w:hAnsi="Calibri" w:cs="Calibri"/>
                <w:color w:val="000000"/>
                <w:sz w:val="20"/>
                <w:szCs w:val="20"/>
                <w:lang w:eastAsia="en-AU"/>
              </w:rPr>
              <w:t>-</w:t>
            </w:r>
          </w:p>
        </w:tc>
        <w:tc>
          <w:tcPr>
            <w:tcW w:w="2170" w:type="dxa"/>
            <w:noWrap/>
          </w:tcPr>
          <w:p w14:paraId="3FBB412C" w14:textId="4B42B36D" w:rsidR="001E222B" w:rsidRPr="000E4196" w:rsidRDefault="001E222B" w:rsidP="001E222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0E4196">
              <w:rPr>
                <w:rFonts w:ascii="Calibri" w:hAnsi="Calibri" w:cs="Calibri"/>
                <w:color w:val="000000"/>
                <w:sz w:val="20"/>
                <w:szCs w:val="20"/>
                <w:lang w:eastAsia="en-AU"/>
              </w:rPr>
              <w:t>133,482</w:t>
            </w:r>
          </w:p>
        </w:tc>
        <w:tc>
          <w:tcPr>
            <w:tcW w:w="1778" w:type="dxa"/>
            <w:noWrap/>
          </w:tcPr>
          <w:p w14:paraId="0DC016D8" w14:textId="6BAD681E" w:rsidR="001E222B" w:rsidRPr="000E4196" w:rsidRDefault="001E222B" w:rsidP="001E222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Pr>
                <w:rFonts w:ascii="Tahoma" w:hAnsi="Tahoma" w:cs="Tahoma"/>
                <w:color w:val="000000"/>
                <w:sz w:val="20"/>
                <w:szCs w:val="20"/>
                <w:lang w:eastAsia="en-AU"/>
              </w:rPr>
              <w:t>0%</w:t>
            </w:r>
          </w:p>
        </w:tc>
      </w:tr>
      <w:tr w:rsidR="00C15251" w:rsidRPr="000E4196" w14:paraId="346639CA"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27F3EE5" w14:textId="77777777" w:rsidR="00C15251" w:rsidRPr="00D57C05" w:rsidRDefault="00C15251" w:rsidP="0035508A">
            <w:pPr>
              <w:spacing w:after="0" w:line="240" w:lineRule="auto"/>
              <w:rPr>
                <w:rFonts w:ascii="Calibri" w:hAnsi="Calibri" w:cs="Calibri"/>
                <w:b w:val="0"/>
                <w:sz w:val="20"/>
                <w:szCs w:val="20"/>
                <w:lang w:eastAsia="en-AU"/>
              </w:rPr>
            </w:pPr>
            <w:r w:rsidRPr="00D57C05">
              <w:rPr>
                <w:rFonts w:ascii="Calibri" w:hAnsi="Calibri" w:cs="Calibri"/>
                <w:b w:val="0"/>
                <w:bCs w:val="0"/>
                <w:color w:val="FFFFFF"/>
                <w:sz w:val="20"/>
                <w:szCs w:val="20"/>
                <w:lang w:eastAsia="en-AU"/>
              </w:rPr>
              <w:t xml:space="preserve"> </w:t>
            </w:r>
            <w:r w:rsidRPr="00D57C05">
              <w:rPr>
                <w:rFonts w:ascii="Calibri" w:hAnsi="Calibri" w:cs="Calibri"/>
                <w:bCs w:val="0"/>
                <w:color w:val="FFFFFF"/>
                <w:sz w:val="20"/>
                <w:szCs w:val="20"/>
                <w:lang w:eastAsia="en-AU"/>
              </w:rPr>
              <w:t>Women Enabled International</w:t>
            </w:r>
            <w:r w:rsidRPr="00D57C05">
              <w:rPr>
                <w:rFonts w:ascii="Calibri" w:hAnsi="Calibri" w:cs="Calibri"/>
                <w:bCs w:val="0"/>
                <w:color w:val="auto"/>
                <w:sz w:val="20"/>
                <w:szCs w:val="20"/>
                <w:lang w:eastAsia="en-AU"/>
              </w:rPr>
              <w:t xml:space="preserve"> </w:t>
            </w:r>
          </w:p>
        </w:tc>
        <w:tc>
          <w:tcPr>
            <w:tcW w:w="1387" w:type="dxa"/>
          </w:tcPr>
          <w:p w14:paraId="0F4724A8" w14:textId="77777777" w:rsidR="00C15251" w:rsidRPr="00D57C05"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lang w:eastAsia="en-AU"/>
              </w:rPr>
            </w:pPr>
          </w:p>
        </w:tc>
        <w:tc>
          <w:tcPr>
            <w:tcW w:w="1404" w:type="dxa"/>
          </w:tcPr>
          <w:p w14:paraId="1115C931" w14:textId="77777777" w:rsidR="00C15251" w:rsidRPr="00D57C05"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lang w:eastAsia="en-AU"/>
              </w:rPr>
            </w:pPr>
          </w:p>
        </w:tc>
        <w:tc>
          <w:tcPr>
            <w:tcW w:w="2170" w:type="dxa"/>
          </w:tcPr>
          <w:p w14:paraId="501D565A" w14:textId="77777777" w:rsidR="00C15251" w:rsidRPr="00D57C05"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lang w:eastAsia="en-AU"/>
              </w:rPr>
            </w:pPr>
          </w:p>
        </w:tc>
        <w:tc>
          <w:tcPr>
            <w:tcW w:w="1778" w:type="dxa"/>
          </w:tcPr>
          <w:p w14:paraId="3D2E4DAA" w14:textId="36860FEA" w:rsidR="00C15251" w:rsidRPr="00D57C05"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lang w:eastAsia="en-AU"/>
              </w:rPr>
            </w:pPr>
          </w:p>
        </w:tc>
      </w:tr>
      <w:tr w:rsidR="00B21BF0" w:rsidRPr="000E4196" w14:paraId="72316C6A"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50C3DBB7"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2020</w:t>
            </w:r>
          </w:p>
        </w:tc>
        <w:tc>
          <w:tcPr>
            <w:tcW w:w="1387" w:type="dxa"/>
            <w:noWrap/>
            <w:hideMark/>
          </w:tcPr>
          <w:p w14:paraId="04D0D373"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0E4196">
              <w:rPr>
                <w:rFonts w:ascii="Tahoma" w:hAnsi="Tahoma" w:cs="Tahoma"/>
                <w:color w:val="000000"/>
                <w:sz w:val="20"/>
                <w:szCs w:val="20"/>
                <w:lang w:eastAsia="en-AU"/>
              </w:rPr>
              <w:t xml:space="preserve">             219,298 </w:t>
            </w:r>
          </w:p>
        </w:tc>
        <w:tc>
          <w:tcPr>
            <w:tcW w:w="1404" w:type="dxa"/>
            <w:noWrap/>
            <w:hideMark/>
          </w:tcPr>
          <w:p w14:paraId="5A4C9FB1"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0E4196">
              <w:rPr>
                <w:rFonts w:ascii="Tahoma" w:hAnsi="Tahoma" w:cs="Tahoma"/>
                <w:color w:val="000000"/>
                <w:sz w:val="20"/>
                <w:szCs w:val="20"/>
                <w:lang w:eastAsia="en-AU"/>
              </w:rPr>
              <w:t xml:space="preserve">         42,716 </w:t>
            </w:r>
          </w:p>
        </w:tc>
        <w:tc>
          <w:tcPr>
            <w:tcW w:w="2170" w:type="dxa"/>
            <w:noWrap/>
            <w:hideMark/>
          </w:tcPr>
          <w:p w14:paraId="48973CFD"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0E4196">
              <w:rPr>
                <w:rFonts w:ascii="Tahoma" w:hAnsi="Tahoma" w:cs="Tahoma"/>
                <w:color w:val="000000"/>
                <w:sz w:val="20"/>
                <w:szCs w:val="20"/>
                <w:lang w:eastAsia="en-AU"/>
              </w:rPr>
              <w:t xml:space="preserve">                   95,176 </w:t>
            </w:r>
          </w:p>
        </w:tc>
        <w:tc>
          <w:tcPr>
            <w:tcW w:w="1778" w:type="dxa"/>
            <w:noWrap/>
            <w:hideMark/>
          </w:tcPr>
          <w:p w14:paraId="6D0BA121" w14:textId="77777777" w:rsidR="00B21BF0" w:rsidRPr="000E4196" w:rsidRDefault="00B21BF0" w:rsidP="0035508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0E4196">
              <w:rPr>
                <w:rFonts w:ascii="Tahoma" w:hAnsi="Tahoma" w:cs="Tahoma"/>
                <w:color w:val="000000"/>
                <w:sz w:val="20"/>
                <w:szCs w:val="20"/>
                <w:lang w:eastAsia="en-AU"/>
              </w:rPr>
              <w:t>19%</w:t>
            </w:r>
          </w:p>
        </w:tc>
      </w:tr>
      <w:tr w:rsidR="00C15251" w:rsidRPr="000E4196" w14:paraId="78237935"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08CFF61" w14:textId="77777777" w:rsidR="00C15251" w:rsidRPr="00D57C05" w:rsidRDefault="00C15251" w:rsidP="0035508A">
            <w:pPr>
              <w:spacing w:after="0" w:line="240" w:lineRule="auto"/>
              <w:rPr>
                <w:rFonts w:ascii="Calibri" w:hAnsi="Calibri" w:cs="Calibri"/>
                <w:b w:val="0"/>
                <w:color w:val="FFFFFF"/>
                <w:sz w:val="20"/>
                <w:szCs w:val="20"/>
                <w:lang w:eastAsia="en-AU"/>
              </w:rPr>
            </w:pPr>
            <w:r w:rsidRPr="00D57C05">
              <w:rPr>
                <w:rFonts w:ascii="Calibri" w:hAnsi="Calibri" w:cs="Calibri"/>
                <w:bCs w:val="0"/>
                <w:color w:val="FFFFFF"/>
                <w:sz w:val="20"/>
                <w:szCs w:val="20"/>
                <w:lang w:eastAsia="en-AU"/>
              </w:rPr>
              <w:t xml:space="preserve"> Nossal Institute </w:t>
            </w:r>
          </w:p>
        </w:tc>
        <w:tc>
          <w:tcPr>
            <w:tcW w:w="1387" w:type="dxa"/>
          </w:tcPr>
          <w:p w14:paraId="4A9E1473" w14:textId="77777777" w:rsidR="00C15251" w:rsidRPr="00D57C05"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color w:val="FFFFFF"/>
                <w:sz w:val="20"/>
                <w:szCs w:val="20"/>
                <w:lang w:eastAsia="en-AU"/>
              </w:rPr>
            </w:pPr>
          </w:p>
        </w:tc>
        <w:tc>
          <w:tcPr>
            <w:tcW w:w="1404" w:type="dxa"/>
          </w:tcPr>
          <w:p w14:paraId="5AE94CCF" w14:textId="77777777" w:rsidR="00C15251" w:rsidRPr="00D57C05"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color w:val="FFFFFF"/>
                <w:sz w:val="20"/>
                <w:szCs w:val="20"/>
                <w:lang w:eastAsia="en-AU"/>
              </w:rPr>
            </w:pPr>
          </w:p>
        </w:tc>
        <w:tc>
          <w:tcPr>
            <w:tcW w:w="2170" w:type="dxa"/>
          </w:tcPr>
          <w:p w14:paraId="6A0EEB76" w14:textId="77777777" w:rsidR="00C15251" w:rsidRPr="00D57C05"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color w:val="FFFFFF"/>
                <w:sz w:val="20"/>
                <w:szCs w:val="20"/>
                <w:lang w:eastAsia="en-AU"/>
              </w:rPr>
            </w:pPr>
          </w:p>
        </w:tc>
        <w:tc>
          <w:tcPr>
            <w:tcW w:w="1778" w:type="dxa"/>
          </w:tcPr>
          <w:p w14:paraId="6D192168" w14:textId="532FC114" w:rsidR="00C15251" w:rsidRPr="00D57C05"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color w:val="FFFFFF"/>
                <w:sz w:val="20"/>
                <w:szCs w:val="20"/>
                <w:lang w:eastAsia="en-AU"/>
              </w:rPr>
            </w:pPr>
          </w:p>
        </w:tc>
      </w:tr>
      <w:tr w:rsidR="00B21BF0" w:rsidRPr="000E4196" w14:paraId="66CCE7DE"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3EDCBC9"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2020</w:t>
            </w:r>
          </w:p>
        </w:tc>
        <w:tc>
          <w:tcPr>
            <w:tcW w:w="1387" w:type="dxa"/>
            <w:noWrap/>
            <w:hideMark/>
          </w:tcPr>
          <w:p w14:paraId="54AF964A"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0E4196">
              <w:rPr>
                <w:rFonts w:ascii="Tahoma" w:hAnsi="Tahoma" w:cs="Tahoma"/>
                <w:color w:val="000000"/>
                <w:sz w:val="20"/>
                <w:szCs w:val="20"/>
                <w:lang w:eastAsia="en-AU"/>
              </w:rPr>
              <w:t xml:space="preserve">             497,801 </w:t>
            </w:r>
          </w:p>
        </w:tc>
        <w:tc>
          <w:tcPr>
            <w:tcW w:w="1404" w:type="dxa"/>
            <w:noWrap/>
            <w:hideMark/>
          </w:tcPr>
          <w:p w14:paraId="6F257E87"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0E4196">
              <w:rPr>
                <w:rFonts w:ascii="Tahoma" w:hAnsi="Tahoma" w:cs="Tahoma"/>
                <w:color w:val="000000"/>
                <w:sz w:val="20"/>
                <w:szCs w:val="20"/>
                <w:lang w:eastAsia="en-AU"/>
              </w:rPr>
              <w:t xml:space="preserve">         65,834 </w:t>
            </w:r>
          </w:p>
        </w:tc>
        <w:tc>
          <w:tcPr>
            <w:tcW w:w="2170" w:type="dxa"/>
            <w:noWrap/>
            <w:hideMark/>
          </w:tcPr>
          <w:p w14:paraId="0C740598"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0E4196">
              <w:rPr>
                <w:rFonts w:ascii="Tahoma" w:hAnsi="Tahoma" w:cs="Tahoma"/>
                <w:color w:val="000000"/>
                <w:sz w:val="20"/>
                <w:szCs w:val="20"/>
                <w:lang w:eastAsia="en-AU"/>
              </w:rPr>
              <w:t xml:space="preserve">                          -   </w:t>
            </w:r>
          </w:p>
        </w:tc>
        <w:tc>
          <w:tcPr>
            <w:tcW w:w="1778" w:type="dxa"/>
            <w:noWrap/>
            <w:hideMark/>
          </w:tcPr>
          <w:p w14:paraId="5A075822" w14:textId="77777777" w:rsidR="00B21BF0" w:rsidRPr="000E4196" w:rsidRDefault="00B21BF0" w:rsidP="0035508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0E4196">
              <w:rPr>
                <w:rFonts w:ascii="Tahoma" w:hAnsi="Tahoma" w:cs="Tahoma"/>
                <w:color w:val="000000"/>
                <w:sz w:val="20"/>
                <w:szCs w:val="20"/>
                <w:lang w:eastAsia="en-AU"/>
              </w:rPr>
              <w:t>13%</w:t>
            </w:r>
          </w:p>
        </w:tc>
      </w:tr>
      <w:tr w:rsidR="00C15251" w:rsidRPr="000E4196" w14:paraId="2AA6C7BD"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5FA85EB7" w14:textId="77777777" w:rsidR="00C15251" w:rsidRPr="000E4196" w:rsidRDefault="00C15251" w:rsidP="0035508A">
            <w:pPr>
              <w:spacing w:after="0" w:line="240" w:lineRule="auto"/>
              <w:rPr>
                <w:rFonts w:ascii="Calibri" w:hAnsi="Calibri" w:cs="Calibri"/>
                <w:color w:val="FFFFFF"/>
                <w:sz w:val="20"/>
                <w:szCs w:val="20"/>
                <w:lang w:eastAsia="en-AU"/>
              </w:rPr>
            </w:pPr>
            <w:r w:rsidRPr="000E4196">
              <w:rPr>
                <w:rFonts w:ascii="Calibri" w:hAnsi="Calibri" w:cs="Calibri"/>
                <w:b w:val="0"/>
                <w:bCs w:val="0"/>
                <w:color w:val="FFFFFF"/>
                <w:sz w:val="20"/>
                <w:szCs w:val="20"/>
                <w:lang w:eastAsia="en-AU"/>
              </w:rPr>
              <w:t xml:space="preserve"> Burnet Institute </w:t>
            </w:r>
          </w:p>
        </w:tc>
        <w:tc>
          <w:tcPr>
            <w:tcW w:w="1387" w:type="dxa"/>
          </w:tcPr>
          <w:p w14:paraId="45D8CF5D"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404" w:type="dxa"/>
          </w:tcPr>
          <w:p w14:paraId="77F6592E"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2170" w:type="dxa"/>
          </w:tcPr>
          <w:p w14:paraId="4EB537B6"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778" w:type="dxa"/>
          </w:tcPr>
          <w:p w14:paraId="5DE80F7B" w14:textId="48570DB2"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r>
      <w:tr w:rsidR="00B21BF0" w:rsidRPr="000E4196" w14:paraId="614C9182"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5B496045"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2020</w:t>
            </w:r>
          </w:p>
        </w:tc>
        <w:tc>
          <w:tcPr>
            <w:tcW w:w="1387" w:type="dxa"/>
            <w:noWrap/>
            <w:hideMark/>
          </w:tcPr>
          <w:p w14:paraId="28FF2344"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0E4196">
              <w:rPr>
                <w:rFonts w:ascii="Tahoma" w:hAnsi="Tahoma" w:cs="Tahoma"/>
                <w:color w:val="000000"/>
                <w:sz w:val="20"/>
                <w:szCs w:val="20"/>
                <w:lang w:eastAsia="en-AU"/>
              </w:rPr>
              <w:t xml:space="preserve">             528,703 </w:t>
            </w:r>
          </w:p>
        </w:tc>
        <w:tc>
          <w:tcPr>
            <w:tcW w:w="1404" w:type="dxa"/>
            <w:noWrap/>
            <w:hideMark/>
          </w:tcPr>
          <w:p w14:paraId="5EF8A644"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0E4196">
              <w:rPr>
                <w:rFonts w:ascii="Tahoma" w:hAnsi="Tahoma" w:cs="Tahoma"/>
                <w:color w:val="000000"/>
                <w:sz w:val="20"/>
                <w:szCs w:val="20"/>
                <w:lang w:eastAsia="en-AU"/>
              </w:rPr>
              <w:t xml:space="preserve">         45,505 </w:t>
            </w:r>
          </w:p>
        </w:tc>
        <w:tc>
          <w:tcPr>
            <w:tcW w:w="2170" w:type="dxa"/>
            <w:noWrap/>
            <w:hideMark/>
          </w:tcPr>
          <w:p w14:paraId="040F723F"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0E4196">
              <w:rPr>
                <w:rFonts w:ascii="Tahoma" w:hAnsi="Tahoma" w:cs="Tahoma"/>
                <w:color w:val="000000"/>
                <w:sz w:val="20"/>
                <w:szCs w:val="20"/>
                <w:lang w:eastAsia="en-AU"/>
              </w:rPr>
              <w:t xml:space="preserve">                          -   </w:t>
            </w:r>
          </w:p>
        </w:tc>
        <w:tc>
          <w:tcPr>
            <w:tcW w:w="1778" w:type="dxa"/>
            <w:noWrap/>
            <w:hideMark/>
          </w:tcPr>
          <w:p w14:paraId="5F9E91CF" w14:textId="77777777" w:rsidR="00B21BF0" w:rsidRPr="000E4196" w:rsidRDefault="00B21BF0" w:rsidP="0035508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0E4196">
              <w:rPr>
                <w:rFonts w:ascii="Tahoma" w:hAnsi="Tahoma" w:cs="Tahoma"/>
                <w:color w:val="000000"/>
                <w:sz w:val="20"/>
                <w:szCs w:val="20"/>
                <w:lang w:eastAsia="en-AU"/>
              </w:rPr>
              <w:t>9%</w:t>
            </w:r>
          </w:p>
        </w:tc>
      </w:tr>
      <w:tr w:rsidR="00C15251" w:rsidRPr="000E4196" w14:paraId="5DDC14BE"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EFDA11C" w14:textId="77777777" w:rsidR="00C15251" w:rsidRPr="000E4196" w:rsidRDefault="00C15251" w:rsidP="0035508A">
            <w:pPr>
              <w:spacing w:after="0" w:line="240" w:lineRule="auto"/>
              <w:rPr>
                <w:rFonts w:ascii="Calibri" w:hAnsi="Calibri" w:cs="Calibri"/>
                <w:color w:val="FFFFFF"/>
                <w:sz w:val="20"/>
                <w:szCs w:val="20"/>
                <w:lang w:eastAsia="en-AU"/>
              </w:rPr>
            </w:pPr>
            <w:r w:rsidRPr="000E4196">
              <w:rPr>
                <w:rFonts w:ascii="Calibri" w:hAnsi="Calibri" w:cs="Calibri"/>
                <w:b w:val="0"/>
                <w:bCs w:val="0"/>
                <w:color w:val="FFFFFF"/>
                <w:sz w:val="20"/>
                <w:szCs w:val="20"/>
                <w:lang w:eastAsia="en-AU"/>
              </w:rPr>
              <w:t xml:space="preserve"> FPNSW </w:t>
            </w:r>
          </w:p>
        </w:tc>
        <w:tc>
          <w:tcPr>
            <w:tcW w:w="1387" w:type="dxa"/>
          </w:tcPr>
          <w:p w14:paraId="21FED27B"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404" w:type="dxa"/>
          </w:tcPr>
          <w:p w14:paraId="744F28C2"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2170" w:type="dxa"/>
          </w:tcPr>
          <w:p w14:paraId="1A1C9FEC"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778" w:type="dxa"/>
          </w:tcPr>
          <w:p w14:paraId="517703DD" w14:textId="06B2F2E3"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r>
      <w:tr w:rsidR="00B21BF0" w:rsidRPr="000E4196" w14:paraId="0D4ECDF5"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5F14A699"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2020</w:t>
            </w:r>
          </w:p>
        </w:tc>
        <w:tc>
          <w:tcPr>
            <w:tcW w:w="1387" w:type="dxa"/>
            <w:noWrap/>
            <w:hideMark/>
          </w:tcPr>
          <w:p w14:paraId="364812CD"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0E4196">
              <w:rPr>
                <w:rFonts w:ascii="Tahoma" w:hAnsi="Tahoma" w:cs="Tahoma"/>
                <w:color w:val="000000"/>
                <w:sz w:val="20"/>
                <w:szCs w:val="20"/>
                <w:lang w:eastAsia="en-AU"/>
              </w:rPr>
              <w:t xml:space="preserve">           1,181,879 </w:t>
            </w:r>
          </w:p>
        </w:tc>
        <w:tc>
          <w:tcPr>
            <w:tcW w:w="1404" w:type="dxa"/>
            <w:noWrap/>
            <w:hideMark/>
          </w:tcPr>
          <w:p w14:paraId="06060670"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0E4196">
              <w:rPr>
                <w:rFonts w:ascii="Tahoma" w:hAnsi="Tahoma" w:cs="Tahoma"/>
                <w:color w:val="000000"/>
                <w:sz w:val="20"/>
                <w:szCs w:val="20"/>
                <w:lang w:eastAsia="en-AU"/>
              </w:rPr>
              <w:t xml:space="preserve">       180,839 </w:t>
            </w:r>
          </w:p>
        </w:tc>
        <w:tc>
          <w:tcPr>
            <w:tcW w:w="2170" w:type="dxa"/>
            <w:noWrap/>
            <w:hideMark/>
          </w:tcPr>
          <w:p w14:paraId="3031A080"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0E4196">
              <w:rPr>
                <w:rFonts w:ascii="Tahoma" w:hAnsi="Tahoma" w:cs="Tahoma"/>
                <w:color w:val="000000"/>
                <w:sz w:val="20"/>
                <w:szCs w:val="20"/>
                <w:lang w:eastAsia="en-AU"/>
              </w:rPr>
              <w:t xml:space="preserve">                 245,023 </w:t>
            </w:r>
          </w:p>
        </w:tc>
        <w:tc>
          <w:tcPr>
            <w:tcW w:w="1778" w:type="dxa"/>
            <w:noWrap/>
            <w:hideMark/>
          </w:tcPr>
          <w:p w14:paraId="7AE70F9C" w14:textId="77777777" w:rsidR="00B21BF0" w:rsidRPr="000E4196" w:rsidRDefault="00B21BF0" w:rsidP="0035508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0E4196">
              <w:rPr>
                <w:rFonts w:ascii="Tahoma" w:hAnsi="Tahoma" w:cs="Tahoma"/>
                <w:color w:val="000000"/>
                <w:sz w:val="20"/>
                <w:szCs w:val="20"/>
                <w:lang w:eastAsia="en-AU"/>
              </w:rPr>
              <w:t>15%</w:t>
            </w:r>
          </w:p>
        </w:tc>
      </w:tr>
      <w:tr w:rsidR="00C15251" w:rsidRPr="000E4196" w14:paraId="678A9A62" w14:textId="77777777" w:rsidTr="001E222B">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BC71699" w14:textId="77777777" w:rsidR="00C15251" w:rsidRPr="000E4196" w:rsidRDefault="00C15251" w:rsidP="0035508A">
            <w:pPr>
              <w:spacing w:after="0" w:line="240" w:lineRule="auto"/>
              <w:rPr>
                <w:rFonts w:ascii="Calibri" w:hAnsi="Calibri" w:cs="Calibri"/>
                <w:color w:val="FFFFFF"/>
                <w:sz w:val="20"/>
                <w:szCs w:val="20"/>
                <w:lang w:eastAsia="en-AU"/>
              </w:rPr>
            </w:pPr>
            <w:r w:rsidRPr="000E4196">
              <w:rPr>
                <w:rFonts w:ascii="Calibri" w:hAnsi="Calibri" w:cs="Calibri"/>
                <w:b w:val="0"/>
                <w:bCs w:val="0"/>
                <w:color w:val="FFFFFF"/>
                <w:sz w:val="20"/>
                <w:szCs w:val="20"/>
                <w:lang w:eastAsia="en-AU"/>
              </w:rPr>
              <w:t xml:space="preserve"> ABC </w:t>
            </w:r>
          </w:p>
        </w:tc>
        <w:tc>
          <w:tcPr>
            <w:tcW w:w="1387" w:type="dxa"/>
          </w:tcPr>
          <w:p w14:paraId="695788B0"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404" w:type="dxa"/>
          </w:tcPr>
          <w:p w14:paraId="5649DB5A"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2170" w:type="dxa"/>
          </w:tcPr>
          <w:p w14:paraId="24F7344E" w14:textId="77777777"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c>
          <w:tcPr>
            <w:tcW w:w="1778" w:type="dxa"/>
          </w:tcPr>
          <w:p w14:paraId="233FF444" w14:textId="136F03F3" w:rsidR="00C15251" w:rsidRPr="000E4196" w:rsidRDefault="00C15251" w:rsidP="0035508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FFFFFF"/>
                <w:sz w:val="20"/>
                <w:szCs w:val="20"/>
                <w:lang w:eastAsia="en-AU"/>
              </w:rPr>
            </w:pPr>
          </w:p>
        </w:tc>
      </w:tr>
      <w:tr w:rsidR="00B21BF0" w:rsidRPr="000E4196" w14:paraId="13981A46" w14:textId="77777777" w:rsidTr="001E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4B519EF5" w14:textId="77777777" w:rsidR="00B21BF0" w:rsidRPr="000E4196" w:rsidRDefault="00B21BF0" w:rsidP="0035508A">
            <w:pPr>
              <w:spacing w:after="0" w:line="240" w:lineRule="auto"/>
              <w:jc w:val="center"/>
              <w:rPr>
                <w:rFonts w:ascii="Calibri" w:hAnsi="Calibri" w:cs="Calibri"/>
                <w:i/>
                <w:iCs/>
                <w:color w:val="000000"/>
                <w:sz w:val="20"/>
                <w:szCs w:val="20"/>
                <w:lang w:eastAsia="en-AU"/>
              </w:rPr>
            </w:pPr>
            <w:r w:rsidRPr="000D65EC">
              <w:rPr>
                <w:rFonts w:ascii="Calibri" w:hAnsi="Calibri" w:cs="Calibri"/>
                <w:i/>
                <w:iCs/>
                <w:color w:val="auto"/>
                <w:sz w:val="20"/>
                <w:szCs w:val="20"/>
                <w:lang w:eastAsia="en-AU"/>
              </w:rPr>
              <w:t>2020</w:t>
            </w:r>
          </w:p>
        </w:tc>
        <w:tc>
          <w:tcPr>
            <w:tcW w:w="1387" w:type="dxa"/>
            <w:noWrap/>
            <w:hideMark/>
          </w:tcPr>
          <w:p w14:paraId="154BF26D"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0E4196">
              <w:rPr>
                <w:rFonts w:ascii="Tahoma" w:hAnsi="Tahoma" w:cs="Tahoma"/>
                <w:color w:val="000000"/>
                <w:sz w:val="20"/>
                <w:szCs w:val="20"/>
                <w:lang w:eastAsia="en-AU"/>
              </w:rPr>
              <w:t xml:space="preserve">               95,571 </w:t>
            </w:r>
          </w:p>
        </w:tc>
        <w:tc>
          <w:tcPr>
            <w:tcW w:w="1404" w:type="dxa"/>
            <w:noWrap/>
            <w:hideMark/>
          </w:tcPr>
          <w:p w14:paraId="1D9FF5C6"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0E4196">
              <w:rPr>
                <w:rFonts w:ascii="Tahoma" w:hAnsi="Tahoma" w:cs="Tahoma"/>
                <w:color w:val="000000"/>
                <w:sz w:val="20"/>
                <w:szCs w:val="20"/>
                <w:lang w:eastAsia="en-AU"/>
              </w:rPr>
              <w:t xml:space="preserve">                -   </w:t>
            </w:r>
          </w:p>
        </w:tc>
        <w:tc>
          <w:tcPr>
            <w:tcW w:w="2170" w:type="dxa"/>
            <w:noWrap/>
            <w:hideMark/>
          </w:tcPr>
          <w:p w14:paraId="1CA46CEC" w14:textId="77777777" w:rsidR="00B21BF0" w:rsidRPr="000E4196" w:rsidRDefault="00B21BF0" w:rsidP="0035508A">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0E4196">
              <w:rPr>
                <w:rFonts w:ascii="Tahoma" w:hAnsi="Tahoma" w:cs="Tahoma"/>
                <w:color w:val="000000"/>
                <w:sz w:val="20"/>
                <w:szCs w:val="20"/>
                <w:lang w:eastAsia="en-AU"/>
              </w:rPr>
              <w:t xml:space="preserve">                          -   </w:t>
            </w:r>
          </w:p>
        </w:tc>
        <w:tc>
          <w:tcPr>
            <w:tcW w:w="1778" w:type="dxa"/>
            <w:noWrap/>
            <w:hideMark/>
          </w:tcPr>
          <w:p w14:paraId="6AF351DA" w14:textId="77777777" w:rsidR="00B21BF0" w:rsidRPr="000E4196" w:rsidRDefault="00B21BF0" w:rsidP="0035508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0E4196">
              <w:rPr>
                <w:rFonts w:ascii="Tahoma" w:hAnsi="Tahoma" w:cs="Tahoma"/>
                <w:color w:val="000000"/>
                <w:sz w:val="20"/>
                <w:szCs w:val="20"/>
                <w:lang w:eastAsia="en-AU"/>
              </w:rPr>
              <w:t>0%</w:t>
            </w:r>
          </w:p>
        </w:tc>
      </w:tr>
    </w:tbl>
    <w:p w14:paraId="4093B9BA" w14:textId="5C25E6BF" w:rsidR="002F4A96" w:rsidRDefault="002F4A96" w:rsidP="00B21BF0">
      <w:pPr>
        <w:tabs>
          <w:tab w:val="left" w:pos="1264"/>
          <w:tab w:val="left" w:pos="3077"/>
          <w:tab w:val="left" w:pos="4481"/>
          <w:tab w:val="left" w:pos="6587"/>
        </w:tabs>
        <w:spacing w:after="0" w:line="240" w:lineRule="auto"/>
        <w:rPr>
          <w:rFonts w:cstheme="minorHAnsi"/>
          <w:b/>
          <w:bCs/>
          <w:i/>
          <w:iCs/>
          <w:sz w:val="20"/>
          <w:szCs w:val="20"/>
        </w:rPr>
      </w:pPr>
      <w:r w:rsidRPr="00B161D9">
        <w:rPr>
          <w:rFonts w:ascii="Calibri" w:hAnsi="Calibri" w:cs="Calibri"/>
          <w:sz w:val="20"/>
          <w:szCs w:val="20"/>
          <w:lang w:eastAsia="en-AU"/>
        </w:rPr>
        <w:t>*</w:t>
      </w:r>
      <w:r w:rsidRPr="000D65EC">
        <w:rPr>
          <w:rFonts w:ascii="Calibri" w:hAnsi="Calibri" w:cs="Calibri"/>
          <w:sz w:val="20"/>
          <w:szCs w:val="20"/>
          <w:lang w:eastAsia="en-AU"/>
        </w:rPr>
        <w:t>Includes Govt. and NGO IPs (World Vision Vanuatu and CARE Vanuatu)</w:t>
      </w:r>
    </w:p>
    <w:p w14:paraId="4D34AF7E" w14:textId="31E8871A" w:rsidR="00B21BF0" w:rsidRPr="00C662BF" w:rsidRDefault="00B21BF0" w:rsidP="00B21BF0">
      <w:pPr>
        <w:tabs>
          <w:tab w:val="left" w:pos="1264"/>
          <w:tab w:val="left" w:pos="3077"/>
          <w:tab w:val="left" w:pos="4481"/>
          <w:tab w:val="left" w:pos="6587"/>
        </w:tabs>
        <w:spacing w:after="0" w:line="240" w:lineRule="auto"/>
        <w:rPr>
          <w:rFonts w:ascii="Times New Roman" w:hAnsi="Times New Roman" w:cs="Times New Roman"/>
          <w:b/>
          <w:bCs/>
          <w:sz w:val="20"/>
          <w:szCs w:val="20"/>
          <w:lang w:eastAsia="en-AU"/>
        </w:rPr>
      </w:pPr>
      <w:r w:rsidRPr="00C662BF">
        <w:rPr>
          <w:rFonts w:cstheme="minorHAnsi"/>
          <w:b/>
          <w:bCs/>
          <w:i/>
          <w:iCs/>
          <w:sz w:val="20"/>
          <w:szCs w:val="20"/>
        </w:rPr>
        <w:t xml:space="preserve">2020 expenditures are as of 3 August </w:t>
      </w:r>
      <w:proofErr w:type="gramStart"/>
      <w:r w:rsidRPr="00C662BF">
        <w:rPr>
          <w:rFonts w:cstheme="minorHAnsi"/>
          <w:b/>
          <w:bCs/>
          <w:i/>
          <w:iCs/>
          <w:sz w:val="20"/>
          <w:szCs w:val="20"/>
        </w:rPr>
        <w:t>2020</w:t>
      </w:r>
      <w:proofErr w:type="gramEnd"/>
      <w:r w:rsidRPr="00C662BF">
        <w:rPr>
          <w:rFonts w:ascii="Times New Roman" w:hAnsi="Times New Roman" w:cs="Times New Roman"/>
          <w:b/>
          <w:bCs/>
          <w:sz w:val="20"/>
          <w:szCs w:val="20"/>
          <w:lang w:eastAsia="en-AU"/>
        </w:rPr>
        <w:tab/>
      </w:r>
      <w:r w:rsidRPr="00C662BF">
        <w:rPr>
          <w:rFonts w:ascii="Times New Roman" w:hAnsi="Times New Roman" w:cs="Times New Roman"/>
          <w:b/>
          <w:bCs/>
          <w:sz w:val="20"/>
          <w:szCs w:val="20"/>
          <w:lang w:eastAsia="en-AU"/>
        </w:rPr>
        <w:tab/>
      </w:r>
    </w:p>
    <w:p w14:paraId="793D5A39" w14:textId="1452F223" w:rsidR="00B21BF0" w:rsidRDefault="00B21BF0" w:rsidP="00B21BF0">
      <w:pPr>
        <w:spacing w:after="160" w:line="259" w:lineRule="auto"/>
        <w:rPr>
          <w:b/>
          <w:bCs/>
          <w:sz w:val="20"/>
          <w:szCs w:val="20"/>
        </w:rPr>
      </w:pPr>
      <w:r w:rsidRPr="00C662BF">
        <w:rPr>
          <w:b/>
          <w:bCs/>
          <w:sz w:val="20"/>
          <w:szCs w:val="20"/>
        </w:rPr>
        <w:t>Source:  PSRO Finance Division, August 2020</w:t>
      </w:r>
    </w:p>
    <w:p w14:paraId="4D1FD8BE" w14:textId="59CADB6C" w:rsidR="00296C1A" w:rsidRDefault="00296C1A" w:rsidP="00B21BF0">
      <w:pPr>
        <w:spacing w:after="160" w:line="259" w:lineRule="auto"/>
        <w:rPr>
          <w:b/>
          <w:bCs/>
          <w:sz w:val="20"/>
          <w:szCs w:val="20"/>
        </w:rPr>
      </w:pPr>
    </w:p>
    <w:p w14:paraId="56509560" w14:textId="6C7F673A" w:rsidR="00296C1A" w:rsidRDefault="00296C1A" w:rsidP="00B21BF0">
      <w:pPr>
        <w:spacing w:after="160" w:line="259" w:lineRule="auto"/>
        <w:rPr>
          <w:b/>
          <w:bCs/>
          <w:sz w:val="20"/>
          <w:szCs w:val="20"/>
        </w:rPr>
      </w:pPr>
    </w:p>
    <w:p w14:paraId="6EA816BA" w14:textId="417CC4BF" w:rsidR="00296C1A" w:rsidRDefault="00296C1A" w:rsidP="00B21BF0">
      <w:pPr>
        <w:spacing w:after="160" w:line="259" w:lineRule="auto"/>
        <w:rPr>
          <w:b/>
          <w:bCs/>
          <w:sz w:val="20"/>
          <w:szCs w:val="20"/>
        </w:rPr>
      </w:pPr>
    </w:p>
    <w:p w14:paraId="6A94B1DE" w14:textId="657893B9" w:rsidR="00296C1A" w:rsidRDefault="00296C1A" w:rsidP="00B21BF0">
      <w:pPr>
        <w:spacing w:after="160" w:line="259" w:lineRule="auto"/>
        <w:rPr>
          <w:b/>
          <w:bCs/>
          <w:sz w:val="20"/>
          <w:szCs w:val="20"/>
        </w:rPr>
      </w:pPr>
    </w:p>
    <w:p w14:paraId="5DC806A2" w14:textId="5DB35A4E" w:rsidR="00296C1A" w:rsidRDefault="00296C1A" w:rsidP="00B21BF0">
      <w:pPr>
        <w:spacing w:after="160" w:line="259" w:lineRule="auto"/>
        <w:rPr>
          <w:b/>
          <w:bCs/>
          <w:sz w:val="20"/>
          <w:szCs w:val="20"/>
        </w:rPr>
      </w:pPr>
    </w:p>
    <w:p w14:paraId="449C39ED" w14:textId="38671FE6" w:rsidR="00296C1A" w:rsidRDefault="00296C1A" w:rsidP="00B21BF0">
      <w:pPr>
        <w:spacing w:after="160" w:line="259" w:lineRule="auto"/>
        <w:rPr>
          <w:b/>
          <w:bCs/>
          <w:sz w:val="20"/>
          <w:szCs w:val="20"/>
        </w:rPr>
      </w:pPr>
    </w:p>
    <w:p w14:paraId="673F9C7C" w14:textId="0E632A66" w:rsidR="00296C1A" w:rsidRDefault="00296C1A" w:rsidP="00B21BF0">
      <w:pPr>
        <w:spacing w:after="160" w:line="259" w:lineRule="auto"/>
        <w:rPr>
          <w:b/>
          <w:bCs/>
          <w:sz w:val="20"/>
          <w:szCs w:val="20"/>
        </w:rPr>
      </w:pPr>
    </w:p>
    <w:p w14:paraId="0D5E4D5F" w14:textId="75CADF78" w:rsidR="00296C1A" w:rsidRDefault="00296C1A" w:rsidP="00B21BF0">
      <w:pPr>
        <w:spacing w:after="160" w:line="259" w:lineRule="auto"/>
        <w:rPr>
          <w:b/>
          <w:bCs/>
          <w:sz w:val="20"/>
          <w:szCs w:val="20"/>
        </w:rPr>
      </w:pPr>
    </w:p>
    <w:p w14:paraId="02EBF403" w14:textId="30FCBC7B" w:rsidR="00296C1A" w:rsidRDefault="00296C1A" w:rsidP="00B21BF0">
      <w:pPr>
        <w:spacing w:after="160" w:line="259" w:lineRule="auto"/>
        <w:rPr>
          <w:b/>
          <w:bCs/>
          <w:sz w:val="20"/>
          <w:szCs w:val="20"/>
        </w:rPr>
      </w:pPr>
    </w:p>
    <w:p w14:paraId="6AD786A9" w14:textId="4B918E85" w:rsidR="00296C1A" w:rsidRDefault="00296C1A" w:rsidP="00B21BF0">
      <w:pPr>
        <w:spacing w:after="160" w:line="259" w:lineRule="auto"/>
        <w:rPr>
          <w:b/>
          <w:bCs/>
          <w:sz w:val="20"/>
          <w:szCs w:val="20"/>
        </w:rPr>
      </w:pPr>
    </w:p>
    <w:p w14:paraId="2A156414" w14:textId="11AD0BFD" w:rsidR="000B4E0A" w:rsidRDefault="000B4E0A" w:rsidP="00B21BF0">
      <w:pPr>
        <w:spacing w:after="160" w:line="259" w:lineRule="auto"/>
        <w:rPr>
          <w:b/>
          <w:bCs/>
          <w:sz w:val="20"/>
          <w:szCs w:val="20"/>
        </w:rPr>
      </w:pPr>
    </w:p>
    <w:p w14:paraId="36B1AFA5" w14:textId="77777777" w:rsidR="000B4E0A" w:rsidRDefault="000B4E0A" w:rsidP="00B21BF0">
      <w:pPr>
        <w:spacing w:after="160" w:line="259" w:lineRule="auto"/>
        <w:rPr>
          <w:b/>
          <w:bCs/>
          <w:sz w:val="20"/>
          <w:szCs w:val="20"/>
        </w:rPr>
      </w:pPr>
    </w:p>
    <w:p w14:paraId="22490A9C" w14:textId="77777777" w:rsidR="00296C1A" w:rsidRPr="00C15251" w:rsidRDefault="00296C1A" w:rsidP="00B21BF0">
      <w:pPr>
        <w:spacing w:after="160" w:line="259" w:lineRule="auto"/>
        <w:rPr>
          <w:b/>
          <w:bCs/>
          <w:sz w:val="20"/>
          <w:szCs w:val="20"/>
        </w:rPr>
      </w:pPr>
    </w:p>
    <w:p w14:paraId="07A28B04" w14:textId="22AC5F22" w:rsidR="00550EC5" w:rsidRDefault="00B21BF0" w:rsidP="00B21BF0">
      <w:pPr>
        <w:rPr>
          <w:b/>
          <w:bCs/>
        </w:rPr>
      </w:pPr>
      <w:r w:rsidRPr="00010E73">
        <w:rPr>
          <w:b/>
          <w:bCs/>
        </w:rPr>
        <w:lastRenderedPageBreak/>
        <w:t>Table 2</w:t>
      </w:r>
      <w:r>
        <w:rPr>
          <w:b/>
          <w:bCs/>
        </w:rPr>
        <w:t xml:space="preserve">: </w:t>
      </w:r>
      <w:r w:rsidRPr="00010E73">
        <w:rPr>
          <w:b/>
          <w:bCs/>
        </w:rPr>
        <w:t xml:space="preserve"> Allocations and Utilisation Rates by MOHs </w:t>
      </w:r>
    </w:p>
    <w:tbl>
      <w:tblPr>
        <w:tblStyle w:val="TableGrid"/>
        <w:tblW w:w="0" w:type="auto"/>
        <w:tblLook w:val="04A0" w:firstRow="1" w:lastRow="0" w:firstColumn="1" w:lastColumn="0" w:noHBand="0" w:noVBand="1"/>
      </w:tblPr>
      <w:tblGrid>
        <w:gridCol w:w="2064"/>
        <w:gridCol w:w="1232"/>
        <w:gridCol w:w="1682"/>
        <w:gridCol w:w="2126"/>
        <w:gridCol w:w="2126"/>
      </w:tblGrid>
      <w:tr w:rsidR="00B21BF0" w14:paraId="659E0945" w14:textId="77777777" w:rsidTr="002760F1">
        <w:trPr>
          <w:tblHeader/>
        </w:trPr>
        <w:tc>
          <w:tcPr>
            <w:tcW w:w="2064" w:type="dxa"/>
            <w:tcBorders>
              <w:bottom w:val="single" w:sz="4" w:space="0" w:color="auto"/>
            </w:tcBorders>
            <w:shd w:val="clear" w:color="auto" w:fill="FF0000"/>
          </w:tcPr>
          <w:p w14:paraId="46C64C45" w14:textId="77777777" w:rsidR="00B21BF0" w:rsidRPr="00D57C05" w:rsidRDefault="00B21BF0" w:rsidP="0035508A">
            <w:pPr>
              <w:pStyle w:val="NoSpacing"/>
              <w:rPr>
                <w:b/>
              </w:rPr>
            </w:pPr>
            <w:r w:rsidRPr="00D57C05">
              <w:rPr>
                <w:b/>
              </w:rPr>
              <w:t>Country</w:t>
            </w:r>
          </w:p>
        </w:tc>
        <w:tc>
          <w:tcPr>
            <w:tcW w:w="1232" w:type="dxa"/>
            <w:shd w:val="clear" w:color="auto" w:fill="FF0000"/>
          </w:tcPr>
          <w:p w14:paraId="4068DBF7" w14:textId="77777777" w:rsidR="00B21BF0" w:rsidRPr="00D57C05" w:rsidRDefault="00B21BF0" w:rsidP="0035508A">
            <w:pPr>
              <w:pStyle w:val="NoSpacing"/>
              <w:rPr>
                <w:b/>
              </w:rPr>
            </w:pPr>
            <w:r w:rsidRPr="00D57C05">
              <w:rPr>
                <w:b/>
              </w:rPr>
              <w:t>Year</w:t>
            </w:r>
          </w:p>
        </w:tc>
        <w:tc>
          <w:tcPr>
            <w:tcW w:w="1682" w:type="dxa"/>
            <w:shd w:val="clear" w:color="auto" w:fill="FF0000"/>
          </w:tcPr>
          <w:p w14:paraId="11CB77F6" w14:textId="77777777" w:rsidR="00B21BF0" w:rsidRPr="00D57C05" w:rsidRDefault="00B21BF0" w:rsidP="0035508A">
            <w:pPr>
              <w:pStyle w:val="NoSpacing"/>
              <w:rPr>
                <w:b/>
              </w:rPr>
            </w:pPr>
            <w:r w:rsidRPr="00D57C05">
              <w:rPr>
                <w:b/>
              </w:rPr>
              <w:t>Budget</w:t>
            </w:r>
          </w:p>
        </w:tc>
        <w:tc>
          <w:tcPr>
            <w:tcW w:w="2126" w:type="dxa"/>
            <w:shd w:val="clear" w:color="auto" w:fill="FF0000"/>
          </w:tcPr>
          <w:p w14:paraId="45C5DB0E" w14:textId="77777777" w:rsidR="00B21BF0" w:rsidRPr="00D57C05" w:rsidRDefault="00B21BF0" w:rsidP="0035508A">
            <w:pPr>
              <w:pStyle w:val="NoSpacing"/>
              <w:rPr>
                <w:b/>
              </w:rPr>
            </w:pPr>
            <w:r w:rsidRPr="00D57C05">
              <w:rPr>
                <w:b/>
              </w:rPr>
              <w:t>Utilisation</w:t>
            </w:r>
          </w:p>
        </w:tc>
        <w:tc>
          <w:tcPr>
            <w:tcW w:w="2126" w:type="dxa"/>
            <w:tcBorders>
              <w:bottom w:val="single" w:sz="4" w:space="0" w:color="auto"/>
            </w:tcBorders>
            <w:shd w:val="clear" w:color="auto" w:fill="FF0000"/>
          </w:tcPr>
          <w:p w14:paraId="527174E3" w14:textId="77777777" w:rsidR="00B21BF0" w:rsidRPr="00D57C05" w:rsidRDefault="00B21BF0" w:rsidP="0035508A">
            <w:pPr>
              <w:pStyle w:val="NoSpacing"/>
              <w:rPr>
                <w:b/>
              </w:rPr>
            </w:pPr>
            <w:r w:rsidRPr="00D57C05">
              <w:rPr>
                <w:b/>
              </w:rPr>
              <w:t>Utilisation Rate (all years to 2</w:t>
            </w:r>
            <w:r w:rsidRPr="00D57C05">
              <w:rPr>
                <w:b/>
                <w:vertAlign w:val="superscript"/>
              </w:rPr>
              <w:t>nd</w:t>
            </w:r>
            <w:r w:rsidRPr="00D57C05">
              <w:rPr>
                <w:b/>
              </w:rPr>
              <w:t xml:space="preserve"> Q 2020)</w:t>
            </w:r>
          </w:p>
        </w:tc>
      </w:tr>
      <w:tr w:rsidR="002760F1" w:rsidRPr="002760F1" w14:paraId="51E2AB1A" w14:textId="77777777" w:rsidTr="002760F1">
        <w:trPr>
          <w:tblHeader/>
        </w:trPr>
        <w:tc>
          <w:tcPr>
            <w:tcW w:w="2064" w:type="dxa"/>
            <w:tcBorders>
              <w:bottom w:val="single" w:sz="4" w:space="0" w:color="auto"/>
            </w:tcBorders>
            <w:shd w:val="clear" w:color="auto" w:fill="auto"/>
          </w:tcPr>
          <w:p w14:paraId="1C5D9838" w14:textId="15A73C9C" w:rsidR="002760F1" w:rsidRPr="002760F1" w:rsidRDefault="002760F1" w:rsidP="002760F1">
            <w:pPr>
              <w:pStyle w:val="NoSpacing"/>
              <w:rPr>
                <w:b/>
              </w:rPr>
            </w:pPr>
            <w:r>
              <w:t>Fiji MHMS</w:t>
            </w:r>
          </w:p>
        </w:tc>
        <w:tc>
          <w:tcPr>
            <w:tcW w:w="1232" w:type="dxa"/>
            <w:shd w:val="clear" w:color="auto" w:fill="auto"/>
          </w:tcPr>
          <w:p w14:paraId="4DA56626" w14:textId="72B2A816" w:rsidR="002760F1" w:rsidRPr="002760F1" w:rsidRDefault="002760F1" w:rsidP="002760F1">
            <w:pPr>
              <w:pStyle w:val="NoSpacing"/>
            </w:pPr>
            <w:r w:rsidRPr="002760F1">
              <w:t>2018</w:t>
            </w:r>
          </w:p>
        </w:tc>
        <w:tc>
          <w:tcPr>
            <w:tcW w:w="1682" w:type="dxa"/>
            <w:shd w:val="clear" w:color="auto" w:fill="auto"/>
          </w:tcPr>
          <w:p w14:paraId="5D4C966C" w14:textId="42632388" w:rsidR="002760F1" w:rsidRPr="002760F1" w:rsidRDefault="002760F1" w:rsidP="002760F1">
            <w:pPr>
              <w:pStyle w:val="NoSpacing"/>
              <w:rPr>
                <w:b/>
              </w:rPr>
            </w:pPr>
            <w:r w:rsidRPr="00500BAF">
              <w:t>56,872</w:t>
            </w:r>
          </w:p>
        </w:tc>
        <w:tc>
          <w:tcPr>
            <w:tcW w:w="2126" w:type="dxa"/>
            <w:tcBorders>
              <w:right w:val="single" w:sz="4" w:space="0" w:color="auto"/>
            </w:tcBorders>
            <w:shd w:val="clear" w:color="auto" w:fill="auto"/>
          </w:tcPr>
          <w:p w14:paraId="5E33862C" w14:textId="7056FC5C" w:rsidR="002760F1" w:rsidRPr="002760F1" w:rsidRDefault="002760F1" w:rsidP="002760F1">
            <w:pPr>
              <w:pStyle w:val="NoSpacing"/>
              <w:rPr>
                <w:b/>
              </w:rPr>
            </w:pPr>
            <w:r w:rsidRPr="00500BAF">
              <w:t>18,519</w:t>
            </w:r>
          </w:p>
        </w:tc>
        <w:tc>
          <w:tcPr>
            <w:tcW w:w="2126" w:type="dxa"/>
            <w:tcBorders>
              <w:top w:val="single" w:sz="4" w:space="0" w:color="auto"/>
              <w:left w:val="single" w:sz="4" w:space="0" w:color="auto"/>
              <w:bottom w:val="nil"/>
              <w:right w:val="single" w:sz="4" w:space="0" w:color="auto"/>
            </w:tcBorders>
            <w:shd w:val="clear" w:color="auto" w:fill="auto"/>
          </w:tcPr>
          <w:p w14:paraId="79AF371F" w14:textId="18D6A1D8" w:rsidR="002760F1" w:rsidRPr="002760F1" w:rsidRDefault="002760F1" w:rsidP="002760F1">
            <w:pPr>
              <w:pStyle w:val="NoSpacing"/>
            </w:pPr>
            <w:r w:rsidRPr="002760F1">
              <w:t>37%</w:t>
            </w:r>
          </w:p>
        </w:tc>
      </w:tr>
      <w:tr w:rsidR="002760F1" w:rsidRPr="002760F1" w14:paraId="29294B8A" w14:textId="77777777" w:rsidTr="002760F1">
        <w:trPr>
          <w:tblHeader/>
        </w:trPr>
        <w:tc>
          <w:tcPr>
            <w:tcW w:w="2064" w:type="dxa"/>
            <w:tcBorders>
              <w:bottom w:val="single" w:sz="4" w:space="0" w:color="auto"/>
            </w:tcBorders>
            <w:shd w:val="clear" w:color="auto" w:fill="auto"/>
          </w:tcPr>
          <w:p w14:paraId="7F778AC2" w14:textId="77777777" w:rsidR="002760F1" w:rsidRDefault="002760F1" w:rsidP="002760F1">
            <w:pPr>
              <w:pStyle w:val="NoSpacing"/>
            </w:pPr>
          </w:p>
        </w:tc>
        <w:tc>
          <w:tcPr>
            <w:tcW w:w="1232" w:type="dxa"/>
            <w:shd w:val="clear" w:color="auto" w:fill="auto"/>
          </w:tcPr>
          <w:p w14:paraId="28132732" w14:textId="0CCBEE75" w:rsidR="002760F1" w:rsidRPr="002760F1" w:rsidRDefault="002760F1" w:rsidP="002760F1">
            <w:pPr>
              <w:pStyle w:val="NoSpacing"/>
            </w:pPr>
            <w:r w:rsidRPr="00500BAF">
              <w:t>2019</w:t>
            </w:r>
          </w:p>
        </w:tc>
        <w:tc>
          <w:tcPr>
            <w:tcW w:w="1682" w:type="dxa"/>
            <w:shd w:val="clear" w:color="auto" w:fill="auto"/>
          </w:tcPr>
          <w:p w14:paraId="01D3603E" w14:textId="0687B368" w:rsidR="002760F1" w:rsidRPr="00500BAF" w:rsidRDefault="002760F1" w:rsidP="002760F1">
            <w:pPr>
              <w:pStyle w:val="NoSpacing"/>
            </w:pPr>
            <w:r w:rsidRPr="00500BAF">
              <w:t>196,320</w:t>
            </w:r>
          </w:p>
        </w:tc>
        <w:tc>
          <w:tcPr>
            <w:tcW w:w="2126" w:type="dxa"/>
            <w:tcBorders>
              <w:right w:val="single" w:sz="4" w:space="0" w:color="auto"/>
            </w:tcBorders>
            <w:shd w:val="clear" w:color="auto" w:fill="auto"/>
          </w:tcPr>
          <w:p w14:paraId="251FCB0B" w14:textId="1EFA5967" w:rsidR="002760F1" w:rsidRPr="00500BAF" w:rsidRDefault="002760F1" w:rsidP="002760F1">
            <w:pPr>
              <w:pStyle w:val="NoSpacing"/>
            </w:pPr>
            <w:r w:rsidRPr="00500BAF">
              <w:t>74,828</w:t>
            </w:r>
          </w:p>
        </w:tc>
        <w:tc>
          <w:tcPr>
            <w:tcW w:w="2126" w:type="dxa"/>
            <w:tcBorders>
              <w:top w:val="nil"/>
              <w:left w:val="single" w:sz="4" w:space="0" w:color="auto"/>
              <w:bottom w:val="nil"/>
              <w:right w:val="single" w:sz="4" w:space="0" w:color="auto"/>
            </w:tcBorders>
            <w:shd w:val="clear" w:color="auto" w:fill="auto"/>
          </w:tcPr>
          <w:p w14:paraId="4FBD3865" w14:textId="77777777" w:rsidR="002760F1" w:rsidRPr="002760F1" w:rsidRDefault="002760F1" w:rsidP="002760F1">
            <w:pPr>
              <w:pStyle w:val="NoSpacing"/>
            </w:pPr>
          </w:p>
        </w:tc>
      </w:tr>
      <w:tr w:rsidR="002760F1" w:rsidRPr="002760F1" w14:paraId="583A4517" w14:textId="77777777" w:rsidTr="002760F1">
        <w:trPr>
          <w:tblHeader/>
        </w:trPr>
        <w:tc>
          <w:tcPr>
            <w:tcW w:w="2064" w:type="dxa"/>
            <w:tcBorders>
              <w:bottom w:val="single" w:sz="4" w:space="0" w:color="auto"/>
            </w:tcBorders>
            <w:shd w:val="clear" w:color="auto" w:fill="auto"/>
          </w:tcPr>
          <w:p w14:paraId="5E7B96DC" w14:textId="77777777" w:rsidR="002760F1" w:rsidRDefault="002760F1" w:rsidP="002760F1">
            <w:pPr>
              <w:pStyle w:val="NoSpacing"/>
            </w:pPr>
          </w:p>
        </w:tc>
        <w:tc>
          <w:tcPr>
            <w:tcW w:w="1232" w:type="dxa"/>
            <w:shd w:val="clear" w:color="auto" w:fill="auto"/>
          </w:tcPr>
          <w:p w14:paraId="46576FAE" w14:textId="4E91B0D6" w:rsidR="002760F1" w:rsidRPr="002760F1" w:rsidRDefault="002760F1" w:rsidP="002760F1">
            <w:pPr>
              <w:pStyle w:val="NoSpacing"/>
            </w:pPr>
            <w:r w:rsidRPr="00500BAF">
              <w:t>2020</w:t>
            </w:r>
          </w:p>
        </w:tc>
        <w:tc>
          <w:tcPr>
            <w:tcW w:w="1682" w:type="dxa"/>
            <w:shd w:val="clear" w:color="auto" w:fill="auto"/>
          </w:tcPr>
          <w:p w14:paraId="2364466C" w14:textId="4639D630" w:rsidR="002760F1" w:rsidRPr="00500BAF" w:rsidRDefault="002760F1" w:rsidP="002760F1">
            <w:pPr>
              <w:pStyle w:val="NoSpacing"/>
            </w:pPr>
            <w:r w:rsidRPr="00500BAF">
              <w:t>-</w:t>
            </w:r>
          </w:p>
        </w:tc>
        <w:tc>
          <w:tcPr>
            <w:tcW w:w="2126" w:type="dxa"/>
            <w:tcBorders>
              <w:right w:val="single" w:sz="4" w:space="0" w:color="auto"/>
            </w:tcBorders>
            <w:shd w:val="clear" w:color="auto" w:fill="auto"/>
          </w:tcPr>
          <w:p w14:paraId="58EE5967" w14:textId="6C3EEC4D" w:rsidR="002760F1" w:rsidRPr="00500BAF" w:rsidRDefault="002760F1" w:rsidP="002760F1">
            <w:pPr>
              <w:pStyle w:val="NoSpacing"/>
            </w:pPr>
            <w:r>
              <w:t xml:space="preserve">- </w:t>
            </w:r>
          </w:p>
        </w:tc>
        <w:tc>
          <w:tcPr>
            <w:tcW w:w="2126" w:type="dxa"/>
            <w:tcBorders>
              <w:top w:val="nil"/>
              <w:left w:val="single" w:sz="4" w:space="0" w:color="auto"/>
              <w:bottom w:val="nil"/>
              <w:right w:val="single" w:sz="4" w:space="0" w:color="auto"/>
            </w:tcBorders>
            <w:shd w:val="clear" w:color="auto" w:fill="auto"/>
          </w:tcPr>
          <w:p w14:paraId="4AE898C9" w14:textId="77777777" w:rsidR="002760F1" w:rsidRPr="002760F1" w:rsidRDefault="002760F1" w:rsidP="002760F1">
            <w:pPr>
              <w:pStyle w:val="NoSpacing"/>
            </w:pPr>
          </w:p>
        </w:tc>
      </w:tr>
      <w:tr w:rsidR="002760F1" w:rsidRPr="002760F1" w14:paraId="011DBAD0" w14:textId="77777777" w:rsidTr="002760F1">
        <w:trPr>
          <w:tblHeader/>
        </w:trPr>
        <w:tc>
          <w:tcPr>
            <w:tcW w:w="2064" w:type="dxa"/>
            <w:tcBorders>
              <w:bottom w:val="single" w:sz="4" w:space="0" w:color="auto"/>
            </w:tcBorders>
            <w:shd w:val="clear" w:color="auto" w:fill="auto"/>
          </w:tcPr>
          <w:p w14:paraId="13633770" w14:textId="77777777" w:rsidR="002760F1" w:rsidRDefault="002760F1" w:rsidP="002760F1">
            <w:pPr>
              <w:pStyle w:val="NoSpacing"/>
            </w:pPr>
          </w:p>
        </w:tc>
        <w:tc>
          <w:tcPr>
            <w:tcW w:w="1232" w:type="dxa"/>
            <w:shd w:val="clear" w:color="auto" w:fill="auto"/>
          </w:tcPr>
          <w:p w14:paraId="605274B0" w14:textId="55DAB118" w:rsidR="002760F1" w:rsidRPr="002760F1" w:rsidRDefault="002760F1" w:rsidP="002760F1">
            <w:pPr>
              <w:pStyle w:val="NoSpacing"/>
            </w:pPr>
            <w:r w:rsidRPr="001D7B09">
              <w:t>T</w:t>
            </w:r>
            <w:r>
              <w:t>otal</w:t>
            </w:r>
          </w:p>
        </w:tc>
        <w:tc>
          <w:tcPr>
            <w:tcW w:w="1682" w:type="dxa"/>
            <w:shd w:val="clear" w:color="auto" w:fill="auto"/>
          </w:tcPr>
          <w:p w14:paraId="56537C32" w14:textId="41C8CF4B" w:rsidR="002760F1" w:rsidRPr="00500BAF" w:rsidRDefault="002760F1" w:rsidP="002760F1">
            <w:pPr>
              <w:pStyle w:val="NoSpacing"/>
            </w:pPr>
            <w:r w:rsidRPr="001D7B09">
              <w:t>253,192</w:t>
            </w:r>
          </w:p>
        </w:tc>
        <w:tc>
          <w:tcPr>
            <w:tcW w:w="2126" w:type="dxa"/>
            <w:tcBorders>
              <w:right w:val="single" w:sz="4" w:space="0" w:color="auto"/>
            </w:tcBorders>
            <w:shd w:val="clear" w:color="auto" w:fill="auto"/>
          </w:tcPr>
          <w:p w14:paraId="5BD07875" w14:textId="4FC54776" w:rsidR="002760F1" w:rsidRPr="00500BAF" w:rsidRDefault="002760F1" w:rsidP="002760F1">
            <w:pPr>
              <w:pStyle w:val="NoSpacing"/>
            </w:pPr>
            <w:r w:rsidRPr="001D7B09">
              <w:t>93,347</w:t>
            </w:r>
          </w:p>
        </w:tc>
        <w:tc>
          <w:tcPr>
            <w:tcW w:w="2126" w:type="dxa"/>
            <w:tcBorders>
              <w:top w:val="nil"/>
              <w:left w:val="single" w:sz="4" w:space="0" w:color="auto"/>
              <w:bottom w:val="single" w:sz="4" w:space="0" w:color="auto"/>
              <w:right w:val="single" w:sz="4" w:space="0" w:color="auto"/>
            </w:tcBorders>
            <w:shd w:val="clear" w:color="auto" w:fill="auto"/>
          </w:tcPr>
          <w:p w14:paraId="67AA08BA" w14:textId="77777777" w:rsidR="002760F1" w:rsidRPr="002760F1" w:rsidRDefault="002760F1" w:rsidP="002760F1">
            <w:pPr>
              <w:pStyle w:val="NoSpacing"/>
            </w:pPr>
          </w:p>
        </w:tc>
      </w:tr>
      <w:tr w:rsidR="002760F1" w:rsidRPr="002760F1" w14:paraId="21FC8922" w14:textId="77777777" w:rsidTr="002760F1">
        <w:trPr>
          <w:tblHeader/>
        </w:trPr>
        <w:tc>
          <w:tcPr>
            <w:tcW w:w="2064" w:type="dxa"/>
            <w:tcBorders>
              <w:bottom w:val="single" w:sz="4" w:space="0" w:color="auto"/>
            </w:tcBorders>
            <w:shd w:val="clear" w:color="auto" w:fill="auto"/>
          </w:tcPr>
          <w:p w14:paraId="39826ADB" w14:textId="6EBB8975" w:rsidR="002760F1" w:rsidRDefault="002760F1" w:rsidP="002760F1">
            <w:pPr>
              <w:pStyle w:val="NoSpacing"/>
            </w:pPr>
            <w:r>
              <w:t>Kiribati MHMS</w:t>
            </w:r>
          </w:p>
        </w:tc>
        <w:tc>
          <w:tcPr>
            <w:tcW w:w="1232" w:type="dxa"/>
            <w:shd w:val="clear" w:color="auto" w:fill="auto"/>
          </w:tcPr>
          <w:p w14:paraId="5B4A26BA" w14:textId="788F43CA" w:rsidR="002760F1" w:rsidRPr="001D7B09" w:rsidRDefault="002760F1" w:rsidP="002760F1">
            <w:pPr>
              <w:pStyle w:val="NoSpacing"/>
            </w:pPr>
            <w:r w:rsidRPr="00500BAF">
              <w:t>2018</w:t>
            </w:r>
          </w:p>
        </w:tc>
        <w:tc>
          <w:tcPr>
            <w:tcW w:w="1682" w:type="dxa"/>
            <w:shd w:val="clear" w:color="auto" w:fill="auto"/>
          </w:tcPr>
          <w:p w14:paraId="46BC9F3D" w14:textId="2B28868F" w:rsidR="002760F1" w:rsidRPr="001D7B09" w:rsidRDefault="002760F1" w:rsidP="002760F1">
            <w:pPr>
              <w:pStyle w:val="NoSpacing"/>
            </w:pPr>
            <w:r w:rsidRPr="00500BAF">
              <w:t>-</w:t>
            </w:r>
          </w:p>
        </w:tc>
        <w:tc>
          <w:tcPr>
            <w:tcW w:w="2126" w:type="dxa"/>
            <w:tcBorders>
              <w:right w:val="single" w:sz="4" w:space="0" w:color="auto"/>
            </w:tcBorders>
            <w:shd w:val="clear" w:color="auto" w:fill="auto"/>
          </w:tcPr>
          <w:p w14:paraId="4D35AFB1" w14:textId="4CBEDE43" w:rsidR="002760F1" w:rsidRPr="001D7B09" w:rsidRDefault="002760F1" w:rsidP="002760F1">
            <w:pPr>
              <w:pStyle w:val="NoSpacing"/>
            </w:pPr>
            <w:r w:rsidRPr="00500BAF">
              <w:t>-</w:t>
            </w:r>
          </w:p>
        </w:tc>
        <w:tc>
          <w:tcPr>
            <w:tcW w:w="2126" w:type="dxa"/>
            <w:tcBorders>
              <w:top w:val="single" w:sz="4" w:space="0" w:color="auto"/>
              <w:left w:val="single" w:sz="4" w:space="0" w:color="auto"/>
              <w:bottom w:val="nil"/>
              <w:right w:val="single" w:sz="4" w:space="0" w:color="auto"/>
            </w:tcBorders>
            <w:shd w:val="clear" w:color="auto" w:fill="auto"/>
          </w:tcPr>
          <w:p w14:paraId="1FA1EC8C" w14:textId="54F40725" w:rsidR="002760F1" w:rsidRPr="002760F1" w:rsidRDefault="002760F1" w:rsidP="002760F1">
            <w:pPr>
              <w:pStyle w:val="NoSpacing"/>
            </w:pPr>
            <w:r>
              <w:t>70%</w:t>
            </w:r>
          </w:p>
        </w:tc>
      </w:tr>
      <w:tr w:rsidR="002760F1" w:rsidRPr="002760F1" w14:paraId="467FB809" w14:textId="77777777" w:rsidTr="002760F1">
        <w:trPr>
          <w:tblHeader/>
        </w:trPr>
        <w:tc>
          <w:tcPr>
            <w:tcW w:w="2064" w:type="dxa"/>
            <w:tcBorders>
              <w:bottom w:val="single" w:sz="4" w:space="0" w:color="auto"/>
            </w:tcBorders>
            <w:shd w:val="clear" w:color="auto" w:fill="auto"/>
          </w:tcPr>
          <w:p w14:paraId="6DB20FA8" w14:textId="77777777" w:rsidR="002760F1" w:rsidRDefault="002760F1" w:rsidP="002760F1">
            <w:pPr>
              <w:pStyle w:val="NoSpacing"/>
            </w:pPr>
          </w:p>
        </w:tc>
        <w:tc>
          <w:tcPr>
            <w:tcW w:w="1232" w:type="dxa"/>
            <w:shd w:val="clear" w:color="auto" w:fill="auto"/>
          </w:tcPr>
          <w:p w14:paraId="630F9824" w14:textId="516180AA" w:rsidR="002760F1" w:rsidRPr="001D7B09" w:rsidRDefault="002760F1" w:rsidP="002760F1">
            <w:pPr>
              <w:pStyle w:val="NoSpacing"/>
            </w:pPr>
            <w:r w:rsidRPr="00500BAF">
              <w:t>2019</w:t>
            </w:r>
          </w:p>
        </w:tc>
        <w:tc>
          <w:tcPr>
            <w:tcW w:w="1682" w:type="dxa"/>
            <w:shd w:val="clear" w:color="auto" w:fill="auto"/>
          </w:tcPr>
          <w:p w14:paraId="684C7D82" w14:textId="2491C8CF" w:rsidR="002760F1" w:rsidRPr="001D7B09" w:rsidRDefault="002760F1" w:rsidP="002760F1">
            <w:pPr>
              <w:pStyle w:val="NoSpacing"/>
            </w:pPr>
            <w:r w:rsidRPr="00500BAF">
              <w:t>98,205</w:t>
            </w:r>
          </w:p>
        </w:tc>
        <w:tc>
          <w:tcPr>
            <w:tcW w:w="2126" w:type="dxa"/>
            <w:tcBorders>
              <w:right w:val="single" w:sz="4" w:space="0" w:color="auto"/>
            </w:tcBorders>
            <w:shd w:val="clear" w:color="auto" w:fill="auto"/>
          </w:tcPr>
          <w:p w14:paraId="5977DBA9" w14:textId="07D178E1" w:rsidR="002760F1" w:rsidRPr="001D7B09" w:rsidRDefault="002760F1" w:rsidP="002760F1">
            <w:pPr>
              <w:pStyle w:val="NoSpacing"/>
            </w:pPr>
            <w:r w:rsidRPr="00500BAF">
              <w:t>95,190</w:t>
            </w:r>
          </w:p>
        </w:tc>
        <w:tc>
          <w:tcPr>
            <w:tcW w:w="2126" w:type="dxa"/>
            <w:tcBorders>
              <w:top w:val="nil"/>
              <w:left w:val="single" w:sz="4" w:space="0" w:color="auto"/>
              <w:bottom w:val="nil"/>
              <w:right w:val="single" w:sz="4" w:space="0" w:color="auto"/>
            </w:tcBorders>
            <w:shd w:val="clear" w:color="auto" w:fill="auto"/>
          </w:tcPr>
          <w:p w14:paraId="6632D0C3" w14:textId="77777777" w:rsidR="002760F1" w:rsidRPr="002760F1" w:rsidRDefault="002760F1" w:rsidP="002760F1">
            <w:pPr>
              <w:pStyle w:val="NoSpacing"/>
            </w:pPr>
          </w:p>
        </w:tc>
      </w:tr>
      <w:tr w:rsidR="002760F1" w:rsidRPr="002760F1" w14:paraId="77179B1F" w14:textId="77777777" w:rsidTr="002760F1">
        <w:trPr>
          <w:tblHeader/>
        </w:trPr>
        <w:tc>
          <w:tcPr>
            <w:tcW w:w="2064" w:type="dxa"/>
            <w:tcBorders>
              <w:bottom w:val="single" w:sz="4" w:space="0" w:color="auto"/>
            </w:tcBorders>
            <w:shd w:val="clear" w:color="auto" w:fill="auto"/>
          </w:tcPr>
          <w:p w14:paraId="1F0DA699" w14:textId="77777777" w:rsidR="002760F1" w:rsidRDefault="002760F1" w:rsidP="002760F1">
            <w:pPr>
              <w:pStyle w:val="NoSpacing"/>
            </w:pPr>
          </w:p>
        </w:tc>
        <w:tc>
          <w:tcPr>
            <w:tcW w:w="1232" w:type="dxa"/>
            <w:shd w:val="clear" w:color="auto" w:fill="auto"/>
          </w:tcPr>
          <w:p w14:paraId="69BCEB3C" w14:textId="0A1714C0" w:rsidR="002760F1" w:rsidRPr="001D7B09" w:rsidRDefault="002760F1" w:rsidP="002760F1">
            <w:pPr>
              <w:pStyle w:val="NoSpacing"/>
            </w:pPr>
            <w:r w:rsidRPr="00500BAF">
              <w:t>2020</w:t>
            </w:r>
          </w:p>
        </w:tc>
        <w:tc>
          <w:tcPr>
            <w:tcW w:w="1682" w:type="dxa"/>
            <w:shd w:val="clear" w:color="auto" w:fill="auto"/>
          </w:tcPr>
          <w:p w14:paraId="0F994AB8" w14:textId="3283C864" w:rsidR="002760F1" w:rsidRPr="001D7B09" w:rsidRDefault="002760F1" w:rsidP="002760F1">
            <w:pPr>
              <w:pStyle w:val="NoSpacing"/>
            </w:pPr>
            <w:r w:rsidRPr="00500BAF">
              <w:t>149,175</w:t>
            </w:r>
          </w:p>
        </w:tc>
        <w:tc>
          <w:tcPr>
            <w:tcW w:w="2126" w:type="dxa"/>
            <w:tcBorders>
              <w:right w:val="single" w:sz="4" w:space="0" w:color="auto"/>
            </w:tcBorders>
            <w:shd w:val="clear" w:color="auto" w:fill="auto"/>
          </w:tcPr>
          <w:p w14:paraId="06D43A3B" w14:textId="04AB787A" w:rsidR="002760F1" w:rsidRPr="001D7B09" w:rsidRDefault="002760F1" w:rsidP="002760F1">
            <w:pPr>
              <w:pStyle w:val="NoSpacing"/>
            </w:pPr>
            <w:r w:rsidRPr="00500BAF">
              <w:t>79,211</w:t>
            </w:r>
          </w:p>
        </w:tc>
        <w:tc>
          <w:tcPr>
            <w:tcW w:w="2126" w:type="dxa"/>
            <w:tcBorders>
              <w:top w:val="nil"/>
              <w:left w:val="single" w:sz="4" w:space="0" w:color="auto"/>
              <w:bottom w:val="nil"/>
              <w:right w:val="single" w:sz="4" w:space="0" w:color="auto"/>
            </w:tcBorders>
            <w:shd w:val="clear" w:color="auto" w:fill="auto"/>
          </w:tcPr>
          <w:p w14:paraId="16CAA48E" w14:textId="77777777" w:rsidR="002760F1" w:rsidRPr="002760F1" w:rsidRDefault="002760F1" w:rsidP="002760F1">
            <w:pPr>
              <w:pStyle w:val="NoSpacing"/>
            </w:pPr>
          </w:p>
        </w:tc>
      </w:tr>
      <w:tr w:rsidR="002760F1" w:rsidRPr="002760F1" w14:paraId="4D8BD4D8" w14:textId="77777777" w:rsidTr="00296C1A">
        <w:trPr>
          <w:tblHeader/>
        </w:trPr>
        <w:tc>
          <w:tcPr>
            <w:tcW w:w="2064" w:type="dxa"/>
            <w:tcBorders>
              <w:bottom w:val="single" w:sz="4" w:space="0" w:color="auto"/>
            </w:tcBorders>
            <w:shd w:val="clear" w:color="auto" w:fill="auto"/>
          </w:tcPr>
          <w:p w14:paraId="633DA126" w14:textId="77777777" w:rsidR="002760F1" w:rsidRDefault="002760F1" w:rsidP="002760F1">
            <w:pPr>
              <w:pStyle w:val="NoSpacing"/>
            </w:pPr>
          </w:p>
        </w:tc>
        <w:tc>
          <w:tcPr>
            <w:tcW w:w="1232" w:type="dxa"/>
            <w:shd w:val="clear" w:color="auto" w:fill="auto"/>
          </w:tcPr>
          <w:p w14:paraId="4E5C0AF7" w14:textId="4139931F" w:rsidR="002760F1" w:rsidRPr="001D7B09" w:rsidRDefault="002760F1" w:rsidP="002760F1">
            <w:pPr>
              <w:pStyle w:val="NoSpacing"/>
            </w:pPr>
            <w:r w:rsidRPr="00D96015">
              <w:t>T</w:t>
            </w:r>
            <w:r>
              <w:t>otal</w:t>
            </w:r>
          </w:p>
        </w:tc>
        <w:tc>
          <w:tcPr>
            <w:tcW w:w="1682" w:type="dxa"/>
            <w:shd w:val="clear" w:color="auto" w:fill="auto"/>
          </w:tcPr>
          <w:p w14:paraId="3C1D8F9B" w14:textId="58CDEBF2" w:rsidR="002760F1" w:rsidRPr="001D7B09" w:rsidRDefault="002760F1" w:rsidP="002760F1">
            <w:pPr>
              <w:pStyle w:val="NoSpacing"/>
            </w:pPr>
            <w:r w:rsidRPr="00D96015">
              <w:t>247,380</w:t>
            </w:r>
          </w:p>
        </w:tc>
        <w:tc>
          <w:tcPr>
            <w:tcW w:w="2126" w:type="dxa"/>
            <w:tcBorders>
              <w:right w:val="single" w:sz="4" w:space="0" w:color="auto"/>
            </w:tcBorders>
            <w:shd w:val="clear" w:color="auto" w:fill="auto"/>
          </w:tcPr>
          <w:p w14:paraId="551AFA09" w14:textId="6EE17B07" w:rsidR="002760F1" w:rsidRPr="001D7B09" w:rsidRDefault="002760F1" w:rsidP="002760F1">
            <w:pPr>
              <w:pStyle w:val="NoSpacing"/>
            </w:pPr>
            <w:r w:rsidRPr="00D96015">
              <w:t>174,401</w:t>
            </w:r>
          </w:p>
        </w:tc>
        <w:tc>
          <w:tcPr>
            <w:tcW w:w="2126" w:type="dxa"/>
            <w:tcBorders>
              <w:top w:val="nil"/>
              <w:left w:val="single" w:sz="4" w:space="0" w:color="auto"/>
              <w:bottom w:val="single" w:sz="4" w:space="0" w:color="auto"/>
              <w:right w:val="single" w:sz="4" w:space="0" w:color="auto"/>
            </w:tcBorders>
            <w:shd w:val="clear" w:color="auto" w:fill="auto"/>
          </w:tcPr>
          <w:p w14:paraId="06F7051D" w14:textId="77777777" w:rsidR="002760F1" w:rsidRPr="002760F1" w:rsidRDefault="002760F1" w:rsidP="002760F1">
            <w:pPr>
              <w:pStyle w:val="NoSpacing"/>
            </w:pPr>
          </w:p>
        </w:tc>
      </w:tr>
      <w:tr w:rsidR="002760F1" w:rsidRPr="002760F1" w14:paraId="79F6F4DA" w14:textId="77777777" w:rsidTr="00296C1A">
        <w:trPr>
          <w:tblHeader/>
        </w:trPr>
        <w:tc>
          <w:tcPr>
            <w:tcW w:w="2064" w:type="dxa"/>
            <w:tcBorders>
              <w:bottom w:val="single" w:sz="4" w:space="0" w:color="auto"/>
            </w:tcBorders>
            <w:shd w:val="clear" w:color="auto" w:fill="auto"/>
          </w:tcPr>
          <w:p w14:paraId="3C7239F0" w14:textId="03C5C18C" w:rsidR="002760F1" w:rsidRDefault="00296C1A" w:rsidP="002760F1">
            <w:pPr>
              <w:pStyle w:val="NoSpacing"/>
            </w:pPr>
            <w:r>
              <w:t>Solomon Islands MHMS</w:t>
            </w:r>
          </w:p>
        </w:tc>
        <w:tc>
          <w:tcPr>
            <w:tcW w:w="1232" w:type="dxa"/>
            <w:shd w:val="clear" w:color="auto" w:fill="auto"/>
          </w:tcPr>
          <w:p w14:paraId="0525820F" w14:textId="09F17C85" w:rsidR="002760F1" w:rsidRPr="00D96015" w:rsidRDefault="002760F1" w:rsidP="002760F1">
            <w:pPr>
              <w:pStyle w:val="NoSpacing"/>
            </w:pPr>
            <w:r>
              <w:t>2018</w:t>
            </w:r>
          </w:p>
        </w:tc>
        <w:tc>
          <w:tcPr>
            <w:tcW w:w="1682" w:type="dxa"/>
            <w:shd w:val="clear" w:color="auto" w:fill="auto"/>
          </w:tcPr>
          <w:p w14:paraId="0AFB3313" w14:textId="7F755494" w:rsidR="002760F1" w:rsidRPr="00D96015" w:rsidRDefault="002760F1" w:rsidP="002760F1">
            <w:pPr>
              <w:pStyle w:val="NoSpacing"/>
            </w:pPr>
            <w:r>
              <w:t>-</w:t>
            </w:r>
          </w:p>
        </w:tc>
        <w:tc>
          <w:tcPr>
            <w:tcW w:w="2126" w:type="dxa"/>
            <w:tcBorders>
              <w:right w:val="single" w:sz="4" w:space="0" w:color="auto"/>
            </w:tcBorders>
            <w:shd w:val="clear" w:color="auto" w:fill="auto"/>
          </w:tcPr>
          <w:p w14:paraId="61E3072A" w14:textId="533A9D23" w:rsidR="002760F1" w:rsidRPr="00D96015" w:rsidRDefault="002760F1" w:rsidP="002760F1">
            <w:pPr>
              <w:pStyle w:val="NoSpacing"/>
            </w:pPr>
            <w:r>
              <w:t>-</w:t>
            </w:r>
          </w:p>
        </w:tc>
        <w:tc>
          <w:tcPr>
            <w:tcW w:w="2126" w:type="dxa"/>
            <w:tcBorders>
              <w:top w:val="single" w:sz="4" w:space="0" w:color="auto"/>
              <w:left w:val="single" w:sz="4" w:space="0" w:color="auto"/>
              <w:bottom w:val="nil"/>
              <w:right w:val="single" w:sz="4" w:space="0" w:color="auto"/>
            </w:tcBorders>
            <w:shd w:val="clear" w:color="auto" w:fill="auto"/>
          </w:tcPr>
          <w:p w14:paraId="5D96B6FD" w14:textId="686A70C0" w:rsidR="002760F1" w:rsidRPr="002760F1" w:rsidRDefault="00296C1A" w:rsidP="002760F1">
            <w:pPr>
              <w:pStyle w:val="NoSpacing"/>
            </w:pPr>
            <w:r>
              <w:t>4%</w:t>
            </w:r>
          </w:p>
        </w:tc>
      </w:tr>
      <w:tr w:rsidR="002760F1" w:rsidRPr="002760F1" w14:paraId="1BF5E082" w14:textId="77777777" w:rsidTr="00296C1A">
        <w:trPr>
          <w:tblHeader/>
        </w:trPr>
        <w:tc>
          <w:tcPr>
            <w:tcW w:w="2064" w:type="dxa"/>
            <w:tcBorders>
              <w:bottom w:val="single" w:sz="4" w:space="0" w:color="auto"/>
            </w:tcBorders>
            <w:shd w:val="clear" w:color="auto" w:fill="auto"/>
          </w:tcPr>
          <w:p w14:paraId="156A32A0" w14:textId="77777777" w:rsidR="002760F1" w:rsidRDefault="002760F1" w:rsidP="002760F1">
            <w:pPr>
              <w:pStyle w:val="NoSpacing"/>
            </w:pPr>
          </w:p>
        </w:tc>
        <w:tc>
          <w:tcPr>
            <w:tcW w:w="1232" w:type="dxa"/>
            <w:shd w:val="clear" w:color="auto" w:fill="auto"/>
          </w:tcPr>
          <w:p w14:paraId="2624DE59" w14:textId="7C7CD1C9" w:rsidR="002760F1" w:rsidRPr="00D96015" w:rsidRDefault="002760F1" w:rsidP="002760F1">
            <w:pPr>
              <w:pStyle w:val="NoSpacing"/>
            </w:pPr>
            <w:r>
              <w:t>2019</w:t>
            </w:r>
          </w:p>
        </w:tc>
        <w:tc>
          <w:tcPr>
            <w:tcW w:w="1682" w:type="dxa"/>
            <w:shd w:val="clear" w:color="auto" w:fill="auto"/>
          </w:tcPr>
          <w:p w14:paraId="6F72B4FA" w14:textId="536B3381" w:rsidR="002760F1" w:rsidRPr="00D96015" w:rsidRDefault="002760F1" w:rsidP="002760F1">
            <w:pPr>
              <w:pStyle w:val="NoSpacing"/>
            </w:pPr>
            <w:r>
              <w:t>25,050</w:t>
            </w:r>
          </w:p>
        </w:tc>
        <w:tc>
          <w:tcPr>
            <w:tcW w:w="2126" w:type="dxa"/>
            <w:tcBorders>
              <w:right w:val="single" w:sz="4" w:space="0" w:color="auto"/>
            </w:tcBorders>
            <w:shd w:val="clear" w:color="auto" w:fill="auto"/>
          </w:tcPr>
          <w:p w14:paraId="1E95C0F3" w14:textId="52A3C237" w:rsidR="002760F1" w:rsidRPr="00D96015" w:rsidRDefault="002760F1" w:rsidP="002760F1">
            <w:pPr>
              <w:pStyle w:val="NoSpacing"/>
            </w:pPr>
            <w:r>
              <w:t>-</w:t>
            </w:r>
          </w:p>
        </w:tc>
        <w:tc>
          <w:tcPr>
            <w:tcW w:w="2126" w:type="dxa"/>
            <w:tcBorders>
              <w:top w:val="nil"/>
              <w:left w:val="single" w:sz="4" w:space="0" w:color="auto"/>
              <w:bottom w:val="nil"/>
              <w:right w:val="single" w:sz="4" w:space="0" w:color="auto"/>
            </w:tcBorders>
            <w:shd w:val="clear" w:color="auto" w:fill="auto"/>
          </w:tcPr>
          <w:p w14:paraId="7217F3EE" w14:textId="77777777" w:rsidR="002760F1" w:rsidRPr="002760F1" w:rsidRDefault="002760F1" w:rsidP="002760F1">
            <w:pPr>
              <w:pStyle w:val="NoSpacing"/>
            </w:pPr>
          </w:p>
        </w:tc>
      </w:tr>
      <w:tr w:rsidR="00296C1A" w:rsidRPr="002760F1" w14:paraId="52CCE44A" w14:textId="77777777" w:rsidTr="00296C1A">
        <w:trPr>
          <w:tblHeader/>
        </w:trPr>
        <w:tc>
          <w:tcPr>
            <w:tcW w:w="2064" w:type="dxa"/>
            <w:tcBorders>
              <w:bottom w:val="single" w:sz="4" w:space="0" w:color="auto"/>
            </w:tcBorders>
            <w:shd w:val="clear" w:color="auto" w:fill="auto"/>
          </w:tcPr>
          <w:p w14:paraId="66816C23" w14:textId="77777777" w:rsidR="00296C1A" w:rsidRDefault="00296C1A" w:rsidP="00296C1A">
            <w:pPr>
              <w:pStyle w:val="NoSpacing"/>
            </w:pPr>
          </w:p>
        </w:tc>
        <w:tc>
          <w:tcPr>
            <w:tcW w:w="1232" w:type="dxa"/>
            <w:shd w:val="clear" w:color="auto" w:fill="auto"/>
          </w:tcPr>
          <w:p w14:paraId="0E1E7B12" w14:textId="38258BAA" w:rsidR="00296C1A" w:rsidRDefault="00296C1A" w:rsidP="00296C1A">
            <w:pPr>
              <w:pStyle w:val="NoSpacing"/>
            </w:pPr>
            <w:r>
              <w:t>2020</w:t>
            </w:r>
          </w:p>
        </w:tc>
        <w:tc>
          <w:tcPr>
            <w:tcW w:w="1682" w:type="dxa"/>
            <w:shd w:val="clear" w:color="auto" w:fill="auto"/>
          </w:tcPr>
          <w:p w14:paraId="42641AC9" w14:textId="6CE6D31F" w:rsidR="00296C1A" w:rsidRDefault="00296C1A" w:rsidP="00296C1A">
            <w:pPr>
              <w:pStyle w:val="NoSpacing"/>
            </w:pPr>
            <w:r w:rsidRPr="00500BAF">
              <w:t>248,968</w:t>
            </w:r>
          </w:p>
        </w:tc>
        <w:tc>
          <w:tcPr>
            <w:tcW w:w="2126" w:type="dxa"/>
            <w:tcBorders>
              <w:right w:val="single" w:sz="4" w:space="0" w:color="auto"/>
            </w:tcBorders>
            <w:shd w:val="clear" w:color="auto" w:fill="auto"/>
          </w:tcPr>
          <w:p w14:paraId="1564622B" w14:textId="6E3E48CA" w:rsidR="00296C1A" w:rsidRDefault="00296C1A" w:rsidP="00296C1A">
            <w:pPr>
              <w:pStyle w:val="NoSpacing"/>
            </w:pPr>
            <w:r w:rsidRPr="00500BAF">
              <w:t>11,579</w:t>
            </w:r>
          </w:p>
        </w:tc>
        <w:tc>
          <w:tcPr>
            <w:tcW w:w="2126" w:type="dxa"/>
            <w:tcBorders>
              <w:top w:val="nil"/>
              <w:left w:val="single" w:sz="4" w:space="0" w:color="auto"/>
              <w:bottom w:val="nil"/>
              <w:right w:val="single" w:sz="4" w:space="0" w:color="auto"/>
            </w:tcBorders>
            <w:shd w:val="clear" w:color="auto" w:fill="auto"/>
          </w:tcPr>
          <w:p w14:paraId="4716DA98" w14:textId="77777777" w:rsidR="00296C1A" w:rsidRPr="002760F1" w:rsidRDefault="00296C1A" w:rsidP="00296C1A">
            <w:pPr>
              <w:pStyle w:val="NoSpacing"/>
            </w:pPr>
          </w:p>
        </w:tc>
      </w:tr>
      <w:tr w:rsidR="00296C1A" w:rsidRPr="002760F1" w14:paraId="070D107F" w14:textId="77777777" w:rsidTr="00296C1A">
        <w:trPr>
          <w:tblHeader/>
        </w:trPr>
        <w:tc>
          <w:tcPr>
            <w:tcW w:w="2064" w:type="dxa"/>
            <w:tcBorders>
              <w:bottom w:val="single" w:sz="4" w:space="0" w:color="auto"/>
            </w:tcBorders>
            <w:shd w:val="clear" w:color="auto" w:fill="auto"/>
          </w:tcPr>
          <w:p w14:paraId="5CBF783C" w14:textId="77777777" w:rsidR="00296C1A" w:rsidRDefault="00296C1A" w:rsidP="00296C1A">
            <w:pPr>
              <w:pStyle w:val="NoSpacing"/>
            </w:pPr>
          </w:p>
        </w:tc>
        <w:tc>
          <w:tcPr>
            <w:tcW w:w="1232" w:type="dxa"/>
            <w:shd w:val="clear" w:color="auto" w:fill="auto"/>
          </w:tcPr>
          <w:p w14:paraId="38747AF3" w14:textId="0DFC028B" w:rsidR="00296C1A" w:rsidRDefault="00296C1A" w:rsidP="00296C1A">
            <w:pPr>
              <w:pStyle w:val="NoSpacing"/>
            </w:pPr>
            <w:r w:rsidRPr="00D96015">
              <w:t>T</w:t>
            </w:r>
            <w:r>
              <w:t>otal</w:t>
            </w:r>
          </w:p>
        </w:tc>
        <w:tc>
          <w:tcPr>
            <w:tcW w:w="1682" w:type="dxa"/>
            <w:shd w:val="clear" w:color="auto" w:fill="auto"/>
          </w:tcPr>
          <w:p w14:paraId="679D9E5B" w14:textId="17FA4054" w:rsidR="00296C1A" w:rsidRDefault="00296C1A" w:rsidP="00296C1A">
            <w:pPr>
              <w:pStyle w:val="NoSpacing"/>
            </w:pPr>
            <w:r w:rsidRPr="00D96015">
              <w:t>274,018</w:t>
            </w:r>
          </w:p>
        </w:tc>
        <w:tc>
          <w:tcPr>
            <w:tcW w:w="2126" w:type="dxa"/>
            <w:tcBorders>
              <w:right w:val="single" w:sz="4" w:space="0" w:color="auto"/>
            </w:tcBorders>
            <w:shd w:val="clear" w:color="auto" w:fill="auto"/>
          </w:tcPr>
          <w:p w14:paraId="24D10059" w14:textId="768281F9" w:rsidR="00296C1A" w:rsidRDefault="00296C1A" w:rsidP="00296C1A">
            <w:pPr>
              <w:pStyle w:val="NoSpacing"/>
            </w:pPr>
            <w:r w:rsidRPr="00D96015">
              <w:t>11,579</w:t>
            </w:r>
          </w:p>
        </w:tc>
        <w:tc>
          <w:tcPr>
            <w:tcW w:w="2126" w:type="dxa"/>
            <w:tcBorders>
              <w:top w:val="nil"/>
              <w:left w:val="single" w:sz="4" w:space="0" w:color="auto"/>
              <w:bottom w:val="single" w:sz="4" w:space="0" w:color="auto"/>
              <w:right w:val="single" w:sz="4" w:space="0" w:color="auto"/>
            </w:tcBorders>
            <w:shd w:val="clear" w:color="auto" w:fill="auto"/>
          </w:tcPr>
          <w:p w14:paraId="01071068" w14:textId="77777777" w:rsidR="00296C1A" w:rsidRPr="002760F1" w:rsidRDefault="00296C1A" w:rsidP="00296C1A">
            <w:pPr>
              <w:pStyle w:val="NoSpacing"/>
            </w:pPr>
          </w:p>
        </w:tc>
      </w:tr>
      <w:tr w:rsidR="00296C1A" w:rsidRPr="002760F1" w14:paraId="6A5B1F09" w14:textId="77777777" w:rsidTr="00296C1A">
        <w:trPr>
          <w:tblHeader/>
        </w:trPr>
        <w:tc>
          <w:tcPr>
            <w:tcW w:w="2064" w:type="dxa"/>
            <w:tcBorders>
              <w:bottom w:val="single" w:sz="4" w:space="0" w:color="auto"/>
            </w:tcBorders>
            <w:shd w:val="clear" w:color="auto" w:fill="auto"/>
          </w:tcPr>
          <w:p w14:paraId="19232248" w14:textId="745954E9" w:rsidR="00296C1A" w:rsidRDefault="00296C1A" w:rsidP="00296C1A">
            <w:pPr>
              <w:pStyle w:val="NoSpacing"/>
            </w:pPr>
            <w:r>
              <w:t>Samoa MOH</w:t>
            </w:r>
          </w:p>
        </w:tc>
        <w:tc>
          <w:tcPr>
            <w:tcW w:w="1232" w:type="dxa"/>
            <w:shd w:val="clear" w:color="auto" w:fill="auto"/>
          </w:tcPr>
          <w:p w14:paraId="73E6DE5F" w14:textId="5164C055" w:rsidR="00296C1A" w:rsidRPr="00D96015" w:rsidRDefault="00296C1A" w:rsidP="00296C1A">
            <w:pPr>
              <w:pStyle w:val="NoSpacing"/>
            </w:pPr>
            <w:r w:rsidRPr="00500BAF">
              <w:t>2018</w:t>
            </w:r>
          </w:p>
        </w:tc>
        <w:tc>
          <w:tcPr>
            <w:tcW w:w="1682" w:type="dxa"/>
            <w:shd w:val="clear" w:color="auto" w:fill="auto"/>
          </w:tcPr>
          <w:p w14:paraId="7AEDE7E1" w14:textId="21336F39" w:rsidR="00296C1A" w:rsidRPr="00D96015" w:rsidRDefault="00296C1A" w:rsidP="00296C1A">
            <w:pPr>
              <w:pStyle w:val="NoSpacing"/>
            </w:pPr>
            <w:r w:rsidRPr="00500BAF">
              <w:t>-</w:t>
            </w:r>
          </w:p>
        </w:tc>
        <w:tc>
          <w:tcPr>
            <w:tcW w:w="2126" w:type="dxa"/>
            <w:tcBorders>
              <w:right w:val="single" w:sz="4" w:space="0" w:color="auto"/>
            </w:tcBorders>
            <w:shd w:val="clear" w:color="auto" w:fill="auto"/>
          </w:tcPr>
          <w:p w14:paraId="13E5AF3B" w14:textId="77777777" w:rsidR="00296C1A" w:rsidRPr="00D96015" w:rsidRDefault="00296C1A" w:rsidP="00296C1A">
            <w:pPr>
              <w:pStyle w:val="NoSpacing"/>
            </w:pPr>
          </w:p>
        </w:tc>
        <w:tc>
          <w:tcPr>
            <w:tcW w:w="2126" w:type="dxa"/>
            <w:tcBorders>
              <w:top w:val="single" w:sz="4" w:space="0" w:color="auto"/>
              <w:left w:val="single" w:sz="4" w:space="0" w:color="auto"/>
              <w:bottom w:val="nil"/>
              <w:right w:val="single" w:sz="4" w:space="0" w:color="auto"/>
            </w:tcBorders>
            <w:shd w:val="clear" w:color="auto" w:fill="auto"/>
          </w:tcPr>
          <w:p w14:paraId="6D803416" w14:textId="68101F7F" w:rsidR="00296C1A" w:rsidRPr="002760F1" w:rsidRDefault="00296C1A" w:rsidP="00296C1A">
            <w:pPr>
              <w:pStyle w:val="NoSpacing"/>
            </w:pPr>
            <w:r>
              <w:t>47%</w:t>
            </w:r>
          </w:p>
        </w:tc>
      </w:tr>
      <w:tr w:rsidR="00296C1A" w:rsidRPr="002760F1" w14:paraId="14E1EE44" w14:textId="77777777" w:rsidTr="00296C1A">
        <w:trPr>
          <w:tblHeader/>
        </w:trPr>
        <w:tc>
          <w:tcPr>
            <w:tcW w:w="2064" w:type="dxa"/>
            <w:tcBorders>
              <w:bottom w:val="single" w:sz="4" w:space="0" w:color="auto"/>
            </w:tcBorders>
            <w:shd w:val="clear" w:color="auto" w:fill="auto"/>
          </w:tcPr>
          <w:p w14:paraId="2006A8A6" w14:textId="77777777" w:rsidR="00296C1A" w:rsidRDefault="00296C1A" w:rsidP="00296C1A">
            <w:pPr>
              <w:pStyle w:val="NoSpacing"/>
            </w:pPr>
          </w:p>
        </w:tc>
        <w:tc>
          <w:tcPr>
            <w:tcW w:w="1232" w:type="dxa"/>
            <w:shd w:val="clear" w:color="auto" w:fill="auto"/>
          </w:tcPr>
          <w:p w14:paraId="3A80AF90" w14:textId="13138B55" w:rsidR="00296C1A" w:rsidRPr="00500BAF" w:rsidRDefault="00296C1A" w:rsidP="00296C1A">
            <w:pPr>
              <w:pStyle w:val="NoSpacing"/>
            </w:pPr>
            <w:r w:rsidRPr="00500BAF">
              <w:t>2019</w:t>
            </w:r>
          </w:p>
        </w:tc>
        <w:tc>
          <w:tcPr>
            <w:tcW w:w="1682" w:type="dxa"/>
            <w:shd w:val="clear" w:color="auto" w:fill="auto"/>
          </w:tcPr>
          <w:p w14:paraId="75DBF72F" w14:textId="6FD4FC77" w:rsidR="00296C1A" w:rsidRPr="00500BAF" w:rsidRDefault="00296C1A" w:rsidP="00296C1A">
            <w:pPr>
              <w:pStyle w:val="NoSpacing"/>
            </w:pPr>
            <w:r>
              <w:t xml:space="preserve">72,111 </w:t>
            </w:r>
          </w:p>
        </w:tc>
        <w:tc>
          <w:tcPr>
            <w:tcW w:w="2126" w:type="dxa"/>
            <w:tcBorders>
              <w:right w:val="single" w:sz="4" w:space="0" w:color="auto"/>
            </w:tcBorders>
            <w:shd w:val="clear" w:color="auto" w:fill="auto"/>
          </w:tcPr>
          <w:p w14:paraId="12A6B80B" w14:textId="58E65119" w:rsidR="00296C1A" w:rsidRPr="00D96015" w:rsidRDefault="00296C1A" w:rsidP="00296C1A">
            <w:pPr>
              <w:pStyle w:val="NoSpacing"/>
            </w:pPr>
            <w:r>
              <w:t>15,907</w:t>
            </w:r>
          </w:p>
        </w:tc>
        <w:tc>
          <w:tcPr>
            <w:tcW w:w="2126" w:type="dxa"/>
            <w:tcBorders>
              <w:top w:val="nil"/>
              <w:left w:val="single" w:sz="4" w:space="0" w:color="auto"/>
              <w:bottom w:val="nil"/>
              <w:right w:val="single" w:sz="4" w:space="0" w:color="auto"/>
            </w:tcBorders>
            <w:shd w:val="clear" w:color="auto" w:fill="auto"/>
          </w:tcPr>
          <w:p w14:paraId="20EF3C1D" w14:textId="77777777" w:rsidR="00296C1A" w:rsidRDefault="00296C1A" w:rsidP="00296C1A">
            <w:pPr>
              <w:pStyle w:val="NoSpacing"/>
            </w:pPr>
          </w:p>
        </w:tc>
      </w:tr>
      <w:tr w:rsidR="00296C1A" w:rsidRPr="002760F1" w14:paraId="4ACAAC03" w14:textId="77777777" w:rsidTr="00296C1A">
        <w:trPr>
          <w:tblHeader/>
        </w:trPr>
        <w:tc>
          <w:tcPr>
            <w:tcW w:w="2064" w:type="dxa"/>
            <w:tcBorders>
              <w:bottom w:val="single" w:sz="4" w:space="0" w:color="auto"/>
            </w:tcBorders>
            <w:shd w:val="clear" w:color="auto" w:fill="auto"/>
          </w:tcPr>
          <w:p w14:paraId="1E057E6A" w14:textId="77777777" w:rsidR="00296C1A" w:rsidRDefault="00296C1A" w:rsidP="00296C1A">
            <w:pPr>
              <w:pStyle w:val="NoSpacing"/>
            </w:pPr>
          </w:p>
        </w:tc>
        <w:tc>
          <w:tcPr>
            <w:tcW w:w="1232" w:type="dxa"/>
            <w:shd w:val="clear" w:color="auto" w:fill="auto"/>
          </w:tcPr>
          <w:p w14:paraId="53CF70D0" w14:textId="76A79F7F" w:rsidR="00296C1A" w:rsidRPr="00500BAF" w:rsidRDefault="00296C1A" w:rsidP="00296C1A">
            <w:pPr>
              <w:pStyle w:val="NoSpacing"/>
            </w:pPr>
            <w:r w:rsidRPr="00500BAF">
              <w:t>2020</w:t>
            </w:r>
          </w:p>
        </w:tc>
        <w:tc>
          <w:tcPr>
            <w:tcW w:w="1682" w:type="dxa"/>
            <w:shd w:val="clear" w:color="auto" w:fill="auto"/>
          </w:tcPr>
          <w:p w14:paraId="5827C044" w14:textId="179ECF3D" w:rsidR="00296C1A" w:rsidRPr="00500BAF" w:rsidRDefault="00296C1A" w:rsidP="00296C1A">
            <w:pPr>
              <w:pStyle w:val="NoSpacing"/>
            </w:pPr>
            <w:r>
              <w:t xml:space="preserve">36,823 </w:t>
            </w:r>
          </w:p>
        </w:tc>
        <w:tc>
          <w:tcPr>
            <w:tcW w:w="2126" w:type="dxa"/>
            <w:tcBorders>
              <w:right w:val="single" w:sz="4" w:space="0" w:color="auto"/>
            </w:tcBorders>
            <w:shd w:val="clear" w:color="auto" w:fill="auto"/>
          </w:tcPr>
          <w:p w14:paraId="0807CF57" w14:textId="428113A1" w:rsidR="00296C1A" w:rsidRPr="00D96015" w:rsidRDefault="00296C1A" w:rsidP="00296C1A">
            <w:pPr>
              <w:pStyle w:val="NoSpacing"/>
            </w:pPr>
            <w:r>
              <w:t xml:space="preserve">35,756 </w:t>
            </w:r>
          </w:p>
        </w:tc>
        <w:tc>
          <w:tcPr>
            <w:tcW w:w="2126" w:type="dxa"/>
            <w:tcBorders>
              <w:top w:val="nil"/>
              <w:left w:val="single" w:sz="4" w:space="0" w:color="auto"/>
              <w:bottom w:val="nil"/>
              <w:right w:val="single" w:sz="4" w:space="0" w:color="auto"/>
            </w:tcBorders>
            <w:shd w:val="clear" w:color="auto" w:fill="auto"/>
          </w:tcPr>
          <w:p w14:paraId="2EA9FFE4" w14:textId="77777777" w:rsidR="00296C1A" w:rsidRDefault="00296C1A" w:rsidP="00296C1A">
            <w:pPr>
              <w:pStyle w:val="NoSpacing"/>
            </w:pPr>
          </w:p>
        </w:tc>
      </w:tr>
      <w:tr w:rsidR="00296C1A" w:rsidRPr="002760F1" w14:paraId="16D049C8" w14:textId="77777777" w:rsidTr="00296C1A">
        <w:trPr>
          <w:tblHeader/>
        </w:trPr>
        <w:tc>
          <w:tcPr>
            <w:tcW w:w="2064" w:type="dxa"/>
            <w:tcBorders>
              <w:bottom w:val="single" w:sz="4" w:space="0" w:color="auto"/>
            </w:tcBorders>
            <w:shd w:val="clear" w:color="auto" w:fill="auto"/>
          </w:tcPr>
          <w:p w14:paraId="22C6E4E7" w14:textId="77777777" w:rsidR="00296C1A" w:rsidRDefault="00296C1A" w:rsidP="00296C1A">
            <w:pPr>
              <w:pStyle w:val="NoSpacing"/>
            </w:pPr>
          </w:p>
        </w:tc>
        <w:tc>
          <w:tcPr>
            <w:tcW w:w="1232" w:type="dxa"/>
            <w:shd w:val="clear" w:color="auto" w:fill="auto"/>
          </w:tcPr>
          <w:p w14:paraId="43483FEB" w14:textId="189A0F08" w:rsidR="00296C1A" w:rsidRPr="00500BAF" w:rsidRDefault="00296C1A" w:rsidP="00296C1A">
            <w:pPr>
              <w:pStyle w:val="NoSpacing"/>
            </w:pPr>
            <w:r>
              <w:t>Total</w:t>
            </w:r>
          </w:p>
        </w:tc>
        <w:tc>
          <w:tcPr>
            <w:tcW w:w="1682" w:type="dxa"/>
            <w:shd w:val="clear" w:color="auto" w:fill="auto"/>
          </w:tcPr>
          <w:p w14:paraId="45C8F795" w14:textId="5B3B46E6" w:rsidR="00296C1A" w:rsidRDefault="00296C1A" w:rsidP="00296C1A">
            <w:pPr>
              <w:pStyle w:val="NoSpacing"/>
            </w:pPr>
            <w:r>
              <w:t xml:space="preserve">108,934 </w:t>
            </w:r>
          </w:p>
        </w:tc>
        <w:tc>
          <w:tcPr>
            <w:tcW w:w="2126" w:type="dxa"/>
            <w:tcBorders>
              <w:right w:val="single" w:sz="4" w:space="0" w:color="auto"/>
            </w:tcBorders>
            <w:shd w:val="clear" w:color="auto" w:fill="auto"/>
          </w:tcPr>
          <w:p w14:paraId="49CEE778" w14:textId="0C1BB9B4" w:rsidR="00296C1A" w:rsidRDefault="00296C1A" w:rsidP="00296C1A">
            <w:pPr>
              <w:pStyle w:val="NoSpacing"/>
            </w:pPr>
            <w:r>
              <w:t xml:space="preserve">51,663 </w:t>
            </w:r>
          </w:p>
        </w:tc>
        <w:tc>
          <w:tcPr>
            <w:tcW w:w="2126" w:type="dxa"/>
            <w:tcBorders>
              <w:top w:val="nil"/>
              <w:left w:val="single" w:sz="4" w:space="0" w:color="auto"/>
              <w:bottom w:val="single" w:sz="4" w:space="0" w:color="auto"/>
              <w:right w:val="single" w:sz="4" w:space="0" w:color="auto"/>
            </w:tcBorders>
            <w:shd w:val="clear" w:color="auto" w:fill="auto"/>
          </w:tcPr>
          <w:p w14:paraId="2192C65B" w14:textId="77777777" w:rsidR="00296C1A" w:rsidRDefault="00296C1A" w:rsidP="00296C1A">
            <w:pPr>
              <w:pStyle w:val="NoSpacing"/>
            </w:pPr>
          </w:p>
        </w:tc>
      </w:tr>
      <w:tr w:rsidR="00296C1A" w:rsidRPr="002760F1" w14:paraId="0039CC09" w14:textId="77777777" w:rsidTr="00296C1A">
        <w:trPr>
          <w:tblHeader/>
        </w:trPr>
        <w:tc>
          <w:tcPr>
            <w:tcW w:w="2064" w:type="dxa"/>
            <w:tcBorders>
              <w:bottom w:val="single" w:sz="4" w:space="0" w:color="auto"/>
            </w:tcBorders>
            <w:shd w:val="clear" w:color="auto" w:fill="auto"/>
          </w:tcPr>
          <w:p w14:paraId="11DCD6CA" w14:textId="43205989" w:rsidR="00296C1A" w:rsidRDefault="00296C1A" w:rsidP="00296C1A">
            <w:pPr>
              <w:pStyle w:val="NoSpacing"/>
            </w:pPr>
            <w:r>
              <w:t>Tonga MOH</w:t>
            </w:r>
          </w:p>
        </w:tc>
        <w:tc>
          <w:tcPr>
            <w:tcW w:w="1232" w:type="dxa"/>
            <w:shd w:val="clear" w:color="auto" w:fill="auto"/>
          </w:tcPr>
          <w:p w14:paraId="6028C9E4" w14:textId="4AB41FA2" w:rsidR="00296C1A" w:rsidRDefault="00296C1A" w:rsidP="00296C1A">
            <w:pPr>
              <w:pStyle w:val="NoSpacing"/>
            </w:pPr>
            <w:r>
              <w:t>2018</w:t>
            </w:r>
          </w:p>
        </w:tc>
        <w:tc>
          <w:tcPr>
            <w:tcW w:w="1682" w:type="dxa"/>
            <w:shd w:val="clear" w:color="auto" w:fill="auto"/>
          </w:tcPr>
          <w:p w14:paraId="17D606BF" w14:textId="576621E2" w:rsidR="00296C1A" w:rsidRDefault="00296C1A" w:rsidP="00296C1A">
            <w:pPr>
              <w:pStyle w:val="NoSpacing"/>
            </w:pPr>
            <w:r>
              <w:t>-</w:t>
            </w:r>
          </w:p>
        </w:tc>
        <w:tc>
          <w:tcPr>
            <w:tcW w:w="2126" w:type="dxa"/>
            <w:tcBorders>
              <w:right w:val="single" w:sz="4" w:space="0" w:color="auto"/>
            </w:tcBorders>
            <w:shd w:val="clear" w:color="auto" w:fill="auto"/>
          </w:tcPr>
          <w:p w14:paraId="08CD9BD7" w14:textId="042EBA57" w:rsidR="00296C1A" w:rsidRDefault="00296C1A" w:rsidP="00296C1A">
            <w:pPr>
              <w:pStyle w:val="NoSpacing"/>
            </w:pPr>
            <w:r>
              <w:t>-</w:t>
            </w:r>
          </w:p>
        </w:tc>
        <w:tc>
          <w:tcPr>
            <w:tcW w:w="2126" w:type="dxa"/>
            <w:tcBorders>
              <w:top w:val="single" w:sz="4" w:space="0" w:color="auto"/>
              <w:left w:val="single" w:sz="4" w:space="0" w:color="auto"/>
              <w:bottom w:val="nil"/>
              <w:right w:val="single" w:sz="4" w:space="0" w:color="auto"/>
            </w:tcBorders>
            <w:shd w:val="clear" w:color="auto" w:fill="auto"/>
          </w:tcPr>
          <w:p w14:paraId="52E04166" w14:textId="3F982591" w:rsidR="00296C1A" w:rsidRDefault="00296C1A" w:rsidP="00296C1A">
            <w:pPr>
              <w:pStyle w:val="NoSpacing"/>
            </w:pPr>
            <w:r>
              <w:t>59%</w:t>
            </w:r>
          </w:p>
        </w:tc>
      </w:tr>
      <w:tr w:rsidR="00296C1A" w:rsidRPr="002760F1" w14:paraId="1A3CAC07" w14:textId="77777777" w:rsidTr="00296C1A">
        <w:trPr>
          <w:tblHeader/>
        </w:trPr>
        <w:tc>
          <w:tcPr>
            <w:tcW w:w="2064" w:type="dxa"/>
            <w:tcBorders>
              <w:bottom w:val="single" w:sz="4" w:space="0" w:color="auto"/>
            </w:tcBorders>
            <w:shd w:val="clear" w:color="auto" w:fill="auto"/>
          </w:tcPr>
          <w:p w14:paraId="32718EE7" w14:textId="77777777" w:rsidR="00296C1A" w:rsidRDefault="00296C1A" w:rsidP="00296C1A">
            <w:pPr>
              <w:pStyle w:val="NoSpacing"/>
            </w:pPr>
          </w:p>
        </w:tc>
        <w:tc>
          <w:tcPr>
            <w:tcW w:w="1232" w:type="dxa"/>
            <w:shd w:val="clear" w:color="auto" w:fill="auto"/>
          </w:tcPr>
          <w:p w14:paraId="498406A3" w14:textId="6D9625A4" w:rsidR="00296C1A" w:rsidRDefault="00296C1A" w:rsidP="00296C1A">
            <w:pPr>
              <w:pStyle w:val="NoSpacing"/>
            </w:pPr>
            <w:r>
              <w:t>2019</w:t>
            </w:r>
          </w:p>
        </w:tc>
        <w:tc>
          <w:tcPr>
            <w:tcW w:w="1682" w:type="dxa"/>
            <w:shd w:val="clear" w:color="auto" w:fill="auto"/>
          </w:tcPr>
          <w:p w14:paraId="68FF896F" w14:textId="0509B265" w:rsidR="00296C1A" w:rsidRDefault="00296C1A" w:rsidP="00296C1A">
            <w:pPr>
              <w:pStyle w:val="NoSpacing"/>
            </w:pPr>
            <w:r w:rsidRPr="00500BAF">
              <w:t>336,926</w:t>
            </w:r>
          </w:p>
        </w:tc>
        <w:tc>
          <w:tcPr>
            <w:tcW w:w="2126" w:type="dxa"/>
            <w:tcBorders>
              <w:right w:val="single" w:sz="4" w:space="0" w:color="auto"/>
            </w:tcBorders>
            <w:shd w:val="clear" w:color="auto" w:fill="auto"/>
          </w:tcPr>
          <w:p w14:paraId="2E484895" w14:textId="600D88B5" w:rsidR="00296C1A" w:rsidRDefault="00296C1A" w:rsidP="00296C1A">
            <w:pPr>
              <w:pStyle w:val="NoSpacing"/>
            </w:pPr>
            <w:r w:rsidRPr="00500BAF">
              <w:t>212,042</w:t>
            </w:r>
          </w:p>
        </w:tc>
        <w:tc>
          <w:tcPr>
            <w:tcW w:w="2126" w:type="dxa"/>
            <w:tcBorders>
              <w:top w:val="nil"/>
              <w:left w:val="single" w:sz="4" w:space="0" w:color="auto"/>
              <w:bottom w:val="nil"/>
              <w:right w:val="single" w:sz="4" w:space="0" w:color="auto"/>
            </w:tcBorders>
            <w:shd w:val="clear" w:color="auto" w:fill="auto"/>
          </w:tcPr>
          <w:p w14:paraId="26154D21" w14:textId="77777777" w:rsidR="00296C1A" w:rsidRDefault="00296C1A" w:rsidP="00296C1A">
            <w:pPr>
              <w:pStyle w:val="NoSpacing"/>
            </w:pPr>
          </w:p>
        </w:tc>
      </w:tr>
      <w:tr w:rsidR="00296C1A" w:rsidRPr="002760F1" w14:paraId="417EDE20" w14:textId="77777777" w:rsidTr="00296C1A">
        <w:trPr>
          <w:tblHeader/>
        </w:trPr>
        <w:tc>
          <w:tcPr>
            <w:tcW w:w="2064" w:type="dxa"/>
            <w:tcBorders>
              <w:bottom w:val="single" w:sz="4" w:space="0" w:color="auto"/>
            </w:tcBorders>
            <w:shd w:val="clear" w:color="auto" w:fill="auto"/>
          </w:tcPr>
          <w:p w14:paraId="29FE0DD3" w14:textId="77777777" w:rsidR="00296C1A" w:rsidRDefault="00296C1A" w:rsidP="00296C1A">
            <w:pPr>
              <w:pStyle w:val="NoSpacing"/>
            </w:pPr>
          </w:p>
        </w:tc>
        <w:tc>
          <w:tcPr>
            <w:tcW w:w="1232" w:type="dxa"/>
            <w:shd w:val="clear" w:color="auto" w:fill="auto"/>
          </w:tcPr>
          <w:p w14:paraId="12652941" w14:textId="313AF6A5" w:rsidR="00296C1A" w:rsidRDefault="00296C1A" w:rsidP="00296C1A">
            <w:pPr>
              <w:pStyle w:val="NoSpacing"/>
            </w:pPr>
            <w:r>
              <w:t>2020</w:t>
            </w:r>
          </w:p>
        </w:tc>
        <w:tc>
          <w:tcPr>
            <w:tcW w:w="1682" w:type="dxa"/>
            <w:shd w:val="clear" w:color="auto" w:fill="auto"/>
          </w:tcPr>
          <w:p w14:paraId="4DEC4EAC" w14:textId="0242748E" w:rsidR="00296C1A" w:rsidRDefault="00296C1A" w:rsidP="00296C1A">
            <w:pPr>
              <w:pStyle w:val="NoSpacing"/>
            </w:pPr>
            <w:r w:rsidRPr="00500BAF">
              <w:t>353,003</w:t>
            </w:r>
          </w:p>
        </w:tc>
        <w:tc>
          <w:tcPr>
            <w:tcW w:w="2126" w:type="dxa"/>
            <w:tcBorders>
              <w:right w:val="single" w:sz="4" w:space="0" w:color="auto"/>
            </w:tcBorders>
            <w:shd w:val="clear" w:color="auto" w:fill="auto"/>
          </w:tcPr>
          <w:p w14:paraId="7D92EED4" w14:textId="4A7E152C" w:rsidR="00296C1A" w:rsidRDefault="00296C1A" w:rsidP="00296C1A">
            <w:pPr>
              <w:pStyle w:val="NoSpacing"/>
            </w:pPr>
            <w:r w:rsidRPr="00500BAF">
              <w:t>196,735</w:t>
            </w:r>
          </w:p>
        </w:tc>
        <w:tc>
          <w:tcPr>
            <w:tcW w:w="2126" w:type="dxa"/>
            <w:tcBorders>
              <w:top w:val="nil"/>
              <w:left w:val="single" w:sz="4" w:space="0" w:color="auto"/>
              <w:bottom w:val="nil"/>
              <w:right w:val="single" w:sz="4" w:space="0" w:color="auto"/>
            </w:tcBorders>
            <w:shd w:val="clear" w:color="auto" w:fill="auto"/>
          </w:tcPr>
          <w:p w14:paraId="08E12CC3" w14:textId="77777777" w:rsidR="00296C1A" w:rsidRDefault="00296C1A" w:rsidP="00296C1A">
            <w:pPr>
              <w:pStyle w:val="NoSpacing"/>
            </w:pPr>
          </w:p>
        </w:tc>
      </w:tr>
      <w:tr w:rsidR="00296C1A" w:rsidRPr="002760F1" w14:paraId="2731E13D" w14:textId="77777777" w:rsidTr="001E222B">
        <w:trPr>
          <w:tblHeader/>
        </w:trPr>
        <w:tc>
          <w:tcPr>
            <w:tcW w:w="2064" w:type="dxa"/>
            <w:tcBorders>
              <w:bottom w:val="single" w:sz="4" w:space="0" w:color="auto"/>
            </w:tcBorders>
            <w:shd w:val="clear" w:color="auto" w:fill="auto"/>
          </w:tcPr>
          <w:p w14:paraId="0A037D43" w14:textId="77777777" w:rsidR="00296C1A" w:rsidRDefault="00296C1A" w:rsidP="00296C1A">
            <w:pPr>
              <w:pStyle w:val="NoSpacing"/>
            </w:pPr>
          </w:p>
        </w:tc>
        <w:tc>
          <w:tcPr>
            <w:tcW w:w="1232" w:type="dxa"/>
            <w:shd w:val="clear" w:color="auto" w:fill="auto"/>
          </w:tcPr>
          <w:p w14:paraId="42E921B8" w14:textId="135B1067" w:rsidR="00296C1A" w:rsidRDefault="00296C1A" w:rsidP="00296C1A">
            <w:pPr>
              <w:pStyle w:val="NoSpacing"/>
            </w:pPr>
            <w:r>
              <w:t>Total</w:t>
            </w:r>
          </w:p>
        </w:tc>
        <w:tc>
          <w:tcPr>
            <w:tcW w:w="1682" w:type="dxa"/>
            <w:shd w:val="clear" w:color="auto" w:fill="auto"/>
          </w:tcPr>
          <w:p w14:paraId="04BF7A65" w14:textId="61FF0B8E" w:rsidR="00296C1A" w:rsidRDefault="00296C1A" w:rsidP="00296C1A">
            <w:pPr>
              <w:pStyle w:val="NoSpacing"/>
            </w:pPr>
            <w:r w:rsidRPr="00D96015">
              <w:t>689,929</w:t>
            </w:r>
          </w:p>
        </w:tc>
        <w:tc>
          <w:tcPr>
            <w:tcW w:w="2126" w:type="dxa"/>
            <w:tcBorders>
              <w:right w:val="single" w:sz="4" w:space="0" w:color="auto"/>
            </w:tcBorders>
            <w:shd w:val="clear" w:color="auto" w:fill="auto"/>
          </w:tcPr>
          <w:p w14:paraId="40C73368" w14:textId="106B3DE0" w:rsidR="00296C1A" w:rsidRDefault="00296C1A" w:rsidP="00296C1A">
            <w:pPr>
              <w:pStyle w:val="NoSpacing"/>
            </w:pPr>
            <w:r w:rsidRPr="00D96015">
              <w:t>408,777</w:t>
            </w:r>
          </w:p>
        </w:tc>
        <w:tc>
          <w:tcPr>
            <w:tcW w:w="2126" w:type="dxa"/>
            <w:tcBorders>
              <w:top w:val="nil"/>
              <w:left w:val="single" w:sz="4" w:space="0" w:color="auto"/>
              <w:bottom w:val="single" w:sz="4" w:space="0" w:color="auto"/>
              <w:right w:val="single" w:sz="4" w:space="0" w:color="auto"/>
            </w:tcBorders>
            <w:shd w:val="clear" w:color="auto" w:fill="auto"/>
          </w:tcPr>
          <w:p w14:paraId="350BF7E5" w14:textId="77777777" w:rsidR="00296C1A" w:rsidRDefault="00296C1A" w:rsidP="00296C1A">
            <w:pPr>
              <w:pStyle w:val="NoSpacing"/>
            </w:pPr>
          </w:p>
        </w:tc>
      </w:tr>
      <w:tr w:rsidR="00296C1A" w:rsidRPr="002760F1" w14:paraId="6FC405F9" w14:textId="77777777" w:rsidTr="001E222B">
        <w:trPr>
          <w:tblHeader/>
        </w:trPr>
        <w:tc>
          <w:tcPr>
            <w:tcW w:w="2064" w:type="dxa"/>
            <w:tcBorders>
              <w:bottom w:val="single" w:sz="4" w:space="0" w:color="auto"/>
            </w:tcBorders>
            <w:shd w:val="clear" w:color="auto" w:fill="auto"/>
          </w:tcPr>
          <w:p w14:paraId="2F36CCF7" w14:textId="46C229DE" w:rsidR="00296C1A" w:rsidRDefault="00296C1A" w:rsidP="00296C1A">
            <w:pPr>
              <w:pStyle w:val="NoSpacing"/>
            </w:pPr>
            <w:r>
              <w:t>Vanuatu MOH</w:t>
            </w:r>
          </w:p>
        </w:tc>
        <w:tc>
          <w:tcPr>
            <w:tcW w:w="1232" w:type="dxa"/>
            <w:shd w:val="clear" w:color="auto" w:fill="auto"/>
          </w:tcPr>
          <w:p w14:paraId="6461FD3D" w14:textId="1B7369A9" w:rsidR="00296C1A" w:rsidRDefault="00296C1A" w:rsidP="00296C1A">
            <w:pPr>
              <w:pStyle w:val="NoSpacing"/>
            </w:pPr>
            <w:r w:rsidRPr="00500BAF">
              <w:t>2018</w:t>
            </w:r>
          </w:p>
        </w:tc>
        <w:tc>
          <w:tcPr>
            <w:tcW w:w="1682" w:type="dxa"/>
            <w:shd w:val="clear" w:color="auto" w:fill="auto"/>
          </w:tcPr>
          <w:p w14:paraId="1E3D0160" w14:textId="35A930D1" w:rsidR="00296C1A" w:rsidRPr="00D96015" w:rsidRDefault="00296C1A" w:rsidP="00296C1A">
            <w:pPr>
              <w:pStyle w:val="NoSpacing"/>
            </w:pPr>
            <w:r w:rsidRPr="00500BAF">
              <w:t>-</w:t>
            </w:r>
          </w:p>
        </w:tc>
        <w:tc>
          <w:tcPr>
            <w:tcW w:w="2126" w:type="dxa"/>
            <w:tcBorders>
              <w:right w:val="single" w:sz="4" w:space="0" w:color="auto"/>
            </w:tcBorders>
            <w:shd w:val="clear" w:color="auto" w:fill="auto"/>
          </w:tcPr>
          <w:p w14:paraId="256A8F27" w14:textId="36C29326" w:rsidR="00296C1A" w:rsidRPr="00D96015" w:rsidRDefault="00296C1A" w:rsidP="00296C1A">
            <w:pPr>
              <w:pStyle w:val="NoSpacing"/>
            </w:pPr>
            <w:r w:rsidRPr="00500BAF">
              <w:t>-</w:t>
            </w:r>
          </w:p>
        </w:tc>
        <w:tc>
          <w:tcPr>
            <w:tcW w:w="2126" w:type="dxa"/>
            <w:tcBorders>
              <w:top w:val="single" w:sz="4" w:space="0" w:color="auto"/>
              <w:left w:val="single" w:sz="4" w:space="0" w:color="auto"/>
              <w:bottom w:val="nil"/>
              <w:right w:val="single" w:sz="4" w:space="0" w:color="auto"/>
            </w:tcBorders>
            <w:shd w:val="clear" w:color="auto" w:fill="auto"/>
          </w:tcPr>
          <w:p w14:paraId="04028564" w14:textId="2F8D993F" w:rsidR="00296C1A" w:rsidRDefault="00296C1A" w:rsidP="00296C1A">
            <w:pPr>
              <w:pStyle w:val="NoSpacing"/>
            </w:pPr>
            <w:r>
              <w:t>4%</w:t>
            </w:r>
          </w:p>
        </w:tc>
      </w:tr>
      <w:tr w:rsidR="00296C1A" w:rsidRPr="002760F1" w14:paraId="41A1527E" w14:textId="77777777" w:rsidTr="001E222B">
        <w:trPr>
          <w:tblHeader/>
        </w:trPr>
        <w:tc>
          <w:tcPr>
            <w:tcW w:w="2064" w:type="dxa"/>
            <w:tcBorders>
              <w:bottom w:val="single" w:sz="4" w:space="0" w:color="auto"/>
            </w:tcBorders>
            <w:shd w:val="clear" w:color="auto" w:fill="auto"/>
          </w:tcPr>
          <w:p w14:paraId="1CDD1E64" w14:textId="77777777" w:rsidR="00296C1A" w:rsidRDefault="00296C1A" w:rsidP="00296C1A">
            <w:pPr>
              <w:pStyle w:val="NoSpacing"/>
            </w:pPr>
          </w:p>
        </w:tc>
        <w:tc>
          <w:tcPr>
            <w:tcW w:w="1232" w:type="dxa"/>
            <w:shd w:val="clear" w:color="auto" w:fill="auto"/>
          </w:tcPr>
          <w:p w14:paraId="69E3AEE7" w14:textId="6193EEBF" w:rsidR="00296C1A" w:rsidRDefault="00296C1A" w:rsidP="00296C1A">
            <w:pPr>
              <w:pStyle w:val="NoSpacing"/>
            </w:pPr>
            <w:r w:rsidRPr="00500BAF">
              <w:t>2019</w:t>
            </w:r>
          </w:p>
        </w:tc>
        <w:tc>
          <w:tcPr>
            <w:tcW w:w="1682" w:type="dxa"/>
            <w:shd w:val="clear" w:color="auto" w:fill="auto"/>
          </w:tcPr>
          <w:p w14:paraId="5EB9C62F" w14:textId="033AFC58" w:rsidR="00296C1A" w:rsidRPr="00D96015" w:rsidRDefault="00296C1A" w:rsidP="00296C1A">
            <w:pPr>
              <w:pStyle w:val="NoSpacing"/>
            </w:pPr>
            <w:r w:rsidRPr="00500BAF">
              <w:t>159,000</w:t>
            </w:r>
          </w:p>
        </w:tc>
        <w:tc>
          <w:tcPr>
            <w:tcW w:w="2126" w:type="dxa"/>
            <w:tcBorders>
              <w:right w:val="single" w:sz="4" w:space="0" w:color="auto"/>
            </w:tcBorders>
            <w:shd w:val="clear" w:color="auto" w:fill="auto"/>
          </w:tcPr>
          <w:p w14:paraId="17F4D2FE" w14:textId="08EF5F1D" w:rsidR="00296C1A" w:rsidRPr="00D96015" w:rsidRDefault="00296C1A" w:rsidP="00296C1A">
            <w:pPr>
              <w:pStyle w:val="NoSpacing"/>
            </w:pPr>
            <w:r w:rsidRPr="00500BAF">
              <w:t>131,371</w:t>
            </w:r>
          </w:p>
        </w:tc>
        <w:tc>
          <w:tcPr>
            <w:tcW w:w="2126" w:type="dxa"/>
            <w:tcBorders>
              <w:top w:val="nil"/>
              <w:left w:val="single" w:sz="4" w:space="0" w:color="auto"/>
              <w:bottom w:val="nil"/>
              <w:right w:val="single" w:sz="4" w:space="0" w:color="auto"/>
            </w:tcBorders>
            <w:shd w:val="clear" w:color="auto" w:fill="auto"/>
          </w:tcPr>
          <w:p w14:paraId="264F0C8D" w14:textId="77777777" w:rsidR="00296C1A" w:rsidRDefault="00296C1A" w:rsidP="00296C1A">
            <w:pPr>
              <w:pStyle w:val="NoSpacing"/>
            </w:pPr>
          </w:p>
        </w:tc>
      </w:tr>
      <w:tr w:rsidR="00296C1A" w:rsidRPr="002760F1" w14:paraId="04022B0D" w14:textId="77777777" w:rsidTr="001E222B">
        <w:trPr>
          <w:tblHeader/>
        </w:trPr>
        <w:tc>
          <w:tcPr>
            <w:tcW w:w="2064" w:type="dxa"/>
            <w:tcBorders>
              <w:bottom w:val="single" w:sz="4" w:space="0" w:color="auto"/>
            </w:tcBorders>
            <w:shd w:val="clear" w:color="auto" w:fill="auto"/>
          </w:tcPr>
          <w:p w14:paraId="40F6296D" w14:textId="77777777" w:rsidR="00296C1A" w:rsidRDefault="00296C1A" w:rsidP="00296C1A">
            <w:pPr>
              <w:pStyle w:val="NoSpacing"/>
            </w:pPr>
          </w:p>
        </w:tc>
        <w:tc>
          <w:tcPr>
            <w:tcW w:w="1232" w:type="dxa"/>
            <w:shd w:val="clear" w:color="auto" w:fill="auto"/>
          </w:tcPr>
          <w:p w14:paraId="3EA01D5B" w14:textId="62209648" w:rsidR="00296C1A" w:rsidRDefault="00296C1A" w:rsidP="00296C1A">
            <w:pPr>
              <w:pStyle w:val="NoSpacing"/>
            </w:pPr>
            <w:r w:rsidRPr="00500BAF">
              <w:t>2020</w:t>
            </w:r>
          </w:p>
        </w:tc>
        <w:tc>
          <w:tcPr>
            <w:tcW w:w="1682" w:type="dxa"/>
            <w:shd w:val="clear" w:color="auto" w:fill="auto"/>
          </w:tcPr>
          <w:p w14:paraId="1F92EEF9" w14:textId="17322237" w:rsidR="00296C1A" w:rsidRPr="00D96015" w:rsidRDefault="00296C1A" w:rsidP="00296C1A">
            <w:pPr>
              <w:pStyle w:val="NoSpacing"/>
            </w:pPr>
            <w:r w:rsidRPr="00500BAF">
              <w:t>248,461</w:t>
            </w:r>
          </w:p>
        </w:tc>
        <w:tc>
          <w:tcPr>
            <w:tcW w:w="2126" w:type="dxa"/>
            <w:tcBorders>
              <w:right w:val="single" w:sz="4" w:space="0" w:color="auto"/>
            </w:tcBorders>
            <w:shd w:val="clear" w:color="auto" w:fill="auto"/>
          </w:tcPr>
          <w:p w14:paraId="62E681CC" w14:textId="795748E8" w:rsidR="00296C1A" w:rsidRPr="00D96015" w:rsidRDefault="00296C1A" w:rsidP="00296C1A">
            <w:pPr>
              <w:pStyle w:val="NoSpacing"/>
            </w:pPr>
            <w:r w:rsidRPr="00500BAF">
              <w:t>50,064</w:t>
            </w:r>
          </w:p>
        </w:tc>
        <w:tc>
          <w:tcPr>
            <w:tcW w:w="2126" w:type="dxa"/>
            <w:tcBorders>
              <w:top w:val="nil"/>
              <w:left w:val="single" w:sz="4" w:space="0" w:color="auto"/>
              <w:bottom w:val="nil"/>
              <w:right w:val="single" w:sz="4" w:space="0" w:color="auto"/>
            </w:tcBorders>
            <w:shd w:val="clear" w:color="auto" w:fill="auto"/>
          </w:tcPr>
          <w:p w14:paraId="400E69EB" w14:textId="77777777" w:rsidR="00296C1A" w:rsidRDefault="00296C1A" w:rsidP="00296C1A">
            <w:pPr>
              <w:pStyle w:val="NoSpacing"/>
            </w:pPr>
          </w:p>
        </w:tc>
      </w:tr>
      <w:tr w:rsidR="00296C1A" w:rsidRPr="002760F1" w14:paraId="092A23F7" w14:textId="77777777" w:rsidTr="001E222B">
        <w:trPr>
          <w:tblHeader/>
        </w:trPr>
        <w:tc>
          <w:tcPr>
            <w:tcW w:w="2064" w:type="dxa"/>
            <w:tcBorders>
              <w:bottom w:val="single" w:sz="4" w:space="0" w:color="auto"/>
            </w:tcBorders>
            <w:shd w:val="clear" w:color="auto" w:fill="auto"/>
          </w:tcPr>
          <w:p w14:paraId="5959A644" w14:textId="77777777" w:rsidR="00296C1A" w:rsidRDefault="00296C1A" w:rsidP="00296C1A">
            <w:pPr>
              <w:pStyle w:val="NoSpacing"/>
            </w:pPr>
          </w:p>
        </w:tc>
        <w:tc>
          <w:tcPr>
            <w:tcW w:w="1232" w:type="dxa"/>
            <w:shd w:val="clear" w:color="auto" w:fill="auto"/>
          </w:tcPr>
          <w:p w14:paraId="5F4C5E63" w14:textId="2494DD93" w:rsidR="00296C1A" w:rsidRDefault="00296C1A" w:rsidP="00296C1A">
            <w:pPr>
              <w:pStyle w:val="NoSpacing"/>
            </w:pPr>
            <w:r w:rsidRPr="00D96015">
              <w:t>T</w:t>
            </w:r>
            <w:r>
              <w:t>otal</w:t>
            </w:r>
          </w:p>
        </w:tc>
        <w:tc>
          <w:tcPr>
            <w:tcW w:w="1682" w:type="dxa"/>
            <w:shd w:val="clear" w:color="auto" w:fill="auto"/>
          </w:tcPr>
          <w:p w14:paraId="0FCDD415" w14:textId="7E051C73" w:rsidR="00296C1A" w:rsidRPr="00D96015" w:rsidRDefault="00296C1A" w:rsidP="00296C1A">
            <w:pPr>
              <w:pStyle w:val="NoSpacing"/>
            </w:pPr>
            <w:r w:rsidRPr="00D96015">
              <w:t>407,461</w:t>
            </w:r>
          </w:p>
        </w:tc>
        <w:tc>
          <w:tcPr>
            <w:tcW w:w="2126" w:type="dxa"/>
            <w:tcBorders>
              <w:right w:val="single" w:sz="4" w:space="0" w:color="auto"/>
            </w:tcBorders>
            <w:shd w:val="clear" w:color="auto" w:fill="auto"/>
          </w:tcPr>
          <w:p w14:paraId="664DF47B" w14:textId="252175FE" w:rsidR="00296C1A" w:rsidRPr="00D96015" w:rsidRDefault="00296C1A" w:rsidP="00296C1A">
            <w:pPr>
              <w:pStyle w:val="NoSpacing"/>
            </w:pPr>
            <w:r w:rsidRPr="00D96015">
              <w:t>181,435</w:t>
            </w:r>
          </w:p>
        </w:tc>
        <w:tc>
          <w:tcPr>
            <w:tcW w:w="2126" w:type="dxa"/>
            <w:tcBorders>
              <w:top w:val="nil"/>
              <w:left w:val="single" w:sz="4" w:space="0" w:color="auto"/>
              <w:bottom w:val="single" w:sz="4" w:space="0" w:color="auto"/>
              <w:right w:val="single" w:sz="4" w:space="0" w:color="auto"/>
            </w:tcBorders>
            <w:shd w:val="clear" w:color="auto" w:fill="auto"/>
          </w:tcPr>
          <w:p w14:paraId="57A8FE21" w14:textId="77777777" w:rsidR="00296C1A" w:rsidRDefault="00296C1A" w:rsidP="00296C1A">
            <w:pPr>
              <w:pStyle w:val="NoSpacing"/>
            </w:pPr>
          </w:p>
        </w:tc>
      </w:tr>
    </w:tbl>
    <w:p w14:paraId="67DA19D4" w14:textId="77777777" w:rsidR="00B21BF0" w:rsidRPr="00C662BF" w:rsidRDefault="00B21BF0" w:rsidP="00B21BF0">
      <w:pPr>
        <w:tabs>
          <w:tab w:val="left" w:pos="1264"/>
          <w:tab w:val="left" w:pos="3077"/>
          <w:tab w:val="left" w:pos="4481"/>
          <w:tab w:val="left" w:pos="6587"/>
        </w:tabs>
        <w:spacing w:after="0" w:line="240" w:lineRule="auto"/>
        <w:rPr>
          <w:rFonts w:ascii="Times New Roman" w:hAnsi="Times New Roman" w:cs="Times New Roman"/>
          <w:b/>
          <w:bCs/>
          <w:sz w:val="20"/>
          <w:szCs w:val="20"/>
          <w:lang w:eastAsia="en-AU"/>
        </w:rPr>
      </w:pPr>
      <w:r w:rsidRPr="00B21BF0">
        <w:rPr>
          <w:b/>
          <w:bCs/>
          <w:sz w:val="18"/>
          <w:szCs w:val="18"/>
        </w:rPr>
        <w:t>Source:</w:t>
      </w:r>
      <w:r>
        <w:rPr>
          <w:b/>
          <w:bCs/>
          <w:sz w:val="18"/>
          <w:szCs w:val="18"/>
        </w:rPr>
        <w:t xml:space="preserve"> </w:t>
      </w:r>
      <w:r w:rsidRPr="00C662BF">
        <w:rPr>
          <w:rFonts w:cstheme="minorHAnsi"/>
          <w:b/>
          <w:bCs/>
          <w:i/>
          <w:iCs/>
          <w:sz w:val="20"/>
          <w:szCs w:val="20"/>
        </w:rPr>
        <w:t>2020 expenditures are as of 3 August 2020</w:t>
      </w:r>
      <w:r w:rsidRPr="00C662BF">
        <w:rPr>
          <w:rFonts w:ascii="Times New Roman" w:hAnsi="Times New Roman" w:cs="Times New Roman"/>
          <w:b/>
          <w:bCs/>
          <w:sz w:val="20"/>
          <w:szCs w:val="20"/>
          <w:lang w:eastAsia="en-AU"/>
        </w:rPr>
        <w:tab/>
      </w:r>
      <w:r w:rsidRPr="00C662BF">
        <w:rPr>
          <w:rFonts w:ascii="Times New Roman" w:hAnsi="Times New Roman" w:cs="Times New Roman"/>
          <w:b/>
          <w:bCs/>
          <w:sz w:val="20"/>
          <w:szCs w:val="20"/>
          <w:lang w:eastAsia="en-AU"/>
        </w:rPr>
        <w:tab/>
      </w:r>
    </w:p>
    <w:p w14:paraId="351DD606" w14:textId="77777777" w:rsidR="00B21BF0" w:rsidRPr="00C662BF" w:rsidRDefault="00B21BF0" w:rsidP="00B21BF0">
      <w:pPr>
        <w:spacing w:after="160" w:line="259" w:lineRule="auto"/>
        <w:rPr>
          <w:b/>
          <w:bCs/>
          <w:sz w:val="20"/>
          <w:szCs w:val="20"/>
        </w:rPr>
      </w:pPr>
      <w:r w:rsidRPr="00C662BF">
        <w:rPr>
          <w:b/>
          <w:bCs/>
          <w:sz w:val="20"/>
          <w:szCs w:val="20"/>
        </w:rPr>
        <w:t>PSRO Finance Division, August 2020</w:t>
      </w:r>
    </w:p>
    <w:p w14:paraId="54A86F42" w14:textId="77777777" w:rsidR="00C15429" w:rsidRPr="009237DE" w:rsidRDefault="002F5DCA">
      <w:pPr>
        <w:spacing w:after="160" w:line="259" w:lineRule="auto"/>
        <w:rPr>
          <w:b/>
          <w:bCs/>
          <w:sz w:val="20"/>
          <w:szCs w:val="20"/>
        </w:rPr>
      </w:pPr>
      <w:r w:rsidRPr="00303081">
        <w:rPr>
          <w:b/>
          <w:bCs/>
          <w:sz w:val="20"/>
          <w:szCs w:val="20"/>
        </w:rPr>
        <w:t xml:space="preserve">It is important to note that the expenditure rate for 2020 is included, which is only for </w:t>
      </w:r>
      <w:r w:rsidR="003E54A2">
        <w:rPr>
          <w:b/>
          <w:bCs/>
          <w:sz w:val="20"/>
          <w:szCs w:val="20"/>
        </w:rPr>
        <w:t>seven</w:t>
      </w:r>
      <w:r w:rsidRPr="009237DE">
        <w:rPr>
          <w:b/>
          <w:bCs/>
          <w:sz w:val="20"/>
          <w:szCs w:val="20"/>
        </w:rPr>
        <w:t xml:space="preserve"> months of implementation and thus decreases the overall implementation rate.  This will increase at the end of 2020.</w:t>
      </w:r>
      <w:r w:rsidR="00C15429" w:rsidRPr="009237DE">
        <w:rPr>
          <w:b/>
          <w:bCs/>
          <w:sz w:val="20"/>
          <w:szCs w:val="20"/>
        </w:rPr>
        <w:br w:type="page"/>
      </w:r>
    </w:p>
    <w:p w14:paraId="5CC110F7" w14:textId="77777777" w:rsidR="001E6AD8" w:rsidRDefault="00C15429">
      <w:pPr>
        <w:spacing w:after="160" w:line="259" w:lineRule="auto"/>
        <w:rPr>
          <w:b/>
          <w:bCs/>
          <w:szCs w:val="22"/>
        </w:rPr>
      </w:pPr>
      <w:r w:rsidRPr="001E6AD8">
        <w:rPr>
          <w:b/>
          <w:bCs/>
          <w:szCs w:val="22"/>
        </w:rPr>
        <w:lastRenderedPageBreak/>
        <w:t>Table 3</w:t>
      </w:r>
      <w:r w:rsidR="001E6AD8" w:rsidRPr="001E6AD8">
        <w:rPr>
          <w:b/>
          <w:bCs/>
          <w:szCs w:val="22"/>
        </w:rPr>
        <w:t xml:space="preserve">: </w:t>
      </w:r>
      <w:r w:rsidR="001E6AD8">
        <w:rPr>
          <w:b/>
          <w:bCs/>
          <w:szCs w:val="22"/>
        </w:rPr>
        <w:t>Allocation of Funds by Outcome Area</w:t>
      </w:r>
      <w:r w:rsidR="00C77D17">
        <w:rPr>
          <w:b/>
          <w:bCs/>
          <w:szCs w:val="22"/>
        </w:rPr>
        <w:t xml:space="preserve"> (USD)</w:t>
      </w:r>
    </w:p>
    <w:tbl>
      <w:tblPr>
        <w:tblStyle w:val="TableGrid"/>
        <w:tblW w:w="0" w:type="auto"/>
        <w:tblInd w:w="-289" w:type="dxa"/>
        <w:tblLook w:val="04A0" w:firstRow="1" w:lastRow="0" w:firstColumn="1" w:lastColumn="0" w:noHBand="0" w:noVBand="1"/>
      </w:tblPr>
      <w:tblGrid>
        <w:gridCol w:w="2304"/>
        <w:gridCol w:w="1382"/>
        <w:gridCol w:w="1538"/>
        <w:gridCol w:w="1287"/>
        <w:gridCol w:w="1432"/>
        <w:gridCol w:w="1276"/>
      </w:tblGrid>
      <w:tr w:rsidR="00471A74" w14:paraId="3F597421" w14:textId="77777777" w:rsidTr="00216EA2">
        <w:tc>
          <w:tcPr>
            <w:tcW w:w="2304" w:type="dxa"/>
            <w:shd w:val="clear" w:color="auto" w:fill="FF0000"/>
          </w:tcPr>
          <w:p w14:paraId="75B4B356" w14:textId="77777777" w:rsidR="00862F50" w:rsidRPr="005F68D1" w:rsidRDefault="00862F50" w:rsidP="002C0B3F">
            <w:pPr>
              <w:pStyle w:val="NoSpacing"/>
              <w:rPr>
                <w:b/>
                <w:bCs/>
                <w:color w:val="FFFFFF" w:themeColor="background1"/>
              </w:rPr>
            </w:pPr>
            <w:r w:rsidRPr="000D65EC">
              <w:rPr>
                <w:b/>
                <w:bCs/>
              </w:rPr>
              <w:t>Outcome/Output</w:t>
            </w:r>
          </w:p>
        </w:tc>
        <w:tc>
          <w:tcPr>
            <w:tcW w:w="1382" w:type="dxa"/>
            <w:shd w:val="clear" w:color="auto" w:fill="FF0000"/>
          </w:tcPr>
          <w:p w14:paraId="3050E1C1" w14:textId="77777777" w:rsidR="00862F50" w:rsidRPr="000D65EC" w:rsidRDefault="00862F50" w:rsidP="002C0B3F">
            <w:pPr>
              <w:pStyle w:val="NoSpacing"/>
              <w:rPr>
                <w:b/>
                <w:bCs/>
              </w:rPr>
            </w:pPr>
            <w:r w:rsidRPr="000D65EC">
              <w:rPr>
                <w:b/>
                <w:bCs/>
              </w:rPr>
              <w:t>Year</w:t>
            </w:r>
          </w:p>
        </w:tc>
        <w:tc>
          <w:tcPr>
            <w:tcW w:w="1538" w:type="dxa"/>
            <w:shd w:val="clear" w:color="auto" w:fill="FF0000"/>
          </w:tcPr>
          <w:p w14:paraId="29F1782A" w14:textId="77777777" w:rsidR="00862F50" w:rsidRPr="000D65EC" w:rsidRDefault="00862F50" w:rsidP="002C0B3F">
            <w:pPr>
              <w:pStyle w:val="NoSpacing"/>
              <w:rPr>
                <w:b/>
                <w:bCs/>
              </w:rPr>
            </w:pPr>
            <w:r w:rsidRPr="000D65EC">
              <w:rPr>
                <w:b/>
                <w:bCs/>
              </w:rPr>
              <w:t>Expenditure</w:t>
            </w:r>
          </w:p>
        </w:tc>
        <w:tc>
          <w:tcPr>
            <w:tcW w:w="1287" w:type="dxa"/>
            <w:shd w:val="clear" w:color="auto" w:fill="FF0000"/>
          </w:tcPr>
          <w:p w14:paraId="2F9BAEF0" w14:textId="77777777" w:rsidR="00862F50" w:rsidRPr="000D65EC" w:rsidRDefault="00862F50" w:rsidP="002C0B3F">
            <w:pPr>
              <w:pStyle w:val="NoSpacing"/>
              <w:rPr>
                <w:b/>
                <w:bCs/>
              </w:rPr>
            </w:pPr>
            <w:r w:rsidRPr="000D65EC">
              <w:rPr>
                <w:b/>
                <w:bCs/>
              </w:rPr>
              <w:t>Expended (2018-2</w:t>
            </w:r>
            <w:r w:rsidR="00C77D17" w:rsidRPr="000D65EC">
              <w:rPr>
                <w:b/>
                <w:bCs/>
              </w:rPr>
              <w:t>019</w:t>
            </w:r>
            <w:r w:rsidRPr="000D65EC">
              <w:rPr>
                <w:b/>
                <w:bCs/>
              </w:rPr>
              <w:t xml:space="preserve">) </w:t>
            </w:r>
          </w:p>
        </w:tc>
        <w:tc>
          <w:tcPr>
            <w:tcW w:w="1432" w:type="dxa"/>
            <w:shd w:val="clear" w:color="auto" w:fill="FF0000"/>
          </w:tcPr>
          <w:p w14:paraId="0292F233" w14:textId="77777777" w:rsidR="00862F50" w:rsidRPr="000D65EC" w:rsidRDefault="00B628D4" w:rsidP="002C0B3F">
            <w:pPr>
              <w:pStyle w:val="NoSpacing"/>
              <w:rPr>
                <w:b/>
                <w:bCs/>
              </w:rPr>
            </w:pPr>
            <w:r w:rsidRPr="000D65EC">
              <w:rPr>
                <w:b/>
                <w:bCs/>
              </w:rPr>
              <w:t xml:space="preserve">Total </w:t>
            </w:r>
            <w:r w:rsidR="00862F50" w:rsidRPr="000D65EC">
              <w:rPr>
                <w:b/>
                <w:bCs/>
              </w:rPr>
              <w:t>Expenditure</w:t>
            </w:r>
          </w:p>
          <w:p w14:paraId="5A624D2B" w14:textId="77777777" w:rsidR="00862F50" w:rsidRPr="000D65EC" w:rsidRDefault="00862F50" w:rsidP="002C0B3F">
            <w:pPr>
              <w:pStyle w:val="NoSpacing"/>
              <w:rPr>
                <w:b/>
                <w:bCs/>
              </w:rPr>
            </w:pPr>
            <w:r w:rsidRPr="000D65EC">
              <w:rPr>
                <w:b/>
                <w:bCs/>
              </w:rPr>
              <w:t xml:space="preserve"> (2018-20</w:t>
            </w:r>
            <w:r w:rsidR="00B628D4" w:rsidRPr="000D65EC">
              <w:rPr>
                <w:b/>
                <w:bCs/>
              </w:rPr>
              <w:t>20</w:t>
            </w:r>
            <w:r w:rsidRPr="000D65EC">
              <w:rPr>
                <w:b/>
                <w:bCs/>
              </w:rPr>
              <w:t>)</w:t>
            </w:r>
          </w:p>
        </w:tc>
        <w:tc>
          <w:tcPr>
            <w:tcW w:w="1276" w:type="dxa"/>
            <w:shd w:val="clear" w:color="auto" w:fill="FF0000"/>
          </w:tcPr>
          <w:p w14:paraId="08373EC6" w14:textId="77777777" w:rsidR="00862F50" w:rsidRPr="000D65EC" w:rsidRDefault="00862F50" w:rsidP="002C0B3F">
            <w:pPr>
              <w:pStyle w:val="NoSpacing"/>
              <w:rPr>
                <w:b/>
                <w:bCs/>
              </w:rPr>
            </w:pPr>
            <w:r w:rsidRPr="000D65EC">
              <w:rPr>
                <w:b/>
                <w:bCs/>
              </w:rPr>
              <w:t xml:space="preserve">% </w:t>
            </w:r>
            <w:r w:rsidR="00940D4C" w:rsidRPr="000D65EC">
              <w:rPr>
                <w:b/>
                <w:bCs/>
              </w:rPr>
              <w:t>on outcomes</w:t>
            </w:r>
          </w:p>
          <w:p w14:paraId="4A6FD55F" w14:textId="77777777" w:rsidR="00B628D4" w:rsidRPr="000D65EC" w:rsidRDefault="00B628D4" w:rsidP="002C0B3F">
            <w:pPr>
              <w:pStyle w:val="NoSpacing"/>
              <w:rPr>
                <w:b/>
                <w:bCs/>
              </w:rPr>
            </w:pPr>
            <w:r w:rsidRPr="000D65EC">
              <w:rPr>
                <w:b/>
                <w:bCs/>
              </w:rPr>
              <w:t>2018-2019</w:t>
            </w:r>
          </w:p>
        </w:tc>
      </w:tr>
      <w:tr w:rsidR="00216EA2" w14:paraId="429FC84F" w14:textId="77777777" w:rsidTr="00216EA2">
        <w:tc>
          <w:tcPr>
            <w:tcW w:w="2304" w:type="dxa"/>
          </w:tcPr>
          <w:p w14:paraId="30E7F1B7" w14:textId="77777777" w:rsidR="00216EA2" w:rsidRPr="00051F27" w:rsidRDefault="00216EA2" w:rsidP="002C0B3F">
            <w:pPr>
              <w:pStyle w:val="NoSpacing"/>
              <w:rPr>
                <w:b/>
                <w:bCs/>
              </w:rPr>
            </w:pPr>
            <w:r w:rsidRPr="00051F27">
              <w:rPr>
                <w:b/>
                <w:bCs/>
                <w:sz w:val="24"/>
                <w:szCs w:val="24"/>
              </w:rPr>
              <w:t>Outcome 1: Supply</w:t>
            </w:r>
          </w:p>
        </w:tc>
        <w:tc>
          <w:tcPr>
            <w:tcW w:w="1382" w:type="dxa"/>
          </w:tcPr>
          <w:p w14:paraId="34EC5A64" w14:textId="77777777" w:rsidR="00216EA2" w:rsidRPr="00B32F7D" w:rsidRDefault="00216EA2" w:rsidP="002C0B3F">
            <w:pPr>
              <w:pStyle w:val="NoSpacing"/>
              <w:rPr>
                <w:b/>
                <w:bCs/>
              </w:rPr>
            </w:pPr>
          </w:p>
        </w:tc>
        <w:tc>
          <w:tcPr>
            <w:tcW w:w="1538" w:type="dxa"/>
          </w:tcPr>
          <w:p w14:paraId="7AA1339E" w14:textId="77777777" w:rsidR="00216EA2" w:rsidRPr="00B32F7D" w:rsidRDefault="00216EA2" w:rsidP="002C0B3F">
            <w:pPr>
              <w:pStyle w:val="NoSpacing"/>
              <w:rPr>
                <w:b/>
                <w:bCs/>
              </w:rPr>
            </w:pPr>
          </w:p>
        </w:tc>
        <w:tc>
          <w:tcPr>
            <w:tcW w:w="1287" w:type="dxa"/>
          </w:tcPr>
          <w:p w14:paraId="65C8EEED" w14:textId="03AC0DFC" w:rsidR="00216EA2" w:rsidRPr="00B32F7D" w:rsidRDefault="00216EA2" w:rsidP="002C0B3F">
            <w:pPr>
              <w:pStyle w:val="NoSpacing"/>
              <w:rPr>
                <w:b/>
                <w:bCs/>
              </w:rPr>
            </w:pPr>
          </w:p>
        </w:tc>
        <w:tc>
          <w:tcPr>
            <w:tcW w:w="1432" w:type="dxa"/>
          </w:tcPr>
          <w:p w14:paraId="6882EB3D" w14:textId="77777777" w:rsidR="00216EA2" w:rsidRDefault="00216EA2" w:rsidP="002C0B3F">
            <w:pPr>
              <w:pStyle w:val="NoSpacing"/>
              <w:rPr>
                <w:sz w:val="24"/>
                <w:szCs w:val="24"/>
              </w:rPr>
            </w:pPr>
          </w:p>
        </w:tc>
        <w:tc>
          <w:tcPr>
            <w:tcW w:w="1276" w:type="dxa"/>
          </w:tcPr>
          <w:p w14:paraId="018767A5" w14:textId="77777777" w:rsidR="00216EA2" w:rsidRDefault="00216EA2" w:rsidP="002C0B3F">
            <w:pPr>
              <w:pStyle w:val="NoSpacing"/>
              <w:rPr>
                <w:sz w:val="24"/>
                <w:szCs w:val="24"/>
              </w:rPr>
            </w:pPr>
          </w:p>
        </w:tc>
      </w:tr>
      <w:tr w:rsidR="00D07CD2" w14:paraId="320A6B01" w14:textId="77777777" w:rsidTr="00216EA2">
        <w:tc>
          <w:tcPr>
            <w:tcW w:w="2304" w:type="dxa"/>
          </w:tcPr>
          <w:p w14:paraId="35278C2B" w14:textId="7F03B0C8" w:rsidR="00D07CD2" w:rsidRPr="00B32F7D" w:rsidRDefault="00D07CD2" w:rsidP="002C0B3F">
            <w:pPr>
              <w:pStyle w:val="NoSpacing"/>
              <w:rPr>
                <w:b/>
                <w:bCs/>
                <w:sz w:val="24"/>
                <w:szCs w:val="24"/>
              </w:rPr>
            </w:pPr>
            <w:r>
              <w:t>Output 1: Strengthened delivery of high quality, integrated SRH information and services</w:t>
            </w:r>
          </w:p>
        </w:tc>
        <w:tc>
          <w:tcPr>
            <w:tcW w:w="1382" w:type="dxa"/>
          </w:tcPr>
          <w:p w14:paraId="731FF940" w14:textId="77777777" w:rsidR="00D07CD2" w:rsidRDefault="00D07CD2" w:rsidP="002C0B3F">
            <w:pPr>
              <w:pStyle w:val="NoSpacing"/>
              <w:rPr>
                <w:bCs/>
              </w:rPr>
            </w:pPr>
            <w:r>
              <w:rPr>
                <w:bCs/>
              </w:rPr>
              <w:t>2018</w:t>
            </w:r>
          </w:p>
          <w:p w14:paraId="49392942" w14:textId="3FB96D0C" w:rsidR="00D07CD2" w:rsidRPr="00D07CD2" w:rsidRDefault="00D07CD2" w:rsidP="002C0B3F">
            <w:pPr>
              <w:pStyle w:val="NoSpacing"/>
              <w:rPr>
                <w:bCs/>
              </w:rPr>
            </w:pPr>
            <w:r>
              <w:rPr>
                <w:bCs/>
              </w:rPr>
              <w:t>2019</w:t>
            </w:r>
          </w:p>
        </w:tc>
        <w:tc>
          <w:tcPr>
            <w:tcW w:w="1538" w:type="dxa"/>
          </w:tcPr>
          <w:p w14:paraId="6FF417B0" w14:textId="77777777" w:rsidR="00D07CD2" w:rsidRDefault="00D07CD2" w:rsidP="002C0B3F">
            <w:pPr>
              <w:pStyle w:val="NoSpacing"/>
            </w:pPr>
            <w:r>
              <w:t>175,756</w:t>
            </w:r>
          </w:p>
          <w:p w14:paraId="30F0A870" w14:textId="023D9CF3" w:rsidR="00D07CD2" w:rsidRPr="00B32F7D" w:rsidRDefault="00D07CD2" w:rsidP="002C0B3F">
            <w:pPr>
              <w:pStyle w:val="NoSpacing"/>
              <w:rPr>
                <w:b/>
                <w:bCs/>
              </w:rPr>
            </w:pPr>
            <w:r>
              <w:t>585,203</w:t>
            </w:r>
          </w:p>
        </w:tc>
        <w:tc>
          <w:tcPr>
            <w:tcW w:w="1287" w:type="dxa"/>
          </w:tcPr>
          <w:p w14:paraId="1B7A93E7" w14:textId="0F7312C7" w:rsidR="00D07CD2" w:rsidRPr="00B32F7D" w:rsidRDefault="00D07CD2" w:rsidP="002C0B3F">
            <w:pPr>
              <w:pStyle w:val="NoSpacing"/>
              <w:rPr>
                <w:b/>
                <w:bCs/>
              </w:rPr>
            </w:pPr>
            <w:r>
              <w:t>760,959</w:t>
            </w:r>
          </w:p>
        </w:tc>
        <w:tc>
          <w:tcPr>
            <w:tcW w:w="1432" w:type="dxa"/>
          </w:tcPr>
          <w:p w14:paraId="4888B5C5" w14:textId="7FEE2D1F" w:rsidR="00D07CD2" w:rsidRDefault="00D07CD2" w:rsidP="002C0B3F">
            <w:pPr>
              <w:pStyle w:val="NoSpacing"/>
              <w:rPr>
                <w:sz w:val="24"/>
                <w:szCs w:val="24"/>
              </w:rPr>
            </w:pPr>
            <w:r>
              <w:t>1,003,133</w:t>
            </w:r>
          </w:p>
        </w:tc>
        <w:tc>
          <w:tcPr>
            <w:tcW w:w="1276" w:type="dxa"/>
          </w:tcPr>
          <w:p w14:paraId="3FB230E4" w14:textId="2FDDFECB" w:rsidR="00D07CD2" w:rsidRDefault="00D07CD2" w:rsidP="002C0B3F">
            <w:pPr>
              <w:pStyle w:val="NoSpacing"/>
              <w:rPr>
                <w:sz w:val="24"/>
                <w:szCs w:val="24"/>
              </w:rPr>
            </w:pPr>
            <w:r>
              <w:t>26%</w:t>
            </w:r>
          </w:p>
        </w:tc>
      </w:tr>
      <w:tr w:rsidR="00051F27" w14:paraId="7CEF5439" w14:textId="77777777" w:rsidTr="00216EA2">
        <w:tc>
          <w:tcPr>
            <w:tcW w:w="2304" w:type="dxa"/>
          </w:tcPr>
          <w:p w14:paraId="01921C13" w14:textId="21406330" w:rsidR="00051F27" w:rsidRDefault="00051F27" w:rsidP="002C0B3F">
            <w:pPr>
              <w:pStyle w:val="NoSpacing"/>
            </w:pPr>
            <w:r>
              <w:t>Output 2: Strengthened health workforce capacities</w:t>
            </w:r>
          </w:p>
        </w:tc>
        <w:tc>
          <w:tcPr>
            <w:tcW w:w="1382" w:type="dxa"/>
          </w:tcPr>
          <w:p w14:paraId="3EE8F12B" w14:textId="77777777" w:rsidR="00051F27" w:rsidRDefault="00051F27" w:rsidP="002C0B3F">
            <w:pPr>
              <w:pStyle w:val="NoSpacing"/>
              <w:rPr>
                <w:bCs/>
              </w:rPr>
            </w:pPr>
            <w:r>
              <w:rPr>
                <w:bCs/>
              </w:rPr>
              <w:t>2018</w:t>
            </w:r>
          </w:p>
          <w:p w14:paraId="5D4BC32B" w14:textId="2A573217" w:rsidR="00051F27" w:rsidRDefault="00051F27" w:rsidP="002C0B3F">
            <w:pPr>
              <w:pStyle w:val="NoSpacing"/>
              <w:rPr>
                <w:bCs/>
              </w:rPr>
            </w:pPr>
            <w:r>
              <w:rPr>
                <w:bCs/>
              </w:rPr>
              <w:t>2019</w:t>
            </w:r>
          </w:p>
        </w:tc>
        <w:tc>
          <w:tcPr>
            <w:tcW w:w="1538" w:type="dxa"/>
          </w:tcPr>
          <w:p w14:paraId="46ED563E" w14:textId="77777777" w:rsidR="00051F27" w:rsidRDefault="00051F27" w:rsidP="002C0B3F">
            <w:pPr>
              <w:pStyle w:val="NoSpacing"/>
            </w:pPr>
            <w:r>
              <w:t>134,583</w:t>
            </w:r>
          </w:p>
          <w:p w14:paraId="3E8B204A" w14:textId="7A25EEF2" w:rsidR="00051F27" w:rsidRDefault="00051F27" w:rsidP="002C0B3F">
            <w:pPr>
              <w:pStyle w:val="NoSpacing"/>
            </w:pPr>
            <w:r>
              <w:t>107,591</w:t>
            </w:r>
          </w:p>
        </w:tc>
        <w:tc>
          <w:tcPr>
            <w:tcW w:w="1287" w:type="dxa"/>
          </w:tcPr>
          <w:p w14:paraId="7A6289C0" w14:textId="760B013C" w:rsidR="00051F27" w:rsidRDefault="00051F27" w:rsidP="002C0B3F">
            <w:pPr>
              <w:pStyle w:val="NoSpacing"/>
            </w:pPr>
            <w:r>
              <w:t>242,174</w:t>
            </w:r>
          </w:p>
        </w:tc>
        <w:tc>
          <w:tcPr>
            <w:tcW w:w="1432" w:type="dxa"/>
          </w:tcPr>
          <w:p w14:paraId="314B86E8" w14:textId="77777777" w:rsidR="00051F27" w:rsidRDefault="00051F27" w:rsidP="002C0B3F">
            <w:pPr>
              <w:pStyle w:val="NoSpacing"/>
            </w:pPr>
          </w:p>
        </w:tc>
        <w:tc>
          <w:tcPr>
            <w:tcW w:w="1276" w:type="dxa"/>
          </w:tcPr>
          <w:p w14:paraId="39834B5F" w14:textId="77777777" w:rsidR="00051F27" w:rsidRDefault="00051F27" w:rsidP="002C0B3F">
            <w:pPr>
              <w:pStyle w:val="NoSpacing"/>
            </w:pPr>
          </w:p>
        </w:tc>
      </w:tr>
      <w:tr w:rsidR="00051F27" w14:paraId="200BC14B" w14:textId="77777777" w:rsidTr="00051F27">
        <w:tc>
          <w:tcPr>
            <w:tcW w:w="2304" w:type="dxa"/>
          </w:tcPr>
          <w:p w14:paraId="19461B36" w14:textId="77777777" w:rsidR="00051F27" w:rsidRPr="00B32F7D" w:rsidRDefault="00051F27" w:rsidP="002C0B3F">
            <w:pPr>
              <w:pStyle w:val="NoSpacing"/>
              <w:rPr>
                <w:b/>
                <w:bCs/>
              </w:rPr>
            </w:pPr>
            <w:r w:rsidRPr="00B32F7D">
              <w:rPr>
                <w:b/>
                <w:bCs/>
                <w:sz w:val="24"/>
                <w:szCs w:val="24"/>
              </w:rPr>
              <w:t>Outcome 2: Demand</w:t>
            </w:r>
          </w:p>
        </w:tc>
        <w:tc>
          <w:tcPr>
            <w:tcW w:w="1382" w:type="dxa"/>
          </w:tcPr>
          <w:p w14:paraId="7E4DEAFE" w14:textId="77777777" w:rsidR="00051F27" w:rsidRPr="00B32F7D" w:rsidRDefault="00051F27" w:rsidP="002C0B3F">
            <w:pPr>
              <w:pStyle w:val="NoSpacing"/>
              <w:rPr>
                <w:b/>
                <w:bCs/>
              </w:rPr>
            </w:pPr>
          </w:p>
        </w:tc>
        <w:tc>
          <w:tcPr>
            <w:tcW w:w="1538" w:type="dxa"/>
          </w:tcPr>
          <w:p w14:paraId="79EAE30E" w14:textId="77777777" w:rsidR="00051F27" w:rsidRPr="00B32F7D" w:rsidRDefault="00051F27" w:rsidP="002C0B3F">
            <w:pPr>
              <w:pStyle w:val="NoSpacing"/>
              <w:rPr>
                <w:b/>
                <w:bCs/>
              </w:rPr>
            </w:pPr>
          </w:p>
        </w:tc>
        <w:tc>
          <w:tcPr>
            <w:tcW w:w="1287" w:type="dxa"/>
          </w:tcPr>
          <w:p w14:paraId="37FD8861" w14:textId="176ADE9D" w:rsidR="00051F27" w:rsidRPr="00B32F7D" w:rsidRDefault="00051F27" w:rsidP="002C0B3F">
            <w:pPr>
              <w:pStyle w:val="NoSpacing"/>
              <w:rPr>
                <w:b/>
                <w:bCs/>
              </w:rPr>
            </w:pPr>
          </w:p>
        </w:tc>
        <w:tc>
          <w:tcPr>
            <w:tcW w:w="1432" w:type="dxa"/>
          </w:tcPr>
          <w:p w14:paraId="1465BEF1" w14:textId="77777777" w:rsidR="00051F27" w:rsidRDefault="00051F27" w:rsidP="002C0B3F">
            <w:pPr>
              <w:pStyle w:val="NoSpacing"/>
              <w:rPr>
                <w:sz w:val="24"/>
                <w:szCs w:val="24"/>
              </w:rPr>
            </w:pPr>
          </w:p>
        </w:tc>
        <w:tc>
          <w:tcPr>
            <w:tcW w:w="1276" w:type="dxa"/>
          </w:tcPr>
          <w:p w14:paraId="1E5AE4E4" w14:textId="77777777" w:rsidR="00051F27" w:rsidRDefault="00051F27" w:rsidP="002C0B3F">
            <w:pPr>
              <w:pStyle w:val="NoSpacing"/>
              <w:rPr>
                <w:sz w:val="24"/>
                <w:szCs w:val="24"/>
              </w:rPr>
            </w:pPr>
          </w:p>
        </w:tc>
      </w:tr>
      <w:tr w:rsidR="00051F27" w14:paraId="7E41113F" w14:textId="77777777" w:rsidTr="00051F27">
        <w:tc>
          <w:tcPr>
            <w:tcW w:w="2304" w:type="dxa"/>
          </w:tcPr>
          <w:p w14:paraId="29B14AD4" w14:textId="683B0882" w:rsidR="00051F27" w:rsidRPr="00B32F7D" w:rsidRDefault="00051F27" w:rsidP="002C0B3F">
            <w:pPr>
              <w:pStyle w:val="NoSpacing"/>
              <w:rPr>
                <w:b/>
                <w:bCs/>
                <w:sz w:val="24"/>
                <w:szCs w:val="24"/>
              </w:rPr>
            </w:pPr>
            <w:r>
              <w:t>Output 3: Increased community engagement and leadership</w:t>
            </w:r>
          </w:p>
        </w:tc>
        <w:tc>
          <w:tcPr>
            <w:tcW w:w="1382" w:type="dxa"/>
          </w:tcPr>
          <w:p w14:paraId="264DD0A4" w14:textId="77777777" w:rsidR="00051F27" w:rsidRDefault="00051F27" w:rsidP="002C0B3F">
            <w:pPr>
              <w:pStyle w:val="NoSpacing"/>
              <w:rPr>
                <w:bCs/>
              </w:rPr>
            </w:pPr>
            <w:r>
              <w:rPr>
                <w:bCs/>
              </w:rPr>
              <w:t>2018</w:t>
            </w:r>
          </w:p>
          <w:p w14:paraId="11907D86" w14:textId="5FAAAF26" w:rsidR="00051F27" w:rsidRPr="00051F27" w:rsidRDefault="00051F27" w:rsidP="002C0B3F">
            <w:pPr>
              <w:pStyle w:val="NoSpacing"/>
              <w:rPr>
                <w:bCs/>
              </w:rPr>
            </w:pPr>
            <w:r>
              <w:rPr>
                <w:bCs/>
              </w:rPr>
              <w:t>2019</w:t>
            </w:r>
          </w:p>
        </w:tc>
        <w:tc>
          <w:tcPr>
            <w:tcW w:w="1538" w:type="dxa"/>
          </w:tcPr>
          <w:p w14:paraId="66D4B0DF" w14:textId="77777777" w:rsidR="00051F27" w:rsidRDefault="00051F27" w:rsidP="002C0B3F">
            <w:pPr>
              <w:pStyle w:val="NoSpacing"/>
              <w:rPr>
                <w:bCs/>
              </w:rPr>
            </w:pPr>
            <w:r>
              <w:rPr>
                <w:bCs/>
              </w:rPr>
              <w:t>-</w:t>
            </w:r>
          </w:p>
          <w:p w14:paraId="6F2C38FC" w14:textId="7DB525C0" w:rsidR="00051F27" w:rsidRPr="00051F27" w:rsidRDefault="00051F27" w:rsidP="002C0B3F">
            <w:pPr>
              <w:pStyle w:val="NoSpacing"/>
              <w:rPr>
                <w:bCs/>
              </w:rPr>
            </w:pPr>
            <w:r>
              <w:rPr>
                <w:bCs/>
              </w:rPr>
              <w:t>101,199</w:t>
            </w:r>
          </w:p>
        </w:tc>
        <w:tc>
          <w:tcPr>
            <w:tcW w:w="1287" w:type="dxa"/>
          </w:tcPr>
          <w:p w14:paraId="0E92FFB1" w14:textId="17CB93E6" w:rsidR="00051F27" w:rsidRPr="00051F27" w:rsidRDefault="00051F27" w:rsidP="002C0B3F">
            <w:pPr>
              <w:pStyle w:val="NoSpacing"/>
              <w:rPr>
                <w:bCs/>
              </w:rPr>
            </w:pPr>
            <w:r w:rsidRPr="00051F27">
              <w:rPr>
                <w:bCs/>
              </w:rPr>
              <w:t>101,199</w:t>
            </w:r>
          </w:p>
        </w:tc>
        <w:tc>
          <w:tcPr>
            <w:tcW w:w="1432" w:type="dxa"/>
          </w:tcPr>
          <w:p w14:paraId="3867E6F8" w14:textId="1368D632" w:rsidR="00051F27" w:rsidRDefault="00051F27" w:rsidP="002C0B3F">
            <w:pPr>
              <w:pStyle w:val="NoSpacing"/>
              <w:rPr>
                <w:sz w:val="24"/>
                <w:szCs w:val="24"/>
              </w:rPr>
            </w:pPr>
            <w:r>
              <w:t>286,058</w:t>
            </w:r>
          </w:p>
        </w:tc>
        <w:tc>
          <w:tcPr>
            <w:tcW w:w="1276" w:type="dxa"/>
          </w:tcPr>
          <w:p w14:paraId="05147E61" w14:textId="3291925C" w:rsidR="00051F27" w:rsidRDefault="00051F27" w:rsidP="002C0B3F">
            <w:pPr>
              <w:pStyle w:val="NoSpacing"/>
              <w:rPr>
                <w:sz w:val="24"/>
                <w:szCs w:val="24"/>
              </w:rPr>
            </w:pPr>
            <w:r>
              <w:t>8%</w:t>
            </w:r>
          </w:p>
        </w:tc>
      </w:tr>
      <w:tr w:rsidR="00051F27" w14:paraId="221204E1" w14:textId="77777777" w:rsidTr="00051F27">
        <w:tc>
          <w:tcPr>
            <w:tcW w:w="2304" w:type="dxa"/>
          </w:tcPr>
          <w:p w14:paraId="275FDC02" w14:textId="0643D504" w:rsidR="00051F27" w:rsidRDefault="00051F27" w:rsidP="002C0B3F">
            <w:pPr>
              <w:pStyle w:val="NoSpacing"/>
            </w:pPr>
            <w:r>
              <w:t>Output 4:  Increased national capacity for community and school based FLE</w:t>
            </w:r>
          </w:p>
        </w:tc>
        <w:tc>
          <w:tcPr>
            <w:tcW w:w="1382" w:type="dxa"/>
          </w:tcPr>
          <w:p w14:paraId="1E63403A" w14:textId="77777777" w:rsidR="00051F27" w:rsidRDefault="00051F27" w:rsidP="002C0B3F">
            <w:pPr>
              <w:pStyle w:val="NoSpacing"/>
              <w:rPr>
                <w:bCs/>
              </w:rPr>
            </w:pPr>
            <w:r>
              <w:rPr>
                <w:bCs/>
              </w:rPr>
              <w:t>2018</w:t>
            </w:r>
          </w:p>
          <w:p w14:paraId="2387FE0A" w14:textId="2B4FD812" w:rsidR="00051F27" w:rsidRDefault="00051F27" w:rsidP="002C0B3F">
            <w:pPr>
              <w:pStyle w:val="NoSpacing"/>
              <w:rPr>
                <w:bCs/>
              </w:rPr>
            </w:pPr>
            <w:r>
              <w:rPr>
                <w:bCs/>
              </w:rPr>
              <w:t>2019</w:t>
            </w:r>
          </w:p>
        </w:tc>
        <w:tc>
          <w:tcPr>
            <w:tcW w:w="1538" w:type="dxa"/>
          </w:tcPr>
          <w:p w14:paraId="2C5DE184" w14:textId="77777777" w:rsidR="00051F27" w:rsidRDefault="00051F27" w:rsidP="002C0B3F">
            <w:pPr>
              <w:pStyle w:val="NoSpacing"/>
              <w:rPr>
                <w:bCs/>
              </w:rPr>
            </w:pPr>
            <w:r>
              <w:rPr>
                <w:bCs/>
              </w:rPr>
              <w:t>-</w:t>
            </w:r>
          </w:p>
          <w:p w14:paraId="332979C9" w14:textId="28A140E6" w:rsidR="00051F27" w:rsidRDefault="00051F27" w:rsidP="002C0B3F">
            <w:pPr>
              <w:pStyle w:val="NoSpacing"/>
              <w:rPr>
                <w:bCs/>
              </w:rPr>
            </w:pPr>
            <w:r>
              <w:t>184,859</w:t>
            </w:r>
          </w:p>
        </w:tc>
        <w:tc>
          <w:tcPr>
            <w:tcW w:w="1287" w:type="dxa"/>
          </w:tcPr>
          <w:p w14:paraId="5931D7AE" w14:textId="4226E70C" w:rsidR="00051F27" w:rsidRPr="00051F27" w:rsidRDefault="00051F27" w:rsidP="002C0B3F">
            <w:pPr>
              <w:pStyle w:val="NoSpacing"/>
              <w:rPr>
                <w:bCs/>
              </w:rPr>
            </w:pPr>
            <w:r>
              <w:rPr>
                <w:bCs/>
              </w:rPr>
              <w:t>184,859</w:t>
            </w:r>
          </w:p>
        </w:tc>
        <w:tc>
          <w:tcPr>
            <w:tcW w:w="1432" w:type="dxa"/>
          </w:tcPr>
          <w:p w14:paraId="682C08DF" w14:textId="77777777" w:rsidR="00051F27" w:rsidRDefault="00051F27" w:rsidP="002C0B3F">
            <w:pPr>
              <w:pStyle w:val="NoSpacing"/>
            </w:pPr>
          </w:p>
        </w:tc>
        <w:tc>
          <w:tcPr>
            <w:tcW w:w="1276" w:type="dxa"/>
          </w:tcPr>
          <w:p w14:paraId="7C5D4AF8" w14:textId="77777777" w:rsidR="00051F27" w:rsidRDefault="00051F27" w:rsidP="002C0B3F">
            <w:pPr>
              <w:pStyle w:val="NoSpacing"/>
            </w:pPr>
          </w:p>
        </w:tc>
      </w:tr>
      <w:tr w:rsidR="00051F27" w14:paraId="1DC9C98D" w14:textId="77777777" w:rsidTr="00051F27">
        <w:tc>
          <w:tcPr>
            <w:tcW w:w="2304" w:type="dxa"/>
          </w:tcPr>
          <w:p w14:paraId="4F9A53FA" w14:textId="27E35595" w:rsidR="00051F27" w:rsidRPr="00051F27" w:rsidRDefault="00051F27" w:rsidP="002C0B3F">
            <w:pPr>
              <w:pStyle w:val="NoSpacing"/>
              <w:rPr>
                <w:b/>
              </w:rPr>
            </w:pPr>
            <w:r w:rsidRPr="00051F27">
              <w:rPr>
                <w:b/>
                <w:bCs/>
                <w:sz w:val="24"/>
                <w:szCs w:val="24"/>
              </w:rPr>
              <w:t>Outcome 3: Enabling Environment</w:t>
            </w:r>
            <w:r>
              <w:rPr>
                <w:b/>
              </w:rPr>
              <w:t xml:space="preserve"> </w:t>
            </w:r>
          </w:p>
        </w:tc>
        <w:tc>
          <w:tcPr>
            <w:tcW w:w="1382" w:type="dxa"/>
          </w:tcPr>
          <w:p w14:paraId="6E948D89" w14:textId="77777777" w:rsidR="00051F27" w:rsidRDefault="00051F27" w:rsidP="002C0B3F">
            <w:pPr>
              <w:pStyle w:val="NoSpacing"/>
              <w:rPr>
                <w:bCs/>
              </w:rPr>
            </w:pPr>
          </w:p>
        </w:tc>
        <w:tc>
          <w:tcPr>
            <w:tcW w:w="1538" w:type="dxa"/>
          </w:tcPr>
          <w:p w14:paraId="5406BA4D" w14:textId="77777777" w:rsidR="00051F27" w:rsidRDefault="00051F27" w:rsidP="002C0B3F">
            <w:pPr>
              <w:pStyle w:val="NoSpacing"/>
              <w:rPr>
                <w:bCs/>
              </w:rPr>
            </w:pPr>
          </w:p>
        </w:tc>
        <w:tc>
          <w:tcPr>
            <w:tcW w:w="1287" w:type="dxa"/>
          </w:tcPr>
          <w:p w14:paraId="21260DCA" w14:textId="77777777" w:rsidR="00051F27" w:rsidRDefault="00051F27" w:rsidP="002C0B3F">
            <w:pPr>
              <w:pStyle w:val="NoSpacing"/>
              <w:rPr>
                <w:bCs/>
              </w:rPr>
            </w:pPr>
          </w:p>
        </w:tc>
        <w:tc>
          <w:tcPr>
            <w:tcW w:w="1432" w:type="dxa"/>
          </w:tcPr>
          <w:p w14:paraId="4BEBD4DA" w14:textId="77777777" w:rsidR="00051F27" w:rsidRDefault="00051F27" w:rsidP="002C0B3F">
            <w:pPr>
              <w:pStyle w:val="NoSpacing"/>
            </w:pPr>
          </w:p>
        </w:tc>
        <w:tc>
          <w:tcPr>
            <w:tcW w:w="1276" w:type="dxa"/>
          </w:tcPr>
          <w:p w14:paraId="31517A33" w14:textId="77777777" w:rsidR="00051F27" w:rsidRDefault="00051F27" w:rsidP="002C0B3F">
            <w:pPr>
              <w:pStyle w:val="NoSpacing"/>
            </w:pPr>
          </w:p>
        </w:tc>
      </w:tr>
      <w:tr w:rsidR="00051F27" w14:paraId="667CECFE" w14:textId="77777777" w:rsidTr="00051F27">
        <w:tc>
          <w:tcPr>
            <w:tcW w:w="2304" w:type="dxa"/>
          </w:tcPr>
          <w:p w14:paraId="3236F1E7" w14:textId="42677096" w:rsidR="00051F27" w:rsidRPr="00051F27" w:rsidRDefault="00051F27" w:rsidP="002C0B3F">
            <w:pPr>
              <w:pStyle w:val="NoSpacing"/>
              <w:rPr>
                <w:b/>
                <w:bCs/>
                <w:sz w:val="24"/>
                <w:szCs w:val="24"/>
              </w:rPr>
            </w:pPr>
            <w:r>
              <w:t>Output 5:  Expanded evidence-based legislation, public policy and programming</w:t>
            </w:r>
          </w:p>
        </w:tc>
        <w:tc>
          <w:tcPr>
            <w:tcW w:w="1382" w:type="dxa"/>
          </w:tcPr>
          <w:p w14:paraId="65AF9396" w14:textId="77777777" w:rsidR="00051F27" w:rsidRDefault="00051F27" w:rsidP="002C0B3F">
            <w:pPr>
              <w:pStyle w:val="NoSpacing"/>
              <w:rPr>
                <w:bCs/>
              </w:rPr>
            </w:pPr>
            <w:r>
              <w:rPr>
                <w:bCs/>
              </w:rPr>
              <w:t>2018</w:t>
            </w:r>
          </w:p>
          <w:p w14:paraId="00EAF4A7" w14:textId="5B4449D8" w:rsidR="00051F27" w:rsidRDefault="00051F27" w:rsidP="002C0B3F">
            <w:pPr>
              <w:pStyle w:val="NoSpacing"/>
              <w:rPr>
                <w:bCs/>
              </w:rPr>
            </w:pPr>
            <w:r>
              <w:rPr>
                <w:bCs/>
              </w:rPr>
              <w:t>2019</w:t>
            </w:r>
          </w:p>
        </w:tc>
        <w:tc>
          <w:tcPr>
            <w:tcW w:w="1538" w:type="dxa"/>
          </w:tcPr>
          <w:p w14:paraId="1D36586E" w14:textId="77777777" w:rsidR="00051F27" w:rsidRDefault="00051F27" w:rsidP="002C0B3F">
            <w:pPr>
              <w:pStyle w:val="NoSpacing"/>
              <w:rPr>
                <w:bCs/>
              </w:rPr>
            </w:pPr>
            <w:r>
              <w:rPr>
                <w:bCs/>
              </w:rPr>
              <w:t>137,160</w:t>
            </w:r>
          </w:p>
          <w:p w14:paraId="50B853F4" w14:textId="48EB48B4" w:rsidR="00051F27" w:rsidRDefault="00051F27" w:rsidP="002C0B3F">
            <w:pPr>
              <w:pStyle w:val="NoSpacing"/>
              <w:rPr>
                <w:bCs/>
              </w:rPr>
            </w:pPr>
            <w:r>
              <w:t>166,823</w:t>
            </w:r>
          </w:p>
        </w:tc>
        <w:tc>
          <w:tcPr>
            <w:tcW w:w="1287" w:type="dxa"/>
          </w:tcPr>
          <w:p w14:paraId="4A7994B4" w14:textId="33FFCAB2" w:rsidR="00051F27" w:rsidRDefault="00051F27" w:rsidP="002C0B3F">
            <w:pPr>
              <w:pStyle w:val="NoSpacing"/>
              <w:rPr>
                <w:bCs/>
              </w:rPr>
            </w:pPr>
            <w:r>
              <w:rPr>
                <w:bCs/>
              </w:rPr>
              <w:t>303,983</w:t>
            </w:r>
          </w:p>
        </w:tc>
        <w:tc>
          <w:tcPr>
            <w:tcW w:w="1432" w:type="dxa"/>
          </w:tcPr>
          <w:p w14:paraId="354A9342" w14:textId="409D52AE" w:rsidR="00051F27" w:rsidRDefault="00051F27" w:rsidP="002C0B3F">
            <w:pPr>
              <w:pStyle w:val="NoSpacing"/>
            </w:pPr>
            <w:r>
              <w:t>1,040,491</w:t>
            </w:r>
          </w:p>
        </w:tc>
        <w:tc>
          <w:tcPr>
            <w:tcW w:w="1276" w:type="dxa"/>
          </w:tcPr>
          <w:p w14:paraId="09002AF7" w14:textId="7132BEB0" w:rsidR="00051F27" w:rsidRDefault="00051F27" w:rsidP="002C0B3F">
            <w:pPr>
              <w:pStyle w:val="NoSpacing"/>
            </w:pPr>
            <w:r>
              <w:t>27%</w:t>
            </w:r>
          </w:p>
        </w:tc>
      </w:tr>
      <w:tr w:rsidR="00051F27" w14:paraId="79FE7160" w14:textId="77777777" w:rsidTr="00051F27">
        <w:tc>
          <w:tcPr>
            <w:tcW w:w="2304" w:type="dxa"/>
          </w:tcPr>
          <w:p w14:paraId="560290D0" w14:textId="20BC0E39" w:rsidR="00051F27" w:rsidRDefault="00051F27" w:rsidP="002C0B3F">
            <w:pPr>
              <w:pStyle w:val="NoSpacing"/>
            </w:pPr>
            <w:r>
              <w:t>Output 6:  Increased availability, analysis and use of high-quality data</w:t>
            </w:r>
          </w:p>
        </w:tc>
        <w:tc>
          <w:tcPr>
            <w:tcW w:w="1382" w:type="dxa"/>
          </w:tcPr>
          <w:p w14:paraId="5B87ABD5" w14:textId="77777777" w:rsidR="00051F27" w:rsidRDefault="00051F27" w:rsidP="002C0B3F">
            <w:pPr>
              <w:pStyle w:val="NoSpacing"/>
              <w:rPr>
                <w:bCs/>
              </w:rPr>
            </w:pPr>
            <w:r>
              <w:rPr>
                <w:bCs/>
              </w:rPr>
              <w:t>2018</w:t>
            </w:r>
          </w:p>
          <w:p w14:paraId="3B7A6968" w14:textId="7ED7DF92" w:rsidR="00051F27" w:rsidRDefault="00051F27" w:rsidP="002C0B3F">
            <w:pPr>
              <w:pStyle w:val="NoSpacing"/>
              <w:rPr>
                <w:bCs/>
              </w:rPr>
            </w:pPr>
            <w:r>
              <w:t>2019</w:t>
            </w:r>
          </w:p>
        </w:tc>
        <w:tc>
          <w:tcPr>
            <w:tcW w:w="1538" w:type="dxa"/>
          </w:tcPr>
          <w:p w14:paraId="36F41BEC" w14:textId="77777777" w:rsidR="00051F27" w:rsidRDefault="00051F27" w:rsidP="002C0B3F">
            <w:pPr>
              <w:pStyle w:val="NoSpacing"/>
            </w:pPr>
            <w:r>
              <w:t>356,133</w:t>
            </w:r>
          </w:p>
          <w:p w14:paraId="622A9F8F" w14:textId="4DDFED2C" w:rsidR="00051F27" w:rsidRDefault="00051F27" w:rsidP="002C0B3F">
            <w:pPr>
              <w:pStyle w:val="NoSpacing"/>
              <w:rPr>
                <w:bCs/>
              </w:rPr>
            </w:pPr>
            <w:r>
              <w:t>380,375</w:t>
            </w:r>
          </w:p>
        </w:tc>
        <w:tc>
          <w:tcPr>
            <w:tcW w:w="1287" w:type="dxa"/>
          </w:tcPr>
          <w:p w14:paraId="1838168E" w14:textId="46687C2B" w:rsidR="00051F27" w:rsidRDefault="00051F27" w:rsidP="002C0B3F">
            <w:pPr>
              <w:pStyle w:val="NoSpacing"/>
              <w:rPr>
                <w:bCs/>
              </w:rPr>
            </w:pPr>
            <w:r>
              <w:t>736,508</w:t>
            </w:r>
          </w:p>
        </w:tc>
        <w:tc>
          <w:tcPr>
            <w:tcW w:w="1432" w:type="dxa"/>
          </w:tcPr>
          <w:p w14:paraId="3AC604C0" w14:textId="77777777" w:rsidR="00051F27" w:rsidRDefault="00051F27" w:rsidP="002C0B3F">
            <w:pPr>
              <w:pStyle w:val="NoSpacing"/>
            </w:pPr>
          </w:p>
        </w:tc>
        <w:tc>
          <w:tcPr>
            <w:tcW w:w="1276" w:type="dxa"/>
          </w:tcPr>
          <w:p w14:paraId="59B1184F" w14:textId="77777777" w:rsidR="00051F27" w:rsidRDefault="00051F27" w:rsidP="002C0B3F">
            <w:pPr>
              <w:pStyle w:val="NoSpacing"/>
            </w:pPr>
          </w:p>
        </w:tc>
      </w:tr>
      <w:tr w:rsidR="00051F27" w14:paraId="1DBA6398" w14:textId="77777777" w:rsidTr="00051F27">
        <w:tc>
          <w:tcPr>
            <w:tcW w:w="2304" w:type="dxa"/>
          </w:tcPr>
          <w:p w14:paraId="31365D7E" w14:textId="4CFCF184" w:rsidR="00051F27" w:rsidRDefault="00051F27" w:rsidP="002C0B3F">
            <w:pPr>
              <w:pStyle w:val="NoSpacing"/>
            </w:pPr>
            <w:r w:rsidRPr="00B32F7D">
              <w:rPr>
                <w:b/>
                <w:bCs/>
                <w:sz w:val="24"/>
                <w:szCs w:val="24"/>
              </w:rPr>
              <w:t>Management</w:t>
            </w:r>
            <w:r>
              <w:rPr>
                <w:rStyle w:val="FootnoteReference"/>
                <w:b/>
                <w:bCs/>
                <w:sz w:val="24"/>
                <w:szCs w:val="24"/>
              </w:rPr>
              <w:footnoteReference w:id="33"/>
            </w:r>
          </w:p>
        </w:tc>
        <w:tc>
          <w:tcPr>
            <w:tcW w:w="1382" w:type="dxa"/>
          </w:tcPr>
          <w:p w14:paraId="0DAD806B" w14:textId="77777777" w:rsidR="00051F27" w:rsidRDefault="00051F27" w:rsidP="002C0B3F">
            <w:pPr>
              <w:pStyle w:val="NoSpacing"/>
              <w:rPr>
                <w:bCs/>
              </w:rPr>
            </w:pPr>
          </w:p>
        </w:tc>
        <w:tc>
          <w:tcPr>
            <w:tcW w:w="1538" w:type="dxa"/>
          </w:tcPr>
          <w:p w14:paraId="542453F3" w14:textId="77777777" w:rsidR="00051F27" w:rsidRDefault="00051F27" w:rsidP="002C0B3F">
            <w:pPr>
              <w:pStyle w:val="NoSpacing"/>
            </w:pPr>
          </w:p>
        </w:tc>
        <w:tc>
          <w:tcPr>
            <w:tcW w:w="1287" w:type="dxa"/>
          </w:tcPr>
          <w:p w14:paraId="10B56B45" w14:textId="77777777" w:rsidR="00051F27" w:rsidRDefault="00051F27" w:rsidP="002C0B3F">
            <w:pPr>
              <w:pStyle w:val="NoSpacing"/>
            </w:pPr>
          </w:p>
        </w:tc>
        <w:tc>
          <w:tcPr>
            <w:tcW w:w="1432" w:type="dxa"/>
          </w:tcPr>
          <w:p w14:paraId="1AE0EF50" w14:textId="77777777" w:rsidR="00051F27" w:rsidRDefault="00051F27" w:rsidP="002C0B3F">
            <w:pPr>
              <w:pStyle w:val="NoSpacing"/>
            </w:pPr>
          </w:p>
        </w:tc>
        <w:tc>
          <w:tcPr>
            <w:tcW w:w="1276" w:type="dxa"/>
          </w:tcPr>
          <w:p w14:paraId="4249A136" w14:textId="77777777" w:rsidR="00051F27" w:rsidRDefault="00051F27" w:rsidP="002C0B3F">
            <w:pPr>
              <w:pStyle w:val="NoSpacing"/>
            </w:pPr>
          </w:p>
        </w:tc>
      </w:tr>
      <w:tr w:rsidR="002760F1" w14:paraId="64BCCF72" w14:textId="77777777" w:rsidTr="00051F27">
        <w:tc>
          <w:tcPr>
            <w:tcW w:w="2304" w:type="dxa"/>
          </w:tcPr>
          <w:p w14:paraId="41FA8A9B" w14:textId="77777777" w:rsidR="002760F1" w:rsidRPr="00B32F7D" w:rsidRDefault="002760F1" w:rsidP="002C0B3F">
            <w:pPr>
              <w:pStyle w:val="NoSpacing"/>
              <w:rPr>
                <w:b/>
                <w:bCs/>
                <w:sz w:val="24"/>
                <w:szCs w:val="24"/>
              </w:rPr>
            </w:pPr>
          </w:p>
        </w:tc>
        <w:tc>
          <w:tcPr>
            <w:tcW w:w="1382" w:type="dxa"/>
          </w:tcPr>
          <w:p w14:paraId="1638F3E4" w14:textId="77777777" w:rsidR="002760F1" w:rsidRDefault="002760F1" w:rsidP="002C0B3F">
            <w:pPr>
              <w:pStyle w:val="NoSpacing"/>
            </w:pPr>
            <w:r w:rsidRPr="00BC2464">
              <w:t>2018</w:t>
            </w:r>
          </w:p>
          <w:p w14:paraId="7A2A8971" w14:textId="77777777" w:rsidR="002760F1" w:rsidRDefault="002760F1" w:rsidP="002C0B3F">
            <w:pPr>
              <w:pStyle w:val="NoSpacing"/>
              <w:rPr>
                <w:bCs/>
              </w:rPr>
            </w:pPr>
            <w:r>
              <w:rPr>
                <w:bCs/>
              </w:rPr>
              <w:t>2019</w:t>
            </w:r>
          </w:p>
          <w:p w14:paraId="43A43B8B" w14:textId="33B24D15" w:rsidR="002760F1" w:rsidRDefault="002760F1" w:rsidP="002C0B3F">
            <w:pPr>
              <w:pStyle w:val="NoSpacing"/>
              <w:rPr>
                <w:bCs/>
              </w:rPr>
            </w:pPr>
            <w:r>
              <w:rPr>
                <w:bCs/>
              </w:rPr>
              <w:t>2020 (to August)</w:t>
            </w:r>
          </w:p>
        </w:tc>
        <w:tc>
          <w:tcPr>
            <w:tcW w:w="1538" w:type="dxa"/>
          </w:tcPr>
          <w:p w14:paraId="5CC3B00A" w14:textId="77777777" w:rsidR="002760F1" w:rsidRDefault="002760F1" w:rsidP="002C0B3F">
            <w:pPr>
              <w:pStyle w:val="NoSpacing"/>
            </w:pPr>
            <w:r>
              <w:t>126,127</w:t>
            </w:r>
          </w:p>
          <w:p w14:paraId="2092B655" w14:textId="77777777" w:rsidR="002760F1" w:rsidRDefault="002760F1" w:rsidP="002C0B3F">
            <w:pPr>
              <w:pStyle w:val="NoSpacing"/>
            </w:pPr>
            <w:r>
              <w:t>1,334,251</w:t>
            </w:r>
          </w:p>
          <w:p w14:paraId="0E8D182B" w14:textId="3769A954" w:rsidR="002760F1" w:rsidRDefault="002760F1" w:rsidP="002C0B3F">
            <w:pPr>
              <w:pStyle w:val="NoSpacing"/>
            </w:pPr>
            <w:r>
              <w:t>1,106,559</w:t>
            </w:r>
          </w:p>
        </w:tc>
        <w:tc>
          <w:tcPr>
            <w:tcW w:w="1287" w:type="dxa"/>
          </w:tcPr>
          <w:p w14:paraId="55E4E6D6" w14:textId="01C8E527" w:rsidR="002760F1" w:rsidRDefault="002760F1" w:rsidP="002C0B3F">
            <w:pPr>
              <w:pStyle w:val="NoSpacing"/>
            </w:pPr>
            <w:r>
              <w:t>1,460,378</w:t>
            </w:r>
          </w:p>
        </w:tc>
        <w:tc>
          <w:tcPr>
            <w:tcW w:w="1432" w:type="dxa"/>
          </w:tcPr>
          <w:p w14:paraId="16505A43" w14:textId="77777777" w:rsidR="002760F1" w:rsidRDefault="002760F1" w:rsidP="002760F1">
            <w:pPr>
              <w:pStyle w:val="NoSpacing"/>
            </w:pPr>
            <w:r>
              <w:t>2,566,937</w:t>
            </w:r>
          </w:p>
          <w:p w14:paraId="497888F1" w14:textId="23A38878" w:rsidR="002760F1" w:rsidRDefault="002760F1" w:rsidP="002760F1">
            <w:pPr>
              <w:pStyle w:val="NoSpacing"/>
            </w:pPr>
            <w:r>
              <w:t>(47%)</w:t>
            </w:r>
          </w:p>
        </w:tc>
        <w:tc>
          <w:tcPr>
            <w:tcW w:w="1276" w:type="dxa"/>
          </w:tcPr>
          <w:p w14:paraId="302A604A" w14:textId="489AB361" w:rsidR="002760F1" w:rsidRDefault="002760F1" w:rsidP="002C0B3F">
            <w:pPr>
              <w:pStyle w:val="NoSpacing"/>
            </w:pPr>
            <w:r>
              <w:t>39%</w:t>
            </w:r>
          </w:p>
        </w:tc>
      </w:tr>
      <w:tr w:rsidR="002760F1" w14:paraId="3AD5AA2C" w14:textId="77777777" w:rsidTr="00051F27">
        <w:tc>
          <w:tcPr>
            <w:tcW w:w="2304" w:type="dxa"/>
          </w:tcPr>
          <w:p w14:paraId="76842A69" w14:textId="03F43B99" w:rsidR="002760F1" w:rsidRPr="00B32F7D" w:rsidRDefault="002760F1" w:rsidP="002C0B3F">
            <w:pPr>
              <w:pStyle w:val="NoSpacing"/>
              <w:rPr>
                <w:b/>
                <w:bCs/>
                <w:sz w:val="24"/>
                <w:szCs w:val="24"/>
              </w:rPr>
            </w:pPr>
            <w:r>
              <w:rPr>
                <w:b/>
                <w:bCs/>
                <w:sz w:val="24"/>
                <w:szCs w:val="24"/>
              </w:rPr>
              <w:t xml:space="preserve">Total Expenditure 2018-19: </w:t>
            </w:r>
          </w:p>
        </w:tc>
        <w:tc>
          <w:tcPr>
            <w:tcW w:w="1382" w:type="dxa"/>
          </w:tcPr>
          <w:p w14:paraId="475BE64B" w14:textId="77777777" w:rsidR="002760F1" w:rsidRPr="00BC2464" w:rsidRDefault="002760F1" w:rsidP="002C0B3F">
            <w:pPr>
              <w:pStyle w:val="NoSpacing"/>
            </w:pPr>
          </w:p>
        </w:tc>
        <w:tc>
          <w:tcPr>
            <w:tcW w:w="1538" w:type="dxa"/>
          </w:tcPr>
          <w:p w14:paraId="2B9EB7AB" w14:textId="77777777" w:rsidR="002760F1" w:rsidRDefault="002760F1" w:rsidP="002C0B3F">
            <w:pPr>
              <w:pStyle w:val="NoSpacing"/>
            </w:pPr>
          </w:p>
        </w:tc>
        <w:tc>
          <w:tcPr>
            <w:tcW w:w="1287" w:type="dxa"/>
          </w:tcPr>
          <w:p w14:paraId="02F8EE98" w14:textId="1E293706" w:rsidR="002760F1" w:rsidRDefault="002760F1" w:rsidP="002C0B3F">
            <w:pPr>
              <w:pStyle w:val="NoSpacing"/>
            </w:pPr>
            <w:r>
              <w:rPr>
                <w:b/>
                <w:bCs/>
              </w:rPr>
              <w:t>3,790,060</w:t>
            </w:r>
          </w:p>
        </w:tc>
        <w:tc>
          <w:tcPr>
            <w:tcW w:w="1432" w:type="dxa"/>
          </w:tcPr>
          <w:p w14:paraId="22E5FE09" w14:textId="77777777" w:rsidR="002760F1" w:rsidRDefault="002760F1" w:rsidP="002760F1">
            <w:pPr>
              <w:pStyle w:val="NoSpacing"/>
            </w:pPr>
          </w:p>
        </w:tc>
        <w:tc>
          <w:tcPr>
            <w:tcW w:w="1276" w:type="dxa"/>
          </w:tcPr>
          <w:p w14:paraId="6C4F5751" w14:textId="1412DFB6" w:rsidR="002760F1" w:rsidRDefault="002760F1" w:rsidP="002C0B3F">
            <w:pPr>
              <w:pStyle w:val="NoSpacing"/>
            </w:pPr>
            <w:r>
              <w:t>100%</w:t>
            </w:r>
          </w:p>
        </w:tc>
      </w:tr>
    </w:tbl>
    <w:p w14:paraId="50E34C02" w14:textId="77777777" w:rsidR="00207D75" w:rsidRPr="00C662BF" w:rsidRDefault="00207D75" w:rsidP="00207D75">
      <w:pPr>
        <w:tabs>
          <w:tab w:val="left" w:pos="1264"/>
          <w:tab w:val="left" w:pos="3077"/>
          <w:tab w:val="left" w:pos="4481"/>
          <w:tab w:val="left" w:pos="6587"/>
        </w:tabs>
        <w:spacing w:after="0" w:line="240" w:lineRule="auto"/>
        <w:rPr>
          <w:rFonts w:ascii="Times New Roman" w:hAnsi="Times New Roman" w:cs="Times New Roman"/>
          <w:b/>
          <w:bCs/>
          <w:sz w:val="20"/>
          <w:szCs w:val="20"/>
          <w:lang w:eastAsia="en-AU"/>
        </w:rPr>
      </w:pPr>
      <w:r w:rsidRPr="00B21BF0">
        <w:rPr>
          <w:b/>
          <w:bCs/>
          <w:sz w:val="18"/>
          <w:szCs w:val="18"/>
        </w:rPr>
        <w:t>Source:</w:t>
      </w:r>
      <w:r>
        <w:rPr>
          <w:b/>
          <w:bCs/>
          <w:sz w:val="18"/>
          <w:szCs w:val="18"/>
        </w:rPr>
        <w:t xml:space="preserve"> </w:t>
      </w:r>
      <w:r w:rsidR="00486809">
        <w:rPr>
          <w:rFonts w:cstheme="minorHAnsi"/>
          <w:b/>
          <w:bCs/>
          <w:i/>
          <w:iCs/>
          <w:sz w:val="20"/>
          <w:szCs w:val="20"/>
        </w:rPr>
        <w:t xml:space="preserve">  PSRO Finance Division</w:t>
      </w:r>
      <w:r w:rsidRPr="00C662BF">
        <w:rPr>
          <w:rFonts w:ascii="Times New Roman" w:hAnsi="Times New Roman" w:cs="Times New Roman"/>
          <w:b/>
          <w:bCs/>
          <w:sz w:val="20"/>
          <w:szCs w:val="20"/>
          <w:lang w:eastAsia="en-AU"/>
        </w:rPr>
        <w:tab/>
      </w:r>
      <w:r w:rsidRPr="00C662BF">
        <w:rPr>
          <w:rFonts w:ascii="Times New Roman" w:hAnsi="Times New Roman" w:cs="Times New Roman"/>
          <w:b/>
          <w:bCs/>
          <w:sz w:val="20"/>
          <w:szCs w:val="20"/>
          <w:lang w:eastAsia="en-AU"/>
        </w:rPr>
        <w:tab/>
      </w:r>
    </w:p>
    <w:p w14:paraId="3AE7BE5F" w14:textId="77777777" w:rsidR="00C15429" w:rsidRPr="001E6AD8" w:rsidRDefault="00C15429" w:rsidP="00207D75">
      <w:pPr>
        <w:spacing w:after="160" w:line="259" w:lineRule="auto"/>
        <w:rPr>
          <w:b/>
          <w:bCs/>
          <w:szCs w:val="22"/>
        </w:rPr>
      </w:pPr>
      <w:r w:rsidRPr="001E6AD8">
        <w:rPr>
          <w:b/>
          <w:bCs/>
          <w:szCs w:val="22"/>
        </w:rPr>
        <w:br w:type="page"/>
      </w:r>
    </w:p>
    <w:p w14:paraId="677F0D96" w14:textId="77777777" w:rsidR="004D2D92" w:rsidRDefault="004D2D92" w:rsidP="008453DD">
      <w:pPr>
        <w:pStyle w:val="Title"/>
      </w:pPr>
      <w:bookmarkStart w:id="57" w:name="_Toc76630113"/>
      <w:r w:rsidRPr="009E4E08">
        <w:lastRenderedPageBreak/>
        <w:t>Annex</w:t>
      </w:r>
      <w:r>
        <w:t xml:space="preserve"> </w:t>
      </w:r>
      <w:r w:rsidR="00140409">
        <w:t>9</w:t>
      </w:r>
      <w:r>
        <w:t xml:space="preserve">: Proposed </w:t>
      </w:r>
      <w:r w:rsidRPr="009E4E08">
        <w:t>Priorit</w:t>
      </w:r>
      <w:r>
        <w:t>y</w:t>
      </w:r>
      <w:r w:rsidRPr="009E4E08">
        <w:t xml:space="preserve"> Interventions</w:t>
      </w:r>
      <w:bookmarkEnd w:id="57"/>
    </w:p>
    <w:p w14:paraId="103933D9" w14:textId="77777777" w:rsidR="004D2D92" w:rsidRPr="001A4006" w:rsidRDefault="004D2D92" w:rsidP="004D2D92"/>
    <w:p w14:paraId="7D86C513" w14:textId="77777777" w:rsidR="004D2D92" w:rsidRDefault="004D2D92" w:rsidP="004D2D92">
      <w:r w:rsidRPr="001A4006">
        <w:t xml:space="preserve">This table lists the outcomes, outputs and interventions from the Program Design Document; and the proposed priority interventions </w:t>
      </w:r>
      <w:r w:rsidR="00907867">
        <w:t xml:space="preserve">and activities </w:t>
      </w:r>
      <w:r w:rsidRPr="001A4006">
        <w:t>for the remainder of the TA program.</w:t>
      </w:r>
      <w:r>
        <w:t xml:space="preserve"> The main criteria used to select the priority interventions are: direct FP/SRH service delivery for individuals and increasing demand for FP/SRH services.  </w:t>
      </w:r>
    </w:p>
    <w:p w14:paraId="3643616A" w14:textId="77777777" w:rsidR="004D2D92" w:rsidRPr="001A4006" w:rsidRDefault="004D2D92" w:rsidP="004D2D92">
      <w:r>
        <w:t>The wording of some outputs and interventions has been changed to reflect these criteria.</w:t>
      </w:r>
    </w:p>
    <w:tbl>
      <w:tblPr>
        <w:tblStyle w:val="TableGrid"/>
        <w:tblW w:w="0" w:type="auto"/>
        <w:tblLook w:val="04A0" w:firstRow="1" w:lastRow="0" w:firstColumn="1" w:lastColumn="0" w:noHBand="0" w:noVBand="1"/>
      </w:tblPr>
      <w:tblGrid>
        <w:gridCol w:w="3114"/>
        <w:gridCol w:w="2835"/>
        <w:gridCol w:w="3067"/>
      </w:tblGrid>
      <w:tr w:rsidR="00907867" w14:paraId="68598536" w14:textId="77777777" w:rsidTr="00891EE8">
        <w:trPr>
          <w:tblHeader/>
        </w:trPr>
        <w:tc>
          <w:tcPr>
            <w:tcW w:w="3114" w:type="dxa"/>
            <w:tcBorders>
              <w:bottom w:val="single" w:sz="4" w:space="0" w:color="auto"/>
            </w:tcBorders>
            <w:shd w:val="clear" w:color="auto" w:fill="FF0000"/>
          </w:tcPr>
          <w:p w14:paraId="51FCEE8E" w14:textId="77777777" w:rsidR="00907867" w:rsidRPr="005526F2" w:rsidRDefault="00907867" w:rsidP="00717F4D">
            <w:pPr>
              <w:rPr>
                <w:b/>
                <w:bCs/>
                <w:sz w:val="24"/>
              </w:rPr>
            </w:pPr>
            <w:r w:rsidRPr="005526F2">
              <w:rPr>
                <w:b/>
                <w:bCs/>
                <w:sz w:val="24"/>
              </w:rPr>
              <w:t>Outputs and Interventions from PDD</w:t>
            </w:r>
          </w:p>
        </w:tc>
        <w:tc>
          <w:tcPr>
            <w:tcW w:w="2835" w:type="dxa"/>
            <w:tcBorders>
              <w:bottom w:val="single" w:sz="4" w:space="0" w:color="auto"/>
            </w:tcBorders>
            <w:shd w:val="clear" w:color="auto" w:fill="FF0000"/>
          </w:tcPr>
          <w:p w14:paraId="6F58AFA0" w14:textId="77777777" w:rsidR="00907867" w:rsidRPr="005526F2" w:rsidRDefault="00907867" w:rsidP="00717F4D">
            <w:pPr>
              <w:rPr>
                <w:b/>
                <w:bCs/>
                <w:sz w:val="24"/>
              </w:rPr>
            </w:pPr>
            <w:r w:rsidRPr="005526F2">
              <w:rPr>
                <w:b/>
                <w:bCs/>
                <w:sz w:val="24"/>
              </w:rPr>
              <w:t>Proposed Priority Interventions</w:t>
            </w:r>
          </w:p>
        </w:tc>
        <w:tc>
          <w:tcPr>
            <w:tcW w:w="3067" w:type="dxa"/>
            <w:tcBorders>
              <w:bottom w:val="single" w:sz="4" w:space="0" w:color="auto"/>
            </w:tcBorders>
            <w:shd w:val="clear" w:color="auto" w:fill="FF0000"/>
          </w:tcPr>
          <w:p w14:paraId="3856787F" w14:textId="77777777" w:rsidR="00907867" w:rsidRPr="005526F2" w:rsidRDefault="00907867" w:rsidP="00717F4D">
            <w:pPr>
              <w:rPr>
                <w:b/>
                <w:bCs/>
                <w:sz w:val="24"/>
              </w:rPr>
            </w:pPr>
            <w:r w:rsidRPr="005526F2">
              <w:rPr>
                <w:b/>
                <w:bCs/>
                <w:sz w:val="24"/>
              </w:rPr>
              <w:t>Priority Activities</w:t>
            </w:r>
          </w:p>
        </w:tc>
      </w:tr>
      <w:tr w:rsidR="00891EE8" w14:paraId="14A43E4B" w14:textId="77777777" w:rsidTr="00891EE8">
        <w:trPr>
          <w:tblHeader/>
        </w:trPr>
        <w:tc>
          <w:tcPr>
            <w:tcW w:w="3114" w:type="dxa"/>
            <w:tcBorders>
              <w:top w:val="single" w:sz="4" w:space="0" w:color="auto"/>
              <w:left w:val="single" w:sz="4" w:space="0" w:color="auto"/>
              <w:bottom w:val="single" w:sz="4" w:space="0" w:color="auto"/>
              <w:right w:val="nil"/>
            </w:tcBorders>
            <w:shd w:val="clear" w:color="auto" w:fill="auto"/>
          </w:tcPr>
          <w:p w14:paraId="154D31C5" w14:textId="4A578A83" w:rsidR="00891EE8" w:rsidRPr="005526F2" w:rsidRDefault="00891EE8" w:rsidP="00717F4D">
            <w:pPr>
              <w:rPr>
                <w:b/>
                <w:bCs/>
                <w:sz w:val="24"/>
              </w:rPr>
            </w:pPr>
            <w:r w:rsidRPr="005526F2">
              <w:rPr>
                <w:b/>
                <w:bCs/>
                <w:sz w:val="24"/>
              </w:rPr>
              <w:t>Outcome 1: Increased and improved supply of integrated SRH information and services, particularly for FP</w:t>
            </w:r>
          </w:p>
        </w:tc>
        <w:tc>
          <w:tcPr>
            <w:tcW w:w="2835" w:type="dxa"/>
            <w:tcBorders>
              <w:top w:val="single" w:sz="4" w:space="0" w:color="auto"/>
              <w:left w:val="nil"/>
              <w:bottom w:val="single" w:sz="4" w:space="0" w:color="auto"/>
              <w:right w:val="nil"/>
            </w:tcBorders>
            <w:shd w:val="clear" w:color="auto" w:fill="auto"/>
          </w:tcPr>
          <w:p w14:paraId="4D7B0631" w14:textId="77777777" w:rsidR="00891EE8" w:rsidRPr="005526F2" w:rsidRDefault="00891EE8" w:rsidP="00717F4D">
            <w:pPr>
              <w:rPr>
                <w:b/>
                <w:bCs/>
                <w:sz w:val="24"/>
              </w:rPr>
            </w:pPr>
          </w:p>
        </w:tc>
        <w:tc>
          <w:tcPr>
            <w:tcW w:w="3067" w:type="dxa"/>
            <w:tcBorders>
              <w:top w:val="single" w:sz="4" w:space="0" w:color="auto"/>
              <w:left w:val="nil"/>
              <w:bottom w:val="single" w:sz="4" w:space="0" w:color="auto"/>
              <w:right w:val="single" w:sz="4" w:space="0" w:color="auto"/>
            </w:tcBorders>
            <w:shd w:val="clear" w:color="auto" w:fill="auto"/>
          </w:tcPr>
          <w:p w14:paraId="03A9656A" w14:textId="77777777" w:rsidR="00891EE8" w:rsidRPr="005526F2" w:rsidRDefault="00891EE8" w:rsidP="00717F4D">
            <w:pPr>
              <w:rPr>
                <w:b/>
                <w:bCs/>
                <w:sz w:val="24"/>
              </w:rPr>
            </w:pPr>
          </w:p>
        </w:tc>
      </w:tr>
      <w:tr w:rsidR="00907867" w14:paraId="71C08519" w14:textId="77777777" w:rsidTr="00891EE8">
        <w:tc>
          <w:tcPr>
            <w:tcW w:w="3114" w:type="dxa"/>
            <w:tcBorders>
              <w:top w:val="single" w:sz="4" w:space="0" w:color="auto"/>
            </w:tcBorders>
          </w:tcPr>
          <w:p w14:paraId="76FCEBE5" w14:textId="77777777" w:rsidR="00907867" w:rsidRDefault="00907867" w:rsidP="00717F4D">
            <w:r w:rsidRPr="003D002D">
              <w:rPr>
                <w:b/>
                <w:bCs/>
              </w:rPr>
              <w:t>Output 1:</w:t>
            </w:r>
            <w:r>
              <w:t xml:space="preserve"> Strengthened delivery of high quality, integrated SRH information and services for women, adolescents and youth </w:t>
            </w:r>
            <w:r w:rsidRPr="00907867">
              <w:t xml:space="preserve">across the development-humanitarian </w:t>
            </w:r>
            <w:proofErr w:type="gramStart"/>
            <w:r w:rsidRPr="00907867">
              <w:t>continuum</w:t>
            </w:r>
            <w:proofErr w:type="gramEnd"/>
          </w:p>
          <w:p w14:paraId="5FF2AB26" w14:textId="77777777" w:rsidR="00907867" w:rsidRPr="00B8443F" w:rsidRDefault="00907867" w:rsidP="00717F4D">
            <w:pPr>
              <w:rPr>
                <w:b/>
                <w:bCs/>
              </w:rPr>
            </w:pPr>
            <w:r w:rsidRPr="00B8443F">
              <w:rPr>
                <w:b/>
                <w:bCs/>
              </w:rPr>
              <w:t>Interventions:</w:t>
            </w:r>
          </w:p>
          <w:p w14:paraId="7B9CAD7D" w14:textId="77777777" w:rsidR="00907867" w:rsidRDefault="00907867" w:rsidP="00717F4D">
            <w:r>
              <w:t>1.1 Expanded and improved SRH service availability through strengthened policy and in-service training for existing health officers</w:t>
            </w:r>
          </w:p>
          <w:p w14:paraId="44B888B3" w14:textId="77777777" w:rsidR="00907867" w:rsidRDefault="00907867" w:rsidP="00717F4D"/>
          <w:p w14:paraId="76611144" w14:textId="77777777" w:rsidR="00907867" w:rsidRDefault="00907867" w:rsidP="00717F4D">
            <w:r>
              <w:t xml:space="preserve">1.2 Enhancing the operational standards and referral systems for improved access to integrated, disability inclusive and youth friendly SRH </w:t>
            </w:r>
            <w:proofErr w:type="gramStart"/>
            <w:r>
              <w:t>services</w:t>
            </w:r>
            <w:proofErr w:type="gramEnd"/>
            <w:r>
              <w:t xml:space="preserve"> </w:t>
            </w:r>
          </w:p>
          <w:p w14:paraId="04E06088" w14:textId="77777777" w:rsidR="00907867" w:rsidRDefault="00907867" w:rsidP="00717F4D"/>
          <w:p w14:paraId="2EE3FA94" w14:textId="77777777" w:rsidR="00907867" w:rsidRDefault="00907867" w:rsidP="00717F4D">
            <w:r>
              <w:t xml:space="preserve">1.3 Strengthened mechanisms to evaluate the quality of SRH services at all levels and ensure lessons learned are applied to improved policy and regulatory </w:t>
            </w:r>
            <w:proofErr w:type="gramStart"/>
            <w:r>
              <w:t>frameworks</w:t>
            </w:r>
            <w:proofErr w:type="gramEnd"/>
          </w:p>
          <w:p w14:paraId="7B10C9F1" w14:textId="77777777" w:rsidR="00907867" w:rsidRDefault="00907867" w:rsidP="00717F4D"/>
          <w:p w14:paraId="4E201C02" w14:textId="77777777" w:rsidR="00907867" w:rsidRPr="00B8443F" w:rsidRDefault="00907867" w:rsidP="00717F4D">
            <w:r w:rsidRPr="00907867">
              <w:t>1.4 Ensuring continuity of services during natural disasters.</w:t>
            </w:r>
          </w:p>
        </w:tc>
        <w:tc>
          <w:tcPr>
            <w:tcW w:w="2835" w:type="dxa"/>
            <w:tcBorders>
              <w:top w:val="single" w:sz="4" w:space="0" w:color="auto"/>
            </w:tcBorders>
          </w:tcPr>
          <w:p w14:paraId="40DF6380" w14:textId="77777777" w:rsidR="00907867" w:rsidRDefault="00907867" w:rsidP="00717F4D">
            <w:r w:rsidRPr="003D002D">
              <w:rPr>
                <w:b/>
                <w:bCs/>
              </w:rPr>
              <w:lastRenderedPageBreak/>
              <w:t>Output 1:</w:t>
            </w:r>
            <w:r>
              <w:t xml:space="preserve"> Strengthened delivery of high quality, integrated SRH information and services for women, adolescents and </w:t>
            </w:r>
            <w:proofErr w:type="gramStart"/>
            <w:r>
              <w:t>youth</w:t>
            </w:r>
            <w:proofErr w:type="gramEnd"/>
          </w:p>
          <w:p w14:paraId="54F8F91E" w14:textId="77777777" w:rsidR="00907867" w:rsidRDefault="00907867" w:rsidP="00717F4D">
            <w:pPr>
              <w:rPr>
                <w:b/>
                <w:bCs/>
              </w:rPr>
            </w:pPr>
          </w:p>
          <w:p w14:paraId="6E79E902" w14:textId="77777777" w:rsidR="00907867" w:rsidRPr="0061012C" w:rsidRDefault="00907867" w:rsidP="00717F4D">
            <w:pPr>
              <w:rPr>
                <w:b/>
                <w:bCs/>
              </w:rPr>
            </w:pPr>
            <w:r w:rsidRPr="0061012C">
              <w:rPr>
                <w:b/>
                <w:bCs/>
              </w:rPr>
              <w:t>Interventions:</w:t>
            </w:r>
          </w:p>
          <w:p w14:paraId="55ECEE42" w14:textId="77777777" w:rsidR="00907867" w:rsidRPr="0061012C" w:rsidRDefault="00907867" w:rsidP="00717F4D">
            <w:r w:rsidRPr="0061012C">
              <w:t>1.1 Expanded and improved SRH service availability through strengthened policy and in-service training for existing health officers</w:t>
            </w:r>
          </w:p>
          <w:p w14:paraId="7D7D2F9E" w14:textId="77777777" w:rsidR="00907867" w:rsidRDefault="00907867" w:rsidP="00717F4D"/>
          <w:p w14:paraId="4698B1D7" w14:textId="77777777" w:rsidR="00907867" w:rsidRPr="0061012C" w:rsidRDefault="00907867" w:rsidP="00717F4D">
            <w:r w:rsidRPr="0061012C">
              <w:t xml:space="preserve">1.2 Enhancing the operational standards and referral systems for improved access to integrated, disability inclusive and youth friendly SRH </w:t>
            </w:r>
            <w:proofErr w:type="gramStart"/>
            <w:r w:rsidRPr="0061012C">
              <w:t>services</w:t>
            </w:r>
            <w:proofErr w:type="gramEnd"/>
            <w:r w:rsidRPr="0061012C">
              <w:t xml:space="preserve"> </w:t>
            </w:r>
          </w:p>
          <w:p w14:paraId="6AEB5F3E" w14:textId="77777777" w:rsidR="00907867" w:rsidRDefault="00907867" w:rsidP="00717F4D"/>
          <w:p w14:paraId="62B1BB11" w14:textId="77777777" w:rsidR="00907867" w:rsidRDefault="00907867" w:rsidP="00717F4D">
            <w:pPr>
              <w:rPr>
                <w:b/>
                <w:bCs/>
                <w:sz w:val="28"/>
                <w:szCs w:val="28"/>
              </w:rPr>
            </w:pPr>
            <w:r w:rsidRPr="0061012C">
              <w:t xml:space="preserve">1.3 Strengthened mechanisms to evaluate the quality of SRH services at all levels and ensure lessons learned are applied to </w:t>
            </w:r>
            <w:r w:rsidRPr="0061012C">
              <w:lastRenderedPageBreak/>
              <w:t>improved policy and regulatory frameworks</w:t>
            </w:r>
          </w:p>
        </w:tc>
        <w:tc>
          <w:tcPr>
            <w:tcW w:w="3067" w:type="dxa"/>
            <w:tcBorders>
              <w:top w:val="single" w:sz="4" w:space="0" w:color="auto"/>
            </w:tcBorders>
          </w:tcPr>
          <w:p w14:paraId="57626A98" w14:textId="77777777" w:rsidR="00907867" w:rsidRDefault="00907867" w:rsidP="00717F4D">
            <w:r w:rsidRPr="00175461">
              <w:lastRenderedPageBreak/>
              <w:t>HFRSA assessments in all 6 countries</w:t>
            </w:r>
            <w:r>
              <w:t>;</w:t>
            </w:r>
          </w:p>
          <w:p w14:paraId="75A026E0" w14:textId="77777777" w:rsidR="00907867" w:rsidRDefault="00907867" w:rsidP="00717F4D">
            <w:r>
              <w:t>In-service training for SDP staff – human rights, client-centred approach</w:t>
            </w:r>
          </w:p>
          <w:p w14:paraId="1C006187" w14:textId="77777777" w:rsidR="00907867" w:rsidRDefault="00907867" w:rsidP="00717F4D">
            <w:r>
              <w:t>- FP counselling and provision of LARC and EC</w:t>
            </w:r>
          </w:p>
          <w:p w14:paraId="55AA3F26" w14:textId="77777777" w:rsidR="00907867" w:rsidRDefault="00907867" w:rsidP="00717F4D">
            <w:r>
              <w:t>- GBV screening and care</w:t>
            </w:r>
          </w:p>
          <w:p w14:paraId="7F457D1A" w14:textId="77777777" w:rsidR="00907867" w:rsidRDefault="00907867" w:rsidP="00717F4D">
            <w:r>
              <w:t>- Disability inclusive services</w:t>
            </w:r>
          </w:p>
          <w:p w14:paraId="27DD48A8" w14:textId="77777777" w:rsidR="00907867" w:rsidRDefault="00907867" w:rsidP="00717F4D">
            <w:r>
              <w:t>- MISP training and kits</w:t>
            </w:r>
          </w:p>
          <w:p w14:paraId="6F391265" w14:textId="77777777" w:rsidR="00907867" w:rsidRDefault="00907867" w:rsidP="00717F4D">
            <w:r>
              <w:t>- IEC for new services</w:t>
            </w:r>
          </w:p>
          <w:p w14:paraId="7B83A3D3" w14:textId="77777777" w:rsidR="00907867" w:rsidRDefault="00907867" w:rsidP="00717F4D">
            <w:r>
              <w:t>- Values clarification exercises</w:t>
            </w:r>
          </w:p>
          <w:p w14:paraId="0430CEAA" w14:textId="77777777" w:rsidR="00907867" w:rsidRDefault="00907867" w:rsidP="00717F4D">
            <w:r>
              <w:t>Advocacy with national governments to amend local laws/regulations to enable FP service provision at PHC levels;</w:t>
            </w:r>
          </w:p>
          <w:p w14:paraId="5F7510B8" w14:textId="77777777" w:rsidR="00907867" w:rsidRDefault="00907867" w:rsidP="00717F4D">
            <w:r>
              <w:t>Modify and expand health facility opening hours;</w:t>
            </w:r>
          </w:p>
          <w:p w14:paraId="290F4F31" w14:textId="77777777" w:rsidR="00907867" w:rsidRDefault="00907867" w:rsidP="00717F4D">
            <w:r>
              <w:t xml:space="preserve">All mobile services include a health worker trained in YFS, disability inclusive SRH services, and can provide 3-5 modern methods including LARCs and </w:t>
            </w:r>
            <w:proofErr w:type="gramStart"/>
            <w:r>
              <w:t>EC</w:t>
            </w:r>
            <w:proofErr w:type="gramEnd"/>
          </w:p>
          <w:p w14:paraId="4B5DD74D" w14:textId="77777777" w:rsidR="00907867" w:rsidRDefault="00907867" w:rsidP="00717F4D">
            <w:r>
              <w:lastRenderedPageBreak/>
              <w:t>Support IPPF MAs to deliver SRH services</w:t>
            </w:r>
            <w:r w:rsidR="00533EB2">
              <w:t xml:space="preserve"> and train service providers in integrated SRHR services and LARCs/</w:t>
            </w:r>
            <w:proofErr w:type="gramStart"/>
            <w:r w:rsidR="00533EB2">
              <w:t>EC</w:t>
            </w:r>
            <w:proofErr w:type="gramEnd"/>
          </w:p>
          <w:p w14:paraId="6A199045" w14:textId="77777777" w:rsidR="00907867" w:rsidRPr="00175461" w:rsidRDefault="00907867" w:rsidP="00717F4D">
            <w:r>
              <w:t xml:space="preserve">Operational guidelines, referral systems, quality of care and coordination mechanisms in place and used.  </w:t>
            </w:r>
          </w:p>
        </w:tc>
      </w:tr>
      <w:tr w:rsidR="00907867" w14:paraId="06B40502" w14:textId="77777777" w:rsidTr="00891EE8">
        <w:tc>
          <w:tcPr>
            <w:tcW w:w="3114" w:type="dxa"/>
            <w:tcBorders>
              <w:bottom w:val="single" w:sz="4" w:space="0" w:color="auto"/>
            </w:tcBorders>
          </w:tcPr>
          <w:p w14:paraId="01BF0EB7" w14:textId="77777777" w:rsidR="00907867" w:rsidRDefault="00907867" w:rsidP="00717F4D">
            <w:r w:rsidRPr="003D002D">
              <w:rPr>
                <w:b/>
                <w:bCs/>
              </w:rPr>
              <w:lastRenderedPageBreak/>
              <w:t>Output 2:</w:t>
            </w:r>
            <w:r>
              <w:t xml:space="preserve"> Strengthened health workforce capacities in health management and clinical skills for high quality and integrated SRH </w:t>
            </w:r>
            <w:proofErr w:type="gramStart"/>
            <w:r>
              <w:t>services</w:t>
            </w:r>
            <w:proofErr w:type="gramEnd"/>
          </w:p>
          <w:p w14:paraId="19A4350F" w14:textId="77777777" w:rsidR="00907867" w:rsidRPr="00B8443F" w:rsidRDefault="00907867" w:rsidP="00717F4D">
            <w:pPr>
              <w:rPr>
                <w:b/>
                <w:bCs/>
              </w:rPr>
            </w:pPr>
            <w:r w:rsidRPr="00B8443F">
              <w:rPr>
                <w:b/>
                <w:bCs/>
              </w:rPr>
              <w:t>Interventions:</w:t>
            </w:r>
          </w:p>
          <w:p w14:paraId="4B944B3B" w14:textId="77777777" w:rsidR="00907867" w:rsidRPr="00723DFA" w:rsidRDefault="00907867" w:rsidP="00717F4D">
            <w:r w:rsidRPr="00723DFA">
              <w:t xml:space="preserve">2.1 Assessment, adaptation/development and implementation of SRH guidelines and protocols aligned with international standards, including </w:t>
            </w:r>
            <w:proofErr w:type="gramStart"/>
            <w:r w:rsidRPr="00723DFA">
              <w:t>VAWG</w:t>
            </w:r>
            <w:proofErr w:type="gramEnd"/>
            <w:r w:rsidRPr="00723DFA">
              <w:t xml:space="preserve"> </w:t>
            </w:r>
          </w:p>
          <w:p w14:paraId="1316EB8E" w14:textId="77777777" w:rsidR="00907867" w:rsidRDefault="00907867" w:rsidP="00717F4D"/>
          <w:p w14:paraId="7157673F" w14:textId="77777777" w:rsidR="00907867" w:rsidRDefault="00907867" w:rsidP="00717F4D">
            <w:r w:rsidRPr="00907867">
              <w:t>2.2 Ensure pre-service curriculum and training manuals provide comprehensive education on contraception (to ensure increased method mix) and integrated SRH services (including YFS, prevention and response to VAWG, services for people with disabilities, human rights and humanitarian response</w:t>
            </w:r>
          </w:p>
          <w:p w14:paraId="4120D2B9" w14:textId="77777777" w:rsidR="00907867" w:rsidRDefault="00907867" w:rsidP="00717F4D"/>
          <w:p w14:paraId="2340E058" w14:textId="77777777" w:rsidR="00907867" w:rsidRDefault="00907867" w:rsidP="00717F4D">
            <w:r>
              <w:lastRenderedPageBreak/>
              <w:t xml:space="preserve">2.3 Enhancing health worker in-service training mechanism for delivery of quality integrated SRH services including FP and quality </w:t>
            </w:r>
            <w:proofErr w:type="gramStart"/>
            <w:r>
              <w:t>counselling</w:t>
            </w:r>
            <w:proofErr w:type="gramEnd"/>
          </w:p>
          <w:p w14:paraId="0AEB6158" w14:textId="77777777" w:rsidR="00907867" w:rsidRDefault="00907867" w:rsidP="00717F4D"/>
          <w:p w14:paraId="03022A7D" w14:textId="77777777" w:rsidR="00907867" w:rsidRPr="00B8443F" w:rsidRDefault="00907867" w:rsidP="00717F4D">
            <w:r>
              <w:t xml:space="preserve">2.4 Expand in-country capacity to manage quality integrated SRH services, including FP </w:t>
            </w:r>
            <w:r w:rsidRPr="00907867">
              <w:t>VAWG prevention and response and youth and disability inclusive services in development and humanitarian settings</w:t>
            </w:r>
          </w:p>
        </w:tc>
        <w:tc>
          <w:tcPr>
            <w:tcW w:w="2835" w:type="dxa"/>
            <w:tcBorders>
              <w:bottom w:val="single" w:sz="4" w:space="0" w:color="auto"/>
            </w:tcBorders>
          </w:tcPr>
          <w:p w14:paraId="0524B5C3" w14:textId="77777777" w:rsidR="00907867" w:rsidRDefault="00907867" w:rsidP="00717F4D">
            <w:r w:rsidRPr="003D002D">
              <w:rPr>
                <w:b/>
                <w:bCs/>
              </w:rPr>
              <w:lastRenderedPageBreak/>
              <w:t>Output 2:</w:t>
            </w:r>
            <w:r>
              <w:t xml:space="preserve"> Strengthened health workforce capacities in health management and clinical skills for high quality and integrated SRH </w:t>
            </w:r>
            <w:proofErr w:type="gramStart"/>
            <w:r>
              <w:t>services</w:t>
            </w:r>
            <w:proofErr w:type="gramEnd"/>
          </w:p>
          <w:p w14:paraId="6C5D9DBB" w14:textId="77777777" w:rsidR="00907867" w:rsidRPr="0061012C" w:rsidRDefault="00907867" w:rsidP="00717F4D">
            <w:pPr>
              <w:rPr>
                <w:b/>
                <w:bCs/>
              </w:rPr>
            </w:pPr>
            <w:r w:rsidRPr="0061012C">
              <w:rPr>
                <w:b/>
                <w:bCs/>
              </w:rPr>
              <w:t>Interventions:</w:t>
            </w:r>
          </w:p>
          <w:p w14:paraId="5E78FFFD" w14:textId="77777777" w:rsidR="00907867" w:rsidRPr="0061012C" w:rsidRDefault="00907867" w:rsidP="00717F4D">
            <w:r w:rsidRPr="0061012C">
              <w:t xml:space="preserve">2.1 Assessment, adaptation/development and implementation of SRH guidelines and protocols aligned with international standards, </w:t>
            </w:r>
            <w:r w:rsidRPr="00907867">
              <w:t xml:space="preserve">especially </w:t>
            </w:r>
            <w:proofErr w:type="gramStart"/>
            <w:r w:rsidRPr="00907867">
              <w:t>FP</w:t>
            </w:r>
            <w:proofErr w:type="gramEnd"/>
            <w:r w:rsidRPr="0061012C">
              <w:t xml:space="preserve">  </w:t>
            </w:r>
          </w:p>
          <w:p w14:paraId="63018192" w14:textId="77777777" w:rsidR="00907867" w:rsidRDefault="00907867" w:rsidP="00717F4D"/>
          <w:p w14:paraId="4BD4B71F" w14:textId="77777777" w:rsidR="00907867" w:rsidRPr="0061012C" w:rsidRDefault="00907867" w:rsidP="00717F4D">
            <w:r w:rsidRPr="0061012C">
              <w:t xml:space="preserve">2.3 Enhancing health worker in-service training mechanism for delivery of quality integrated SRH services including FP and quality </w:t>
            </w:r>
            <w:proofErr w:type="gramStart"/>
            <w:r w:rsidRPr="0061012C">
              <w:t>counselling</w:t>
            </w:r>
            <w:proofErr w:type="gramEnd"/>
          </w:p>
          <w:p w14:paraId="3A820E7B" w14:textId="77777777" w:rsidR="00907867" w:rsidRDefault="00907867" w:rsidP="00717F4D"/>
          <w:p w14:paraId="2A7265F1" w14:textId="77777777" w:rsidR="00907867" w:rsidRPr="0061012C" w:rsidRDefault="00907867" w:rsidP="00717F4D">
            <w:r w:rsidRPr="0061012C">
              <w:t xml:space="preserve">2.4 Expand in-country capacity to manage quality integrated SRH services, including FP and youth and disability inclusive </w:t>
            </w:r>
            <w:proofErr w:type="gramStart"/>
            <w:r w:rsidRPr="0061012C">
              <w:t>services</w:t>
            </w:r>
            <w:proofErr w:type="gramEnd"/>
          </w:p>
          <w:p w14:paraId="01BD9F8D" w14:textId="77777777" w:rsidR="00907867" w:rsidRDefault="00907867" w:rsidP="00717F4D">
            <w:pPr>
              <w:rPr>
                <w:b/>
                <w:bCs/>
                <w:sz w:val="28"/>
                <w:szCs w:val="28"/>
              </w:rPr>
            </w:pPr>
          </w:p>
        </w:tc>
        <w:tc>
          <w:tcPr>
            <w:tcW w:w="3067" w:type="dxa"/>
            <w:tcBorders>
              <w:bottom w:val="single" w:sz="4" w:space="0" w:color="auto"/>
            </w:tcBorders>
          </w:tcPr>
          <w:p w14:paraId="629EA542" w14:textId="77777777" w:rsidR="00907867" w:rsidRDefault="00907867" w:rsidP="00717F4D">
            <w:r w:rsidRPr="004C0D64">
              <w:lastRenderedPageBreak/>
              <w:t>Roll-out</w:t>
            </w:r>
            <w:r>
              <w:t xml:space="preserve"> WHO clinical guidelines for GBV care – clinical management of rape and GBV case management training:</w:t>
            </w:r>
          </w:p>
          <w:p w14:paraId="7B36C84A" w14:textId="77777777" w:rsidR="00907867" w:rsidRDefault="00907867" w:rsidP="00717F4D">
            <w:r>
              <w:t>Review existing nursing and midwifery school curricula against international standards for integrated SRHR;</w:t>
            </w:r>
          </w:p>
          <w:p w14:paraId="7FAEC4A0" w14:textId="77777777" w:rsidR="00907867" w:rsidRDefault="00907867" w:rsidP="00717F4D">
            <w:r>
              <w:t>Training for nursing and midwifery tutors;</w:t>
            </w:r>
          </w:p>
          <w:p w14:paraId="6EBA372B" w14:textId="77777777" w:rsidR="00907867" w:rsidRDefault="00907867" w:rsidP="00717F4D">
            <w:r>
              <w:t>In-service training packages for integrated SRH service provision – counselling, FP methods including non-scalpel vasectomy, HR approaches, gender sensitivity and values clarification, GBV prevention and care, screening for cervical cancer, contraceptive surgical procedures etc;</w:t>
            </w:r>
          </w:p>
          <w:p w14:paraId="78E34F00" w14:textId="77777777" w:rsidR="00907867" w:rsidRDefault="00907867" w:rsidP="00717F4D">
            <w:r>
              <w:t>Review and update supervision guidelines and train supervisors;</w:t>
            </w:r>
          </w:p>
          <w:p w14:paraId="435A9FDF" w14:textId="77777777" w:rsidR="00907867" w:rsidRPr="004C0D64" w:rsidRDefault="00907867" w:rsidP="00717F4D">
            <w:r>
              <w:t xml:space="preserve">Annual refresher training and evaluation of training.  </w:t>
            </w:r>
          </w:p>
        </w:tc>
      </w:tr>
      <w:tr w:rsidR="00891EE8" w14:paraId="696B19E6" w14:textId="77777777" w:rsidTr="00891EE8">
        <w:tc>
          <w:tcPr>
            <w:tcW w:w="3114" w:type="dxa"/>
            <w:tcBorders>
              <w:top w:val="single" w:sz="4" w:space="0" w:color="auto"/>
              <w:left w:val="single" w:sz="4" w:space="0" w:color="auto"/>
              <w:bottom w:val="single" w:sz="4" w:space="0" w:color="auto"/>
              <w:right w:val="nil"/>
            </w:tcBorders>
          </w:tcPr>
          <w:p w14:paraId="51AA1F9E" w14:textId="17A540C5" w:rsidR="00891EE8" w:rsidRPr="003D002D" w:rsidRDefault="00891EE8" w:rsidP="00717F4D">
            <w:pPr>
              <w:rPr>
                <w:b/>
                <w:bCs/>
              </w:rPr>
            </w:pPr>
            <w:r w:rsidRPr="003D002D">
              <w:rPr>
                <w:b/>
                <w:bCs/>
                <w:sz w:val="28"/>
                <w:szCs w:val="28"/>
              </w:rPr>
              <w:t>Outcome 2:  Increased demand for integrated SRH information and services, particularly for FP</w:t>
            </w:r>
          </w:p>
        </w:tc>
        <w:tc>
          <w:tcPr>
            <w:tcW w:w="2835" w:type="dxa"/>
            <w:tcBorders>
              <w:top w:val="single" w:sz="4" w:space="0" w:color="auto"/>
              <w:left w:val="nil"/>
              <w:bottom w:val="single" w:sz="4" w:space="0" w:color="auto"/>
              <w:right w:val="nil"/>
            </w:tcBorders>
          </w:tcPr>
          <w:p w14:paraId="068BD93A" w14:textId="77777777" w:rsidR="00891EE8" w:rsidRPr="003D002D" w:rsidRDefault="00891EE8" w:rsidP="00717F4D">
            <w:pPr>
              <w:rPr>
                <w:b/>
                <w:bCs/>
              </w:rPr>
            </w:pPr>
          </w:p>
        </w:tc>
        <w:tc>
          <w:tcPr>
            <w:tcW w:w="3067" w:type="dxa"/>
            <w:tcBorders>
              <w:top w:val="single" w:sz="4" w:space="0" w:color="auto"/>
              <w:left w:val="nil"/>
              <w:bottom w:val="single" w:sz="4" w:space="0" w:color="auto"/>
              <w:right w:val="single" w:sz="4" w:space="0" w:color="auto"/>
            </w:tcBorders>
          </w:tcPr>
          <w:p w14:paraId="3E193DF8" w14:textId="77777777" w:rsidR="00891EE8" w:rsidRPr="004C0D64" w:rsidRDefault="00891EE8" w:rsidP="00717F4D"/>
        </w:tc>
      </w:tr>
      <w:tr w:rsidR="00907867" w14:paraId="34DA9583" w14:textId="77777777" w:rsidTr="00891EE8">
        <w:tc>
          <w:tcPr>
            <w:tcW w:w="3114" w:type="dxa"/>
            <w:tcBorders>
              <w:top w:val="single" w:sz="4" w:space="0" w:color="auto"/>
            </w:tcBorders>
          </w:tcPr>
          <w:p w14:paraId="512DCB27" w14:textId="77777777" w:rsidR="00907867" w:rsidRDefault="00907867" w:rsidP="00717F4D">
            <w:r w:rsidRPr="003D002D">
              <w:rPr>
                <w:b/>
                <w:bCs/>
              </w:rPr>
              <w:t>Output 3:</w:t>
            </w:r>
            <w:r>
              <w:t xml:space="preserve">  Increased community engagement and leadership in support of SRH, especially for contraceptive </w:t>
            </w:r>
            <w:proofErr w:type="gramStart"/>
            <w:r>
              <w:t>choice</w:t>
            </w:r>
            <w:proofErr w:type="gramEnd"/>
          </w:p>
          <w:p w14:paraId="64D775A7" w14:textId="77777777" w:rsidR="00907867" w:rsidRPr="00B8443F" w:rsidRDefault="00907867" w:rsidP="00717F4D">
            <w:pPr>
              <w:rPr>
                <w:b/>
                <w:bCs/>
              </w:rPr>
            </w:pPr>
            <w:r w:rsidRPr="00B8443F">
              <w:rPr>
                <w:b/>
                <w:bCs/>
              </w:rPr>
              <w:t>Interventions:</w:t>
            </w:r>
          </w:p>
          <w:p w14:paraId="38C96362" w14:textId="77777777" w:rsidR="00907867" w:rsidRDefault="00907867" w:rsidP="00717F4D">
            <w:r>
              <w:t>3.1 Enhancing knowledge, attitudes and practices related to youth and disability inclusive SRH and contraception among the general population, with special emphasis on specific target audiences.</w:t>
            </w:r>
          </w:p>
          <w:p w14:paraId="20F666AB" w14:textId="77777777" w:rsidR="00907867" w:rsidRDefault="00907867" w:rsidP="00717F4D"/>
          <w:p w14:paraId="27CD6D36" w14:textId="77777777" w:rsidR="00907867" w:rsidRDefault="00907867" w:rsidP="00717F4D">
            <w:pPr>
              <w:rPr>
                <w:b/>
                <w:bCs/>
                <w:sz w:val="28"/>
                <w:szCs w:val="28"/>
              </w:rPr>
            </w:pPr>
            <w:r>
              <w:t>3.2 Mobilising and engaging communities and increasing community leadership to improve knowledge and demand for SRH and FP</w:t>
            </w:r>
          </w:p>
        </w:tc>
        <w:tc>
          <w:tcPr>
            <w:tcW w:w="2835" w:type="dxa"/>
            <w:tcBorders>
              <w:top w:val="single" w:sz="4" w:space="0" w:color="auto"/>
            </w:tcBorders>
          </w:tcPr>
          <w:p w14:paraId="0EE38836" w14:textId="77777777" w:rsidR="00907867" w:rsidRDefault="00907867" w:rsidP="00717F4D">
            <w:r w:rsidRPr="003D002D">
              <w:rPr>
                <w:b/>
                <w:bCs/>
              </w:rPr>
              <w:lastRenderedPageBreak/>
              <w:t>Output 3:</w:t>
            </w:r>
            <w:r>
              <w:t xml:space="preserve">  Increased community engagement and leadership in support of SRH, especially for contraceptive </w:t>
            </w:r>
            <w:proofErr w:type="gramStart"/>
            <w:r>
              <w:t>choice</w:t>
            </w:r>
            <w:proofErr w:type="gramEnd"/>
          </w:p>
          <w:p w14:paraId="49ED400E" w14:textId="77777777" w:rsidR="00907867" w:rsidRPr="0061012C" w:rsidRDefault="00907867" w:rsidP="00717F4D">
            <w:pPr>
              <w:rPr>
                <w:b/>
                <w:bCs/>
              </w:rPr>
            </w:pPr>
            <w:r w:rsidRPr="0061012C">
              <w:rPr>
                <w:b/>
                <w:bCs/>
              </w:rPr>
              <w:t>Interventions:</w:t>
            </w:r>
          </w:p>
          <w:p w14:paraId="2DBF3B05" w14:textId="77777777" w:rsidR="00907867" w:rsidRDefault="00907867" w:rsidP="00717F4D">
            <w:r>
              <w:t>3.1 Enhancing knowledge, attitudes and practices related to youth and disability inclusive SRH and contraception among the general population, with special emphasis on specific target audiences.</w:t>
            </w:r>
          </w:p>
          <w:p w14:paraId="1C47F1CE" w14:textId="77777777" w:rsidR="00907867" w:rsidRDefault="00907867" w:rsidP="00717F4D">
            <w:pPr>
              <w:rPr>
                <w:color w:val="0070C0"/>
              </w:rPr>
            </w:pPr>
          </w:p>
          <w:p w14:paraId="0F142E27" w14:textId="77777777" w:rsidR="00907867" w:rsidRDefault="00907867" w:rsidP="00717F4D">
            <w:pPr>
              <w:rPr>
                <w:b/>
                <w:bCs/>
                <w:sz w:val="28"/>
                <w:szCs w:val="28"/>
              </w:rPr>
            </w:pPr>
            <w:r w:rsidRPr="0061012C">
              <w:t>3.2 Mobilise and engage communities and increase community leadership to improve knowledge and demand for SRH and FP</w:t>
            </w:r>
          </w:p>
        </w:tc>
        <w:tc>
          <w:tcPr>
            <w:tcW w:w="3067" w:type="dxa"/>
            <w:tcBorders>
              <w:top w:val="single" w:sz="4" w:space="0" w:color="auto"/>
            </w:tcBorders>
          </w:tcPr>
          <w:p w14:paraId="143B3821" w14:textId="77777777" w:rsidR="00907867" w:rsidRDefault="00907867" w:rsidP="00717F4D">
            <w:r w:rsidRPr="00893738">
              <w:lastRenderedPageBreak/>
              <w:t xml:space="preserve">BCC strategies developed </w:t>
            </w:r>
            <w:r>
              <w:t xml:space="preserve">for target audiences and messages </w:t>
            </w:r>
            <w:proofErr w:type="gramStart"/>
            <w:r>
              <w:t>e.g.</w:t>
            </w:r>
            <w:proofErr w:type="gramEnd"/>
            <w:r>
              <w:t xml:space="preserve"> for men, youth, persons with disabilities and survivors of violence;</w:t>
            </w:r>
          </w:p>
          <w:p w14:paraId="3EE5190A" w14:textId="77777777" w:rsidR="00907867" w:rsidRDefault="00907867" w:rsidP="00717F4D">
            <w:r>
              <w:t>Mass media for whole of community messaging;</w:t>
            </w:r>
          </w:p>
          <w:p w14:paraId="75FE604F" w14:textId="77777777" w:rsidR="00907867" w:rsidRDefault="00907867" w:rsidP="00717F4D">
            <w:r>
              <w:t>Implement through local CSOs, NGOs etc.</w:t>
            </w:r>
            <w:r w:rsidR="00533EB2">
              <w:t xml:space="preserve"> especially IPPF </w:t>
            </w:r>
            <w:proofErr w:type="gramStart"/>
            <w:r w:rsidR="00533EB2">
              <w:t>MAs</w:t>
            </w:r>
            <w:proofErr w:type="gramEnd"/>
          </w:p>
          <w:p w14:paraId="3AC1A212" w14:textId="77777777" w:rsidR="00907867" w:rsidRDefault="00907867" w:rsidP="00717F4D">
            <w:r>
              <w:t>Train FP/SRH champions (community leaders, teachers, parents etc) to promote SRH issues;</w:t>
            </w:r>
          </w:p>
          <w:p w14:paraId="3173719E" w14:textId="77777777" w:rsidR="00907867" w:rsidRPr="00893738" w:rsidRDefault="00907867" w:rsidP="00717F4D">
            <w:r>
              <w:lastRenderedPageBreak/>
              <w:t>Training for community health workers in basic FP/SRH messages and services;</w:t>
            </w:r>
          </w:p>
        </w:tc>
      </w:tr>
      <w:tr w:rsidR="00907867" w14:paraId="62C23171" w14:textId="77777777" w:rsidTr="00891EE8">
        <w:tc>
          <w:tcPr>
            <w:tcW w:w="3114" w:type="dxa"/>
            <w:tcBorders>
              <w:bottom w:val="single" w:sz="4" w:space="0" w:color="auto"/>
            </w:tcBorders>
          </w:tcPr>
          <w:p w14:paraId="40A697A2" w14:textId="77777777" w:rsidR="00907867" w:rsidRDefault="00907867" w:rsidP="00717F4D">
            <w:r w:rsidRPr="003D002D">
              <w:rPr>
                <w:b/>
                <w:bCs/>
              </w:rPr>
              <w:lastRenderedPageBreak/>
              <w:t>Output 4:</w:t>
            </w:r>
            <w:r>
              <w:t xml:space="preserve"> Increased national capacity to design and implement community- and school-based family life education (FLE) programs that promote human rights and gender </w:t>
            </w:r>
            <w:proofErr w:type="gramStart"/>
            <w:r>
              <w:t>equality</w:t>
            </w:r>
            <w:proofErr w:type="gramEnd"/>
          </w:p>
          <w:p w14:paraId="521401E9" w14:textId="77777777" w:rsidR="00907867" w:rsidRPr="00B8443F" w:rsidRDefault="00907867" w:rsidP="00717F4D">
            <w:pPr>
              <w:rPr>
                <w:b/>
                <w:bCs/>
              </w:rPr>
            </w:pPr>
            <w:r w:rsidRPr="00B8443F">
              <w:rPr>
                <w:b/>
                <w:bCs/>
              </w:rPr>
              <w:t>Interventions:</w:t>
            </w:r>
          </w:p>
          <w:p w14:paraId="649A1C3D" w14:textId="77777777" w:rsidR="00907867" w:rsidRDefault="00907867" w:rsidP="00717F4D">
            <w:r>
              <w:t xml:space="preserve">4.1 Improving the quality and delivery of FLE programs delivered in schools and out-of-school through strengthened curricula, pedagogy, and teacher </w:t>
            </w:r>
            <w:proofErr w:type="gramStart"/>
            <w:r>
              <w:t>training</w:t>
            </w:r>
            <w:proofErr w:type="gramEnd"/>
            <w:r>
              <w:t xml:space="preserve">  </w:t>
            </w:r>
          </w:p>
          <w:p w14:paraId="073A2CC6" w14:textId="77777777" w:rsidR="00907867" w:rsidRDefault="00907867" w:rsidP="00717F4D"/>
          <w:p w14:paraId="5DD46EE3" w14:textId="77777777" w:rsidR="00907867" w:rsidRDefault="00907867" w:rsidP="00717F4D">
            <w:r>
              <w:t xml:space="preserve">4.2 Improving monitoring, evaluation and learning frameworks and the evidence-base for </w:t>
            </w:r>
            <w:proofErr w:type="gramStart"/>
            <w:r>
              <w:t>FLE</w:t>
            </w:r>
            <w:proofErr w:type="gramEnd"/>
          </w:p>
          <w:p w14:paraId="39AED4D4" w14:textId="77777777" w:rsidR="00907867" w:rsidRDefault="00907867" w:rsidP="00717F4D"/>
          <w:p w14:paraId="0327A51B" w14:textId="77777777" w:rsidR="00907867" w:rsidRDefault="00907867" w:rsidP="00717F4D">
            <w:pPr>
              <w:rPr>
                <w:b/>
                <w:bCs/>
                <w:sz w:val="28"/>
                <w:szCs w:val="28"/>
              </w:rPr>
            </w:pPr>
            <w:r w:rsidRPr="00907867">
              <w:t>4.3 FLE is integrated into national and regional strategies, plans and policies</w:t>
            </w:r>
          </w:p>
        </w:tc>
        <w:tc>
          <w:tcPr>
            <w:tcW w:w="2835" w:type="dxa"/>
            <w:tcBorders>
              <w:bottom w:val="single" w:sz="4" w:space="0" w:color="auto"/>
            </w:tcBorders>
          </w:tcPr>
          <w:p w14:paraId="22F5B95A" w14:textId="77777777" w:rsidR="00907867" w:rsidRDefault="00907867" w:rsidP="00717F4D">
            <w:r w:rsidRPr="003D002D">
              <w:rPr>
                <w:b/>
                <w:bCs/>
              </w:rPr>
              <w:t>Output 4:</w:t>
            </w:r>
            <w:r>
              <w:t xml:space="preserve"> Increased national capacity to design and implement community- and school-based family life education (FLE) programs that promote human rights and gender </w:t>
            </w:r>
            <w:proofErr w:type="gramStart"/>
            <w:r>
              <w:t>equality</w:t>
            </w:r>
            <w:proofErr w:type="gramEnd"/>
          </w:p>
          <w:p w14:paraId="47D4828C" w14:textId="77777777" w:rsidR="00907867" w:rsidRPr="0061012C" w:rsidRDefault="00907867" w:rsidP="00717F4D">
            <w:pPr>
              <w:rPr>
                <w:b/>
                <w:bCs/>
              </w:rPr>
            </w:pPr>
            <w:r w:rsidRPr="0061012C">
              <w:rPr>
                <w:b/>
                <w:bCs/>
              </w:rPr>
              <w:t>Interventions:</w:t>
            </w:r>
          </w:p>
          <w:p w14:paraId="3EA0FEF7" w14:textId="77777777" w:rsidR="00907867" w:rsidRPr="0061012C" w:rsidRDefault="00907867" w:rsidP="00717F4D">
            <w:r w:rsidRPr="0061012C">
              <w:t xml:space="preserve">4.1 Improving the quality and delivery of FLE programs delivered in schools and out-of-school through strengthened curricula, pedagogy, and teacher </w:t>
            </w:r>
            <w:proofErr w:type="gramStart"/>
            <w:r w:rsidRPr="0061012C">
              <w:t>training</w:t>
            </w:r>
            <w:proofErr w:type="gramEnd"/>
            <w:r w:rsidRPr="0061012C">
              <w:t xml:space="preserve">  </w:t>
            </w:r>
          </w:p>
          <w:p w14:paraId="416215DC" w14:textId="77777777" w:rsidR="00907867" w:rsidRDefault="00907867" w:rsidP="00717F4D"/>
          <w:p w14:paraId="6AED6160" w14:textId="77777777" w:rsidR="00907867" w:rsidRPr="0061012C" w:rsidRDefault="00907867" w:rsidP="00717F4D">
            <w:r w:rsidRPr="0061012C">
              <w:t xml:space="preserve">4.2 Improving monitoring, evaluation and learning frameworks and the evidence-base for </w:t>
            </w:r>
            <w:proofErr w:type="gramStart"/>
            <w:r w:rsidRPr="0061012C">
              <w:t>FLE</w:t>
            </w:r>
            <w:proofErr w:type="gramEnd"/>
          </w:p>
          <w:p w14:paraId="2FBD9284" w14:textId="77777777" w:rsidR="00907867" w:rsidRDefault="00907867" w:rsidP="00717F4D">
            <w:pPr>
              <w:rPr>
                <w:b/>
                <w:bCs/>
                <w:sz w:val="28"/>
                <w:szCs w:val="28"/>
              </w:rPr>
            </w:pPr>
          </w:p>
        </w:tc>
        <w:tc>
          <w:tcPr>
            <w:tcW w:w="3067" w:type="dxa"/>
            <w:tcBorders>
              <w:bottom w:val="single" w:sz="4" w:space="0" w:color="auto"/>
            </w:tcBorders>
          </w:tcPr>
          <w:p w14:paraId="16AAA880" w14:textId="77777777" w:rsidR="00907867" w:rsidRDefault="00907867" w:rsidP="00717F4D">
            <w:r w:rsidRPr="002D35DC">
              <w:t>Work with FLE committees to build support for SRH</w:t>
            </w:r>
            <w:r>
              <w:t>;</w:t>
            </w:r>
          </w:p>
          <w:p w14:paraId="2C0EE21C" w14:textId="77777777" w:rsidR="00907867" w:rsidRDefault="00907867" w:rsidP="00717F4D">
            <w:r>
              <w:t>Technical assistance for national FLE curricula development;</w:t>
            </w:r>
          </w:p>
          <w:p w14:paraId="52051B12" w14:textId="77777777" w:rsidR="00907867" w:rsidRDefault="00907867" w:rsidP="00717F4D">
            <w:r>
              <w:t>Work with existing CBOs to reach marginalised youth including those with disabilities;</w:t>
            </w:r>
          </w:p>
          <w:p w14:paraId="28EC65A5" w14:textId="77777777" w:rsidR="00907867" w:rsidRDefault="00907867" w:rsidP="00717F4D">
            <w:r>
              <w:t>Train community-based young people;</w:t>
            </w:r>
          </w:p>
          <w:p w14:paraId="10043832" w14:textId="77777777" w:rsidR="00907867" w:rsidRDefault="00907867" w:rsidP="00717F4D">
            <w:r>
              <w:t>Support and train teachers to provide FLE;</w:t>
            </w:r>
          </w:p>
          <w:p w14:paraId="0CEC940F" w14:textId="77777777" w:rsidR="00907867" w:rsidRDefault="00907867" w:rsidP="00717F4D">
            <w:r>
              <w:t>Establish referral pathways between schools and SRH services;</w:t>
            </w:r>
          </w:p>
          <w:p w14:paraId="6AF8B845" w14:textId="77777777" w:rsidR="00907867" w:rsidRPr="002D35DC" w:rsidRDefault="00907867" w:rsidP="00717F4D">
            <w:r>
              <w:t xml:space="preserve">Establish a mechanism for monitoring and evaluating the impact and effectiveness of FLE; </w:t>
            </w:r>
          </w:p>
        </w:tc>
      </w:tr>
      <w:tr w:rsidR="00891EE8" w14:paraId="6DDCAEBB" w14:textId="77777777" w:rsidTr="00891EE8">
        <w:tc>
          <w:tcPr>
            <w:tcW w:w="3114" w:type="dxa"/>
            <w:tcBorders>
              <w:top w:val="single" w:sz="4" w:space="0" w:color="auto"/>
              <w:left w:val="single" w:sz="4" w:space="0" w:color="auto"/>
              <w:bottom w:val="single" w:sz="4" w:space="0" w:color="auto"/>
              <w:right w:val="nil"/>
            </w:tcBorders>
          </w:tcPr>
          <w:p w14:paraId="3E4B1EB8" w14:textId="10921CB9" w:rsidR="00891EE8" w:rsidRPr="003D002D" w:rsidRDefault="00891EE8" w:rsidP="00717F4D">
            <w:pPr>
              <w:rPr>
                <w:b/>
                <w:bCs/>
              </w:rPr>
            </w:pPr>
            <w:r w:rsidRPr="00891EE8">
              <w:rPr>
                <w:b/>
                <w:bCs/>
                <w:sz w:val="28"/>
                <w:szCs w:val="28"/>
              </w:rPr>
              <w:t xml:space="preserve">Outcome 3: More conducive and supportive environment </w:t>
            </w:r>
            <w:r w:rsidRPr="00891EE8">
              <w:rPr>
                <w:b/>
                <w:bCs/>
                <w:sz w:val="28"/>
                <w:szCs w:val="28"/>
              </w:rPr>
              <w:lastRenderedPageBreak/>
              <w:t>for people to access and benefit from quality SRH, especially contraceptive choice</w:t>
            </w:r>
          </w:p>
        </w:tc>
        <w:tc>
          <w:tcPr>
            <w:tcW w:w="2835" w:type="dxa"/>
            <w:tcBorders>
              <w:top w:val="single" w:sz="4" w:space="0" w:color="auto"/>
              <w:left w:val="nil"/>
              <w:bottom w:val="single" w:sz="4" w:space="0" w:color="auto"/>
              <w:right w:val="nil"/>
            </w:tcBorders>
          </w:tcPr>
          <w:p w14:paraId="62E65CA5" w14:textId="77777777" w:rsidR="00891EE8" w:rsidRPr="003D002D" w:rsidRDefault="00891EE8" w:rsidP="00717F4D">
            <w:pPr>
              <w:rPr>
                <w:b/>
                <w:bCs/>
              </w:rPr>
            </w:pPr>
          </w:p>
        </w:tc>
        <w:tc>
          <w:tcPr>
            <w:tcW w:w="3067" w:type="dxa"/>
            <w:tcBorders>
              <w:top w:val="single" w:sz="4" w:space="0" w:color="auto"/>
              <w:left w:val="nil"/>
              <w:bottom w:val="single" w:sz="4" w:space="0" w:color="auto"/>
              <w:right w:val="single" w:sz="4" w:space="0" w:color="auto"/>
            </w:tcBorders>
          </w:tcPr>
          <w:p w14:paraId="3A7D240C" w14:textId="77777777" w:rsidR="00891EE8" w:rsidRPr="002D35DC" w:rsidRDefault="00891EE8" w:rsidP="00717F4D"/>
        </w:tc>
      </w:tr>
      <w:tr w:rsidR="00907867" w14:paraId="13F66FC2" w14:textId="77777777" w:rsidTr="00891EE8">
        <w:tc>
          <w:tcPr>
            <w:tcW w:w="3114" w:type="dxa"/>
            <w:tcBorders>
              <w:top w:val="single" w:sz="4" w:space="0" w:color="auto"/>
            </w:tcBorders>
          </w:tcPr>
          <w:p w14:paraId="0A6A25D5" w14:textId="77777777" w:rsidR="00907867" w:rsidRDefault="00907867" w:rsidP="00717F4D">
            <w:r w:rsidRPr="003D002D">
              <w:rPr>
                <w:b/>
                <w:bCs/>
              </w:rPr>
              <w:t>Output 5:</w:t>
            </w:r>
            <w:r>
              <w:t xml:space="preserve"> Expand evidence-based legislation, public policy and programming that support SRHR, especially for youth, violence survivors and people with </w:t>
            </w:r>
            <w:proofErr w:type="gramStart"/>
            <w:r>
              <w:t>disabilities</w:t>
            </w:r>
            <w:proofErr w:type="gramEnd"/>
          </w:p>
          <w:p w14:paraId="253A0EBC" w14:textId="77777777" w:rsidR="00907867" w:rsidRPr="00B8443F" w:rsidRDefault="00907867" w:rsidP="00717F4D">
            <w:pPr>
              <w:rPr>
                <w:b/>
                <w:bCs/>
              </w:rPr>
            </w:pPr>
            <w:r w:rsidRPr="00B8443F">
              <w:rPr>
                <w:b/>
                <w:bCs/>
              </w:rPr>
              <w:t>Interventions:</w:t>
            </w:r>
          </w:p>
          <w:p w14:paraId="3F53F82C" w14:textId="77777777" w:rsidR="00907867" w:rsidRDefault="00907867" w:rsidP="00717F4D">
            <w:pPr>
              <w:rPr>
                <w:b/>
                <w:bCs/>
                <w:sz w:val="28"/>
                <w:szCs w:val="28"/>
              </w:rPr>
            </w:pPr>
            <w:r>
              <w:t xml:space="preserve">5.1 Advocacy for, and influence within, policy discussions for key SRH, VAWG, disability and population issues </w:t>
            </w:r>
            <w:r w:rsidRPr="00907867">
              <w:t>including disaster risk reduction policies and emergency preparedness and response</w:t>
            </w:r>
            <w:r>
              <w:t xml:space="preserve"> </w:t>
            </w:r>
          </w:p>
        </w:tc>
        <w:tc>
          <w:tcPr>
            <w:tcW w:w="2835" w:type="dxa"/>
            <w:tcBorders>
              <w:top w:val="single" w:sz="4" w:space="0" w:color="auto"/>
            </w:tcBorders>
          </w:tcPr>
          <w:p w14:paraId="13647A77" w14:textId="77777777" w:rsidR="00907867" w:rsidRDefault="00907867" w:rsidP="00717F4D">
            <w:r w:rsidRPr="003D002D">
              <w:rPr>
                <w:b/>
                <w:bCs/>
              </w:rPr>
              <w:t>Output 5:</w:t>
            </w:r>
            <w:r>
              <w:t xml:space="preserve"> Expand evidence-based legislation, public policy and programming that support SRHR, especially for youth, violence survivors and people with </w:t>
            </w:r>
            <w:proofErr w:type="gramStart"/>
            <w:r>
              <w:t>disabilities</w:t>
            </w:r>
            <w:proofErr w:type="gramEnd"/>
          </w:p>
          <w:p w14:paraId="10BAEFD7" w14:textId="77777777" w:rsidR="00907867" w:rsidRPr="0061012C" w:rsidRDefault="00907867" w:rsidP="00717F4D">
            <w:pPr>
              <w:rPr>
                <w:b/>
                <w:bCs/>
              </w:rPr>
            </w:pPr>
            <w:r w:rsidRPr="0061012C">
              <w:rPr>
                <w:b/>
                <w:bCs/>
              </w:rPr>
              <w:t>Interventions:</w:t>
            </w:r>
          </w:p>
          <w:p w14:paraId="6E8FBEF4" w14:textId="77777777" w:rsidR="00907867" w:rsidRPr="0061012C" w:rsidRDefault="00907867" w:rsidP="00717F4D">
            <w:r w:rsidRPr="0061012C">
              <w:t xml:space="preserve">5.1 Advocacy for, and influence within, policy discussions for key SRH, disability and population issues </w:t>
            </w:r>
          </w:p>
          <w:p w14:paraId="1B9D8B28" w14:textId="77777777" w:rsidR="00907867" w:rsidRDefault="00907867" w:rsidP="00717F4D">
            <w:pPr>
              <w:rPr>
                <w:b/>
                <w:bCs/>
                <w:sz w:val="28"/>
                <w:szCs w:val="28"/>
              </w:rPr>
            </w:pPr>
          </w:p>
        </w:tc>
        <w:tc>
          <w:tcPr>
            <w:tcW w:w="3067" w:type="dxa"/>
            <w:tcBorders>
              <w:top w:val="single" w:sz="4" w:space="0" w:color="auto"/>
            </w:tcBorders>
          </w:tcPr>
          <w:p w14:paraId="05F04265" w14:textId="77777777" w:rsidR="00907867" w:rsidRDefault="00907867" w:rsidP="00717F4D">
            <w:r>
              <w:t>Develop key SRHR policy briefs for policy makers;</w:t>
            </w:r>
          </w:p>
          <w:p w14:paraId="6D2FCD64" w14:textId="77777777" w:rsidR="00907867" w:rsidRDefault="00907867" w:rsidP="00717F4D">
            <w:r>
              <w:t xml:space="preserve">Expand relationships with </w:t>
            </w:r>
            <w:proofErr w:type="spellStart"/>
            <w:r>
              <w:t>MoF</w:t>
            </w:r>
            <w:proofErr w:type="spellEnd"/>
            <w:r>
              <w:t xml:space="preserve"> and World Bank to ensure sustainable funding for integrated SRH;</w:t>
            </w:r>
          </w:p>
          <w:p w14:paraId="5DE77814" w14:textId="77777777" w:rsidR="00907867" w:rsidRPr="002D35DC" w:rsidRDefault="00907867" w:rsidP="00717F4D">
            <w:r>
              <w:t xml:space="preserve">Support the ongoing development and costing of minimum package of integrated SRH services for different levels of care (where this has not already been done);  </w:t>
            </w:r>
          </w:p>
        </w:tc>
      </w:tr>
      <w:tr w:rsidR="00907867" w14:paraId="189D5224" w14:textId="77777777" w:rsidTr="00717F4D">
        <w:tc>
          <w:tcPr>
            <w:tcW w:w="3114" w:type="dxa"/>
          </w:tcPr>
          <w:p w14:paraId="702A2CCE" w14:textId="77777777" w:rsidR="00907867" w:rsidRDefault="00907867" w:rsidP="00717F4D">
            <w:r w:rsidRPr="003D002D">
              <w:rPr>
                <w:b/>
                <w:bCs/>
              </w:rPr>
              <w:t>Output 6:</w:t>
            </w:r>
            <w:r>
              <w:t xml:space="preserve"> Increased availability, analysis and use of high quality, disaggregated, nationally prioritised population and SRH </w:t>
            </w:r>
            <w:proofErr w:type="gramStart"/>
            <w:r>
              <w:t>data</w:t>
            </w:r>
            <w:proofErr w:type="gramEnd"/>
            <w:r>
              <w:t xml:space="preserve"> </w:t>
            </w:r>
          </w:p>
          <w:p w14:paraId="1D05D80B" w14:textId="77777777" w:rsidR="00907867" w:rsidRPr="00B8443F" w:rsidRDefault="00907867" w:rsidP="00717F4D">
            <w:pPr>
              <w:rPr>
                <w:b/>
                <w:bCs/>
              </w:rPr>
            </w:pPr>
            <w:r w:rsidRPr="00B8443F">
              <w:rPr>
                <w:b/>
                <w:bCs/>
              </w:rPr>
              <w:t>Interventions:</w:t>
            </w:r>
          </w:p>
          <w:p w14:paraId="043DE58E" w14:textId="77777777" w:rsidR="00907867" w:rsidRDefault="00907867" w:rsidP="00717F4D">
            <w:r>
              <w:t>6.1 Strengthening capacity of the National Statistics Offices and MOH to collect and analyse RH and VAWG data through key data collection sources: HIS, DHS/MICS and Census</w:t>
            </w:r>
          </w:p>
          <w:p w14:paraId="559C3DF8" w14:textId="77777777" w:rsidR="00907867" w:rsidRDefault="00907867" w:rsidP="00717F4D"/>
          <w:p w14:paraId="66023493" w14:textId="77777777" w:rsidR="00907867" w:rsidRDefault="00907867" w:rsidP="00717F4D">
            <w:r>
              <w:t xml:space="preserve">6.2 Expanded use and dissemination of data and </w:t>
            </w:r>
            <w:r>
              <w:lastRenderedPageBreak/>
              <w:t xml:space="preserve">lessons learned to: report on progress of integrated SRH services, in particular FP; </w:t>
            </w:r>
            <w:r w:rsidRPr="00907867">
              <w:t xml:space="preserve">and use in national planning and sectoral planning, policy, monitoring and </w:t>
            </w:r>
            <w:proofErr w:type="gramStart"/>
            <w:r w:rsidRPr="00907867">
              <w:t>evaluation</w:t>
            </w:r>
            <w:proofErr w:type="gramEnd"/>
          </w:p>
          <w:p w14:paraId="7DA7D14D" w14:textId="77777777" w:rsidR="00907867" w:rsidRDefault="00907867" w:rsidP="00717F4D">
            <w:pPr>
              <w:rPr>
                <w:b/>
                <w:bCs/>
                <w:sz w:val="28"/>
                <w:szCs w:val="28"/>
              </w:rPr>
            </w:pPr>
          </w:p>
        </w:tc>
        <w:tc>
          <w:tcPr>
            <w:tcW w:w="2835" w:type="dxa"/>
          </w:tcPr>
          <w:p w14:paraId="2A157860" w14:textId="77777777" w:rsidR="00907867" w:rsidRDefault="00907867" w:rsidP="00717F4D">
            <w:r w:rsidRPr="003D002D">
              <w:rPr>
                <w:b/>
                <w:bCs/>
              </w:rPr>
              <w:lastRenderedPageBreak/>
              <w:t>Output 6:</w:t>
            </w:r>
            <w:r>
              <w:t xml:space="preserve"> Increased availability, analysis and use of high quality, disaggregated, nationally prioritised population and SRH </w:t>
            </w:r>
            <w:proofErr w:type="gramStart"/>
            <w:r>
              <w:t>data</w:t>
            </w:r>
            <w:proofErr w:type="gramEnd"/>
            <w:r>
              <w:t xml:space="preserve"> </w:t>
            </w:r>
          </w:p>
          <w:p w14:paraId="14B7C907" w14:textId="77777777" w:rsidR="00907867" w:rsidRPr="0061012C" w:rsidRDefault="00907867" w:rsidP="00717F4D">
            <w:pPr>
              <w:rPr>
                <w:b/>
                <w:bCs/>
              </w:rPr>
            </w:pPr>
            <w:r w:rsidRPr="0061012C">
              <w:rPr>
                <w:b/>
                <w:bCs/>
              </w:rPr>
              <w:t>Interventions:</w:t>
            </w:r>
          </w:p>
          <w:p w14:paraId="69A7D653" w14:textId="77777777" w:rsidR="00907867" w:rsidRPr="0061012C" w:rsidRDefault="00907867" w:rsidP="00717F4D">
            <w:r w:rsidRPr="0061012C">
              <w:t>6.1 Strengthening capacity of the MOH to collect and analyse FP/SRH data through the HIS</w:t>
            </w:r>
          </w:p>
          <w:p w14:paraId="66D6249D" w14:textId="77777777" w:rsidR="00907867" w:rsidRDefault="00907867" w:rsidP="00717F4D"/>
          <w:p w14:paraId="40477B8B" w14:textId="77777777" w:rsidR="00907867" w:rsidRPr="0061012C" w:rsidRDefault="00907867" w:rsidP="00717F4D">
            <w:r w:rsidRPr="0061012C">
              <w:t xml:space="preserve">6.2 Expanded use and dissemination of data and lessons learned to: report on </w:t>
            </w:r>
            <w:r w:rsidRPr="0061012C">
              <w:lastRenderedPageBreak/>
              <w:t xml:space="preserve">progress of integrated SRH services, in particular </w:t>
            </w:r>
            <w:proofErr w:type="gramStart"/>
            <w:r w:rsidRPr="0061012C">
              <w:t>FP</w:t>
            </w:r>
            <w:proofErr w:type="gramEnd"/>
          </w:p>
          <w:p w14:paraId="115B5B8A" w14:textId="77777777" w:rsidR="00907867" w:rsidRPr="00303081" w:rsidRDefault="002F5DCA" w:rsidP="00717F4D">
            <w:pPr>
              <w:rPr>
                <w:b/>
                <w:bCs/>
                <w:szCs w:val="22"/>
              </w:rPr>
            </w:pPr>
            <w:r>
              <w:rPr>
                <w:b/>
                <w:bCs/>
                <w:szCs w:val="22"/>
              </w:rPr>
              <w:t xml:space="preserve">Note: The priority </w:t>
            </w:r>
            <w:r w:rsidR="000D7D10">
              <w:rPr>
                <w:b/>
                <w:bCs/>
                <w:szCs w:val="22"/>
              </w:rPr>
              <w:t xml:space="preserve">for the remaining TA program implementation </w:t>
            </w:r>
            <w:r>
              <w:rPr>
                <w:b/>
                <w:bCs/>
                <w:szCs w:val="22"/>
              </w:rPr>
              <w:t xml:space="preserve">is on strengthening MOH HIS data collections and analysis. While it is acknowledged that the NSO role in </w:t>
            </w:r>
            <w:r w:rsidR="000D7D10">
              <w:rPr>
                <w:b/>
                <w:bCs/>
                <w:szCs w:val="22"/>
              </w:rPr>
              <w:t xml:space="preserve">analysing demographic data from DHS/MICS etc is vital, there are alternative development partners who can support these activities.  </w:t>
            </w:r>
          </w:p>
        </w:tc>
        <w:tc>
          <w:tcPr>
            <w:tcW w:w="3067" w:type="dxa"/>
          </w:tcPr>
          <w:p w14:paraId="78D38104" w14:textId="77777777" w:rsidR="00907867" w:rsidRDefault="00907867" w:rsidP="00717F4D">
            <w:r w:rsidRPr="00561D2A">
              <w:lastRenderedPageBreak/>
              <w:t xml:space="preserve">Support MOH HIS </w:t>
            </w:r>
            <w:r>
              <w:t>and partners (</w:t>
            </w:r>
            <w:proofErr w:type="gramStart"/>
            <w:r>
              <w:t>e.g.</w:t>
            </w:r>
            <w:proofErr w:type="gramEnd"/>
            <w:r>
              <w:t xml:space="preserve"> WHO) to strengthen SRH/VAWG data components including disaggregation by gender, age, sub-national level and disability;</w:t>
            </w:r>
          </w:p>
          <w:p w14:paraId="65096605" w14:textId="77777777" w:rsidR="00907867" w:rsidRDefault="00907867" w:rsidP="00717F4D">
            <w:r>
              <w:t xml:space="preserve">Strengthen the capacity of health workers to collect, report, analyse and use FP/SRH data; </w:t>
            </w:r>
          </w:p>
          <w:p w14:paraId="349BB97D" w14:textId="77777777" w:rsidR="00907867" w:rsidRDefault="00907867" w:rsidP="00717F4D">
            <w:r>
              <w:t>Link data collection systems to Tupaia;</w:t>
            </w:r>
          </w:p>
          <w:p w14:paraId="5527CAEC" w14:textId="77777777" w:rsidR="00907867" w:rsidRDefault="00907867" w:rsidP="00717F4D">
            <w:r>
              <w:t>Support policy makers’ capacity to use data to inform policy and programming;</w:t>
            </w:r>
          </w:p>
          <w:p w14:paraId="72A0A9C1" w14:textId="77777777" w:rsidR="00907867" w:rsidRPr="00561D2A" w:rsidRDefault="00907867" w:rsidP="00717F4D">
            <w:r>
              <w:lastRenderedPageBreak/>
              <w:t xml:space="preserve">Build an investment case for investing in FP.  </w:t>
            </w:r>
          </w:p>
        </w:tc>
      </w:tr>
    </w:tbl>
    <w:p w14:paraId="2E6C47B4" w14:textId="77777777" w:rsidR="004D2D92" w:rsidRDefault="004D2D92" w:rsidP="004D2D92"/>
    <w:p w14:paraId="0B0790AC" w14:textId="77777777" w:rsidR="00360EA3" w:rsidRDefault="004D2D92">
      <w:pPr>
        <w:spacing w:after="160" w:line="259" w:lineRule="auto"/>
      </w:pPr>
      <w:r>
        <w:br w:type="page"/>
      </w:r>
    </w:p>
    <w:p w14:paraId="3C45C684" w14:textId="77777777" w:rsidR="00360EA3" w:rsidRPr="00A05F9F" w:rsidRDefault="00360EA3" w:rsidP="008453DD">
      <w:pPr>
        <w:pStyle w:val="Title"/>
      </w:pPr>
      <w:bookmarkStart w:id="58" w:name="_Toc76630114"/>
      <w:r w:rsidRPr="00DF6D57">
        <w:rPr>
          <w:color w:val="FF0000"/>
        </w:rPr>
        <w:lastRenderedPageBreak/>
        <w:t>Annex</w:t>
      </w:r>
      <w:r>
        <w:rPr>
          <w:color w:val="FF0000"/>
        </w:rPr>
        <w:t xml:space="preserve"> 1</w:t>
      </w:r>
      <w:r w:rsidR="00140409">
        <w:rPr>
          <w:color w:val="FF0000"/>
        </w:rPr>
        <w:t>0</w:t>
      </w:r>
      <w:r>
        <w:rPr>
          <w:color w:val="FF0000"/>
        </w:rPr>
        <w:t xml:space="preserve">: </w:t>
      </w:r>
      <w:r w:rsidRPr="00A05F9F">
        <w:t>Situation Analysis of MOH and IPPF MAs in the Six Countries</w:t>
      </w:r>
      <w:bookmarkEnd w:id="58"/>
    </w:p>
    <w:p w14:paraId="5BDD79FD" w14:textId="77777777" w:rsidR="00360EA3" w:rsidRDefault="00360EA3" w:rsidP="00360EA3"/>
    <w:p w14:paraId="5A9DB60D" w14:textId="77777777" w:rsidR="00360EA3" w:rsidRPr="00D33F16" w:rsidRDefault="00360EA3" w:rsidP="00360EA3">
      <w:r w:rsidRPr="00D33F16">
        <w:t xml:space="preserve">This annex describes the SRH roles of </w:t>
      </w:r>
      <w:r>
        <w:t xml:space="preserve">the two main SRHR service providers: </w:t>
      </w:r>
      <w:r w:rsidRPr="00D33F16">
        <w:t xml:space="preserve">MOHs and IPPF MAs. </w:t>
      </w:r>
    </w:p>
    <w:p w14:paraId="6F5DF413" w14:textId="77777777" w:rsidR="00360EA3" w:rsidRPr="00D33F16" w:rsidRDefault="00360EA3" w:rsidP="00360EA3">
      <w:r w:rsidRPr="00D33F16">
        <w:t>The MOH data includes: policy and program priorities; FP/SRH programming; FP methods offered; and relevant results of the HFRSA assessment (where it has been conducted).</w:t>
      </w:r>
    </w:p>
    <w:p w14:paraId="02697790" w14:textId="77777777" w:rsidR="00360EA3" w:rsidRPr="00D33F16" w:rsidRDefault="00360EA3" w:rsidP="00360EA3">
      <w:r w:rsidRPr="00D33F16">
        <w:t>The IPPF MA data includes clinical and educational services provided by the MA; staffing information; geographic coverage; their relationships with MOHs; and programs implemented by the MAs.</w:t>
      </w:r>
    </w:p>
    <w:p w14:paraId="231C9021" w14:textId="77777777" w:rsidR="00360EA3" w:rsidRPr="00D33F16" w:rsidRDefault="00360EA3" w:rsidP="00360EA3">
      <w:r w:rsidRPr="00D33F16">
        <w:t>The purpose of this annex is to illustrate that much integrated SRH, particularly FP, is in exist</w:t>
      </w:r>
      <w:r>
        <w:t>ence</w:t>
      </w:r>
      <w:r w:rsidRPr="00D33F16">
        <w:t xml:space="preserve"> and functioning.</w:t>
      </w:r>
      <w:r>
        <w:t xml:space="preserve"> While MOHs have many more SDPs than IPPF MAs, the MAs are often utilised by MOHs to reach hard to reach populations and locations.</w:t>
      </w:r>
    </w:p>
    <w:p w14:paraId="19D1FA0A" w14:textId="77777777" w:rsidR="00360EA3" w:rsidRPr="00D33F16" w:rsidRDefault="00360EA3" w:rsidP="00360EA3">
      <w:r w:rsidRPr="00D33F16">
        <w:rPr>
          <w:b/>
          <w:bCs/>
        </w:rPr>
        <w:t xml:space="preserve">IPPF </w:t>
      </w:r>
      <w:r w:rsidRPr="00D33F16">
        <w:t>is a global service provider and advocate</w:t>
      </w:r>
      <w:r w:rsidR="00533EB2">
        <w:t>s</w:t>
      </w:r>
      <w:r w:rsidRPr="00D33F16">
        <w:t xml:space="preserve"> for SRHR for all; and empowers women and young people to advocate for change. It ensures that young people have the information, education and services they need to realise their SRHR. This is done through Comprehensive Sexuality Education (CSE) in formal and non-formal settings; and through the provision of expertise in the development of school curricula to ensure critical components are not excluded from Family Life Education (FLE). IPPF’s Integrated Package of Essential Services is implemented by all Member Associations (MAs). </w:t>
      </w:r>
    </w:p>
    <w:p w14:paraId="27721705" w14:textId="77777777" w:rsidR="00360EA3" w:rsidRPr="00D33F16" w:rsidRDefault="00360EA3" w:rsidP="00360EA3">
      <w:pPr>
        <w:autoSpaceDE w:val="0"/>
        <w:autoSpaceDN w:val="0"/>
        <w:adjustRightInd w:val="0"/>
        <w:spacing w:after="0" w:line="240" w:lineRule="auto"/>
        <w:rPr>
          <w:rFonts w:eastAsia="FrutigerLTStd-Light" w:cs="FrutigerLTStd-Light"/>
          <w:b/>
        </w:rPr>
      </w:pPr>
      <w:r w:rsidRPr="00D33F16">
        <w:t xml:space="preserve"> </w:t>
      </w:r>
      <w:r w:rsidRPr="00D33F16">
        <w:rPr>
          <w:rFonts w:cs="FrutigerLTStd-Cn"/>
          <w:b/>
        </w:rPr>
        <w:t>Components of IPPF’s Integrated Package of Essential Services</w:t>
      </w:r>
    </w:p>
    <w:p w14:paraId="5EE9D5EF" w14:textId="77777777" w:rsidR="00360EA3" w:rsidRPr="00D33F16" w:rsidRDefault="00360EA3" w:rsidP="003538C5">
      <w:pPr>
        <w:pStyle w:val="ListParagraph"/>
        <w:numPr>
          <w:ilvl w:val="0"/>
          <w:numId w:val="28"/>
        </w:numPr>
        <w:autoSpaceDE w:val="0"/>
        <w:autoSpaceDN w:val="0"/>
        <w:adjustRightInd w:val="0"/>
        <w:spacing w:after="0" w:line="240" w:lineRule="auto"/>
        <w:contextualSpacing/>
        <w:rPr>
          <w:rFonts w:eastAsia="FrutigerLTStd-Light" w:cs="FrutigerLTStd-Light"/>
        </w:rPr>
      </w:pPr>
      <w:r w:rsidRPr="00D33F16">
        <w:rPr>
          <w:rFonts w:eastAsia="FrutigerLTStd-Light" w:cs="FrutigerLTStd-Light"/>
        </w:rPr>
        <w:t>Counselling – sex and sexuality; relationship</w:t>
      </w:r>
    </w:p>
    <w:p w14:paraId="4BC117BA" w14:textId="77777777" w:rsidR="00360EA3" w:rsidRPr="00D33F16" w:rsidRDefault="00360EA3" w:rsidP="003538C5">
      <w:pPr>
        <w:pStyle w:val="ListParagraph"/>
        <w:numPr>
          <w:ilvl w:val="0"/>
          <w:numId w:val="28"/>
        </w:numPr>
        <w:autoSpaceDE w:val="0"/>
        <w:autoSpaceDN w:val="0"/>
        <w:adjustRightInd w:val="0"/>
        <w:spacing w:after="0" w:line="240" w:lineRule="auto"/>
        <w:contextualSpacing/>
        <w:rPr>
          <w:rFonts w:eastAsia="FrutigerLTStd-Light" w:cs="FrutigerLTStd-Light"/>
        </w:rPr>
      </w:pPr>
      <w:r w:rsidRPr="00D33F16">
        <w:rPr>
          <w:rFonts w:eastAsia="FrutigerLTStd-Light" w:cs="FrutigerLTStd-Light"/>
        </w:rPr>
        <w:t>Contraception – counseling; oral contraceptive pills; condoms; injectables; at least one long-acting and reversible contraceptive (IUD or implants); at least one emergency contraceptive method</w:t>
      </w:r>
    </w:p>
    <w:p w14:paraId="49B8159C" w14:textId="77777777" w:rsidR="00360EA3" w:rsidRPr="00D33F16" w:rsidRDefault="00360EA3" w:rsidP="003538C5">
      <w:pPr>
        <w:pStyle w:val="ListParagraph"/>
        <w:numPr>
          <w:ilvl w:val="0"/>
          <w:numId w:val="28"/>
        </w:numPr>
        <w:autoSpaceDE w:val="0"/>
        <w:autoSpaceDN w:val="0"/>
        <w:adjustRightInd w:val="0"/>
        <w:spacing w:after="0" w:line="240" w:lineRule="auto"/>
        <w:contextualSpacing/>
        <w:rPr>
          <w:rFonts w:eastAsia="FrutigerLTStd-Light" w:cs="FrutigerLTStd-Light"/>
        </w:rPr>
      </w:pPr>
      <w:r w:rsidRPr="00D33F16">
        <w:rPr>
          <w:rFonts w:eastAsia="FrutigerLTStd-Light" w:cs="FrutigerLTStd-Light"/>
        </w:rPr>
        <w:t>Safe abortion care – pre-and post- abortion counseling; at least one of: surgical abortion OR medical abortion OR incomplete abortion treatment</w:t>
      </w:r>
    </w:p>
    <w:p w14:paraId="3621CFC0" w14:textId="77777777" w:rsidR="00360EA3" w:rsidRPr="00D33F16" w:rsidRDefault="00360EA3" w:rsidP="003538C5">
      <w:pPr>
        <w:pStyle w:val="ListParagraph"/>
        <w:numPr>
          <w:ilvl w:val="0"/>
          <w:numId w:val="28"/>
        </w:numPr>
        <w:autoSpaceDE w:val="0"/>
        <w:autoSpaceDN w:val="0"/>
        <w:adjustRightInd w:val="0"/>
        <w:spacing w:after="0" w:line="240" w:lineRule="auto"/>
        <w:contextualSpacing/>
        <w:rPr>
          <w:rFonts w:eastAsia="FrutigerLTStd-Light" w:cs="FrutigerLTStd-Light"/>
        </w:rPr>
      </w:pPr>
      <w:r w:rsidRPr="00D33F16">
        <w:rPr>
          <w:rFonts w:eastAsia="FrutigerLTStd-Light" w:cs="FrutigerLTStd-Light"/>
        </w:rPr>
        <w:t xml:space="preserve">STI/RTIs – at least one STI/RTI treatment method OR at least one STI/RTI lab test; </w:t>
      </w:r>
    </w:p>
    <w:p w14:paraId="4A2BB691" w14:textId="77777777" w:rsidR="00360EA3" w:rsidRPr="00D33F16" w:rsidRDefault="00360EA3" w:rsidP="003538C5">
      <w:pPr>
        <w:pStyle w:val="ListParagraph"/>
        <w:numPr>
          <w:ilvl w:val="0"/>
          <w:numId w:val="28"/>
        </w:numPr>
        <w:autoSpaceDE w:val="0"/>
        <w:autoSpaceDN w:val="0"/>
        <w:adjustRightInd w:val="0"/>
        <w:spacing w:after="0" w:line="240" w:lineRule="auto"/>
        <w:contextualSpacing/>
        <w:rPr>
          <w:rFonts w:eastAsia="FrutigerLTStd-Light" w:cs="FrutigerLTStd-Light"/>
        </w:rPr>
      </w:pPr>
      <w:r w:rsidRPr="00D33F16">
        <w:rPr>
          <w:rFonts w:eastAsia="FrutigerLTStd-Light" w:cs="FrutigerLTStd-Light"/>
        </w:rPr>
        <w:t>HIV - pre- and/ or post-test counseling; HIV lab tests</w:t>
      </w:r>
    </w:p>
    <w:p w14:paraId="0A07ACE6" w14:textId="77777777" w:rsidR="00360EA3" w:rsidRPr="00D33F16" w:rsidRDefault="00360EA3" w:rsidP="003538C5">
      <w:pPr>
        <w:pStyle w:val="ListParagraph"/>
        <w:numPr>
          <w:ilvl w:val="0"/>
          <w:numId w:val="28"/>
        </w:numPr>
        <w:autoSpaceDE w:val="0"/>
        <w:autoSpaceDN w:val="0"/>
        <w:adjustRightInd w:val="0"/>
        <w:spacing w:after="0" w:line="240" w:lineRule="auto"/>
        <w:contextualSpacing/>
        <w:rPr>
          <w:rFonts w:eastAsia="FrutigerLTStd-Light" w:cs="FrutigerLTStd-Light"/>
        </w:rPr>
      </w:pPr>
      <w:proofErr w:type="spellStart"/>
      <w:r w:rsidRPr="00D33F16">
        <w:rPr>
          <w:rFonts w:eastAsia="FrutigerLTStd-Light" w:cs="FrutigerLTStd-Light"/>
        </w:rPr>
        <w:t>Gynaecology</w:t>
      </w:r>
      <w:proofErr w:type="spellEnd"/>
      <w:r w:rsidRPr="00D33F16">
        <w:rPr>
          <w:rFonts w:eastAsia="FrutigerLTStd-Light" w:cs="FrutigerLTStd-Light"/>
        </w:rPr>
        <w:t xml:space="preserve"> – manual pelvic exam (auto-qualify if provides Pap Smear); manual breast exam; Pap Smear OR other cervical cancer screening </w:t>
      </w:r>
      <w:proofErr w:type="gramStart"/>
      <w:r w:rsidRPr="00D33F16">
        <w:rPr>
          <w:rFonts w:eastAsia="FrutigerLTStd-Light" w:cs="FrutigerLTStd-Light"/>
        </w:rPr>
        <w:t>method</w:t>
      </w:r>
      <w:proofErr w:type="gramEnd"/>
    </w:p>
    <w:p w14:paraId="6380AD53" w14:textId="77777777" w:rsidR="00360EA3" w:rsidRPr="00D33F16" w:rsidRDefault="00360EA3" w:rsidP="003538C5">
      <w:pPr>
        <w:pStyle w:val="ListParagraph"/>
        <w:numPr>
          <w:ilvl w:val="0"/>
          <w:numId w:val="28"/>
        </w:numPr>
        <w:autoSpaceDE w:val="0"/>
        <w:autoSpaceDN w:val="0"/>
        <w:adjustRightInd w:val="0"/>
        <w:spacing w:after="0" w:line="240" w:lineRule="auto"/>
        <w:contextualSpacing/>
        <w:rPr>
          <w:rFonts w:eastAsia="FrutigerLTStd-Light" w:cs="FrutigerLTStd-Light"/>
        </w:rPr>
      </w:pPr>
      <w:r w:rsidRPr="00D33F16">
        <w:rPr>
          <w:rFonts w:eastAsia="FrutigerLTStd-Light" w:cs="FrutigerLTStd-Light"/>
        </w:rPr>
        <w:t>Pre-natal care – confirmation of pregnancy; prenatal care</w:t>
      </w:r>
    </w:p>
    <w:p w14:paraId="5A8624B7" w14:textId="77777777" w:rsidR="00360EA3" w:rsidRPr="00D33F16" w:rsidRDefault="00360EA3" w:rsidP="003538C5">
      <w:pPr>
        <w:pStyle w:val="ListParagraph"/>
        <w:numPr>
          <w:ilvl w:val="0"/>
          <w:numId w:val="28"/>
        </w:numPr>
        <w:autoSpaceDE w:val="0"/>
        <w:autoSpaceDN w:val="0"/>
        <w:adjustRightInd w:val="0"/>
        <w:spacing w:after="0" w:line="240" w:lineRule="auto"/>
        <w:contextualSpacing/>
        <w:rPr>
          <w:rFonts w:eastAsia="FrutigerLTStd-Light" w:cs="FrutigerLTStd-Light"/>
        </w:rPr>
      </w:pPr>
      <w:r w:rsidRPr="00D33F16">
        <w:rPr>
          <w:rFonts w:eastAsia="FrutigerLTStd-Light" w:cs="FrutigerLTStd-Light"/>
        </w:rPr>
        <w:t xml:space="preserve">Gender based violence – screening for gender-based violence; </w:t>
      </w:r>
      <w:r w:rsidR="00533EB2">
        <w:rPr>
          <w:rFonts w:eastAsia="FrutigerLTStd-Light" w:cs="FrutigerLTStd-Light"/>
        </w:rPr>
        <w:t xml:space="preserve">clinical management of rape; </w:t>
      </w:r>
      <w:r w:rsidRPr="00D33F16">
        <w:rPr>
          <w:rFonts w:eastAsia="FrutigerLTStd-Light" w:cs="FrutigerLTStd-Light"/>
        </w:rPr>
        <w:t xml:space="preserve">referral mechanisms for clinical, psychosocial and protection services.   </w:t>
      </w:r>
    </w:p>
    <w:p w14:paraId="673B58F8" w14:textId="77777777" w:rsidR="00360EA3" w:rsidRPr="00D33F16" w:rsidRDefault="00360EA3" w:rsidP="00360EA3"/>
    <w:p w14:paraId="6AD10FC9" w14:textId="77777777" w:rsidR="00360EA3" w:rsidRPr="00D33F16" w:rsidRDefault="00360EA3" w:rsidP="00360EA3">
      <w:pPr>
        <w:autoSpaceDE w:val="0"/>
        <w:autoSpaceDN w:val="0"/>
        <w:adjustRightInd w:val="0"/>
        <w:spacing w:after="0" w:line="240" w:lineRule="auto"/>
        <w:rPr>
          <w:rFonts w:eastAsia="FrutigerLTStd-Light" w:cs="FrutigerLTStd-Light"/>
          <w:bCs/>
          <w:color w:val="000000"/>
        </w:rPr>
      </w:pPr>
      <w:r w:rsidRPr="00D33F16">
        <w:rPr>
          <w:rFonts w:eastAsia="FrutigerLTStd-Light" w:cs="FrutigerLTStd-Light"/>
          <w:bCs/>
          <w:color w:val="000000"/>
        </w:rPr>
        <w:t xml:space="preserve">All IPPF MA staff are trained in FP counselling; integrated service delivery (FP, STI/HIV and ANC/PNC); provision of adolescent and youth friendly services; </w:t>
      </w:r>
      <w:r w:rsidR="00533EB2">
        <w:rPr>
          <w:rFonts w:eastAsia="FrutigerLTStd-Light" w:cs="FrutigerLTStd-Light"/>
          <w:bCs/>
          <w:color w:val="000000"/>
        </w:rPr>
        <w:t xml:space="preserve">GBV care; </w:t>
      </w:r>
      <w:r w:rsidRPr="00D33F16">
        <w:rPr>
          <w:rFonts w:eastAsia="FrutigerLTStd-Light" w:cs="FrutigerLTStd-Light"/>
          <w:bCs/>
          <w:color w:val="000000"/>
        </w:rPr>
        <w:t xml:space="preserve">and disability inclusive services. </w:t>
      </w:r>
    </w:p>
    <w:p w14:paraId="71578F39" w14:textId="77777777" w:rsidR="00360EA3" w:rsidRPr="00D33F16" w:rsidRDefault="00360EA3" w:rsidP="00360EA3">
      <w:pPr>
        <w:autoSpaceDE w:val="0"/>
        <w:autoSpaceDN w:val="0"/>
        <w:adjustRightInd w:val="0"/>
        <w:spacing w:after="0" w:line="240" w:lineRule="auto"/>
        <w:rPr>
          <w:rFonts w:eastAsia="FrutigerLTStd-Light" w:cs="FrutigerLTStd-Light"/>
          <w:b/>
          <w:color w:val="000000"/>
        </w:rPr>
      </w:pPr>
    </w:p>
    <w:p w14:paraId="471E6BA0" w14:textId="77777777" w:rsidR="00360EA3" w:rsidRPr="00D33F16" w:rsidRDefault="00360EA3" w:rsidP="00360EA3">
      <w:pPr>
        <w:autoSpaceDE w:val="0"/>
        <w:autoSpaceDN w:val="0"/>
        <w:adjustRightInd w:val="0"/>
        <w:spacing w:after="0" w:line="240" w:lineRule="auto"/>
        <w:rPr>
          <w:rFonts w:eastAsia="FrutigerLTStd-Light" w:cs="FrutigerLTStd-Light"/>
          <w:b/>
          <w:color w:val="000000"/>
        </w:rPr>
      </w:pPr>
      <w:r w:rsidRPr="00D33F16">
        <w:rPr>
          <w:rFonts w:eastAsia="FrutigerLTStd-Light" w:cs="FrutigerLTStd-Light"/>
          <w:b/>
          <w:color w:val="000000"/>
        </w:rPr>
        <w:t xml:space="preserve">Principles Guiding the Delivery of Essential Package of Services: </w:t>
      </w:r>
    </w:p>
    <w:p w14:paraId="7513C4F2" w14:textId="77777777" w:rsidR="00360EA3" w:rsidRPr="00D33F16" w:rsidRDefault="00360EA3" w:rsidP="003538C5">
      <w:pPr>
        <w:pStyle w:val="ListParagraph"/>
        <w:numPr>
          <w:ilvl w:val="0"/>
          <w:numId w:val="29"/>
        </w:numPr>
        <w:autoSpaceDE w:val="0"/>
        <w:autoSpaceDN w:val="0"/>
        <w:adjustRightInd w:val="0"/>
        <w:spacing w:after="0" w:line="240" w:lineRule="auto"/>
        <w:contextualSpacing/>
        <w:rPr>
          <w:rFonts w:eastAsia="FrutigerLTStd-Light" w:cs="FrutigerLTStd-Light"/>
        </w:rPr>
      </w:pPr>
      <w:r w:rsidRPr="00D33F16">
        <w:rPr>
          <w:rFonts w:eastAsia="FrutigerLTStd-Light" w:cs="FrutigerLTStd-Light"/>
        </w:rPr>
        <w:t>Integration of sexual and reproductive health services regardless of the initial point of entry.</w:t>
      </w:r>
    </w:p>
    <w:p w14:paraId="1277605E" w14:textId="77777777" w:rsidR="00360EA3" w:rsidRPr="00D33F16" w:rsidRDefault="00360EA3" w:rsidP="003538C5">
      <w:pPr>
        <w:pStyle w:val="ListParagraph"/>
        <w:numPr>
          <w:ilvl w:val="0"/>
          <w:numId w:val="29"/>
        </w:numPr>
        <w:autoSpaceDE w:val="0"/>
        <w:autoSpaceDN w:val="0"/>
        <w:adjustRightInd w:val="0"/>
        <w:spacing w:after="0" w:line="240" w:lineRule="auto"/>
        <w:contextualSpacing/>
        <w:rPr>
          <w:rFonts w:eastAsia="FrutigerLTStd-Light" w:cs="FrutigerLTStd-Light"/>
        </w:rPr>
      </w:pPr>
      <w:r w:rsidRPr="00D33F16">
        <w:rPr>
          <w:rFonts w:eastAsia="FrutigerLTStd-Light" w:cs="FrutigerLTStd-Light"/>
        </w:rPr>
        <w:t xml:space="preserve">Ensuring high quality, effective and efficient services by applying the </w:t>
      </w:r>
      <w:r w:rsidRPr="00D33F16">
        <w:rPr>
          <w:rFonts w:cs="FrutigerLTStd-LightItalic"/>
          <w:i/>
          <w:iCs/>
        </w:rPr>
        <w:t>IPES Quality Assurance Toolkit</w:t>
      </w:r>
      <w:r w:rsidRPr="00D33F16">
        <w:rPr>
          <w:rFonts w:eastAsia="FrutigerLTStd-Light" w:cs="FrutigerLTStd-Light"/>
        </w:rPr>
        <w:t>.</w:t>
      </w:r>
    </w:p>
    <w:p w14:paraId="08B8B1B8" w14:textId="77777777" w:rsidR="00360EA3" w:rsidRPr="00D33F16" w:rsidRDefault="00360EA3" w:rsidP="003538C5">
      <w:pPr>
        <w:pStyle w:val="ListParagraph"/>
        <w:numPr>
          <w:ilvl w:val="0"/>
          <w:numId w:val="29"/>
        </w:numPr>
        <w:autoSpaceDE w:val="0"/>
        <w:autoSpaceDN w:val="0"/>
        <w:adjustRightInd w:val="0"/>
        <w:spacing w:after="0" w:line="240" w:lineRule="auto"/>
        <w:contextualSpacing/>
        <w:rPr>
          <w:rFonts w:eastAsia="FrutigerLTStd-Light" w:cs="FrutigerLTStd-Light"/>
        </w:rPr>
      </w:pPr>
      <w:r w:rsidRPr="00D33F16">
        <w:rPr>
          <w:rFonts w:eastAsia="FrutigerLTStd-Light" w:cs="FrutigerLTStd-Light"/>
        </w:rPr>
        <w:t>Change from a provider-</w:t>
      </w:r>
      <w:proofErr w:type="spellStart"/>
      <w:r w:rsidRPr="00D33F16">
        <w:rPr>
          <w:rFonts w:eastAsia="FrutigerLTStd-Light" w:cs="FrutigerLTStd-Light"/>
        </w:rPr>
        <w:t>centred</w:t>
      </w:r>
      <w:proofErr w:type="spellEnd"/>
      <w:r w:rsidRPr="00D33F16">
        <w:rPr>
          <w:rFonts w:eastAsia="FrutigerLTStd-Light" w:cs="FrutigerLTStd-Light"/>
        </w:rPr>
        <w:t xml:space="preserve"> towards a client-</w:t>
      </w:r>
      <w:proofErr w:type="spellStart"/>
      <w:r w:rsidRPr="00D33F16">
        <w:rPr>
          <w:rFonts w:eastAsia="FrutigerLTStd-Light" w:cs="FrutigerLTStd-Light"/>
        </w:rPr>
        <w:t>centred</w:t>
      </w:r>
      <w:proofErr w:type="spellEnd"/>
      <w:r w:rsidRPr="00D33F16">
        <w:rPr>
          <w:rFonts w:eastAsia="FrutigerLTStd-Light" w:cs="FrutigerLTStd-Light"/>
        </w:rPr>
        <w:t xml:space="preserve"> approach within a rights perspective based on client satisfaction and improvements in the health of the communities we serve.</w:t>
      </w:r>
    </w:p>
    <w:p w14:paraId="3086A2D5" w14:textId="77777777" w:rsidR="00360EA3" w:rsidRPr="00D33F16" w:rsidRDefault="00360EA3" w:rsidP="003538C5">
      <w:pPr>
        <w:pStyle w:val="ListParagraph"/>
        <w:numPr>
          <w:ilvl w:val="0"/>
          <w:numId w:val="29"/>
        </w:numPr>
        <w:autoSpaceDE w:val="0"/>
        <w:autoSpaceDN w:val="0"/>
        <w:adjustRightInd w:val="0"/>
        <w:spacing w:after="0" w:line="240" w:lineRule="auto"/>
        <w:contextualSpacing/>
        <w:rPr>
          <w:rFonts w:eastAsia="FrutigerLTStd-Light" w:cs="FrutigerLTStd-Light"/>
        </w:rPr>
      </w:pPr>
      <w:r w:rsidRPr="00D33F16">
        <w:rPr>
          <w:rFonts w:eastAsia="FrutigerLTStd-Light" w:cs="FrutigerLTStd-Light"/>
        </w:rPr>
        <w:t>Ensuring universal access to SRH and minimizing missed opportunities, with attention to:</w:t>
      </w:r>
    </w:p>
    <w:p w14:paraId="382187B1" w14:textId="77777777" w:rsidR="00360EA3" w:rsidRPr="00D33F16" w:rsidRDefault="00360EA3" w:rsidP="003538C5">
      <w:pPr>
        <w:pStyle w:val="ListParagraph"/>
        <w:numPr>
          <w:ilvl w:val="0"/>
          <w:numId w:val="30"/>
        </w:numPr>
        <w:autoSpaceDE w:val="0"/>
        <w:autoSpaceDN w:val="0"/>
        <w:adjustRightInd w:val="0"/>
        <w:spacing w:after="0" w:line="240" w:lineRule="auto"/>
        <w:contextualSpacing/>
        <w:rPr>
          <w:rFonts w:eastAsia="FrutigerLTStd-Light" w:cs="FrutigerLTStd-Light"/>
        </w:rPr>
      </w:pPr>
      <w:r w:rsidRPr="00D33F16">
        <w:rPr>
          <w:rFonts w:eastAsia="FrutigerLTStd-Light" w:cs="FrutigerLTStd-Light"/>
        </w:rPr>
        <w:t>The needs of vulnerable groups, especially women and girls</w:t>
      </w:r>
    </w:p>
    <w:p w14:paraId="795F619F" w14:textId="77777777" w:rsidR="00360EA3" w:rsidRPr="00D33F16" w:rsidRDefault="00360EA3" w:rsidP="003538C5">
      <w:pPr>
        <w:pStyle w:val="ListParagraph"/>
        <w:numPr>
          <w:ilvl w:val="0"/>
          <w:numId w:val="30"/>
        </w:numPr>
        <w:autoSpaceDE w:val="0"/>
        <w:autoSpaceDN w:val="0"/>
        <w:adjustRightInd w:val="0"/>
        <w:spacing w:after="0" w:line="240" w:lineRule="auto"/>
        <w:contextualSpacing/>
        <w:rPr>
          <w:rFonts w:eastAsia="FrutigerLTStd-Light" w:cs="FrutigerLTStd-Light"/>
        </w:rPr>
      </w:pPr>
      <w:r w:rsidRPr="00D33F16">
        <w:rPr>
          <w:rFonts w:eastAsia="FrutigerLTStd-Light" w:cs="FrutigerLTStd-Light"/>
        </w:rPr>
        <w:t xml:space="preserve">The needs of adolescents and young people, both those sexually and </w:t>
      </w:r>
      <w:proofErr w:type="spellStart"/>
      <w:r w:rsidRPr="00D33F16">
        <w:rPr>
          <w:rFonts w:eastAsia="FrutigerLTStd-Light" w:cs="FrutigerLTStd-Light"/>
        </w:rPr>
        <w:t>non sexually</w:t>
      </w:r>
      <w:proofErr w:type="spellEnd"/>
      <w:r w:rsidRPr="00D33F16">
        <w:rPr>
          <w:rFonts w:eastAsia="FrutigerLTStd-Light" w:cs="FrutigerLTStd-Light"/>
        </w:rPr>
        <w:t>-active.</w:t>
      </w:r>
    </w:p>
    <w:p w14:paraId="5B31062C" w14:textId="77777777" w:rsidR="00360EA3" w:rsidRPr="00D33F16" w:rsidRDefault="00360EA3" w:rsidP="003538C5">
      <w:pPr>
        <w:pStyle w:val="ListParagraph"/>
        <w:numPr>
          <w:ilvl w:val="0"/>
          <w:numId w:val="29"/>
        </w:numPr>
        <w:autoSpaceDE w:val="0"/>
        <w:autoSpaceDN w:val="0"/>
        <w:adjustRightInd w:val="0"/>
        <w:spacing w:after="0" w:line="240" w:lineRule="auto"/>
        <w:contextualSpacing/>
        <w:rPr>
          <w:rFonts w:eastAsia="FrutigerLTStd-Light" w:cs="FrutigerLTStd-Light"/>
        </w:rPr>
      </w:pPr>
      <w:r w:rsidRPr="00D33F16">
        <w:rPr>
          <w:rFonts w:eastAsia="FrutigerLTStd-Light" w:cs="FrutigerLTStd-Light"/>
        </w:rPr>
        <w:t xml:space="preserve">Involving the community, in particular women and girls, to lead and shape the response to sexual and reproductive needs, </w:t>
      </w:r>
      <w:proofErr w:type="gramStart"/>
      <w:r w:rsidRPr="00D33F16">
        <w:rPr>
          <w:rFonts w:eastAsia="FrutigerLTStd-Light" w:cs="FrutigerLTStd-Light"/>
        </w:rPr>
        <w:t>taking into account</w:t>
      </w:r>
      <w:proofErr w:type="gramEnd"/>
      <w:r w:rsidRPr="00D33F16">
        <w:rPr>
          <w:rFonts w:eastAsia="FrutigerLTStd-Light" w:cs="FrutigerLTStd-Light"/>
        </w:rPr>
        <w:t xml:space="preserve"> considerations of gender equity.</w:t>
      </w:r>
    </w:p>
    <w:p w14:paraId="02C6B81B" w14:textId="77777777" w:rsidR="00360EA3" w:rsidRPr="00D33F16" w:rsidRDefault="00360EA3" w:rsidP="003538C5">
      <w:pPr>
        <w:pStyle w:val="ListParagraph"/>
        <w:numPr>
          <w:ilvl w:val="0"/>
          <w:numId w:val="29"/>
        </w:numPr>
        <w:autoSpaceDE w:val="0"/>
        <w:autoSpaceDN w:val="0"/>
        <w:adjustRightInd w:val="0"/>
        <w:spacing w:after="0" w:line="240" w:lineRule="auto"/>
        <w:contextualSpacing/>
        <w:rPr>
          <w:rFonts w:eastAsia="FrutigerLTStd-Light" w:cs="FrutigerLTStd-Light"/>
        </w:rPr>
      </w:pPr>
      <w:r w:rsidRPr="00D33F16">
        <w:rPr>
          <w:rFonts w:eastAsia="FrutigerLTStd-Light" w:cs="FrutigerLTStd-Light"/>
        </w:rPr>
        <w:t>Facilitating respect, protection and fulfilment of human rights, which include sexual and reproductive rights, by offering client-</w:t>
      </w:r>
      <w:proofErr w:type="spellStart"/>
      <w:r w:rsidRPr="00D33F16">
        <w:rPr>
          <w:rFonts w:eastAsia="FrutigerLTStd-Light" w:cs="FrutigerLTStd-Light"/>
        </w:rPr>
        <w:t>centred</w:t>
      </w:r>
      <w:proofErr w:type="spellEnd"/>
      <w:r w:rsidRPr="00D33F16">
        <w:rPr>
          <w:rFonts w:eastAsia="FrutigerLTStd-Light" w:cs="FrutigerLTStd-Light"/>
        </w:rPr>
        <w:t xml:space="preserve"> services that are stigma-free and youth-friendly;</w:t>
      </w:r>
    </w:p>
    <w:p w14:paraId="1C91896D" w14:textId="77777777" w:rsidR="00360EA3" w:rsidRPr="00D33F16" w:rsidRDefault="00360EA3" w:rsidP="003538C5">
      <w:pPr>
        <w:pStyle w:val="ListParagraph"/>
        <w:numPr>
          <w:ilvl w:val="0"/>
          <w:numId w:val="29"/>
        </w:numPr>
        <w:autoSpaceDE w:val="0"/>
        <w:autoSpaceDN w:val="0"/>
        <w:adjustRightInd w:val="0"/>
        <w:spacing w:after="0" w:line="240" w:lineRule="auto"/>
        <w:contextualSpacing/>
        <w:rPr>
          <w:rFonts w:eastAsia="FrutigerLTStd-Light" w:cs="FrutigerLTStd-Light"/>
        </w:rPr>
      </w:pPr>
      <w:r w:rsidRPr="00D33F16">
        <w:rPr>
          <w:rFonts w:eastAsia="FrutigerLTStd-Light" w:cs="FrutigerLTStd-Light"/>
        </w:rPr>
        <w:lastRenderedPageBreak/>
        <w:t>Adopting a broader health care model that incorporates human and sexual rights of adolescents, women, and men, gender equity, and respects culture, values of choice, dignity, diversity and equality.</w:t>
      </w:r>
    </w:p>
    <w:p w14:paraId="1651D51F" w14:textId="77777777" w:rsidR="00360EA3" w:rsidRPr="00D33F16" w:rsidRDefault="00360EA3" w:rsidP="003538C5">
      <w:pPr>
        <w:pStyle w:val="ListParagraph"/>
        <w:numPr>
          <w:ilvl w:val="0"/>
          <w:numId w:val="29"/>
        </w:numPr>
        <w:autoSpaceDE w:val="0"/>
        <w:autoSpaceDN w:val="0"/>
        <w:adjustRightInd w:val="0"/>
        <w:spacing w:after="0" w:line="240" w:lineRule="auto"/>
        <w:contextualSpacing/>
        <w:rPr>
          <w:rFonts w:eastAsia="FrutigerLTStd-Light" w:cs="FrutigerLTStd-Light"/>
        </w:rPr>
      </w:pPr>
      <w:r w:rsidRPr="00D33F16">
        <w:rPr>
          <w:rFonts w:eastAsia="FrutigerLTStd-Light" w:cs="FrutigerLTStd-Light"/>
        </w:rPr>
        <w:t>Pursuing the continuum of care by strengthening partnership with and referral to higher level clinical, psycho-social and protection services of governmental and non-governmental agencies that support IPPF values and objectives.</w:t>
      </w:r>
    </w:p>
    <w:p w14:paraId="5C69CB6B" w14:textId="77777777" w:rsidR="00360EA3" w:rsidRPr="00D33F16" w:rsidRDefault="00360EA3" w:rsidP="003538C5">
      <w:pPr>
        <w:pStyle w:val="ListParagraph"/>
        <w:numPr>
          <w:ilvl w:val="0"/>
          <w:numId w:val="29"/>
        </w:numPr>
        <w:autoSpaceDE w:val="0"/>
        <w:autoSpaceDN w:val="0"/>
        <w:adjustRightInd w:val="0"/>
        <w:spacing w:after="0" w:line="240" w:lineRule="auto"/>
        <w:contextualSpacing/>
        <w:rPr>
          <w:rFonts w:eastAsia="FrutigerLTStd-Light" w:cs="FrutigerLTStd-Light"/>
        </w:rPr>
      </w:pPr>
      <w:r w:rsidRPr="00D33F16">
        <w:rPr>
          <w:rFonts w:eastAsia="FrutigerLTStd-Light" w:cs="FrutigerLTStd-Light"/>
        </w:rPr>
        <w:t>Ensuring rational, safe and acceptable de-medicalization of SRH services through task sharing and/or shifting where applicable.</w:t>
      </w:r>
    </w:p>
    <w:p w14:paraId="61ADBACF" w14:textId="77777777" w:rsidR="00360EA3" w:rsidRPr="00D33F16" w:rsidRDefault="00360EA3" w:rsidP="00360EA3">
      <w:r w:rsidRPr="00D33F16">
        <w:t xml:space="preserve">   </w:t>
      </w:r>
    </w:p>
    <w:p w14:paraId="60E48977" w14:textId="77777777" w:rsidR="00360EA3" w:rsidRPr="00D33F16" w:rsidRDefault="00360EA3" w:rsidP="00360EA3">
      <w:pPr>
        <w:autoSpaceDE w:val="0"/>
        <w:autoSpaceDN w:val="0"/>
        <w:adjustRightInd w:val="0"/>
        <w:spacing w:after="0" w:line="240" w:lineRule="auto"/>
        <w:rPr>
          <w:rFonts w:eastAsia="FrutigerLTStd-Light" w:cs="FrutigerLTStd-Light"/>
          <w:color w:val="000000"/>
        </w:rPr>
      </w:pPr>
      <w:r w:rsidRPr="00D33F16">
        <w:rPr>
          <w:rFonts w:eastAsia="FrutigerLTStd-Light" w:cs="FrutigerLTStd-Light"/>
          <w:color w:val="000000"/>
        </w:rPr>
        <w:t xml:space="preserve">IPPF implements a </w:t>
      </w:r>
      <w:r w:rsidRPr="00D33F16">
        <w:rPr>
          <w:rFonts w:eastAsia="FrutigerLTStd-Light" w:cs="FrutigerLTStd-Light"/>
          <w:b/>
          <w:bCs/>
          <w:color w:val="000000"/>
        </w:rPr>
        <w:t>quality of care strategy</w:t>
      </w:r>
      <w:r w:rsidRPr="00D33F16">
        <w:rPr>
          <w:rFonts w:eastAsia="FrutigerLTStd-Light" w:cs="FrutigerLTStd-Light"/>
          <w:color w:val="000000"/>
        </w:rPr>
        <w:t xml:space="preserve"> which involves:</w:t>
      </w:r>
    </w:p>
    <w:p w14:paraId="3A7A7425" w14:textId="77777777" w:rsidR="00360EA3" w:rsidRPr="00D33F16" w:rsidRDefault="00360EA3" w:rsidP="003538C5">
      <w:pPr>
        <w:pStyle w:val="ListParagraph"/>
        <w:numPr>
          <w:ilvl w:val="0"/>
          <w:numId w:val="31"/>
        </w:numPr>
        <w:autoSpaceDE w:val="0"/>
        <w:autoSpaceDN w:val="0"/>
        <w:adjustRightInd w:val="0"/>
        <w:spacing w:after="0" w:line="240" w:lineRule="auto"/>
        <w:contextualSpacing/>
        <w:rPr>
          <w:rFonts w:eastAsia="FrutigerLTStd-Light" w:cs="FrutigerLTStd-Light"/>
          <w:color w:val="000000"/>
        </w:rPr>
      </w:pPr>
      <w:r w:rsidRPr="00D33F16">
        <w:rPr>
          <w:rFonts w:eastAsia="FrutigerLTStd-Light" w:cs="FrutigerLTStd-Light"/>
          <w:color w:val="000000"/>
        </w:rPr>
        <w:t>the provision of an integrated package of essential services in static clinics</w:t>
      </w:r>
    </w:p>
    <w:p w14:paraId="06C68816" w14:textId="77777777" w:rsidR="00360EA3" w:rsidRPr="00D33F16" w:rsidRDefault="00360EA3" w:rsidP="003538C5">
      <w:pPr>
        <w:pStyle w:val="ListParagraph"/>
        <w:numPr>
          <w:ilvl w:val="0"/>
          <w:numId w:val="31"/>
        </w:numPr>
        <w:autoSpaceDE w:val="0"/>
        <w:autoSpaceDN w:val="0"/>
        <w:adjustRightInd w:val="0"/>
        <w:spacing w:after="0" w:line="240" w:lineRule="auto"/>
        <w:contextualSpacing/>
        <w:rPr>
          <w:rFonts w:eastAsia="FrutigerLTStd-Light" w:cs="FrutigerLTStd-Light"/>
          <w:color w:val="000000"/>
        </w:rPr>
      </w:pPr>
      <w:r w:rsidRPr="00D33F16">
        <w:rPr>
          <w:rFonts w:eastAsia="FrutigerLTStd-Light" w:cs="FrutigerLTStd-Light"/>
          <w:color w:val="000000"/>
        </w:rPr>
        <w:t>a system for quality improvement based on self</w:t>
      </w:r>
      <w:r>
        <w:rPr>
          <w:rFonts w:eastAsia="FrutigerLTStd-Light" w:cs="FrutigerLTStd-Light"/>
          <w:color w:val="000000"/>
        </w:rPr>
        <w:t>-</w:t>
      </w:r>
      <w:r w:rsidRPr="00D33F16">
        <w:rPr>
          <w:rFonts w:eastAsia="FrutigerLTStd-Light" w:cs="FrutigerLTStd-Light"/>
          <w:color w:val="000000"/>
        </w:rPr>
        <w:t xml:space="preserve">assessment and supportive </w:t>
      </w:r>
      <w:proofErr w:type="gramStart"/>
      <w:r w:rsidRPr="00D33F16">
        <w:rPr>
          <w:rFonts w:eastAsia="FrutigerLTStd-Light" w:cs="FrutigerLTStd-Light"/>
          <w:color w:val="000000"/>
        </w:rPr>
        <w:t>supervision</w:t>
      </w:r>
      <w:proofErr w:type="gramEnd"/>
    </w:p>
    <w:p w14:paraId="095F62E7" w14:textId="77777777" w:rsidR="00360EA3" w:rsidRPr="00D33F16" w:rsidRDefault="00360EA3" w:rsidP="003538C5">
      <w:pPr>
        <w:pStyle w:val="ListParagraph"/>
        <w:numPr>
          <w:ilvl w:val="0"/>
          <w:numId w:val="31"/>
        </w:numPr>
        <w:autoSpaceDE w:val="0"/>
        <w:autoSpaceDN w:val="0"/>
        <w:adjustRightInd w:val="0"/>
        <w:spacing w:after="0" w:line="240" w:lineRule="auto"/>
        <w:contextualSpacing/>
        <w:rPr>
          <w:rFonts w:eastAsia="FrutigerLTStd-Light" w:cs="FrutigerLTStd-Light"/>
          <w:color w:val="000000"/>
        </w:rPr>
      </w:pPr>
      <w:r w:rsidRPr="00D33F16">
        <w:rPr>
          <w:rFonts w:eastAsia="FrutigerLTStd-Light" w:cs="FrutigerLTStd-Light"/>
          <w:color w:val="000000"/>
        </w:rPr>
        <w:t xml:space="preserve">the use of data standards based on existing protocols and aimed at providing quality health care by </w:t>
      </w:r>
      <w:proofErr w:type="spellStart"/>
      <w:r w:rsidRPr="00D33F16">
        <w:rPr>
          <w:rFonts w:eastAsia="FrutigerLTStd-Light" w:cs="FrutigerLTStd-Light"/>
          <w:color w:val="000000"/>
        </w:rPr>
        <w:t>analysing</w:t>
      </w:r>
      <w:proofErr w:type="spellEnd"/>
      <w:r w:rsidRPr="00D33F16">
        <w:rPr>
          <w:rFonts w:eastAsia="FrutigerLTStd-Light" w:cs="FrutigerLTStd-Light"/>
          <w:color w:val="000000"/>
        </w:rPr>
        <w:t xml:space="preserve"> client-specific </w:t>
      </w:r>
      <w:proofErr w:type="gramStart"/>
      <w:r w:rsidRPr="00D33F16">
        <w:rPr>
          <w:rFonts w:eastAsia="FrutigerLTStd-Light" w:cs="FrutigerLTStd-Light"/>
          <w:color w:val="000000"/>
        </w:rPr>
        <w:t>information</w:t>
      </w:r>
      <w:proofErr w:type="gramEnd"/>
    </w:p>
    <w:p w14:paraId="2B61E028" w14:textId="77777777" w:rsidR="00360EA3" w:rsidRPr="00D33F16" w:rsidRDefault="00360EA3" w:rsidP="00360EA3">
      <w:r w:rsidRPr="00D33F16">
        <w:t xml:space="preserve">  </w:t>
      </w:r>
    </w:p>
    <w:p w14:paraId="64E126C3" w14:textId="77777777" w:rsidR="00360EA3" w:rsidRDefault="00360EA3" w:rsidP="00360EA3">
      <w:r>
        <w:t>All Pacific MAs (9) operate on the basis of IPPF policies, service standards and standard data collection.</w:t>
      </w:r>
    </w:p>
    <w:p w14:paraId="2C98E494" w14:textId="77777777" w:rsidR="00360EA3" w:rsidRPr="007509F8" w:rsidRDefault="00360EA3" w:rsidP="00360EA3">
      <w:pPr>
        <w:rPr>
          <w:b/>
          <w:bCs/>
        </w:rPr>
      </w:pPr>
      <w:r w:rsidRPr="007509F8">
        <w:rPr>
          <w:b/>
          <w:bCs/>
        </w:rPr>
        <w:t>Indicators used to measure progress:</w:t>
      </w:r>
    </w:p>
    <w:p w14:paraId="0085BE29" w14:textId="77777777" w:rsidR="00360EA3" w:rsidRPr="007509F8" w:rsidRDefault="00360EA3" w:rsidP="003538C5">
      <w:pPr>
        <w:pStyle w:val="ListParagraph"/>
        <w:numPr>
          <w:ilvl w:val="0"/>
          <w:numId w:val="32"/>
        </w:numPr>
        <w:spacing w:after="0" w:line="240" w:lineRule="auto"/>
        <w:contextualSpacing/>
        <w:rPr>
          <w:rFonts w:ascii="Calibri" w:eastAsia="Times New Roman" w:hAnsi="Calibri" w:cs="Calibri"/>
          <w:sz w:val="20"/>
          <w:szCs w:val="20"/>
          <w:lang w:eastAsia="en-AU"/>
        </w:rPr>
      </w:pPr>
      <w:r w:rsidRPr="007509F8">
        <w:rPr>
          <w:rFonts w:ascii="Calibri" w:eastAsia="Times New Roman" w:hAnsi="Calibri" w:cs="Calibri"/>
          <w:sz w:val="20"/>
          <w:szCs w:val="20"/>
          <w:lang w:eastAsia="en-AU"/>
        </w:rPr>
        <w:t>Number of Pacific MAs providing at least 6 out of 8 IPES categories:</w:t>
      </w:r>
    </w:p>
    <w:p w14:paraId="25DCEDCF" w14:textId="77777777" w:rsidR="00360EA3" w:rsidRPr="007509F8" w:rsidRDefault="00360EA3" w:rsidP="003538C5">
      <w:pPr>
        <w:pStyle w:val="ListParagraph"/>
        <w:numPr>
          <w:ilvl w:val="0"/>
          <w:numId w:val="32"/>
        </w:numPr>
        <w:spacing w:after="0" w:line="240" w:lineRule="auto"/>
        <w:contextualSpacing/>
        <w:rPr>
          <w:rFonts w:ascii="Calibri" w:eastAsia="Times New Roman" w:hAnsi="Calibri" w:cs="Calibri"/>
          <w:sz w:val="20"/>
          <w:szCs w:val="20"/>
          <w:lang w:eastAsia="en-AU"/>
        </w:rPr>
      </w:pPr>
      <w:r w:rsidRPr="007509F8">
        <w:rPr>
          <w:rFonts w:ascii="Calibri" w:eastAsia="Times New Roman" w:hAnsi="Calibri" w:cs="Calibri"/>
          <w:sz w:val="20"/>
          <w:szCs w:val="20"/>
          <w:lang w:eastAsia="en-AU"/>
        </w:rPr>
        <w:t xml:space="preserve">Number of FP services provided, disaggregated by </w:t>
      </w:r>
      <w:proofErr w:type="gramStart"/>
      <w:r w:rsidRPr="007509F8">
        <w:rPr>
          <w:rFonts w:ascii="Calibri" w:eastAsia="Times New Roman" w:hAnsi="Calibri" w:cs="Calibri"/>
          <w:sz w:val="20"/>
          <w:szCs w:val="20"/>
          <w:lang w:eastAsia="en-AU"/>
        </w:rPr>
        <w:t>method</w:t>
      </w:r>
      <w:proofErr w:type="gramEnd"/>
    </w:p>
    <w:p w14:paraId="279BD98C" w14:textId="77777777" w:rsidR="00360EA3" w:rsidRPr="007509F8" w:rsidRDefault="00360EA3" w:rsidP="003538C5">
      <w:pPr>
        <w:pStyle w:val="ListParagraph"/>
        <w:numPr>
          <w:ilvl w:val="0"/>
          <w:numId w:val="32"/>
        </w:numPr>
        <w:spacing w:after="0" w:line="240" w:lineRule="auto"/>
        <w:contextualSpacing/>
        <w:rPr>
          <w:rFonts w:ascii="Calibri" w:eastAsia="Times New Roman" w:hAnsi="Calibri" w:cs="Calibri"/>
          <w:sz w:val="20"/>
          <w:szCs w:val="20"/>
          <w:lang w:eastAsia="en-AU"/>
        </w:rPr>
      </w:pPr>
      <w:r w:rsidRPr="007509F8">
        <w:rPr>
          <w:rFonts w:ascii="Calibri" w:eastAsia="Times New Roman" w:hAnsi="Calibri" w:cs="Calibri"/>
          <w:sz w:val="20"/>
          <w:szCs w:val="20"/>
          <w:lang w:eastAsia="en-AU"/>
        </w:rPr>
        <w:t xml:space="preserve">Number of cervical </w:t>
      </w:r>
      <w:proofErr w:type="gramStart"/>
      <w:r w:rsidRPr="007509F8">
        <w:rPr>
          <w:rFonts w:ascii="Calibri" w:eastAsia="Times New Roman" w:hAnsi="Calibri" w:cs="Calibri"/>
          <w:sz w:val="20"/>
          <w:szCs w:val="20"/>
          <w:lang w:eastAsia="en-AU"/>
        </w:rPr>
        <w:t>cancer</w:t>
      </w:r>
      <w:proofErr w:type="gramEnd"/>
      <w:r w:rsidRPr="007509F8">
        <w:rPr>
          <w:rFonts w:ascii="Calibri" w:eastAsia="Times New Roman" w:hAnsi="Calibri" w:cs="Calibri"/>
          <w:sz w:val="20"/>
          <w:szCs w:val="20"/>
          <w:lang w:eastAsia="en-AU"/>
        </w:rPr>
        <w:t xml:space="preserve"> testing and referral services delivered</w:t>
      </w:r>
    </w:p>
    <w:p w14:paraId="20F58972" w14:textId="77777777" w:rsidR="00360EA3" w:rsidRPr="007509F8" w:rsidRDefault="00360EA3" w:rsidP="003538C5">
      <w:pPr>
        <w:pStyle w:val="ListParagraph"/>
        <w:numPr>
          <w:ilvl w:val="0"/>
          <w:numId w:val="32"/>
        </w:numPr>
        <w:spacing w:after="0" w:line="240" w:lineRule="auto"/>
        <w:contextualSpacing/>
        <w:rPr>
          <w:rFonts w:ascii="Calibri" w:eastAsia="Times New Roman" w:hAnsi="Calibri" w:cs="Calibri"/>
          <w:sz w:val="20"/>
          <w:szCs w:val="20"/>
          <w:lang w:eastAsia="en-AU"/>
        </w:rPr>
      </w:pPr>
      <w:r w:rsidRPr="007509F8">
        <w:rPr>
          <w:rFonts w:ascii="Calibri" w:eastAsia="Times New Roman" w:hAnsi="Calibri" w:cs="Calibri"/>
          <w:sz w:val="20"/>
          <w:szCs w:val="20"/>
          <w:lang w:eastAsia="en-AU"/>
        </w:rPr>
        <w:t xml:space="preserve">Number of cervical cancer treatment services </w:t>
      </w:r>
      <w:proofErr w:type="gramStart"/>
      <w:r w:rsidRPr="007509F8">
        <w:rPr>
          <w:rFonts w:ascii="Calibri" w:eastAsia="Times New Roman" w:hAnsi="Calibri" w:cs="Calibri"/>
          <w:sz w:val="20"/>
          <w:szCs w:val="20"/>
          <w:lang w:eastAsia="en-AU"/>
        </w:rPr>
        <w:t>delivered</w:t>
      </w:r>
      <w:proofErr w:type="gramEnd"/>
    </w:p>
    <w:p w14:paraId="06A69161" w14:textId="77777777" w:rsidR="00360EA3" w:rsidRPr="007509F8" w:rsidRDefault="00360EA3" w:rsidP="003538C5">
      <w:pPr>
        <w:pStyle w:val="ListParagraph"/>
        <w:numPr>
          <w:ilvl w:val="0"/>
          <w:numId w:val="32"/>
        </w:numPr>
        <w:spacing w:after="0" w:line="240" w:lineRule="auto"/>
        <w:contextualSpacing/>
        <w:rPr>
          <w:rFonts w:ascii="Calibri" w:eastAsia="Times New Roman" w:hAnsi="Calibri" w:cs="Calibri"/>
          <w:sz w:val="20"/>
          <w:szCs w:val="20"/>
          <w:lang w:eastAsia="en-AU"/>
        </w:rPr>
      </w:pPr>
      <w:r w:rsidRPr="007509F8">
        <w:rPr>
          <w:rFonts w:ascii="Calibri" w:eastAsia="Times New Roman" w:hAnsi="Calibri" w:cs="Calibri"/>
          <w:sz w:val="20"/>
          <w:szCs w:val="20"/>
          <w:lang w:eastAsia="en-AU"/>
        </w:rPr>
        <w:t xml:space="preserve">Number of SRH services </w:t>
      </w:r>
      <w:proofErr w:type="gramStart"/>
      <w:r w:rsidRPr="007509F8">
        <w:rPr>
          <w:rFonts w:ascii="Calibri" w:eastAsia="Times New Roman" w:hAnsi="Calibri" w:cs="Calibri"/>
          <w:sz w:val="20"/>
          <w:szCs w:val="20"/>
          <w:lang w:eastAsia="en-AU"/>
        </w:rPr>
        <w:t>delivered</w:t>
      </w:r>
      <w:proofErr w:type="gramEnd"/>
    </w:p>
    <w:p w14:paraId="3F23DF7D" w14:textId="77777777" w:rsidR="00360EA3" w:rsidRPr="007509F8" w:rsidRDefault="00360EA3" w:rsidP="003538C5">
      <w:pPr>
        <w:pStyle w:val="ListParagraph"/>
        <w:numPr>
          <w:ilvl w:val="0"/>
          <w:numId w:val="32"/>
        </w:numPr>
        <w:spacing w:after="0" w:line="240" w:lineRule="auto"/>
        <w:contextualSpacing/>
        <w:rPr>
          <w:rFonts w:ascii="Calibri" w:eastAsia="Times New Roman" w:hAnsi="Calibri" w:cs="Calibri"/>
          <w:sz w:val="20"/>
          <w:szCs w:val="20"/>
          <w:lang w:eastAsia="en-AU"/>
        </w:rPr>
      </w:pPr>
      <w:r w:rsidRPr="007509F8">
        <w:rPr>
          <w:rFonts w:ascii="Calibri" w:eastAsia="Times New Roman" w:hAnsi="Calibri" w:cs="Calibri"/>
          <w:sz w:val="20"/>
          <w:szCs w:val="20"/>
          <w:lang w:eastAsia="en-AU"/>
        </w:rPr>
        <w:t xml:space="preserve">Number of clients reached with SRH </w:t>
      </w:r>
      <w:proofErr w:type="gramStart"/>
      <w:r w:rsidRPr="007509F8">
        <w:rPr>
          <w:rFonts w:ascii="Calibri" w:eastAsia="Times New Roman" w:hAnsi="Calibri" w:cs="Calibri"/>
          <w:sz w:val="20"/>
          <w:szCs w:val="20"/>
          <w:lang w:eastAsia="en-AU"/>
        </w:rPr>
        <w:t>services</w:t>
      </w:r>
      <w:proofErr w:type="gramEnd"/>
    </w:p>
    <w:p w14:paraId="5E4184CE" w14:textId="77777777" w:rsidR="00360EA3" w:rsidRPr="007509F8" w:rsidRDefault="00360EA3" w:rsidP="003538C5">
      <w:pPr>
        <w:pStyle w:val="ListParagraph"/>
        <w:numPr>
          <w:ilvl w:val="0"/>
          <w:numId w:val="32"/>
        </w:numPr>
        <w:spacing w:after="0" w:line="240" w:lineRule="auto"/>
        <w:contextualSpacing/>
        <w:rPr>
          <w:rFonts w:ascii="Calibri" w:eastAsia="Times New Roman" w:hAnsi="Calibri" w:cs="Calibri"/>
          <w:sz w:val="20"/>
          <w:szCs w:val="20"/>
          <w:lang w:eastAsia="en-AU"/>
        </w:rPr>
      </w:pPr>
      <w:r w:rsidRPr="007509F8">
        <w:rPr>
          <w:rFonts w:ascii="Calibri" w:eastAsia="Times New Roman" w:hAnsi="Calibri" w:cs="Calibri"/>
          <w:sz w:val="20"/>
          <w:szCs w:val="20"/>
          <w:lang w:eastAsia="en-AU"/>
        </w:rPr>
        <w:t xml:space="preserve">Number of family planning clients, disaggregated by type of </w:t>
      </w:r>
      <w:proofErr w:type="gramStart"/>
      <w:r w:rsidRPr="007509F8">
        <w:rPr>
          <w:rFonts w:ascii="Calibri" w:eastAsia="Times New Roman" w:hAnsi="Calibri" w:cs="Calibri"/>
          <w:sz w:val="20"/>
          <w:szCs w:val="20"/>
          <w:lang w:eastAsia="en-AU"/>
        </w:rPr>
        <w:t>user</w:t>
      </w:r>
      <w:proofErr w:type="gramEnd"/>
    </w:p>
    <w:p w14:paraId="1290B273" w14:textId="77777777" w:rsidR="00360EA3" w:rsidRPr="007509F8" w:rsidRDefault="00360EA3" w:rsidP="003538C5">
      <w:pPr>
        <w:pStyle w:val="ListParagraph"/>
        <w:numPr>
          <w:ilvl w:val="0"/>
          <w:numId w:val="32"/>
        </w:numPr>
        <w:spacing w:after="0" w:line="240" w:lineRule="auto"/>
        <w:contextualSpacing/>
        <w:rPr>
          <w:rFonts w:ascii="Calibri" w:eastAsia="Times New Roman" w:hAnsi="Calibri" w:cs="Calibri"/>
          <w:sz w:val="20"/>
          <w:szCs w:val="20"/>
          <w:lang w:eastAsia="en-AU"/>
        </w:rPr>
      </w:pPr>
      <w:r w:rsidRPr="007509F8">
        <w:rPr>
          <w:rFonts w:ascii="Calibri" w:eastAsia="Times New Roman" w:hAnsi="Calibri" w:cs="Calibri"/>
          <w:sz w:val="20"/>
          <w:szCs w:val="20"/>
          <w:lang w:eastAsia="en-AU"/>
        </w:rPr>
        <w:t>Proportion of population in given area (determined by MAs) receiving SRHR services*</w:t>
      </w:r>
    </w:p>
    <w:p w14:paraId="541A908F" w14:textId="77777777" w:rsidR="00360EA3" w:rsidRPr="007509F8" w:rsidRDefault="00360EA3" w:rsidP="003538C5">
      <w:pPr>
        <w:pStyle w:val="ListParagraph"/>
        <w:numPr>
          <w:ilvl w:val="0"/>
          <w:numId w:val="32"/>
        </w:numPr>
        <w:spacing w:after="0" w:line="240" w:lineRule="auto"/>
        <w:contextualSpacing/>
        <w:rPr>
          <w:rFonts w:ascii="Calibri" w:eastAsia="Times New Roman" w:hAnsi="Calibri" w:cs="Calibri"/>
          <w:sz w:val="20"/>
          <w:szCs w:val="20"/>
          <w:lang w:eastAsia="en-AU"/>
        </w:rPr>
      </w:pPr>
      <w:r w:rsidRPr="007509F8">
        <w:rPr>
          <w:rFonts w:ascii="Calibri" w:eastAsia="Times New Roman" w:hAnsi="Calibri" w:cs="Calibri"/>
          <w:sz w:val="20"/>
          <w:szCs w:val="20"/>
          <w:lang w:eastAsia="en-AU"/>
        </w:rPr>
        <w:t>Proportion of communities/districts/islands being reached by the MA to deliver SRH services*</w:t>
      </w:r>
    </w:p>
    <w:p w14:paraId="1A28B34A" w14:textId="77777777" w:rsidR="00360EA3" w:rsidRPr="007509F8" w:rsidRDefault="00360EA3" w:rsidP="003538C5">
      <w:pPr>
        <w:pStyle w:val="ListParagraph"/>
        <w:numPr>
          <w:ilvl w:val="0"/>
          <w:numId w:val="32"/>
        </w:numPr>
        <w:spacing w:after="0" w:line="240" w:lineRule="auto"/>
        <w:contextualSpacing/>
        <w:rPr>
          <w:rFonts w:ascii="Calibri" w:eastAsia="Times New Roman" w:hAnsi="Calibri" w:cs="Calibri"/>
          <w:sz w:val="20"/>
          <w:szCs w:val="20"/>
          <w:lang w:eastAsia="en-AU"/>
        </w:rPr>
      </w:pPr>
      <w:r w:rsidRPr="007509F8">
        <w:rPr>
          <w:rFonts w:ascii="Calibri" w:eastAsia="Times New Roman" w:hAnsi="Calibri" w:cs="Calibri"/>
          <w:sz w:val="20"/>
          <w:szCs w:val="20"/>
          <w:lang w:eastAsia="en-AU"/>
        </w:rPr>
        <w:t>Number of Clients reached who are '</w:t>
      </w:r>
      <w:proofErr w:type="spellStart"/>
      <w:r w:rsidRPr="007509F8">
        <w:rPr>
          <w:rFonts w:ascii="Calibri" w:eastAsia="Times New Roman" w:hAnsi="Calibri" w:cs="Calibri"/>
          <w:sz w:val="20"/>
          <w:szCs w:val="20"/>
          <w:lang w:eastAsia="en-AU"/>
        </w:rPr>
        <w:t>marginalised</w:t>
      </w:r>
      <w:proofErr w:type="spellEnd"/>
      <w:r w:rsidRPr="007509F8">
        <w:rPr>
          <w:rFonts w:ascii="Calibri" w:eastAsia="Times New Roman" w:hAnsi="Calibri" w:cs="Calibri"/>
          <w:sz w:val="20"/>
          <w:szCs w:val="20"/>
          <w:lang w:eastAsia="en-AU"/>
        </w:rPr>
        <w:t>' or '</w:t>
      </w:r>
      <w:proofErr w:type="gramStart"/>
      <w:r w:rsidRPr="007509F8">
        <w:rPr>
          <w:rFonts w:ascii="Calibri" w:eastAsia="Times New Roman" w:hAnsi="Calibri" w:cs="Calibri"/>
          <w:sz w:val="20"/>
          <w:szCs w:val="20"/>
          <w:lang w:eastAsia="en-AU"/>
        </w:rPr>
        <w:t>underserved</w:t>
      </w:r>
      <w:proofErr w:type="gramEnd"/>
      <w:r w:rsidRPr="007509F8">
        <w:rPr>
          <w:rFonts w:ascii="Calibri" w:eastAsia="Times New Roman" w:hAnsi="Calibri" w:cs="Calibri"/>
          <w:sz w:val="20"/>
          <w:szCs w:val="20"/>
          <w:lang w:eastAsia="en-AU"/>
        </w:rPr>
        <w:t xml:space="preserve">' </w:t>
      </w:r>
    </w:p>
    <w:p w14:paraId="2672E298" w14:textId="77777777" w:rsidR="00360EA3" w:rsidRPr="007509F8" w:rsidRDefault="00360EA3" w:rsidP="003538C5">
      <w:pPr>
        <w:pStyle w:val="ListParagraph"/>
        <w:numPr>
          <w:ilvl w:val="0"/>
          <w:numId w:val="32"/>
        </w:numPr>
        <w:spacing w:after="0" w:line="240" w:lineRule="auto"/>
        <w:contextualSpacing/>
        <w:rPr>
          <w:rFonts w:ascii="Calibri" w:eastAsia="Times New Roman" w:hAnsi="Calibri" w:cs="Calibri"/>
          <w:sz w:val="20"/>
          <w:szCs w:val="20"/>
          <w:lang w:eastAsia="en-AU"/>
        </w:rPr>
      </w:pPr>
      <w:r w:rsidRPr="007509F8">
        <w:rPr>
          <w:rFonts w:ascii="Calibri" w:eastAsia="Times New Roman" w:hAnsi="Calibri" w:cs="Calibri"/>
          <w:sz w:val="20"/>
          <w:szCs w:val="20"/>
          <w:lang w:eastAsia="en-AU"/>
        </w:rPr>
        <w:t>Proportion of clients reached who are ‘</w:t>
      </w:r>
      <w:proofErr w:type="spellStart"/>
      <w:r w:rsidRPr="007509F8">
        <w:rPr>
          <w:rFonts w:ascii="Calibri" w:eastAsia="Times New Roman" w:hAnsi="Calibri" w:cs="Calibri"/>
          <w:sz w:val="20"/>
          <w:szCs w:val="20"/>
          <w:lang w:eastAsia="en-AU"/>
        </w:rPr>
        <w:t>marginalised</w:t>
      </w:r>
      <w:proofErr w:type="spellEnd"/>
      <w:r w:rsidRPr="007509F8">
        <w:rPr>
          <w:rFonts w:ascii="Calibri" w:eastAsia="Times New Roman" w:hAnsi="Calibri" w:cs="Calibri"/>
          <w:sz w:val="20"/>
          <w:szCs w:val="20"/>
          <w:lang w:eastAsia="en-AU"/>
        </w:rPr>
        <w:t>’ or ‘underserved’ %</w:t>
      </w:r>
    </w:p>
    <w:p w14:paraId="206BAA5A" w14:textId="77777777" w:rsidR="00360EA3" w:rsidRPr="007509F8" w:rsidRDefault="00360EA3" w:rsidP="003538C5">
      <w:pPr>
        <w:pStyle w:val="ListParagraph"/>
        <w:numPr>
          <w:ilvl w:val="0"/>
          <w:numId w:val="32"/>
        </w:numPr>
        <w:spacing w:after="0" w:line="240" w:lineRule="auto"/>
        <w:contextualSpacing/>
        <w:rPr>
          <w:rFonts w:ascii="Calibri" w:eastAsia="Times New Roman" w:hAnsi="Calibri" w:cs="Calibri"/>
          <w:sz w:val="20"/>
          <w:szCs w:val="20"/>
          <w:lang w:eastAsia="en-AU"/>
        </w:rPr>
      </w:pPr>
      <w:r w:rsidRPr="007509F8">
        <w:rPr>
          <w:rFonts w:ascii="Calibri" w:eastAsia="Times New Roman" w:hAnsi="Calibri" w:cs="Calibri"/>
          <w:sz w:val="20"/>
          <w:szCs w:val="20"/>
          <w:lang w:eastAsia="en-AU"/>
        </w:rPr>
        <w:t>Average Quality of Care Audit Scores of Pacific MA clinics</w:t>
      </w:r>
    </w:p>
    <w:p w14:paraId="5D72FCF6" w14:textId="77777777" w:rsidR="00360EA3" w:rsidRPr="007509F8" w:rsidRDefault="00360EA3" w:rsidP="003538C5">
      <w:pPr>
        <w:pStyle w:val="ListParagraph"/>
        <w:numPr>
          <w:ilvl w:val="0"/>
          <w:numId w:val="32"/>
        </w:numPr>
        <w:spacing w:after="0" w:line="240" w:lineRule="auto"/>
        <w:contextualSpacing/>
        <w:rPr>
          <w:rFonts w:ascii="Calibri" w:eastAsia="Times New Roman" w:hAnsi="Calibri" w:cs="Calibri"/>
          <w:sz w:val="20"/>
          <w:szCs w:val="20"/>
          <w:lang w:eastAsia="en-AU"/>
        </w:rPr>
      </w:pPr>
      <w:r w:rsidRPr="007509F8">
        <w:rPr>
          <w:rFonts w:ascii="Calibri" w:eastAsia="Times New Roman" w:hAnsi="Calibri" w:cs="Calibri"/>
          <w:sz w:val="20"/>
          <w:szCs w:val="20"/>
          <w:lang w:eastAsia="en-AU"/>
        </w:rPr>
        <w:t xml:space="preserve">Number of clients surveyed who would recommend </w:t>
      </w:r>
      <w:r w:rsidR="001E46B1">
        <w:rPr>
          <w:rFonts w:ascii="Calibri" w:eastAsia="Times New Roman" w:hAnsi="Calibri" w:cs="Calibri"/>
          <w:sz w:val="20"/>
          <w:szCs w:val="20"/>
          <w:lang w:eastAsia="en-AU"/>
        </w:rPr>
        <w:t xml:space="preserve">MA </w:t>
      </w:r>
      <w:proofErr w:type="gramStart"/>
      <w:r w:rsidRPr="007509F8">
        <w:rPr>
          <w:rFonts w:ascii="Calibri" w:eastAsia="Times New Roman" w:hAnsi="Calibri" w:cs="Calibri"/>
          <w:sz w:val="20"/>
          <w:szCs w:val="20"/>
          <w:lang w:eastAsia="en-AU"/>
        </w:rPr>
        <w:t>services</w:t>
      </w:r>
      <w:proofErr w:type="gramEnd"/>
      <w:r w:rsidRPr="007509F8">
        <w:rPr>
          <w:rFonts w:ascii="Calibri" w:eastAsia="Times New Roman" w:hAnsi="Calibri" w:cs="Calibri"/>
          <w:sz w:val="20"/>
          <w:szCs w:val="20"/>
          <w:lang w:eastAsia="en-AU"/>
        </w:rPr>
        <w:t xml:space="preserve"> </w:t>
      </w:r>
    </w:p>
    <w:p w14:paraId="244EBDAE" w14:textId="1073A011" w:rsidR="000221AD" w:rsidRDefault="00360EA3" w:rsidP="000B4E0A">
      <w:pPr>
        <w:pStyle w:val="ListParagraph"/>
        <w:numPr>
          <w:ilvl w:val="0"/>
          <w:numId w:val="32"/>
        </w:numPr>
        <w:spacing w:after="0" w:line="240" w:lineRule="auto"/>
        <w:contextualSpacing/>
        <w:rPr>
          <w:rFonts w:ascii="Calibri" w:eastAsia="Times New Roman" w:hAnsi="Calibri" w:cs="Calibri"/>
          <w:sz w:val="20"/>
          <w:szCs w:val="20"/>
          <w:lang w:eastAsia="en-AU"/>
        </w:rPr>
      </w:pPr>
      <w:r w:rsidRPr="007509F8">
        <w:rPr>
          <w:rFonts w:ascii="Calibri" w:eastAsia="Times New Roman" w:hAnsi="Calibri" w:cs="Calibri"/>
          <w:sz w:val="20"/>
          <w:szCs w:val="20"/>
          <w:lang w:eastAsia="en-AU"/>
        </w:rPr>
        <w:t xml:space="preserve">Proportion of clients surveyed who would recommend </w:t>
      </w:r>
      <w:r w:rsidR="001E46B1">
        <w:rPr>
          <w:rFonts w:ascii="Calibri" w:eastAsia="Times New Roman" w:hAnsi="Calibri" w:cs="Calibri"/>
          <w:sz w:val="20"/>
          <w:szCs w:val="20"/>
          <w:lang w:eastAsia="en-AU"/>
        </w:rPr>
        <w:t xml:space="preserve">MA </w:t>
      </w:r>
      <w:proofErr w:type="gramStart"/>
      <w:r w:rsidRPr="007509F8">
        <w:rPr>
          <w:rFonts w:ascii="Calibri" w:eastAsia="Times New Roman" w:hAnsi="Calibri" w:cs="Calibri"/>
          <w:sz w:val="20"/>
          <w:szCs w:val="20"/>
          <w:lang w:eastAsia="en-AU"/>
        </w:rPr>
        <w:t>services</w:t>
      </w:r>
      <w:proofErr w:type="gramEnd"/>
      <w:r w:rsidRPr="007509F8">
        <w:rPr>
          <w:rFonts w:ascii="Calibri" w:eastAsia="Times New Roman" w:hAnsi="Calibri" w:cs="Calibri"/>
          <w:sz w:val="20"/>
          <w:szCs w:val="20"/>
          <w:lang w:eastAsia="en-AU"/>
        </w:rPr>
        <w:t xml:space="preserve"> </w:t>
      </w:r>
    </w:p>
    <w:p w14:paraId="3ED05529" w14:textId="77777777" w:rsidR="000B4E0A" w:rsidRPr="000B4E0A" w:rsidRDefault="000B4E0A" w:rsidP="000B4E0A">
      <w:pPr>
        <w:rPr>
          <w:lang w:val="en-US" w:eastAsia="en-AU" w:bidi="ar-SA"/>
        </w:rPr>
      </w:pPr>
    </w:p>
    <w:p w14:paraId="7BCF73A8" w14:textId="77777777" w:rsidR="000221AD" w:rsidRPr="00A4037F" w:rsidRDefault="000221AD" w:rsidP="008453DD">
      <w:pPr>
        <w:spacing w:after="160" w:line="259" w:lineRule="auto"/>
        <w:jc w:val="center"/>
        <w:rPr>
          <w:b/>
          <w:bCs/>
          <w:sz w:val="24"/>
        </w:rPr>
      </w:pPr>
      <w:r w:rsidRPr="00A4037F">
        <w:rPr>
          <w:b/>
          <w:bCs/>
          <w:sz w:val="24"/>
        </w:rPr>
        <w:t>MOH and MA SRHR Service Delivery</w:t>
      </w:r>
    </w:p>
    <w:tbl>
      <w:tblPr>
        <w:tblStyle w:val="TableGrid"/>
        <w:tblW w:w="5000" w:type="pct"/>
        <w:tblLook w:val="04A0" w:firstRow="1" w:lastRow="0" w:firstColumn="1" w:lastColumn="0" w:noHBand="0" w:noVBand="1"/>
      </w:tblPr>
      <w:tblGrid>
        <w:gridCol w:w="1843"/>
        <w:gridCol w:w="4398"/>
        <w:gridCol w:w="4216"/>
      </w:tblGrid>
      <w:tr w:rsidR="0081036B" w:rsidRPr="00D33F16" w14:paraId="46314DD5" w14:textId="77777777" w:rsidTr="000221AD">
        <w:trPr>
          <w:tblHeader/>
        </w:trPr>
        <w:tc>
          <w:tcPr>
            <w:tcW w:w="881" w:type="pct"/>
            <w:shd w:val="clear" w:color="auto" w:fill="FF0000"/>
          </w:tcPr>
          <w:p w14:paraId="6094DDC1" w14:textId="77777777" w:rsidR="000221AD" w:rsidRPr="000D65EC" w:rsidRDefault="000221AD" w:rsidP="0081036B">
            <w:pPr>
              <w:jc w:val="center"/>
              <w:rPr>
                <w:rFonts w:cstheme="minorHAnsi"/>
                <w:b/>
                <w:bCs/>
                <w:sz w:val="24"/>
              </w:rPr>
            </w:pPr>
            <w:r w:rsidRPr="000D65EC">
              <w:rPr>
                <w:rFonts w:cstheme="minorHAnsi"/>
                <w:b/>
                <w:bCs/>
                <w:sz w:val="24"/>
              </w:rPr>
              <w:t>Country/MOH</w:t>
            </w:r>
          </w:p>
        </w:tc>
        <w:tc>
          <w:tcPr>
            <w:tcW w:w="2103" w:type="pct"/>
            <w:shd w:val="clear" w:color="auto" w:fill="FF0000"/>
          </w:tcPr>
          <w:p w14:paraId="4A0C1A57" w14:textId="77777777" w:rsidR="000221AD" w:rsidRPr="000D65EC" w:rsidRDefault="000221AD" w:rsidP="0081036B">
            <w:pPr>
              <w:jc w:val="center"/>
              <w:rPr>
                <w:rFonts w:cstheme="minorHAnsi"/>
                <w:b/>
                <w:bCs/>
                <w:sz w:val="24"/>
              </w:rPr>
            </w:pPr>
            <w:r w:rsidRPr="000D65EC">
              <w:rPr>
                <w:rFonts w:cstheme="minorHAnsi"/>
                <w:b/>
                <w:bCs/>
                <w:sz w:val="24"/>
              </w:rPr>
              <w:t>MOH Situation Analysis on FP/SRH</w:t>
            </w:r>
          </w:p>
        </w:tc>
        <w:tc>
          <w:tcPr>
            <w:tcW w:w="2016" w:type="pct"/>
            <w:shd w:val="clear" w:color="auto" w:fill="FF0000"/>
          </w:tcPr>
          <w:p w14:paraId="4D5B64A8" w14:textId="77777777" w:rsidR="000221AD" w:rsidRPr="000D65EC" w:rsidRDefault="000221AD" w:rsidP="0081036B">
            <w:pPr>
              <w:jc w:val="center"/>
              <w:rPr>
                <w:rFonts w:cstheme="minorHAnsi"/>
                <w:b/>
                <w:bCs/>
                <w:sz w:val="24"/>
              </w:rPr>
            </w:pPr>
            <w:r w:rsidRPr="000D65EC">
              <w:rPr>
                <w:rFonts w:cstheme="minorHAnsi"/>
                <w:b/>
                <w:bCs/>
                <w:sz w:val="24"/>
              </w:rPr>
              <w:t>IPPF MA Role and Integrated SRH Programming</w:t>
            </w:r>
          </w:p>
        </w:tc>
      </w:tr>
      <w:tr w:rsidR="000221AD" w:rsidRPr="00FC7A33" w14:paraId="558379E9" w14:textId="77777777" w:rsidTr="008453DD">
        <w:tc>
          <w:tcPr>
            <w:tcW w:w="881" w:type="pct"/>
          </w:tcPr>
          <w:p w14:paraId="6C83C52F" w14:textId="77777777" w:rsidR="000221AD" w:rsidRPr="00FC7A33" w:rsidRDefault="000221AD" w:rsidP="0081036B">
            <w:pPr>
              <w:rPr>
                <w:rFonts w:cstheme="minorHAnsi"/>
                <w:b/>
                <w:bCs/>
              </w:rPr>
            </w:pPr>
            <w:r>
              <w:rPr>
                <w:rFonts w:cstheme="minorHAnsi"/>
                <w:b/>
                <w:bCs/>
              </w:rPr>
              <w:t>Fiji</w:t>
            </w:r>
          </w:p>
        </w:tc>
        <w:tc>
          <w:tcPr>
            <w:tcW w:w="2103" w:type="pct"/>
          </w:tcPr>
          <w:p w14:paraId="16308FFE" w14:textId="77777777" w:rsidR="000221AD" w:rsidRDefault="000221AD" w:rsidP="0081036B">
            <w:pPr>
              <w:rPr>
                <w:rFonts w:cstheme="minorHAnsi"/>
              </w:rPr>
            </w:pPr>
            <w:r>
              <w:rPr>
                <w:rFonts w:cstheme="minorHAnsi"/>
                <w:b/>
                <w:bCs/>
              </w:rPr>
              <w:t xml:space="preserve">National Strategic Health Plan 2016-2020 – </w:t>
            </w:r>
            <w:r w:rsidRPr="00605643">
              <w:rPr>
                <w:rFonts w:cstheme="minorHAnsi"/>
              </w:rPr>
              <w:t>relevant priority areas include</w:t>
            </w:r>
            <w:r>
              <w:rPr>
                <w:rFonts w:cstheme="minorHAnsi"/>
              </w:rPr>
              <w:t>: NCDs, RMNCAH, PHC.</w:t>
            </w:r>
          </w:p>
          <w:p w14:paraId="6010B6BF" w14:textId="77777777" w:rsidR="000221AD" w:rsidRDefault="000221AD" w:rsidP="0081036B">
            <w:pPr>
              <w:rPr>
                <w:rFonts w:cstheme="minorHAnsi"/>
              </w:rPr>
            </w:pPr>
            <w:r>
              <w:rPr>
                <w:rFonts w:cstheme="minorHAnsi"/>
              </w:rPr>
              <w:t xml:space="preserve">Pillar 1 – includes AYF services ‘Expand provision of preventive and clinical services to include 13-17 year </w:t>
            </w:r>
            <w:proofErr w:type="spellStart"/>
            <w:r>
              <w:rPr>
                <w:rFonts w:cstheme="minorHAnsi"/>
              </w:rPr>
              <w:t>olds</w:t>
            </w:r>
            <w:proofErr w:type="spellEnd"/>
            <w:r>
              <w:rPr>
                <w:rFonts w:cstheme="minorHAnsi"/>
              </w:rPr>
              <w:t xml:space="preserve">’ and ‘Expand availability and coverage of YFS targeting 15-24 years and </w:t>
            </w:r>
            <w:proofErr w:type="gramStart"/>
            <w:r>
              <w:rPr>
                <w:rFonts w:cstheme="minorHAnsi"/>
              </w:rPr>
              <w:t>under’</w:t>
            </w:r>
            <w:proofErr w:type="gramEnd"/>
          </w:p>
          <w:p w14:paraId="7C3FB56B" w14:textId="77777777" w:rsidR="000221AD" w:rsidRPr="007B1685" w:rsidRDefault="000221AD" w:rsidP="008453DD">
            <w:pPr>
              <w:pStyle w:val="NoSpacing"/>
            </w:pPr>
            <w:r>
              <w:t xml:space="preserve">New </w:t>
            </w:r>
            <w:r w:rsidRPr="00605643">
              <w:rPr>
                <w:b/>
                <w:bCs/>
              </w:rPr>
              <w:t>National Health Strategic Plan 2020-2023</w:t>
            </w:r>
            <w:r>
              <w:t xml:space="preserve"> in progress: relevant priorities include: PHC services, nursing and outer island services.</w:t>
            </w:r>
          </w:p>
          <w:p w14:paraId="331FC9A0" w14:textId="77777777" w:rsidR="000221AD" w:rsidRDefault="000221AD" w:rsidP="008453DD">
            <w:pPr>
              <w:pStyle w:val="NoSpacing"/>
              <w:rPr>
                <w:b/>
                <w:bCs/>
              </w:rPr>
            </w:pPr>
          </w:p>
          <w:p w14:paraId="6586CD6C" w14:textId="77777777" w:rsidR="000221AD" w:rsidRPr="00C10450" w:rsidRDefault="000221AD" w:rsidP="008453DD">
            <w:pPr>
              <w:pStyle w:val="NoSpacing"/>
            </w:pPr>
            <w:r w:rsidRPr="00C10450">
              <w:rPr>
                <w:b/>
                <w:bCs/>
              </w:rPr>
              <w:t>FP methods offered:</w:t>
            </w:r>
            <w:r w:rsidRPr="00C10450">
              <w:t xml:space="preserve"> OCP, injectable,</w:t>
            </w:r>
            <w:r>
              <w:t xml:space="preserve"> IUD, condom, </w:t>
            </w:r>
            <w:proofErr w:type="gramStart"/>
            <w:r>
              <w:t>implants</w:t>
            </w:r>
            <w:proofErr w:type="gramEnd"/>
          </w:p>
          <w:p w14:paraId="7F83A151" w14:textId="77777777" w:rsidR="000221AD" w:rsidRDefault="000221AD" w:rsidP="008453DD">
            <w:pPr>
              <w:pStyle w:val="NoSpacing"/>
              <w:rPr>
                <w:b/>
                <w:bCs/>
              </w:rPr>
            </w:pPr>
          </w:p>
          <w:p w14:paraId="77D08EA4" w14:textId="77777777" w:rsidR="000221AD" w:rsidRDefault="000221AD" w:rsidP="008453DD">
            <w:pPr>
              <w:pStyle w:val="NoSpacing"/>
              <w:rPr>
                <w:b/>
                <w:bCs/>
              </w:rPr>
            </w:pPr>
            <w:r>
              <w:rPr>
                <w:b/>
                <w:bCs/>
              </w:rPr>
              <w:t>HFRSA results: 212 SDPs (includes RHAF)</w:t>
            </w:r>
          </w:p>
          <w:p w14:paraId="16FD3147" w14:textId="77777777" w:rsidR="000221AD" w:rsidRPr="006E3C5C" w:rsidRDefault="000221AD" w:rsidP="008453DD">
            <w:pPr>
              <w:pStyle w:val="NoSpacing"/>
            </w:pPr>
            <w:r>
              <w:rPr>
                <w:b/>
                <w:bCs/>
              </w:rPr>
              <w:t>-</w:t>
            </w:r>
            <w:r w:rsidRPr="006E3C5C">
              <w:t>3 modern methods – 89%</w:t>
            </w:r>
          </w:p>
          <w:p w14:paraId="0A582279" w14:textId="77777777" w:rsidR="000221AD" w:rsidRPr="006E3C5C" w:rsidRDefault="000221AD" w:rsidP="008453DD">
            <w:pPr>
              <w:pStyle w:val="NoSpacing"/>
            </w:pPr>
            <w:r>
              <w:t>-</w:t>
            </w:r>
            <w:r w:rsidRPr="006E3C5C">
              <w:t>5 modern methods – 39%</w:t>
            </w:r>
          </w:p>
          <w:p w14:paraId="722F3FD7" w14:textId="77777777" w:rsidR="000221AD" w:rsidRDefault="000221AD" w:rsidP="008453DD">
            <w:pPr>
              <w:pStyle w:val="NoSpacing"/>
            </w:pPr>
            <w:r>
              <w:t xml:space="preserve">-Stockouts last 6 </w:t>
            </w:r>
            <w:proofErr w:type="spellStart"/>
            <w:r>
              <w:t>mths</w:t>
            </w:r>
            <w:proofErr w:type="spellEnd"/>
            <w:r>
              <w:t xml:space="preserve"> – 59%</w:t>
            </w:r>
          </w:p>
          <w:p w14:paraId="19B10AAD" w14:textId="77777777" w:rsidR="000221AD" w:rsidRDefault="000221AD" w:rsidP="008453DD">
            <w:pPr>
              <w:pStyle w:val="NoSpacing"/>
            </w:pPr>
            <w:r>
              <w:t>-Integrated SRH – 2%</w:t>
            </w:r>
          </w:p>
          <w:p w14:paraId="37F35428" w14:textId="77777777" w:rsidR="000221AD" w:rsidRDefault="000221AD" w:rsidP="008453DD">
            <w:pPr>
              <w:pStyle w:val="NoSpacing"/>
            </w:pPr>
            <w:r>
              <w:t>-GBV – 74% but only 4% to global standards</w:t>
            </w:r>
          </w:p>
          <w:p w14:paraId="0CF05D0C" w14:textId="77777777" w:rsidR="000221AD" w:rsidRDefault="000221AD" w:rsidP="008453DD">
            <w:pPr>
              <w:pStyle w:val="NoSpacing"/>
            </w:pPr>
            <w:r>
              <w:t>- YFS – 3%</w:t>
            </w:r>
          </w:p>
          <w:p w14:paraId="7C2E5904" w14:textId="77777777" w:rsidR="000221AD" w:rsidRDefault="000221AD" w:rsidP="008453DD">
            <w:pPr>
              <w:pStyle w:val="NoSpacing"/>
            </w:pPr>
            <w:r>
              <w:t>- PWD access – 28%</w:t>
            </w:r>
          </w:p>
          <w:p w14:paraId="1919EF7B" w14:textId="77777777" w:rsidR="000221AD" w:rsidRDefault="000221AD" w:rsidP="008453DD">
            <w:pPr>
              <w:pStyle w:val="NoSpacing"/>
            </w:pPr>
            <w:r>
              <w:t xml:space="preserve">Cervical cancer screening – 71% </w:t>
            </w:r>
          </w:p>
          <w:p w14:paraId="1305136F" w14:textId="77777777" w:rsidR="001455A4" w:rsidRDefault="001455A4" w:rsidP="008453DD">
            <w:pPr>
              <w:pStyle w:val="NoSpacing"/>
            </w:pPr>
          </w:p>
          <w:p w14:paraId="44C74352" w14:textId="77777777" w:rsidR="001455A4" w:rsidRDefault="001455A4" w:rsidP="008453DD">
            <w:pPr>
              <w:pStyle w:val="NoSpacing"/>
              <w:rPr>
                <w:b/>
                <w:bCs/>
              </w:rPr>
            </w:pPr>
            <w:r>
              <w:rPr>
                <w:b/>
                <w:bCs/>
              </w:rPr>
              <w:t>Staffing</w:t>
            </w:r>
            <w:r w:rsidR="00876617">
              <w:rPr>
                <w:rStyle w:val="FootnoteReference"/>
                <w:b/>
                <w:bCs/>
              </w:rPr>
              <w:footnoteReference w:id="34"/>
            </w:r>
            <w:r>
              <w:rPr>
                <w:b/>
                <w:bCs/>
              </w:rPr>
              <w:t>:</w:t>
            </w:r>
          </w:p>
          <w:p w14:paraId="2B6E6AE5" w14:textId="77777777" w:rsidR="001455A4" w:rsidRDefault="00876617" w:rsidP="008453DD">
            <w:pPr>
              <w:pStyle w:val="NoSpacing"/>
              <w:rPr>
                <w:b/>
                <w:bCs/>
              </w:rPr>
            </w:pPr>
            <w:r>
              <w:rPr>
                <w:b/>
                <w:bCs/>
              </w:rPr>
              <w:t>Nurse Practitioner – 39</w:t>
            </w:r>
          </w:p>
          <w:p w14:paraId="46079F52" w14:textId="77777777" w:rsidR="00876617" w:rsidRDefault="00876617" w:rsidP="008453DD">
            <w:pPr>
              <w:pStyle w:val="NoSpacing"/>
              <w:rPr>
                <w:b/>
                <w:bCs/>
              </w:rPr>
            </w:pPr>
            <w:r>
              <w:rPr>
                <w:b/>
                <w:bCs/>
              </w:rPr>
              <w:t>Nurses (fulltime) – 2,661</w:t>
            </w:r>
          </w:p>
          <w:p w14:paraId="2D77D53F" w14:textId="77777777" w:rsidR="00876617" w:rsidRDefault="00876617" w:rsidP="008453DD">
            <w:pPr>
              <w:pStyle w:val="NoSpacing"/>
              <w:rPr>
                <w:b/>
                <w:bCs/>
              </w:rPr>
            </w:pPr>
            <w:r>
              <w:rPr>
                <w:b/>
                <w:bCs/>
              </w:rPr>
              <w:t>Nurses (</w:t>
            </w:r>
            <w:r w:rsidR="009237DE">
              <w:rPr>
                <w:b/>
                <w:bCs/>
              </w:rPr>
              <w:t>part-time</w:t>
            </w:r>
            <w:r>
              <w:rPr>
                <w:b/>
                <w:bCs/>
              </w:rPr>
              <w:t>) – 14</w:t>
            </w:r>
          </w:p>
          <w:p w14:paraId="693C9E29" w14:textId="77777777" w:rsidR="00876617" w:rsidRDefault="00876617" w:rsidP="008453DD">
            <w:pPr>
              <w:pStyle w:val="NoSpacing"/>
              <w:rPr>
                <w:b/>
                <w:bCs/>
              </w:rPr>
            </w:pPr>
            <w:r>
              <w:rPr>
                <w:b/>
                <w:bCs/>
              </w:rPr>
              <w:t>Midwives (F/T) 253</w:t>
            </w:r>
          </w:p>
          <w:p w14:paraId="558C87A6" w14:textId="77777777" w:rsidR="00876617" w:rsidRDefault="00876617" w:rsidP="008453DD">
            <w:pPr>
              <w:pStyle w:val="NoSpacing"/>
              <w:rPr>
                <w:b/>
                <w:bCs/>
              </w:rPr>
            </w:pPr>
            <w:r>
              <w:rPr>
                <w:b/>
                <w:bCs/>
              </w:rPr>
              <w:t>Midwives (P/T) – 1</w:t>
            </w:r>
          </w:p>
          <w:p w14:paraId="0B3CD5B5" w14:textId="77777777" w:rsidR="00876617" w:rsidRDefault="00876617" w:rsidP="008453DD">
            <w:pPr>
              <w:pStyle w:val="NoSpacing"/>
              <w:rPr>
                <w:b/>
                <w:bCs/>
              </w:rPr>
            </w:pPr>
            <w:r>
              <w:rPr>
                <w:b/>
                <w:bCs/>
              </w:rPr>
              <w:t>Pharmacists – 70</w:t>
            </w:r>
          </w:p>
          <w:p w14:paraId="37DF3188" w14:textId="77777777" w:rsidR="00876617" w:rsidRDefault="00876617" w:rsidP="008453DD">
            <w:pPr>
              <w:pStyle w:val="NoSpacing"/>
              <w:rPr>
                <w:b/>
                <w:bCs/>
              </w:rPr>
            </w:pPr>
            <w:r>
              <w:rPr>
                <w:b/>
                <w:bCs/>
              </w:rPr>
              <w:t>Lab Techs – 125</w:t>
            </w:r>
          </w:p>
          <w:p w14:paraId="087C11C4" w14:textId="77777777" w:rsidR="00876617" w:rsidRPr="00FC7A33" w:rsidRDefault="00876617" w:rsidP="008453DD">
            <w:pPr>
              <w:pStyle w:val="NoSpacing"/>
              <w:rPr>
                <w:b/>
                <w:bCs/>
              </w:rPr>
            </w:pPr>
            <w:r>
              <w:rPr>
                <w:b/>
                <w:bCs/>
              </w:rPr>
              <w:t>CHW – 1,787</w:t>
            </w:r>
          </w:p>
        </w:tc>
        <w:tc>
          <w:tcPr>
            <w:tcW w:w="2016" w:type="pct"/>
          </w:tcPr>
          <w:p w14:paraId="1AC23A23" w14:textId="77777777" w:rsidR="000221AD" w:rsidRDefault="000221AD" w:rsidP="0081036B">
            <w:pPr>
              <w:rPr>
                <w:rFonts w:cstheme="minorHAnsi"/>
                <w:b/>
              </w:rPr>
            </w:pPr>
            <w:r>
              <w:rPr>
                <w:rFonts w:cstheme="minorHAnsi"/>
                <w:b/>
              </w:rPr>
              <w:lastRenderedPageBreak/>
              <w:t>Reproductive Health Association of Fiji (</w:t>
            </w:r>
            <w:r w:rsidRPr="006E3C5C">
              <w:rPr>
                <w:rFonts w:cstheme="minorHAnsi"/>
                <w:b/>
              </w:rPr>
              <w:t>RHAF</w:t>
            </w:r>
            <w:r>
              <w:rPr>
                <w:rFonts w:cstheme="minorHAnsi"/>
                <w:b/>
              </w:rPr>
              <w:t>)</w:t>
            </w:r>
          </w:p>
          <w:p w14:paraId="283D1174" w14:textId="77777777" w:rsidR="000221AD" w:rsidRDefault="000221AD" w:rsidP="000221AD">
            <w:pPr>
              <w:pStyle w:val="ListParagraph"/>
              <w:numPr>
                <w:ilvl w:val="0"/>
                <w:numId w:val="37"/>
              </w:numPr>
              <w:spacing w:after="0" w:line="240" w:lineRule="auto"/>
              <w:contextualSpacing/>
              <w:rPr>
                <w:rFonts w:cstheme="minorHAnsi"/>
              </w:rPr>
            </w:pPr>
            <w:r>
              <w:rPr>
                <w:rFonts w:cstheme="minorHAnsi"/>
              </w:rPr>
              <w:t>1 main static clinic with a lab</w:t>
            </w:r>
          </w:p>
          <w:p w14:paraId="49D36695" w14:textId="77777777" w:rsidR="000221AD" w:rsidRDefault="000221AD" w:rsidP="000221AD">
            <w:pPr>
              <w:pStyle w:val="ListParagraph"/>
              <w:numPr>
                <w:ilvl w:val="0"/>
                <w:numId w:val="37"/>
              </w:numPr>
              <w:spacing w:after="0" w:line="240" w:lineRule="auto"/>
              <w:contextualSpacing/>
              <w:rPr>
                <w:rFonts w:cstheme="minorHAnsi"/>
              </w:rPr>
            </w:pPr>
            <w:r>
              <w:rPr>
                <w:rFonts w:cstheme="minorHAnsi"/>
              </w:rPr>
              <w:t xml:space="preserve">2 program offices based in the west and north of Fiji with two program officers in the offices. </w:t>
            </w:r>
          </w:p>
          <w:p w14:paraId="4E133AFE" w14:textId="77777777" w:rsidR="000221AD" w:rsidRPr="00AB1242" w:rsidRDefault="000221AD" w:rsidP="000221AD">
            <w:pPr>
              <w:pStyle w:val="ListParagraph"/>
              <w:numPr>
                <w:ilvl w:val="0"/>
                <w:numId w:val="37"/>
              </w:numPr>
              <w:spacing w:after="0" w:line="240" w:lineRule="auto"/>
              <w:contextualSpacing/>
              <w:rPr>
                <w:rFonts w:cstheme="minorHAnsi"/>
              </w:rPr>
            </w:pPr>
            <w:r>
              <w:rPr>
                <w:rFonts w:cstheme="minorHAnsi"/>
              </w:rPr>
              <w:t xml:space="preserve">Staff includes: </w:t>
            </w:r>
            <w:r w:rsidRPr="006E3C5C">
              <w:rPr>
                <w:rFonts w:cstheme="minorHAnsi"/>
              </w:rPr>
              <w:t xml:space="preserve">ED, </w:t>
            </w:r>
            <w:r>
              <w:rPr>
                <w:rFonts w:cstheme="minorHAnsi"/>
              </w:rPr>
              <w:t xml:space="preserve">three </w:t>
            </w:r>
            <w:r w:rsidRPr="006E3C5C">
              <w:rPr>
                <w:rFonts w:cstheme="minorHAnsi"/>
              </w:rPr>
              <w:t>nurse</w:t>
            </w:r>
            <w:r>
              <w:rPr>
                <w:rFonts w:cstheme="minorHAnsi"/>
              </w:rPr>
              <w:t>s</w:t>
            </w:r>
            <w:r w:rsidRPr="006E3C5C">
              <w:rPr>
                <w:rFonts w:cstheme="minorHAnsi"/>
              </w:rPr>
              <w:t xml:space="preserve">, </w:t>
            </w:r>
            <w:r>
              <w:rPr>
                <w:rFonts w:cstheme="minorHAnsi"/>
              </w:rPr>
              <w:t xml:space="preserve">1 </w:t>
            </w:r>
            <w:r w:rsidRPr="006E3C5C">
              <w:rPr>
                <w:rFonts w:cstheme="minorHAnsi"/>
              </w:rPr>
              <w:t xml:space="preserve">program manager, </w:t>
            </w:r>
            <w:r>
              <w:rPr>
                <w:rFonts w:cstheme="minorHAnsi"/>
              </w:rPr>
              <w:t xml:space="preserve">3 </w:t>
            </w:r>
            <w:r w:rsidRPr="006E3C5C">
              <w:rPr>
                <w:rFonts w:cstheme="minorHAnsi"/>
              </w:rPr>
              <w:t>program officers</w:t>
            </w:r>
            <w:r>
              <w:rPr>
                <w:rFonts w:cstheme="minorHAnsi"/>
              </w:rPr>
              <w:t>,</w:t>
            </w:r>
            <w:r w:rsidR="001E46B1">
              <w:rPr>
                <w:rFonts w:cstheme="minorHAnsi"/>
              </w:rPr>
              <w:t xml:space="preserve"> </w:t>
            </w:r>
            <w:r>
              <w:rPr>
                <w:rFonts w:cstheme="minorHAnsi"/>
              </w:rPr>
              <w:t xml:space="preserve">data officer, </w:t>
            </w:r>
            <w:r w:rsidRPr="006E3C5C">
              <w:rPr>
                <w:rFonts w:cstheme="minorHAnsi"/>
              </w:rPr>
              <w:t xml:space="preserve">finance officer, </w:t>
            </w:r>
            <w:r>
              <w:rPr>
                <w:rFonts w:cstheme="minorHAnsi"/>
              </w:rPr>
              <w:t xml:space="preserve">procurement and stock officer and </w:t>
            </w:r>
            <w:r w:rsidRPr="006E3C5C">
              <w:rPr>
                <w:rFonts w:cstheme="minorHAnsi"/>
              </w:rPr>
              <w:t>administration/assistant finance officer, personal assistant to ED</w:t>
            </w:r>
            <w:r>
              <w:rPr>
                <w:rFonts w:cstheme="minorHAnsi"/>
              </w:rPr>
              <w:t xml:space="preserve">. </w:t>
            </w:r>
          </w:p>
          <w:p w14:paraId="52CB0C72" w14:textId="77777777" w:rsidR="000221AD" w:rsidRDefault="000221AD" w:rsidP="000221AD">
            <w:pPr>
              <w:pStyle w:val="ListParagraph"/>
              <w:numPr>
                <w:ilvl w:val="0"/>
                <w:numId w:val="37"/>
              </w:numPr>
              <w:spacing w:after="0" w:line="240" w:lineRule="auto"/>
              <w:contextualSpacing/>
              <w:rPr>
                <w:rFonts w:cstheme="minorHAnsi"/>
              </w:rPr>
            </w:pPr>
            <w:r w:rsidRPr="00F631D2">
              <w:rPr>
                <w:rFonts w:cstheme="minorHAnsi"/>
              </w:rPr>
              <w:t xml:space="preserve">Static Clinic + </w:t>
            </w:r>
            <w:r>
              <w:rPr>
                <w:rFonts w:cstheme="minorHAnsi"/>
              </w:rPr>
              <w:t xml:space="preserve">3 Mobile </w:t>
            </w:r>
            <w:r w:rsidRPr="00F631D2">
              <w:rPr>
                <w:rFonts w:cstheme="minorHAnsi"/>
              </w:rPr>
              <w:t>Outreach Clinic</w:t>
            </w:r>
            <w:r>
              <w:rPr>
                <w:rFonts w:cstheme="minorHAnsi"/>
              </w:rPr>
              <w:t xml:space="preserve"> teams</w:t>
            </w:r>
          </w:p>
          <w:p w14:paraId="52A95A03" w14:textId="77777777" w:rsidR="000221AD" w:rsidRPr="00F631D2" w:rsidRDefault="000221AD" w:rsidP="000221AD">
            <w:pPr>
              <w:pStyle w:val="ListParagraph"/>
              <w:numPr>
                <w:ilvl w:val="0"/>
                <w:numId w:val="37"/>
              </w:numPr>
              <w:spacing w:after="0" w:line="240" w:lineRule="auto"/>
              <w:contextualSpacing/>
              <w:rPr>
                <w:rFonts w:cstheme="minorHAnsi"/>
              </w:rPr>
            </w:pPr>
            <w:r>
              <w:rPr>
                <w:rFonts w:cstheme="minorHAnsi"/>
              </w:rPr>
              <w:lastRenderedPageBreak/>
              <w:t xml:space="preserve">Provision of 36 SRH services – mapped against IPPF 225 coded services from Family Planning, GBV, HIV/STI/RTI, Cervical Cancer Screening and treatment, </w:t>
            </w:r>
            <w:proofErr w:type="spellStart"/>
            <w:r>
              <w:rPr>
                <w:rFonts w:cstheme="minorHAnsi"/>
              </w:rPr>
              <w:t>Gynaecology</w:t>
            </w:r>
            <w:proofErr w:type="spellEnd"/>
            <w:r>
              <w:rPr>
                <w:rFonts w:cstheme="minorHAnsi"/>
              </w:rPr>
              <w:t xml:space="preserve"> etc. </w:t>
            </w:r>
          </w:p>
          <w:p w14:paraId="45EF14CF" w14:textId="77777777" w:rsidR="000221AD" w:rsidRDefault="000221AD" w:rsidP="000221AD">
            <w:pPr>
              <w:pStyle w:val="ListParagraph"/>
              <w:numPr>
                <w:ilvl w:val="0"/>
                <w:numId w:val="37"/>
              </w:numPr>
              <w:spacing w:after="0" w:line="240" w:lineRule="auto"/>
              <w:contextualSpacing/>
              <w:rPr>
                <w:rFonts w:cstheme="minorHAnsi"/>
              </w:rPr>
            </w:pPr>
            <w:r w:rsidRPr="00D407F6">
              <w:rPr>
                <w:rFonts w:cstheme="minorHAnsi"/>
              </w:rPr>
              <w:t xml:space="preserve">Community Sexuality Education and awareness programs: with PWD, seafarers, LGBTI communities, squatters, young people, sex workers. </w:t>
            </w:r>
          </w:p>
          <w:p w14:paraId="7FFE1C5E" w14:textId="77777777" w:rsidR="000221AD" w:rsidRPr="00D407F6" w:rsidRDefault="000221AD" w:rsidP="000221AD">
            <w:pPr>
              <w:pStyle w:val="ListParagraph"/>
              <w:numPr>
                <w:ilvl w:val="0"/>
                <w:numId w:val="37"/>
              </w:numPr>
              <w:spacing w:after="0" w:line="240" w:lineRule="auto"/>
              <w:contextualSpacing/>
              <w:rPr>
                <w:rFonts w:cstheme="minorHAnsi"/>
              </w:rPr>
            </w:pPr>
            <w:r>
              <w:rPr>
                <w:rFonts w:cstheme="minorHAnsi"/>
              </w:rPr>
              <w:t>22 active volunteers</w:t>
            </w:r>
          </w:p>
          <w:p w14:paraId="529333D0" w14:textId="77777777" w:rsidR="000221AD" w:rsidRDefault="000221AD" w:rsidP="000221AD">
            <w:pPr>
              <w:pStyle w:val="ListParagraph"/>
              <w:numPr>
                <w:ilvl w:val="0"/>
                <w:numId w:val="37"/>
              </w:numPr>
              <w:spacing w:after="0" w:line="240" w:lineRule="auto"/>
              <w:contextualSpacing/>
              <w:rPr>
                <w:rFonts w:cstheme="minorHAnsi"/>
              </w:rPr>
            </w:pPr>
            <w:r w:rsidRPr="00D407F6">
              <w:rPr>
                <w:rFonts w:cstheme="minorHAnsi"/>
              </w:rPr>
              <w:t xml:space="preserve">Comprehensive youth and community education program (volunteers). </w:t>
            </w:r>
          </w:p>
          <w:p w14:paraId="7437A187" w14:textId="77777777" w:rsidR="000221AD" w:rsidRPr="00D407F6" w:rsidRDefault="000221AD" w:rsidP="000221AD">
            <w:pPr>
              <w:pStyle w:val="ListParagraph"/>
              <w:numPr>
                <w:ilvl w:val="0"/>
                <w:numId w:val="37"/>
              </w:numPr>
              <w:spacing w:after="0" w:line="240" w:lineRule="auto"/>
              <w:contextualSpacing/>
              <w:rPr>
                <w:rFonts w:cstheme="minorHAnsi"/>
              </w:rPr>
            </w:pPr>
            <w:r>
              <w:rPr>
                <w:rFonts w:cstheme="minorHAnsi"/>
              </w:rPr>
              <w:t xml:space="preserve">Humanitarian Response – Cyclone Harold and Cyclone Winston in Fiji. </w:t>
            </w:r>
          </w:p>
          <w:p w14:paraId="153CB89F" w14:textId="77777777" w:rsidR="000221AD" w:rsidRPr="00D33F16" w:rsidRDefault="000221AD" w:rsidP="000B4E0A">
            <w:pPr>
              <w:pStyle w:val="ListParagraph"/>
              <w:numPr>
                <w:ilvl w:val="0"/>
                <w:numId w:val="37"/>
              </w:numPr>
            </w:pPr>
            <w:r w:rsidRPr="00D33F16">
              <w:t xml:space="preserve">No. of SDPs: </w:t>
            </w:r>
            <w:r>
              <w:t xml:space="preserve">1 Static clinic and 3 mobile clinics. </w:t>
            </w:r>
          </w:p>
        </w:tc>
      </w:tr>
      <w:tr w:rsidR="000221AD" w:rsidRPr="00FC7A33" w14:paraId="21F1C28B" w14:textId="77777777" w:rsidTr="008453DD">
        <w:tc>
          <w:tcPr>
            <w:tcW w:w="881" w:type="pct"/>
          </w:tcPr>
          <w:p w14:paraId="2FE8CACB" w14:textId="77777777" w:rsidR="000221AD" w:rsidRPr="00FC7A33" w:rsidRDefault="000221AD" w:rsidP="0081036B">
            <w:pPr>
              <w:rPr>
                <w:rFonts w:cstheme="minorHAnsi"/>
                <w:b/>
                <w:bCs/>
              </w:rPr>
            </w:pPr>
            <w:r w:rsidRPr="00FC7A33">
              <w:rPr>
                <w:rFonts w:cstheme="minorHAnsi"/>
                <w:b/>
                <w:bCs/>
              </w:rPr>
              <w:lastRenderedPageBreak/>
              <w:t>Kiribati</w:t>
            </w:r>
          </w:p>
          <w:p w14:paraId="10B89DD9" w14:textId="77777777" w:rsidR="000221AD" w:rsidRPr="00FC7A33" w:rsidRDefault="000221AD" w:rsidP="0081036B">
            <w:pPr>
              <w:rPr>
                <w:rFonts w:cstheme="minorHAnsi"/>
              </w:rPr>
            </w:pPr>
          </w:p>
        </w:tc>
        <w:tc>
          <w:tcPr>
            <w:tcW w:w="2103" w:type="pct"/>
          </w:tcPr>
          <w:p w14:paraId="158C47FB" w14:textId="77777777" w:rsidR="000221AD" w:rsidRPr="00FC7A33" w:rsidRDefault="000221AD" w:rsidP="008453DD">
            <w:pPr>
              <w:pStyle w:val="NoSpacing"/>
            </w:pPr>
            <w:r w:rsidRPr="00FC7A33">
              <w:t>MHMS Health Sector Plan 2016-2019, MHMS 2015</w:t>
            </w:r>
          </w:p>
          <w:p w14:paraId="41B219DC" w14:textId="77777777" w:rsidR="000221AD" w:rsidRPr="00FC7A33" w:rsidRDefault="000221AD" w:rsidP="008453DD">
            <w:pPr>
              <w:pStyle w:val="NoSpacing"/>
            </w:pPr>
            <w:r w:rsidRPr="00FC7A33">
              <w:t xml:space="preserve">Emphasis on the importance of relationships, partnerships and intersectoral coordination and collaboration, including NGOs. </w:t>
            </w:r>
          </w:p>
          <w:p w14:paraId="6896F72B" w14:textId="77777777" w:rsidR="000221AD" w:rsidRPr="00FC7A33" w:rsidRDefault="000221AD" w:rsidP="008453DD">
            <w:pPr>
              <w:pStyle w:val="NoSpacing"/>
            </w:pPr>
            <w:r w:rsidRPr="00FC7A33">
              <w:t>Relevant strategic objectives:</w:t>
            </w:r>
          </w:p>
          <w:p w14:paraId="02951C32" w14:textId="77777777" w:rsidR="000221AD" w:rsidRPr="00FC7A33" w:rsidRDefault="000221AD" w:rsidP="008453DD">
            <w:pPr>
              <w:pStyle w:val="NoSpacing"/>
            </w:pPr>
            <w:r w:rsidRPr="00FC7A33">
              <w:t xml:space="preserve">-Increase access to and use of high quality, comprehensive family planning services, particularly for vulnerable populations including women whose health and wellbeing will be at risk if they become pregnant. </w:t>
            </w:r>
          </w:p>
          <w:p w14:paraId="2D674909" w14:textId="77777777" w:rsidR="000221AD" w:rsidRDefault="000221AD" w:rsidP="008453DD">
            <w:pPr>
              <w:pStyle w:val="NoSpacing"/>
              <w:rPr>
                <w:color w:val="000000"/>
              </w:rPr>
            </w:pPr>
          </w:p>
          <w:p w14:paraId="6E69B1D0" w14:textId="77777777" w:rsidR="000221AD" w:rsidRPr="00FC7A33" w:rsidRDefault="000221AD" w:rsidP="008453DD">
            <w:pPr>
              <w:pStyle w:val="NoSpacing"/>
              <w:rPr>
                <w:color w:val="000000"/>
              </w:rPr>
            </w:pPr>
            <w:r w:rsidRPr="00FC7A33">
              <w:rPr>
                <w:color w:val="000000"/>
              </w:rPr>
              <w:t>Actions:</w:t>
            </w:r>
          </w:p>
          <w:p w14:paraId="67D77DB5" w14:textId="77777777" w:rsidR="000221AD" w:rsidRPr="00FC7A33" w:rsidRDefault="000221AD" w:rsidP="000221AD">
            <w:pPr>
              <w:pStyle w:val="NoSpacing"/>
            </w:pPr>
            <w:r w:rsidRPr="00FC7A33">
              <w:t xml:space="preserve">-Improve skills, quality of services and access to family planning drugs and commodities for rural and urban islands. </w:t>
            </w:r>
          </w:p>
          <w:p w14:paraId="50FE806A" w14:textId="77777777" w:rsidR="000221AD" w:rsidRPr="00FC7A33" w:rsidRDefault="000221AD" w:rsidP="0081036B">
            <w:pPr>
              <w:pStyle w:val="NoSpacing"/>
            </w:pPr>
            <w:r w:rsidRPr="00FC7A33">
              <w:t xml:space="preserve">-Reinvigorate national Reproductive Health committee to proactively monitor &amp; evaluate the data input towards Family Planning services </w:t>
            </w:r>
          </w:p>
          <w:p w14:paraId="4E913F6B" w14:textId="77777777" w:rsidR="000221AD" w:rsidRPr="00FC7A33" w:rsidRDefault="000221AD" w:rsidP="0043005C">
            <w:pPr>
              <w:pStyle w:val="NoSpacing"/>
            </w:pPr>
            <w:r w:rsidRPr="00FC7A33">
              <w:t xml:space="preserve">-Engage with development partners around support for initial implementation of the RH strategy, and initiate work to identify a sustainable funding mechanism. </w:t>
            </w:r>
          </w:p>
          <w:p w14:paraId="353ACEB4" w14:textId="77777777" w:rsidR="000221AD" w:rsidRPr="00FC7A33" w:rsidRDefault="000221AD" w:rsidP="0043005C">
            <w:pPr>
              <w:pStyle w:val="NoSpacing"/>
            </w:pPr>
            <w:r w:rsidRPr="00FC7A33">
              <w:lastRenderedPageBreak/>
              <w:t xml:space="preserve">-Strengthen partnership with KFHA, FBOs, youth groups and other non-government organizations to expand Family Planning services and increase involvement of men. </w:t>
            </w:r>
          </w:p>
          <w:p w14:paraId="2C189945" w14:textId="77777777" w:rsidR="000221AD" w:rsidRPr="00FC7A33" w:rsidRDefault="000221AD" w:rsidP="0043005C">
            <w:pPr>
              <w:pStyle w:val="NoSpacing"/>
            </w:pPr>
            <w:r w:rsidRPr="00FC7A33">
              <w:t xml:space="preserve">-Engage with other GOK ministries departments to coordinate and integrate resources &amp; approaches to managing population growth to benefit the aspirations of all sectors. </w:t>
            </w:r>
          </w:p>
          <w:p w14:paraId="46BCC9A7" w14:textId="77777777" w:rsidR="000221AD" w:rsidRPr="00FC7A33" w:rsidRDefault="000221AD" w:rsidP="008453DD">
            <w:pPr>
              <w:pStyle w:val="NoSpacing"/>
            </w:pPr>
            <w:r w:rsidRPr="00FC7A33">
              <w:t xml:space="preserve">-Improve access to high quality and appropriate health care services for victims of gender-based violence, and services that specifically address the needs of youth. </w:t>
            </w:r>
          </w:p>
          <w:p w14:paraId="5390E07C" w14:textId="77777777" w:rsidR="000221AD" w:rsidRPr="00FC7A33" w:rsidRDefault="000221AD" w:rsidP="008453DD">
            <w:pPr>
              <w:pStyle w:val="NoSpacing"/>
            </w:pPr>
            <w:r w:rsidRPr="00FC7A33">
              <w:t>Actions:</w:t>
            </w:r>
          </w:p>
          <w:p w14:paraId="7800E68F" w14:textId="77777777" w:rsidR="000221AD" w:rsidRPr="00FC7A33" w:rsidRDefault="000221AD">
            <w:pPr>
              <w:pStyle w:val="NoSpacing"/>
            </w:pPr>
            <w:r w:rsidRPr="00FC7A33">
              <w:t xml:space="preserve">-MHMS to implement Standard Operating Procedure of Eliminating Sexual and Gender Based Violence (ESGBV) policy in line with the national policy </w:t>
            </w:r>
            <w:proofErr w:type="gramStart"/>
            <w:r w:rsidRPr="00FC7A33">
              <w:t>taking into account</w:t>
            </w:r>
            <w:proofErr w:type="gramEnd"/>
            <w:r w:rsidRPr="00FC7A33">
              <w:t xml:space="preserve"> constant reviews and updates </w:t>
            </w:r>
          </w:p>
          <w:p w14:paraId="559A0345" w14:textId="77777777" w:rsidR="000221AD" w:rsidRPr="00FC7A33" w:rsidRDefault="000221AD">
            <w:pPr>
              <w:pStyle w:val="NoSpacing"/>
            </w:pPr>
            <w:r w:rsidRPr="00FC7A33">
              <w:t xml:space="preserve">-Improve health care facilities and systems or management, treatment and care of victims of GBV. </w:t>
            </w:r>
          </w:p>
          <w:p w14:paraId="107C49B5" w14:textId="77777777" w:rsidR="000221AD" w:rsidRPr="00FC7A33" w:rsidRDefault="000221AD">
            <w:pPr>
              <w:pStyle w:val="NoSpacing"/>
            </w:pPr>
            <w:r w:rsidRPr="00FC7A33">
              <w:t xml:space="preserve">-Build the capability and capacity of the health workforce so that it is better able to meet the health care needs of victims of GBV </w:t>
            </w:r>
          </w:p>
          <w:p w14:paraId="0B245DDA" w14:textId="77777777" w:rsidR="000221AD" w:rsidRPr="00FC7A33" w:rsidRDefault="000221AD">
            <w:pPr>
              <w:pStyle w:val="NoSpacing"/>
            </w:pPr>
            <w:r w:rsidRPr="00FC7A33">
              <w:t xml:space="preserve">-Strengthen GBV task force activities in terms of meetings, auditing of cases, awareness, data recording and improving service delivery points. </w:t>
            </w:r>
          </w:p>
          <w:p w14:paraId="0D313769" w14:textId="77777777" w:rsidR="000221AD" w:rsidRPr="00FC7A33" w:rsidRDefault="000221AD">
            <w:pPr>
              <w:pStyle w:val="NoSpacing"/>
            </w:pPr>
            <w:r w:rsidRPr="00FC7A33">
              <w:t xml:space="preserve">-Strengthen MHMS GBV coordination with national GBV stakeholders </w:t>
            </w:r>
          </w:p>
          <w:p w14:paraId="34276800" w14:textId="77777777" w:rsidR="000221AD" w:rsidRPr="00FC7A33" w:rsidRDefault="000221AD">
            <w:pPr>
              <w:pStyle w:val="NoSpacing"/>
            </w:pPr>
            <w:r w:rsidRPr="00FC7A33">
              <w:t xml:space="preserve">-MHMS to </w:t>
            </w:r>
            <w:r>
              <w:t>finalizing and implementing</w:t>
            </w:r>
            <w:r w:rsidRPr="00FC7A33">
              <w:t xml:space="preserve"> national operational guidelines for Youth Friendly Health Services and implement in coordination with multi sectors initiatives. </w:t>
            </w:r>
          </w:p>
          <w:p w14:paraId="66CD8BF5" w14:textId="77777777" w:rsidR="000221AD" w:rsidRPr="00FC7A33" w:rsidRDefault="000221AD">
            <w:pPr>
              <w:pStyle w:val="NoSpacing"/>
            </w:pPr>
            <w:r w:rsidRPr="00FC7A33">
              <w:t xml:space="preserve">-MHMS to improve planning of and expand access to YFHS. </w:t>
            </w:r>
          </w:p>
          <w:p w14:paraId="767F2C8A" w14:textId="77777777" w:rsidR="000221AD" w:rsidRPr="00FC7A33" w:rsidRDefault="000221AD">
            <w:pPr>
              <w:pStyle w:val="NoSpacing"/>
            </w:pPr>
            <w:r w:rsidRPr="00FC7A33">
              <w:t xml:space="preserve">-Strengthen MHMS coordination on YFHS with national youth stakeholders </w:t>
            </w:r>
          </w:p>
          <w:p w14:paraId="07DC919D" w14:textId="77777777" w:rsidR="000221AD" w:rsidRPr="00FC7A33" w:rsidRDefault="000221AD" w:rsidP="008453DD">
            <w:pPr>
              <w:pStyle w:val="NoSpacing"/>
            </w:pPr>
            <w:r w:rsidRPr="00FC7A33">
              <w:t xml:space="preserve">-The Ministry has, with its development partners, established a Health Sector Coordinating Committee (HSCC) in order to strengthen coordination of support for, and planning and delivery of, health services in Kiribati. </w:t>
            </w:r>
          </w:p>
          <w:p w14:paraId="33CAE1AB" w14:textId="77777777" w:rsidR="000221AD" w:rsidRDefault="000221AD" w:rsidP="008453DD">
            <w:pPr>
              <w:pStyle w:val="NoSpacing"/>
            </w:pPr>
            <w:r w:rsidRPr="00FC7A33">
              <w:t>-KFHA has the oversight role for the strategic objective relating to FP.</w:t>
            </w:r>
          </w:p>
          <w:p w14:paraId="0940285A" w14:textId="77777777" w:rsidR="000221AD" w:rsidRDefault="000221AD" w:rsidP="008453DD">
            <w:pPr>
              <w:pStyle w:val="NoSpacing"/>
            </w:pPr>
            <w:r>
              <w:lastRenderedPageBreak/>
              <w:t>New Strategic Plan in progress.</w:t>
            </w:r>
          </w:p>
          <w:p w14:paraId="7D58C641" w14:textId="77777777" w:rsidR="000221AD" w:rsidRDefault="000221AD" w:rsidP="008453DD">
            <w:pPr>
              <w:pStyle w:val="NoSpacing"/>
            </w:pPr>
          </w:p>
          <w:p w14:paraId="51BAA958" w14:textId="77777777" w:rsidR="000221AD" w:rsidRDefault="000221AD" w:rsidP="008453DD">
            <w:pPr>
              <w:pStyle w:val="NoSpacing"/>
            </w:pPr>
            <w:r w:rsidRPr="00C10450">
              <w:t>FP methods offered:</w:t>
            </w:r>
            <w:r>
              <w:t xml:space="preserve">  condoms, OCP, IUD, injectable, implants, </w:t>
            </w:r>
            <w:proofErr w:type="gramStart"/>
            <w:r>
              <w:t>EC</w:t>
            </w:r>
            <w:proofErr w:type="gramEnd"/>
          </w:p>
          <w:p w14:paraId="00FF6705" w14:textId="77777777" w:rsidR="000221AD" w:rsidRDefault="000221AD" w:rsidP="008453DD">
            <w:pPr>
              <w:pStyle w:val="NoSpacing"/>
            </w:pPr>
          </w:p>
          <w:p w14:paraId="611FDA52" w14:textId="77777777" w:rsidR="000221AD" w:rsidRPr="00FC7A33" w:rsidRDefault="000221AD" w:rsidP="008453DD">
            <w:pPr>
              <w:pStyle w:val="NoSpacing"/>
            </w:pPr>
            <w:r w:rsidRPr="008453DD">
              <w:rPr>
                <w:b/>
                <w:bCs/>
              </w:rPr>
              <w:t>HFRSA Results</w:t>
            </w:r>
            <w:r>
              <w:t xml:space="preserve"> – 112 SDPs (includes KFHA)</w:t>
            </w:r>
          </w:p>
          <w:p w14:paraId="1E075BC7" w14:textId="77777777" w:rsidR="000221AD" w:rsidRDefault="000221AD" w:rsidP="008453DD">
            <w:pPr>
              <w:pStyle w:val="NoSpacing"/>
            </w:pPr>
            <w:r>
              <w:t>SDPs with 3 modern methods FP – 74%</w:t>
            </w:r>
          </w:p>
          <w:p w14:paraId="1B589406" w14:textId="77777777" w:rsidR="000221AD" w:rsidRDefault="000221AD" w:rsidP="008453DD">
            <w:pPr>
              <w:pStyle w:val="NoSpacing"/>
            </w:pPr>
            <w:r>
              <w:t>SDPs with 5 modern methods FP – 50%</w:t>
            </w:r>
          </w:p>
          <w:p w14:paraId="30335C88" w14:textId="77777777" w:rsidR="000221AD" w:rsidRDefault="000221AD" w:rsidP="008453DD">
            <w:pPr>
              <w:pStyle w:val="NoSpacing"/>
            </w:pPr>
            <w:r>
              <w:t xml:space="preserve">SDPs with stockouts FP method last 6 </w:t>
            </w:r>
            <w:proofErr w:type="spellStart"/>
            <w:r>
              <w:t>mths</w:t>
            </w:r>
            <w:proofErr w:type="spellEnd"/>
            <w:r>
              <w:t xml:space="preserve"> – 44%</w:t>
            </w:r>
          </w:p>
          <w:p w14:paraId="3D71A9A5" w14:textId="77777777" w:rsidR="000221AD" w:rsidRDefault="000221AD" w:rsidP="008453DD">
            <w:pPr>
              <w:pStyle w:val="NoSpacing"/>
            </w:pPr>
            <w:r>
              <w:t xml:space="preserve">YFS, integrated SRH – 3% (to global standard) </w:t>
            </w:r>
          </w:p>
          <w:p w14:paraId="4C85E96B" w14:textId="77777777" w:rsidR="000221AD" w:rsidRDefault="000221AD" w:rsidP="008453DD">
            <w:pPr>
              <w:pStyle w:val="NoSpacing"/>
            </w:pPr>
            <w:r>
              <w:t>GBV service – 72%</w:t>
            </w:r>
          </w:p>
          <w:p w14:paraId="48589CD7" w14:textId="77777777" w:rsidR="000221AD" w:rsidRDefault="000221AD" w:rsidP="008453DD">
            <w:pPr>
              <w:pStyle w:val="NoSpacing"/>
            </w:pPr>
            <w:r>
              <w:t>PWD access – 3.5%</w:t>
            </w:r>
          </w:p>
          <w:p w14:paraId="0A85BE53" w14:textId="77777777" w:rsidR="000221AD" w:rsidRDefault="000221AD" w:rsidP="008453DD">
            <w:pPr>
              <w:pStyle w:val="NoSpacing"/>
            </w:pPr>
            <w:r>
              <w:t>Cervical cancer screening – 16%</w:t>
            </w:r>
          </w:p>
          <w:p w14:paraId="47E31DF0" w14:textId="77777777" w:rsidR="000221AD" w:rsidRDefault="000221AD" w:rsidP="008453DD">
            <w:pPr>
              <w:pStyle w:val="NoSpacing"/>
            </w:pPr>
          </w:p>
          <w:p w14:paraId="6F006B55" w14:textId="77777777" w:rsidR="000221AD" w:rsidRPr="00C10450" w:rsidRDefault="000221AD" w:rsidP="008453DD">
            <w:pPr>
              <w:pStyle w:val="NoSpacing"/>
            </w:pPr>
            <w:r w:rsidRPr="008453DD">
              <w:rPr>
                <w:b/>
                <w:bCs/>
              </w:rPr>
              <w:t>Indicators used for FP</w:t>
            </w:r>
            <w:r w:rsidRPr="00C10450">
              <w:t>:</w:t>
            </w:r>
            <w:r>
              <w:t xml:space="preserve"> (HIS) WHO Standard</w:t>
            </w:r>
          </w:p>
          <w:p w14:paraId="7E229256" w14:textId="77777777" w:rsidR="000221AD" w:rsidRDefault="000221AD" w:rsidP="008453DD">
            <w:pPr>
              <w:pStyle w:val="NoSpacing"/>
            </w:pPr>
            <w:r>
              <w:t xml:space="preserve">ABR 10-14 </w:t>
            </w:r>
            <w:proofErr w:type="spellStart"/>
            <w:r>
              <w:t>yrs</w:t>
            </w:r>
            <w:proofErr w:type="spellEnd"/>
            <w:r>
              <w:t>/1000 girls</w:t>
            </w:r>
          </w:p>
          <w:p w14:paraId="0F54F431" w14:textId="77777777" w:rsidR="000221AD" w:rsidRDefault="000221AD" w:rsidP="008453DD">
            <w:pPr>
              <w:pStyle w:val="NoSpacing"/>
            </w:pPr>
            <w:r>
              <w:t xml:space="preserve">ABR 15-19 </w:t>
            </w:r>
            <w:proofErr w:type="spellStart"/>
            <w:r>
              <w:t>yrs</w:t>
            </w:r>
            <w:proofErr w:type="spellEnd"/>
            <w:r>
              <w:t>/1000 girls</w:t>
            </w:r>
          </w:p>
          <w:p w14:paraId="4928B485" w14:textId="77777777" w:rsidR="000221AD" w:rsidRDefault="000221AD" w:rsidP="008453DD">
            <w:pPr>
              <w:pStyle w:val="NoSpacing"/>
            </w:pPr>
            <w:r>
              <w:t xml:space="preserve">Contraceptive contacts (except condoms) at SDP/1000 </w:t>
            </w:r>
            <w:proofErr w:type="spellStart"/>
            <w:r>
              <w:t>popn</w:t>
            </w:r>
            <w:proofErr w:type="spellEnd"/>
          </w:p>
          <w:p w14:paraId="39A23F6A" w14:textId="77777777" w:rsidR="000221AD" w:rsidRDefault="000221AD" w:rsidP="008453DD">
            <w:pPr>
              <w:pStyle w:val="NoSpacing"/>
            </w:pPr>
            <w:r>
              <w:t xml:space="preserve">Contraceptive contacts (all forms) at SDP/1000 </w:t>
            </w:r>
            <w:proofErr w:type="spellStart"/>
            <w:r>
              <w:t>popn</w:t>
            </w:r>
            <w:proofErr w:type="spellEnd"/>
            <w:r>
              <w:t>.</w:t>
            </w:r>
          </w:p>
          <w:p w14:paraId="20678AF8" w14:textId="77777777" w:rsidR="000221AD" w:rsidRDefault="000221AD" w:rsidP="008453DD">
            <w:pPr>
              <w:pStyle w:val="NoSpacing"/>
            </w:pPr>
            <w:r>
              <w:t xml:space="preserve">Disaggregated by age, location, type/method, name, </w:t>
            </w:r>
            <w:proofErr w:type="gramStart"/>
            <w:r>
              <w:t>island</w:t>
            </w:r>
            <w:proofErr w:type="gramEnd"/>
          </w:p>
          <w:p w14:paraId="3F4B0E2E" w14:textId="77777777" w:rsidR="000221AD" w:rsidRDefault="000221AD" w:rsidP="008453DD">
            <w:pPr>
              <w:pStyle w:val="NoSpacing"/>
            </w:pPr>
          </w:p>
          <w:p w14:paraId="3D6BDC7E" w14:textId="77777777" w:rsidR="00876617" w:rsidRPr="00303081" w:rsidRDefault="00876617" w:rsidP="008453DD">
            <w:pPr>
              <w:pStyle w:val="NoSpacing"/>
              <w:rPr>
                <w:b/>
                <w:bCs/>
              </w:rPr>
            </w:pPr>
            <w:r w:rsidRPr="00303081">
              <w:rPr>
                <w:b/>
                <w:bCs/>
              </w:rPr>
              <w:t>Staffing</w:t>
            </w:r>
            <w:r>
              <w:rPr>
                <w:rStyle w:val="FootnoteReference"/>
                <w:b/>
                <w:bCs/>
              </w:rPr>
              <w:footnoteReference w:id="35"/>
            </w:r>
            <w:r w:rsidRPr="00303081">
              <w:rPr>
                <w:b/>
                <w:bCs/>
              </w:rPr>
              <w:t>:</w:t>
            </w:r>
          </w:p>
          <w:p w14:paraId="6DF6A92F" w14:textId="77777777" w:rsidR="00876617" w:rsidRDefault="00876617" w:rsidP="008453DD">
            <w:pPr>
              <w:pStyle w:val="NoSpacing"/>
            </w:pPr>
            <w:r>
              <w:t>Nurse Practitioner (F/T) – 90</w:t>
            </w:r>
          </w:p>
          <w:p w14:paraId="2AC560FE" w14:textId="77777777" w:rsidR="00876617" w:rsidRDefault="00876617" w:rsidP="008453DD">
            <w:pPr>
              <w:pStyle w:val="NoSpacing"/>
            </w:pPr>
            <w:r>
              <w:t>Nurse (F/T) – 448</w:t>
            </w:r>
          </w:p>
          <w:p w14:paraId="7126BFEB" w14:textId="77777777" w:rsidR="00876617" w:rsidRDefault="00876617" w:rsidP="008453DD">
            <w:pPr>
              <w:pStyle w:val="NoSpacing"/>
            </w:pPr>
            <w:r>
              <w:t>Nurse (P/T) – 14</w:t>
            </w:r>
          </w:p>
          <w:p w14:paraId="769D9DCB" w14:textId="77777777" w:rsidR="00876617" w:rsidRDefault="00876617" w:rsidP="008453DD">
            <w:pPr>
              <w:pStyle w:val="NoSpacing"/>
            </w:pPr>
            <w:r>
              <w:t>Midwife (F/T) – 64</w:t>
            </w:r>
          </w:p>
          <w:p w14:paraId="17BB65AA" w14:textId="77777777" w:rsidR="00876617" w:rsidRDefault="00876617" w:rsidP="008453DD">
            <w:pPr>
              <w:pStyle w:val="NoSpacing"/>
            </w:pPr>
            <w:r>
              <w:t>Midwife (P/T) – 8</w:t>
            </w:r>
          </w:p>
          <w:p w14:paraId="0B37FA69" w14:textId="77777777" w:rsidR="00876617" w:rsidRDefault="00876617" w:rsidP="008453DD">
            <w:pPr>
              <w:pStyle w:val="NoSpacing"/>
            </w:pPr>
            <w:r>
              <w:t>Pharmacists – 13</w:t>
            </w:r>
          </w:p>
          <w:p w14:paraId="7D8E44D7" w14:textId="77777777" w:rsidR="00876617" w:rsidRDefault="00876617" w:rsidP="008453DD">
            <w:pPr>
              <w:pStyle w:val="NoSpacing"/>
            </w:pPr>
            <w:r>
              <w:t>Lab Techs – 7</w:t>
            </w:r>
          </w:p>
          <w:p w14:paraId="55F3DCDF" w14:textId="77777777" w:rsidR="00876617" w:rsidRPr="00FC7A33" w:rsidRDefault="00876617" w:rsidP="008453DD">
            <w:pPr>
              <w:pStyle w:val="NoSpacing"/>
            </w:pPr>
            <w:r>
              <w:t xml:space="preserve">CHW - 297 </w:t>
            </w:r>
          </w:p>
        </w:tc>
        <w:tc>
          <w:tcPr>
            <w:tcW w:w="2016" w:type="pct"/>
          </w:tcPr>
          <w:p w14:paraId="076D3F17" w14:textId="77777777" w:rsidR="000221AD" w:rsidRDefault="000221AD" w:rsidP="0081036B">
            <w:pPr>
              <w:rPr>
                <w:rFonts w:cstheme="minorHAnsi"/>
                <w:b/>
              </w:rPr>
            </w:pPr>
            <w:r>
              <w:rPr>
                <w:rFonts w:cstheme="minorHAnsi"/>
                <w:b/>
              </w:rPr>
              <w:lastRenderedPageBreak/>
              <w:t>Kiribati Family Health Association (KFHA)</w:t>
            </w:r>
          </w:p>
          <w:p w14:paraId="051A144D" w14:textId="77777777" w:rsidR="000221AD" w:rsidRDefault="000221AD" w:rsidP="0081036B">
            <w:pPr>
              <w:rPr>
                <w:rFonts w:cstheme="minorHAnsi"/>
              </w:rPr>
            </w:pPr>
            <w:r w:rsidRPr="00FC7A33">
              <w:rPr>
                <w:rFonts w:cstheme="minorHAnsi"/>
                <w:b/>
              </w:rPr>
              <w:t>Clinic services</w:t>
            </w:r>
            <w:r w:rsidRPr="00FC7A33">
              <w:rPr>
                <w:rFonts w:cstheme="minorHAnsi"/>
              </w:rPr>
              <w:t xml:space="preserve">: </w:t>
            </w:r>
          </w:p>
          <w:p w14:paraId="54897143" w14:textId="77777777" w:rsidR="000221AD" w:rsidRDefault="000221AD" w:rsidP="000221AD">
            <w:pPr>
              <w:pStyle w:val="ListParagraph"/>
              <w:numPr>
                <w:ilvl w:val="0"/>
                <w:numId w:val="38"/>
              </w:numPr>
              <w:spacing w:after="0" w:line="240" w:lineRule="auto"/>
              <w:contextualSpacing/>
              <w:rPr>
                <w:rFonts w:cstheme="minorHAnsi"/>
              </w:rPr>
            </w:pPr>
            <w:r>
              <w:rPr>
                <w:rFonts w:cstheme="minorHAnsi"/>
              </w:rPr>
              <w:t>1 main static clinic with a lab</w:t>
            </w:r>
          </w:p>
          <w:p w14:paraId="37CB0662" w14:textId="77777777" w:rsidR="000221AD" w:rsidRPr="00AB1242" w:rsidRDefault="000221AD" w:rsidP="000221AD">
            <w:pPr>
              <w:pStyle w:val="ListParagraph"/>
              <w:numPr>
                <w:ilvl w:val="0"/>
                <w:numId w:val="38"/>
              </w:numPr>
              <w:spacing w:after="0" w:line="240" w:lineRule="auto"/>
              <w:contextualSpacing/>
              <w:rPr>
                <w:rFonts w:cstheme="minorHAnsi"/>
              </w:rPr>
            </w:pPr>
            <w:r>
              <w:rPr>
                <w:rFonts w:cstheme="minorHAnsi"/>
              </w:rPr>
              <w:t xml:space="preserve">Staff includes: </w:t>
            </w:r>
            <w:r w:rsidRPr="006E3C5C">
              <w:rPr>
                <w:rFonts w:cstheme="minorHAnsi"/>
              </w:rPr>
              <w:t xml:space="preserve">ED, </w:t>
            </w:r>
            <w:r>
              <w:rPr>
                <w:rFonts w:cstheme="minorHAnsi"/>
              </w:rPr>
              <w:t xml:space="preserve">four </w:t>
            </w:r>
            <w:r w:rsidRPr="006E3C5C">
              <w:rPr>
                <w:rFonts w:cstheme="minorHAnsi"/>
              </w:rPr>
              <w:t>nurse</w:t>
            </w:r>
            <w:r>
              <w:rPr>
                <w:rFonts w:cstheme="minorHAnsi"/>
              </w:rPr>
              <w:t>s</w:t>
            </w:r>
            <w:r w:rsidRPr="006E3C5C">
              <w:rPr>
                <w:rFonts w:cstheme="minorHAnsi"/>
              </w:rPr>
              <w:t xml:space="preserve">, </w:t>
            </w:r>
            <w:r>
              <w:rPr>
                <w:rFonts w:cstheme="minorHAnsi"/>
              </w:rPr>
              <w:t xml:space="preserve">1 lab technician, 2 </w:t>
            </w:r>
            <w:r w:rsidRPr="006E3C5C">
              <w:rPr>
                <w:rFonts w:cstheme="minorHAnsi"/>
              </w:rPr>
              <w:t>program manager</w:t>
            </w:r>
            <w:r>
              <w:rPr>
                <w:rFonts w:cstheme="minorHAnsi"/>
              </w:rPr>
              <w:t>s</w:t>
            </w:r>
            <w:r w:rsidRPr="006E3C5C">
              <w:rPr>
                <w:rFonts w:cstheme="minorHAnsi"/>
              </w:rPr>
              <w:t xml:space="preserve">, </w:t>
            </w:r>
            <w:r>
              <w:rPr>
                <w:rFonts w:cstheme="minorHAnsi"/>
              </w:rPr>
              <w:t xml:space="preserve">3 </w:t>
            </w:r>
            <w:r w:rsidRPr="006E3C5C">
              <w:rPr>
                <w:rFonts w:cstheme="minorHAnsi"/>
              </w:rPr>
              <w:t>program officers</w:t>
            </w:r>
            <w:r>
              <w:rPr>
                <w:rFonts w:cstheme="minorHAnsi"/>
              </w:rPr>
              <w:t>,</w:t>
            </w:r>
            <w:r w:rsidR="001E46B1">
              <w:rPr>
                <w:rFonts w:cstheme="minorHAnsi"/>
              </w:rPr>
              <w:t xml:space="preserve"> </w:t>
            </w:r>
            <w:r>
              <w:rPr>
                <w:rFonts w:cstheme="minorHAnsi"/>
              </w:rPr>
              <w:t xml:space="preserve">data officer, </w:t>
            </w:r>
            <w:r w:rsidRPr="006E3C5C">
              <w:rPr>
                <w:rFonts w:cstheme="minorHAnsi"/>
              </w:rPr>
              <w:t>finance officer, administration</w:t>
            </w:r>
            <w:r>
              <w:rPr>
                <w:rFonts w:cstheme="minorHAnsi"/>
              </w:rPr>
              <w:t xml:space="preserve"> and youth officer. </w:t>
            </w:r>
          </w:p>
          <w:p w14:paraId="02C0BECA" w14:textId="77777777" w:rsidR="000221AD" w:rsidRDefault="000221AD" w:rsidP="000221AD">
            <w:pPr>
              <w:pStyle w:val="ListParagraph"/>
              <w:numPr>
                <w:ilvl w:val="0"/>
                <w:numId w:val="38"/>
              </w:numPr>
              <w:spacing w:after="0" w:line="240" w:lineRule="auto"/>
              <w:contextualSpacing/>
              <w:rPr>
                <w:rFonts w:cstheme="minorHAnsi"/>
              </w:rPr>
            </w:pPr>
            <w:r>
              <w:rPr>
                <w:rFonts w:cstheme="minorHAnsi"/>
              </w:rPr>
              <w:t xml:space="preserve">1 </w:t>
            </w:r>
            <w:r w:rsidRPr="00F631D2">
              <w:rPr>
                <w:rFonts w:cstheme="minorHAnsi"/>
              </w:rPr>
              <w:t xml:space="preserve">Static Clinic + </w:t>
            </w:r>
            <w:r>
              <w:rPr>
                <w:rFonts w:cstheme="minorHAnsi"/>
              </w:rPr>
              <w:t xml:space="preserve">2 Mobile </w:t>
            </w:r>
            <w:r w:rsidRPr="00F631D2">
              <w:rPr>
                <w:rFonts w:cstheme="minorHAnsi"/>
              </w:rPr>
              <w:t>Outreach Clinic</w:t>
            </w:r>
            <w:r>
              <w:rPr>
                <w:rFonts w:cstheme="minorHAnsi"/>
              </w:rPr>
              <w:t xml:space="preserve"> teams</w:t>
            </w:r>
          </w:p>
          <w:p w14:paraId="3763EF0D" w14:textId="77777777" w:rsidR="000221AD" w:rsidRPr="00F631D2" w:rsidRDefault="000221AD" w:rsidP="000221AD">
            <w:pPr>
              <w:pStyle w:val="ListParagraph"/>
              <w:numPr>
                <w:ilvl w:val="0"/>
                <w:numId w:val="38"/>
              </w:numPr>
              <w:spacing w:after="0" w:line="240" w:lineRule="auto"/>
              <w:contextualSpacing/>
              <w:rPr>
                <w:rFonts w:cstheme="minorHAnsi"/>
              </w:rPr>
            </w:pPr>
            <w:r>
              <w:rPr>
                <w:rFonts w:cstheme="minorHAnsi"/>
              </w:rPr>
              <w:t xml:space="preserve">Provision of 52 SRH services – mapped against IPPF 225 coded services from Family Planning, HIV/STI/RTI, Cervical Cancer Screening and treatment, </w:t>
            </w:r>
            <w:proofErr w:type="spellStart"/>
            <w:r>
              <w:rPr>
                <w:rFonts w:cstheme="minorHAnsi"/>
              </w:rPr>
              <w:t>Gynaecology</w:t>
            </w:r>
            <w:proofErr w:type="spellEnd"/>
            <w:r>
              <w:rPr>
                <w:rFonts w:cstheme="minorHAnsi"/>
              </w:rPr>
              <w:t xml:space="preserve">, Vasectomy, Urology, Antenatal etc. </w:t>
            </w:r>
          </w:p>
          <w:p w14:paraId="0FD68AE3" w14:textId="77777777" w:rsidR="000221AD" w:rsidRDefault="000221AD" w:rsidP="000221AD">
            <w:pPr>
              <w:pStyle w:val="ListParagraph"/>
              <w:numPr>
                <w:ilvl w:val="0"/>
                <w:numId w:val="38"/>
              </w:numPr>
              <w:spacing w:after="0" w:line="240" w:lineRule="auto"/>
              <w:contextualSpacing/>
              <w:rPr>
                <w:rFonts w:cstheme="minorHAnsi"/>
              </w:rPr>
            </w:pPr>
            <w:r w:rsidRPr="00D407F6">
              <w:rPr>
                <w:rFonts w:cstheme="minorHAnsi"/>
              </w:rPr>
              <w:t xml:space="preserve">Community Sexuality Education and awareness programs: with PWD, seafarers, LGBTI communities, squatters, young people, sex workers. </w:t>
            </w:r>
          </w:p>
          <w:p w14:paraId="349AE3AF" w14:textId="77777777" w:rsidR="000221AD" w:rsidRDefault="000221AD" w:rsidP="000221AD">
            <w:pPr>
              <w:pStyle w:val="ListParagraph"/>
              <w:numPr>
                <w:ilvl w:val="0"/>
                <w:numId w:val="38"/>
              </w:numPr>
              <w:spacing w:after="0" w:line="240" w:lineRule="auto"/>
              <w:contextualSpacing/>
              <w:rPr>
                <w:rFonts w:cstheme="minorHAnsi"/>
              </w:rPr>
            </w:pPr>
            <w:r>
              <w:rPr>
                <w:rFonts w:cstheme="minorHAnsi"/>
              </w:rPr>
              <w:lastRenderedPageBreak/>
              <w:t xml:space="preserve">3 active community-based distributors in three outer islands </w:t>
            </w:r>
          </w:p>
          <w:p w14:paraId="351D7369" w14:textId="77777777" w:rsidR="000221AD" w:rsidRPr="00D407F6" w:rsidRDefault="000221AD" w:rsidP="000221AD">
            <w:pPr>
              <w:pStyle w:val="ListParagraph"/>
              <w:numPr>
                <w:ilvl w:val="0"/>
                <w:numId w:val="38"/>
              </w:numPr>
              <w:spacing w:after="0" w:line="240" w:lineRule="auto"/>
              <w:contextualSpacing/>
              <w:rPr>
                <w:rFonts w:cstheme="minorHAnsi"/>
              </w:rPr>
            </w:pPr>
            <w:r>
              <w:rPr>
                <w:rFonts w:cstheme="minorHAnsi"/>
              </w:rPr>
              <w:t xml:space="preserve">40 active volunteers. </w:t>
            </w:r>
          </w:p>
          <w:p w14:paraId="45E15DE2" w14:textId="77777777" w:rsidR="000221AD" w:rsidRPr="005245AC" w:rsidRDefault="000221AD" w:rsidP="000221AD">
            <w:pPr>
              <w:pStyle w:val="ListParagraph"/>
              <w:numPr>
                <w:ilvl w:val="0"/>
                <w:numId w:val="38"/>
              </w:numPr>
              <w:spacing w:after="0" w:line="240" w:lineRule="auto"/>
              <w:contextualSpacing/>
              <w:rPr>
                <w:rFonts w:cstheme="minorHAnsi"/>
              </w:rPr>
            </w:pPr>
            <w:r>
              <w:rPr>
                <w:rFonts w:cstheme="minorHAnsi"/>
                <w:b/>
              </w:rPr>
              <w:t>La</w:t>
            </w:r>
            <w:r w:rsidRPr="005245AC">
              <w:rPr>
                <w:rFonts w:cstheme="minorHAnsi"/>
                <w:b/>
              </w:rPr>
              <w:t>boratory:</w:t>
            </w:r>
            <w:r w:rsidRPr="005245AC">
              <w:rPr>
                <w:rFonts w:cstheme="minorHAnsi"/>
              </w:rPr>
              <w:t xml:space="preserve"> testing for </w:t>
            </w:r>
            <w:r w:rsidR="009237DE" w:rsidRPr="005245AC">
              <w:rPr>
                <w:rFonts w:cstheme="minorHAnsi"/>
              </w:rPr>
              <w:t>gonorrhea</w:t>
            </w:r>
            <w:r w:rsidRPr="005245AC">
              <w:rPr>
                <w:rFonts w:cstheme="minorHAnsi"/>
              </w:rPr>
              <w:t>, syphilis, candida, Pap smears, HIV.</w:t>
            </w:r>
          </w:p>
          <w:p w14:paraId="71DB7FAA" w14:textId="77777777" w:rsidR="000221AD" w:rsidRPr="005245AC" w:rsidRDefault="000221AD" w:rsidP="000221AD">
            <w:pPr>
              <w:pStyle w:val="ListParagraph"/>
              <w:numPr>
                <w:ilvl w:val="0"/>
                <w:numId w:val="38"/>
              </w:numPr>
              <w:spacing w:after="0" w:line="240" w:lineRule="auto"/>
              <w:contextualSpacing/>
              <w:rPr>
                <w:rFonts w:cstheme="minorHAnsi"/>
              </w:rPr>
            </w:pPr>
            <w:r w:rsidRPr="005245AC">
              <w:rPr>
                <w:rFonts w:cstheme="minorHAnsi"/>
                <w:b/>
              </w:rPr>
              <w:t>Regular Outreach clinics</w:t>
            </w:r>
            <w:r w:rsidRPr="005245AC">
              <w:rPr>
                <w:rFonts w:cstheme="minorHAnsi"/>
              </w:rPr>
              <w:t xml:space="preserve"> </w:t>
            </w:r>
            <w:proofErr w:type="gramStart"/>
            <w:r w:rsidRPr="005245AC">
              <w:rPr>
                <w:rFonts w:cstheme="minorHAnsi"/>
              </w:rPr>
              <w:t>e.g.</w:t>
            </w:r>
            <w:proofErr w:type="gramEnd"/>
            <w:r w:rsidRPr="005245AC">
              <w:rPr>
                <w:rFonts w:cstheme="minorHAnsi"/>
              </w:rPr>
              <w:t xml:space="preserve"> to North Tarawa/</w:t>
            </w:r>
            <w:proofErr w:type="spellStart"/>
            <w:r w:rsidRPr="005245AC">
              <w:rPr>
                <w:rFonts w:cstheme="minorHAnsi"/>
              </w:rPr>
              <w:t>Buota</w:t>
            </w:r>
            <w:proofErr w:type="spellEnd"/>
            <w:r w:rsidRPr="005245AC">
              <w:rPr>
                <w:rFonts w:cstheme="minorHAnsi"/>
              </w:rPr>
              <w:t xml:space="preserve"> (YP) and </w:t>
            </w:r>
            <w:proofErr w:type="spellStart"/>
            <w:r w:rsidRPr="005245AC">
              <w:rPr>
                <w:rFonts w:cstheme="minorHAnsi"/>
              </w:rPr>
              <w:t>Nanakai</w:t>
            </w:r>
            <w:proofErr w:type="spellEnd"/>
            <w:r w:rsidRPr="005245AC">
              <w:rPr>
                <w:rFonts w:cstheme="minorHAnsi"/>
              </w:rPr>
              <w:t xml:space="preserve"> Village (for people with disabilities)</w:t>
            </w:r>
          </w:p>
          <w:p w14:paraId="0CBD916D" w14:textId="77777777" w:rsidR="000221AD" w:rsidRPr="005245AC" w:rsidRDefault="000221AD" w:rsidP="000221AD">
            <w:pPr>
              <w:pStyle w:val="ListParagraph"/>
              <w:numPr>
                <w:ilvl w:val="0"/>
                <w:numId w:val="38"/>
              </w:numPr>
              <w:spacing w:after="0" w:line="240" w:lineRule="auto"/>
              <w:contextualSpacing/>
              <w:rPr>
                <w:rFonts w:cstheme="minorHAnsi"/>
              </w:rPr>
            </w:pPr>
            <w:r w:rsidRPr="005245AC">
              <w:rPr>
                <w:rFonts w:cstheme="minorHAnsi"/>
                <w:b/>
              </w:rPr>
              <w:t>Outreach to outer islands</w:t>
            </w:r>
            <w:r w:rsidRPr="005245AC">
              <w:rPr>
                <w:rFonts w:cstheme="minorHAnsi"/>
              </w:rPr>
              <w:t xml:space="preserve"> - integrated services to outer islands: </w:t>
            </w:r>
            <w:proofErr w:type="spellStart"/>
            <w:r w:rsidRPr="005245AC">
              <w:rPr>
                <w:rFonts w:cstheme="minorHAnsi"/>
              </w:rPr>
              <w:t>Beru</w:t>
            </w:r>
            <w:proofErr w:type="spellEnd"/>
            <w:r w:rsidRPr="005245AC">
              <w:rPr>
                <w:rFonts w:cstheme="minorHAnsi"/>
              </w:rPr>
              <w:t xml:space="preserve">, </w:t>
            </w:r>
            <w:proofErr w:type="spellStart"/>
            <w:r w:rsidRPr="005245AC">
              <w:rPr>
                <w:rFonts w:cstheme="minorHAnsi"/>
              </w:rPr>
              <w:t>Nikanau</w:t>
            </w:r>
            <w:proofErr w:type="spellEnd"/>
            <w:r w:rsidRPr="005245AC">
              <w:rPr>
                <w:rFonts w:cstheme="minorHAnsi"/>
              </w:rPr>
              <w:t xml:space="preserve">, </w:t>
            </w:r>
            <w:proofErr w:type="spellStart"/>
            <w:r w:rsidRPr="005245AC">
              <w:rPr>
                <w:rFonts w:cstheme="minorHAnsi"/>
              </w:rPr>
              <w:t>Miaino</w:t>
            </w:r>
            <w:proofErr w:type="spellEnd"/>
            <w:r w:rsidRPr="005245AC">
              <w:rPr>
                <w:rFonts w:cstheme="minorHAnsi"/>
              </w:rPr>
              <w:t xml:space="preserve">, South Tarawa, </w:t>
            </w:r>
            <w:proofErr w:type="spellStart"/>
            <w:r w:rsidRPr="005245AC">
              <w:rPr>
                <w:rFonts w:cstheme="minorHAnsi"/>
              </w:rPr>
              <w:t>Aranuka</w:t>
            </w:r>
            <w:proofErr w:type="spellEnd"/>
            <w:r w:rsidRPr="005245AC">
              <w:rPr>
                <w:rFonts w:cstheme="minorHAnsi"/>
              </w:rPr>
              <w:t xml:space="preserve">, </w:t>
            </w:r>
            <w:proofErr w:type="spellStart"/>
            <w:r w:rsidRPr="005245AC">
              <w:rPr>
                <w:rFonts w:cstheme="minorHAnsi"/>
              </w:rPr>
              <w:t>Abolang</w:t>
            </w:r>
            <w:proofErr w:type="spellEnd"/>
            <w:r w:rsidRPr="005245AC">
              <w:rPr>
                <w:rFonts w:cstheme="minorHAnsi"/>
              </w:rPr>
              <w:t xml:space="preserve">. KFHA now covers 72% of the population. Outreach team of 4 nurses, lab technician and ED meet with Island Council and church leaders; see clients (FP, STI testing, NCD) at government health </w:t>
            </w:r>
            <w:proofErr w:type="spellStart"/>
            <w:r w:rsidRPr="005245AC">
              <w:rPr>
                <w:rFonts w:cstheme="minorHAnsi"/>
              </w:rPr>
              <w:t>centres</w:t>
            </w:r>
            <w:proofErr w:type="spellEnd"/>
            <w:r w:rsidRPr="005245AC">
              <w:rPr>
                <w:rFonts w:cstheme="minorHAnsi"/>
              </w:rPr>
              <w:t xml:space="preserve"> and in households. 2 volunteer couples (catechists) assist with awareness.</w:t>
            </w:r>
          </w:p>
          <w:p w14:paraId="5F80AF07" w14:textId="77777777" w:rsidR="000221AD" w:rsidRPr="005245AC" w:rsidRDefault="000221AD" w:rsidP="000221AD">
            <w:pPr>
              <w:pStyle w:val="ListParagraph"/>
              <w:numPr>
                <w:ilvl w:val="0"/>
                <w:numId w:val="38"/>
              </w:numPr>
              <w:spacing w:after="0" w:line="240" w:lineRule="auto"/>
              <w:contextualSpacing/>
              <w:rPr>
                <w:rFonts w:cstheme="minorHAnsi"/>
              </w:rPr>
            </w:pPr>
            <w:r w:rsidRPr="005245AC">
              <w:rPr>
                <w:rFonts w:cstheme="minorHAnsi"/>
                <w:b/>
              </w:rPr>
              <w:t>Youth program:</w:t>
            </w:r>
            <w:r w:rsidRPr="005245AC">
              <w:rPr>
                <w:rFonts w:cstheme="minorHAnsi"/>
              </w:rPr>
              <w:t xml:space="preserve"> Youth volunteers (students, dropouts, unemployed) involved in mobile clinics including A/H clinic services, outreach teams to outer islands, condom distribution</w:t>
            </w:r>
            <w:r w:rsidRPr="00FC7A33">
              <w:rPr>
                <w:rStyle w:val="FootnoteReference"/>
                <w:rFonts w:cstheme="minorHAnsi"/>
              </w:rPr>
              <w:footnoteReference w:id="36"/>
            </w:r>
            <w:r w:rsidRPr="005245AC">
              <w:rPr>
                <w:rFonts w:cstheme="minorHAnsi"/>
              </w:rPr>
              <w:t xml:space="preserve">, school visits. Volunteers are trained in basic counselling, FP, STI/HIV. CSE training provided for youth leaders - all components taught. Volunteers submit monthly reports to KFHA. Schools (Junior secondary, secondary and tertiary </w:t>
            </w:r>
            <w:r w:rsidR="001E46B1">
              <w:rPr>
                <w:rFonts w:cstheme="minorHAnsi"/>
              </w:rPr>
              <w:t>–</w:t>
            </w:r>
            <w:r w:rsidRPr="005245AC">
              <w:rPr>
                <w:rFonts w:cstheme="minorHAnsi"/>
              </w:rPr>
              <w:t xml:space="preserve"> K</w:t>
            </w:r>
            <w:r w:rsidR="001E46B1">
              <w:rPr>
                <w:rFonts w:cstheme="minorHAnsi"/>
              </w:rPr>
              <w:t>iribati Institute of Technology (K</w:t>
            </w:r>
            <w:r w:rsidRPr="005245AC">
              <w:rPr>
                <w:rFonts w:cstheme="minorHAnsi"/>
              </w:rPr>
              <w:t>IT</w:t>
            </w:r>
            <w:r w:rsidR="001E46B1">
              <w:rPr>
                <w:rFonts w:cstheme="minorHAnsi"/>
              </w:rPr>
              <w:t>)</w:t>
            </w:r>
            <w:r w:rsidRPr="005245AC">
              <w:rPr>
                <w:rFonts w:cstheme="minorHAnsi"/>
              </w:rPr>
              <w:t>, Marine training college, USP) invite KFHA to present SRHR in drama followed by group work using cards with relationship problem scenarios - to approx. 50 students per session.</w:t>
            </w:r>
          </w:p>
          <w:p w14:paraId="66C794BB" w14:textId="77777777" w:rsidR="000221AD" w:rsidRPr="005245AC" w:rsidRDefault="000221AD" w:rsidP="000221AD">
            <w:pPr>
              <w:pStyle w:val="ListParagraph"/>
              <w:numPr>
                <w:ilvl w:val="0"/>
                <w:numId w:val="38"/>
              </w:numPr>
              <w:spacing w:after="200" w:line="240" w:lineRule="auto"/>
              <w:contextualSpacing/>
              <w:rPr>
                <w:b/>
                <w:sz w:val="28"/>
                <w:szCs w:val="28"/>
              </w:rPr>
            </w:pPr>
            <w:r w:rsidRPr="005245AC">
              <w:rPr>
                <w:rFonts w:cstheme="minorHAnsi"/>
                <w:b/>
              </w:rPr>
              <w:t>Work with Catholic Church</w:t>
            </w:r>
            <w:r w:rsidRPr="005245AC">
              <w:rPr>
                <w:rFonts w:cstheme="minorHAnsi"/>
              </w:rPr>
              <w:t>: The training for Catholic Leader</w:t>
            </w:r>
            <w:r w:rsidR="001E46B1">
              <w:rPr>
                <w:rFonts w:cstheme="minorHAnsi"/>
              </w:rPr>
              <w:t>s</w:t>
            </w:r>
            <w:r w:rsidRPr="005245AC">
              <w:rPr>
                <w:rFonts w:cstheme="minorHAnsi"/>
              </w:rPr>
              <w:t xml:space="preserve"> (52) which marks the revitalization of the partnership between KFHA and the Catholic church since the banning of KFHA’s programs and services from </w:t>
            </w:r>
            <w:r w:rsidRPr="005245AC">
              <w:rPr>
                <w:rFonts w:cstheme="minorHAnsi"/>
              </w:rPr>
              <w:lastRenderedPageBreak/>
              <w:t>all Catholic premises in 2017. One of the positive results of this activity was that 50% of the population on Kiritimati Island w</w:t>
            </w:r>
            <w:r>
              <w:rPr>
                <w:rFonts w:cstheme="minorHAnsi"/>
              </w:rPr>
              <w:t xml:space="preserve">as </w:t>
            </w:r>
            <w:r w:rsidRPr="005245AC">
              <w:rPr>
                <w:rFonts w:cstheme="minorHAnsi"/>
              </w:rPr>
              <w:t>reached with important SRHR information through these church leaders. In addition, 787 were reached during road show and young couple’s training</w:t>
            </w:r>
            <w:r>
              <w:rPr>
                <w:rFonts w:cstheme="minorHAnsi"/>
              </w:rPr>
              <w:t xml:space="preserve"> in the island</w:t>
            </w:r>
            <w:r w:rsidRPr="005245AC">
              <w:rPr>
                <w:rFonts w:cstheme="minorHAnsi"/>
              </w:rPr>
              <w:t>.</w:t>
            </w:r>
            <w:r w:rsidRPr="005245AC">
              <w:rPr>
                <w:rFonts w:ascii="Arial Narrow" w:hAnsi="Arial Narrow"/>
                <w:sz w:val="24"/>
              </w:rPr>
              <w:t xml:space="preserve"> </w:t>
            </w:r>
          </w:p>
          <w:p w14:paraId="11A1A713" w14:textId="77777777" w:rsidR="000221AD" w:rsidRPr="00AD7FA6" w:rsidRDefault="000221AD" w:rsidP="000221AD">
            <w:pPr>
              <w:pStyle w:val="ListParagraph"/>
              <w:numPr>
                <w:ilvl w:val="0"/>
                <w:numId w:val="38"/>
              </w:numPr>
              <w:spacing w:after="200" w:line="240" w:lineRule="auto"/>
              <w:contextualSpacing/>
              <w:rPr>
                <w:rFonts w:cstheme="minorHAnsi"/>
                <w:b/>
              </w:rPr>
            </w:pPr>
            <w:r w:rsidRPr="005245AC">
              <w:rPr>
                <w:rFonts w:cstheme="minorHAnsi"/>
              </w:rPr>
              <w:t>The signing of MOU between KFHA and Kiritimati Urban Council (KUC) has provided a foundation on which KFHA could use to achieving it program objectives at a minimized cost. For example: The Council’s willingness to provide a room within their building to be used as a KFHA’s Clinic (S</w:t>
            </w:r>
            <w:r w:rsidR="001E46B1">
              <w:rPr>
                <w:rFonts w:cstheme="minorHAnsi"/>
              </w:rPr>
              <w:t>DP</w:t>
            </w:r>
            <w:r w:rsidRPr="005245AC">
              <w:rPr>
                <w:rFonts w:cstheme="minorHAnsi"/>
              </w:rPr>
              <w:t xml:space="preserve">) </w:t>
            </w:r>
            <w:r>
              <w:rPr>
                <w:rFonts w:cstheme="minorHAnsi"/>
              </w:rPr>
              <w:t xml:space="preserve">during clinical mobile outreach. </w:t>
            </w:r>
          </w:p>
          <w:p w14:paraId="01932EEA" w14:textId="77777777" w:rsidR="000221AD" w:rsidRDefault="000221AD" w:rsidP="000221AD">
            <w:pPr>
              <w:pStyle w:val="ListParagraph"/>
              <w:numPr>
                <w:ilvl w:val="0"/>
                <w:numId w:val="38"/>
              </w:numPr>
              <w:spacing w:after="0" w:line="240" w:lineRule="auto"/>
              <w:contextualSpacing/>
              <w:rPr>
                <w:rFonts w:cstheme="minorHAnsi"/>
              </w:rPr>
            </w:pPr>
            <w:r w:rsidRPr="00AD7FA6">
              <w:rPr>
                <w:rFonts w:cstheme="minorHAnsi"/>
              </w:rPr>
              <w:t xml:space="preserve">KFHA was invited by </w:t>
            </w:r>
            <w:proofErr w:type="spellStart"/>
            <w:r w:rsidRPr="00AD7FA6">
              <w:rPr>
                <w:rFonts w:cstheme="minorHAnsi"/>
                <w:b/>
              </w:rPr>
              <w:t>MoE</w:t>
            </w:r>
            <w:proofErr w:type="spellEnd"/>
            <w:r w:rsidRPr="00AD7FA6">
              <w:rPr>
                <w:rFonts w:cstheme="minorHAnsi"/>
                <w:b/>
              </w:rPr>
              <w:t xml:space="preserve"> </w:t>
            </w:r>
            <w:r w:rsidRPr="00AD7FA6">
              <w:rPr>
                <w:rFonts w:cstheme="minorHAnsi"/>
              </w:rPr>
              <w:t>to assist with FLE curriculum.</w:t>
            </w:r>
          </w:p>
          <w:p w14:paraId="067B8487" w14:textId="77777777" w:rsidR="000221AD" w:rsidRPr="00AD7FA6" w:rsidRDefault="000221AD" w:rsidP="000221AD">
            <w:pPr>
              <w:pStyle w:val="ListParagraph"/>
              <w:numPr>
                <w:ilvl w:val="0"/>
                <w:numId w:val="38"/>
              </w:numPr>
              <w:spacing w:after="0" w:line="240" w:lineRule="auto"/>
              <w:contextualSpacing/>
              <w:rPr>
                <w:rFonts w:cstheme="minorHAnsi"/>
              </w:rPr>
            </w:pPr>
            <w:r w:rsidRPr="00AD7FA6">
              <w:rPr>
                <w:rFonts w:cstheme="minorHAnsi"/>
                <w:b/>
              </w:rPr>
              <w:t>IEC resources</w:t>
            </w:r>
            <w:r w:rsidRPr="00AD7FA6">
              <w:rPr>
                <w:rFonts w:cstheme="minorHAnsi"/>
              </w:rPr>
              <w:t>:  A range of leaflets, posters, stickers, DVDs, and other resources are developed by KFHA staff.</w:t>
            </w:r>
          </w:p>
          <w:p w14:paraId="4B97E764" w14:textId="77777777" w:rsidR="000221AD" w:rsidRPr="00AD7FA6" w:rsidRDefault="000221AD" w:rsidP="000221AD">
            <w:pPr>
              <w:pStyle w:val="ListParagraph"/>
              <w:numPr>
                <w:ilvl w:val="0"/>
                <w:numId w:val="38"/>
              </w:numPr>
              <w:spacing w:after="0" w:line="240" w:lineRule="auto"/>
              <w:contextualSpacing/>
              <w:rPr>
                <w:rFonts w:cstheme="minorHAnsi"/>
              </w:rPr>
            </w:pPr>
            <w:r w:rsidRPr="00AD7FA6">
              <w:rPr>
                <w:rFonts w:cstheme="minorHAnsi"/>
              </w:rPr>
              <w:t xml:space="preserve">KFHA staff have had </w:t>
            </w:r>
            <w:r w:rsidRPr="00AD7FA6">
              <w:rPr>
                <w:rFonts w:cstheme="minorHAnsi"/>
                <w:b/>
              </w:rPr>
              <w:t>NCD training</w:t>
            </w:r>
            <w:r w:rsidRPr="00AD7FA6">
              <w:rPr>
                <w:rFonts w:cstheme="minorHAnsi"/>
              </w:rPr>
              <w:t xml:space="preserve"> provided by WHO and an update on STI by MHMS.  </w:t>
            </w:r>
          </w:p>
          <w:p w14:paraId="1D94BD15" w14:textId="77777777" w:rsidR="000221AD" w:rsidRPr="00AD7FA6" w:rsidRDefault="000221AD" w:rsidP="000221AD">
            <w:pPr>
              <w:pStyle w:val="ListParagraph"/>
              <w:numPr>
                <w:ilvl w:val="0"/>
                <w:numId w:val="38"/>
              </w:numPr>
              <w:spacing w:after="0" w:line="240" w:lineRule="auto"/>
              <w:contextualSpacing/>
              <w:rPr>
                <w:rFonts w:cstheme="minorHAnsi"/>
              </w:rPr>
            </w:pPr>
            <w:r w:rsidRPr="00AD7FA6">
              <w:rPr>
                <w:rFonts w:cstheme="minorHAnsi"/>
                <w:b/>
              </w:rPr>
              <w:t>Healthy Families Program</w:t>
            </w:r>
            <w:r w:rsidRPr="00AD7FA6">
              <w:rPr>
                <w:rFonts w:cstheme="minorHAnsi"/>
              </w:rPr>
              <w:t xml:space="preserve"> with FPNZ: Focused on FP and community development/outreach to South Tarawa. </w:t>
            </w:r>
          </w:p>
          <w:p w14:paraId="6E26895F" w14:textId="77777777" w:rsidR="000221AD" w:rsidRDefault="000221AD" w:rsidP="0081036B">
            <w:pPr>
              <w:rPr>
                <w:rFonts w:cstheme="minorHAnsi"/>
              </w:rPr>
            </w:pPr>
          </w:p>
          <w:p w14:paraId="5770EAEF" w14:textId="77777777" w:rsidR="000221AD" w:rsidRPr="00FC7A33" w:rsidRDefault="000221AD" w:rsidP="0081036B">
            <w:pPr>
              <w:rPr>
                <w:rFonts w:cstheme="minorHAnsi"/>
              </w:rPr>
            </w:pPr>
            <w:r>
              <w:rPr>
                <w:rFonts w:cstheme="minorHAnsi"/>
              </w:rPr>
              <w:t xml:space="preserve">No. of SDPs: 1 (but also 2 mobile/outreach clinical/ 3 Community based distributors).  </w:t>
            </w:r>
          </w:p>
        </w:tc>
      </w:tr>
      <w:tr w:rsidR="000221AD" w:rsidRPr="00D3058E" w14:paraId="25AD99E1" w14:textId="77777777" w:rsidTr="008453DD">
        <w:tc>
          <w:tcPr>
            <w:tcW w:w="881" w:type="pct"/>
          </w:tcPr>
          <w:p w14:paraId="52C121AA" w14:textId="77777777" w:rsidR="000221AD" w:rsidRPr="00D3058E" w:rsidRDefault="000221AD" w:rsidP="0081036B">
            <w:pPr>
              <w:rPr>
                <w:rFonts w:cstheme="minorHAnsi"/>
                <w:b/>
                <w:bCs/>
              </w:rPr>
            </w:pPr>
            <w:r w:rsidRPr="00D3058E">
              <w:rPr>
                <w:rFonts w:cstheme="minorHAnsi"/>
                <w:b/>
                <w:bCs/>
              </w:rPr>
              <w:lastRenderedPageBreak/>
              <w:t>Samoa</w:t>
            </w:r>
          </w:p>
        </w:tc>
        <w:tc>
          <w:tcPr>
            <w:tcW w:w="2103" w:type="pct"/>
          </w:tcPr>
          <w:p w14:paraId="5635686C" w14:textId="77777777" w:rsidR="000221AD" w:rsidRPr="00D3058E" w:rsidRDefault="000221AD" w:rsidP="008453DD">
            <w:pPr>
              <w:pStyle w:val="NoSpacing"/>
            </w:pPr>
            <w:r w:rsidRPr="00D3058E">
              <w:rPr>
                <w:b/>
              </w:rPr>
              <w:t xml:space="preserve">The Health Sector Plan (HSP) 2008-2018 </w:t>
            </w:r>
            <w:r w:rsidRPr="00D3058E">
              <w:t>priorities include RMNCAH and to strengthen health systems through processes between the Ministry and health sector partners.</w:t>
            </w:r>
          </w:p>
          <w:p w14:paraId="59F3E621" w14:textId="77777777" w:rsidR="000221AD" w:rsidRDefault="000221AD" w:rsidP="000221AD">
            <w:pPr>
              <w:pStyle w:val="NoSpacing"/>
              <w:rPr>
                <w:b/>
              </w:rPr>
            </w:pPr>
          </w:p>
          <w:p w14:paraId="7CD0533B" w14:textId="77777777" w:rsidR="000221AD" w:rsidRPr="00D3058E" w:rsidRDefault="000221AD" w:rsidP="008453DD">
            <w:pPr>
              <w:pStyle w:val="NoSpacing"/>
            </w:pPr>
            <w:r w:rsidRPr="00D3058E">
              <w:rPr>
                <w:b/>
              </w:rPr>
              <w:t xml:space="preserve">Samoa National SRH Policy 2018-2023 </w:t>
            </w:r>
            <w:r w:rsidRPr="00D3058E">
              <w:t>prioritises access to FP.</w:t>
            </w:r>
          </w:p>
          <w:p w14:paraId="5F15F711" w14:textId="77777777" w:rsidR="000221AD" w:rsidRPr="00D3058E" w:rsidRDefault="000221AD" w:rsidP="008453DD">
            <w:pPr>
              <w:pStyle w:val="NoSpacing"/>
              <w:rPr>
                <w:b/>
              </w:rPr>
            </w:pPr>
            <w:r w:rsidRPr="00D3058E">
              <w:rPr>
                <w:b/>
              </w:rPr>
              <w:t xml:space="preserve">4 components: </w:t>
            </w:r>
          </w:p>
          <w:p w14:paraId="68B43219" w14:textId="77777777" w:rsidR="000221AD" w:rsidRPr="00D3058E" w:rsidRDefault="000221AD" w:rsidP="008453DD">
            <w:pPr>
              <w:pStyle w:val="NoSpacing"/>
            </w:pPr>
            <w:r w:rsidRPr="00D3058E">
              <w:t>1) Safe motherhood – FP, ANC, clean/safe delivery, essential obstetric care</w:t>
            </w:r>
          </w:p>
          <w:p w14:paraId="63F2CAA3" w14:textId="77777777" w:rsidR="000221AD" w:rsidRPr="00D3058E" w:rsidRDefault="000221AD" w:rsidP="008453DD">
            <w:pPr>
              <w:pStyle w:val="NoSpacing"/>
            </w:pPr>
            <w:r w:rsidRPr="00D3058E">
              <w:lastRenderedPageBreak/>
              <w:t>2) Fertility regulation – FP; target is 80% women to use contraceptives by 2030 (current estimate is 37%)</w:t>
            </w:r>
          </w:p>
          <w:p w14:paraId="7454BC15" w14:textId="77777777" w:rsidR="000221AD" w:rsidRPr="00D3058E" w:rsidRDefault="000221AD" w:rsidP="008453DD">
            <w:pPr>
              <w:pStyle w:val="NoSpacing"/>
            </w:pPr>
            <w:r w:rsidRPr="00D3058E">
              <w:t>3) Prevention and control of STIs especially chlamydia</w:t>
            </w:r>
          </w:p>
          <w:p w14:paraId="71C06EE8" w14:textId="77777777" w:rsidR="000221AD" w:rsidRPr="00D3058E" w:rsidRDefault="000221AD" w:rsidP="008453DD">
            <w:pPr>
              <w:pStyle w:val="NoSpacing"/>
            </w:pPr>
            <w:r w:rsidRPr="00D3058E">
              <w:t>4) GBV services.</w:t>
            </w:r>
          </w:p>
          <w:p w14:paraId="7E6BAF17" w14:textId="77777777" w:rsidR="000221AD" w:rsidRDefault="000221AD" w:rsidP="000221AD">
            <w:pPr>
              <w:pStyle w:val="NoSpacing"/>
              <w:rPr>
                <w:b/>
                <w:bCs/>
              </w:rPr>
            </w:pPr>
          </w:p>
          <w:p w14:paraId="04290C75" w14:textId="77777777" w:rsidR="000221AD" w:rsidRPr="008453DD" w:rsidRDefault="000221AD" w:rsidP="008453DD">
            <w:pPr>
              <w:pStyle w:val="NoSpacing"/>
              <w:rPr>
                <w:b/>
                <w:bCs/>
              </w:rPr>
            </w:pPr>
            <w:r w:rsidRPr="008453DD">
              <w:rPr>
                <w:b/>
                <w:bCs/>
              </w:rPr>
              <w:t>Relevant strategies include:</w:t>
            </w:r>
          </w:p>
          <w:p w14:paraId="35CF84CD" w14:textId="77777777" w:rsidR="000221AD" w:rsidRPr="00D3058E" w:rsidRDefault="000221AD" w:rsidP="008453DD">
            <w:pPr>
              <w:pStyle w:val="NoSpacing"/>
            </w:pPr>
            <w:r w:rsidRPr="00D3058E">
              <w:t xml:space="preserve">Promote demand for </w:t>
            </w:r>
            <w:proofErr w:type="gramStart"/>
            <w:r w:rsidRPr="00D3058E">
              <w:t>FP</w:t>
            </w:r>
            <w:proofErr w:type="gramEnd"/>
          </w:p>
          <w:p w14:paraId="75266AF6" w14:textId="77777777" w:rsidR="000221AD" w:rsidRPr="00D3058E" w:rsidRDefault="000221AD" w:rsidP="008453DD">
            <w:pPr>
              <w:pStyle w:val="NoSpacing"/>
            </w:pPr>
            <w:r w:rsidRPr="00D3058E">
              <w:t xml:space="preserve">Mobilise civil </w:t>
            </w:r>
            <w:proofErr w:type="gramStart"/>
            <w:r w:rsidRPr="00D3058E">
              <w:t>society</w:t>
            </w:r>
            <w:proofErr w:type="gramEnd"/>
            <w:r w:rsidRPr="00D3058E">
              <w:t xml:space="preserve"> </w:t>
            </w:r>
          </w:p>
          <w:p w14:paraId="5DE24BF0" w14:textId="77777777" w:rsidR="000221AD" w:rsidRPr="00D3058E" w:rsidRDefault="000221AD" w:rsidP="008453DD">
            <w:pPr>
              <w:pStyle w:val="NoSpacing"/>
            </w:pPr>
            <w:r w:rsidRPr="00D3058E">
              <w:t xml:space="preserve">Integrate SRH into public health </w:t>
            </w:r>
            <w:proofErr w:type="gramStart"/>
            <w:r w:rsidRPr="00D3058E">
              <w:t>policies</w:t>
            </w:r>
            <w:proofErr w:type="gramEnd"/>
          </w:p>
          <w:p w14:paraId="4D8817AB" w14:textId="77777777" w:rsidR="000221AD" w:rsidRPr="00D3058E" w:rsidRDefault="000221AD" w:rsidP="008453DD">
            <w:pPr>
              <w:pStyle w:val="NoSpacing"/>
            </w:pPr>
            <w:r w:rsidRPr="00D3058E">
              <w:t>Essential package of care (labour &amp; delivery)</w:t>
            </w:r>
          </w:p>
          <w:p w14:paraId="7900E105" w14:textId="77777777" w:rsidR="000221AD" w:rsidRPr="00D3058E" w:rsidRDefault="000221AD" w:rsidP="008453DD">
            <w:pPr>
              <w:pStyle w:val="NoSpacing"/>
            </w:pPr>
            <w:r w:rsidRPr="00D3058E">
              <w:t>Adolescent health interventions &amp; YF services</w:t>
            </w:r>
          </w:p>
          <w:p w14:paraId="31C57E38" w14:textId="77777777" w:rsidR="000221AD" w:rsidRPr="00D3058E" w:rsidRDefault="000221AD" w:rsidP="008453DD">
            <w:pPr>
              <w:pStyle w:val="NoSpacing"/>
            </w:pPr>
            <w:r w:rsidRPr="00D3058E">
              <w:t>Advocacy for FP</w:t>
            </w:r>
          </w:p>
          <w:p w14:paraId="0087F880" w14:textId="77777777" w:rsidR="000221AD" w:rsidRPr="00D3058E" w:rsidRDefault="000221AD" w:rsidP="008453DD">
            <w:pPr>
              <w:pStyle w:val="NoSpacing"/>
            </w:pPr>
            <w:r w:rsidRPr="00D3058E">
              <w:t>National cervical cancer screening</w:t>
            </w:r>
          </w:p>
          <w:p w14:paraId="7B54E4EB" w14:textId="77777777" w:rsidR="000221AD" w:rsidRPr="00D3058E" w:rsidRDefault="000221AD" w:rsidP="008453DD">
            <w:pPr>
              <w:pStyle w:val="NoSpacing"/>
            </w:pPr>
            <w:r w:rsidRPr="00D3058E">
              <w:t>HIV tests for ANC women</w:t>
            </w:r>
          </w:p>
          <w:p w14:paraId="02DF01D7" w14:textId="77777777" w:rsidR="000221AD" w:rsidRPr="00D3058E" w:rsidRDefault="000221AD" w:rsidP="008453DD">
            <w:pPr>
              <w:pStyle w:val="NoSpacing"/>
            </w:pPr>
            <w:r w:rsidRPr="00D3058E">
              <w:t>HIV prevention for most at risk population</w:t>
            </w:r>
          </w:p>
          <w:p w14:paraId="40563480" w14:textId="77777777" w:rsidR="000221AD" w:rsidRPr="00D3058E" w:rsidRDefault="000221AD" w:rsidP="008453DD">
            <w:pPr>
              <w:pStyle w:val="NoSpacing"/>
            </w:pPr>
            <w:r w:rsidRPr="00D3058E">
              <w:t>Affordable SRH for priority target groups</w:t>
            </w:r>
          </w:p>
          <w:p w14:paraId="4628F076" w14:textId="77777777" w:rsidR="000221AD" w:rsidRPr="00D3058E" w:rsidRDefault="000221AD" w:rsidP="008453DD">
            <w:pPr>
              <w:pStyle w:val="NoSpacing"/>
            </w:pPr>
            <w:r w:rsidRPr="00D3058E">
              <w:t>SRH mass media messages</w:t>
            </w:r>
          </w:p>
          <w:p w14:paraId="2B9DC72B" w14:textId="77777777" w:rsidR="000221AD" w:rsidRPr="00D3058E" w:rsidRDefault="000221AD" w:rsidP="008453DD">
            <w:pPr>
              <w:pStyle w:val="NoSpacing"/>
            </w:pPr>
            <w:r w:rsidRPr="00D3058E">
              <w:t>SRH commodities accessible</w:t>
            </w:r>
          </w:p>
          <w:p w14:paraId="5EEE9077" w14:textId="77777777" w:rsidR="000221AD" w:rsidRPr="00D3058E" w:rsidRDefault="000221AD" w:rsidP="008453DD">
            <w:pPr>
              <w:pStyle w:val="NoSpacing"/>
            </w:pPr>
            <w:r w:rsidRPr="00D3058E">
              <w:t>Conduct SRH services</w:t>
            </w:r>
          </w:p>
          <w:p w14:paraId="012908E4" w14:textId="77777777" w:rsidR="000221AD" w:rsidRPr="00D3058E" w:rsidRDefault="000221AD" w:rsidP="008453DD">
            <w:pPr>
              <w:pStyle w:val="NoSpacing"/>
            </w:pPr>
            <w:r w:rsidRPr="00D3058E">
              <w:t xml:space="preserve">Increase the capacity of health workers to provide modern methods – IUD, injectable, </w:t>
            </w:r>
            <w:proofErr w:type="gramStart"/>
            <w:r w:rsidRPr="00D3058E">
              <w:t>implants</w:t>
            </w:r>
            <w:proofErr w:type="gramEnd"/>
          </w:p>
          <w:p w14:paraId="1E46B646" w14:textId="77777777" w:rsidR="000221AD" w:rsidRDefault="000221AD" w:rsidP="008453DD">
            <w:pPr>
              <w:pStyle w:val="NoSpacing"/>
            </w:pPr>
            <w:r w:rsidRPr="00D3058E">
              <w:t>Address infertility and contraceptive choice.</w:t>
            </w:r>
          </w:p>
          <w:p w14:paraId="19CB4BB0" w14:textId="77777777" w:rsidR="000221AD" w:rsidRPr="00D3058E" w:rsidRDefault="000221AD" w:rsidP="008453DD">
            <w:pPr>
              <w:pStyle w:val="NoSpacing"/>
            </w:pPr>
          </w:p>
          <w:p w14:paraId="27235D04" w14:textId="77777777" w:rsidR="000221AD" w:rsidRDefault="000221AD" w:rsidP="008453DD">
            <w:pPr>
              <w:pStyle w:val="NoSpacing"/>
            </w:pPr>
            <w:r w:rsidRPr="00C10450">
              <w:rPr>
                <w:b/>
              </w:rPr>
              <w:t>FP methods offered:</w:t>
            </w:r>
            <w:r>
              <w:t xml:space="preserve">  condoms, IUD, injectable, implants (doctors trained), OCP, </w:t>
            </w:r>
            <w:proofErr w:type="gramStart"/>
            <w:r>
              <w:t>EC</w:t>
            </w:r>
            <w:proofErr w:type="gramEnd"/>
          </w:p>
          <w:p w14:paraId="12B43BE2" w14:textId="77777777" w:rsidR="000221AD" w:rsidRDefault="000221AD" w:rsidP="008453DD">
            <w:pPr>
              <w:pStyle w:val="NoSpacing"/>
            </w:pPr>
            <w:r>
              <w:t xml:space="preserve">Plans to train nurses to insert/remove </w:t>
            </w:r>
            <w:proofErr w:type="gramStart"/>
            <w:r>
              <w:t>implants</w:t>
            </w:r>
            <w:proofErr w:type="gramEnd"/>
          </w:p>
          <w:p w14:paraId="276A0BA2" w14:textId="77777777" w:rsidR="000221AD" w:rsidRPr="00D3058E" w:rsidRDefault="000221AD" w:rsidP="008453DD">
            <w:pPr>
              <w:pStyle w:val="NoSpacing"/>
            </w:pPr>
          </w:p>
          <w:p w14:paraId="2A4CFC5D" w14:textId="77777777" w:rsidR="000221AD" w:rsidRPr="00D3058E" w:rsidRDefault="000221AD" w:rsidP="008453DD">
            <w:pPr>
              <w:pStyle w:val="NoSpacing"/>
              <w:rPr>
                <w:rFonts w:cs="Times"/>
                <w:b/>
              </w:rPr>
            </w:pPr>
            <w:r w:rsidRPr="00D3058E">
              <w:rPr>
                <w:rFonts w:cs="Times"/>
                <w:b/>
              </w:rPr>
              <w:t>HFRSA assessment results: 14 SDPs</w:t>
            </w:r>
            <w:r>
              <w:rPr>
                <w:rFonts w:cs="Times"/>
                <w:b/>
              </w:rPr>
              <w:t xml:space="preserve"> (includes SFHA)</w:t>
            </w:r>
          </w:p>
          <w:p w14:paraId="667A47F3" w14:textId="77777777" w:rsidR="000221AD" w:rsidRPr="00D3058E" w:rsidRDefault="000221AD" w:rsidP="008453DD">
            <w:pPr>
              <w:pStyle w:val="NoSpacing"/>
            </w:pPr>
            <w:r w:rsidRPr="00D3058E">
              <w:t>3 modern methods FP – 92%</w:t>
            </w:r>
          </w:p>
          <w:p w14:paraId="7C271465" w14:textId="77777777" w:rsidR="000221AD" w:rsidRPr="00D3058E" w:rsidRDefault="000221AD" w:rsidP="008453DD">
            <w:pPr>
              <w:pStyle w:val="NoSpacing"/>
            </w:pPr>
            <w:r w:rsidRPr="00D3058E">
              <w:t>5 modern methods FP – 75%</w:t>
            </w:r>
          </w:p>
          <w:p w14:paraId="02466A6B" w14:textId="77777777" w:rsidR="000221AD" w:rsidRPr="00D3058E" w:rsidRDefault="000221AD" w:rsidP="008453DD">
            <w:pPr>
              <w:pStyle w:val="NoSpacing"/>
            </w:pPr>
            <w:r w:rsidRPr="00D3058E">
              <w:t xml:space="preserve">Stockouts FP method last 6 </w:t>
            </w:r>
            <w:proofErr w:type="spellStart"/>
            <w:r w:rsidRPr="00D3058E">
              <w:t>mths</w:t>
            </w:r>
            <w:proofErr w:type="spellEnd"/>
            <w:r w:rsidRPr="00D3058E">
              <w:t xml:space="preserve"> – 36%</w:t>
            </w:r>
          </w:p>
          <w:p w14:paraId="626D4AEF" w14:textId="77777777" w:rsidR="000221AD" w:rsidRPr="00D3058E" w:rsidRDefault="000221AD" w:rsidP="008453DD">
            <w:pPr>
              <w:pStyle w:val="NoSpacing"/>
            </w:pPr>
            <w:r w:rsidRPr="00D3058E">
              <w:t>YFS, integrated SRH – 86% but none to global standards</w:t>
            </w:r>
          </w:p>
          <w:p w14:paraId="15E09848" w14:textId="77777777" w:rsidR="000221AD" w:rsidRPr="00D3058E" w:rsidRDefault="000221AD" w:rsidP="008453DD">
            <w:pPr>
              <w:pStyle w:val="NoSpacing"/>
            </w:pPr>
            <w:r w:rsidRPr="00D3058E">
              <w:t>GBV service – 57% but none to global standards</w:t>
            </w:r>
          </w:p>
          <w:p w14:paraId="643ECA63" w14:textId="77777777" w:rsidR="000221AD" w:rsidRPr="00D3058E" w:rsidRDefault="000221AD" w:rsidP="008453DD">
            <w:pPr>
              <w:pStyle w:val="NoSpacing"/>
            </w:pPr>
            <w:r w:rsidRPr="00D3058E">
              <w:t>PWD access – 100%</w:t>
            </w:r>
          </w:p>
          <w:p w14:paraId="57E715B3" w14:textId="77777777" w:rsidR="000221AD" w:rsidRDefault="000221AD" w:rsidP="008453DD">
            <w:pPr>
              <w:pStyle w:val="NoSpacing"/>
            </w:pPr>
            <w:r w:rsidRPr="00D3058E">
              <w:t>Cervical cancer screening – 7%</w:t>
            </w:r>
          </w:p>
          <w:p w14:paraId="573856C8" w14:textId="77777777" w:rsidR="000221AD" w:rsidRDefault="000221AD" w:rsidP="008453DD">
            <w:pPr>
              <w:pStyle w:val="NoSpacing"/>
            </w:pPr>
          </w:p>
          <w:p w14:paraId="27661FEF" w14:textId="77777777" w:rsidR="000221AD" w:rsidRDefault="000221AD" w:rsidP="008453DD">
            <w:pPr>
              <w:pStyle w:val="NoSpacing"/>
            </w:pPr>
            <w:r w:rsidRPr="007A6283">
              <w:t xml:space="preserve">Former </w:t>
            </w:r>
            <w:r w:rsidRPr="007A6283">
              <w:rPr>
                <w:b/>
              </w:rPr>
              <w:t>SPAGHL Committee</w:t>
            </w:r>
            <w:r w:rsidRPr="007A6283">
              <w:t xml:space="preserve"> - Samoa Parliamentary Advocacy Group for Healthy Living - comprised parliamentary members and chaired by the Speaker of the House - used to be a very active </w:t>
            </w:r>
            <w:proofErr w:type="gramStart"/>
            <w:r w:rsidRPr="007A6283">
              <w:t>Committee</w:t>
            </w:r>
            <w:proofErr w:type="gramEnd"/>
          </w:p>
          <w:p w14:paraId="13E3CF2C" w14:textId="77777777" w:rsidR="00876617" w:rsidRDefault="00876617" w:rsidP="008453DD">
            <w:pPr>
              <w:pStyle w:val="NoSpacing"/>
            </w:pPr>
          </w:p>
          <w:p w14:paraId="258F7911" w14:textId="77777777" w:rsidR="00876617" w:rsidRPr="00303081" w:rsidRDefault="00876617" w:rsidP="008453DD">
            <w:pPr>
              <w:pStyle w:val="NoSpacing"/>
              <w:rPr>
                <w:b/>
                <w:bCs/>
              </w:rPr>
            </w:pPr>
            <w:r w:rsidRPr="00303081">
              <w:rPr>
                <w:b/>
                <w:bCs/>
              </w:rPr>
              <w:lastRenderedPageBreak/>
              <w:t>Staffing</w:t>
            </w:r>
            <w:r>
              <w:rPr>
                <w:rStyle w:val="FootnoteReference"/>
                <w:b/>
                <w:bCs/>
              </w:rPr>
              <w:footnoteReference w:id="37"/>
            </w:r>
            <w:r w:rsidRPr="00303081">
              <w:rPr>
                <w:b/>
                <w:bCs/>
              </w:rPr>
              <w:t>:</w:t>
            </w:r>
          </w:p>
          <w:p w14:paraId="0C244FDB" w14:textId="77777777" w:rsidR="000221AD" w:rsidRDefault="00876617" w:rsidP="008453DD">
            <w:pPr>
              <w:pStyle w:val="NoSpacing"/>
              <w:rPr>
                <w:rFonts w:cs="Times"/>
                <w:b/>
              </w:rPr>
            </w:pPr>
            <w:r>
              <w:rPr>
                <w:rFonts w:cs="Times"/>
                <w:b/>
              </w:rPr>
              <w:t>Nurses (F/T) – 160</w:t>
            </w:r>
          </w:p>
          <w:p w14:paraId="68182D64" w14:textId="77777777" w:rsidR="00876617" w:rsidRDefault="00876617" w:rsidP="008453DD">
            <w:pPr>
              <w:pStyle w:val="NoSpacing"/>
              <w:rPr>
                <w:rFonts w:cs="Times"/>
                <w:b/>
              </w:rPr>
            </w:pPr>
            <w:r>
              <w:rPr>
                <w:rFonts w:cs="Times"/>
                <w:b/>
              </w:rPr>
              <w:t>Nurses (P/T) – 5</w:t>
            </w:r>
          </w:p>
          <w:p w14:paraId="0292554F" w14:textId="77777777" w:rsidR="00876617" w:rsidRDefault="00876617" w:rsidP="008453DD">
            <w:pPr>
              <w:pStyle w:val="NoSpacing"/>
              <w:rPr>
                <w:rFonts w:cs="Times"/>
                <w:b/>
              </w:rPr>
            </w:pPr>
            <w:r>
              <w:rPr>
                <w:rFonts w:cs="Times"/>
                <w:b/>
              </w:rPr>
              <w:t>Midwives (F/T) – 33</w:t>
            </w:r>
          </w:p>
          <w:p w14:paraId="42DF7477" w14:textId="77777777" w:rsidR="00876617" w:rsidRDefault="00876617" w:rsidP="008453DD">
            <w:pPr>
              <w:pStyle w:val="NoSpacing"/>
              <w:rPr>
                <w:rFonts w:cs="Times"/>
                <w:b/>
              </w:rPr>
            </w:pPr>
            <w:r>
              <w:rPr>
                <w:rFonts w:cs="Times"/>
                <w:b/>
              </w:rPr>
              <w:t>Midwives (P/T) – 15</w:t>
            </w:r>
          </w:p>
          <w:p w14:paraId="1183DEFD" w14:textId="77777777" w:rsidR="00876617" w:rsidRDefault="00876617" w:rsidP="008453DD">
            <w:pPr>
              <w:pStyle w:val="NoSpacing"/>
              <w:rPr>
                <w:rFonts w:cs="Times"/>
                <w:b/>
              </w:rPr>
            </w:pPr>
            <w:r>
              <w:rPr>
                <w:rFonts w:cs="Times"/>
                <w:b/>
              </w:rPr>
              <w:t>Pharmacists – 6</w:t>
            </w:r>
          </w:p>
          <w:p w14:paraId="0B0E4DA8" w14:textId="77777777" w:rsidR="00876617" w:rsidRDefault="00876617" w:rsidP="008453DD">
            <w:pPr>
              <w:pStyle w:val="NoSpacing"/>
              <w:rPr>
                <w:rFonts w:cs="Times"/>
                <w:b/>
              </w:rPr>
            </w:pPr>
            <w:r>
              <w:rPr>
                <w:rFonts w:cs="Times"/>
                <w:b/>
              </w:rPr>
              <w:t>Lab Techs – 4</w:t>
            </w:r>
          </w:p>
          <w:p w14:paraId="3EC5CCEB" w14:textId="77777777" w:rsidR="00876617" w:rsidRPr="00D3058E" w:rsidRDefault="00876617" w:rsidP="008453DD">
            <w:pPr>
              <w:pStyle w:val="NoSpacing"/>
              <w:rPr>
                <w:rFonts w:cs="Times"/>
                <w:b/>
              </w:rPr>
            </w:pPr>
            <w:r>
              <w:rPr>
                <w:rFonts w:cs="Times"/>
                <w:b/>
              </w:rPr>
              <w:t>CHWs - 261</w:t>
            </w:r>
          </w:p>
        </w:tc>
        <w:tc>
          <w:tcPr>
            <w:tcW w:w="2016" w:type="pct"/>
          </w:tcPr>
          <w:p w14:paraId="455337A0" w14:textId="77777777" w:rsidR="000221AD" w:rsidRPr="00CA024A" w:rsidRDefault="000221AD" w:rsidP="0081036B">
            <w:pPr>
              <w:rPr>
                <w:rFonts w:cstheme="minorHAnsi"/>
                <w:b/>
                <w:bCs/>
              </w:rPr>
            </w:pPr>
            <w:r w:rsidRPr="00CA024A">
              <w:rPr>
                <w:rFonts w:cstheme="minorHAnsi"/>
                <w:b/>
                <w:bCs/>
              </w:rPr>
              <w:lastRenderedPageBreak/>
              <w:t>Samoa Family Health Association</w:t>
            </w:r>
            <w:r>
              <w:rPr>
                <w:rFonts w:cstheme="minorHAnsi"/>
                <w:b/>
                <w:bCs/>
              </w:rPr>
              <w:t xml:space="preserve"> (SFHA)</w:t>
            </w:r>
          </w:p>
          <w:p w14:paraId="2489D051" w14:textId="77777777" w:rsidR="000221AD" w:rsidRDefault="000221AD" w:rsidP="000221AD">
            <w:pPr>
              <w:pStyle w:val="ListParagraph"/>
              <w:numPr>
                <w:ilvl w:val="0"/>
                <w:numId w:val="38"/>
              </w:numPr>
              <w:spacing w:after="0" w:line="240" w:lineRule="auto"/>
              <w:contextualSpacing/>
              <w:rPr>
                <w:rFonts w:cstheme="minorHAnsi"/>
              </w:rPr>
            </w:pPr>
            <w:r>
              <w:rPr>
                <w:rFonts w:cstheme="minorHAnsi"/>
              </w:rPr>
              <w:t xml:space="preserve">3 Static clinics (Savaii, </w:t>
            </w:r>
            <w:proofErr w:type="spellStart"/>
            <w:r>
              <w:rPr>
                <w:rFonts w:cstheme="minorHAnsi"/>
              </w:rPr>
              <w:t>Motuatua</w:t>
            </w:r>
            <w:proofErr w:type="spellEnd"/>
            <w:r>
              <w:rPr>
                <w:rFonts w:cstheme="minorHAnsi"/>
              </w:rPr>
              <w:t xml:space="preserve"> and </w:t>
            </w:r>
            <w:proofErr w:type="spellStart"/>
            <w:r>
              <w:rPr>
                <w:rFonts w:cstheme="minorHAnsi"/>
              </w:rPr>
              <w:t>Savalalo</w:t>
            </w:r>
            <w:proofErr w:type="spellEnd"/>
            <w:r>
              <w:rPr>
                <w:rFonts w:cstheme="minorHAnsi"/>
              </w:rPr>
              <w:t>)</w:t>
            </w:r>
          </w:p>
          <w:p w14:paraId="56096913" w14:textId="77777777" w:rsidR="000221AD" w:rsidRPr="00AB1242" w:rsidRDefault="000221AD" w:rsidP="000221AD">
            <w:pPr>
              <w:pStyle w:val="ListParagraph"/>
              <w:numPr>
                <w:ilvl w:val="0"/>
                <w:numId w:val="38"/>
              </w:numPr>
              <w:spacing w:after="0" w:line="240" w:lineRule="auto"/>
              <w:contextualSpacing/>
              <w:rPr>
                <w:rFonts w:cstheme="minorHAnsi"/>
              </w:rPr>
            </w:pPr>
            <w:r>
              <w:rPr>
                <w:rFonts w:cstheme="minorHAnsi"/>
              </w:rPr>
              <w:t xml:space="preserve">Staff includes: </w:t>
            </w:r>
            <w:r w:rsidRPr="006E3C5C">
              <w:rPr>
                <w:rFonts w:cstheme="minorHAnsi"/>
              </w:rPr>
              <w:t xml:space="preserve">ED, </w:t>
            </w:r>
            <w:r>
              <w:rPr>
                <w:rFonts w:cstheme="minorHAnsi"/>
              </w:rPr>
              <w:t xml:space="preserve">7 </w:t>
            </w:r>
            <w:r w:rsidRPr="006E3C5C">
              <w:rPr>
                <w:rFonts w:cstheme="minorHAnsi"/>
              </w:rPr>
              <w:t>nurse</w:t>
            </w:r>
            <w:r>
              <w:rPr>
                <w:rFonts w:cstheme="minorHAnsi"/>
              </w:rPr>
              <w:t>s</w:t>
            </w:r>
            <w:r w:rsidRPr="006E3C5C">
              <w:rPr>
                <w:rFonts w:cstheme="minorHAnsi"/>
              </w:rPr>
              <w:t>,</w:t>
            </w:r>
            <w:r>
              <w:rPr>
                <w:rFonts w:cstheme="minorHAnsi"/>
              </w:rPr>
              <w:t xml:space="preserve"> 1 </w:t>
            </w:r>
            <w:r w:rsidRPr="006E3C5C">
              <w:rPr>
                <w:rFonts w:cstheme="minorHAnsi"/>
              </w:rPr>
              <w:t>program manager</w:t>
            </w:r>
            <w:r>
              <w:rPr>
                <w:rFonts w:cstheme="minorHAnsi"/>
              </w:rPr>
              <w:t>s</w:t>
            </w:r>
            <w:r w:rsidRPr="006E3C5C">
              <w:rPr>
                <w:rFonts w:cstheme="minorHAnsi"/>
              </w:rPr>
              <w:t xml:space="preserve">, </w:t>
            </w:r>
            <w:r>
              <w:rPr>
                <w:rFonts w:cstheme="minorHAnsi"/>
              </w:rPr>
              <w:t xml:space="preserve">3 </w:t>
            </w:r>
            <w:r w:rsidRPr="006E3C5C">
              <w:rPr>
                <w:rFonts w:cstheme="minorHAnsi"/>
              </w:rPr>
              <w:t>program officers</w:t>
            </w:r>
            <w:r>
              <w:rPr>
                <w:rFonts w:cstheme="minorHAnsi"/>
              </w:rPr>
              <w:t>,</w:t>
            </w:r>
            <w:r w:rsidR="008453DD">
              <w:rPr>
                <w:rFonts w:cstheme="minorHAnsi"/>
              </w:rPr>
              <w:t xml:space="preserve"> </w:t>
            </w:r>
            <w:r>
              <w:rPr>
                <w:rFonts w:cstheme="minorHAnsi"/>
              </w:rPr>
              <w:t xml:space="preserve">data officer, </w:t>
            </w:r>
            <w:r w:rsidRPr="006E3C5C">
              <w:rPr>
                <w:rFonts w:cstheme="minorHAnsi"/>
              </w:rPr>
              <w:t xml:space="preserve">finance officer, </w:t>
            </w:r>
            <w:r>
              <w:rPr>
                <w:rFonts w:cstheme="minorHAnsi"/>
              </w:rPr>
              <w:t xml:space="preserve">finance assistant, </w:t>
            </w:r>
            <w:r w:rsidRPr="006E3C5C">
              <w:rPr>
                <w:rFonts w:cstheme="minorHAnsi"/>
              </w:rPr>
              <w:t>administration</w:t>
            </w:r>
            <w:r>
              <w:rPr>
                <w:rFonts w:cstheme="minorHAnsi"/>
              </w:rPr>
              <w:t xml:space="preserve"> and youth officer. </w:t>
            </w:r>
          </w:p>
          <w:p w14:paraId="4210D9D7" w14:textId="77777777" w:rsidR="000221AD" w:rsidRDefault="000221AD" w:rsidP="000221AD">
            <w:pPr>
              <w:pStyle w:val="ListParagraph"/>
              <w:numPr>
                <w:ilvl w:val="0"/>
                <w:numId w:val="38"/>
              </w:numPr>
              <w:spacing w:after="0" w:line="240" w:lineRule="auto"/>
              <w:contextualSpacing/>
              <w:rPr>
                <w:rFonts w:cstheme="minorHAnsi"/>
              </w:rPr>
            </w:pPr>
            <w:r>
              <w:rPr>
                <w:rFonts w:cstheme="minorHAnsi"/>
              </w:rPr>
              <w:t xml:space="preserve">3 Mobile </w:t>
            </w:r>
            <w:r w:rsidRPr="00F631D2">
              <w:rPr>
                <w:rFonts w:cstheme="minorHAnsi"/>
              </w:rPr>
              <w:t>Outreach Clinic</w:t>
            </w:r>
            <w:r>
              <w:rPr>
                <w:rFonts w:cstheme="minorHAnsi"/>
              </w:rPr>
              <w:t xml:space="preserve"> teams</w:t>
            </w:r>
          </w:p>
          <w:p w14:paraId="1B81E214" w14:textId="77777777" w:rsidR="000221AD" w:rsidRPr="00F631D2" w:rsidRDefault="000221AD" w:rsidP="000221AD">
            <w:pPr>
              <w:pStyle w:val="ListParagraph"/>
              <w:numPr>
                <w:ilvl w:val="0"/>
                <w:numId w:val="38"/>
              </w:numPr>
              <w:spacing w:after="0" w:line="240" w:lineRule="auto"/>
              <w:contextualSpacing/>
              <w:rPr>
                <w:rFonts w:cstheme="minorHAnsi"/>
              </w:rPr>
            </w:pPr>
            <w:r>
              <w:rPr>
                <w:rFonts w:cstheme="minorHAnsi"/>
              </w:rPr>
              <w:lastRenderedPageBreak/>
              <w:t xml:space="preserve">Provision of 42 SRH services – mapped against IPPF 225 coded services from Family Planning, HIV/STI, </w:t>
            </w:r>
            <w:proofErr w:type="spellStart"/>
            <w:r>
              <w:rPr>
                <w:rFonts w:cstheme="minorHAnsi"/>
              </w:rPr>
              <w:t>Gynaecology</w:t>
            </w:r>
            <w:proofErr w:type="spellEnd"/>
            <w:r>
              <w:rPr>
                <w:rFonts w:cstheme="minorHAnsi"/>
              </w:rPr>
              <w:t xml:space="preserve">, Antenatal etc. </w:t>
            </w:r>
          </w:p>
          <w:p w14:paraId="60CACBFE" w14:textId="77777777" w:rsidR="000221AD" w:rsidRDefault="000221AD" w:rsidP="000221AD">
            <w:pPr>
              <w:pStyle w:val="ListParagraph"/>
              <w:numPr>
                <w:ilvl w:val="0"/>
                <w:numId w:val="38"/>
              </w:numPr>
              <w:spacing w:after="0" w:line="240" w:lineRule="auto"/>
              <w:contextualSpacing/>
              <w:rPr>
                <w:rFonts w:cstheme="minorHAnsi"/>
              </w:rPr>
            </w:pPr>
            <w:r w:rsidRPr="00D407F6">
              <w:rPr>
                <w:rFonts w:cstheme="minorHAnsi"/>
              </w:rPr>
              <w:t xml:space="preserve">Community Sexuality Education and awareness programs: with PWD, </w:t>
            </w:r>
            <w:r>
              <w:rPr>
                <w:rFonts w:cstheme="minorHAnsi"/>
              </w:rPr>
              <w:t>Hotel workers</w:t>
            </w:r>
            <w:r w:rsidRPr="00D407F6">
              <w:rPr>
                <w:rFonts w:cstheme="minorHAnsi"/>
              </w:rPr>
              <w:t xml:space="preserve">, </w:t>
            </w:r>
            <w:r>
              <w:rPr>
                <w:rFonts w:cstheme="minorHAnsi"/>
              </w:rPr>
              <w:t xml:space="preserve">foreign workers, </w:t>
            </w:r>
            <w:r w:rsidRPr="00D407F6">
              <w:rPr>
                <w:rFonts w:cstheme="minorHAnsi"/>
              </w:rPr>
              <w:t>LGBT</w:t>
            </w:r>
            <w:r>
              <w:rPr>
                <w:rFonts w:cstheme="minorHAnsi"/>
              </w:rPr>
              <w:t>Q</w:t>
            </w:r>
            <w:r w:rsidRPr="00D407F6">
              <w:rPr>
                <w:rFonts w:cstheme="minorHAnsi"/>
              </w:rPr>
              <w:t>I communities</w:t>
            </w:r>
            <w:r>
              <w:rPr>
                <w:rFonts w:cstheme="minorHAnsi"/>
              </w:rPr>
              <w:t xml:space="preserve">, </w:t>
            </w:r>
            <w:r w:rsidRPr="00D407F6">
              <w:rPr>
                <w:rFonts w:cstheme="minorHAnsi"/>
              </w:rPr>
              <w:t>young people,</w:t>
            </w:r>
            <w:r>
              <w:rPr>
                <w:rFonts w:cstheme="minorHAnsi"/>
              </w:rPr>
              <w:t xml:space="preserve"> and </w:t>
            </w:r>
            <w:r w:rsidRPr="00D407F6">
              <w:rPr>
                <w:rFonts w:cstheme="minorHAnsi"/>
              </w:rPr>
              <w:t xml:space="preserve">sex workers. </w:t>
            </w:r>
          </w:p>
          <w:p w14:paraId="5F00A7FD" w14:textId="77777777" w:rsidR="000221AD" w:rsidRDefault="000221AD" w:rsidP="000221AD">
            <w:pPr>
              <w:pStyle w:val="ListParagraph"/>
              <w:numPr>
                <w:ilvl w:val="0"/>
                <w:numId w:val="38"/>
              </w:numPr>
              <w:spacing w:after="0" w:line="240" w:lineRule="auto"/>
              <w:contextualSpacing/>
              <w:rPr>
                <w:rFonts w:cstheme="minorHAnsi"/>
              </w:rPr>
            </w:pPr>
            <w:r>
              <w:rPr>
                <w:rFonts w:cstheme="minorHAnsi"/>
              </w:rPr>
              <w:t xml:space="preserve">3 active community-based distributors in three outer islands </w:t>
            </w:r>
          </w:p>
          <w:p w14:paraId="37397126" w14:textId="77777777" w:rsidR="000221AD" w:rsidRPr="00851B21" w:rsidRDefault="000221AD" w:rsidP="000221AD">
            <w:pPr>
              <w:pStyle w:val="ListParagraph"/>
              <w:numPr>
                <w:ilvl w:val="0"/>
                <w:numId w:val="38"/>
              </w:numPr>
              <w:spacing w:after="0" w:line="240" w:lineRule="auto"/>
              <w:contextualSpacing/>
              <w:rPr>
                <w:rFonts w:cstheme="minorHAnsi"/>
              </w:rPr>
            </w:pPr>
            <w:r>
              <w:rPr>
                <w:rFonts w:cstheme="minorHAnsi"/>
              </w:rPr>
              <w:t xml:space="preserve">36 active volunteers. </w:t>
            </w:r>
          </w:p>
          <w:p w14:paraId="31B68949" w14:textId="77777777" w:rsidR="000221AD" w:rsidRPr="00AD7FA6" w:rsidRDefault="000221AD" w:rsidP="000221AD">
            <w:pPr>
              <w:pStyle w:val="ListParagraph"/>
              <w:numPr>
                <w:ilvl w:val="0"/>
                <w:numId w:val="38"/>
              </w:numPr>
              <w:spacing w:after="0" w:line="240" w:lineRule="auto"/>
              <w:contextualSpacing/>
              <w:rPr>
                <w:rFonts w:cstheme="minorHAnsi"/>
                <w:b/>
                <w:bCs/>
              </w:rPr>
            </w:pPr>
            <w:r w:rsidRPr="00AD7FA6">
              <w:rPr>
                <w:rFonts w:cstheme="minorHAnsi"/>
                <w:color w:val="050505"/>
                <w:shd w:val="clear" w:color="auto" w:fill="FFFFFF"/>
              </w:rPr>
              <w:t>SFHA is the leading SRH NGO in Samoa, providing antenatal care, STI testing, counselling and treatment, family planning services and SRH education and awareness programs to schools, churches and the community; programs and services run across all inhabited islands; advocate at national and community levels for the inclusion of SRHR in policies and programs.</w:t>
            </w:r>
          </w:p>
          <w:p w14:paraId="42BD7E20" w14:textId="77777777" w:rsidR="000221AD" w:rsidRPr="00851B21" w:rsidRDefault="000221AD" w:rsidP="000221AD">
            <w:pPr>
              <w:pStyle w:val="ListParagraph"/>
              <w:numPr>
                <w:ilvl w:val="0"/>
                <w:numId w:val="38"/>
              </w:numPr>
              <w:spacing w:after="0" w:line="240" w:lineRule="auto"/>
              <w:contextualSpacing/>
              <w:rPr>
                <w:rFonts w:cstheme="minorHAnsi"/>
              </w:rPr>
            </w:pPr>
            <w:r w:rsidRPr="00851B21">
              <w:rPr>
                <w:rFonts w:cstheme="minorHAnsi"/>
              </w:rPr>
              <w:t>Youth program - volunteers, peer educators (30% of clients are YP)</w:t>
            </w:r>
          </w:p>
          <w:p w14:paraId="7A9C6BD6" w14:textId="77777777" w:rsidR="000221AD" w:rsidRPr="00851B21" w:rsidRDefault="000221AD" w:rsidP="000221AD">
            <w:pPr>
              <w:pStyle w:val="ListParagraph"/>
              <w:numPr>
                <w:ilvl w:val="0"/>
                <w:numId w:val="38"/>
              </w:numPr>
              <w:spacing w:after="0" w:line="240" w:lineRule="auto"/>
              <w:contextualSpacing/>
              <w:rPr>
                <w:rFonts w:cstheme="minorHAnsi"/>
              </w:rPr>
            </w:pPr>
            <w:r w:rsidRPr="00851B21">
              <w:rPr>
                <w:rFonts w:cstheme="minorHAnsi"/>
              </w:rPr>
              <w:t>Outreach to 41 villages planned in partnership with MOH; visits are planned to coincide with women’s contraceptive cycles.</w:t>
            </w:r>
          </w:p>
          <w:p w14:paraId="5DE1E541" w14:textId="77777777" w:rsidR="000221AD" w:rsidRPr="00851B21" w:rsidRDefault="000221AD" w:rsidP="000221AD">
            <w:pPr>
              <w:pStyle w:val="ListParagraph"/>
              <w:numPr>
                <w:ilvl w:val="0"/>
                <w:numId w:val="38"/>
              </w:numPr>
              <w:spacing w:after="0" w:line="240" w:lineRule="auto"/>
              <w:contextualSpacing/>
              <w:rPr>
                <w:rFonts w:cstheme="minorHAnsi"/>
              </w:rPr>
            </w:pPr>
            <w:r w:rsidRPr="00851B21">
              <w:rPr>
                <w:rFonts w:cstheme="minorHAnsi"/>
              </w:rPr>
              <w:t xml:space="preserve">IEC resource development – includes BCC - modern youth messaging using AVI. </w:t>
            </w:r>
            <w:r>
              <w:rPr>
                <w:rFonts w:cstheme="minorHAnsi"/>
              </w:rPr>
              <w:t xml:space="preserve">During the COVID 19 situation due to restrictions, SFHA had used social media platforms and TV and radio </w:t>
            </w:r>
            <w:r w:rsidR="009237DE">
              <w:rPr>
                <w:rFonts w:cstheme="minorHAnsi"/>
              </w:rPr>
              <w:t>to</w:t>
            </w:r>
            <w:r>
              <w:rPr>
                <w:rFonts w:cstheme="minorHAnsi"/>
              </w:rPr>
              <w:t xml:space="preserve"> reach as many people as possible to access SRH services at their clinics. </w:t>
            </w:r>
          </w:p>
          <w:p w14:paraId="3E24D9D6" w14:textId="77777777" w:rsidR="000221AD" w:rsidRPr="008F6FCF" w:rsidRDefault="000221AD" w:rsidP="000221AD">
            <w:pPr>
              <w:pStyle w:val="ListParagraph"/>
              <w:numPr>
                <w:ilvl w:val="0"/>
                <w:numId w:val="38"/>
              </w:numPr>
              <w:spacing w:after="0" w:line="240" w:lineRule="auto"/>
              <w:contextualSpacing/>
              <w:rPr>
                <w:rFonts w:cstheme="minorHAnsi"/>
              </w:rPr>
            </w:pPr>
            <w:r w:rsidRPr="008F6FCF">
              <w:rPr>
                <w:rFonts w:cstheme="minorHAnsi"/>
              </w:rPr>
              <w:t xml:space="preserve">Integrated program 2-3 times per year when </w:t>
            </w:r>
            <w:proofErr w:type="spellStart"/>
            <w:r w:rsidRPr="008F6FCF">
              <w:rPr>
                <w:rFonts w:cstheme="minorHAnsi"/>
              </w:rPr>
              <w:t>MoH</w:t>
            </w:r>
            <w:proofErr w:type="spellEnd"/>
            <w:r w:rsidRPr="008F6FCF">
              <w:rPr>
                <w:rFonts w:cstheme="minorHAnsi"/>
              </w:rPr>
              <w:t xml:space="preserve"> and SFHA outreach nurses, MWCSD officers, youth volunteers’ outreach to schools, women's groups in rural Upolu and rural Savaii (one week in each island).</w:t>
            </w:r>
          </w:p>
          <w:p w14:paraId="26C5BDD0" w14:textId="77777777" w:rsidR="000221AD" w:rsidRPr="008F6FCF" w:rsidRDefault="000221AD" w:rsidP="000221AD">
            <w:pPr>
              <w:pStyle w:val="ListParagraph"/>
              <w:numPr>
                <w:ilvl w:val="0"/>
                <w:numId w:val="38"/>
              </w:numPr>
              <w:spacing w:after="0" w:line="240" w:lineRule="auto"/>
              <w:contextualSpacing/>
              <w:rPr>
                <w:rFonts w:cstheme="minorHAnsi"/>
                <w:b/>
              </w:rPr>
            </w:pPr>
            <w:proofErr w:type="spellStart"/>
            <w:r w:rsidRPr="008F6FCF">
              <w:rPr>
                <w:rFonts w:cstheme="minorHAnsi"/>
              </w:rPr>
              <w:t>MoH</w:t>
            </w:r>
            <w:proofErr w:type="spellEnd"/>
            <w:r w:rsidRPr="008F6FCF">
              <w:rPr>
                <w:rFonts w:cstheme="minorHAnsi"/>
              </w:rPr>
              <w:t xml:space="preserve"> and SFHA nurses jointly outreach to rural health facilities to </w:t>
            </w:r>
            <w:r w:rsidRPr="008F6FCF">
              <w:rPr>
                <w:rFonts w:cstheme="minorHAnsi"/>
              </w:rPr>
              <w:lastRenderedPageBreak/>
              <w:t>evaluate training of nurses and midwives, including LARC training.</w:t>
            </w:r>
          </w:p>
          <w:p w14:paraId="0B0F8A97" w14:textId="77777777" w:rsidR="000221AD" w:rsidRPr="00C10450" w:rsidRDefault="000221AD" w:rsidP="0081036B">
            <w:pPr>
              <w:rPr>
                <w:rFonts w:cstheme="minorHAnsi"/>
              </w:rPr>
            </w:pPr>
            <w:r w:rsidRPr="00C10450">
              <w:rPr>
                <w:rFonts w:cstheme="minorHAnsi"/>
              </w:rPr>
              <w:t>SFHA Impact Project managed by DFAT Post, Apia:</w:t>
            </w:r>
          </w:p>
          <w:p w14:paraId="6E4474E8" w14:textId="77777777" w:rsidR="000221AD" w:rsidRPr="00D3058E" w:rsidRDefault="000221AD" w:rsidP="0081036B">
            <w:pPr>
              <w:autoSpaceDE w:val="0"/>
              <w:autoSpaceDN w:val="0"/>
              <w:adjustRightInd w:val="0"/>
              <w:rPr>
                <w:rFonts w:cstheme="minorHAnsi"/>
                <w:color w:val="000000"/>
              </w:rPr>
            </w:pPr>
            <w:r w:rsidRPr="00D3058E">
              <w:rPr>
                <w:rFonts w:cstheme="minorHAnsi"/>
                <w:b/>
                <w:bCs/>
                <w:color w:val="000000"/>
              </w:rPr>
              <w:t xml:space="preserve">Indicators </w:t>
            </w:r>
            <w:r w:rsidRPr="00D3058E">
              <w:rPr>
                <w:rFonts w:cstheme="minorHAnsi"/>
                <w:color w:val="000000"/>
              </w:rPr>
              <w:t xml:space="preserve">to measure progress towards this goal include: </w:t>
            </w:r>
          </w:p>
          <w:p w14:paraId="5345CF02" w14:textId="77777777" w:rsidR="000221AD" w:rsidRPr="00D3058E" w:rsidRDefault="000221AD" w:rsidP="000221AD">
            <w:pPr>
              <w:pStyle w:val="ListParagraph"/>
              <w:numPr>
                <w:ilvl w:val="0"/>
                <w:numId w:val="34"/>
              </w:numPr>
              <w:autoSpaceDE w:val="0"/>
              <w:autoSpaceDN w:val="0"/>
              <w:adjustRightInd w:val="0"/>
              <w:spacing w:after="45" w:line="240" w:lineRule="auto"/>
              <w:contextualSpacing/>
              <w:rPr>
                <w:rFonts w:cstheme="minorHAnsi"/>
                <w:color w:val="000000"/>
              </w:rPr>
            </w:pPr>
            <w:r w:rsidRPr="00D3058E">
              <w:rPr>
                <w:rFonts w:cstheme="minorHAnsi"/>
                <w:color w:val="000000"/>
              </w:rPr>
              <w:t xml:space="preserve">Contribute to increasing </w:t>
            </w:r>
            <w:r w:rsidRPr="00D3058E">
              <w:rPr>
                <w:rFonts w:cstheme="minorHAnsi"/>
                <w:b/>
                <w:bCs/>
                <w:color w:val="000000"/>
              </w:rPr>
              <w:t xml:space="preserve">CPR </w:t>
            </w:r>
            <w:r w:rsidRPr="00D3058E">
              <w:rPr>
                <w:rFonts w:cstheme="minorHAnsi"/>
                <w:color w:val="000000"/>
              </w:rPr>
              <w:t xml:space="preserve">by End of Project (EOP)/2021 </w:t>
            </w:r>
          </w:p>
          <w:p w14:paraId="38235AC4" w14:textId="77777777" w:rsidR="000221AD" w:rsidRPr="00D3058E" w:rsidRDefault="000221AD" w:rsidP="000221AD">
            <w:pPr>
              <w:pStyle w:val="ListParagraph"/>
              <w:numPr>
                <w:ilvl w:val="0"/>
                <w:numId w:val="34"/>
              </w:numPr>
              <w:autoSpaceDE w:val="0"/>
              <w:autoSpaceDN w:val="0"/>
              <w:adjustRightInd w:val="0"/>
              <w:spacing w:after="45" w:line="240" w:lineRule="auto"/>
              <w:contextualSpacing/>
              <w:rPr>
                <w:rFonts w:cstheme="minorHAnsi"/>
                <w:color w:val="000000"/>
              </w:rPr>
            </w:pPr>
            <w:r w:rsidRPr="00D3058E">
              <w:rPr>
                <w:rFonts w:cstheme="minorHAnsi"/>
                <w:color w:val="000000"/>
              </w:rPr>
              <w:t xml:space="preserve">Contribute to reducing </w:t>
            </w:r>
            <w:r w:rsidRPr="00D3058E">
              <w:rPr>
                <w:rFonts w:cstheme="minorHAnsi"/>
                <w:b/>
                <w:bCs/>
                <w:color w:val="000000"/>
              </w:rPr>
              <w:t xml:space="preserve">unmet need </w:t>
            </w:r>
            <w:r w:rsidRPr="00D3058E">
              <w:rPr>
                <w:rFonts w:cstheme="minorHAnsi"/>
                <w:color w:val="000000"/>
              </w:rPr>
              <w:t>for family planning by EOP/</w:t>
            </w:r>
            <w:proofErr w:type="gramStart"/>
            <w:r w:rsidRPr="00D3058E">
              <w:rPr>
                <w:rFonts w:cstheme="minorHAnsi"/>
                <w:color w:val="000000"/>
              </w:rPr>
              <w:t>2021</w:t>
            </w:r>
            <w:proofErr w:type="gramEnd"/>
            <w:r w:rsidRPr="00D3058E">
              <w:rPr>
                <w:rFonts w:cstheme="minorHAnsi"/>
                <w:color w:val="000000"/>
              </w:rPr>
              <w:t xml:space="preserve"> </w:t>
            </w:r>
          </w:p>
          <w:p w14:paraId="3F5DDF47" w14:textId="77777777" w:rsidR="000221AD" w:rsidRPr="00D3058E" w:rsidRDefault="000221AD" w:rsidP="000221AD">
            <w:pPr>
              <w:pStyle w:val="ListParagraph"/>
              <w:numPr>
                <w:ilvl w:val="0"/>
                <w:numId w:val="34"/>
              </w:numPr>
              <w:autoSpaceDE w:val="0"/>
              <w:autoSpaceDN w:val="0"/>
              <w:adjustRightInd w:val="0"/>
              <w:spacing w:after="45" w:line="240" w:lineRule="auto"/>
              <w:contextualSpacing/>
              <w:rPr>
                <w:rFonts w:cstheme="minorHAnsi"/>
                <w:color w:val="000000"/>
              </w:rPr>
            </w:pPr>
            <w:r w:rsidRPr="00D3058E">
              <w:rPr>
                <w:rFonts w:cstheme="minorHAnsi"/>
                <w:color w:val="000000"/>
              </w:rPr>
              <w:t xml:space="preserve">Contribute to reducing </w:t>
            </w:r>
            <w:r w:rsidRPr="00D3058E">
              <w:rPr>
                <w:rFonts w:cstheme="minorHAnsi"/>
                <w:b/>
                <w:bCs/>
                <w:color w:val="000000"/>
              </w:rPr>
              <w:t xml:space="preserve">TFR </w:t>
            </w:r>
            <w:r w:rsidRPr="00D3058E">
              <w:rPr>
                <w:rFonts w:cstheme="minorHAnsi"/>
                <w:color w:val="000000"/>
              </w:rPr>
              <w:t xml:space="preserve">by EOP/2021 </w:t>
            </w:r>
          </w:p>
          <w:p w14:paraId="0F4B8AFA" w14:textId="77777777" w:rsidR="000221AD" w:rsidRPr="00D3058E" w:rsidRDefault="000221AD" w:rsidP="000221AD">
            <w:pPr>
              <w:pStyle w:val="ListParagraph"/>
              <w:numPr>
                <w:ilvl w:val="0"/>
                <w:numId w:val="34"/>
              </w:numPr>
              <w:autoSpaceDE w:val="0"/>
              <w:autoSpaceDN w:val="0"/>
              <w:adjustRightInd w:val="0"/>
              <w:spacing w:after="45" w:line="240" w:lineRule="auto"/>
              <w:contextualSpacing/>
              <w:rPr>
                <w:rFonts w:cstheme="minorHAnsi"/>
                <w:color w:val="000000"/>
              </w:rPr>
            </w:pPr>
            <w:r w:rsidRPr="00D3058E">
              <w:rPr>
                <w:rFonts w:cstheme="minorHAnsi"/>
                <w:color w:val="000000"/>
              </w:rPr>
              <w:t xml:space="preserve">Contribute to reducing </w:t>
            </w:r>
            <w:r w:rsidRPr="00D3058E">
              <w:rPr>
                <w:rFonts w:cstheme="minorHAnsi"/>
                <w:b/>
                <w:bCs/>
                <w:color w:val="000000"/>
              </w:rPr>
              <w:t xml:space="preserve">ASFR </w:t>
            </w:r>
            <w:r w:rsidRPr="00D3058E">
              <w:rPr>
                <w:rFonts w:cstheme="minorHAnsi"/>
                <w:color w:val="000000"/>
              </w:rPr>
              <w:t xml:space="preserve">by EOP/2021 </w:t>
            </w:r>
          </w:p>
          <w:p w14:paraId="601F46AD" w14:textId="77777777" w:rsidR="000221AD" w:rsidRPr="00136C42" w:rsidRDefault="000221AD" w:rsidP="000221AD">
            <w:pPr>
              <w:pStyle w:val="ListParagraph"/>
              <w:numPr>
                <w:ilvl w:val="0"/>
                <w:numId w:val="34"/>
              </w:numPr>
              <w:spacing w:after="0" w:line="240" w:lineRule="auto"/>
              <w:contextualSpacing/>
              <w:rPr>
                <w:rFonts w:cstheme="minorHAnsi"/>
              </w:rPr>
            </w:pPr>
            <w:r w:rsidRPr="00D3058E">
              <w:rPr>
                <w:rFonts w:cstheme="minorHAnsi"/>
                <w:color w:val="000000"/>
              </w:rPr>
              <w:t xml:space="preserve">Contribute to reducing </w:t>
            </w:r>
            <w:r w:rsidRPr="00D3058E">
              <w:rPr>
                <w:rFonts w:cstheme="minorHAnsi"/>
                <w:b/>
                <w:bCs/>
                <w:color w:val="000000"/>
              </w:rPr>
              <w:t xml:space="preserve">MMR </w:t>
            </w:r>
            <w:r w:rsidRPr="00D3058E">
              <w:rPr>
                <w:rFonts w:cstheme="minorHAnsi"/>
                <w:color w:val="000000"/>
              </w:rPr>
              <w:t>by EOP/2021</w:t>
            </w:r>
          </w:p>
          <w:p w14:paraId="2AE73AFB" w14:textId="77777777" w:rsidR="000221AD" w:rsidRDefault="000221AD" w:rsidP="0081036B">
            <w:pPr>
              <w:rPr>
                <w:rFonts w:cstheme="minorHAnsi"/>
              </w:rPr>
            </w:pPr>
          </w:p>
          <w:p w14:paraId="03CE8AC0" w14:textId="77777777" w:rsidR="000221AD" w:rsidRPr="00136C42" w:rsidRDefault="000221AD" w:rsidP="0081036B">
            <w:pPr>
              <w:rPr>
                <w:rFonts w:cstheme="minorHAnsi"/>
              </w:rPr>
            </w:pPr>
            <w:r>
              <w:rPr>
                <w:rFonts w:cstheme="minorHAnsi"/>
              </w:rPr>
              <w:t xml:space="preserve">No. of SDPs: 3 static clinics and 3 mobile/outreach clinical team. </w:t>
            </w:r>
          </w:p>
        </w:tc>
      </w:tr>
      <w:tr w:rsidR="000221AD" w:rsidRPr="003E673F" w14:paraId="6F1230EA" w14:textId="77777777" w:rsidTr="008453DD">
        <w:tc>
          <w:tcPr>
            <w:tcW w:w="881" w:type="pct"/>
          </w:tcPr>
          <w:p w14:paraId="0FF51413" w14:textId="77777777" w:rsidR="000221AD" w:rsidRPr="000F14D5" w:rsidRDefault="000221AD" w:rsidP="0081036B">
            <w:pPr>
              <w:rPr>
                <w:rFonts w:cstheme="minorHAnsi"/>
                <w:b/>
                <w:bCs/>
              </w:rPr>
            </w:pPr>
            <w:r w:rsidRPr="000F14D5">
              <w:rPr>
                <w:rFonts w:cstheme="minorHAnsi"/>
                <w:b/>
                <w:bCs/>
              </w:rPr>
              <w:lastRenderedPageBreak/>
              <w:t>Solomon Islands</w:t>
            </w:r>
          </w:p>
        </w:tc>
        <w:tc>
          <w:tcPr>
            <w:tcW w:w="2103" w:type="pct"/>
          </w:tcPr>
          <w:p w14:paraId="480FCD61" w14:textId="77777777" w:rsidR="000221AD" w:rsidRPr="00442F7E" w:rsidRDefault="000221AD" w:rsidP="008453DD">
            <w:pPr>
              <w:pStyle w:val="NoSpacing"/>
            </w:pPr>
            <w:r w:rsidRPr="00442F7E">
              <w:rPr>
                <w:b/>
              </w:rPr>
              <w:t>National Development Strategy 2016-2035, April 2016</w:t>
            </w:r>
          </w:p>
          <w:p w14:paraId="2146F016" w14:textId="77777777" w:rsidR="000221AD" w:rsidRPr="00442F7E" w:rsidRDefault="000221AD" w:rsidP="008453DD">
            <w:pPr>
              <w:pStyle w:val="NoSpacing"/>
            </w:pPr>
            <w:r w:rsidRPr="00442F7E">
              <w:t>This strategy aims to improve social and economic livelihoods for all Solomon Islanders. Relevant sections include:</w:t>
            </w:r>
          </w:p>
          <w:p w14:paraId="39753A68" w14:textId="77777777" w:rsidR="000221AD" w:rsidRPr="00442F7E" w:rsidRDefault="000221AD" w:rsidP="008453DD">
            <w:pPr>
              <w:pStyle w:val="NoSpacing"/>
            </w:pPr>
            <w:r w:rsidRPr="00442F7E">
              <w:t xml:space="preserve">- improving access to health and family planning services particularly for the poor in rural areas where IMR and CMR are high. </w:t>
            </w:r>
          </w:p>
          <w:p w14:paraId="614E8D62" w14:textId="77777777" w:rsidR="000221AD" w:rsidRPr="00442F7E" w:rsidRDefault="000221AD" w:rsidP="008453DD">
            <w:pPr>
              <w:pStyle w:val="NoSpacing"/>
            </w:pPr>
            <w:r w:rsidRPr="00442F7E">
              <w:t>- improving gender equity and support for disadvantaged and vulnerable, and addressing GBV.</w:t>
            </w:r>
          </w:p>
          <w:p w14:paraId="1D92CE22" w14:textId="77777777" w:rsidR="000221AD" w:rsidRPr="00442F7E" w:rsidRDefault="000221AD" w:rsidP="008453DD">
            <w:pPr>
              <w:pStyle w:val="NoSpacing"/>
            </w:pPr>
            <w:r w:rsidRPr="00442F7E">
              <w:t>- ensuring all S</w:t>
            </w:r>
            <w:r w:rsidR="009237DE">
              <w:t xml:space="preserve">olomon Islanders </w:t>
            </w:r>
            <w:r w:rsidRPr="00442F7E">
              <w:t>have equitable access to quality health centres; and combat communicable and NCDs.</w:t>
            </w:r>
          </w:p>
          <w:p w14:paraId="23FAA68D" w14:textId="77777777" w:rsidR="000221AD" w:rsidRPr="00442F7E" w:rsidRDefault="000221AD" w:rsidP="008453DD">
            <w:pPr>
              <w:pStyle w:val="NoSpacing"/>
            </w:pPr>
            <w:r w:rsidRPr="00442F7E">
              <w:t>Priority policies and programs include:</w:t>
            </w:r>
          </w:p>
          <w:p w14:paraId="61D42B8A" w14:textId="77777777" w:rsidR="000221AD" w:rsidRPr="00442F7E" w:rsidRDefault="000221AD" w:rsidP="008453DD">
            <w:pPr>
              <w:pStyle w:val="NoSpacing"/>
            </w:pPr>
            <w:r w:rsidRPr="00442F7E">
              <w:t>- improved MCH across all provinces through use of LARCs, counselling and FP training</w:t>
            </w:r>
          </w:p>
          <w:p w14:paraId="23972F71" w14:textId="77777777" w:rsidR="000221AD" w:rsidRPr="00442F7E" w:rsidRDefault="000221AD" w:rsidP="008453DD">
            <w:pPr>
              <w:pStyle w:val="NoSpacing"/>
              <w:rPr>
                <w:b/>
              </w:rPr>
            </w:pPr>
            <w:r w:rsidRPr="00442F7E">
              <w:t xml:space="preserve">- strengthened health worker, peer educator and teachers' competency on adolescent health issues and provision of youth-friendly spaces.    </w:t>
            </w:r>
          </w:p>
          <w:p w14:paraId="7A03C183" w14:textId="77777777" w:rsidR="000221AD" w:rsidRPr="00442F7E" w:rsidRDefault="000221AD" w:rsidP="008453DD">
            <w:pPr>
              <w:pStyle w:val="NoSpacing"/>
              <w:rPr>
                <w:b/>
              </w:rPr>
            </w:pPr>
          </w:p>
          <w:p w14:paraId="7D23B905" w14:textId="77777777" w:rsidR="000221AD" w:rsidRPr="00442F7E" w:rsidRDefault="000221AD" w:rsidP="008453DD">
            <w:pPr>
              <w:pStyle w:val="NoSpacing"/>
              <w:rPr>
                <w:b/>
              </w:rPr>
            </w:pPr>
            <w:r w:rsidRPr="00442F7E">
              <w:rPr>
                <w:b/>
              </w:rPr>
              <w:t xml:space="preserve">National Strategic Health Plan 2016-2020. </w:t>
            </w:r>
          </w:p>
          <w:p w14:paraId="5E7DED86" w14:textId="77777777" w:rsidR="000221AD" w:rsidRPr="00442F7E" w:rsidRDefault="000221AD" w:rsidP="008453DD">
            <w:pPr>
              <w:pStyle w:val="NoSpacing"/>
            </w:pPr>
            <w:r w:rsidRPr="00442F7E">
              <w:t>KRA 1 Improve service coverage.</w:t>
            </w:r>
          </w:p>
          <w:p w14:paraId="200E1F7F" w14:textId="77777777" w:rsidR="000221AD" w:rsidRPr="00442F7E" w:rsidRDefault="000221AD" w:rsidP="008453DD">
            <w:pPr>
              <w:pStyle w:val="NoSpacing"/>
            </w:pPr>
            <w:r w:rsidRPr="00442F7E">
              <w:t xml:space="preserve">KRA2 Build strong partnerships. </w:t>
            </w:r>
          </w:p>
          <w:p w14:paraId="58DB219A" w14:textId="77777777" w:rsidR="000221AD" w:rsidRPr="00442F7E" w:rsidRDefault="000221AD" w:rsidP="008453DD">
            <w:pPr>
              <w:pStyle w:val="NoSpacing"/>
            </w:pPr>
            <w:r w:rsidRPr="00442F7E">
              <w:lastRenderedPageBreak/>
              <w:t xml:space="preserve">KRA 3 Improve service quality. </w:t>
            </w:r>
          </w:p>
          <w:p w14:paraId="69A5024F" w14:textId="77777777" w:rsidR="000221AD" w:rsidRPr="00442F7E" w:rsidRDefault="000221AD" w:rsidP="008453DD">
            <w:pPr>
              <w:pStyle w:val="NoSpacing"/>
            </w:pPr>
            <w:r w:rsidRPr="00442F7E">
              <w:t>KRA4 Lay the foundation for the future.</w:t>
            </w:r>
          </w:p>
          <w:p w14:paraId="7A568A14" w14:textId="77777777" w:rsidR="000221AD" w:rsidRPr="00442F7E" w:rsidRDefault="000221AD" w:rsidP="008453DD">
            <w:pPr>
              <w:pStyle w:val="NoSpacing"/>
            </w:pPr>
            <w:r w:rsidRPr="00442F7E">
              <w:t>Objective 1 Improve family health; Most common contraceptives - 27.3% modern method with TL most common -13.3%;  injectable 8.8%; IUD 2.1%; male sterilisation 0.3%. Fear of using contraception 37%.</w:t>
            </w:r>
          </w:p>
          <w:p w14:paraId="64FC2B5B" w14:textId="77777777" w:rsidR="000221AD" w:rsidRPr="00442F7E" w:rsidRDefault="000221AD" w:rsidP="008453DD">
            <w:pPr>
              <w:pStyle w:val="NoSpacing"/>
            </w:pPr>
            <w:r w:rsidRPr="00442F7E">
              <w:t>Objective 4 Progress Young People's wellbeing.</w:t>
            </w:r>
          </w:p>
          <w:p w14:paraId="39183945" w14:textId="77777777" w:rsidR="000221AD" w:rsidRPr="00442F7E" w:rsidRDefault="000221AD" w:rsidP="008453DD">
            <w:pPr>
              <w:pStyle w:val="NoSpacing"/>
            </w:pPr>
            <w:r w:rsidRPr="00442F7E">
              <w:t xml:space="preserve">Objective 5 Scale up Prevention and care for cervical cancer. </w:t>
            </w:r>
          </w:p>
          <w:p w14:paraId="7159E587" w14:textId="77777777" w:rsidR="000221AD" w:rsidRPr="00442F7E" w:rsidRDefault="000221AD" w:rsidP="008453DD">
            <w:pPr>
              <w:pStyle w:val="NoSpacing"/>
            </w:pPr>
            <w:r w:rsidRPr="00442F7E">
              <w:t>Objective 7 Build strong partnerships.</w:t>
            </w:r>
          </w:p>
          <w:p w14:paraId="20C7679A" w14:textId="77777777" w:rsidR="000221AD" w:rsidRPr="00442F7E" w:rsidRDefault="000221AD" w:rsidP="008453DD">
            <w:pPr>
              <w:pStyle w:val="NoSpacing"/>
            </w:pPr>
            <w:r w:rsidRPr="00442F7E">
              <w:t xml:space="preserve">Underserved populations are on Malaita, Makira, Choiseul and Central provinces. </w:t>
            </w:r>
          </w:p>
          <w:p w14:paraId="1CDE46A7" w14:textId="77777777" w:rsidR="000221AD" w:rsidRPr="00442F7E" w:rsidRDefault="000221AD" w:rsidP="008453DD">
            <w:pPr>
              <w:pStyle w:val="NoSpacing"/>
            </w:pPr>
            <w:r w:rsidRPr="00442F7E">
              <w:t xml:space="preserve">2 priority groups – persons with disability and women exposed to violence and abuse. </w:t>
            </w:r>
          </w:p>
          <w:p w14:paraId="164947FE" w14:textId="77777777" w:rsidR="000221AD" w:rsidRPr="00442F7E" w:rsidRDefault="000221AD" w:rsidP="008453DD">
            <w:pPr>
              <w:pStyle w:val="NoSpacing"/>
            </w:pPr>
            <w:r w:rsidRPr="00442F7E">
              <w:t>Overarching goal is UHC and MHMS now has a Role Delineation Policy.</w:t>
            </w:r>
          </w:p>
          <w:p w14:paraId="145B8E27" w14:textId="77777777" w:rsidR="000221AD" w:rsidRPr="00442F7E" w:rsidRDefault="000221AD" w:rsidP="008453DD">
            <w:pPr>
              <w:pStyle w:val="NoSpacing"/>
              <w:rPr>
                <w:b/>
              </w:rPr>
            </w:pPr>
          </w:p>
          <w:p w14:paraId="17692E76" w14:textId="77777777" w:rsidR="000221AD" w:rsidRPr="00442F7E" w:rsidRDefault="000221AD" w:rsidP="008453DD">
            <w:pPr>
              <w:pStyle w:val="NoSpacing"/>
            </w:pPr>
            <w:r w:rsidRPr="00442F7E">
              <w:rPr>
                <w:b/>
              </w:rPr>
              <w:t xml:space="preserve">Role Delineation Policy: </w:t>
            </w:r>
          </w:p>
          <w:p w14:paraId="39281280" w14:textId="77777777" w:rsidR="000221AD" w:rsidRDefault="000221AD" w:rsidP="008453DD">
            <w:pPr>
              <w:pStyle w:val="NoSpacing"/>
            </w:pPr>
            <w:r w:rsidRPr="00D3058E">
              <w:t xml:space="preserve">UHC as guiding principle; </w:t>
            </w:r>
            <w:r>
              <w:t>packages of services for 6 levels of care:</w:t>
            </w:r>
          </w:p>
          <w:p w14:paraId="515A83BA" w14:textId="77777777" w:rsidR="000221AD" w:rsidRDefault="000221AD" w:rsidP="008453DD">
            <w:pPr>
              <w:pStyle w:val="NoSpacing"/>
            </w:pPr>
            <w:r>
              <w:t>Community centre – FP package</w:t>
            </w:r>
          </w:p>
          <w:p w14:paraId="187C5E80" w14:textId="77777777" w:rsidR="000221AD" w:rsidRDefault="000221AD" w:rsidP="008453DD">
            <w:pPr>
              <w:pStyle w:val="NoSpacing"/>
            </w:pPr>
            <w:r>
              <w:t>Rural Health Centre (RHC) – FP package + RMNCAH, clinical management of rape</w:t>
            </w:r>
          </w:p>
          <w:p w14:paraId="76420580" w14:textId="77777777" w:rsidR="000221AD" w:rsidRDefault="000221AD" w:rsidP="008453DD">
            <w:pPr>
              <w:pStyle w:val="NoSpacing"/>
            </w:pPr>
            <w:r>
              <w:t xml:space="preserve">Area Health Centre (AHC) 1 – RHC package + anaesthetic services, HIV testing &amp; </w:t>
            </w:r>
            <w:proofErr w:type="gramStart"/>
            <w:r>
              <w:t>treatment</w:t>
            </w:r>
            <w:proofErr w:type="gramEnd"/>
          </w:p>
          <w:p w14:paraId="5DD9F7C2" w14:textId="77777777" w:rsidR="000221AD" w:rsidRDefault="000221AD" w:rsidP="008453DD">
            <w:pPr>
              <w:pStyle w:val="NoSpacing"/>
            </w:pPr>
            <w:r>
              <w:t xml:space="preserve">       AHC2 – AHC1 package + medical stores, supervision of RHCs</w:t>
            </w:r>
          </w:p>
          <w:p w14:paraId="0E02BBD9" w14:textId="77777777" w:rsidR="000221AD" w:rsidRPr="00D3058E" w:rsidRDefault="000221AD" w:rsidP="008453DD">
            <w:pPr>
              <w:pStyle w:val="NoSpacing"/>
            </w:pPr>
            <w:r>
              <w:t>Urban HC1 – PHC + spec</w:t>
            </w:r>
            <w:r w:rsidR="001E46B1">
              <w:t>ialist services</w:t>
            </w:r>
          </w:p>
          <w:p w14:paraId="19ED3CAA" w14:textId="77777777" w:rsidR="000221AD" w:rsidRDefault="000221AD" w:rsidP="008453DD">
            <w:pPr>
              <w:pStyle w:val="NoSpacing"/>
              <w:rPr>
                <w:b/>
              </w:rPr>
            </w:pPr>
          </w:p>
          <w:p w14:paraId="3D3D0E84" w14:textId="77777777" w:rsidR="000221AD" w:rsidRPr="00C10450" w:rsidRDefault="000221AD" w:rsidP="008453DD">
            <w:pPr>
              <w:pStyle w:val="NoSpacing"/>
              <w:rPr>
                <w:b/>
              </w:rPr>
            </w:pPr>
            <w:r w:rsidRPr="00C10450">
              <w:rPr>
                <w:b/>
              </w:rPr>
              <w:t xml:space="preserve">FP methods offered: </w:t>
            </w:r>
            <w:r>
              <w:rPr>
                <w:b/>
              </w:rPr>
              <w:t xml:space="preserve"> Pills, condoms, injectables, implants (</w:t>
            </w:r>
            <w:proofErr w:type="spellStart"/>
            <w:r>
              <w:rPr>
                <w:b/>
              </w:rPr>
              <w:t>Jadelle</w:t>
            </w:r>
            <w:proofErr w:type="spellEnd"/>
            <w:r>
              <w:rPr>
                <w:b/>
              </w:rPr>
              <w:t xml:space="preserve">), </w:t>
            </w:r>
            <w:proofErr w:type="gramStart"/>
            <w:r>
              <w:rPr>
                <w:b/>
              </w:rPr>
              <w:t>IUD</w:t>
            </w:r>
            <w:proofErr w:type="gramEnd"/>
          </w:p>
          <w:p w14:paraId="6A629FBD" w14:textId="77777777" w:rsidR="000221AD" w:rsidRPr="00D3058E" w:rsidRDefault="000221AD" w:rsidP="008453DD">
            <w:pPr>
              <w:pStyle w:val="NoSpacing"/>
            </w:pPr>
          </w:p>
          <w:p w14:paraId="649701EE" w14:textId="77777777" w:rsidR="000221AD" w:rsidRDefault="000221AD" w:rsidP="008453DD">
            <w:pPr>
              <w:pStyle w:val="NoSpacing"/>
              <w:rPr>
                <w:b/>
              </w:rPr>
            </w:pPr>
            <w:r>
              <w:rPr>
                <w:rFonts w:cs="Times"/>
                <w:b/>
              </w:rPr>
              <w:t xml:space="preserve">HFRSA assessment results:  Not yet </w:t>
            </w:r>
            <w:proofErr w:type="gramStart"/>
            <w:r>
              <w:rPr>
                <w:rFonts w:cs="Times"/>
                <w:b/>
              </w:rPr>
              <w:t>done</w:t>
            </w:r>
            <w:proofErr w:type="gramEnd"/>
            <w:r w:rsidRPr="00442F7E">
              <w:rPr>
                <w:b/>
              </w:rPr>
              <w:t xml:space="preserve"> </w:t>
            </w:r>
          </w:p>
          <w:p w14:paraId="1031F35C" w14:textId="77777777" w:rsidR="005859EA" w:rsidRDefault="005859EA" w:rsidP="008453DD">
            <w:pPr>
              <w:pStyle w:val="NoSpacing"/>
              <w:rPr>
                <w:b/>
              </w:rPr>
            </w:pPr>
          </w:p>
          <w:p w14:paraId="6751D97A" w14:textId="77777777" w:rsidR="005859EA" w:rsidRDefault="005859EA" w:rsidP="008453DD">
            <w:pPr>
              <w:pStyle w:val="NoSpacing"/>
              <w:rPr>
                <w:b/>
              </w:rPr>
            </w:pPr>
            <w:r>
              <w:rPr>
                <w:b/>
              </w:rPr>
              <w:t>Staffing</w:t>
            </w:r>
            <w:r>
              <w:rPr>
                <w:rStyle w:val="FootnoteReference"/>
                <w:b/>
              </w:rPr>
              <w:footnoteReference w:id="38"/>
            </w:r>
            <w:r>
              <w:rPr>
                <w:b/>
              </w:rPr>
              <w:t>:</w:t>
            </w:r>
          </w:p>
          <w:p w14:paraId="4A10FAFB" w14:textId="77777777" w:rsidR="005859EA" w:rsidRDefault="005859EA" w:rsidP="008453DD">
            <w:pPr>
              <w:pStyle w:val="NoSpacing"/>
              <w:rPr>
                <w:b/>
              </w:rPr>
            </w:pPr>
            <w:r>
              <w:rPr>
                <w:b/>
              </w:rPr>
              <w:t>Nurses – 1,066</w:t>
            </w:r>
          </w:p>
          <w:p w14:paraId="08794AF9" w14:textId="77777777" w:rsidR="005859EA" w:rsidRDefault="005859EA" w:rsidP="008453DD">
            <w:pPr>
              <w:pStyle w:val="NoSpacing"/>
              <w:rPr>
                <w:rFonts w:cs="Times"/>
                <w:b/>
              </w:rPr>
            </w:pPr>
            <w:r>
              <w:rPr>
                <w:rFonts w:cs="Times"/>
                <w:b/>
              </w:rPr>
              <w:t>Midwives – 156</w:t>
            </w:r>
          </w:p>
          <w:p w14:paraId="303DF97E" w14:textId="77777777" w:rsidR="005859EA" w:rsidRPr="00CA024A" w:rsidRDefault="005859EA" w:rsidP="008453DD">
            <w:pPr>
              <w:pStyle w:val="NoSpacing"/>
              <w:rPr>
                <w:rFonts w:cs="Times"/>
                <w:b/>
              </w:rPr>
            </w:pPr>
          </w:p>
        </w:tc>
        <w:tc>
          <w:tcPr>
            <w:tcW w:w="2016" w:type="pct"/>
          </w:tcPr>
          <w:p w14:paraId="549911BE" w14:textId="77777777" w:rsidR="000221AD" w:rsidRPr="00D3058E" w:rsidRDefault="000221AD" w:rsidP="0081036B">
            <w:pPr>
              <w:rPr>
                <w:rFonts w:cstheme="minorHAnsi"/>
                <w:b/>
                <w:bCs/>
              </w:rPr>
            </w:pPr>
            <w:r w:rsidRPr="00D3058E">
              <w:rPr>
                <w:rFonts w:cstheme="minorHAnsi"/>
                <w:b/>
                <w:bCs/>
              </w:rPr>
              <w:lastRenderedPageBreak/>
              <w:t xml:space="preserve">Solomon Islands Planned Parenthood Association (SIPPA) </w:t>
            </w:r>
          </w:p>
          <w:p w14:paraId="0F4A7DFE" w14:textId="77777777" w:rsidR="000221AD" w:rsidRDefault="000221AD" w:rsidP="000221AD">
            <w:pPr>
              <w:pStyle w:val="ListParagraph"/>
              <w:numPr>
                <w:ilvl w:val="0"/>
                <w:numId w:val="38"/>
              </w:numPr>
              <w:spacing w:after="0" w:line="240" w:lineRule="auto"/>
              <w:contextualSpacing/>
              <w:rPr>
                <w:rFonts w:cstheme="minorHAnsi"/>
              </w:rPr>
            </w:pPr>
            <w:r>
              <w:rPr>
                <w:rFonts w:cstheme="minorHAnsi"/>
              </w:rPr>
              <w:t xml:space="preserve">4 static clinics (Honiara, Gizo, Auki and Choiseul). </w:t>
            </w:r>
          </w:p>
          <w:p w14:paraId="37D03631" w14:textId="77777777" w:rsidR="000221AD" w:rsidRPr="00AB1242" w:rsidRDefault="000221AD" w:rsidP="000221AD">
            <w:pPr>
              <w:pStyle w:val="ListParagraph"/>
              <w:numPr>
                <w:ilvl w:val="0"/>
                <w:numId w:val="38"/>
              </w:numPr>
              <w:spacing w:after="0" w:line="240" w:lineRule="auto"/>
              <w:contextualSpacing/>
              <w:rPr>
                <w:rFonts w:cstheme="minorHAnsi"/>
              </w:rPr>
            </w:pPr>
            <w:r>
              <w:rPr>
                <w:rFonts w:cstheme="minorHAnsi"/>
              </w:rPr>
              <w:t xml:space="preserve">Staff includes: </w:t>
            </w:r>
            <w:r w:rsidRPr="006E3C5C">
              <w:rPr>
                <w:rFonts w:cstheme="minorHAnsi"/>
              </w:rPr>
              <w:t xml:space="preserve">ED, </w:t>
            </w:r>
            <w:r>
              <w:rPr>
                <w:rFonts w:cstheme="minorHAnsi"/>
              </w:rPr>
              <w:t xml:space="preserve">9 </w:t>
            </w:r>
            <w:r w:rsidRPr="006E3C5C">
              <w:rPr>
                <w:rFonts w:cstheme="minorHAnsi"/>
              </w:rPr>
              <w:t>nurse</w:t>
            </w:r>
            <w:r>
              <w:rPr>
                <w:rFonts w:cstheme="minorHAnsi"/>
              </w:rPr>
              <w:t>s</w:t>
            </w:r>
            <w:r w:rsidRPr="006E3C5C">
              <w:rPr>
                <w:rFonts w:cstheme="minorHAnsi"/>
              </w:rPr>
              <w:t>,</w:t>
            </w:r>
            <w:r>
              <w:rPr>
                <w:rFonts w:cstheme="minorHAnsi"/>
              </w:rPr>
              <w:t xml:space="preserve"> 1 </w:t>
            </w:r>
            <w:r w:rsidRPr="006E3C5C">
              <w:rPr>
                <w:rFonts w:cstheme="minorHAnsi"/>
              </w:rPr>
              <w:t xml:space="preserve">program manager, </w:t>
            </w:r>
            <w:r>
              <w:rPr>
                <w:rFonts w:cstheme="minorHAnsi"/>
              </w:rPr>
              <w:t xml:space="preserve">3 </w:t>
            </w:r>
            <w:r w:rsidRPr="006E3C5C">
              <w:rPr>
                <w:rFonts w:cstheme="minorHAnsi"/>
              </w:rPr>
              <w:t>program officers</w:t>
            </w:r>
            <w:r>
              <w:rPr>
                <w:rFonts w:cstheme="minorHAnsi"/>
              </w:rPr>
              <w:t>,</w:t>
            </w:r>
            <w:r w:rsidR="001E46B1">
              <w:rPr>
                <w:rFonts w:cstheme="minorHAnsi"/>
              </w:rPr>
              <w:t xml:space="preserve"> </w:t>
            </w:r>
            <w:r>
              <w:rPr>
                <w:rFonts w:cstheme="minorHAnsi"/>
              </w:rPr>
              <w:t xml:space="preserve">data officer, </w:t>
            </w:r>
            <w:r w:rsidRPr="006E3C5C">
              <w:rPr>
                <w:rFonts w:cstheme="minorHAnsi"/>
              </w:rPr>
              <w:t xml:space="preserve">finance officer, </w:t>
            </w:r>
            <w:r>
              <w:rPr>
                <w:rFonts w:cstheme="minorHAnsi"/>
              </w:rPr>
              <w:t xml:space="preserve">finance assistant, </w:t>
            </w:r>
            <w:r w:rsidRPr="006E3C5C">
              <w:rPr>
                <w:rFonts w:cstheme="minorHAnsi"/>
              </w:rPr>
              <w:t>administration,</w:t>
            </w:r>
            <w:r>
              <w:rPr>
                <w:rFonts w:cstheme="minorHAnsi"/>
              </w:rPr>
              <w:t xml:space="preserve"> and youth officer. </w:t>
            </w:r>
          </w:p>
          <w:p w14:paraId="49BBC320" w14:textId="77777777" w:rsidR="000221AD" w:rsidRDefault="000221AD" w:rsidP="000221AD">
            <w:pPr>
              <w:pStyle w:val="ListParagraph"/>
              <w:numPr>
                <w:ilvl w:val="0"/>
                <w:numId w:val="38"/>
              </w:numPr>
              <w:spacing w:after="0" w:line="240" w:lineRule="auto"/>
              <w:contextualSpacing/>
              <w:rPr>
                <w:rFonts w:cstheme="minorHAnsi"/>
              </w:rPr>
            </w:pPr>
            <w:r>
              <w:rPr>
                <w:rFonts w:cstheme="minorHAnsi"/>
              </w:rPr>
              <w:t xml:space="preserve">3 Mobile </w:t>
            </w:r>
            <w:r w:rsidRPr="00F631D2">
              <w:rPr>
                <w:rFonts w:cstheme="minorHAnsi"/>
              </w:rPr>
              <w:t>Outreach Clinic</w:t>
            </w:r>
            <w:r>
              <w:rPr>
                <w:rFonts w:cstheme="minorHAnsi"/>
              </w:rPr>
              <w:t xml:space="preserve"> teams</w:t>
            </w:r>
          </w:p>
          <w:p w14:paraId="43398DD9" w14:textId="77777777" w:rsidR="000221AD" w:rsidRPr="00F631D2" w:rsidRDefault="000221AD" w:rsidP="000221AD">
            <w:pPr>
              <w:pStyle w:val="ListParagraph"/>
              <w:numPr>
                <w:ilvl w:val="0"/>
                <w:numId w:val="38"/>
              </w:numPr>
              <w:spacing w:after="0" w:line="240" w:lineRule="auto"/>
              <w:contextualSpacing/>
              <w:rPr>
                <w:rFonts w:cstheme="minorHAnsi"/>
              </w:rPr>
            </w:pPr>
            <w:r>
              <w:rPr>
                <w:rFonts w:cstheme="minorHAnsi"/>
              </w:rPr>
              <w:t xml:space="preserve">Provision of 55 SRH services – mapped against IPPF 225 coded services from Family Planning, </w:t>
            </w:r>
            <w:proofErr w:type="spellStart"/>
            <w:r>
              <w:rPr>
                <w:rFonts w:cstheme="minorHAnsi"/>
              </w:rPr>
              <w:t>Gynaecology</w:t>
            </w:r>
            <w:proofErr w:type="spellEnd"/>
            <w:r>
              <w:rPr>
                <w:rFonts w:cstheme="minorHAnsi"/>
              </w:rPr>
              <w:t>, Antenatal, urology, HIV/</w:t>
            </w:r>
            <w:r w:rsidRPr="0073491D">
              <w:rPr>
                <w:rFonts w:cstheme="minorHAnsi"/>
              </w:rPr>
              <w:t xml:space="preserve"> STI/RTI checks and treatment, </w:t>
            </w:r>
            <w:proofErr w:type="spellStart"/>
            <w:r w:rsidRPr="0073491D">
              <w:rPr>
                <w:rFonts w:cstheme="minorHAnsi"/>
              </w:rPr>
              <w:t>gynaecological</w:t>
            </w:r>
            <w:proofErr w:type="spellEnd"/>
            <w:r w:rsidRPr="0073491D">
              <w:rPr>
                <w:rFonts w:cstheme="minorHAnsi"/>
              </w:rPr>
              <w:t xml:space="preserve"> care including Pap Smears, GBV screening, counselling</w:t>
            </w:r>
            <w:r>
              <w:rPr>
                <w:rFonts w:cstheme="minorHAnsi"/>
              </w:rPr>
              <w:t xml:space="preserve"> etc. </w:t>
            </w:r>
          </w:p>
          <w:p w14:paraId="120394E7" w14:textId="77777777" w:rsidR="000221AD" w:rsidRDefault="000221AD" w:rsidP="000221AD">
            <w:pPr>
              <w:pStyle w:val="ListParagraph"/>
              <w:numPr>
                <w:ilvl w:val="0"/>
                <w:numId w:val="38"/>
              </w:numPr>
              <w:spacing w:after="0" w:line="240" w:lineRule="auto"/>
              <w:contextualSpacing/>
              <w:rPr>
                <w:rFonts w:cstheme="minorHAnsi"/>
              </w:rPr>
            </w:pPr>
            <w:r w:rsidRPr="00D407F6">
              <w:rPr>
                <w:rFonts w:cstheme="minorHAnsi"/>
              </w:rPr>
              <w:t>Community Sexuality Education and awareness programs: with PWD, LGBT</w:t>
            </w:r>
            <w:r>
              <w:rPr>
                <w:rFonts w:cstheme="minorHAnsi"/>
              </w:rPr>
              <w:t>Q</w:t>
            </w:r>
            <w:r w:rsidRPr="00D407F6">
              <w:rPr>
                <w:rFonts w:cstheme="minorHAnsi"/>
              </w:rPr>
              <w:t>I communities</w:t>
            </w:r>
            <w:r>
              <w:rPr>
                <w:rFonts w:cstheme="minorHAnsi"/>
              </w:rPr>
              <w:t xml:space="preserve">, </w:t>
            </w:r>
            <w:r w:rsidRPr="00D407F6">
              <w:rPr>
                <w:rFonts w:cstheme="minorHAnsi"/>
              </w:rPr>
              <w:t>young people,</w:t>
            </w:r>
            <w:r>
              <w:rPr>
                <w:rFonts w:cstheme="minorHAnsi"/>
              </w:rPr>
              <w:t xml:space="preserve"> and </w:t>
            </w:r>
            <w:r w:rsidRPr="00D407F6">
              <w:rPr>
                <w:rFonts w:cstheme="minorHAnsi"/>
              </w:rPr>
              <w:t xml:space="preserve">sex workers. </w:t>
            </w:r>
          </w:p>
          <w:p w14:paraId="2E7417F1" w14:textId="77777777" w:rsidR="000221AD" w:rsidRDefault="000221AD" w:rsidP="000221AD">
            <w:pPr>
              <w:pStyle w:val="ListParagraph"/>
              <w:numPr>
                <w:ilvl w:val="0"/>
                <w:numId w:val="38"/>
              </w:numPr>
              <w:spacing w:after="0" w:line="240" w:lineRule="auto"/>
              <w:contextualSpacing/>
              <w:rPr>
                <w:rFonts w:cstheme="minorHAnsi"/>
              </w:rPr>
            </w:pPr>
            <w:r>
              <w:rPr>
                <w:rFonts w:cstheme="minorHAnsi"/>
              </w:rPr>
              <w:t xml:space="preserve">10 active community-based distributors in three outer islands </w:t>
            </w:r>
          </w:p>
          <w:p w14:paraId="36C750F8" w14:textId="77777777" w:rsidR="000221AD" w:rsidRPr="00851B21" w:rsidRDefault="000221AD" w:rsidP="000221AD">
            <w:pPr>
              <w:pStyle w:val="ListParagraph"/>
              <w:numPr>
                <w:ilvl w:val="0"/>
                <w:numId w:val="38"/>
              </w:numPr>
              <w:spacing w:after="0" w:line="240" w:lineRule="auto"/>
              <w:contextualSpacing/>
              <w:rPr>
                <w:rFonts w:cstheme="minorHAnsi"/>
              </w:rPr>
            </w:pPr>
            <w:r>
              <w:rPr>
                <w:rFonts w:cstheme="minorHAnsi"/>
              </w:rPr>
              <w:lastRenderedPageBreak/>
              <w:t xml:space="preserve">40 active volunteers.  </w:t>
            </w:r>
          </w:p>
          <w:p w14:paraId="1779FA76" w14:textId="77777777" w:rsidR="000221AD" w:rsidRDefault="000221AD" w:rsidP="0081036B">
            <w:pPr>
              <w:rPr>
                <w:rFonts w:cstheme="minorHAnsi"/>
              </w:rPr>
            </w:pPr>
          </w:p>
          <w:p w14:paraId="3D8A3578" w14:textId="77777777" w:rsidR="000221AD" w:rsidRDefault="000221AD" w:rsidP="0081036B">
            <w:pPr>
              <w:rPr>
                <w:rFonts w:cstheme="minorHAnsi"/>
              </w:rPr>
            </w:pPr>
          </w:p>
          <w:p w14:paraId="7A3203B3" w14:textId="77777777" w:rsidR="000221AD" w:rsidRDefault="000221AD" w:rsidP="0081036B">
            <w:pPr>
              <w:rPr>
                <w:rFonts w:cstheme="minorHAnsi"/>
              </w:rPr>
            </w:pPr>
          </w:p>
          <w:p w14:paraId="6BC4D253" w14:textId="77777777" w:rsidR="000221AD" w:rsidRPr="0073491D" w:rsidRDefault="000221AD" w:rsidP="000221AD">
            <w:pPr>
              <w:pStyle w:val="ListParagraph"/>
              <w:numPr>
                <w:ilvl w:val="0"/>
                <w:numId w:val="38"/>
              </w:numPr>
              <w:spacing w:after="0" w:line="240" w:lineRule="auto"/>
              <w:contextualSpacing/>
              <w:rPr>
                <w:rFonts w:cstheme="minorHAnsi"/>
              </w:rPr>
            </w:pPr>
            <w:r w:rsidRPr="0073491D">
              <w:rPr>
                <w:rFonts w:cstheme="minorHAnsi"/>
              </w:rPr>
              <w:t>Communication - IEC resources on SRH; radio spots</w:t>
            </w:r>
            <w:r>
              <w:rPr>
                <w:rFonts w:cstheme="minorHAnsi"/>
              </w:rPr>
              <w:t xml:space="preserve"> and has produced and distributed short films, songs and clips around SRHR messaging and access to SRHR. </w:t>
            </w:r>
          </w:p>
          <w:p w14:paraId="78C5B45B" w14:textId="77777777" w:rsidR="000221AD" w:rsidRPr="0073491D" w:rsidRDefault="000221AD" w:rsidP="000221AD">
            <w:pPr>
              <w:pStyle w:val="ListParagraph"/>
              <w:numPr>
                <w:ilvl w:val="0"/>
                <w:numId w:val="38"/>
              </w:numPr>
              <w:spacing w:after="0" w:line="240" w:lineRule="auto"/>
              <w:contextualSpacing/>
              <w:rPr>
                <w:rFonts w:cstheme="minorHAnsi"/>
              </w:rPr>
            </w:pPr>
            <w:r>
              <w:rPr>
                <w:rFonts w:cstheme="minorHAnsi"/>
              </w:rPr>
              <w:t xml:space="preserve">SIPPA had had conducted a ‘Safe Abortion Research’ 2018 -2019. </w:t>
            </w:r>
          </w:p>
          <w:p w14:paraId="53A51127" w14:textId="77777777" w:rsidR="000221AD" w:rsidRDefault="000221AD" w:rsidP="0081036B">
            <w:pPr>
              <w:rPr>
                <w:rFonts w:cstheme="minorHAnsi"/>
              </w:rPr>
            </w:pPr>
          </w:p>
          <w:p w14:paraId="7E8FD603" w14:textId="77777777" w:rsidR="000221AD" w:rsidRPr="00A57DBA" w:rsidRDefault="000221AD" w:rsidP="0081036B">
            <w:pPr>
              <w:rPr>
                <w:rFonts w:cstheme="minorHAnsi"/>
              </w:rPr>
            </w:pPr>
            <w:r>
              <w:rPr>
                <w:rFonts w:cstheme="minorHAnsi"/>
              </w:rPr>
              <w:t xml:space="preserve">No. of SDPs: 4 static clinics and 3 mobile/outreach clinical team and 10 </w:t>
            </w:r>
            <w:r w:rsidR="00940D4C">
              <w:rPr>
                <w:rFonts w:cstheme="minorHAnsi"/>
              </w:rPr>
              <w:t>community-based</w:t>
            </w:r>
            <w:r>
              <w:rPr>
                <w:rFonts w:cstheme="minorHAnsi"/>
              </w:rPr>
              <w:t xml:space="preserve"> distributors. </w:t>
            </w:r>
          </w:p>
        </w:tc>
      </w:tr>
      <w:tr w:rsidR="000221AD" w:rsidRPr="005F147C" w14:paraId="6771CD2A" w14:textId="77777777" w:rsidTr="008453DD">
        <w:tc>
          <w:tcPr>
            <w:tcW w:w="881" w:type="pct"/>
          </w:tcPr>
          <w:p w14:paraId="27EB7CB7" w14:textId="77777777" w:rsidR="000221AD" w:rsidRPr="005F147C" w:rsidRDefault="000221AD" w:rsidP="0081036B">
            <w:pPr>
              <w:rPr>
                <w:rFonts w:cstheme="minorHAnsi"/>
                <w:b/>
                <w:bCs/>
              </w:rPr>
            </w:pPr>
            <w:r>
              <w:rPr>
                <w:rFonts w:cstheme="minorHAnsi"/>
                <w:b/>
                <w:bCs/>
              </w:rPr>
              <w:lastRenderedPageBreak/>
              <w:t>Tonga</w:t>
            </w:r>
          </w:p>
        </w:tc>
        <w:tc>
          <w:tcPr>
            <w:tcW w:w="2103" w:type="pct"/>
          </w:tcPr>
          <w:p w14:paraId="101C4E20" w14:textId="77777777" w:rsidR="000221AD" w:rsidRDefault="000221AD" w:rsidP="008453DD">
            <w:pPr>
              <w:pStyle w:val="NoSpacing"/>
            </w:pPr>
            <w:r w:rsidRPr="008453DD">
              <w:rPr>
                <w:b/>
                <w:bCs/>
              </w:rPr>
              <w:t>National Health Strategic Plan</w:t>
            </w:r>
            <w:r w:rsidRPr="005F147C">
              <w:t xml:space="preserve"> 2015-2020</w:t>
            </w:r>
          </w:p>
          <w:p w14:paraId="28EDECB4" w14:textId="77777777" w:rsidR="000221AD" w:rsidRDefault="000221AD" w:rsidP="008453DD">
            <w:pPr>
              <w:pStyle w:val="NoSpacing"/>
            </w:pPr>
            <w:r>
              <w:t>6 key results areas: Service delivery; health workforce; infrastructure, products and technology; leadership and governance; health care finance.</w:t>
            </w:r>
          </w:p>
          <w:p w14:paraId="4A9E8F61" w14:textId="77777777" w:rsidR="000221AD" w:rsidRDefault="000221AD" w:rsidP="008453DD">
            <w:pPr>
              <w:pStyle w:val="NoSpacing"/>
            </w:pPr>
            <w:r>
              <w:t>FP not specifically mentioned.</w:t>
            </w:r>
          </w:p>
          <w:p w14:paraId="3FEF5BD9" w14:textId="77777777" w:rsidR="000221AD" w:rsidRDefault="000221AD" w:rsidP="008453DD">
            <w:pPr>
              <w:pStyle w:val="NoSpacing"/>
            </w:pPr>
          </w:p>
          <w:p w14:paraId="5CA364FA" w14:textId="77777777" w:rsidR="000221AD" w:rsidRDefault="000221AD" w:rsidP="008453DD">
            <w:pPr>
              <w:pStyle w:val="NoSpacing"/>
            </w:pPr>
            <w:r w:rsidRPr="008453DD">
              <w:rPr>
                <w:b/>
                <w:bCs/>
              </w:rPr>
              <w:lastRenderedPageBreak/>
              <w:t>FP methods offered</w:t>
            </w:r>
            <w:r w:rsidRPr="00C10450">
              <w:t>:</w:t>
            </w:r>
            <w:r>
              <w:t xml:space="preserve">  condoms, OCP, IUD, injectable, implant, </w:t>
            </w:r>
            <w:proofErr w:type="gramStart"/>
            <w:r>
              <w:t>EC</w:t>
            </w:r>
            <w:proofErr w:type="gramEnd"/>
          </w:p>
          <w:p w14:paraId="0365C029" w14:textId="77777777" w:rsidR="000221AD" w:rsidRDefault="000221AD" w:rsidP="008453DD">
            <w:pPr>
              <w:pStyle w:val="NoSpacing"/>
            </w:pPr>
          </w:p>
          <w:p w14:paraId="7189A99A" w14:textId="77777777" w:rsidR="000221AD" w:rsidRPr="00A75FFE" w:rsidRDefault="000221AD" w:rsidP="008453DD">
            <w:pPr>
              <w:pStyle w:val="NoSpacing"/>
            </w:pPr>
            <w:r w:rsidRPr="008453DD">
              <w:rPr>
                <w:b/>
                <w:bCs/>
              </w:rPr>
              <w:t>HFRSA Assessment Results</w:t>
            </w:r>
            <w:r>
              <w:t xml:space="preserve"> (31 SDPs – includes TFHA))</w:t>
            </w:r>
            <w:r w:rsidRPr="00A75FFE">
              <w:t>:</w:t>
            </w:r>
          </w:p>
          <w:p w14:paraId="493C6870" w14:textId="77777777" w:rsidR="000221AD" w:rsidRPr="00D3058E" w:rsidRDefault="000221AD" w:rsidP="008453DD">
            <w:pPr>
              <w:pStyle w:val="NoSpacing"/>
            </w:pPr>
            <w:r w:rsidRPr="00D3058E">
              <w:t xml:space="preserve">3 modern methods FP – </w:t>
            </w:r>
            <w:r>
              <w:t>93%</w:t>
            </w:r>
          </w:p>
          <w:p w14:paraId="2D7F7551" w14:textId="77777777" w:rsidR="000221AD" w:rsidRPr="00D3058E" w:rsidRDefault="000221AD" w:rsidP="008453DD">
            <w:pPr>
              <w:pStyle w:val="NoSpacing"/>
            </w:pPr>
            <w:r w:rsidRPr="00D3058E">
              <w:t xml:space="preserve">5 modern methods FP – </w:t>
            </w:r>
            <w:r>
              <w:t>75%</w:t>
            </w:r>
          </w:p>
          <w:p w14:paraId="0DC47C18" w14:textId="77777777" w:rsidR="000221AD" w:rsidRPr="00D3058E" w:rsidRDefault="000221AD" w:rsidP="008453DD">
            <w:pPr>
              <w:pStyle w:val="NoSpacing"/>
            </w:pPr>
            <w:r w:rsidRPr="00D3058E">
              <w:t xml:space="preserve">Stockouts FP method last 6 </w:t>
            </w:r>
            <w:proofErr w:type="spellStart"/>
            <w:r w:rsidRPr="00D3058E">
              <w:t>mths</w:t>
            </w:r>
            <w:proofErr w:type="spellEnd"/>
            <w:r w:rsidRPr="00D3058E">
              <w:t xml:space="preserve"> – </w:t>
            </w:r>
            <w:r>
              <w:t>80%</w:t>
            </w:r>
          </w:p>
          <w:p w14:paraId="45D96C20" w14:textId="77777777" w:rsidR="000221AD" w:rsidRPr="00D3058E" w:rsidRDefault="000221AD" w:rsidP="008453DD">
            <w:pPr>
              <w:pStyle w:val="NoSpacing"/>
              <w:rPr>
                <w:rFonts w:cstheme="minorHAnsi"/>
              </w:rPr>
            </w:pPr>
            <w:r w:rsidRPr="00D3058E">
              <w:rPr>
                <w:rFonts w:cstheme="minorHAnsi"/>
              </w:rPr>
              <w:t xml:space="preserve">YFS, integrated SRH – </w:t>
            </w:r>
            <w:r>
              <w:rPr>
                <w:rFonts w:cstheme="minorHAnsi"/>
              </w:rPr>
              <w:t xml:space="preserve">7 % - </w:t>
            </w:r>
            <w:r w:rsidRPr="00D3058E">
              <w:rPr>
                <w:rFonts w:cstheme="minorHAnsi"/>
              </w:rPr>
              <w:t xml:space="preserve">86% </w:t>
            </w:r>
            <w:r>
              <w:rPr>
                <w:rFonts w:cstheme="minorHAnsi"/>
              </w:rPr>
              <w:t xml:space="preserve">but not </w:t>
            </w:r>
            <w:r w:rsidRPr="00D3058E">
              <w:rPr>
                <w:rFonts w:cstheme="minorHAnsi"/>
              </w:rPr>
              <w:t>to global standards</w:t>
            </w:r>
          </w:p>
          <w:p w14:paraId="4115E56F" w14:textId="77777777" w:rsidR="000221AD" w:rsidRPr="00D3058E" w:rsidRDefault="000221AD" w:rsidP="008453DD">
            <w:pPr>
              <w:pStyle w:val="NoSpacing"/>
              <w:rPr>
                <w:rFonts w:cstheme="minorHAnsi"/>
              </w:rPr>
            </w:pPr>
            <w:r w:rsidRPr="00D3058E">
              <w:rPr>
                <w:rFonts w:cstheme="minorHAnsi"/>
              </w:rPr>
              <w:t xml:space="preserve">GBV service – </w:t>
            </w:r>
            <w:r>
              <w:rPr>
                <w:rFonts w:cstheme="minorHAnsi"/>
              </w:rPr>
              <w:t xml:space="preserve">None – </w:t>
            </w:r>
            <w:r w:rsidRPr="00D3058E">
              <w:rPr>
                <w:rFonts w:cstheme="minorHAnsi"/>
              </w:rPr>
              <w:t>5</w:t>
            </w:r>
            <w:r>
              <w:rPr>
                <w:rFonts w:cstheme="minorHAnsi"/>
              </w:rPr>
              <w:t>8</w:t>
            </w:r>
            <w:r w:rsidRPr="00D3058E">
              <w:rPr>
                <w:rFonts w:cstheme="minorHAnsi"/>
              </w:rPr>
              <w:t xml:space="preserve">% </w:t>
            </w:r>
            <w:r>
              <w:rPr>
                <w:rFonts w:cstheme="minorHAnsi"/>
              </w:rPr>
              <w:t>but not</w:t>
            </w:r>
            <w:r w:rsidRPr="00D3058E">
              <w:rPr>
                <w:rFonts w:cstheme="minorHAnsi"/>
              </w:rPr>
              <w:t xml:space="preserve"> to global standards</w:t>
            </w:r>
          </w:p>
          <w:p w14:paraId="000FBD0D" w14:textId="77777777" w:rsidR="000221AD" w:rsidRPr="00D3058E" w:rsidRDefault="000221AD" w:rsidP="008453DD">
            <w:pPr>
              <w:pStyle w:val="NoSpacing"/>
              <w:rPr>
                <w:rFonts w:cstheme="minorHAnsi"/>
              </w:rPr>
            </w:pPr>
            <w:r w:rsidRPr="00D3058E">
              <w:rPr>
                <w:rFonts w:cstheme="minorHAnsi"/>
              </w:rPr>
              <w:t>PWD access – 100%</w:t>
            </w:r>
          </w:p>
          <w:p w14:paraId="76D45A82" w14:textId="77777777" w:rsidR="000221AD" w:rsidRDefault="000221AD" w:rsidP="008453DD">
            <w:pPr>
              <w:pStyle w:val="NoSpacing"/>
              <w:rPr>
                <w:rFonts w:cstheme="minorHAnsi"/>
              </w:rPr>
            </w:pPr>
            <w:r w:rsidRPr="00D3058E">
              <w:rPr>
                <w:rFonts w:cstheme="minorHAnsi"/>
              </w:rPr>
              <w:t>Cervical cancer screening – 7%</w:t>
            </w:r>
          </w:p>
          <w:p w14:paraId="4BA135AC" w14:textId="77777777" w:rsidR="00876617" w:rsidRDefault="00876617" w:rsidP="008453DD">
            <w:pPr>
              <w:pStyle w:val="NoSpacing"/>
              <w:rPr>
                <w:rFonts w:cstheme="minorHAnsi"/>
              </w:rPr>
            </w:pPr>
          </w:p>
          <w:p w14:paraId="0294E61F" w14:textId="77777777" w:rsidR="00876617" w:rsidRDefault="00876617" w:rsidP="008453DD">
            <w:pPr>
              <w:pStyle w:val="NoSpacing"/>
              <w:rPr>
                <w:rFonts w:cstheme="minorHAnsi"/>
                <w:b/>
                <w:bCs/>
              </w:rPr>
            </w:pPr>
            <w:r w:rsidRPr="00303081">
              <w:rPr>
                <w:rFonts w:cstheme="minorHAnsi"/>
                <w:b/>
                <w:bCs/>
              </w:rPr>
              <w:t>Staffing</w:t>
            </w:r>
            <w:r>
              <w:rPr>
                <w:rFonts w:cstheme="minorHAnsi"/>
                <w:b/>
                <w:bCs/>
              </w:rPr>
              <w:t xml:space="preserve"> Community Health Centres</w:t>
            </w:r>
            <w:r w:rsidR="0056000C">
              <w:rPr>
                <w:rStyle w:val="FootnoteReference"/>
                <w:rFonts w:cstheme="minorHAnsi"/>
                <w:b/>
                <w:bCs/>
              </w:rPr>
              <w:footnoteReference w:id="39"/>
            </w:r>
            <w:r w:rsidRPr="00303081">
              <w:rPr>
                <w:rFonts w:cstheme="minorHAnsi"/>
                <w:b/>
                <w:bCs/>
              </w:rPr>
              <w:t>:</w:t>
            </w:r>
          </w:p>
          <w:p w14:paraId="254CF68D" w14:textId="77777777" w:rsidR="00876617" w:rsidRDefault="0056000C" w:rsidP="008453DD">
            <w:pPr>
              <w:pStyle w:val="NoSpacing"/>
              <w:rPr>
                <w:rFonts w:cstheme="minorHAnsi"/>
                <w:b/>
                <w:bCs/>
              </w:rPr>
            </w:pPr>
            <w:r>
              <w:rPr>
                <w:rFonts w:cstheme="minorHAnsi"/>
                <w:b/>
                <w:bCs/>
              </w:rPr>
              <w:t>Health Officers – 8</w:t>
            </w:r>
          </w:p>
          <w:p w14:paraId="149B370D" w14:textId="77777777" w:rsidR="0056000C" w:rsidRDefault="0056000C" w:rsidP="008453DD">
            <w:pPr>
              <w:pStyle w:val="NoSpacing"/>
              <w:rPr>
                <w:rFonts w:cstheme="minorHAnsi"/>
                <w:b/>
                <w:bCs/>
              </w:rPr>
            </w:pPr>
            <w:r>
              <w:rPr>
                <w:rFonts w:cstheme="minorHAnsi"/>
                <w:b/>
                <w:bCs/>
              </w:rPr>
              <w:t>Nurse Practitioners – 1</w:t>
            </w:r>
          </w:p>
          <w:p w14:paraId="219B9E34" w14:textId="77777777" w:rsidR="0056000C" w:rsidRDefault="0056000C" w:rsidP="008453DD">
            <w:pPr>
              <w:pStyle w:val="NoSpacing"/>
              <w:rPr>
                <w:rFonts w:cstheme="minorHAnsi"/>
                <w:b/>
                <w:bCs/>
              </w:rPr>
            </w:pPr>
            <w:r>
              <w:rPr>
                <w:rFonts w:cstheme="minorHAnsi"/>
                <w:b/>
                <w:bCs/>
              </w:rPr>
              <w:t>Nurses- 13</w:t>
            </w:r>
          </w:p>
          <w:p w14:paraId="6A10F85F" w14:textId="77777777" w:rsidR="00876617" w:rsidRPr="00303081" w:rsidRDefault="00876617" w:rsidP="008453DD">
            <w:pPr>
              <w:pStyle w:val="NoSpacing"/>
              <w:rPr>
                <w:rFonts w:cstheme="minorHAnsi"/>
                <w:b/>
                <w:bCs/>
              </w:rPr>
            </w:pPr>
          </w:p>
        </w:tc>
        <w:tc>
          <w:tcPr>
            <w:tcW w:w="2016" w:type="pct"/>
          </w:tcPr>
          <w:p w14:paraId="2815394B" w14:textId="77777777" w:rsidR="000221AD" w:rsidRPr="005F147C" w:rsidRDefault="000221AD" w:rsidP="0081036B">
            <w:pPr>
              <w:rPr>
                <w:rFonts w:cstheme="minorHAnsi"/>
                <w:b/>
                <w:bCs/>
              </w:rPr>
            </w:pPr>
            <w:r w:rsidRPr="005F147C">
              <w:rPr>
                <w:rFonts w:cstheme="minorHAnsi"/>
                <w:b/>
                <w:bCs/>
              </w:rPr>
              <w:lastRenderedPageBreak/>
              <w:t>Tonga Family Health Association (TFHA)</w:t>
            </w:r>
          </w:p>
          <w:p w14:paraId="5143B17C" w14:textId="77777777" w:rsidR="000221AD" w:rsidRPr="00A57DBA" w:rsidRDefault="000221AD" w:rsidP="000221AD">
            <w:pPr>
              <w:pStyle w:val="ListParagraph"/>
              <w:numPr>
                <w:ilvl w:val="0"/>
                <w:numId w:val="39"/>
              </w:numPr>
              <w:spacing w:after="0" w:line="240" w:lineRule="auto"/>
              <w:contextualSpacing/>
              <w:rPr>
                <w:rFonts w:cstheme="minorHAnsi"/>
              </w:rPr>
            </w:pPr>
            <w:r>
              <w:rPr>
                <w:rFonts w:cstheme="minorHAnsi"/>
              </w:rPr>
              <w:t>1 static clinics (</w:t>
            </w:r>
            <w:proofErr w:type="spellStart"/>
            <w:r>
              <w:rPr>
                <w:rFonts w:cstheme="minorHAnsi"/>
              </w:rPr>
              <w:t>Tongatapu</w:t>
            </w:r>
            <w:proofErr w:type="spellEnd"/>
            <w:r>
              <w:rPr>
                <w:rFonts w:cstheme="minorHAnsi"/>
              </w:rPr>
              <w:t xml:space="preserve">) </w:t>
            </w:r>
            <w:r w:rsidRPr="00BF610F">
              <w:rPr>
                <w:rFonts w:cstheme="minorHAnsi"/>
              </w:rPr>
              <w:t xml:space="preserve">and 2 clinic setups on </w:t>
            </w:r>
            <w:proofErr w:type="spellStart"/>
            <w:r w:rsidRPr="00BF610F">
              <w:rPr>
                <w:rFonts w:cstheme="minorHAnsi"/>
              </w:rPr>
              <w:t>Vavau</w:t>
            </w:r>
            <w:proofErr w:type="spellEnd"/>
            <w:r w:rsidRPr="00BF610F">
              <w:rPr>
                <w:rFonts w:cstheme="minorHAnsi"/>
              </w:rPr>
              <w:t xml:space="preserve"> and </w:t>
            </w:r>
            <w:proofErr w:type="spellStart"/>
            <w:r w:rsidRPr="00BF610F">
              <w:rPr>
                <w:rFonts w:cstheme="minorHAnsi"/>
              </w:rPr>
              <w:t>Haa'pai</w:t>
            </w:r>
            <w:proofErr w:type="spellEnd"/>
            <w:r w:rsidRPr="00BF610F">
              <w:rPr>
                <w:rFonts w:cstheme="minorHAnsi"/>
              </w:rPr>
              <w:t xml:space="preserve"> which are used for clinic services during outreach but have no permanent nursing staff (a </w:t>
            </w:r>
            <w:r w:rsidRPr="00BF610F">
              <w:rPr>
                <w:rFonts w:cstheme="minorHAnsi"/>
              </w:rPr>
              <w:lastRenderedPageBreak/>
              <w:t>volunteer retired nurse sometimes fills in).</w:t>
            </w:r>
            <w:r>
              <w:rPr>
                <w:rFonts w:cstheme="minorHAnsi"/>
              </w:rPr>
              <w:t xml:space="preserve"> 2 mobile </w:t>
            </w:r>
            <w:proofErr w:type="gramStart"/>
            <w:r>
              <w:rPr>
                <w:rFonts w:cstheme="minorHAnsi"/>
              </w:rPr>
              <w:t>outreach</w:t>
            </w:r>
            <w:proofErr w:type="gramEnd"/>
            <w:r>
              <w:rPr>
                <w:rFonts w:cstheme="minorHAnsi"/>
              </w:rPr>
              <w:t xml:space="preserve">. </w:t>
            </w:r>
          </w:p>
          <w:p w14:paraId="2CFCC794" w14:textId="77777777" w:rsidR="000221AD" w:rsidRPr="00AB1242" w:rsidRDefault="000221AD" w:rsidP="000221AD">
            <w:pPr>
              <w:pStyle w:val="ListParagraph"/>
              <w:numPr>
                <w:ilvl w:val="0"/>
                <w:numId w:val="39"/>
              </w:numPr>
              <w:spacing w:after="0" w:line="240" w:lineRule="auto"/>
              <w:contextualSpacing/>
              <w:rPr>
                <w:rFonts w:cstheme="minorHAnsi"/>
              </w:rPr>
            </w:pPr>
            <w:r>
              <w:rPr>
                <w:rFonts w:cstheme="minorHAnsi"/>
              </w:rPr>
              <w:t xml:space="preserve">Staff includes: </w:t>
            </w:r>
            <w:r w:rsidRPr="006E3C5C">
              <w:rPr>
                <w:rFonts w:cstheme="minorHAnsi"/>
              </w:rPr>
              <w:t xml:space="preserve">ED, </w:t>
            </w:r>
            <w:r>
              <w:rPr>
                <w:rFonts w:cstheme="minorHAnsi"/>
              </w:rPr>
              <w:t xml:space="preserve">3 </w:t>
            </w:r>
            <w:r w:rsidRPr="006E3C5C">
              <w:rPr>
                <w:rFonts w:cstheme="minorHAnsi"/>
              </w:rPr>
              <w:t>nurse</w:t>
            </w:r>
            <w:r>
              <w:rPr>
                <w:rFonts w:cstheme="minorHAnsi"/>
              </w:rPr>
              <w:t>s</w:t>
            </w:r>
            <w:r w:rsidRPr="006E3C5C">
              <w:rPr>
                <w:rFonts w:cstheme="minorHAnsi"/>
              </w:rPr>
              <w:t>,</w:t>
            </w:r>
            <w:r>
              <w:rPr>
                <w:rFonts w:cstheme="minorHAnsi"/>
              </w:rPr>
              <w:t xml:space="preserve"> 1 </w:t>
            </w:r>
            <w:r w:rsidRPr="006E3C5C">
              <w:rPr>
                <w:rFonts w:cstheme="minorHAnsi"/>
              </w:rPr>
              <w:t xml:space="preserve">program manager, </w:t>
            </w:r>
            <w:r>
              <w:rPr>
                <w:rFonts w:cstheme="minorHAnsi"/>
              </w:rPr>
              <w:t xml:space="preserve">3 </w:t>
            </w:r>
            <w:r w:rsidRPr="006E3C5C">
              <w:rPr>
                <w:rFonts w:cstheme="minorHAnsi"/>
              </w:rPr>
              <w:t>program officers</w:t>
            </w:r>
            <w:r>
              <w:rPr>
                <w:rFonts w:cstheme="minorHAnsi"/>
              </w:rPr>
              <w:t>,</w:t>
            </w:r>
            <w:r w:rsidR="002E27A2">
              <w:rPr>
                <w:rFonts w:cstheme="minorHAnsi"/>
              </w:rPr>
              <w:t xml:space="preserve"> </w:t>
            </w:r>
            <w:r>
              <w:rPr>
                <w:rFonts w:cstheme="minorHAnsi"/>
              </w:rPr>
              <w:t xml:space="preserve">data officer, </w:t>
            </w:r>
            <w:r w:rsidRPr="006E3C5C">
              <w:rPr>
                <w:rFonts w:cstheme="minorHAnsi"/>
              </w:rPr>
              <w:t xml:space="preserve">finance officer, </w:t>
            </w:r>
            <w:r>
              <w:rPr>
                <w:rFonts w:cstheme="minorHAnsi"/>
              </w:rPr>
              <w:t xml:space="preserve">finance assistant, </w:t>
            </w:r>
            <w:r w:rsidRPr="006E3C5C">
              <w:rPr>
                <w:rFonts w:cstheme="minorHAnsi"/>
              </w:rPr>
              <w:t>administration,</w:t>
            </w:r>
            <w:r>
              <w:rPr>
                <w:rFonts w:cstheme="minorHAnsi"/>
              </w:rPr>
              <w:t xml:space="preserve"> and youth officer. </w:t>
            </w:r>
          </w:p>
          <w:p w14:paraId="788130F5" w14:textId="77777777" w:rsidR="000221AD" w:rsidRDefault="000221AD" w:rsidP="000221AD">
            <w:pPr>
              <w:pStyle w:val="ListParagraph"/>
              <w:numPr>
                <w:ilvl w:val="0"/>
                <w:numId w:val="39"/>
              </w:numPr>
              <w:spacing w:after="0" w:line="240" w:lineRule="auto"/>
              <w:contextualSpacing/>
              <w:rPr>
                <w:rFonts w:cstheme="minorHAnsi"/>
              </w:rPr>
            </w:pPr>
            <w:r>
              <w:rPr>
                <w:rFonts w:cstheme="minorHAnsi"/>
              </w:rPr>
              <w:t xml:space="preserve">2 Mobile </w:t>
            </w:r>
            <w:r w:rsidRPr="00F631D2">
              <w:rPr>
                <w:rFonts w:cstheme="minorHAnsi"/>
              </w:rPr>
              <w:t>Outreach Clinic</w:t>
            </w:r>
            <w:r>
              <w:rPr>
                <w:rFonts w:cstheme="minorHAnsi"/>
              </w:rPr>
              <w:t xml:space="preserve"> teams</w:t>
            </w:r>
          </w:p>
          <w:p w14:paraId="0F40300D" w14:textId="77777777" w:rsidR="000221AD" w:rsidRPr="00F631D2" w:rsidRDefault="000221AD" w:rsidP="000221AD">
            <w:pPr>
              <w:pStyle w:val="ListParagraph"/>
              <w:numPr>
                <w:ilvl w:val="0"/>
                <w:numId w:val="39"/>
              </w:numPr>
              <w:spacing w:after="0" w:line="240" w:lineRule="auto"/>
              <w:contextualSpacing/>
              <w:rPr>
                <w:rFonts w:cstheme="minorHAnsi"/>
              </w:rPr>
            </w:pPr>
            <w:r>
              <w:rPr>
                <w:rFonts w:cstheme="minorHAnsi"/>
              </w:rPr>
              <w:t xml:space="preserve">Provision of </w:t>
            </w:r>
            <w:r w:rsidR="002E27A2">
              <w:rPr>
                <w:rFonts w:cstheme="minorHAnsi"/>
              </w:rPr>
              <w:t>42 SRH</w:t>
            </w:r>
            <w:r>
              <w:rPr>
                <w:rFonts w:cstheme="minorHAnsi"/>
              </w:rPr>
              <w:t xml:space="preserve"> services – mapped against IPPF 225 coded services from Family Planning, Antenatal, HIV/</w:t>
            </w:r>
            <w:r w:rsidRPr="0073491D">
              <w:rPr>
                <w:rFonts w:cstheme="minorHAnsi"/>
              </w:rPr>
              <w:t xml:space="preserve"> STI/RTI checks, </w:t>
            </w:r>
            <w:proofErr w:type="spellStart"/>
            <w:r w:rsidRPr="0073491D">
              <w:rPr>
                <w:rFonts w:cstheme="minorHAnsi"/>
              </w:rPr>
              <w:t>gynaecological</w:t>
            </w:r>
            <w:proofErr w:type="spellEnd"/>
            <w:r w:rsidRPr="0073491D">
              <w:rPr>
                <w:rFonts w:cstheme="minorHAnsi"/>
              </w:rPr>
              <w:t xml:space="preserve"> care including Pap Smears, counselling</w:t>
            </w:r>
            <w:r>
              <w:rPr>
                <w:rFonts w:cstheme="minorHAnsi"/>
              </w:rPr>
              <w:t xml:space="preserve"> etc. </w:t>
            </w:r>
          </w:p>
          <w:p w14:paraId="2C801EBE" w14:textId="77777777" w:rsidR="000221AD" w:rsidRDefault="000221AD" w:rsidP="000221AD">
            <w:pPr>
              <w:pStyle w:val="ListParagraph"/>
              <w:numPr>
                <w:ilvl w:val="0"/>
                <w:numId w:val="39"/>
              </w:numPr>
              <w:spacing w:after="0" w:line="240" w:lineRule="auto"/>
              <w:contextualSpacing/>
              <w:rPr>
                <w:rFonts w:cstheme="minorHAnsi"/>
              </w:rPr>
            </w:pPr>
            <w:r w:rsidRPr="00D407F6">
              <w:rPr>
                <w:rFonts w:cstheme="minorHAnsi"/>
              </w:rPr>
              <w:t>Community Sexuality Education and awareness programs: with PWD, LGBT</w:t>
            </w:r>
            <w:r>
              <w:rPr>
                <w:rFonts w:cstheme="minorHAnsi"/>
              </w:rPr>
              <w:t>Q</w:t>
            </w:r>
            <w:r w:rsidRPr="00D407F6">
              <w:rPr>
                <w:rFonts w:cstheme="minorHAnsi"/>
              </w:rPr>
              <w:t>I communities</w:t>
            </w:r>
            <w:r>
              <w:rPr>
                <w:rFonts w:cstheme="minorHAnsi"/>
              </w:rPr>
              <w:t xml:space="preserve"> and young people. </w:t>
            </w:r>
          </w:p>
          <w:p w14:paraId="4A282575" w14:textId="77777777" w:rsidR="000221AD" w:rsidRPr="00A57DBA" w:rsidRDefault="000221AD" w:rsidP="000221AD">
            <w:pPr>
              <w:pStyle w:val="ListParagraph"/>
              <w:numPr>
                <w:ilvl w:val="0"/>
                <w:numId w:val="39"/>
              </w:numPr>
              <w:spacing w:after="0" w:line="240" w:lineRule="auto"/>
              <w:contextualSpacing/>
              <w:rPr>
                <w:rFonts w:cstheme="minorHAnsi"/>
              </w:rPr>
            </w:pPr>
            <w:r>
              <w:rPr>
                <w:rFonts w:cstheme="minorHAnsi"/>
              </w:rPr>
              <w:t xml:space="preserve">20 Active volunteers </w:t>
            </w:r>
          </w:p>
          <w:p w14:paraId="0131C975" w14:textId="77777777" w:rsidR="000221AD" w:rsidRPr="00BF610F" w:rsidRDefault="000221AD" w:rsidP="000221AD">
            <w:pPr>
              <w:pStyle w:val="ListParagraph"/>
              <w:numPr>
                <w:ilvl w:val="0"/>
                <w:numId w:val="39"/>
              </w:numPr>
              <w:spacing w:after="0" w:line="240" w:lineRule="auto"/>
              <w:contextualSpacing/>
              <w:rPr>
                <w:rFonts w:ascii="Arial Narrow" w:hAnsi="Arial Narrow"/>
              </w:rPr>
            </w:pPr>
            <w:r w:rsidRPr="00BF610F">
              <w:rPr>
                <w:rFonts w:cstheme="minorHAnsi"/>
              </w:rPr>
              <w:t xml:space="preserve">It has an active youth program with peer educators and the </w:t>
            </w:r>
            <w:proofErr w:type="spellStart"/>
            <w:r w:rsidRPr="00BF610F">
              <w:rPr>
                <w:rFonts w:cstheme="minorHAnsi"/>
              </w:rPr>
              <w:t>Filitonu</w:t>
            </w:r>
            <w:proofErr w:type="spellEnd"/>
            <w:r w:rsidRPr="00BF610F">
              <w:rPr>
                <w:rFonts w:cstheme="minorHAnsi"/>
              </w:rPr>
              <w:t xml:space="preserve"> boys’ drama group. Clinic services are held at the static clinic and also at outreach sites </w:t>
            </w:r>
            <w:proofErr w:type="gramStart"/>
            <w:r w:rsidRPr="00BF610F">
              <w:rPr>
                <w:rFonts w:cstheme="minorHAnsi"/>
              </w:rPr>
              <w:t>e.g.</w:t>
            </w:r>
            <w:proofErr w:type="gramEnd"/>
            <w:r w:rsidRPr="00BF610F">
              <w:rPr>
                <w:rFonts w:cstheme="minorHAnsi"/>
              </w:rPr>
              <w:t xml:space="preserve"> school clinics and civil servants’ offices etc. Program Manager/trainer conducts training on peer education, disability, SPRINT, GBV and SRH. </w:t>
            </w:r>
            <w:r w:rsidRPr="00BF610F">
              <w:rPr>
                <w:rFonts w:ascii="Arial Narrow" w:hAnsi="Arial Narrow"/>
              </w:rPr>
              <w:t xml:space="preserve"> </w:t>
            </w:r>
          </w:p>
          <w:p w14:paraId="6E0A39B6" w14:textId="77777777" w:rsidR="000221AD" w:rsidRDefault="000221AD" w:rsidP="0081036B">
            <w:pPr>
              <w:rPr>
                <w:rFonts w:ascii="Arial Narrow" w:hAnsi="Arial Narrow"/>
              </w:rPr>
            </w:pPr>
          </w:p>
          <w:p w14:paraId="1954DB67" w14:textId="77777777" w:rsidR="000221AD" w:rsidRPr="00136C42" w:rsidRDefault="000221AD" w:rsidP="0081036B">
            <w:pPr>
              <w:rPr>
                <w:rFonts w:cstheme="minorHAnsi"/>
              </w:rPr>
            </w:pPr>
            <w:r>
              <w:rPr>
                <w:rFonts w:cstheme="minorHAnsi"/>
              </w:rPr>
              <w:t xml:space="preserve">No. of SDPs: 1 static clinic and 2 mobile/outreach clinical team. </w:t>
            </w:r>
          </w:p>
        </w:tc>
      </w:tr>
      <w:tr w:rsidR="000221AD" w:rsidRPr="003E673F" w14:paraId="65E31082" w14:textId="77777777" w:rsidTr="008453DD">
        <w:tc>
          <w:tcPr>
            <w:tcW w:w="881" w:type="pct"/>
          </w:tcPr>
          <w:p w14:paraId="13D8C0CB" w14:textId="77777777" w:rsidR="000221AD" w:rsidRPr="004536AB" w:rsidRDefault="000221AD" w:rsidP="0081036B">
            <w:pPr>
              <w:rPr>
                <w:rFonts w:cstheme="minorHAnsi"/>
                <w:b/>
                <w:bCs/>
              </w:rPr>
            </w:pPr>
            <w:r w:rsidRPr="004536AB">
              <w:rPr>
                <w:rFonts w:cstheme="minorHAnsi"/>
                <w:b/>
                <w:bCs/>
              </w:rPr>
              <w:lastRenderedPageBreak/>
              <w:t>Vanuatu</w:t>
            </w:r>
          </w:p>
        </w:tc>
        <w:tc>
          <w:tcPr>
            <w:tcW w:w="2103" w:type="pct"/>
          </w:tcPr>
          <w:p w14:paraId="7D68DADF" w14:textId="77777777" w:rsidR="000221AD" w:rsidRPr="004536AB" w:rsidRDefault="000221AD" w:rsidP="0081036B">
            <w:pPr>
              <w:rPr>
                <w:rFonts w:cstheme="minorHAnsi"/>
                <w:b/>
                <w:bCs/>
              </w:rPr>
            </w:pPr>
            <w:r w:rsidRPr="004536AB">
              <w:rPr>
                <w:rFonts w:cstheme="minorHAnsi"/>
                <w:b/>
              </w:rPr>
              <w:t>Vanuatu National Population Policy 2011-2020</w:t>
            </w:r>
          </w:p>
          <w:p w14:paraId="3AA1A6E1" w14:textId="77777777" w:rsidR="000221AD" w:rsidRPr="004536AB" w:rsidRDefault="000221AD" w:rsidP="0081036B">
            <w:pPr>
              <w:pStyle w:val="Default"/>
              <w:rPr>
                <w:rFonts w:asciiTheme="minorHAnsi" w:hAnsiTheme="minorHAnsi" w:cstheme="minorHAnsi"/>
                <w:color w:val="auto"/>
                <w:sz w:val="22"/>
                <w:szCs w:val="22"/>
              </w:rPr>
            </w:pPr>
            <w:r w:rsidRPr="004536AB">
              <w:rPr>
                <w:rFonts w:asciiTheme="minorHAnsi" w:hAnsiTheme="minorHAnsi" w:cstheme="minorHAnsi"/>
                <w:color w:val="auto"/>
                <w:sz w:val="22"/>
                <w:szCs w:val="22"/>
              </w:rPr>
              <w:t xml:space="preserve">Relevant Policy Goal: </w:t>
            </w:r>
            <w:r w:rsidRPr="004536AB">
              <w:rPr>
                <w:rFonts w:asciiTheme="minorHAnsi" w:hAnsiTheme="minorHAnsi" w:cstheme="minorHAnsi"/>
                <w:bCs/>
                <w:color w:val="auto"/>
                <w:sz w:val="22"/>
                <w:szCs w:val="22"/>
              </w:rPr>
              <w:t>Policy Goal 1</w:t>
            </w:r>
            <w:r w:rsidRPr="004536AB">
              <w:rPr>
                <w:rFonts w:asciiTheme="minorHAnsi" w:hAnsiTheme="minorHAnsi" w:cstheme="minorHAnsi"/>
                <w:color w:val="auto"/>
                <w:sz w:val="22"/>
                <w:szCs w:val="22"/>
              </w:rPr>
              <w:t xml:space="preserve">: Reduce fertility and unintended pregnancy particularly among target population </w:t>
            </w:r>
            <w:r w:rsidR="002E27A2" w:rsidRPr="004536AB">
              <w:rPr>
                <w:rFonts w:asciiTheme="minorHAnsi" w:hAnsiTheme="minorHAnsi" w:cstheme="minorHAnsi"/>
                <w:color w:val="auto"/>
                <w:sz w:val="22"/>
                <w:szCs w:val="22"/>
              </w:rPr>
              <w:t>groups -</w:t>
            </w:r>
            <w:r w:rsidRPr="004536AB">
              <w:rPr>
                <w:rFonts w:asciiTheme="minorHAnsi" w:hAnsiTheme="minorHAnsi" w:cstheme="minorHAnsi"/>
                <w:color w:val="auto"/>
                <w:sz w:val="22"/>
                <w:szCs w:val="22"/>
              </w:rPr>
              <w:t xml:space="preserve"> VFHA is a supporting </w:t>
            </w:r>
            <w:proofErr w:type="gramStart"/>
            <w:r w:rsidRPr="004536AB">
              <w:rPr>
                <w:rFonts w:asciiTheme="minorHAnsi" w:hAnsiTheme="minorHAnsi" w:cstheme="minorHAnsi"/>
                <w:color w:val="auto"/>
                <w:sz w:val="22"/>
                <w:szCs w:val="22"/>
              </w:rPr>
              <w:t>agency</w:t>
            </w:r>
            <w:proofErr w:type="gramEnd"/>
          </w:p>
          <w:p w14:paraId="668BE7F8" w14:textId="77777777" w:rsidR="000221AD" w:rsidRDefault="000221AD" w:rsidP="0081036B">
            <w:pPr>
              <w:rPr>
                <w:rFonts w:cstheme="minorHAnsi"/>
                <w:b/>
                <w:bCs/>
              </w:rPr>
            </w:pPr>
          </w:p>
          <w:p w14:paraId="204EF3F5" w14:textId="77777777" w:rsidR="000221AD" w:rsidRDefault="000221AD" w:rsidP="0081036B">
            <w:pPr>
              <w:rPr>
                <w:rFonts w:cstheme="minorHAnsi"/>
                <w:b/>
                <w:bCs/>
              </w:rPr>
            </w:pPr>
            <w:r w:rsidRPr="004536AB">
              <w:rPr>
                <w:rFonts w:cstheme="minorHAnsi"/>
                <w:b/>
                <w:bCs/>
              </w:rPr>
              <w:t>National Health Strategy 2017-2020</w:t>
            </w:r>
          </w:p>
          <w:p w14:paraId="0FF1AFD6" w14:textId="77777777" w:rsidR="000221AD" w:rsidRDefault="000221AD" w:rsidP="0081036B">
            <w:pPr>
              <w:rPr>
                <w:rFonts w:cstheme="minorHAnsi"/>
                <w:color w:val="313131"/>
                <w:lang w:eastAsia="en-AU"/>
              </w:rPr>
            </w:pPr>
            <w:r w:rsidRPr="00966B2A">
              <w:rPr>
                <w:rFonts w:cstheme="minorHAnsi"/>
                <w:color w:val="313131"/>
                <w:lang w:eastAsia="en-AU"/>
              </w:rPr>
              <w:t>Three main strategic directions:</w:t>
            </w:r>
          </w:p>
          <w:p w14:paraId="45F35033" w14:textId="77777777" w:rsidR="000221AD" w:rsidRPr="00966B2A" w:rsidRDefault="000221AD" w:rsidP="000221AD">
            <w:pPr>
              <w:pStyle w:val="ListParagraph"/>
              <w:numPr>
                <w:ilvl w:val="0"/>
                <w:numId w:val="36"/>
              </w:numPr>
              <w:spacing w:after="0" w:line="240" w:lineRule="auto"/>
              <w:contextualSpacing/>
              <w:rPr>
                <w:rFonts w:eastAsia="Times New Roman" w:cstheme="minorHAnsi"/>
                <w:color w:val="313131"/>
                <w:lang w:eastAsia="en-AU"/>
              </w:rPr>
            </w:pPr>
            <w:r w:rsidRPr="00966B2A">
              <w:rPr>
                <w:rFonts w:eastAsia="Times New Roman" w:cstheme="minorHAnsi"/>
                <w:color w:val="313131"/>
                <w:lang w:eastAsia="en-AU"/>
              </w:rPr>
              <w:lastRenderedPageBreak/>
              <w:t>Strengthening health service management and information systems;</w:t>
            </w:r>
          </w:p>
          <w:p w14:paraId="22589BDB" w14:textId="77777777" w:rsidR="000221AD" w:rsidRPr="00966B2A" w:rsidRDefault="000221AD" w:rsidP="000221AD">
            <w:pPr>
              <w:numPr>
                <w:ilvl w:val="0"/>
                <w:numId w:val="36"/>
              </w:numPr>
              <w:shd w:val="clear" w:color="auto" w:fill="FFFFFF"/>
              <w:spacing w:before="100" w:beforeAutospacing="1" w:after="100" w:afterAutospacing="1" w:line="240" w:lineRule="auto"/>
              <w:rPr>
                <w:rFonts w:cstheme="minorHAnsi"/>
                <w:color w:val="313131"/>
                <w:lang w:eastAsia="en-AU"/>
              </w:rPr>
            </w:pPr>
            <w:r w:rsidRPr="00966B2A">
              <w:rPr>
                <w:rFonts w:cstheme="minorHAnsi"/>
                <w:color w:val="313131"/>
                <w:lang w:eastAsia="en-AU"/>
              </w:rPr>
              <w:t>Improving population access to health services through integrated planning, and fair allocation of resources; and</w:t>
            </w:r>
          </w:p>
          <w:p w14:paraId="3C5FE68B" w14:textId="77777777" w:rsidR="000221AD" w:rsidRDefault="000221AD" w:rsidP="000221AD">
            <w:pPr>
              <w:numPr>
                <w:ilvl w:val="0"/>
                <w:numId w:val="36"/>
              </w:numPr>
              <w:shd w:val="clear" w:color="auto" w:fill="FFFFFF"/>
              <w:spacing w:before="100" w:beforeAutospacing="1" w:after="100" w:afterAutospacing="1" w:line="240" w:lineRule="auto"/>
              <w:rPr>
                <w:rFonts w:cstheme="minorHAnsi"/>
                <w:color w:val="313131"/>
                <w:lang w:eastAsia="en-AU"/>
              </w:rPr>
            </w:pPr>
            <w:r w:rsidRPr="00966B2A">
              <w:rPr>
                <w:rFonts w:cstheme="minorHAnsi"/>
                <w:color w:val="313131"/>
                <w:lang w:eastAsia="en-AU"/>
              </w:rPr>
              <w:t>Strengthening collaborative action across sectors and within the health sector to create a healthier environment and address major health issues.</w:t>
            </w:r>
          </w:p>
          <w:p w14:paraId="461C2EFF" w14:textId="77777777" w:rsidR="000221AD" w:rsidRPr="00966B2A" w:rsidRDefault="000221AD" w:rsidP="0081036B">
            <w:pPr>
              <w:shd w:val="clear" w:color="auto" w:fill="FFFFFF"/>
              <w:spacing w:before="100" w:beforeAutospacing="1" w:after="100" w:afterAutospacing="1"/>
              <w:ind w:left="720"/>
              <w:rPr>
                <w:rFonts w:cstheme="minorHAnsi"/>
                <w:color w:val="313131"/>
                <w:lang w:eastAsia="en-AU"/>
              </w:rPr>
            </w:pPr>
            <w:r w:rsidRPr="00966B2A">
              <w:rPr>
                <w:rFonts w:cstheme="minorHAnsi"/>
                <w:color w:val="313131"/>
                <w:lang w:eastAsia="en-AU"/>
              </w:rPr>
              <w:t xml:space="preserve">Strategy does not specifically mention FP. </w:t>
            </w:r>
          </w:p>
          <w:p w14:paraId="4243D7EF" w14:textId="77777777" w:rsidR="000221AD" w:rsidRPr="004536AB" w:rsidRDefault="000221AD" w:rsidP="0081036B">
            <w:pPr>
              <w:rPr>
                <w:rFonts w:cstheme="minorHAnsi"/>
              </w:rPr>
            </w:pPr>
            <w:r>
              <w:rPr>
                <w:rFonts w:cs="Times"/>
                <w:b/>
              </w:rPr>
              <w:t xml:space="preserve">HFRSA assessment results:  Not yet </w:t>
            </w:r>
            <w:proofErr w:type="gramStart"/>
            <w:r>
              <w:rPr>
                <w:rFonts w:cs="Times"/>
                <w:b/>
              </w:rPr>
              <w:t>done</w:t>
            </w:r>
            <w:proofErr w:type="gramEnd"/>
          </w:p>
          <w:p w14:paraId="3FBFC9DC" w14:textId="77777777" w:rsidR="000221AD" w:rsidRDefault="0056000C" w:rsidP="0081036B">
            <w:pPr>
              <w:rPr>
                <w:rFonts w:cstheme="minorHAnsi"/>
              </w:rPr>
            </w:pPr>
            <w:r>
              <w:rPr>
                <w:rFonts w:cstheme="minorHAnsi"/>
              </w:rPr>
              <w:t>Staffing</w:t>
            </w:r>
            <w:r w:rsidR="005859EA">
              <w:rPr>
                <w:rStyle w:val="FootnoteReference"/>
                <w:rFonts w:cstheme="minorHAnsi"/>
              </w:rPr>
              <w:footnoteReference w:id="40"/>
            </w:r>
            <w:r>
              <w:rPr>
                <w:rFonts w:cstheme="minorHAnsi"/>
              </w:rPr>
              <w:t xml:space="preserve">: </w:t>
            </w:r>
          </w:p>
          <w:p w14:paraId="3BAFD530" w14:textId="77777777" w:rsidR="005859EA" w:rsidRDefault="005859EA" w:rsidP="0081036B">
            <w:pPr>
              <w:rPr>
                <w:rFonts w:cstheme="minorHAnsi"/>
              </w:rPr>
            </w:pPr>
            <w:r>
              <w:rPr>
                <w:rFonts w:cstheme="minorHAnsi"/>
              </w:rPr>
              <w:t>Nurses – 178</w:t>
            </w:r>
          </w:p>
          <w:p w14:paraId="63926B3A" w14:textId="77777777" w:rsidR="005859EA" w:rsidRPr="004536AB" w:rsidRDefault="005859EA" w:rsidP="0081036B">
            <w:pPr>
              <w:rPr>
                <w:rFonts w:cstheme="minorHAnsi"/>
              </w:rPr>
            </w:pPr>
            <w:r>
              <w:rPr>
                <w:rFonts w:cstheme="minorHAnsi"/>
              </w:rPr>
              <w:t>Midwives - 81</w:t>
            </w:r>
          </w:p>
        </w:tc>
        <w:tc>
          <w:tcPr>
            <w:tcW w:w="2016" w:type="pct"/>
          </w:tcPr>
          <w:p w14:paraId="03287348" w14:textId="77777777" w:rsidR="000221AD" w:rsidRPr="004536AB" w:rsidRDefault="000221AD" w:rsidP="0081036B">
            <w:pPr>
              <w:rPr>
                <w:rFonts w:cstheme="minorHAnsi"/>
                <w:b/>
                <w:bCs/>
              </w:rPr>
            </w:pPr>
            <w:r w:rsidRPr="004536AB">
              <w:rPr>
                <w:rFonts w:cstheme="minorHAnsi"/>
                <w:b/>
                <w:bCs/>
              </w:rPr>
              <w:lastRenderedPageBreak/>
              <w:t>Vanuatu Family Health Association (VFHA)</w:t>
            </w:r>
          </w:p>
          <w:p w14:paraId="41DB3127" w14:textId="77777777" w:rsidR="000221AD" w:rsidRDefault="000221AD" w:rsidP="000221AD">
            <w:pPr>
              <w:pStyle w:val="ListParagraph"/>
              <w:numPr>
                <w:ilvl w:val="0"/>
                <w:numId w:val="40"/>
              </w:numPr>
              <w:spacing w:after="0" w:line="240" w:lineRule="auto"/>
              <w:contextualSpacing/>
              <w:rPr>
                <w:rFonts w:cstheme="minorHAnsi"/>
              </w:rPr>
            </w:pPr>
            <w:r w:rsidRPr="00A57DBA">
              <w:rPr>
                <w:rFonts w:cstheme="minorHAnsi"/>
              </w:rPr>
              <w:t xml:space="preserve">VFHA has 3 clinics (Vila, Santo and </w:t>
            </w:r>
            <w:proofErr w:type="spellStart"/>
            <w:r w:rsidRPr="00A57DBA">
              <w:rPr>
                <w:rFonts w:cstheme="minorHAnsi"/>
              </w:rPr>
              <w:t>Tanna</w:t>
            </w:r>
            <w:proofErr w:type="spellEnd"/>
            <w:r w:rsidRPr="00A57DBA">
              <w:rPr>
                <w:rFonts w:cstheme="minorHAnsi"/>
              </w:rPr>
              <w:t xml:space="preserve">). </w:t>
            </w:r>
          </w:p>
          <w:p w14:paraId="10F96E27" w14:textId="77777777" w:rsidR="000221AD" w:rsidRDefault="000221AD" w:rsidP="000221AD">
            <w:pPr>
              <w:pStyle w:val="ListParagraph"/>
              <w:numPr>
                <w:ilvl w:val="0"/>
                <w:numId w:val="40"/>
              </w:numPr>
              <w:spacing w:after="0" w:line="240" w:lineRule="auto"/>
              <w:contextualSpacing/>
              <w:rPr>
                <w:rFonts w:cstheme="minorHAnsi"/>
              </w:rPr>
            </w:pPr>
            <w:r w:rsidRPr="00A57DBA">
              <w:rPr>
                <w:rFonts w:cstheme="minorHAnsi"/>
              </w:rPr>
              <w:t xml:space="preserve">40 trained peer educators in Epi, Santo, </w:t>
            </w:r>
            <w:proofErr w:type="spellStart"/>
            <w:r w:rsidRPr="00A57DBA">
              <w:rPr>
                <w:rFonts w:cstheme="minorHAnsi"/>
              </w:rPr>
              <w:t>Gaua</w:t>
            </w:r>
            <w:proofErr w:type="spellEnd"/>
            <w:r w:rsidRPr="00A57DBA">
              <w:rPr>
                <w:rFonts w:cstheme="minorHAnsi"/>
              </w:rPr>
              <w:t xml:space="preserve">, Pentecost, </w:t>
            </w:r>
            <w:proofErr w:type="spellStart"/>
            <w:r w:rsidRPr="00A57DBA">
              <w:rPr>
                <w:rFonts w:cstheme="minorHAnsi"/>
              </w:rPr>
              <w:t>Malekula</w:t>
            </w:r>
            <w:proofErr w:type="spellEnd"/>
            <w:r w:rsidRPr="00A57DBA">
              <w:rPr>
                <w:rFonts w:cstheme="minorHAnsi"/>
              </w:rPr>
              <w:t xml:space="preserve">, </w:t>
            </w:r>
            <w:proofErr w:type="spellStart"/>
            <w:r w:rsidRPr="00A57DBA">
              <w:rPr>
                <w:rFonts w:cstheme="minorHAnsi"/>
              </w:rPr>
              <w:t>Ambae</w:t>
            </w:r>
            <w:proofErr w:type="spellEnd"/>
            <w:r w:rsidRPr="00A57DBA">
              <w:rPr>
                <w:rFonts w:cstheme="minorHAnsi"/>
              </w:rPr>
              <w:t xml:space="preserve">, </w:t>
            </w:r>
            <w:proofErr w:type="spellStart"/>
            <w:r w:rsidRPr="00A57DBA">
              <w:rPr>
                <w:rFonts w:cstheme="minorHAnsi"/>
              </w:rPr>
              <w:t>Tanna</w:t>
            </w:r>
            <w:proofErr w:type="spellEnd"/>
            <w:r w:rsidRPr="00A57DBA">
              <w:rPr>
                <w:rFonts w:cstheme="minorHAnsi"/>
              </w:rPr>
              <w:t xml:space="preserve">, </w:t>
            </w:r>
            <w:proofErr w:type="spellStart"/>
            <w:r w:rsidRPr="00A57DBA">
              <w:rPr>
                <w:rFonts w:cstheme="minorHAnsi"/>
              </w:rPr>
              <w:t>Paama</w:t>
            </w:r>
            <w:proofErr w:type="spellEnd"/>
            <w:r w:rsidRPr="00A57DBA">
              <w:rPr>
                <w:rFonts w:cstheme="minorHAnsi"/>
              </w:rPr>
              <w:t xml:space="preserve">, </w:t>
            </w:r>
            <w:proofErr w:type="spellStart"/>
            <w:r w:rsidRPr="00A57DBA">
              <w:rPr>
                <w:rFonts w:cstheme="minorHAnsi"/>
              </w:rPr>
              <w:t>Aneutyum</w:t>
            </w:r>
            <w:proofErr w:type="spellEnd"/>
            <w:r w:rsidRPr="00A57DBA">
              <w:rPr>
                <w:rFonts w:cstheme="minorHAnsi"/>
              </w:rPr>
              <w:t xml:space="preserve">, and Vila.  VFHA has youth </w:t>
            </w:r>
            <w:proofErr w:type="spellStart"/>
            <w:r w:rsidRPr="00A57DBA">
              <w:rPr>
                <w:rFonts w:cstheme="minorHAnsi"/>
              </w:rPr>
              <w:t>centres</w:t>
            </w:r>
            <w:proofErr w:type="spellEnd"/>
            <w:r w:rsidRPr="00A57DBA">
              <w:rPr>
                <w:rFonts w:cstheme="minorHAnsi"/>
              </w:rPr>
              <w:t xml:space="preserve"> in 5 provinces. </w:t>
            </w:r>
          </w:p>
          <w:p w14:paraId="4C039580" w14:textId="77777777" w:rsidR="000221AD" w:rsidRDefault="000221AD" w:rsidP="000221AD">
            <w:pPr>
              <w:pStyle w:val="ListParagraph"/>
              <w:numPr>
                <w:ilvl w:val="0"/>
                <w:numId w:val="40"/>
              </w:numPr>
              <w:spacing w:after="0" w:line="240" w:lineRule="auto"/>
              <w:contextualSpacing/>
              <w:rPr>
                <w:rFonts w:cstheme="minorHAnsi"/>
              </w:rPr>
            </w:pPr>
            <w:r>
              <w:rPr>
                <w:rFonts w:cstheme="minorHAnsi"/>
              </w:rPr>
              <w:t xml:space="preserve"> ED, 1 Program Manager, </w:t>
            </w:r>
            <w:r w:rsidRPr="00A57DBA">
              <w:rPr>
                <w:rFonts w:cstheme="minorHAnsi"/>
              </w:rPr>
              <w:t>Staff include 5 nurses (one male nurse), a clinic receptionist, youth officer, finance officer and M&amp;E officer.</w:t>
            </w:r>
          </w:p>
          <w:p w14:paraId="408B2658" w14:textId="77777777" w:rsidR="000221AD" w:rsidRDefault="000221AD" w:rsidP="000221AD">
            <w:pPr>
              <w:pStyle w:val="ListParagraph"/>
              <w:numPr>
                <w:ilvl w:val="0"/>
                <w:numId w:val="40"/>
              </w:numPr>
              <w:spacing w:after="0" w:line="240" w:lineRule="auto"/>
              <w:contextualSpacing/>
              <w:rPr>
                <w:rFonts w:cstheme="minorHAnsi"/>
              </w:rPr>
            </w:pPr>
            <w:r>
              <w:rPr>
                <w:rFonts w:cstheme="minorHAnsi"/>
              </w:rPr>
              <w:t xml:space="preserve">10 active volunteers </w:t>
            </w:r>
          </w:p>
          <w:p w14:paraId="354AC574" w14:textId="77777777" w:rsidR="000221AD" w:rsidRDefault="000221AD" w:rsidP="000221AD">
            <w:pPr>
              <w:pStyle w:val="ListParagraph"/>
              <w:numPr>
                <w:ilvl w:val="0"/>
                <w:numId w:val="40"/>
              </w:numPr>
              <w:spacing w:after="0" w:line="240" w:lineRule="auto"/>
              <w:contextualSpacing/>
              <w:rPr>
                <w:rFonts w:cstheme="minorHAnsi"/>
              </w:rPr>
            </w:pPr>
            <w:r>
              <w:rPr>
                <w:rFonts w:cstheme="minorHAnsi"/>
              </w:rPr>
              <w:lastRenderedPageBreak/>
              <w:t xml:space="preserve">Provision of </w:t>
            </w:r>
            <w:r w:rsidR="002E27A2">
              <w:rPr>
                <w:rFonts w:cstheme="minorHAnsi"/>
              </w:rPr>
              <w:t>56 SRH</w:t>
            </w:r>
            <w:r>
              <w:rPr>
                <w:rFonts w:cstheme="minorHAnsi"/>
              </w:rPr>
              <w:t xml:space="preserve"> services – mapped against IPPF 225 coded services from Family Planning, Antenatal, HIV/</w:t>
            </w:r>
            <w:r w:rsidRPr="0073491D">
              <w:rPr>
                <w:rFonts w:cstheme="minorHAnsi"/>
              </w:rPr>
              <w:t xml:space="preserve"> STI/RTI checks, </w:t>
            </w:r>
            <w:proofErr w:type="spellStart"/>
            <w:r w:rsidRPr="0073491D">
              <w:rPr>
                <w:rFonts w:cstheme="minorHAnsi"/>
              </w:rPr>
              <w:t>gynaecological</w:t>
            </w:r>
            <w:proofErr w:type="spellEnd"/>
            <w:r w:rsidRPr="0073491D">
              <w:rPr>
                <w:rFonts w:cstheme="minorHAnsi"/>
              </w:rPr>
              <w:t xml:space="preserve"> care including Pap Smears, counselling</w:t>
            </w:r>
            <w:r>
              <w:rPr>
                <w:rFonts w:cstheme="minorHAnsi"/>
              </w:rPr>
              <w:t>, urology etc.</w:t>
            </w:r>
          </w:p>
          <w:p w14:paraId="1085B18F" w14:textId="77777777" w:rsidR="000221AD" w:rsidRPr="00A57DBA" w:rsidRDefault="000221AD" w:rsidP="000221AD">
            <w:pPr>
              <w:pStyle w:val="ListParagraph"/>
              <w:numPr>
                <w:ilvl w:val="0"/>
                <w:numId w:val="40"/>
              </w:numPr>
              <w:spacing w:after="0" w:line="240" w:lineRule="auto"/>
              <w:contextualSpacing/>
              <w:rPr>
                <w:rFonts w:cstheme="minorHAnsi"/>
              </w:rPr>
            </w:pPr>
            <w:r>
              <w:rPr>
                <w:rFonts w:cstheme="minorHAnsi"/>
              </w:rPr>
              <w:t xml:space="preserve">VFHA has a social enterprising arm that generates funding for the </w:t>
            </w:r>
            <w:proofErr w:type="spellStart"/>
            <w:r>
              <w:rPr>
                <w:rFonts w:cstheme="minorHAnsi"/>
              </w:rPr>
              <w:t>organisation</w:t>
            </w:r>
            <w:proofErr w:type="spellEnd"/>
            <w:r>
              <w:rPr>
                <w:rFonts w:cstheme="minorHAnsi"/>
              </w:rPr>
              <w:t xml:space="preserve"> through a </w:t>
            </w:r>
            <w:r w:rsidR="002E27A2">
              <w:rPr>
                <w:rFonts w:cstheme="minorHAnsi"/>
              </w:rPr>
              <w:t>set-up</w:t>
            </w:r>
            <w:r>
              <w:rPr>
                <w:rFonts w:cstheme="minorHAnsi"/>
              </w:rPr>
              <w:t xml:space="preserve"> of clinic in Port Vila that provides medical check-up for Ni-Vanuatu who are applying for a driver’s license. </w:t>
            </w:r>
          </w:p>
          <w:p w14:paraId="73F97A30" w14:textId="77777777" w:rsidR="000221AD" w:rsidRPr="001F413F" w:rsidRDefault="000221AD" w:rsidP="000221AD">
            <w:pPr>
              <w:pStyle w:val="ListParagraph"/>
              <w:numPr>
                <w:ilvl w:val="0"/>
                <w:numId w:val="40"/>
              </w:numPr>
              <w:spacing w:after="0" w:line="240" w:lineRule="auto"/>
              <w:contextualSpacing/>
              <w:rPr>
                <w:rFonts w:cstheme="minorHAnsi"/>
              </w:rPr>
            </w:pPr>
            <w:r w:rsidRPr="001F413F">
              <w:rPr>
                <w:rFonts w:cstheme="minorHAnsi"/>
              </w:rPr>
              <w:t xml:space="preserve">VFHA youth friendly service (YFS) has been rolled out in govt health </w:t>
            </w:r>
            <w:proofErr w:type="spellStart"/>
            <w:r w:rsidRPr="001F413F">
              <w:rPr>
                <w:rFonts w:cstheme="minorHAnsi"/>
              </w:rPr>
              <w:t>centres</w:t>
            </w:r>
            <w:proofErr w:type="spellEnd"/>
            <w:r w:rsidRPr="001F413F">
              <w:rPr>
                <w:rFonts w:cstheme="minorHAnsi"/>
              </w:rPr>
              <w:t xml:space="preserve"> and VFHA staff accompany govt health staff on outreach and supervisory visits to </w:t>
            </w:r>
            <w:proofErr w:type="spellStart"/>
            <w:r w:rsidRPr="001F413F">
              <w:rPr>
                <w:rFonts w:cstheme="minorHAnsi"/>
              </w:rPr>
              <w:t>Ekipe</w:t>
            </w:r>
            <w:proofErr w:type="spellEnd"/>
            <w:r w:rsidRPr="001F413F">
              <w:rPr>
                <w:rFonts w:cstheme="minorHAnsi"/>
              </w:rPr>
              <w:t xml:space="preserve">, </w:t>
            </w:r>
            <w:proofErr w:type="spellStart"/>
            <w:r w:rsidRPr="001F413F">
              <w:rPr>
                <w:rFonts w:cstheme="minorHAnsi"/>
              </w:rPr>
              <w:t>Erakor</w:t>
            </w:r>
            <w:proofErr w:type="spellEnd"/>
            <w:r w:rsidRPr="001F413F">
              <w:rPr>
                <w:rFonts w:cstheme="minorHAnsi"/>
              </w:rPr>
              <w:t xml:space="preserve">, </w:t>
            </w:r>
            <w:proofErr w:type="spellStart"/>
            <w:r w:rsidRPr="001F413F">
              <w:rPr>
                <w:rFonts w:cstheme="minorHAnsi"/>
              </w:rPr>
              <w:t>Eratap</w:t>
            </w:r>
            <w:proofErr w:type="spellEnd"/>
            <w:r w:rsidRPr="001F413F">
              <w:rPr>
                <w:rFonts w:cstheme="minorHAnsi"/>
              </w:rPr>
              <w:t xml:space="preserve">, </w:t>
            </w:r>
            <w:proofErr w:type="spellStart"/>
            <w:r w:rsidRPr="001F413F">
              <w:rPr>
                <w:rFonts w:cstheme="minorHAnsi"/>
              </w:rPr>
              <w:t>Tokaro</w:t>
            </w:r>
            <w:proofErr w:type="spellEnd"/>
            <w:r w:rsidRPr="001F413F">
              <w:rPr>
                <w:rFonts w:cstheme="minorHAnsi"/>
              </w:rPr>
              <w:t xml:space="preserve">, </w:t>
            </w:r>
            <w:proofErr w:type="spellStart"/>
            <w:r w:rsidRPr="001F413F">
              <w:rPr>
                <w:rFonts w:cstheme="minorHAnsi"/>
              </w:rPr>
              <w:t>Pangpang</w:t>
            </w:r>
            <w:proofErr w:type="spellEnd"/>
            <w:r w:rsidRPr="001F413F">
              <w:rPr>
                <w:rFonts w:cstheme="minorHAnsi"/>
              </w:rPr>
              <w:t xml:space="preserve"> and to communities in South Santo.</w:t>
            </w:r>
          </w:p>
          <w:p w14:paraId="44D168F7" w14:textId="77777777" w:rsidR="000221AD" w:rsidRPr="001F413F" w:rsidRDefault="000221AD" w:rsidP="000221AD">
            <w:pPr>
              <w:pStyle w:val="ListParagraph"/>
              <w:numPr>
                <w:ilvl w:val="0"/>
                <w:numId w:val="40"/>
              </w:numPr>
              <w:spacing w:after="0" w:line="240" w:lineRule="auto"/>
              <w:contextualSpacing/>
              <w:rPr>
                <w:rFonts w:cstheme="minorHAnsi"/>
              </w:rPr>
            </w:pPr>
            <w:r w:rsidRPr="001F413F">
              <w:rPr>
                <w:rFonts w:cstheme="minorHAnsi"/>
              </w:rPr>
              <w:t xml:space="preserve">VFHA is an implementing partner for UNFPA PRSRHP - rolling out training of and increase the uptake of </w:t>
            </w:r>
            <w:proofErr w:type="spellStart"/>
            <w:r w:rsidRPr="001F413F">
              <w:rPr>
                <w:rFonts w:cstheme="minorHAnsi"/>
              </w:rPr>
              <w:t>Jadelle</w:t>
            </w:r>
            <w:proofErr w:type="spellEnd"/>
            <w:r w:rsidRPr="001F413F">
              <w:rPr>
                <w:rFonts w:cstheme="minorHAnsi"/>
              </w:rPr>
              <w:t>. Training was provided for 113 health workers at national and provincial levels. Support for FLE in selected schools and school-based clinics was also supported.  VFHA is said to have the best implementation rate of the five countries involved (UNFPA PRSRHP Annual Report 2016-2017).</w:t>
            </w:r>
          </w:p>
          <w:p w14:paraId="30B4AA5E" w14:textId="77777777" w:rsidR="000221AD" w:rsidRPr="001F413F" w:rsidRDefault="000221AD" w:rsidP="000221AD">
            <w:pPr>
              <w:pStyle w:val="ListParagraph"/>
              <w:numPr>
                <w:ilvl w:val="0"/>
                <w:numId w:val="40"/>
              </w:numPr>
              <w:spacing w:after="0" w:line="240" w:lineRule="auto"/>
              <w:contextualSpacing/>
              <w:rPr>
                <w:rFonts w:cstheme="minorHAnsi"/>
              </w:rPr>
            </w:pPr>
            <w:proofErr w:type="spellStart"/>
            <w:r w:rsidRPr="001F413F">
              <w:rPr>
                <w:rFonts w:cstheme="minorHAnsi"/>
              </w:rPr>
              <w:t>MoH</w:t>
            </w:r>
            <w:proofErr w:type="spellEnd"/>
            <w:r w:rsidRPr="001F413F">
              <w:rPr>
                <w:rFonts w:cstheme="minorHAnsi"/>
              </w:rPr>
              <w:t xml:space="preserve"> and provincial health staff agree VFHA is the leading SRH </w:t>
            </w:r>
            <w:proofErr w:type="spellStart"/>
            <w:r w:rsidRPr="001F413F">
              <w:rPr>
                <w:rFonts w:cstheme="minorHAnsi"/>
              </w:rPr>
              <w:t>organisation</w:t>
            </w:r>
            <w:proofErr w:type="spellEnd"/>
            <w:r w:rsidRPr="001F413F">
              <w:rPr>
                <w:rFonts w:cstheme="minorHAnsi"/>
              </w:rPr>
              <w:t xml:space="preserve"> in Vanuatu and could do more with more resources.</w:t>
            </w:r>
          </w:p>
          <w:p w14:paraId="1DF89B70" w14:textId="77777777" w:rsidR="000221AD" w:rsidRPr="001F413F" w:rsidRDefault="000221AD" w:rsidP="000221AD">
            <w:pPr>
              <w:pStyle w:val="ListParagraph"/>
              <w:numPr>
                <w:ilvl w:val="0"/>
                <w:numId w:val="40"/>
              </w:numPr>
              <w:spacing w:after="0" w:line="240" w:lineRule="auto"/>
              <w:contextualSpacing/>
              <w:rPr>
                <w:rFonts w:cstheme="minorHAnsi"/>
              </w:rPr>
            </w:pPr>
            <w:r w:rsidRPr="001F413F">
              <w:rPr>
                <w:rFonts w:cstheme="minorHAnsi"/>
              </w:rPr>
              <w:t xml:space="preserve">VFHA intends doing a program with NZFPI similar to the Healthy Families Program in Kiribati supported by NZFPI. It will target remote areas in rural Santo, Banks and South Pentecost.   </w:t>
            </w:r>
          </w:p>
          <w:p w14:paraId="656FCF82" w14:textId="77777777" w:rsidR="000221AD" w:rsidRDefault="000221AD" w:rsidP="0081036B">
            <w:pPr>
              <w:rPr>
                <w:rFonts w:cstheme="minorHAnsi"/>
              </w:rPr>
            </w:pPr>
          </w:p>
          <w:p w14:paraId="0D78946F" w14:textId="77777777" w:rsidR="000221AD" w:rsidRPr="00966B2A" w:rsidRDefault="000221AD" w:rsidP="0081036B">
            <w:pPr>
              <w:rPr>
                <w:rFonts w:cstheme="minorHAnsi"/>
              </w:rPr>
            </w:pPr>
            <w:r>
              <w:rPr>
                <w:rFonts w:cstheme="minorHAnsi"/>
              </w:rPr>
              <w:t>No. of SDPs: 3 static clinic and 3 mobile/outreach clinical team.</w:t>
            </w:r>
          </w:p>
        </w:tc>
      </w:tr>
    </w:tbl>
    <w:p w14:paraId="06C50B77" w14:textId="77777777" w:rsidR="00B21BF0" w:rsidRDefault="009A56D8" w:rsidP="008453DD">
      <w:pPr>
        <w:pStyle w:val="Title"/>
      </w:pPr>
      <w:bookmarkStart w:id="59" w:name="_Toc76630115"/>
      <w:r>
        <w:lastRenderedPageBreak/>
        <w:t xml:space="preserve">Annex </w:t>
      </w:r>
      <w:r w:rsidR="004D2D92">
        <w:t>11</w:t>
      </w:r>
      <w:r>
        <w:t>: Acronyms</w:t>
      </w:r>
      <w:bookmarkEnd w:id="59"/>
    </w:p>
    <w:p w14:paraId="5055884E" w14:textId="77777777" w:rsidR="009A56D8" w:rsidRDefault="009A56D8" w:rsidP="009A56D8">
      <w:pPr>
        <w:pStyle w:val="Acronymstabletext"/>
        <w:rPr>
          <w:rFonts w:eastAsia="Calibri"/>
          <w:highlight w:val="white"/>
        </w:rPr>
      </w:pPr>
    </w:p>
    <w:p w14:paraId="7C5AFB63" w14:textId="77777777" w:rsidR="009A56D8" w:rsidRDefault="009A56D8" w:rsidP="009A56D8">
      <w:pPr>
        <w:pStyle w:val="Acronymstabletext"/>
        <w:rPr>
          <w:rFonts w:eastAsia="Calibri"/>
          <w:highlight w:val="white"/>
        </w:rPr>
      </w:pPr>
      <w:r>
        <w:rPr>
          <w:rFonts w:eastAsia="Calibri"/>
          <w:highlight w:val="white"/>
        </w:rPr>
        <w:t>ABC</w:t>
      </w:r>
      <w:r>
        <w:rPr>
          <w:rFonts w:eastAsia="Calibri"/>
          <w:highlight w:val="white"/>
        </w:rPr>
        <w:tab/>
      </w:r>
      <w:r>
        <w:rPr>
          <w:rFonts w:eastAsia="Calibri"/>
          <w:highlight w:val="white"/>
        </w:rPr>
        <w:tab/>
        <w:t>Australian Broadcasting Commission</w:t>
      </w:r>
    </w:p>
    <w:p w14:paraId="496B0A1D" w14:textId="77777777" w:rsidR="006C2660" w:rsidRDefault="006C2660" w:rsidP="009A56D8">
      <w:pPr>
        <w:pStyle w:val="Acronymstabletext"/>
        <w:rPr>
          <w:rFonts w:eastAsia="Calibri"/>
          <w:highlight w:val="white"/>
        </w:rPr>
      </w:pPr>
      <w:r>
        <w:rPr>
          <w:rFonts w:eastAsia="Calibri"/>
          <w:highlight w:val="white"/>
        </w:rPr>
        <w:t>ABR</w:t>
      </w:r>
      <w:r>
        <w:rPr>
          <w:rFonts w:eastAsia="Calibri"/>
          <w:highlight w:val="white"/>
        </w:rPr>
        <w:tab/>
      </w:r>
      <w:r>
        <w:rPr>
          <w:rFonts w:eastAsia="Calibri"/>
          <w:highlight w:val="white"/>
        </w:rPr>
        <w:tab/>
        <w:t>Adolescent Birth Rate</w:t>
      </w:r>
    </w:p>
    <w:p w14:paraId="2A6FCBD6" w14:textId="77777777" w:rsidR="008E6D7B" w:rsidRDefault="008E6D7B" w:rsidP="009A56D8">
      <w:pPr>
        <w:pStyle w:val="Acronymstabletext"/>
        <w:rPr>
          <w:rFonts w:eastAsia="Calibri"/>
          <w:highlight w:val="white"/>
        </w:rPr>
      </w:pPr>
      <w:r>
        <w:rPr>
          <w:rFonts w:eastAsia="Calibri"/>
          <w:highlight w:val="white"/>
        </w:rPr>
        <w:t>AIDS</w:t>
      </w:r>
      <w:r>
        <w:rPr>
          <w:rFonts w:eastAsia="Calibri"/>
          <w:highlight w:val="white"/>
        </w:rPr>
        <w:tab/>
      </w:r>
      <w:r>
        <w:rPr>
          <w:rFonts w:eastAsia="Calibri"/>
          <w:highlight w:val="white"/>
        </w:rPr>
        <w:tab/>
      </w:r>
      <w:r w:rsidR="0074672F">
        <w:rPr>
          <w:rFonts w:eastAsia="Calibri"/>
        </w:rPr>
        <w:t>A</w:t>
      </w:r>
      <w:r w:rsidR="0074672F" w:rsidRPr="0074672F">
        <w:rPr>
          <w:rFonts w:ascii="Arial" w:hAnsi="Arial" w:cs="Arial"/>
          <w:sz w:val="21"/>
          <w:szCs w:val="21"/>
          <w:shd w:val="clear" w:color="auto" w:fill="FFFFFF"/>
        </w:rPr>
        <w:t xml:space="preserve">cquired </w:t>
      </w:r>
      <w:r w:rsidR="0074672F">
        <w:rPr>
          <w:rFonts w:ascii="Arial" w:hAnsi="Arial" w:cs="Arial"/>
          <w:sz w:val="21"/>
          <w:szCs w:val="21"/>
          <w:shd w:val="clear" w:color="auto" w:fill="FFFFFF"/>
        </w:rPr>
        <w:t>I</w:t>
      </w:r>
      <w:r w:rsidR="0074672F" w:rsidRPr="0074672F">
        <w:rPr>
          <w:rFonts w:ascii="Arial" w:hAnsi="Arial" w:cs="Arial"/>
          <w:sz w:val="21"/>
          <w:szCs w:val="21"/>
          <w:shd w:val="clear" w:color="auto" w:fill="FFFFFF"/>
        </w:rPr>
        <w:t>mmuno</w:t>
      </w:r>
      <w:r w:rsidR="0074672F">
        <w:rPr>
          <w:rFonts w:ascii="Arial" w:hAnsi="Arial" w:cs="Arial"/>
          <w:sz w:val="21"/>
          <w:szCs w:val="21"/>
          <w:shd w:val="clear" w:color="auto" w:fill="FFFFFF"/>
        </w:rPr>
        <w:t>-</w:t>
      </w:r>
      <w:r w:rsidR="0074672F" w:rsidRPr="0074672F">
        <w:rPr>
          <w:rFonts w:ascii="Arial" w:hAnsi="Arial" w:cs="Arial"/>
          <w:sz w:val="21"/>
          <w:szCs w:val="21"/>
          <w:shd w:val="clear" w:color="auto" w:fill="FFFFFF"/>
        </w:rPr>
        <w:t xml:space="preserve">deficiency </w:t>
      </w:r>
      <w:proofErr w:type="gramStart"/>
      <w:r w:rsidR="0074672F">
        <w:rPr>
          <w:rFonts w:ascii="Arial" w:hAnsi="Arial" w:cs="Arial"/>
          <w:sz w:val="21"/>
          <w:szCs w:val="21"/>
          <w:shd w:val="clear" w:color="auto" w:fill="FFFFFF"/>
        </w:rPr>
        <w:t>S</w:t>
      </w:r>
      <w:r w:rsidR="0074672F" w:rsidRPr="0074672F">
        <w:rPr>
          <w:rFonts w:ascii="Arial" w:hAnsi="Arial" w:cs="Arial"/>
          <w:sz w:val="21"/>
          <w:szCs w:val="21"/>
          <w:shd w:val="clear" w:color="auto" w:fill="FFFFFF"/>
        </w:rPr>
        <w:t>yndrome</w:t>
      </w:r>
      <w:proofErr w:type="gramEnd"/>
    </w:p>
    <w:p w14:paraId="1DEB874B" w14:textId="77777777" w:rsidR="00E46F20" w:rsidRDefault="00E46F20" w:rsidP="009A56D8">
      <w:pPr>
        <w:pStyle w:val="Acronymstabletext"/>
        <w:rPr>
          <w:rFonts w:eastAsia="Calibri"/>
          <w:highlight w:val="white"/>
        </w:rPr>
      </w:pPr>
      <w:r>
        <w:rPr>
          <w:rFonts w:eastAsia="Calibri"/>
          <w:highlight w:val="white"/>
        </w:rPr>
        <w:t>ANC</w:t>
      </w:r>
      <w:r>
        <w:rPr>
          <w:rFonts w:eastAsia="Calibri"/>
          <w:highlight w:val="white"/>
        </w:rPr>
        <w:tab/>
      </w:r>
      <w:r>
        <w:rPr>
          <w:rFonts w:eastAsia="Calibri"/>
          <w:highlight w:val="white"/>
        </w:rPr>
        <w:tab/>
        <w:t xml:space="preserve">Ante Natal </w:t>
      </w:r>
      <w:r w:rsidR="00BE2A0A">
        <w:rPr>
          <w:rFonts w:eastAsia="Calibri"/>
          <w:highlight w:val="white"/>
        </w:rPr>
        <w:t>Care</w:t>
      </w:r>
    </w:p>
    <w:p w14:paraId="6FB204B6" w14:textId="77777777" w:rsidR="009A56D8" w:rsidRPr="00BD0F3E" w:rsidRDefault="009A56D8" w:rsidP="009A56D8">
      <w:pPr>
        <w:pStyle w:val="Acronymstabletext"/>
        <w:rPr>
          <w:rFonts w:eastAsia="Calibri"/>
          <w:highlight w:val="white"/>
        </w:rPr>
      </w:pPr>
      <w:r w:rsidRPr="00BD0F3E">
        <w:rPr>
          <w:rFonts w:eastAsia="Calibri"/>
          <w:highlight w:val="white"/>
        </w:rPr>
        <w:t>AWP</w:t>
      </w:r>
      <w:r w:rsidRPr="00BD0F3E">
        <w:rPr>
          <w:rFonts w:eastAsia="Calibri"/>
          <w:highlight w:val="white"/>
        </w:rPr>
        <w:tab/>
      </w:r>
      <w:r w:rsidRPr="00BD0F3E">
        <w:rPr>
          <w:rFonts w:eastAsia="Calibri"/>
          <w:highlight w:val="white"/>
        </w:rPr>
        <w:tab/>
        <w:t>Annual Work Plan</w:t>
      </w:r>
    </w:p>
    <w:p w14:paraId="1B6BAA5D" w14:textId="77777777" w:rsidR="009A56D8" w:rsidRPr="00BD0F3E" w:rsidRDefault="009A56D8" w:rsidP="009A56D8">
      <w:pPr>
        <w:pStyle w:val="Acronymstabletext"/>
        <w:rPr>
          <w:rFonts w:eastAsia="Calibri"/>
          <w:highlight w:val="white"/>
        </w:rPr>
      </w:pPr>
      <w:r w:rsidRPr="00BD0F3E">
        <w:rPr>
          <w:rFonts w:eastAsia="Calibri"/>
          <w:highlight w:val="white"/>
        </w:rPr>
        <w:t>AY</w:t>
      </w:r>
      <w:r w:rsidRPr="00BD0F3E">
        <w:rPr>
          <w:rFonts w:eastAsia="Calibri"/>
          <w:highlight w:val="white"/>
        </w:rPr>
        <w:tab/>
      </w:r>
      <w:r w:rsidRPr="00BD0F3E">
        <w:rPr>
          <w:rFonts w:eastAsia="Calibri"/>
          <w:highlight w:val="white"/>
        </w:rPr>
        <w:tab/>
        <w:t>Adolescent and Youth</w:t>
      </w:r>
    </w:p>
    <w:p w14:paraId="0C736929" w14:textId="77777777" w:rsidR="009A56D8" w:rsidRPr="00BD0F3E" w:rsidRDefault="009A56D8" w:rsidP="009A56D8">
      <w:pPr>
        <w:pStyle w:val="Acronymstabletext"/>
        <w:rPr>
          <w:rFonts w:eastAsia="Calibri"/>
          <w:highlight w:val="white"/>
        </w:rPr>
      </w:pPr>
      <w:r w:rsidRPr="00BD0F3E">
        <w:rPr>
          <w:rFonts w:eastAsia="Calibri"/>
          <w:highlight w:val="white"/>
        </w:rPr>
        <w:t>AYFHS</w:t>
      </w:r>
      <w:r w:rsidRPr="00BD0F3E">
        <w:rPr>
          <w:rFonts w:eastAsia="Calibri"/>
          <w:highlight w:val="white"/>
        </w:rPr>
        <w:tab/>
      </w:r>
      <w:r w:rsidRPr="00BD0F3E">
        <w:rPr>
          <w:rFonts w:eastAsia="Calibri"/>
          <w:highlight w:val="white"/>
        </w:rPr>
        <w:tab/>
        <w:t>Adolescent and Youth-Friendly Health Services</w:t>
      </w:r>
    </w:p>
    <w:p w14:paraId="42960649" w14:textId="77777777" w:rsidR="009A56D8" w:rsidRPr="00BD0F3E" w:rsidRDefault="009A56D8" w:rsidP="009A56D8">
      <w:pPr>
        <w:pStyle w:val="Acronymstabletext"/>
        <w:rPr>
          <w:rFonts w:eastAsia="Calibri"/>
        </w:rPr>
      </w:pPr>
      <w:r w:rsidRPr="00BD0F3E">
        <w:rPr>
          <w:rFonts w:eastAsia="Calibri"/>
        </w:rPr>
        <w:t>AYSRH</w:t>
      </w:r>
      <w:r w:rsidRPr="00BD0F3E">
        <w:rPr>
          <w:rFonts w:eastAsia="Calibri"/>
        </w:rPr>
        <w:tab/>
      </w:r>
      <w:r w:rsidRPr="00BD0F3E">
        <w:rPr>
          <w:rFonts w:eastAsia="Calibri"/>
        </w:rPr>
        <w:tab/>
        <w:t>Adolescent and Youth Sexual and Reproductive Health</w:t>
      </w:r>
    </w:p>
    <w:p w14:paraId="107C07CC" w14:textId="77777777" w:rsidR="009A56D8" w:rsidRPr="00BD0F3E" w:rsidRDefault="009A56D8" w:rsidP="009A56D8">
      <w:pPr>
        <w:pStyle w:val="Acronymstabletext"/>
        <w:rPr>
          <w:rFonts w:eastAsia="Calibri"/>
        </w:rPr>
      </w:pPr>
      <w:r w:rsidRPr="00BD0F3E">
        <w:rPr>
          <w:rFonts w:eastAsia="Calibri"/>
        </w:rPr>
        <w:t>BCC</w:t>
      </w:r>
      <w:r w:rsidRPr="00BD0F3E">
        <w:rPr>
          <w:rFonts w:eastAsia="Calibri"/>
        </w:rPr>
        <w:tab/>
      </w:r>
      <w:r w:rsidRPr="00BD0F3E">
        <w:rPr>
          <w:rFonts w:eastAsia="Calibri"/>
        </w:rPr>
        <w:tab/>
        <w:t>Behaviour Change Communication</w:t>
      </w:r>
    </w:p>
    <w:p w14:paraId="0143D875" w14:textId="77777777" w:rsidR="009A56D8" w:rsidRPr="00BD0F3E" w:rsidRDefault="009A56D8" w:rsidP="009A56D8">
      <w:pPr>
        <w:pStyle w:val="Acronymstabletext"/>
        <w:rPr>
          <w:rFonts w:eastAsia="Calibri"/>
          <w:highlight w:val="white"/>
        </w:rPr>
      </w:pPr>
      <w:r w:rsidRPr="00BD0F3E">
        <w:rPr>
          <w:rFonts w:eastAsia="Calibri"/>
          <w:highlight w:val="white"/>
        </w:rPr>
        <w:t xml:space="preserve">CPR             </w:t>
      </w:r>
      <w:r w:rsidRPr="00BD0F3E">
        <w:rPr>
          <w:rFonts w:eastAsia="Calibri"/>
          <w:highlight w:val="white"/>
        </w:rPr>
        <w:tab/>
        <w:t>Contraceptive Prevalence Rate</w:t>
      </w:r>
    </w:p>
    <w:p w14:paraId="22D3AE96" w14:textId="77777777" w:rsidR="007E7ED9" w:rsidRDefault="007E7ED9" w:rsidP="009A56D8">
      <w:pPr>
        <w:pStyle w:val="Acronymstabletext"/>
        <w:rPr>
          <w:rFonts w:eastAsia="Calibri"/>
          <w:highlight w:val="white"/>
        </w:rPr>
      </w:pPr>
      <w:r>
        <w:rPr>
          <w:rFonts w:eastAsia="Calibri"/>
          <w:highlight w:val="white"/>
        </w:rPr>
        <w:t>COGN</w:t>
      </w:r>
      <w:r w:rsidR="00CB261B">
        <w:rPr>
          <w:rFonts w:eastAsia="Calibri"/>
          <w:highlight w:val="white"/>
        </w:rPr>
        <w:t>OS</w:t>
      </w:r>
      <w:r w:rsidR="00CB261B">
        <w:rPr>
          <w:rFonts w:eastAsia="Calibri"/>
          <w:highlight w:val="white"/>
        </w:rPr>
        <w:tab/>
      </w:r>
      <w:r w:rsidR="00D22C28">
        <w:rPr>
          <w:rFonts w:eastAsia="Calibri"/>
          <w:highlight w:val="white"/>
        </w:rPr>
        <w:t>Spreadsh</w:t>
      </w:r>
      <w:r w:rsidR="006F59B6">
        <w:rPr>
          <w:rFonts w:eastAsia="Calibri"/>
          <w:highlight w:val="white"/>
        </w:rPr>
        <w:t>eet of Activities, Budget and Utilisation by IP and Country</w:t>
      </w:r>
    </w:p>
    <w:p w14:paraId="2DDD7F2B" w14:textId="77777777" w:rsidR="00E71944" w:rsidRDefault="00E71944" w:rsidP="009A56D8">
      <w:pPr>
        <w:pStyle w:val="Acronymstabletext"/>
        <w:rPr>
          <w:rFonts w:eastAsia="Calibri"/>
          <w:highlight w:val="white"/>
        </w:rPr>
      </w:pPr>
      <w:r>
        <w:rPr>
          <w:rFonts w:eastAsia="Calibri"/>
          <w:highlight w:val="white"/>
        </w:rPr>
        <w:t>CROP</w:t>
      </w:r>
      <w:r>
        <w:rPr>
          <w:rFonts w:eastAsia="Calibri"/>
          <w:highlight w:val="white"/>
        </w:rPr>
        <w:tab/>
      </w:r>
      <w:r>
        <w:rPr>
          <w:rFonts w:eastAsia="Calibri"/>
          <w:highlight w:val="white"/>
        </w:rPr>
        <w:tab/>
        <w:t>Council of Regional Organisations in the Pacific</w:t>
      </w:r>
    </w:p>
    <w:p w14:paraId="25646F53" w14:textId="77777777" w:rsidR="009A56D8" w:rsidRPr="00BD0F3E" w:rsidRDefault="009A56D8" w:rsidP="009A56D8">
      <w:pPr>
        <w:pStyle w:val="Acronymstabletext"/>
        <w:rPr>
          <w:rFonts w:eastAsia="Calibri"/>
          <w:highlight w:val="white"/>
        </w:rPr>
      </w:pPr>
      <w:r w:rsidRPr="00BD0F3E">
        <w:rPr>
          <w:rFonts w:eastAsia="Calibri"/>
          <w:highlight w:val="white"/>
        </w:rPr>
        <w:t xml:space="preserve">CSE        </w:t>
      </w:r>
      <w:r w:rsidRPr="00BD0F3E">
        <w:rPr>
          <w:rFonts w:eastAsia="Calibri"/>
          <w:highlight w:val="white"/>
        </w:rPr>
        <w:tab/>
        <w:t>Comprehensive Sexuality Education</w:t>
      </w:r>
    </w:p>
    <w:p w14:paraId="190F850E" w14:textId="77777777" w:rsidR="009A56D8" w:rsidRPr="00BD0F3E" w:rsidRDefault="009A56D8" w:rsidP="009A56D8">
      <w:pPr>
        <w:pStyle w:val="Acronymstabletext"/>
        <w:rPr>
          <w:rFonts w:eastAsia="Calibri"/>
          <w:highlight w:val="white"/>
        </w:rPr>
      </w:pPr>
      <w:r w:rsidRPr="00BD0F3E">
        <w:rPr>
          <w:rFonts w:eastAsia="Calibri"/>
          <w:highlight w:val="white"/>
        </w:rPr>
        <w:t xml:space="preserve">CSO             </w:t>
      </w:r>
      <w:r w:rsidRPr="00BD0F3E">
        <w:rPr>
          <w:rFonts w:eastAsia="Calibri"/>
          <w:highlight w:val="white"/>
        </w:rPr>
        <w:tab/>
        <w:t>Civil Society Organization</w:t>
      </w:r>
    </w:p>
    <w:p w14:paraId="03702745" w14:textId="77777777" w:rsidR="009A56D8" w:rsidRDefault="009A56D8" w:rsidP="009A56D8">
      <w:pPr>
        <w:pStyle w:val="Acronymstabletext"/>
        <w:rPr>
          <w:rFonts w:eastAsia="Calibri"/>
          <w:highlight w:val="white"/>
        </w:rPr>
      </w:pPr>
      <w:r>
        <w:rPr>
          <w:rFonts w:eastAsia="Calibri"/>
          <w:highlight w:val="white"/>
        </w:rPr>
        <w:t>DAC</w:t>
      </w:r>
      <w:r>
        <w:rPr>
          <w:rFonts w:eastAsia="Calibri"/>
          <w:highlight w:val="white"/>
        </w:rPr>
        <w:tab/>
      </w:r>
      <w:r>
        <w:rPr>
          <w:rFonts w:eastAsia="Calibri"/>
          <w:highlight w:val="white"/>
        </w:rPr>
        <w:tab/>
        <w:t>Development Assistance Committee</w:t>
      </w:r>
    </w:p>
    <w:p w14:paraId="009F2E3E" w14:textId="77777777" w:rsidR="009A56D8" w:rsidRPr="00BD0F3E" w:rsidRDefault="009A56D8" w:rsidP="009A56D8">
      <w:pPr>
        <w:pStyle w:val="Acronymstabletext"/>
        <w:rPr>
          <w:rFonts w:eastAsia="Calibri"/>
          <w:highlight w:val="white"/>
        </w:rPr>
      </w:pPr>
      <w:r w:rsidRPr="00BD0F3E">
        <w:rPr>
          <w:rFonts w:eastAsia="Calibri"/>
          <w:highlight w:val="white"/>
        </w:rPr>
        <w:t>DFAT</w:t>
      </w:r>
      <w:r w:rsidRPr="00BD0F3E">
        <w:rPr>
          <w:rFonts w:eastAsia="Calibri"/>
          <w:highlight w:val="white"/>
        </w:rPr>
        <w:tab/>
      </w:r>
      <w:r w:rsidRPr="00BD0F3E">
        <w:rPr>
          <w:rFonts w:eastAsia="Calibri"/>
          <w:highlight w:val="white"/>
        </w:rPr>
        <w:tab/>
        <w:t>Department of Foreign Affairs &amp; Trade (Australian Government)</w:t>
      </w:r>
    </w:p>
    <w:p w14:paraId="75BDA3C6" w14:textId="77777777" w:rsidR="009A56D8" w:rsidRPr="00BD0F3E" w:rsidRDefault="009A56D8" w:rsidP="009A56D8">
      <w:pPr>
        <w:pStyle w:val="Acronymstabletext"/>
        <w:rPr>
          <w:rFonts w:eastAsia="Calibri"/>
          <w:highlight w:val="white"/>
        </w:rPr>
      </w:pPr>
      <w:r w:rsidRPr="00BD0F3E">
        <w:rPr>
          <w:rFonts w:eastAsia="Calibri"/>
          <w:highlight w:val="white"/>
        </w:rPr>
        <w:t>DHS</w:t>
      </w:r>
      <w:r w:rsidRPr="00BD0F3E">
        <w:rPr>
          <w:rFonts w:eastAsia="Calibri"/>
          <w:highlight w:val="white"/>
        </w:rPr>
        <w:tab/>
      </w:r>
      <w:r w:rsidRPr="00BD0F3E">
        <w:rPr>
          <w:rFonts w:eastAsia="Calibri"/>
          <w:highlight w:val="white"/>
        </w:rPr>
        <w:tab/>
        <w:t>Demographic Health Survey</w:t>
      </w:r>
    </w:p>
    <w:p w14:paraId="0740E1AD" w14:textId="77777777" w:rsidR="009A56D8" w:rsidRPr="00BD0F3E" w:rsidRDefault="009A56D8" w:rsidP="009A56D8">
      <w:pPr>
        <w:pStyle w:val="Acronymstabletext"/>
        <w:rPr>
          <w:rFonts w:eastAsia="Calibri"/>
          <w:highlight w:val="white"/>
        </w:rPr>
      </w:pPr>
      <w:r w:rsidRPr="00BD0F3E">
        <w:rPr>
          <w:rFonts w:eastAsia="Calibri"/>
          <w:highlight w:val="white"/>
        </w:rPr>
        <w:t>EC</w:t>
      </w:r>
      <w:r w:rsidRPr="00BD0F3E">
        <w:rPr>
          <w:rFonts w:eastAsia="Calibri"/>
          <w:highlight w:val="white"/>
        </w:rPr>
        <w:tab/>
      </w:r>
      <w:r w:rsidRPr="00BD0F3E">
        <w:rPr>
          <w:rFonts w:eastAsia="Calibri"/>
          <w:highlight w:val="white"/>
        </w:rPr>
        <w:tab/>
        <w:t>Emergency Contraception</w:t>
      </w:r>
    </w:p>
    <w:p w14:paraId="5F1E5F1F" w14:textId="77777777" w:rsidR="009A56D8" w:rsidRPr="00BD0F3E" w:rsidRDefault="009A56D8" w:rsidP="009A56D8">
      <w:pPr>
        <w:pStyle w:val="Acronymstabletext"/>
        <w:rPr>
          <w:rFonts w:eastAsia="Calibri"/>
          <w:highlight w:val="white"/>
        </w:rPr>
      </w:pPr>
      <w:r w:rsidRPr="00BD0F3E">
        <w:rPr>
          <w:rFonts w:eastAsia="Calibri"/>
          <w:highlight w:val="white"/>
        </w:rPr>
        <w:t xml:space="preserve">EMONC  </w:t>
      </w:r>
      <w:r w:rsidRPr="00BD0F3E">
        <w:rPr>
          <w:rFonts w:eastAsia="Calibri"/>
          <w:highlight w:val="white"/>
        </w:rPr>
        <w:tab/>
        <w:t>Emergency Obstetric and Neonatal Care</w:t>
      </w:r>
    </w:p>
    <w:p w14:paraId="2B3407B9" w14:textId="77777777" w:rsidR="009A56D8" w:rsidRDefault="009A56D8" w:rsidP="009A56D8">
      <w:pPr>
        <w:pStyle w:val="Acronymstabletext"/>
        <w:rPr>
          <w:rFonts w:eastAsia="Calibri"/>
          <w:highlight w:val="white"/>
        </w:rPr>
      </w:pPr>
      <w:r>
        <w:rPr>
          <w:rFonts w:eastAsia="Calibri"/>
          <w:highlight w:val="white"/>
        </w:rPr>
        <w:t>ESP</w:t>
      </w:r>
      <w:r>
        <w:rPr>
          <w:rFonts w:eastAsia="Calibri"/>
          <w:highlight w:val="white"/>
        </w:rPr>
        <w:tab/>
      </w:r>
      <w:r>
        <w:rPr>
          <w:rFonts w:eastAsia="Calibri"/>
          <w:highlight w:val="white"/>
        </w:rPr>
        <w:tab/>
        <w:t>Essential Services Package</w:t>
      </w:r>
    </w:p>
    <w:p w14:paraId="0619076C" w14:textId="77777777" w:rsidR="001F4FE9" w:rsidRDefault="001F4FE9" w:rsidP="009A56D8">
      <w:pPr>
        <w:pStyle w:val="Acronymstabletext"/>
        <w:rPr>
          <w:rFonts w:eastAsia="Calibri"/>
          <w:highlight w:val="white"/>
        </w:rPr>
      </w:pPr>
      <w:r>
        <w:rPr>
          <w:rFonts w:eastAsia="Calibri"/>
          <w:highlight w:val="white"/>
        </w:rPr>
        <w:t>FACE</w:t>
      </w:r>
      <w:r>
        <w:rPr>
          <w:rFonts w:eastAsia="Calibri"/>
          <w:highlight w:val="white"/>
        </w:rPr>
        <w:tab/>
      </w:r>
      <w:r>
        <w:rPr>
          <w:rFonts w:eastAsia="Calibri"/>
          <w:highlight w:val="white"/>
        </w:rPr>
        <w:tab/>
        <w:t>Financial Management Forms (UNFPA)</w:t>
      </w:r>
    </w:p>
    <w:p w14:paraId="093E6B17" w14:textId="77777777" w:rsidR="009A56D8" w:rsidRPr="00BD0F3E" w:rsidRDefault="009A56D8" w:rsidP="009A56D8">
      <w:pPr>
        <w:pStyle w:val="Acronymstabletext"/>
        <w:rPr>
          <w:rFonts w:eastAsia="Calibri"/>
          <w:highlight w:val="white"/>
        </w:rPr>
      </w:pPr>
      <w:r w:rsidRPr="00BD0F3E">
        <w:rPr>
          <w:rFonts w:eastAsia="Calibri"/>
          <w:highlight w:val="white"/>
        </w:rPr>
        <w:t xml:space="preserve">FLE             </w:t>
      </w:r>
      <w:r w:rsidRPr="00BD0F3E">
        <w:rPr>
          <w:rFonts w:eastAsia="Calibri"/>
          <w:highlight w:val="white"/>
        </w:rPr>
        <w:tab/>
        <w:t>Family Life Education</w:t>
      </w:r>
    </w:p>
    <w:p w14:paraId="3A9F1551" w14:textId="77777777" w:rsidR="009A56D8" w:rsidRPr="00BD0F3E" w:rsidRDefault="009A56D8" w:rsidP="009A56D8">
      <w:pPr>
        <w:pStyle w:val="Acronymstabletext"/>
        <w:rPr>
          <w:rFonts w:eastAsia="Calibri"/>
          <w:highlight w:val="white"/>
        </w:rPr>
      </w:pPr>
      <w:r w:rsidRPr="00BD0F3E">
        <w:rPr>
          <w:rFonts w:eastAsia="Calibri"/>
          <w:highlight w:val="white"/>
        </w:rPr>
        <w:t xml:space="preserve">FO               </w:t>
      </w:r>
      <w:r w:rsidRPr="00BD0F3E">
        <w:rPr>
          <w:rFonts w:eastAsia="Calibri"/>
          <w:highlight w:val="white"/>
        </w:rPr>
        <w:tab/>
        <w:t>Field Officer (UNFPA)</w:t>
      </w:r>
    </w:p>
    <w:p w14:paraId="0401949A" w14:textId="77777777" w:rsidR="009A56D8" w:rsidRPr="00BD0F3E" w:rsidRDefault="009A56D8" w:rsidP="009A56D8">
      <w:pPr>
        <w:pStyle w:val="Acronymstabletext"/>
        <w:rPr>
          <w:rFonts w:eastAsia="Calibri"/>
          <w:highlight w:val="white"/>
        </w:rPr>
      </w:pPr>
      <w:r w:rsidRPr="00BD0F3E">
        <w:rPr>
          <w:rFonts w:eastAsia="Calibri"/>
          <w:highlight w:val="white"/>
        </w:rPr>
        <w:t xml:space="preserve">FP                </w:t>
      </w:r>
      <w:r w:rsidRPr="00BD0F3E">
        <w:rPr>
          <w:rFonts w:eastAsia="Calibri"/>
          <w:highlight w:val="white"/>
        </w:rPr>
        <w:tab/>
        <w:t>Family Planning</w:t>
      </w:r>
    </w:p>
    <w:p w14:paraId="4BAE990F" w14:textId="77777777" w:rsidR="00FF7BC6" w:rsidRDefault="00FF7BC6" w:rsidP="009A56D8">
      <w:pPr>
        <w:pStyle w:val="Acronymstabletext"/>
        <w:rPr>
          <w:rFonts w:eastAsia="Calibri"/>
          <w:highlight w:val="white"/>
        </w:rPr>
      </w:pPr>
      <w:r>
        <w:rPr>
          <w:rFonts w:eastAsia="Calibri"/>
          <w:highlight w:val="white"/>
        </w:rPr>
        <w:t>FPNSW</w:t>
      </w:r>
      <w:r>
        <w:rPr>
          <w:rFonts w:eastAsia="Calibri"/>
          <w:highlight w:val="white"/>
        </w:rPr>
        <w:tab/>
      </w:r>
      <w:r>
        <w:rPr>
          <w:rFonts w:eastAsia="Calibri"/>
          <w:highlight w:val="white"/>
        </w:rPr>
        <w:tab/>
        <w:t>Family Planning New South Wales</w:t>
      </w:r>
    </w:p>
    <w:p w14:paraId="0432A85F" w14:textId="77777777" w:rsidR="009A56D8" w:rsidRDefault="009A56D8" w:rsidP="009A56D8">
      <w:pPr>
        <w:pStyle w:val="Acronymstabletext"/>
        <w:rPr>
          <w:rFonts w:eastAsia="Calibri"/>
          <w:highlight w:val="white"/>
        </w:rPr>
      </w:pPr>
      <w:r w:rsidRPr="00BD0F3E">
        <w:rPr>
          <w:rFonts w:eastAsia="Calibri"/>
          <w:highlight w:val="white"/>
        </w:rPr>
        <w:t>GBV</w:t>
      </w:r>
      <w:r w:rsidRPr="00BD0F3E">
        <w:rPr>
          <w:rFonts w:eastAsia="Calibri"/>
          <w:highlight w:val="white"/>
        </w:rPr>
        <w:tab/>
      </w:r>
      <w:r w:rsidRPr="00BD0F3E">
        <w:rPr>
          <w:rFonts w:eastAsia="Calibri"/>
          <w:highlight w:val="white"/>
        </w:rPr>
        <w:tab/>
        <w:t>Gender-Based Violence</w:t>
      </w:r>
    </w:p>
    <w:p w14:paraId="267208C6" w14:textId="77777777" w:rsidR="008E7232" w:rsidRPr="00BD0F3E" w:rsidRDefault="008E7232" w:rsidP="009A56D8">
      <w:pPr>
        <w:pStyle w:val="Acronymstabletext"/>
        <w:rPr>
          <w:rFonts w:eastAsia="Calibri"/>
          <w:highlight w:val="white"/>
        </w:rPr>
      </w:pPr>
      <w:r>
        <w:rPr>
          <w:rFonts w:eastAsia="Calibri"/>
          <w:highlight w:val="white"/>
        </w:rPr>
        <w:t>GBVIE</w:t>
      </w:r>
      <w:r>
        <w:rPr>
          <w:rFonts w:eastAsia="Calibri"/>
          <w:highlight w:val="white"/>
        </w:rPr>
        <w:tab/>
      </w:r>
      <w:r>
        <w:rPr>
          <w:rFonts w:eastAsia="Calibri"/>
          <w:highlight w:val="white"/>
        </w:rPr>
        <w:tab/>
        <w:t>Gender-Based Violence in Emergencies</w:t>
      </w:r>
    </w:p>
    <w:p w14:paraId="7FC7599C" w14:textId="77777777" w:rsidR="009A56D8" w:rsidRPr="00BD0F3E" w:rsidRDefault="009A56D8" w:rsidP="009A56D8">
      <w:pPr>
        <w:pStyle w:val="Acronymstabletext"/>
        <w:rPr>
          <w:rFonts w:eastAsia="Calibri"/>
          <w:highlight w:val="white"/>
        </w:rPr>
      </w:pPr>
      <w:r w:rsidRPr="00BD0F3E">
        <w:rPr>
          <w:rFonts w:eastAsia="Calibri"/>
          <w:highlight w:val="white"/>
        </w:rPr>
        <w:t>GE</w:t>
      </w:r>
      <w:r w:rsidRPr="00BD0F3E">
        <w:rPr>
          <w:rFonts w:eastAsia="Calibri"/>
          <w:highlight w:val="white"/>
        </w:rPr>
        <w:tab/>
      </w:r>
      <w:r w:rsidRPr="00BD0F3E">
        <w:rPr>
          <w:rFonts w:eastAsia="Calibri"/>
          <w:highlight w:val="white"/>
        </w:rPr>
        <w:tab/>
        <w:t>Gender Equality</w:t>
      </w:r>
    </w:p>
    <w:p w14:paraId="1DC5B308" w14:textId="77777777" w:rsidR="009A56D8" w:rsidRDefault="009A56D8" w:rsidP="009A56D8">
      <w:pPr>
        <w:pStyle w:val="Acronymstabletext"/>
        <w:rPr>
          <w:rFonts w:eastAsia="Calibri"/>
          <w:highlight w:val="white"/>
        </w:rPr>
      </w:pPr>
      <w:r>
        <w:rPr>
          <w:rFonts w:eastAsia="Calibri"/>
          <w:highlight w:val="white"/>
        </w:rPr>
        <w:t>GESI</w:t>
      </w:r>
      <w:r>
        <w:rPr>
          <w:rFonts w:eastAsia="Calibri"/>
          <w:highlight w:val="white"/>
        </w:rPr>
        <w:tab/>
      </w:r>
      <w:r>
        <w:rPr>
          <w:rFonts w:eastAsia="Calibri"/>
          <w:highlight w:val="white"/>
        </w:rPr>
        <w:tab/>
        <w:t>Gender and Social Inclusion</w:t>
      </w:r>
    </w:p>
    <w:p w14:paraId="4471E909" w14:textId="77777777" w:rsidR="001B1231" w:rsidRDefault="001B1231" w:rsidP="009A56D8">
      <w:pPr>
        <w:pStyle w:val="Acronymstabletext"/>
        <w:rPr>
          <w:rFonts w:eastAsia="Calibri"/>
          <w:highlight w:val="white"/>
        </w:rPr>
      </w:pPr>
      <w:r>
        <w:rPr>
          <w:rFonts w:eastAsia="Calibri"/>
          <w:highlight w:val="white"/>
        </w:rPr>
        <w:t>HFRSA</w:t>
      </w:r>
      <w:r>
        <w:rPr>
          <w:rFonts w:eastAsia="Calibri"/>
          <w:highlight w:val="white"/>
        </w:rPr>
        <w:tab/>
      </w:r>
      <w:r>
        <w:rPr>
          <w:rFonts w:eastAsia="Calibri"/>
          <w:highlight w:val="white"/>
        </w:rPr>
        <w:tab/>
        <w:t>Health Facility Readiness and Service Availability</w:t>
      </w:r>
    </w:p>
    <w:p w14:paraId="6105E1C6" w14:textId="77777777" w:rsidR="009A56D8" w:rsidRPr="00BD0F3E" w:rsidRDefault="009A56D8" w:rsidP="009A56D8">
      <w:pPr>
        <w:pStyle w:val="Acronymstabletext"/>
        <w:rPr>
          <w:rFonts w:eastAsia="Calibri"/>
          <w:highlight w:val="white"/>
        </w:rPr>
      </w:pPr>
      <w:r w:rsidRPr="00BD0F3E">
        <w:rPr>
          <w:rFonts w:eastAsia="Calibri"/>
          <w:highlight w:val="white"/>
        </w:rPr>
        <w:t xml:space="preserve">HIS              </w:t>
      </w:r>
      <w:r w:rsidRPr="00BD0F3E">
        <w:rPr>
          <w:rFonts w:eastAsia="Calibri"/>
          <w:highlight w:val="white"/>
        </w:rPr>
        <w:tab/>
        <w:t>Health Information System</w:t>
      </w:r>
    </w:p>
    <w:p w14:paraId="39B34B29" w14:textId="77777777" w:rsidR="008E6D7B" w:rsidRDefault="008E6D7B" w:rsidP="009A56D8">
      <w:pPr>
        <w:pStyle w:val="Acronymstabletext"/>
        <w:rPr>
          <w:rFonts w:eastAsia="Calibri"/>
          <w:highlight w:val="white"/>
        </w:rPr>
      </w:pPr>
      <w:r>
        <w:rPr>
          <w:rFonts w:eastAsia="Calibri"/>
          <w:highlight w:val="white"/>
        </w:rPr>
        <w:t>HIV</w:t>
      </w:r>
      <w:r>
        <w:rPr>
          <w:rFonts w:eastAsia="Calibri"/>
          <w:highlight w:val="white"/>
        </w:rPr>
        <w:tab/>
      </w:r>
      <w:r>
        <w:rPr>
          <w:rFonts w:eastAsia="Calibri"/>
          <w:highlight w:val="white"/>
        </w:rPr>
        <w:tab/>
        <w:t>Human Immuno-</w:t>
      </w:r>
      <w:r w:rsidR="0067546A">
        <w:rPr>
          <w:rFonts w:eastAsia="Calibri"/>
          <w:highlight w:val="white"/>
        </w:rPr>
        <w:t>d</w:t>
      </w:r>
      <w:r>
        <w:rPr>
          <w:rFonts w:eastAsia="Calibri"/>
          <w:highlight w:val="white"/>
        </w:rPr>
        <w:t>eficiency Virus</w:t>
      </w:r>
    </w:p>
    <w:p w14:paraId="2E5742C1" w14:textId="77777777" w:rsidR="009A56D8" w:rsidRPr="00BD0F3E" w:rsidRDefault="009A56D8" w:rsidP="009A56D8">
      <w:pPr>
        <w:pStyle w:val="Acronymstabletext"/>
        <w:rPr>
          <w:rFonts w:eastAsia="Calibri"/>
          <w:highlight w:val="white"/>
        </w:rPr>
      </w:pPr>
      <w:r w:rsidRPr="00BD0F3E">
        <w:rPr>
          <w:rFonts w:eastAsia="Calibri"/>
          <w:highlight w:val="white"/>
        </w:rPr>
        <w:t>HR</w:t>
      </w:r>
      <w:r w:rsidRPr="00BD0F3E">
        <w:rPr>
          <w:rFonts w:eastAsia="Calibri"/>
          <w:highlight w:val="white"/>
        </w:rPr>
        <w:tab/>
      </w:r>
      <w:r w:rsidRPr="00BD0F3E">
        <w:rPr>
          <w:rFonts w:eastAsia="Calibri"/>
          <w:highlight w:val="white"/>
        </w:rPr>
        <w:tab/>
        <w:t>Human Rights</w:t>
      </w:r>
    </w:p>
    <w:p w14:paraId="64A8BE4D" w14:textId="77777777" w:rsidR="009A56D8" w:rsidRPr="00BD0F3E" w:rsidRDefault="009A56D8" w:rsidP="009A56D8">
      <w:pPr>
        <w:pStyle w:val="Acronymstabletext"/>
        <w:rPr>
          <w:rFonts w:eastAsia="Calibri"/>
          <w:highlight w:val="white"/>
        </w:rPr>
      </w:pPr>
      <w:r w:rsidRPr="00BD0F3E">
        <w:rPr>
          <w:rFonts w:eastAsia="Calibri"/>
          <w:highlight w:val="white"/>
        </w:rPr>
        <w:t>ICPD</w:t>
      </w:r>
      <w:r w:rsidRPr="00BD0F3E">
        <w:rPr>
          <w:rFonts w:eastAsia="Calibri"/>
          <w:highlight w:val="white"/>
        </w:rPr>
        <w:tab/>
      </w:r>
      <w:r w:rsidRPr="00BD0F3E">
        <w:rPr>
          <w:rFonts w:eastAsia="Calibri"/>
          <w:highlight w:val="white"/>
        </w:rPr>
        <w:tab/>
      </w:r>
      <w:r w:rsidRPr="00BD0F3E">
        <w:rPr>
          <w:rFonts w:cs="Times"/>
          <w:lang w:val="en-US"/>
        </w:rPr>
        <w:t>International Conference on Population and Development</w:t>
      </w:r>
    </w:p>
    <w:p w14:paraId="38998829" w14:textId="77777777" w:rsidR="009A56D8" w:rsidRDefault="009A56D8" w:rsidP="009A56D8">
      <w:pPr>
        <w:pStyle w:val="Acronymstabletext"/>
        <w:rPr>
          <w:rFonts w:eastAsia="Calibri"/>
          <w:highlight w:val="white"/>
        </w:rPr>
      </w:pPr>
      <w:r>
        <w:rPr>
          <w:rFonts w:eastAsia="Calibri"/>
          <w:highlight w:val="white"/>
        </w:rPr>
        <w:t>IDD</w:t>
      </w:r>
      <w:r>
        <w:rPr>
          <w:rFonts w:eastAsia="Calibri"/>
          <w:highlight w:val="white"/>
        </w:rPr>
        <w:tab/>
      </w:r>
      <w:r>
        <w:rPr>
          <w:rFonts w:eastAsia="Calibri"/>
          <w:highlight w:val="white"/>
        </w:rPr>
        <w:tab/>
        <w:t>Investment Design Document</w:t>
      </w:r>
    </w:p>
    <w:p w14:paraId="75094DDB" w14:textId="77777777" w:rsidR="009A56D8" w:rsidRPr="00BD0F3E" w:rsidRDefault="009A56D8" w:rsidP="009A56D8">
      <w:pPr>
        <w:pStyle w:val="Acronymstabletext"/>
        <w:rPr>
          <w:rFonts w:eastAsia="Calibri"/>
          <w:highlight w:val="white"/>
        </w:rPr>
      </w:pPr>
      <w:r w:rsidRPr="00BD0F3E">
        <w:rPr>
          <w:rFonts w:eastAsia="Calibri"/>
          <w:highlight w:val="white"/>
        </w:rPr>
        <w:t>IEC</w:t>
      </w:r>
      <w:r w:rsidRPr="00BD0F3E">
        <w:rPr>
          <w:rFonts w:eastAsia="Calibri"/>
          <w:highlight w:val="white"/>
        </w:rPr>
        <w:tab/>
      </w:r>
      <w:r w:rsidRPr="00BD0F3E">
        <w:rPr>
          <w:rFonts w:eastAsia="Calibri"/>
          <w:highlight w:val="white"/>
        </w:rPr>
        <w:tab/>
        <w:t>Information, Education, and Communication</w:t>
      </w:r>
    </w:p>
    <w:p w14:paraId="00FCB6E9" w14:textId="77777777" w:rsidR="00F821EA" w:rsidRDefault="00F821EA" w:rsidP="009A56D8">
      <w:pPr>
        <w:pStyle w:val="Acronymstabletext"/>
        <w:rPr>
          <w:rFonts w:eastAsia="Calibri"/>
          <w:highlight w:val="white"/>
        </w:rPr>
      </w:pPr>
      <w:r>
        <w:rPr>
          <w:rFonts w:eastAsia="Calibri"/>
          <w:highlight w:val="white"/>
        </w:rPr>
        <w:t>IO</w:t>
      </w:r>
      <w:r>
        <w:rPr>
          <w:rFonts w:eastAsia="Calibri"/>
          <w:highlight w:val="white"/>
        </w:rPr>
        <w:tab/>
      </w:r>
      <w:r>
        <w:rPr>
          <w:rFonts w:eastAsia="Calibri"/>
          <w:highlight w:val="white"/>
        </w:rPr>
        <w:tab/>
        <w:t>International Organisation</w:t>
      </w:r>
    </w:p>
    <w:p w14:paraId="7A01AEEE" w14:textId="77777777" w:rsidR="009A56D8" w:rsidRPr="00BD0F3E" w:rsidRDefault="009A56D8" w:rsidP="009A56D8">
      <w:pPr>
        <w:pStyle w:val="Acronymstabletext"/>
        <w:rPr>
          <w:rFonts w:eastAsia="Calibri"/>
          <w:highlight w:val="white"/>
        </w:rPr>
      </w:pPr>
      <w:r w:rsidRPr="00BD0F3E">
        <w:rPr>
          <w:rFonts w:eastAsia="Calibri"/>
          <w:highlight w:val="white"/>
        </w:rPr>
        <w:t xml:space="preserve">IP                 </w:t>
      </w:r>
      <w:r w:rsidRPr="00BD0F3E">
        <w:rPr>
          <w:rFonts w:eastAsia="Calibri"/>
          <w:highlight w:val="white"/>
        </w:rPr>
        <w:tab/>
        <w:t>Implementing Partner</w:t>
      </w:r>
    </w:p>
    <w:p w14:paraId="2DA0D9B3" w14:textId="77777777" w:rsidR="009A56D8" w:rsidRPr="00BD0F3E" w:rsidRDefault="009A56D8" w:rsidP="009A56D8">
      <w:pPr>
        <w:pStyle w:val="Acronymstabletext"/>
        <w:rPr>
          <w:rFonts w:eastAsia="Calibri"/>
          <w:highlight w:val="white"/>
        </w:rPr>
      </w:pPr>
      <w:r w:rsidRPr="00BD0F3E">
        <w:rPr>
          <w:rFonts w:eastAsia="Calibri"/>
          <w:highlight w:val="white"/>
        </w:rPr>
        <w:t>IPPF</w:t>
      </w:r>
      <w:r w:rsidRPr="00BD0F3E">
        <w:rPr>
          <w:rFonts w:eastAsia="Calibri"/>
          <w:highlight w:val="white"/>
        </w:rPr>
        <w:tab/>
      </w:r>
      <w:r w:rsidRPr="00BD0F3E">
        <w:rPr>
          <w:rFonts w:eastAsia="Calibri"/>
          <w:highlight w:val="white"/>
        </w:rPr>
        <w:tab/>
      </w:r>
      <w:r w:rsidRPr="00BD0F3E">
        <w:rPr>
          <w:rFonts w:eastAsia="Calibri"/>
        </w:rPr>
        <w:t>International Planned Parenthood Federation</w:t>
      </w:r>
    </w:p>
    <w:p w14:paraId="0ECC6300" w14:textId="77777777" w:rsidR="00DD30AB" w:rsidRDefault="00DD30AB" w:rsidP="009A56D8">
      <w:pPr>
        <w:pStyle w:val="Acronymstabletext"/>
        <w:rPr>
          <w:rFonts w:eastAsia="Calibri"/>
          <w:highlight w:val="white"/>
        </w:rPr>
      </w:pPr>
      <w:r>
        <w:rPr>
          <w:rFonts w:eastAsia="Calibri"/>
          <w:highlight w:val="white"/>
        </w:rPr>
        <w:t>IUD</w:t>
      </w:r>
      <w:r>
        <w:rPr>
          <w:rFonts w:eastAsia="Calibri"/>
          <w:highlight w:val="white"/>
        </w:rPr>
        <w:tab/>
      </w:r>
      <w:r>
        <w:rPr>
          <w:rFonts w:eastAsia="Calibri"/>
          <w:highlight w:val="white"/>
        </w:rPr>
        <w:tab/>
        <w:t>Intrauterine Device</w:t>
      </w:r>
    </w:p>
    <w:p w14:paraId="51FEA89A" w14:textId="77777777" w:rsidR="009A56D8" w:rsidRPr="00BD0F3E" w:rsidRDefault="009A56D8" w:rsidP="009A56D8">
      <w:pPr>
        <w:pStyle w:val="Acronymstabletext"/>
        <w:rPr>
          <w:rFonts w:eastAsia="Calibri"/>
          <w:highlight w:val="white"/>
        </w:rPr>
      </w:pPr>
      <w:r w:rsidRPr="00BD0F3E">
        <w:rPr>
          <w:rFonts w:eastAsia="Calibri"/>
          <w:highlight w:val="white"/>
        </w:rPr>
        <w:t>KFHA</w:t>
      </w:r>
      <w:r w:rsidRPr="00BD0F3E">
        <w:rPr>
          <w:rFonts w:eastAsia="Calibri"/>
          <w:highlight w:val="white"/>
        </w:rPr>
        <w:tab/>
      </w:r>
      <w:r w:rsidRPr="00BD0F3E">
        <w:rPr>
          <w:rFonts w:eastAsia="Calibri"/>
          <w:highlight w:val="white"/>
        </w:rPr>
        <w:tab/>
        <w:t>Kiribati Family Health Association</w:t>
      </w:r>
    </w:p>
    <w:p w14:paraId="3196FF3A" w14:textId="77777777" w:rsidR="009A56D8" w:rsidRPr="00BD0F3E" w:rsidRDefault="009A56D8" w:rsidP="009A56D8">
      <w:pPr>
        <w:pStyle w:val="Acronymstabletext"/>
        <w:rPr>
          <w:rFonts w:eastAsia="Calibri"/>
          <w:highlight w:val="white"/>
        </w:rPr>
      </w:pPr>
      <w:r w:rsidRPr="00BD0F3E">
        <w:rPr>
          <w:rFonts w:eastAsia="Calibri"/>
          <w:highlight w:val="white"/>
        </w:rPr>
        <w:t>KII</w:t>
      </w:r>
      <w:r w:rsidRPr="00BD0F3E">
        <w:rPr>
          <w:rFonts w:eastAsia="Calibri"/>
          <w:highlight w:val="white"/>
        </w:rPr>
        <w:tab/>
      </w:r>
      <w:r w:rsidRPr="00BD0F3E">
        <w:rPr>
          <w:rFonts w:eastAsia="Calibri"/>
          <w:highlight w:val="white"/>
        </w:rPr>
        <w:tab/>
        <w:t>Key Informant Interview</w:t>
      </w:r>
    </w:p>
    <w:p w14:paraId="08CA2166" w14:textId="77777777" w:rsidR="00A53232" w:rsidRDefault="00A53232" w:rsidP="009A56D8">
      <w:pPr>
        <w:pStyle w:val="Acronymstabletext"/>
        <w:rPr>
          <w:rFonts w:eastAsia="Calibri"/>
          <w:highlight w:val="white"/>
        </w:rPr>
      </w:pPr>
      <w:r>
        <w:rPr>
          <w:rFonts w:eastAsia="Calibri"/>
          <w:highlight w:val="white"/>
        </w:rPr>
        <w:t>LARC</w:t>
      </w:r>
      <w:r>
        <w:rPr>
          <w:rFonts w:eastAsia="Calibri"/>
          <w:highlight w:val="white"/>
        </w:rPr>
        <w:tab/>
      </w:r>
      <w:r>
        <w:rPr>
          <w:rFonts w:eastAsia="Calibri"/>
          <w:highlight w:val="white"/>
        </w:rPr>
        <w:tab/>
        <w:t>Long Acting Reversible Contraception</w:t>
      </w:r>
    </w:p>
    <w:p w14:paraId="4D700AEA" w14:textId="77777777" w:rsidR="009A56D8" w:rsidRPr="00BD0F3E" w:rsidRDefault="009A56D8" w:rsidP="009A56D8">
      <w:pPr>
        <w:pStyle w:val="Acronymstabletext"/>
        <w:rPr>
          <w:rFonts w:eastAsia="Calibri"/>
          <w:highlight w:val="white"/>
        </w:rPr>
      </w:pPr>
      <w:r w:rsidRPr="00BD0F3E">
        <w:rPr>
          <w:rFonts w:eastAsia="Calibri"/>
          <w:highlight w:val="white"/>
        </w:rPr>
        <w:lastRenderedPageBreak/>
        <w:t xml:space="preserve">M&amp;E           </w:t>
      </w:r>
      <w:r w:rsidRPr="00BD0F3E">
        <w:rPr>
          <w:rFonts w:eastAsia="Calibri"/>
          <w:highlight w:val="white"/>
        </w:rPr>
        <w:tab/>
        <w:t>Monitoring &amp; Evaluation</w:t>
      </w:r>
    </w:p>
    <w:p w14:paraId="5E5F8A13" w14:textId="77777777" w:rsidR="009A56D8" w:rsidRPr="00BD0F3E" w:rsidRDefault="009A56D8" w:rsidP="009A56D8">
      <w:pPr>
        <w:pStyle w:val="Acronymstabletext"/>
        <w:rPr>
          <w:rFonts w:eastAsia="Calibri"/>
          <w:highlight w:val="white"/>
        </w:rPr>
      </w:pPr>
      <w:r w:rsidRPr="00BD0F3E">
        <w:rPr>
          <w:rFonts w:eastAsia="Calibri"/>
          <w:highlight w:val="white"/>
        </w:rPr>
        <w:t xml:space="preserve">MA              </w:t>
      </w:r>
      <w:r w:rsidRPr="00BD0F3E">
        <w:rPr>
          <w:rFonts w:eastAsia="Calibri"/>
          <w:highlight w:val="white"/>
        </w:rPr>
        <w:tab/>
        <w:t>Member Association (IPPF)</w:t>
      </w:r>
    </w:p>
    <w:p w14:paraId="1240D74B" w14:textId="77777777" w:rsidR="009A56D8" w:rsidRPr="00BD0F3E" w:rsidRDefault="009A56D8" w:rsidP="009A56D8">
      <w:pPr>
        <w:pStyle w:val="Acronymstabletext"/>
        <w:rPr>
          <w:rFonts w:eastAsia="Calibri"/>
          <w:highlight w:val="white"/>
        </w:rPr>
      </w:pPr>
      <w:r w:rsidRPr="00BD0F3E">
        <w:rPr>
          <w:rFonts w:eastAsia="Calibri"/>
          <w:highlight w:val="white"/>
        </w:rPr>
        <w:t xml:space="preserve">MCP            </w:t>
      </w:r>
      <w:r w:rsidRPr="00BD0F3E">
        <w:rPr>
          <w:rFonts w:eastAsia="Calibri"/>
          <w:highlight w:val="white"/>
        </w:rPr>
        <w:tab/>
        <w:t>Multi-Country Programme</w:t>
      </w:r>
    </w:p>
    <w:p w14:paraId="5C900A4C" w14:textId="77777777" w:rsidR="009A56D8" w:rsidRDefault="009A56D8" w:rsidP="009A56D8">
      <w:pPr>
        <w:pStyle w:val="Acronymstabletext"/>
        <w:rPr>
          <w:rFonts w:eastAsia="Calibri"/>
          <w:highlight w:val="white"/>
        </w:rPr>
      </w:pPr>
      <w:r>
        <w:rPr>
          <w:rFonts w:eastAsia="Calibri"/>
          <w:highlight w:val="white"/>
        </w:rPr>
        <w:t>MDPAC</w:t>
      </w:r>
      <w:r>
        <w:rPr>
          <w:rFonts w:eastAsia="Calibri"/>
          <w:highlight w:val="white"/>
        </w:rPr>
        <w:tab/>
      </w:r>
      <w:r>
        <w:rPr>
          <w:rFonts w:eastAsia="Calibri"/>
          <w:highlight w:val="white"/>
        </w:rPr>
        <w:tab/>
        <w:t>Ministry of Development Planning and Aid Coordination</w:t>
      </w:r>
    </w:p>
    <w:p w14:paraId="1CE7EC57" w14:textId="77777777" w:rsidR="009A56D8" w:rsidRDefault="009A56D8" w:rsidP="009A56D8">
      <w:pPr>
        <w:pStyle w:val="Acronymstabletext"/>
        <w:rPr>
          <w:rFonts w:eastAsia="Calibri"/>
          <w:highlight w:val="white"/>
        </w:rPr>
      </w:pPr>
      <w:r>
        <w:rPr>
          <w:rFonts w:eastAsia="Calibri"/>
          <w:highlight w:val="white"/>
        </w:rPr>
        <w:t>MEF</w:t>
      </w:r>
      <w:r>
        <w:rPr>
          <w:rFonts w:eastAsia="Calibri"/>
          <w:highlight w:val="white"/>
        </w:rPr>
        <w:tab/>
      </w:r>
      <w:r>
        <w:rPr>
          <w:rFonts w:eastAsia="Calibri"/>
          <w:highlight w:val="white"/>
        </w:rPr>
        <w:tab/>
        <w:t>Monitoring and Evaluation Framework</w:t>
      </w:r>
    </w:p>
    <w:p w14:paraId="08627A35" w14:textId="77777777" w:rsidR="0055248D" w:rsidRDefault="0055248D" w:rsidP="009A56D8">
      <w:pPr>
        <w:pStyle w:val="Acronymstabletext"/>
        <w:rPr>
          <w:rFonts w:eastAsia="Calibri"/>
          <w:highlight w:val="white"/>
        </w:rPr>
      </w:pPr>
      <w:r>
        <w:rPr>
          <w:rFonts w:eastAsia="Calibri"/>
          <w:highlight w:val="white"/>
        </w:rPr>
        <w:t>MEL</w:t>
      </w:r>
      <w:r>
        <w:rPr>
          <w:rFonts w:eastAsia="Calibri"/>
          <w:highlight w:val="white"/>
        </w:rPr>
        <w:tab/>
      </w:r>
      <w:r>
        <w:rPr>
          <w:rFonts w:eastAsia="Calibri"/>
          <w:highlight w:val="white"/>
        </w:rPr>
        <w:tab/>
        <w:t>Monitoring, Evaluation and Learning</w:t>
      </w:r>
    </w:p>
    <w:p w14:paraId="44F70A5C" w14:textId="77777777" w:rsidR="009A56D8" w:rsidRDefault="009A56D8" w:rsidP="009A56D8">
      <w:pPr>
        <w:pStyle w:val="Acronymstabletext"/>
        <w:rPr>
          <w:rFonts w:eastAsia="Calibri"/>
          <w:highlight w:val="white"/>
        </w:rPr>
      </w:pPr>
      <w:r>
        <w:rPr>
          <w:rFonts w:eastAsia="Calibri"/>
          <w:highlight w:val="white"/>
        </w:rPr>
        <w:t>MESC</w:t>
      </w:r>
      <w:r>
        <w:rPr>
          <w:rFonts w:eastAsia="Calibri"/>
          <w:highlight w:val="white"/>
        </w:rPr>
        <w:tab/>
      </w:r>
      <w:r>
        <w:rPr>
          <w:rFonts w:eastAsia="Calibri"/>
          <w:highlight w:val="white"/>
        </w:rPr>
        <w:tab/>
        <w:t>Ministry of Education, Sport and Culture</w:t>
      </w:r>
    </w:p>
    <w:p w14:paraId="545553B9" w14:textId="77777777" w:rsidR="009A56D8" w:rsidRPr="00BD0F3E" w:rsidRDefault="009A56D8" w:rsidP="009A56D8">
      <w:pPr>
        <w:pStyle w:val="Acronymstabletext"/>
        <w:rPr>
          <w:rFonts w:eastAsia="Calibri"/>
          <w:highlight w:val="white"/>
        </w:rPr>
      </w:pPr>
      <w:r w:rsidRPr="00BD0F3E">
        <w:rPr>
          <w:rFonts w:eastAsia="Calibri"/>
          <w:highlight w:val="white"/>
        </w:rPr>
        <w:t>MFAT</w:t>
      </w:r>
      <w:r w:rsidRPr="00BD0F3E">
        <w:rPr>
          <w:rFonts w:eastAsia="Calibri"/>
          <w:highlight w:val="white"/>
        </w:rPr>
        <w:tab/>
      </w:r>
      <w:r w:rsidRPr="00BD0F3E">
        <w:rPr>
          <w:rFonts w:eastAsia="Calibri"/>
          <w:highlight w:val="white"/>
        </w:rPr>
        <w:tab/>
        <w:t>Ministry of Foreign Affairs and Trade (New Zealand Government)</w:t>
      </w:r>
    </w:p>
    <w:p w14:paraId="6879B40D" w14:textId="77777777" w:rsidR="009A56D8" w:rsidRPr="00BD0F3E" w:rsidRDefault="009A56D8" w:rsidP="009A56D8">
      <w:pPr>
        <w:pStyle w:val="Acronymstabletext"/>
        <w:rPr>
          <w:rFonts w:eastAsia="Calibri"/>
          <w:highlight w:val="white"/>
        </w:rPr>
      </w:pPr>
      <w:r w:rsidRPr="00BD0F3E">
        <w:rPr>
          <w:rFonts w:eastAsia="Calibri"/>
          <w:highlight w:val="white"/>
        </w:rPr>
        <w:t xml:space="preserve">MHMS    </w:t>
      </w:r>
      <w:r w:rsidRPr="00BD0F3E">
        <w:rPr>
          <w:rFonts w:eastAsia="Calibri"/>
          <w:highlight w:val="white"/>
        </w:rPr>
        <w:tab/>
        <w:t>Ministry of Health and Medical Services</w:t>
      </w:r>
    </w:p>
    <w:p w14:paraId="1FFD3A61" w14:textId="77777777" w:rsidR="001734CE" w:rsidRDefault="001734CE" w:rsidP="009A56D8">
      <w:pPr>
        <w:pStyle w:val="Acronymstabletext"/>
        <w:rPr>
          <w:rFonts w:eastAsia="Calibri"/>
          <w:highlight w:val="white"/>
        </w:rPr>
      </w:pPr>
      <w:r>
        <w:rPr>
          <w:rFonts w:eastAsia="Calibri"/>
          <w:highlight w:val="white"/>
        </w:rPr>
        <w:t>MISP</w:t>
      </w:r>
      <w:r>
        <w:rPr>
          <w:rFonts w:eastAsia="Calibri"/>
          <w:highlight w:val="white"/>
        </w:rPr>
        <w:tab/>
      </w:r>
      <w:r>
        <w:rPr>
          <w:rFonts w:eastAsia="Calibri"/>
          <w:highlight w:val="white"/>
        </w:rPr>
        <w:tab/>
      </w:r>
      <w:r w:rsidR="004C6F39">
        <w:rPr>
          <w:rFonts w:eastAsia="Calibri"/>
          <w:highlight w:val="white"/>
        </w:rPr>
        <w:t xml:space="preserve">Minimum </w:t>
      </w:r>
      <w:r w:rsidR="00233189">
        <w:rPr>
          <w:rFonts w:eastAsia="Calibri"/>
          <w:highlight w:val="white"/>
        </w:rPr>
        <w:t>Initial Service Package</w:t>
      </w:r>
    </w:p>
    <w:p w14:paraId="50B5650B" w14:textId="77777777" w:rsidR="009A56D8" w:rsidRPr="00BD0F3E" w:rsidRDefault="009A56D8" w:rsidP="009A56D8">
      <w:pPr>
        <w:pStyle w:val="Acronymstabletext"/>
        <w:rPr>
          <w:rFonts w:eastAsia="Calibri"/>
          <w:highlight w:val="white"/>
        </w:rPr>
      </w:pPr>
      <w:r w:rsidRPr="00BD0F3E">
        <w:rPr>
          <w:rFonts w:eastAsia="Calibri"/>
          <w:highlight w:val="white"/>
        </w:rPr>
        <w:t xml:space="preserve">MOE            </w:t>
      </w:r>
      <w:r w:rsidRPr="00BD0F3E">
        <w:rPr>
          <w:rFonts w:eastAsia="Calibri"/>
          <w:highlight w:val="white"/>
        </w:rPr>
        <w:tab/>
        <w:t>Ministry of Education</w:t>
      </w:r>
    </w:p>
    <w:p w14:paraId="59F22D9D" w14:textId="77777777" w:rsidR="009A56D8" w:rsidRDefault="009A56D8" w:rsidP="009A56D8">
      <w:pPr>
        <w:pStyle w:val="Acronymstabletext"/>
        <w:rPr>
          <w:rFonts w:eastAsia="Calibri"/>
          <w:highlight w:val="white"/>
        </w:rPr>
      </w:pPr>
      <w:r>
        <w:rPr>
          <w:rFonts w:eastAsia="Calibri"/>
          <w:highlight w:val="white"/>
        </w:rPr>
        <w:t>MOET</w:t>
      </w:r>
      <w:r>
        <w:rPr>
          <w:rFonts w:eastAsia="Calibri"/>
          <w:highlight w:val="white"/>
        </w:rPr>
        <w:tab/>
      </w:r>
      <w:r>
        <w:rPr>
          <w:rFonts w:eastAsia="Calibri"/>
          <w:highlight w:val="white"/>
        </w:rPr>
        <w:tab/>
        <w:t>Ministry of Education and Training</w:t>
      </w:r>
    </w:p>
    <w:p w14:paraId="3ACCB8FA" w14:textId="77777777" w:rsidR="009A56D8" w:rsidRPr="00BD0F3E" w:rsidRDefault="009A56D8" w:rsidP="009A56D8">
      <w:pPr>
        <w:pStyle w:val="Acronymstabletext"/>
        <w:rPr>
          <w:rFonts w:eastAsia="Calibri"/>
          <w:highlight w:val="white"/>
        </w:rPr>
      </w:pPr>
      <w:r w:rsidRPr="00BD0F3E">
        <w:rPr>
          <w:rFonts w:eastAsia="Calibri"/>
          <w:highlight w:val="white"/>
        </w:rPr>
        <w:t xml:space="preserve">MOF            </w:t>
      </w:r>
      <w:r w:rsidRPr="00BD0F3E">
        <w:rPr>
          <w:rFonts w:eastAsia="Calibri"/>
          <w:highlight w:val="white"/>
        </w:rPr>
        <w:tab/>
        <w:t>Ministry of Finance</w:t>
      </w:r>
    </w:p>
    <w:p w14:paraId="5AE11999" w14:textId="77777777" w:rsidR="009A56D8" w:rsidRDefault="009A56D8" w:rsidP="009A56D8">
      <w:pPr>
        <w:pStyle w:val="Acronymstabletext"/>
        <w:rPr>
          <w:rFonts w:eastAsia="Calibri"/>
          <w:highlight w:val="white"/>
        </w:rPr>
      </w:pPr>
      <w:r>
        <w:rPr>
          <w:rFonts w:eastAsia="Calibri"/>
          <w:highlight w:val="white"/>
        </w:rPr>
        <w:t>MOFED</w:t>
      </w:r>
      <w:r>
        <w:rPr>
          <w:rFonts w:eastAsia="Calibri"/>
          <w:highlight w:val="white"/>
        </w:rPr>
        <w:tab/>
      </w:r>
      <w:r>
        <w:rPr>
          <w:rFonts w:eastAsia="Calibri"/>
          <w:highlight w:val="white"/>
        </w:rPr>
        <w:tab/>
        <w:t>Ministry of Finance and Economic Development</w:t>
      </w:r>
    </w:p>
    <w:p w14:paraId="089FE711" w14:textId="77777777" w:rsidR="009A56D8" w:rsidRPr="00BD0F3E" w:rsidRDefault="009A56D8" w:rsidP="009A56D8">
      <w:pPr>
        <w:pStyle w:val="Acronymstabletext"/>
        <w:rPr>
          <w:rFonts w:eastAsia="Calibri"/>
          <w:highlight w:val="white"/>
        </w:rPr>
      </w:pPr>
      <w:r w:rsidRPr="00BD0F3E">
        <w:rPr>
          <w:rFonts w:eastAsia="Calibri"/>
          <w:highlight w:val="white"/>
        </w:rPr>
        <w:t>MOH</w:t>
      </w:r>
      <w:r w:rsidRPr="00BD0F3E">
        <w:rPr>
          <w:rFonts w:eastAsia="Calibri"/>
          <w:highlight w:val="white"/>
        </w:rPr>
        <w:tab/>
      </w:r>
      <w:r w:rsidRPr="00BD0F3E">
        <w:rPr>
          <w:rFonts w:eastAsia="Calibri"/>
          <w:highlight w:val="white"/>
        </w:rPr>
        <w:tab/>
        <w:t>Ministry of Health</w:t>
      </w:r>
    </w:p>
    <w:p w14:paraId="79701A8A" w14:textId="77777777" w:rsidR="001C7DAC" w:rsidRDefault="001C7DAC" w:rsidP="009A56D8">
      <w:pPr>
        <w:pStyle w:val="Acronymstabletext"/>
        <w:rPr>
          <w:rFonts w:eastAsia="Calibri"/>
          <w:highlight w:val="white"/>
        </w:rPr>
      </w:pPr>
      <w:r>
        <w:rPr>
          <w:rFonts w:eastAsia="Calibri"/>
          <w:highlight w:val="white"/>
        </w:rPr>
        <w:t>MOW</w:t>
      </w:r>
      <w:r>
        <w:rPr>
          <w:rFonts w:eastAsia="Calibri"/>
          <w:highlight w:val="white"/>
        </w:rPr>
        <w:tab/>
      </w:r>
      <w:r>
        <w:rPr>
          <w:rFonts w:eastAsia="Calibri"/>
          <w:highlight w:val="white"/>
        </w:rPr>
        <w:tab/>
        <w:t>Ministry of Women</w:t>
      </w:r>
    </w:p>
    <w:p w14:paraId="5CB71625" w14:textId="77777777" w:rsidR="009A56D8" w:rsidRDefault="009A56D8" w:rsidP="009A56D8">
      <w:pPr>
        <w:pStyle w:val="Acronymstabletext"/>
        <w:rPr>
          <w:rFonts w:eastAsia="Calibri"/>
          <w:highlight w:val="white"/>
        </w:rPr>
      </w:pPr>
      <w:r>
        <w:rPr>
          <w:rFonts w:eastAsia="Calibri"/>
          <w:highlight w:val="white"/>
        </w:rPr>
        <w:t>MOYS</w:t>
      </w:r>
      <w:r>
        <w:rPr>
          <w:rFonts w:eastAsia="Calibri"/>
          <w:highlight w:val="white"/>
        </w:rPr>
        <w:tab/>
      </w:r>
      <w:r>
        <w:rPr>
          <w:rFonts w:eastAsia="Calibri"/>
          <w:highlight w:val="white"/>
        </w:rPr>
        <w:tab/>
        <w:t>Ministry of Youth and Sport</w:t>
      </w:r>
    </w:p>
    <w:p w14:paraId="76D96693" w14:textId="77777777" w:rsidR="009A56D8" w:rsidRPr="00BD0F3E" w:rsidRDefault="009A56D8" w:rsidP="009A56D8">
      <w:pPr>
        <w:pStyle w:val="Acronymstabletext"/>
        <w:rPr>
          <w:rFonts w:eastAsia="Calibri"/>
          <w:highlight w:val="white"/>
        </w:rPr>
      </w:pPr>
      <w:r w:rsidRPr="00BD0F3E">
        <w:rPr>
          <w:rFonts w:eastAsia="Calibri"/>
          <w:highlight w:val="white"/>
        </w:rPr>
        <w:t>MTR</w:t>
      </w:r>
      <w:r w:rsidRPr="00BD0F3E">
        <w:rPr>
          <w:rFonts w:eastAsia="Calibri"/>
          <w:highlight w:val="white"/>
        </w:rPr>
        <w:tab/>
      </w:r>
      <w:r w:rsidRPr="00BD0F3E">
        <w:rPr>
          <w:rFonts w:eastAsia="Calibri"/>
          <w:highlight w:val="white"/>
        </w:rPr>
        <w:tab/>
        <w:t>Mid-Term Review</w:t>
      </w:r>
    </w:p>
    <w:p w14:paraId="0D410D24" w14:textId="77777777" w:rsidR="009A56D8" w:rsidRDefault="009A56D8" w:rsidP="009A56D8">
      <w:pPr>
        <w:pStyle w:val="Acronymstabletext"/>
        <w:rPr>
          <w:rFonts w:eastAsia="Calibri"/>
        </w:rPr>
      </w:pPr>
      <w:r>
        <w:rPr>
          <w:rFonts w:eastAsia="Calibri"/>
        </w:rPr>
        <w:t>MWCPA</w:t>
      </w:r>
      <w:r>
        <w:rPr>
          <w:rFonts w:eastAsia="Calibri"/>
        </w:rPr>
        <w:tab/>
        <w:t>Ministry of Women, Children and Poverty Alleviation</w:t>
      </w:r>
    </w:p>
    <w:p w14:paraId="13A1DBBF" w14:textId="77777777" w:rsidR="009A56D8" w:rsidRPr="00BD0F3E" w:rsidRDefault="009A56D8" w:rsidP="009A56D8">
      <w:pPr>
        <w:pStyle w:val="Acronymstabletext"/>
        <w:rPr>
          <w:rFonts w:eastAsia="Calibri"/>
        </w:rPr>
      </w:pPr>
      <w:r w:rsidRPr="00BD0F3E">
        <w:rPr>
          <w:rFonts w:eastAsia="Calibri"/>
        </w:rPr>
        <w:t xml:space="preserve">MWCSD </w:t>
      </w:r>
      <w:r w:rsidRPr="00BD0F3E">
        <w:rPr>
          <w:rFonts w:eastAsia="Calibri"/>
        </w:rPr>
        <w:tab/>
        <w:t>Ministry of Women, Community and Social Development</w:t>
      </w:r>
    </w:p>
    <w:p w14:paraId="4377F4AB" w14:textId="77777777" w:rsidR="009A56D8" w:rsidRDefault="009A56D8" w:rsidP="009A56D8">
      <w:pPr>
        <w:pStyle w:val="Acronymstabletext"/>
        <w:rPr>
          <w:rFonts w:eastAsia="Calibri"/>
          <w:highlight w:val="white"/>
        </w:rPr>
      </w:pPr>
      <w:r>
        <w:rPr>
          <w:rFonts w:eastAsia="Calibri"/>
          <w:highlight w:val="white"/>
        </w:rPr>
        <w:t>MWYCFA</w:t>
      </w:r>
      <w:r>
        <w:rPr>
          <w:rFonts w:eastAsia="Calibri"/>
          <w:highlight w:val="white"/>
        </w:rPr>
        <w:tab/>
        <w:t>Ministry of Women, Youth, Children and Family Affairs</w:t>
      </w:r>
    </w:p>
    <w:p w14:paraId="6BF22C7E" w14:textId="77777777" w:rsidR="009A56D8" w:rsidRDefault="009A56D8" w:rsidP="009A56D8">
      <w:pPr>
        <w:pStyle w:val="Acronymstabletext"/>
        <w:rPr>
          <w:rFonts w:eastAsia="Calibri"/>
          <w:highlight w:val="white"/>
        </w:rPr>
      </w:pPr>
      <w:r>
        <w:rPr>
          <w:rFonts w:eastAsia="Calibri"/>
          <w:highlight w:val="white"/>
        </w:rPr>
        <w:t>MYS</w:t>
      </w:r>
      <w:r>
        <w:rPr>
          <w:rFonts w:eastAsia="Calibri"/>
          <w:highlight w:val="white"/>
        </w:rPr>
        <w:tab/>
      </w:r>
      <w:r>
        <w:rPr>
          <w:rFonts w:eastAsia="Calibri"/>
          <w:highlight w:val="white"/>
        </w:rPr>
        <w:tab/>
        <w:t>Ministry of Youth and Sport</w:t>
      </w:r>
    </w:p>
    <w:p w14:paraId="44A1DEF3" w14:textId="77777777" w:rsidR="009A56D8" w:rsidRDefault="009A56D8" w:rsidP="009A56D8">
      <w:pPr>
        <w:pStyle w:val="Acronymstabletext"/>
        <w:rPr>
          <w:rFonts w:eastAsia="Calibri"/>
          <w:highlight w:val="white"/>
        </w:rPr>
      </w:pPr>
      <w:r>
        <w:rPr>
          <w:rFonts w:eastAsia="Calibri"/>
          <w:highlight w:val="white"/>
        </w:rPr>
        <w:t>M</w:t>
      </w:r>
      <w:r w:rsidR="00BE353F">
        <w:rPr>
          <w:rFonts w:eastAsia="Calibri"/>
          <w:highlight w:val="white"/>
        </w:rPr>
        <w:t>W</w:t>
      </w:r>
      <w:r>
        <w:rPr>
          <w:rFonts w:eastAsia="Calibri"/>
          <w:highlight w:val="white"/>
        </w:rPr>
        <w:t>YSSA</w:t>
      </w:r>
      <w:r>
        <w:rPr>
          <w:rFonts w:eastAsia="Calibri"/>
          <w:highlight w:val="white"/>
        </w:rPr>
        <w:tab/>
        <w:t>Ministry of Women, Youth, Sports and Social Affairs</w:t>
      </w:r>
    </w:p>
    <w:p w14:paraId="10F2EFD0" w14:textId="77777777" w:rsidR="009A56D8" w:rsidRDefault="009A56D8" w:rsidP="009A56D8">
      <w:pPr>
        <w:pStyle w:val="Acronymstabletext"/>
        <w:rPr>
          <w:rFonts w:eastAsia="Calibri"/>
          <w:highlight w:val="white"/>
        </w:rPr>
      </w:pPr>
      <w:r>
        <w:rPr>
          <w:rFonts w:eastAsia="Calibri"/>
          <w:highlight w:val="white"/>
        </w:rPr>
        <w:t>NCs</w:t>
      </w:r>
      <w:r>
        <w:rPr>
          <w:rFonts w:eastAsia="Calibri"/>
          <w:highlight w:val="white"/>
        </w:rPr>
        <w:tab/>
      </w:r>
      <w:r>
        <w:rPr>
          <w:rFonts w:eastAsia="Calibri"/>
          <w:highlight w:val="white"/>
        </w:rPr>
        <w:tab/>
        <w:t>National Consultants</w:t>
      </w:r>
    </w:p>
    <w:p w14:paraId="52E6C8BE" w14:textId="77777777" w:rsidR="009A56D8" w:rsidRPr="00BD0F3E" w:rsidRDefault="009A56D8" w:rsidP="009A56D8">
      <w:pPr>
        <w:pStyle w:val="Acronymstabletext"/>
        <w:rPr>
          <w:rFonts w:eastAsia="Calibri"/>
          <w:highlight w:val="white"/>
        </w:rPr>
      </w:pPr>
      <w:r w:rsidRPr="00BD0F3E">
        <w:rPr>
          <w:rFonts w:eastAsia="Calibri"/>
          <w:highlight w:val="white"/>
        </w:rPr>
        <w:t xml:space="preserve">NCC             </w:t>
      </w:r>
      <w:r w:rsidRPr="00BD0F3E">
        <w:rPr>
          <w:rFonts w:eastAsia="Calibri"/>
          <w:highlight w:val="white"/>
        </w:rPr>
        <w:tab/>
        <w:t>National Coordination Committee</w:t>
      </w:r>
    </w:p>
    <w:p w14:paraId="7AAFF41E" w14:textId="77777777" w:rsidR="0067546A" w:rsidRDefault="0067546A" w:rsidP="009A56D8">
      <w:pPr>
        <w:pStyle w:val="Acronymstabletext"/>
        <w:rPr>
          <w:rFonts w:eastAsia="Calibri"/>
          <w:highlight w:val="white"/>
        </w:rPr>
      </w:pPr>
      <w:r>
        <w:rPr>
          <w:rFonts w:eastAsia="Calibri"/>
          <w:highlight w:val="white"/>
        </w:rPr>
        <w:t>NCD</w:t>
      </w:r>
      <w:r>
        <w:rPr>
          <w:rFonts w:eastAsia="Calibri"/>
          <w:highlight w:val="white"/>
        </w:rPr>
        <w:tab/>
      </w:r>
      <w:r>
        <w:rPr>
          <w:rFonts w:eastAsia="Calibri"/>
          <w:highlight w:val="white"/>
        </w:rPr>
        <w:tab/>
        <w:t>Non Communicable Diseases</w:t>
      </w:r>
    </w:p>
    <w:p w14:paraId="4B350D99" w14:textId="77777777" w:rsidR="009A56D8" w:rsidRPr="00BD0F3E" w:rsidRDefault="009A56D8" w:rsidP="009A56D8">
      <w:pPr>
        <w:pStyle w:val="Acronymstabletext"/>
        <w:rPr>
          <w:rFonts w:eastAsia="Calibri"/>
          <w:highlight w:val="white"/>
        </w:rPr>
      </w:pPr>
      <w:r w:rsidRPr="00BD0F3E">
        <w:rPr>
          <w:rFonts w:eastAsia="Calibri"/>
          <w:highlight w:val="white"/>
        </w:rPr>
        <w:t xml:space="preserve">NGO            </w:t>
      </w:r>
      <w:r w:rsidRPr="00BD0F3E">
        <w:rPr>
          <w:rFonts w:eastAsia="Calibri"/>
          <w:highlight w:val="white"/>
        </w:rPr>
        <w:tab/>
        <w:t>Non-Governmental Organization</w:t>
      </w:r>
    </w:p>
    <w:p w14:paraId="4D57733C" w14:textId="77777777" w:rsidR="009A56D8" w:rsidRDefault="009A56D8" w:rsidP="009A56D8">
      <w:pPr>
        <w:pStyle w:val="Acronymstabletext"/>
        <w:rPr>
          <w:rFonts w:eastAsia="Calibri"/>
          <w:highlight w:val="white"/>
        </w:rPr>
      </w:pPr>
      <w:r>
        <w:rPr>
          <w:rFonts w:eastAsia="Calibri"/>
          <w:highlight w:val="white"/>
        </w:rPr>
        <w:t>NHRI</w:t>
      </w:r>
      <w:r>
        <w:rPr>
          <w:rFonts w:eastAsia="Calibri"/>
          <w:highlight w:val="white"/>
        </w:rPr>
        <w:tab/>
      </w:r>
      <w:r>
        <w:rPr>
          <w:rFonts w:eastAsia="Calibri"/>
          <w:highlight w:val="white"/>
        </w:rPr>
        <w:tab/>
        <w:t>National Human Rights Institute</w:t>
      </w:r>
    </w:p>
    <w:p w14:paraId="2EEC97AB" w14:textId="77777777" w:rsidR="009A56D8" w:rsidRPr="00BD0F3E" w:rsidRDefault="009A56D8" w:rsidP="009A56D8">
      <w:pPr>
        <w:pStyle w:val="Acronymstabletext"/>
        <w:rPr>
          <w:rFonts w:eastAsia="Calibri"/>
          <w:highlight w:val="white"/>
        </w:rPr>
      </w:pPr>
      <w:r w:rsidRPr="00BD0F3E">
        <w:rPr>
          <w:rFonts w:eastAsia="Calibri"/>
          <w:highlight w:val="white"/>
        </w:rPr>
        <w:t xml:space="preserve">NHS </w:t>
      </w:r>
      <w:r w:rsidRPr="00BD0F3E">
        <w:rPr>
          <w:rFonts w:eastAsia="Calibri"/>
          <w:highlight w:val="white"/>
        </w:rPr>
        <w:tab/>
        <w:t xml:space="preserve">        </w:t>
      </w:r>
      <w:r w:rsidRPr="00BD0F3E">
        <w:rPr>
          <w:rFonts w:eastAsia="Calibri"/>
          <w:highlight w:val="white"/>
        </w:rPr>
        <w:tab/>
        <w:t>National Health Service</w:t>
      </w:r>
    </w:p>
    <w:p w14:paraId="458350EA" w14:textId="77777777" w:rsidR="009A56D8" w:rsidRDefault="009A56D8" w:rsidP="009A56D8">
      <w:pPr>
        <w:pStyle w:val="Acronymstabletext"/>
        <w:rPr>
          <w:rFonts w:eastAsia="Calibri"/>
          <w:highlight w:val="white"/>
        </w:rPr>
      </w:pPr>
      <w:r>
        <w:rPr>
          <w:rFonts w:eastAsia="Calibri"/>
          <w:highlight w:val="white"/>
        </w:rPr>
        <w:t>OECD</w:t>
      </w:r>
      <w:r>
        <w:rPr>
          <w:rFonts w:eastAsia="Calibri"/>
          <w:highlight w:val="white"/>
        </w:rPr>
        <w:tab/>
      </w:r>
      <w:r>
        <w:rPr>
          <w:rFonts w:eastAsia="Calibri"/>
          <w:highlight w:val="white"/>
        </w:rPr>
        <w:tab/>
      </w:r>
      <w:r>
        <w:t>The Organisation for Economic Co-operation and Development</w:t>
      </w:r>
    </w:p>
    <w:p w14:paraId="59C3FA05" w14:textId="77777777" w:rsidR="00863411" w:rsidRDefault="00863411" w:rsidP="009A56D8">
      <w:pPr>
        <w:pStyle w:val="Acronymstabletext"/>
        <w:rPr>
          <w:rFonts w:eastAsia="Calibri"/>
          <w:highlight w:val="white"/>
        </w:rPr>
      </w:pPr>
      <w:r>
        <w:rPr>
          <w:rFonts w:eastAsia="Calibri"/>
          <w:highlight w:val="white"/>
        </w:rPr>
        <w:t>PDD</w:t>
      </w:r>
      <w:r>
        <w:rPr>
          <w:rFonts w:eastAsia="Calibri"/>
          <w:highlight w:val="white"/>
        </w:rPr>
        <w:tab/>
      </w:r>
      <w:r>
        <w:rPr>
          <w:rFonts w:eastAsia="Calibri"/>
          <w:highlight w:val="white"/>
        </w:rPr>
        <w:tab/>
        <w:t>Program Design Document</w:t>
      </w:r>
    </w:p>
    <w:p w14:paraId="4E5B89ED" w14:textId="77777777" w:rsidR="009A56D8" w:rsidRPr="00BD0F3E" w:rsidRDefault="009A56D8" w:rsidP="009A56D8">
      <w:pPr>
        <w:pStyle w:val="Acronymstabletext"/>
        <w:rPr>
          <w:rFonts w:eastAsia="Calibri"/>
          <w:highlight w:val="white"/>
        </w:rPr>
      </w:pPr>
      <w:r w:rsidRPr="00BD0F3E">
        <w:rPr>
          <w:rFonts w:eastAsia="Calibri"/>
          <w:highlight w:val="white"/>
        </w:rPr>
        <w:t xml:space="preserve">PE                </w:t>
      </w:r>
      <w:r w:rsidRPr="00BD0F3E">
        <w:rPr>
          <w:rFonts w:eastAsia="Calibri"/>
          <w:highlight w:val="white"/>
        </w:rPr>
        <w:tab/>
        <w:t>Peer Educator</w:t>
      </w:r>
    </w:p>
    <w:p w14:paraId="28C72975" w14:textId="77777777" w:rsidR="00052FA1" w:rsidRDefault="00052FA1" w:rsidP="009A56D8">
      <w:pPr>
        <w:pStyle w:val="Acronymstabletext"/>
        <w:rPr>
          <w:rFonts w:eastAsia="Calibri"/>
          <w:highlight w:val="white"/>
        </w:rPr>
      </w:pPr>
      <w:r>
        <w:rPr>
          <w:rFonts w:eastAsia="Calibri"/>
          <w:highlight w:val="white"/>
        </w:rPr>
        <w:t>PEP</w:t>
      </w:r>
      <w:r>
        <w:rPr>
          <w:rFonts w:eastAsia="Calibri"/>
          <w:highlight w:val="white"/>
        </w:rPr>
        <w:tab/>
      </w:r>
      <w:r>
        <w:rPr>
          <w:rFonts w:eastAsia="Calibri"/>
          <w:highlight w:val="white"/>
        </w:rPr>
        <w:tab/>
        <w:t>Post Exposure Prophylaxis</w:t>
      </w:r>
    </w:p>
    <w:p w14:paraId="7B8E379B" w14:textId="77777777" w:rsidR="00561D07" w:rsidRDefault="00561D07" w:rsidP="009A56D8">
      <w:pPr>
        <w:pStyle w:val="Acronymstabletext"/>
        <w:rPr>
          <w:rFonts w:eastAsia="Calibri"/>
          <w:highlight w:val="white"/>
        </w:rPr>
      </w:pPr>
      <w:r>
        <w:rPr>
          <w:rFonts w:eastAsia="Calibri"/>
          <w:highlight w:val="white"/>
        </w:rPr>
        <w:t>PHC</w:t>
      </w:r>
      <w:r>
        <w:rPr>
          <w:rFonts w:eastAsia="Calibri"/>
          <w:highlight w:val="white"/>
        </w:rPr>
        <w:tab/>
      </w:r>
      <w:r>
        <w:rPr>
          <w:rFonts w:eastAsia="Calibri"/>
          <w:highlight w:val="white"/>
        </w:rPr>
        <w:tab/>
        <w:t>Primary Health Care</w:t>
      </w:r>
    </w:p>
    <w:p w14:paraId="19F827CD" w14:textId="77777777" w:rsidR="009A56D8" w:rsidRPr="00BD0F3E" w:rsidRDefault="009A56D8" w:rsidP="009A56D8">
      <w:pPr>
        <w:pStyle w:val="Acronymstabletext"/>
        <w:rPr>
          <w:rFonts w:eastAsia="Calibri"/>
          <w:highlight w:val="white"/>
        </w:rPr>
      </w:pPr>
      <w:r w:rsidRPr="00BD0F3E">
        <w:rPr>
          <w:rFonts w:eastAsia="Calibri"/>
          <w:highlight w:val="white"/>
        </w:rPr>
        <w:t xml:space="preserve">PICT       </w:t>
      </w:r>
      <w:r w:rsidRPr="00BD0F3E">
        <w:rPr>
          <w:rFonts w:eastAsia="Calibri"/>
          <w:highlight w:val="white"/>
        </w:rPr>
        <w:tab/>
        <w:t>Pacific Island Countries and Territories</w:t>
      </w:r>
    </w:p>
    <w:p w14:paraId="601BABED" w14:textId="77777777" w:rsidR="009A56D8" w:rsidRPr="00BD0F3E" w:rsidRDefault="009A56D8" w:rsidP="009A56D8">
      <w:pPr>
        <w:pStyle w:val="Acronymstabletext"/>
        <w:rPr>
          <w:rFonts w:eastAsia="Calibri"/>
          <w:highlight w:val="white"/>
        </w:rPr>
      </w:pPr>
      <w:r w:rsidRPr="00BD0F3E">
        <w:rPr>
          <w:rFonts w:eastAsia="Calibri"/>
          <w:highlight w:val="white"/>
        </w:rPr>
        <w:t xml:space="preserve">PRSRHP  </w:t>
      </w:r>
      <w:r w:rsidRPr="00BD0F3E">
        <w:rPr>
          <w:rFonts w:eastAsia="Calibri"/>
          <w:highlight w:val="white"/>
        </w:rPr>
        <w:tab/>
        <w:t>Pacific Regional Sexual &amp; Reproductive Health Programme</w:t>
      </w:r>
    </w:p>
    <w:p w14:paraId="209F95BD" w14:textId="77777777" w:rsidR="009A56D8" w:rsidRPr="00BD0F3E" w:rsidRDefault="009A56D8" w:rsidP="009A56D8">
      <w:pPr>
        <w:pStyle w:val="Acronymstabletext"/>
        <w:rPr>
          <w:rFonts w:eastAsia="Calibri"/>
          <w:highlight w:val="white"/>
        </w:rPr>
      </w:pPr>
      <w:r w:rsidRPr="00BD0F3E">
        <w:rPr>
          <w:rFonts w:eastAsia="Calibri"/>
          <w:highlight w:val="white"/>
        </w:rPr>
        <w:t>PSC</w:t>
      </w:r>
      <w:r w:rsidRPr="00BD0F3E">
        <w:rPr>
          <w:rFonts w:eastAsia="Calibri"/>
          <w:highlight w:val="white"/>
        </w:rPr>
        <w:tab/>
      </w:r>
      <w:r w:rsidRPr="00BD0F3E">
        <w:rPr>
          <w:rFonts w:eastAsia="Calibri"/>
          <w:highlight w:val="white"/>
        </w:rPr>
        <w:tab/>
        <w:t>Program Steering Committee</w:t>
      </w:r>
    </w:p>
    <w:p w14:paraId="25404A0E" w14:textId="77777777" w:rsidR="009A56D8" w:rsidRPr="00BD0F3E" w:rsidRDefault="009A56D8" w:rsidP="009A56D8">
      <w:pPr>
        <w:pStyle w:val="Acronymstabletext"/>
        <w:rPr>
          <w:rFonts w:eastAsia="Calibri"/>
          <w:highlight w:val="white"/>
        </w:rPr>
      </w:pPr>
      <w:r w:rsidRPr="00BD0F3E">
        <w:rPr>
          <w:rFonts w:eastAsia="Calibri"/>
          <w:highlight w:val="white"/>
        </w:rPr>
        <w:t>PSRAP</w:t>
      </w:r>
      <w:r w:rsidRPr="00BD0F3E">
        <w:rPr>
          <w:rFonts w:eastAsia="Calibri"/>
          <w:highlight w:val="white"/>
        </w:rPr>
        <w:tab/>
      </w:r>
      <w:r w:rsidRPr="00BD0F3E">
        <w:rPr>
          <w:rFonts w:eastAsia="Calibri"/>
          <w:highlight w:val="white"/>
        </w:rPr>
        <w:tab/>
      </w:r>
      <w:r w:rsidRPr="00BD0F3E">
        <w:rPr>
          <w:rFonts w:eastAsia="Calibri"/>
          <w:color w:val="000000"/>
        </w:rPr>
        <w:t>Pacific Sub-Regional Action Plan (2018-2022)</w:t>
      </w:r>
    </w:p>
    <w:p w14:paraId="2E65BF1F" w14:textId="77777777" w:rsidR="009A56D8" w:rsidRPr="00BD0F3E" w:rsidRDefault="009A56D8" w:rsidP="009A56D8">
      <w:pPr>
        <w:pStyle w:val="Acronymstabletext"/>
        <w:rPr>
          <w:rFonts w:eastAsia="Calibri"/>
          <w:highlight w:val="white"/>
        </w:rPr>
      </w:pPr>
      <w:r w:rsidRPr="00BD0F3E">
        <w:rPr>
          <w:rFonts w:eastAsia="Calibri"/>
          <w:highlight w:val="white"/>
        </w:rPr>
        <w:t xml:space="preserve">PSRO      </w:t>
      </w:r>
      <w:r w:rsidRPr="00BD0F3E">
        <w:rPr>
          <w:rFonts w:eastAsia="Calibri"/>
          <w:highlight w:val="white"/>
        </w:rPr>
        <w:tab/>
        <w:t>Pacific Sub-Regional Office (UNFPA)</w:t>
      </w:r>
    </w:p>
    <w:p w14:paraId="1061DF68" w14:textId="77777777" w:rsidR="009A56D8" w:rsidRPr="00BD0F3E" w:rsidRDefault="009A56D8" w:rsidP="009A56D8">
      <w:pPr>
        <w:pStyle w:val="Acronymstabletext"/>
        <w:rPr>
          <w:rFonts w:eastAsia="Calibri"/>
          <w:highlight w:val="white"/>
        </w:rPr>
      </w:pPr>
      <w:r w:rsidRPr="00BD0F3E">
        <w:rPr>
          <w:rFonts w:eastAsia="Calibri"/>
        </w:rPr>
        <w:t>PSRPD</w:t>
      </w:r>
      <w:r w:rsidRPr="00BD0F3E">
        <w:rPr>
          <w:rFonts w:eastAsia="Calibri"/>
        </w:rPr>
        <w:tab/>
      </w:r>
      <w:r w:rsidRPr="00BD0F3E">
        <w:rPr>
          <w:rFonts w:eastAsia="Calibri"/>
        </w:rPr>
        <w:tab/>
        <w:t>Pacific Sub-Regional Program Document (2018-2022)</w:t>
      </w:r>
    </w:p>
    <w:p w14:paraId="15C455C7" w14:textId="77777777" w:rsidR="009A56D8" w:rsidRPr="00BD0F3E" w:rsidRDefault="009A56D8" w:rsidP="009A56D8">
      <w:pPr>
        <w:pStyle w:val="Acronymstabletext"/>
        <w:rPr>
          <w:rFonts w:eastAsia="Calibri"/>
          <w:highlight w:val="white"/>
        </w:rPr>
      </w:pPr>
      <w:r w:rsidRPr="00BD0F3E">
        <w:rPr>
          <w:rFonts w:eastAsia="Calibri"/>
          <w:highlight w:val="white"/>
        </w:rPr>
        <w:t xml:space="preserve">Q                 </w:t>
      </w:r>
      <w:r w:rsidRPr="00BD0F3E">
        <w:rPr>
          <w:rFonts w:eastAsia="Calibri"/>
          <w:highlight w:val="white"/>
        </w:rPr>
        <w:tab/>
        <w:t xml:space="preserve">Quarter </w:t>
      </w:r>
      <w:r w:rsidRPr="00BD0F3E">
        <w:rPr>
          <w:rFonts w:eastAsia="Calibri"/>
          <w:i/>
          <w:highlight w:val="white"/>
        </w:rPr>
        <w:t xml:space="preserve">(note that quarters pertain to </w:t>
      </w:r>
      <w:r w:rsidRPr="00BD0F3E">
        <w:rPr>
          <w:rFonts w:eastAsia="Calibri"/>
          <w:b/>
          <w:i/>
          <w:highlight w:val="white"/>
        </w:rPr>
        <w:t>calendar years</w:t>
      </w:r>
      <w:r w:rsidRPr="00BD0F3E">
        <w:rPr>
          <w:rFonts w:eastAsia="Calibri"/>
          <w:i/>
          <w:highlight w:val="white"/>
        </w:rPr>
        <w:t>)</w:t>
      </w:r>
    </w:p>
    <w:p w14:paraId="281B613A" w14:textId="77777777" w:rsidR="009A56D8" w:rsidRPr="00BD0F3E" w:rsidRDefault="009A56D8" w:rsidP="009A56D8">
      <w:pPr>
        <w:pStyle w:val="Acronymstabletext"/>
        <w:rPr>
          <w:rFonts w:eastAsia="Calibri"/>
          <w:highlight w:val="white"/>
        </w:rPr>
      </w:pPr>
      <w:r w:rsidRPr="00BD0F3E">
        <w:rPr>
          <w:rFonts w:eastAsia="Calibri"/>
          <w:highlight w:val="white"/>
        </w:rPr>
        <w:t>RH</w:t>
      </w:r>
      <w:r w:rsidRPr="00BD0F3E">
        <w:rPr>
          <w:rFonts w:eastAsia="Calibri"/>
          <w:highlight w:val="white"/>
        </w:rPr>
        <w:tab/>
      </w:r>
      <w:r w:rsidRPr="00BD0F3E">
        <w:rPr>
          <w:rFonts w:eastAsia="Calibri"/>
          <w:highlight w:val="white"/>
        </w:rPr>
        <w:tab/>
        <w:t>Reproductive Health</w:t>
      </w:r>
    </w:p>
    <w:p w14:paraId="3D6DAECF" w14:textId="77777777" w:rsidR="009A56D8" w:rsidRDefault="009A56D8" w:rsidP="009A56D8">
      <w:pPr>
        <w:pStyle w:val="Acronymstabletext"/>
        <w:rPr>
          <w:rFonts w:eastAsia="Calibri"/>
          <w:highlight w:val="white"/>
        </w:rPr>
      </w:pPr>
      <w:r>
        <w:rPr>
          <w:rFonts w:eastAsia="Calibri"/>
          <w:highlight w:val="white"/>
        </w:rPr>
        <w:t>RIP</w:t>
      </w:r>
      <w:r>
        <w:rPr>
          <w:rFonts w:eastAsia="Calibri"/>
          <w:highlight w:val="white"/>
        </w:rPr>
        <w:tab/>
      </w:r>
      <w:r>
        <w:rPr>
          <w:rFonts w:eastAsia="Calibri"/>
          <w:highlight w:val="white"/>
        </w:rPr>
        <w:tab/>
        <w:t>Regional Implementing Partners</w:t>
      </w:r>
    </w:p>
    <w:p w14:paraId="33D812A4" w14:textId="77777777" w:rsidR="009A56D8" w:rsidRPr="00BD0F3E" w:rsidRDefault="009A56D8" w:rsidP="009A56D8">
      <w:pPr>
        <w:pStyle w:val="Acronymstabletext"/>
        <w:rPr>
          <w:rFonts w:eastAsia="Calibri"/>
          <w:highlight w:val="white"/>
        </w:rPr>
      </w:pPr>
      <w:r w:rsidRPr="00BD0F3E">
        <w:rPr>
          <w:rFonts w:eastAsia="Calibri"/>
          <w:highlight w:val="white"/>
        </w:rPr>
        <w:t>RMNCAH</w:t>
      </w:r>
      <w:r w:rsidRPr="00BD0F3E">
        <w:rPr>
          <w:rFonts w:eastAsia="Calibri"/>
          <w:highlight w:val="white"/>
        </w:rPr>
        <w:tab/>
        <w:t>Reproductive, Maternal, Newborn, Child, and Adolescent Health</w:t>
      </w:r>
    </w:p>
    <w:p w14:paraId="034FF672" w14:textId="77777777" w:rsidR="00DA0E49" w:rsidRDefault="00DA0E49" w:rsidP="009A56D8">
      <w:pPr>
        <w:pStyle w:val="Acronymstabletext"/>
        <w:rPr>
          <w:rFonts w:eastAsia="Calibri"/>
          <w:highlight w:val="white"/>
        </w:rPr>
      </w:pPr>
      <w:r>
        <w:rPr>
          <w:rFonts w:eastAsia="Calibri"/>
          <w:highlight w:val="white"/>
        </w:rPr>
        <w:t>SIHSSP</w:t>
      </w:r>
      <w:r>
        <w:rPr>
          <w:rFonts w:eastAsia="Calibri"/>
          <w:highlight w:val="white"/>
        </w:rPr>
        <w:tab/>
      </w:r>
      <w:r>
        <w:rPr>
          <w:rFonts w:eastAsia="Calibri"/>
          <w:highlight w:val="white"/>
        </w:rPr>
        <w:tab/>
        <w:t>Solomon Islands Health Sector Support Program</w:t>
      </w:r>
    </w:p>
    <w:p w14:paraId="2DAE373A" w14:textId="77777777" w:rsidR="006E3D1A" w:rsidRDefault="006E3D1A" w:rsidP="009A56D8">
      <w:pPr>
        <w:pStyle w:val="Acronymstabletext"/>
        <w:rPr>
          <w:rFonts w:eastAsia="Calibri"/>
          <w:highlight w:val="white"/>
        </w:rPr>
      </w:pPr>
      <w:r>
        <w:rPr>
          <w:rFonts w:eastAsia="Calibri"/>
          <w:highlight w:val="white"/>
        </w:rPr>
        <w:lastRenderedPageBreak/>
        <w:t>SPBEQ</w:t>
      </w:r>
      <w:r>
        <w:rPr>
          <w:rFonts w:eastAsia="Calibri"/>
          <w:highlight w:val="white"/>
        </w:rPr>
        <w:tab/>
      </w:r>
      <w:r>
        <w:rPr>
          <w:rFonts w:eastAsia="Calibri"/>
          <w:highlight w:val="white"/>
        </w:rPr>
        <w:tab/>
        <w:t>South Pacific Board of Education Qualifications</w:t>
      </w:r>
    </w:p>
    <w:p w14:paraId="0F896E50" w14:textId="77777777" w:rsidR="00BE353F" w:rsidRDefault="00BE353F" w:rsidP="009A56D8">
      <w:pPr>
        <w:pStyle w:val="Acronymstabletext"/>
        <w:rPr>
          <w:rFonts w:eastAsia="Calibri"/>
          <w:highlight w:val="white"/>
        </w:rPr>
      </w:pPr>
      <w:r>
        <w:rPr>
          <w:rFonts w:eastAsia="Calibri"/>
          <w:highlight w:val="white"/>
        </w:rPr>
        <w:t>SPRINT</w:t>
      </w:r>
      <w:r>
        <w:rPr>
          <w:rFonts w:eastAsia="Calibri"/>
          <w:highlight w:val="white"/>
        </w:rPr>
        <w:tab/>
      </w:r>
      <w:r>
        <w:rPr>
          <w:rFonts w:eastAsia="Calibri"/>
          <w:highlight w:val="white"/>
        </w:rPr>
        <w:tab/>
      </w:r>
      <w:r w:rsidR="00A4690D">
        <w:rPr>
          <w:rFonts w:eastAsia="Calibri"/>
          <w:highlight w:val="white"/>
        </w:rPr>
        <w:t>SRH in Crisis and Post-Crisis Situations</w:t>
      </w:r>
    </w:p>
    <w:p w14:paraId="2659AD0F" w14:textId="77777777" w:rsidR="009A56D8" w:rsidRDefault="009A56D8" w:rsidP="009A56D8">
      <w:pPr>
        <w:pStyle w:val="Acronymstabletext"/>
        <w:rPr>
          <w:rFonts w:eastAsia="Calibri"/>
          <w:highlight w:val="white"/>
        </w:rPr>
      </w:pPr>
      <w:r>
        <w:rPr>
          <w:rFonts w:eastAsia="Calibri"/>
          <w:highlight w:val="white"/>
        </w:rPr>
        <w:t>SBS</w:t>
      </w:r>
      <w:r>
        <w:rPr>
          <w:rFonts w:eastAsia="Calibri"/>
          <w:highlight w:val="white"/>
        </w:rPr>
        <w:tab/>
      </w:r>
      <w:r>
        <w:rPr>
          <w:rFonts w:eastAsia="Calibri"/>
          <w:highlight w:val="white"/>
        </w:rPr>
        <w:tab/>
        <w:t>Solomon Islands Bureau of Statistics</w:t>
      </w:r>
    </w:p>
    <w:p w14:paraId="5950E28D" w14:textId="77777777" w:rsidR="009A56D8" w:rsidRPr="00BD0F3E" w:rsidRDefault="009A56D8" w:rsidP="009A56D8">
      <w:pPr>
        <w:pStyle w:val="Acronymstabletext"/>
        <w:rPr>
          <w:rFonts w:eastAsia="Calibri"/>
          <w:highlight w:val="white"/>
        </w:rPr>
      </w:pPr>
      <w:r w:rsidRPr="00BD0F3E">
        <w:rPr>
          <w:rFonts w:eastAsia="Calibri"/>
          <w:highlight w:val="white"/>
        </w:rPr>
        <w:t xml:space="preserve">SDG             </w:t>
      </w:r>
      <w:r w:rsidRPr="00BD0F3E">
        <w:rPr>
          <w:rFonts w:eastAsia="Calibri"/>
          <w:highlight w:val="white"/>
        </w:rPr>
        <w:tab/>
        <w:t>Sustainable Development Goals</w:t>
      </w:r>
    </w:p>
    <w:p w14:paraId="0F102DB7" w14:textId="77777777" w:rsidR="009A56D8" w:rsidRPr="00BD0F3E" w:rsidRDefault="009A56D8" w:rsidP="009A56D8">
      <w:pPr>
        <w:pStyle w:val="Acronymstabletext"/>
        <w:rPr>
          <w:rFonts w:eastAsia="Calibri"/>
          <w:highlight w:val="white"/>
        </w:rPr>
      </w:pPr>
      <w:r w:rsidRPr="00BD0F3E">
        <w:rPr>
          <w:rFonts w:eastAsia="Calibri"/>
          <w:highlight w:val="white"/>
        </w:rPr>
        <w:t xml:space="preserve">SDP             </w:t>
      </w:r>
      <w:r w:rsidRPr="00BD0F3E">
        <w:rPr>
          <w:rFonts w:eastAsia="Calibri"/>
          <w:highlight w:val="white"/>
        </w:rPr>
        <w:tab/>
        <w:t>Service Delivery Point</w:t>
      </w:r>
    </w:p>
    <w:p w14:paraId="7AB68DEF" w14:textId="77777777" w:rsidR="009A56D8" w:rsidRDefault="009A56D8" w:rsidP="009A56D8">
      <w:pPr>
        <w:pStyle w:val="Acronymstabletext"/>
        <w:rPr>
          <w:rFonts w:eastAsia="Calibri"/>
          <w:highlight w:val="white"/>
        </w:rPr>
      </w:pPr>
      <w:r>
        <w:rPr>
          <w:rFonts w:eastAsia="Calibri"/>
          <w:highlight w:val="white"/>
        </w:rPr>
        <w:t>SFA</w:t>
      </w:r>
      <w:r>
        <w:rPr>
          <w:rFonts w:eastAsia="Calibri"/>
          <w:highlight w:val="white"/>
        </w:rPr>
        <w:tab/>
      </w:r>
      <w:r>
        <w:rPr>
          <w:rFonts w:eastAsia="Calibri"/>
          <w:highlight w:val="white"/>
        </w:rPr>
        <w:tab/>
        <w:t xml:space="preserve">Samoa </w:t>
      </w:r>
      <w:proofErr w:type="spellStart"/>
      <w:r>
        <w:rPr>
          <w:rFonts w:eastAsia="Calibri"/>
          <w:highlight w:val="white"/>
        </w:rPr>
        <w:t>Faafafine</w:t>
      </w:r>
      <w:proofErr w:type="spellEnd"/>
      <w:r>
        <w:rPr>
          <w:rFonts w:eastAsia="Calibri"/>
          <w:highlight w:val="white"/>
        </w:rPr>
        <w:t xml:space="preserve"> Association</w:t>
      </w:r>
    </w:p>
    <w:p w14:paraId="486FFC77" w14:textId="77777777" w:rsidR="009A56D8" w:rsidRDefault="009A56D8" w:rsidP="009A56D8">
      <w:pPr>
        <w:pStyle w:val="Acronymstabletext"/>
        <w:rPr>
          <w:rFonts w:eastAsia="Calibri"/>
          <w:highlight w:val="white"/>
        </w:rPr>
      </w:pPr>
      <w:r w:rsidRPr="00BD0F3E">
        <w:rPr>
          <w:rFonts w:eastAsia="Calibri"/>
          <w:highlight w:val="white"/>
        </w:rPr>
        <w:t xml:space="preserve">SFHA      </w:t>
      </w:r>
      <w:r w:rsidRPr="00BD0F3E">
        <w:rPr>
          <w:rFonts w:eastAsia="Calibri"/>
          <w:highlight w:val="white"/>
        </w:rPr>
        <w:tab/>
        <w:t>Samoa Family Health Association (IPPF MA)</w:t>
      </w:r>
    </w:p>
    <w:p w14:paraId="0B3537C7" w14:textId="77777777" w:rsidR="009A56D8" w:rsidRPr="00BD0F3E" w:rsidRDefault="009A56D8" w:rsidP="009A56D8">
      <w:pPr>
        <w:pStyle w:val="Acronymstabletext"/>
        <w:rPr>
          <w:rFonts w:eastAsia="Calibri"/>
          <w:highlight w:val="white"/>
        </w:rPr>
      </w:pPr>
      <w:r>
        <w:rPr>
          <w:rFonts w:eastAsia="Calibri"/>
          <w:highlight w:val="white"/>
        </w:rPr>
        <w:t>SHS</w:t>
      </w:r>
      <w:r>
        <w:rPr>
          <w:rFonts w:eastAsia="Calibri"/>
          <w:highlight w:val="white"/>
        </w:rPr>
        <w:tab/>
      </w:r>
      <w:r>
        <w:rPr>
          <w:rFonts w:eastAsia="Calibri"/>
          <w:highlight w:val="white"/>
        </w:rPr>
        <w:tab/>
        <w:t>Specialist Health Service</w:t>
      </w:r>
    </w:p>
    <w:p w14:paraId="13A978E7" w14:textId="77777777" w:rsidR="009A56D8" w:rsidRPr="00BD0F3E" w:rsidRDefault="009A56D8" w:rsidP="009A56D8">
      <w:pPr>
        <w:pStyle w:val="Acronymstabletext"/>
        <w:rPr>
          <w:rFonts w:eastAsia="Calibri"/>
          <w:highlight w:val="white"/>
        </w:rPr>
      </w:pPr>
      <w:r w:rsidRPr="00BD0F3E">
        <w:rPr>
          <w:rFonts w:eastAsia="Calibri"/>
          <w:highlight w:val="white"/>
        </w:rPr>
        <w:t>SIPPA</w:t>
      </w:r>
      <w:r w:rsidRPr="00BD0F3E">
        <w:rPr>
          <w:rFonts w:eastAsia="Calibri"/>
          <w:highlight w:val="white"/>
        </w:rPr>
        <w:tab/>
      </w:r>
      <w:r w:rsidRPr="00BD0F3E">
        <w:rPr>
          <w:rFonts w:eastAsia="Calibri"/>
          <w:highlight w:val="white"/>
        </w:rPr>
        <w:tab/>
        <w:t>Solomon Islands Planned Parenthood Association (IPPF MA)</w:t>
      </w:r>
    </w:p>
    <w:p w14:paraId="679004D1" w14:textId="77777777" w:rsidR="009A56D8" w:rsidRPr="00BD0F3E" w:rsidRDefault="009A56D8" w:rsidP="009A56D8">
      <w:pPr>
        <w:pStyle w:val="Acronymstabletext"/>
        <w:rPr>
          <w:rFonts w:eastAsia="Calibri"/>
          <w:highlight w:val="white"/>
        </w:rPr>
      </w:pPr>
      <w:r w:rsidRPr="00BD0F3E">
        <w:rPr>
          <w:rFonts w:eastAsia="Calibri"/>
          <w:highlight w:val="white"/>
        </w:rPr>
        <w:t xml:space="preserve">SPC         </w:t>
      </w:r>
      <w:r w:rsidRPr="00BD0F3E">
        <w:rPr>
          <w:rFonts w:eastAsia="Calibri"/>
          <w:highlight w:val="white"/>
        </w:rPr>
        <w:tab/>
        <w:t>Secretariat of the Pacific Community</w:t>
      </w:r>
    </w:p>
    <w:p w14:paraId="1B15AA08" w14:textId="77777777" w:rsidR="009A56D8" w:rsidRPr="00BD0F3E" w:rsidRDefault="009A56D8" w:rsidP="009A56D8">
      <w:pPr>
        <w:pStyle w:val="Acronymstabletext"/>
        <w:rPr>
          <w:rFonts w:eastAsia="Calibri"/>
          <w:highlight w:val="white"/>
        </w:rPr>
      </w:pPr>
      <w:r w:rsidRPr="00BD0F3E">
        <w:rPr>
          <w:rFonts w:eastAsia="Calibri"/>
          <w:highlight w:val="white"/>
        </w:rPr>
        <w:t xml:space="preserve">SR                </w:t>
      </w:r>
      <w:r w:rsidRPr="00BD0F3E">
        <w:rPr>
          <w:rFonts w:eastAsia="Calibri"/>
          <w:highlight w:val="white"/>
        </w:rPr>
        <w:tab/>
        <w:t>Sub-Recipient</w:t>
      </w:r>
    </w:p>
    <w:p w14:paraId="2928C229" w14:textId="77777777" w:rsidR="009A56D8" w:rsidRDefault="009A56D8" w:rsidP="009A56D8">
      <w:pPr>
        <w:pStyle w:val="Acronymstabletext"/>
        <w:rPr>
          <w:rFonts w:eastAsia="Calibri"/>
          <w:highlight w:val="white"/>
        </w:rPr>
      </w:pPr>
      <w:r>
        <w:rPr>
          <w:rFonts w:eastAsia="Calibri"/>
          <w:highlight w:val="white"/>
        </w:rPr>
        <w:t>SRCS</w:t>
      </w:r>
      <w:r>
        <w:rPr>
          <w:rFonts w:eastAsia="Calibri"/>
          <w:highlight w:val="white"/>
        </w:rPr>
        <w:tab/>
      </w:r>
      <w:r>
        <w:rPr>
          <w:rFonts w:eastAsia="Calibri"/>
          <w:highlight w:val="white"/>
        </w:rPr>
        <w:tab/>
        <w:t>Samoa Red Cross Society</w:t>
      </w:r>
    </w:p>
    <w:p w14:paraId="1BAD5CCA" w14:textId="77777777" w:rsidR="00BE2A0A" w:rsidRDefault="00BE2A0A" w:rsidP="009A56D8">
      <w:pPr>
        <w:pStyle w:val="Acronymstabletext"/>
        <w:rPr>
          <w:rFonts w:eastAsia="Calibri"/>
          <w:highlight w:val="white"/>
        </w:rPr>
      </w:pPr>
      <w:r>
        <w:rPr>
          <w:rFonts w:eastAsia="Calibri"/>
          <w:highlight w:val="white"/>
        </w:rPr>
        <w:t>SRH</w:t>
      </w:r>
      <w:r>
        <w:rPr>
          <w:rFonts w:eastAsia="Calibri"/>
          <w:highlight w:val="white"/>
        </w:rPr>
        <w:tab/>
      </w:r>
      <w:r>
        <w:rPr>
          <w:rFonts w:eastAsia="Calibri"/>
          <w:highlight w:val="white"/>
        </w:rPr>
        <w:tab/>
        <w:t>Sexual and Reproductive Health</w:t>
      </w:r>
    </w:p>
    <w:p w14:paraId="64CD6635" w14:textId="77777777" w:rsidR="009A56D8" w:rsidRPr="00BD0F3E" w:rsidRDefault="009A56D8" w:rsidP="009A56D8">
      <w:pPr>
        <w:pStyle w:val="Acronymstabletext"/>
        <w:rPr>
          <w:rFonts w:eastAsia="Calibri"/>
          <w:highlight w:val="white"/>
        </w:rPr>
      </w:pPr>
      <w:r w:rsidRPr="00BD0F3E">
        <w:rPr>
          <w:rFonts w:eastAsia="Calibri"/>
          <w:highlight w:val="white"/>
        </w:rPr>
        <w:t xml:space="preserve">SRHR      </w:t>
      </w:r>
      <w:r w:rsidRPr="00BD0F3E">
        <w:rPr>
          <w:rFonts w:eastAsia="Calibri"/>
          <w:highlight w:val="white"/>
        </w:rPr>
        <w:tab/>
        <w:t>Sexual and Reproductive Health and Rights</w:t>
      </w:r>
    </w:p>
    <w:p w14:paraId="36D6DB44" w14:textId="77777777" w:rsidR="009A56D8" w:rsidRPr="00BD0F3E" w:rsidRDefault="009A56D8" w:rsidP="009A56D8">
      <w:pPr>
        <w:pStyle w:val="Acronymstabletext"/>
        <w:rPr>
          <w:rFonts w:eastAsia="Calibri"/>
          <w:highlight w:val="white"/>
        </w:rPr>
      </w:pPr>
      <w:r w:rsidRPr="00BD0F3E">
        <w:rPr>
          <w:rFonts w:eastAsia="Calibri"/>
          <w:highlight w:val="white"/>
        </w:rPr>
        <w:t xml:space="preserve">SROP      </w:t>
      </w:r>
      <w:r w:rsidRPr="00BD0F3E">
        <w:rPr>
          <w:rFonts w:eastAsia="Calibri"/>
          <w:highlight w:val="white"/>
        </w:rPr>
        <w:tab/>
        <w:t>Sub-Regional Office of the Pacific (IPPF)</w:t>
      </w:r>
      <w:r w:rsidRPr="00BD0F3E">
        <w:rPr>
          <w:rFonts w:eastAsia="Calibri"/>
          <w:highlight w:val="white"/>
        </w:rPr>
        <w:tab/>
      </w:r>
      <w:r w:rsidRPr="00BD0F3E">
        <w:rPr>
          <w:rFonts w:eastAsia="Calibri"/>
          <w:highlight w:val="white"/>
        </w:rPr>
        <w:tab/>
      </w:r>
    </w:p>
    <w:p w14:paraId="6BA69BA3" w14:textId="77777777" w:rsidR="009A56D8" w:rsidRPr="00BD0F3E" w:rsidRDefault="009A56D8" w:rsidP="009A56D8">
      <w:pPr>
        <w:pStyle w:val="Acronymstabletext"/>
        <w:rPr>
          <w:rFonts w:eastAsia="Calibri"/>
        </w:rPr>
      </w:pPr>
      <w:r w:rsidRPr="00BD0F3E">
        <w:rPr>
          <w:rFonts w:eastAsia="Calibri"/>
        </w:rPr>
        <w:t>SRP6</w:t>
      </w:r>
      <w:r w:rsidRPr="00BD0F3E">
        <w:rPr>
          <w:rFonts w:eastAsia="Calibri"/>
        </w:rPr>
        <w:tab/>
      </w:r>
      <w:r w:rsidRPr="00BD0F3E">
        <w:rPr>
          <w:rFonts w:eastAsia="Calibri"/>
        </w:rPr>
        <w:tab/>
        <w:t>Sub Regional Programme for the Pacific (UNFPA 6th Cycle SRP 2018-2022)</w:t>
      </w:r>
    </w:p>
    <w:p w14:paraId="71ADB78B" w14:textId="77777777" w:rsidR="009A56D8" w:rsidRPr="00BD0F3E" w:rsidRDefault="009A56D8" w:rsidP="009A56D8">
      <w:pPr>
        <w:pStyle w:val="Acronymstabletext"/>
        <w:rPr>
          <w:rFonts w:eastAsia="Calibri"/>
          <w:highlight w:val="white"/>
        </w:rPr>
      </w:pPr>
      <w:r w:rsidRPr="00BD0F3E">
        <w:rPr>
          <w:rFonts w:eastAsia="Calibri"/>
          <w:highlight w:val="white"/>
        </w:rPr>
        <w:t xml:space="preserve">STI              </w:t>
      </w:r>
      <w:r w:rsidRPr="00BD0F3E">
        <w:rPr>
          <w:rFonts w:eastAsia="Calibri"/>
          <w:highlight w:val="white"/>
        </w:rPr>
        <w:tab/>
        <w:t>Sexually Transmitted Infection</w:t>
      </w:r>
    </w:p>
    <w:p w14:paraId="30674F1A" w14:textId="77777777" w:rsidR="009A56D8" w:rsidRPr="00BD0F3E" w:rsidRDefault="009A56D8" w:rsidP="009A56D8">
      <w:pPr>
        <w:pStyle w:val="Acronymstabletext"/>
        <w:rPr>
          <w:rFonts w:eastAsia="Calibri"/>
          <w:highlight w:val="white"/>
        </w:rPr>
      </w:pPr>
      <w:r w:rsidRPr="00BD0F3E">
        <w:rPr>
          <w:rFonts w:eastAsia="Calibri"/>
          <w:highlight w:val="white"/>
        </w:rPr>
        <w:t xml:space="preserve">TA               </w:t>
      </w:r>
      <w:r w:rsidRPr="00BD0F3E">
        <w:rPr>
          <w:rFonts w:eastAsia="Calibri"/>
          <w:highlight w:val="white"/>
        </w:rPr>
        <w:tab/>
        <w:t>Transformative Agenda for Women, Adolescents &amp; Youth in the Pacific (DFAT)</w:t>
      </w:r>
    </w:p>
    <w:p w14:paraId="065258D0" w14:textId="77777777" w:rsidR="00BC3305" w:rsidRDefault="00BC3305" w:rsidP="009A56D8">
      <w:pPr>
        <w:pStyle w:val="Acronymstabletext"/>
        <w:rPr>
          <w:rFonts w:eastAsia="Calibri"/>
          <w:highlight w:val="white"/>
        </w:rPr>
      </w:pPr>
      <w:r>
        <w:rPr>
          <w:rFonts w:eastAsia="Calibri"/>
          <w:highlight w:val="white"/>
        </w:rPr>
        <w:t>TASC</w:t>
      </w:r>
      <w:r>
        <w:rPr>
          <w:rFonts w:eastAsia="Calibri"/>
          <w:highlight w:val="white"/>
        </w:rPr>
        <w:tab/>
      </w:r>
      <w:r>
        <w:rPr>
          <w:rFonts w:eastAsia="Calibri"/>
          <w:highlight w:val="white"/>
        </w:rPr>
        <w:tab/>
        <w:t>Transformative Agenda Steering Committee</w:t>
      </w:r>
    </w:p>
    <w:p w14:paraId="2025D82A" w14:textId="77777777" w:rsidR="00854890" w:rsidRDefault="00854890" w:rsidP="009A56D8">
      <w:pPr>
        <w:pStyle w:val="Acronymstabletext"/>
        <w:rPr>
          <w:rFonts w:eastAsia="Calibri"/>
          <w:highlight w:val="white"/>
        </w:rPr>
      </w:pPr>
      <w:r>
        <w:rPr>
          <w:rFonts w:eastAsia="Calibri"/>
          <w:highlight w:val="white"/>
        </w:rPr>
        <w:t>TATT</w:t>
      </w:r>
      <w:r>
        <w:rPr>
          <w:rFonts w:eastAsia="Calibri"/>
          <w:highlight w:val="white"/>
        </w:rPr>
        <w:tab/>
      </w:r>
      <w:r>
        <w:rPr>
          <w:rFonts w:eastAsia="Calibri"/>
          <w:highlight w:val="white"/>
        </w:rPr>
        <w:tab/>
        <w:t>Transformative Agenda Technical Team</w:t>
      </w:r>
    </w:p>
    <w:p w14:paraId="66E28A5D" w14:textId="77777777" w:rsidR="009A56D8" w:rsidRPr="00BD0F3E" w:rsidRDefault="009A56D8" w:rsidP="009A56D8">
      <w:pPr>
        <w:pStyle w:val="Acronymstabletext"/>
        <w:rPr>
          <w:rFonts w:eastAsia="Calibri"/>
          <w:highlight w:val="white"/>
        </w:rPr>
      </w:pPr>
      <w:r w:rsidRPr="00BD0F3E">
        <w:rPr>
          <w:rFonts w:eastAsia="Calibri"/>
          <w:highlight w:val="white"/>
        </w:rPr>
        <w:t>TFHA</w:t>
      </w:r>
      <w:r w:rsidRPr="00BD0F3E">
        <w:rPr>
          <w:rFonts w:eastAsia="Calibri"/>
          <w:highlight w:val="white"/>
        </w:rPr>
        <w:tab/>
      </w:r>
      <w:r w:rsidRPr="00BD0F3E">
        <w:rPr>
          <w:rFonts w:eastAsia="Calibri"/>
          <w:highlight w:val="white"/>
        </w:rPr>
        <w:tab/>
        <w:t>Tonga Family Health Association</w:t>
      </w:r>
    </w:p>
    <w:p w14:paraId="1BE2FA16" w14:textId="77777777" w:rsidR="009A56D8" w:rsidRDefault="009A56D8" w:rsidP="009A56D8">
      <w:pPr>
        <w:pStyle w:val="Acronymstabletext"/>
        <w:rPr>
          <w:rFonts w:eastAsia="Calibri"/>
          <w:highlight w:val="white"/>
        </w:rPr>
      </w:pPr>
      <w:r>
        <w:rPr>
          <w:rFonts w:eastAsia="Calibri"/>
          <w:highlight w:val="white"/>
        </w:rPr>
        <w:t>TL</w:t>
      </w:r>
      <w:r>
        <w:rPr>
          <w:rFonts w:eastAsia="Calibri"/>
          <w:highlight w:val="white"/>
        </w:rPr>
        <w:tab/>
      </w:r>
      <w:r>
        <w:rPr>
          <w:rFonts w:eastAsia="Calibri"/>
          <w:highlight w:val="white"/>
        </w:rPr>
        <w:tab/>
        <w:t>Team Leader</w:t>
      </w:r>
    </w:p>
    <w:p w14:paraId="6DA0F1D6" w14:textId="77777777" w:rsidR="009A56D8" w:rsidRPr="00BD0F3E" w:rsidRDefault="009A56D8" w:rsidP="009A56D8">
      <w:pPr>
        <w:pStyle w:val="Acronymstabletext"/>
        <w:rPr>
          <w:rFonts w:eastAsia="Calibri"/>
          <w:highlight w:val="white"/>
        </w:rPr>
      </w:pPr>
      <w:r w:rsidRPr="00BD0F3E">
        <w:rPr>
          <w:rFonts w:eastAsia="Calibri"/>
          <w:highlight w:val="white"/>
        </w:rPr>
        <w:t>TOC</w:t>
      </w:r>
      <w:r w:rsidRPr="00BD0F3E">
        <w:rPr>
          <w:rFonts w:eastAsia="Calibri"/>
          <w:highlight w:val="white"/>
        </w:rPr>
        <w:tab/>
      </w:r>
      <w:r w:rsidRPr="00BD0F3E">
        <w:rPr>
          <w:rFonts w:eastAsia="Calibri"/>
          <w:highlight w:val="white"/>
        </w:rPr>
        <w:tab/>
        <w:t>Theory of Change</w:t>
      </w:r>
    </w:p>
    <w:p w14:paraId="526A8265" w14:textId="77777777" w:rsidR="009A56D8" w:rsidRPr="00BD0F3E" w:rsidRDefault="009A56D8" w:rsidP="009A56D8">
      <w:pPr>
        <w:pStyle w:val="Acronymstabletext"/>
        <w:rPr>
          <w:rFonts w:eastAsia="Calibri"/>
          <w:highlight w:val="white"/>
        </w:rPr>
      </w:pPr>
      <w:r w:rsidRPr="00BD0F3E">
        <w:rPr>
          <w:rFonts w:eastAsia="Calibri"/>
          <w:highlight w:val="white"/>
        </w:rPr>
        <w:t xml:space="preserve">TOR             </w:t>
      </w:r>
      <w:r w:rsidRPr="00BD0F3E">
        <w:rPr>
          <w:rFonts w:eastAsia="Calibri"/>
          <w:highlight w:val="white"/>
        </w:rPr>
        <w:tab/>
        <w:t>Terms of Reference</w:t>
      </w:r>
    </w:p>
    <w:p w14:paraId="5B194D02" w14:textId="77777777" w:rsidR="009A56D8" w:rsidRDefault="009A56D8" w:rsidP="009A56D8">
      <w:pPr>
        <w:pStyle w:val="Acronymstabletext"/>
        <w:rPr>
          <w:rFonts w:eastAsia="Calibri"/>
          <w:highlight w:val="white"/>
        </w:rPr>
      </w:pPr>
      <w:r>
        <w:rPr>
          <w:rFonts w:eastAsia="Calibri"/>
          <w:highlight w:val="white"/>
        </w:rPr>
        <w:t>TS</w:t>
      </w:r>
      <w:r>
        <w:rPr>
          <w:rFonts w:eastAsia="Calibri"/>
          <w:highlight w:val="white"/>
        </w:rPr>
        <w:tab/>
      </w:r>
      <w:r>
        <w:rPr>
          <w:rFonts w:eastAsia="Calibri"/>
          <w:highlight w:val="white"/>
        </w:rPr>
        <w:tab/>
        <w:t>Technical Specialist</w:t>
      </w:r>
    </w:p>
    <w:p w14:paraId="74AC2A47" w14:textId="77777777" w:rsidR="009A56D8" w:rsidRPr="00BD0F3E" w:rsidRDefault="009A56D8" w:rsidP="009A56D8">
      <w:pPr>
        <w:pStyle w:val="Acronymstabletext"/>
        <w:rPr>
          <w:rFonts w:eastAsia="Calibri"/>
          <w:highlight w:val="white"/>
        </w:rPr>
      </w:pPr>
      <w:r w:rsidRPr="00BD0F3E">
        <w:rPr>
          <w:rFonts w:eastAsia="Calibri"/>
          <w:highlight w:val="white"/>
        </w:rPr>
        <w:t>TWG</w:t>
      </w:r>
      <w:r w:rsidRPr="00BD0F3E">
        <w:rPr>
          <w:rFonts w:eastAsia="Calibri"/>
          <w:highlight w:val="white"/>
        </w:rPr>
        <w:tab/>
      </w:r>
      <w:r w:rsidRPr="00BD0F3E">
        <w:rPr>
          <w:rFonts w:eastAsia="Calibri"/>
          <w:highlight w:val="white"/>
        </w:rPr>
        <w:tab/>
        <w:t>Technical Working Group</w:t>
      </w:r>
    </w:p>
    <w:bookmarkStart w:id="60" w:name="_heading=h.gjdgxs" w:colFirst="0" w:colLast="0" w:displacedByCustomXml="next"/>
    <w:bookmarkEnd w:id="60" w:displacedByCustomXml="next"/>
    <w:sdt>
      <w:sdtPr>
        <w:tag w:val="goog_rdk_5"/>
        <w:id w:val="-486469426"/>
      </w:sdtPr>
      <w:sdtEndPr/>
      <w:sdtContent>
        <w:sdt>
          <w:sdtPr>
            <w:tag w:val="goog_rdk_4"/>
            <w:id w:val="-186291979"/>
          </w:sdtPr>
          <w:sdtEndPr/>
          <w:sdtContent>
            <w:p w14:paraId="0BDEDCDC" w14:textId="77777777" w:rsidR="006C2660" w:rsidRDefault="006C2660" w:rsidP="009A56D8">
              <w:pPr>
                <w:pStyle w:val="Acronymstabletext"/>
              </w:pPr>
              <w:r>
                <w:t>UHC</w:t>
              </w:r>
              <w:r>
                <w:tab/>
              </w:r>
              <w:r>
                <w:tab/>
                <w:t>Universal Health Coverage</w:t>
              </w:r>
            </w:p>
            <w:p w14:paraId="7FCB8928" w14:textId="77777777" w:rsidR="009A56D8" w:rsidRPr="00BD0F3E" w:rsidRDefault="009A56D8" w:rsidP="009A56D8">
              <w:pPr>
                <w:pStyle w:val="Acronymstabletext"/>
                <w:rPr>
                  <w:rFonts w:eastAsia="Calibri"/>
                  <w:highlight w:val="white"/>
                </w:rPr>
              </w:pPr>
              <w:r w:rsidRPr="00BD0F3E">
                <w:rPr>
                  <w:rFonts w:eastAsia="Calibri"/>
                  <w:highlight w:val="white"/>
                </w:rPr>
                <w:t>UNPS</w:t>
              </w:r>
              <w:r w:rsidRPr="00BD0F3E">
                <w:rPr>
                  <w:rFonts w:eastAsia="Calibri"/>
                  <w:highlight w:val="white"/>
                </w:rPr>
                <w:tab/>
              </w:r>
              <w:r w:rsidRPr="00BD0F3E">
                <w:rPr>
                  <w:rFonts w:eastAsia="Calibri"/>
                  <w:highlight w:val="white"/>
                </w:rPr>
                <w:tab/>
                <w:t>United Nations Pacific Strategy 2018-2022</w:t>
              </w:r>
            </w:p>
          </w:sdtContent>
        </w:sdt>
      </w:sdtContent>
    </w:sdt>
    <w:p w14:paraId="3E59CE4D" w14:textId="77777777" w:rsidR="009A56D8" w:rsidRPr="00BD0F3E" w:rsidRDefault="009A56D8" w:rsidP="009A56D8">
      <w:pPr>
        <w:pStyle w:val="Acronymstabletext"/>
        <w:rPr>
          <w:rFonts w:eastAsia="Calibri"/>
          <w:highlight w:val="white"/>
        </w:rPr>
      </w:pPr>
      <w:r w:rsidRPr="00BD0F3E">
        <w:rPr>
          <w:rFonts w:eastAsia="Calibri"/>
          <w:highlight w:val="white"/>
        </w:rPr>
        <w:t xml:space="preserve">UNDP     </w:t>
      </w:r>
      <w:r w:rsidRPr="00BD0F3E">
        <w:rPr>
          <w:rFonts w:eastAsia="Calibri"/>
          <w:highlight w:val="white"/>
        </w:rPr>
        <w:tab/>
        <w:t>United Nations Development Programme</w:t>
      </w:r>
    </w:p>
    <w:p w14:paraId="164C22BD" w14:textId="77777777" w:rsidR="009A56D8" w:rsidRPr="00BD0F3E" w:rsidRDefault="009A56D8" w:rsidP="009A56D8">
      <w:pPr>
        <w:pStyle w:val="Acronymstabletext"/>
        <w:rPr>
          <w:rFonts w:eastAsia="Calibri"/>
          <w:highlight w:val="white"/>
        </w:rPr>
      </w:pPr>
      <w:r w:rsidRPr="00BD0F3E">
        <w:rPr>
          <w:rFonts w:eastAsia="Calibri"/>
          <w:highlight w:val="white"/>
        </w:rPr>
        <w:t xml:space="preserve">UNFPA        </w:t>
      </w:r>
      <w:r w:rsidRPr="00BD0F3E">
        <w:rPr>
          <w:rFonts w:eastAsia="Calibri"/>
          <w:highlight w:val="white"/>
        </w:rPr>
        <w:tab/>
        <w:t>United Nations Population Fund</w:t>
      </w:r>
    </w:p>
    <w:p w14:paraId="01DD5A12" w14:textId="77777777" w:rsidR="009A56D8" w:rsidRPr="00BD0F3E" w:rsidRDefault="009A56D8" w:rsidP="009A56D8">
      <w:pPr>
        <w:pStyle w:val="Acronymstabletext"/>
        <w:rPr>
          <w:rFonts w:eastAsia="Calibri"/>
          <w:highlight w:val="white"/>
        </w:rPr>
      </w:pPr>
      <w:r w:rsidRPr="00BD0F3E">
        <w:rPr>
          <w:rFonts w:eastAsia="Calibri"/>
          <w:highlight w:val="white"/>
        </w:rPr>
        <w:t xml:space="preserve">UNICEF       </w:t>
      </w:r>
      <w:r w:rsidRPr="00BD0F3E">
        <w:rPr>
          <w:rFonts w:eastAsia="Calibri"/>
          <w:highlight w:val="white"/>
        </w:rPr>
        <w:tab/>
        <w:t>United Nations Children’s Fund</w:t>
      </w:r>
    </w:p>
    <w:p w14:paraId="23D51ADD" w14:textId="77777777" w:rsidR="00BC6C0D" w:rsidRDefault="00BC6C0D" w:rsidP="009A56D8">
      <w:pPr>
        <w:pStyle w:val="Acronymstabletext"/>
        <w:rPr>
          <w:rFonts w:eastAsia="Calibri"/>
        </w:rPr>
      </w:pPr>
      <w:r>
        <w:rPr>
          <w:rFonts w:eastAsia="Calibri"/>
        </w:rPr>
        <w:t>VAWG</w:t>
      </w:r>
      <w:r>
        <w:rPr>
          <w:rFonts w:eastAsia="Calibri"/>
        </w:rPr>
        <w:tab/>
      </w:r>
      <w:r>
        <w:rPr>
          <w:rFonts w:eastAsia="Calibri"/>
        </w:rPr>
        <w:tab/>
        <w:t>Violence against Women and Girls</w:t>
      </w:r>
    </w:p>
    <w:p w14:paraId="41745E37" w14:textId="77777777" w:rsidR="009A56D8" w:rsidRPr="00BD0F3E" w:rsidRDefault="009A56D8" w:rsidP="009A56D8">
      <w:pPr>
        <w:pStyle w:val="Acronymstabletext"/>
        <w:rPr>
          <w:rFonts w:eastAsia="Calibri"/>
        </w:rPr>
      </w:pPr>
      <w:r w:rsidRPr="00BD0F3E">
        <w:rPr>
          <w:rFonts w:eastAsia="Calibri"/>
        </w:rPr>
        <w:t xml:space="preserve">VFHA     </w:t>
      </w:r>
      <w:r w:rsidRPr="00BD0F3E">
        <w:rPr>
          <w:rFonts w:eastAsia="Calibri"/>
        </w:rPr>
        <w:tab/>
        <w:t>Vanuatu Family Health Association (IPPF MA)</w:t>
      </w:r>
    </w:p>
    <w:p w14:paraId="284F2ADD" w14:textId="77777777" w:rsidR="00561D07" w:rsidRDefault="00561D07" w:rsidP="009A56D8">
      <w:pPr>
        <w:pStyle w:val="Acronymstabletext"/>
        <w:rPr>
          <w:rFonts w:eastAsia="Calibri"/>
        </w:rPr>
      </w:pPr>
      <w:r>
        <w:rPr>
          <w:rFonts w:eastAsia="Calibri"/>
        </w:rPr>
        <w:t>VHP</w:t>
      </w:r>
      <w:r>
        <w:rPr>
          <w:rFonts w:eastAsia="Calibri"/>
        </w:rPr>
        <w:tab/>
      </w:r>
      <w:r>
        <w:rPr>
          <w:rFonts w:eastAsia="Calibri"/>
        </w:rPr>
        <w:tab/>
        <w:t>Vanuatu Health Program</w:t>
      </w:r>
    </w:p>
    <w:p w14:paraId="002C33AF" w14:textId="77777777" w:rsidR="009A56D8" w:rsidRDefault="009A56D8" w:rsidP="009A56D8">
      <w:pPr>
        <w:pStyle w:val="Acronymstabletext"/>
        <w:rPr>
          <w:rFonts w:eastAsia="Calibri"/>
        </w:rPr>
      </w:pPr>
      <w:r>
        <w:rPr>
          <w:rFonts w:eastAsia="Calibri"/>
        </w:rPr>
        <w:t>VNSO</w:t>
      </w:r>
      <w:r>
        <w:rPr>
          <w:rFonts w:eastAsia="Calibri"/>
        </w:rPr>
        <w:tab/>
      </w:r>
      <w:r>
        <w:rPr>
          <w:rFonts w:eastAsia="Calibri"/>
        </w:rPr>
        <w:tab/>
        <w:t>Vanuatu National Statistics Office</w:t>
      </w:r>
    </w:p>
    <w:p w14:paraId="3AC77A6B" w14:textId="77777777" w:rsidR="009A56D8" w:rsidRPr="00D33E08" w:rsidRDefault="009A56D8" w:rsidP="009A56D8">
      <w:pPr>
        <w:pStyle w:val="Acronymstabletext"/>
        <w:rPr>
          <w:rFonts w:eastAsia="Calibri"/>
        </w:rPr>
      </w:pPr>
      <w:r w:rsidRPr="00D33E08">
        <w:rPr>
          <w:rFonts w:eastAsia="Calibri"/>
        </w:rPr>
        <w:t>WEI</w:t>
      </w:r>
      <w:r w:rsidRPr="00D33E08">
        <w:rPr>
          <w:rFonts w:eastAsia="Calibri"/>
        </w:rPr>
        <w:tab/>
      </w:r>
      <w:r w:rsidRPr="00D33E08">
        <w:rPr>
          <w:rFonts w:eastAsia="Calibri"/>
        </w:rPr>
        <w:tab/>
        <w:t>Women Enabled International</w:t>
      </w:r>
    </w:p>
    <w:p w14:paraId="11B03D68" w14:textId="77777777" w:rsidR="009A56D8" w:rsidRPr="00BD0F3E" w:rsidRDefault="009A56D8" w:rsidP="009A56D8">
      <w:pPr>
        <w:pStyle w:val="Acronymstabletext"/>
        <w:rPr>
          <w:rFonts w:eastAsia="Calibri"/>
          <w:highlight w:val="white"/>
        </w:rPr>
      </w:pPr>
      <w:r w:rsidRPr="00BD0F3E">
        <w:rPr>
          <w:rFonts w:eastAsia="Calibri"/>
          <w:highlight w:val="white"/>
        </w:rPr>
        <w:t xml:space="preserve">WHO           </w:t>
      </w:r>
      <w:r w:rsidRPr="00BD0F3E">
        <w:rPr>
          <w:rFonts w:eastAsia="Calibri"/>
          <w:highlight w:val="white"/>
        </w:rPr>
        <w:tab/>
        <w:t>World Health Organization</w:t>
      </w:r>
    </w:p>
    <w:p w14:paraId="31307B2D" w14:textId="77777777" w:rsidR="009A56D8" w:rsidRPr="00BD0F3E" w:rsidRDefault="009A56D8" w:rsidP="009A56D8">
      <w:pPr>
        <w:pStyle w:val="Acronymstabletext"/>
        <w:rPr>
          <w:rFonts w:eastAsia="Calibri"/>
          <w:highlight w:val="white"/>
        </w:rPr>
      </w:pPr>
      <w:r w:rsidRPr="00BD0F3E">
        <w:rPr>
          <w:rFonts w:eastAsia="Calibri"/>
          <w:highlight w:val="white"/>
        </w:rPr>
        <w:t xml:space="preserve">WP               </w:t>
      </w:r>
      <w:r w:rsidRPr="00BD0F3E">
        <w:rPr>
          <w:rFonts w:eastAsia="Calibri"/>
          <w:highlight w:val="white"/>
        </w:rPr>
        <w:tab/>
        <w:t>Work Plan</w:t>
      </w:r>
    </w:p>
    <w:p w14:paraId="2BF23043" w14:textId="77777777" w:rsidR="009A56D8" w:rsidRPr="00BD0F3E" w:rsidRDefault="009A56D8" w:rsidP="009A56D8">
      <w:pPr>
        <w:pStyle w:val="Acronymstabletext"/>
        <w:rPr>
          <w:rFonts w:eastAsia="Calibri"/>
          <w:highlight w:val="white"/>
        </w:rPr>
      </w:pPr>
      <w:r w:rsidRPr="00BD0F3E">
        <w:rPr>
          <w:rFonts w:eastAsia="Calibri"/>
          <w:highlight w:val="white"/>
        </w:rPr>
        <w:t>WPR</w:t>
      </w:r>
      <w:r w:rsidRPr="00BD0F3E">
        <w:rPr>
          <w:rFonts w:eastAsia="Calibri"/>
          <w:highlight w:val="white"/>
        </w:rPr>
        <w:tab/>
      </w:r>
      <w:r w:rsidRPr="00BD0F3E">
        <w:rPr>
          <w:rFonts w:eastAsia="Calibri"/>
          <w:highlight w:val="white"/>
        </w:rPr>
        <w:tab/>
        <w:t>Work Plan Progress Report</w:t>
      </w:r>
    </w:p>
    <w:p w14:paraId="053235B0" w14:textId="77777777" w:rsidR="009A56D8" w:rsidRPr="00BD0F3E" w:rsidRDefault="009A56D8" w:rsidP="009A56D8">
      <w:pPr>
        <w:pStyle w:val="Acronymstabletext"/>
        <w:rPr>
          <w:rFonts w:eastAsia="Calibri"/>
          <w:highlight w:val="white"/>
        </w:rPr>
      </w:pPr>
      <w:r w:rsidRPr="00BD0F3E">
        <w:rPr>
          <w:rFonts w:eastAsia="Calibri"/>
          <w:highlight w:val="white"/>
        </w:rPr>
        <w:t>WRA</w:t>
      </w:r>
      <w:r w:rsidRPr="00BD0F3E">
        <w:rPr>
          <w:rFonts w:eastAsia="Calibri"/>
          <w:highlight w:val="white"/>
        </w:rPr>
        <w:tab/>
      </w:r>
      <w:r w:rsidRPr="00BD0F3E">
        <w:rPr>
          <w:rFonts w:eastAsia="Calibri"/>
          <w:highlight w:val="white"/>
        </w:rPr>
        <w:tab/>
        <w:t>Women of Reproductive Age</w:t>
      </w:r>
    </w:p>
    <w:p w14:paraId="72424F04" w14:textId="77777777" w:rsidR="009A56D8" w:rsidRPr="00052FA1" w:rsidRDefault="00BC6C0D" w:rsidP="00052FA1">
      <w:pPr>
        <w:pStyle w:val="Acronymstabletext"/>
        <w:rPr>
          <w:rFonts w:eastAsia="Calibri"/>
        </w:rPr>
      </w:pPr>
      <w:r>
        <w:rPr>
          <w:rFonts w:eastAsia="Calibri"/>
        </w:rPr>
        <w:t>WVI</w:t>
      </w:r>
      <w:r>
        <w:rPr>
          <w:rFonts w:eastAsia="Calibri"/>
        </w:rPr>
        <w:tab/>
      </w:r>
      <w:r>
        <w:rPr>
          <w:rFonts w:eastAsia="Calibri"/>
        </w:rPr>
        <w:tab/>
        <w:t>World Vision International</w:t>
      </w:r>
    </w:p>
    <w:sectPr w:rsidR="009A56D8" w:rsidRPr="00052FA1" w:rsidSect="00F128C1">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0BB21" w14:textId="77777777" w:rsidR="00051F27" w:rsidRDefault="00051F27" w:rsidP="007D1D0D">
      <w:r>
        <w:separator/>
      </w:r>
    </w:p>
  </w:endnote>
  <w:endnote w:type="continuationSeparator" w:id="0">
    <w:p w14:paraId="5EA77DF5" w14:textId="77777777" w:rsidR="00051F27" w:rsidRDefault="00051F27" w:rsidP="007D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LTStd-Bold">
    <w:panose1 w:val="00000000000000000000"/>
    <w:charset w:val="00"/>
    <w:family w:val="roman"/>
    <w:notTrueType/>
    <w:pitch w:val="default"/>
    <w:sig w:usb0="00000003" w:usb1="00000000" w:usb2="00000000" w:usb3="00000000" w:csb0="00000001" w:csb1="00000000"/>
  </w:font>
  <w:font w:name="FrutigerLTStd-Light">
    <w:altName w:val="Microsoft YaHei"/>
    <w:panose1 w:val="00000000000000000000"/>
    <w:charset w:val="86"/>
    <w:family w:val="swiss"/>
    <w:notTrueType/>
    <w:pitch w:val="default"/>
    <w:sig w:usb0="00000003" w:usb1="080E0000" w:usb2="00000010"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MinchoB">
    <w:altName w:val="MS Gothic"/>
    <w:panose1 w:val="00000000000000000000"/>
    <w:charset w:val="80"/>
    <w:family w:val="roman"/>
    <w:notTrueType/>
    <w:pitch w:val="default"/>
  </w:font>
  <w:font w:name="Segoe UI">
    <w:altName w:val="Arial"/>
    <w:panose1 w:val="020B0502040204020203"/>
    <w:charset w:val="00"/>
    <w:family w:val="swiss"/>
    <w:pitch w:val="variable"/>
    <w:sig w:usb0="E4002EFF" w:usb1="C000E47F" w:usb2="00000009" w:usb3="00000000" w:csb0="000001FF" w:csb1="00000000"/>
  </w:font>
  <w:font w:name="TMVPT P+ UNFP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GｺﾞｼｯｸM">
    <w:altName w:val="Times New Roman"/>
    <w:panose1 w:val="00000000000000000000"/>
    <w:charset w:val="00"/>
    <w:family w:val="roman"/>
    <w:notTrueType/>
    <w:pitch w:val="default"/>
  </w:font>
  <w:font w:name="Archer-Book">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LTStd-Cn">
    <w:panose1 w:val="00000000000000000000"/>
    <w:charset w:val="00"/>
    <w:family w:val="swiss"/>
    <w:notTrueType/>
    <w:pitch w:val="default"/>
    <w:sig w:usb0="00000003" w:usb1="00000000" w:usb2="00000000" w:usb3="00000000" w:csb0="00000001" w:csb1="00000000"/>
  </w:font>
  <w:font w:name="FrutigerLTStd-LightItalic">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9515B" w14:textId="77777777" w:rsidR="00051F27" w:rsidRPr="003F3163" w:rsidRDefault="00051F27" w:rsidP="007D1D0D">
    <w:pPr>
      <w:pStyle w:val="Footer"/>
    </w:pPr>
    <w:r w:rsidRPr="003F3163">
      <w:t>Deliverable Title</w:t>
    </w:r>
    <w:r w:rsidRPr="003F3163">
      <w:tab/>
    </w:r>
    <w:r w:rsidRPr="003F3163">
      <w:tab/>
    </w:r>
    <w:r w:rsidRPr="003F3163">
      <w:rPr>
        <w:color w:val="DA291C"/>
      </w:rPr>
      <w:sym w:font="Wingdings" w:char="F06E"/>
    </w:r>
    <w:r w:rsidRPr="003F3163">
      <w:t xml:space="preserve"> </w:t>
    </w:r>
    <w:r w:rsidRPr="003F3163">
      <w:fldChar w:fldCharType="begin"/>
    </w:r>
    <w:r w:rsidRPr="003F3163">
      <w:instrText xml:space="preserve"> PAGE   \* MERGEFORMAT </w:instrText>
    </w:r>
    <w:r w:rsidRPr="003F3163">
      <w:fldChar w:fldCharType="separate"/>
    </w:r>
    <w:r>
      <w:rPr>
        <w:noProof/>
      </w:rPr>
      <w:t>1</w:t>
    </w:r>
    <w:r w:rsidRPr="003F3163">
      <w:rPr>
        <w:noProof/>
      </w:rPr>
      <w:fldChar w:fldCharType="end"/>
    </w:r>
  </w:p>
  <w:p w14:paraId="6E82DC68" w14:textId="77777777" w:rsidR="00051F27" w:rsidRPr="003F3163" w:rsidRDefault="00051F27" w:rsidP="007D1D0D">
    <w:pPr>
      <w:pStyle w:val="Footer"/>
    </w:pPr>
    <w:r w:rsidRPr="003F3163">
      <w:t>Specialist Health Service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9C2A9" w14:textId="77777777" w:rsidR="00051F27" w:rsidRPr="0039790A" w:rsidRDefault="00051F27" w:rsidP="007D1D0D">
    <w:pPr>
      <w:pStyle w:val="Disclaimertext"/>
    </w:pPr>
    <w:r w:rsidRPr="0039790A">
      <w:rPr>
        <w:lang w:val="en-US"/>
      </w:rPr>
      <w:t>Disclaimer</w:t>
    </w:r>
  </w:p>
  <w:p w14:paraId="42FDBF83" w14:textId="77777777" w:rsidR="00051F27" w:rsidRDefault="00051F27" w:rsidP="007D1D0D">
    <w:pPr>
      <w:pStyle w:val="Disclaimertext"/>
    </w:pPr>
    <w:r w:rsidRPr="00A10BEF">
      <w:t xml:space="preserve">The Specialist Health Service (SHS) provides health technical assistance to the Australian Government. The SHS is an initiative funded by the Australian Government Department of Foreign Affairs and Trade (DFAT) and managed by Abt </w:t>
    </w:r>
    <w:r>
      <w:t>Associates</w:t>
    </w:r>
    <w:r w:rsidRPr="00A10BEF">
      <w:t xml:space="preserve"> Pty Ltd.</w:t>
    </w:r>
  </w:p>
  <w:p w14:paraId="1BA8D092" w14:textId="77777777" w:rsidR="00051F27" w:rsidRDefault="00051F27" w:rsidP="007D1D0D">
    <w:pPr>
      <w:pStyle w:val="Disclaimertext"/>
    </w:pPr>
    <w:r w:rsidRPr="00A10BEF">
      <w:t>This document was produced by the SHS and does not necessarily represent the views or the policy of DFAT or the Commonwealth of Australia.</w:t>
    </w:r>
  </w:p>
  <w:p w14:paraId="36562B8F" w14:textId="77777777" w:rsidR="00051F27" w:rsidRDefault="00051F27" w:rsidP="007D1D0D">
    <w:pPr>
      <w:pStyle w:val="Disclaimertext"/>
    </w:pPr>
    <w:r w:rsidRPr="00A10BEF">
      <w:t xml:space="preserve">This document has been prepared solely for the purpose agreed with the SHS and for the information of the commissioning Commonwealth Government </w:t>
    </w:r>
    <w:proofErr w:type="gramStart"/>
    <w:r w:rsidRPr="00A10BEF">
      <w:t>Agency, and</w:t>
    </w:r>
    <w:proofErr w:type="gramEnd"/>
    <w:r w:rsidRPr="00A10BEF">
      <w:t xml:space="preserve"> is not to be used for any other purpose or distributed to any other party without DFAT’s prior written consent.</w:t>
    </w:r>
  </w:p>
  <w:p w14:paraId="22D1E178" w14:textId="77777777" w:rsidR="00051F27" w:rsidRPr="00A10BEF" w:rsidRDefault="00051F27" w:rsidP="007D1D0D">
    <w:pPr>
      <w:pStyle w:val="Disclaimertext"/>
    </w:pPr>
    <w:r w:rsidRPr="00A10BEF">
      <w:t xml:space="preserve">The Commonwealth of Australia and Abt </w:t>
    </w:r>
    <w:r>
      <w:t>Associates</w:t>
    </w:r>
    <w:r w:rsidRPr="00A10BEF">
      <w:t xml:space="preserve"> Pty Ltd accept no responsibility for any loss, damage or injury resulting from reliance on any of the information or views contained in this document.</w:t>
    </w:r>
  </w:p>
  <w:p w14:paraId="68C38E3C" w14:textId="77777777" w:rsidR="00051F27" w:rsidRPr="00C536E7" w:rsidRDefault="00051F27" w:rsidP="007D1D0D">
    <w:pPr>
      <w:pStyle w:val="Disclaimertext"/>
      <w:rPr>
        <w:sz w:val="20"/>
      </w:rPr>
    </w:pPr>
    <w:r w:rsidRPr="00A10BEF">
      <w:t>© Commonwealth of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C3F8E" w14:textId="77777777" w:rsidR="00051F27" w:rsidRPr="00224A86" w:rsidRDefault="00051F27" w:rsidP="007D1D0D">
    <w:pPr>
      <w:pStyle w:val="Footertextblack"/>
    </w:pPr>
    <w:r w:rsidRPr="00487D59">
      <w:t>SO-189-</w:t>
    </w:r>
    <w:r>
      <w:t xml:space="preserve"> </w:t>
    </w:r>
    <w:r w:rsidRPr="00487D59">
      <w:t xml:space="preserve">DRAFT –Transformative Agenda – Unmet Need for Family Planning: </w:t>
    </w:r>
    <w:r>
      <w:t xml:space="preserve">Mid Term Review Report </w:t>
    </w:r>
    <w:r>
      <w:tab/>
    </w:r>
    <w:r>
      <w:tab/>
    </w:r>
    <w:r>
      <w:tab/>
    </w:r>
    <w:r w:rsidRPr="00B64395">
      <w:rPr>
        <w:color w:val="DA291C"/>
      </w:rPr>
      <w:sym w:font="Wingdings" w:char="F06E"/>
    </w:r>
    <w:r w:rsidRPr="00B64395">
      <w:t xml:space="preserve"> </w:t>
    </w:r>
    <w:sdt>
      <w:sdtPr>
        <w:id w:val="-1614347259"/>
        <w:docPartObj>
          <w:docPartGallery w:val="Page Numbers (Bottom of Page)"/>
          <w:docPartUnique/>
        </w:docPartObj>
      </w:sdtPr>
      <w:sdtEndPr>
        <w:rPr>
          <w:noProof/>
        </w:rPr>
      </w:sdtEndPr>
      <w:sdtContent>
        <w:r w:rsidRPr="00B64395">
          <w:fldChar w:fldCharType="begin"/>
        </w:r>
        <w:r w:rsidRPr="00B64395">
          <w:instrText xml:space="preserve"> PAGE   \* MERGEFORMAT </w:instrText>
        </w:r>
        <w:r w:rsidRPr="00B64395">
          <w:fldChar w:fldCharType="separate"/>
        </w:r>
        <w:r>
          <w:rPr>
            <w:noProof/>
          </w:rPr>
          <w:t>20</w:t>
        </w:r>
        <w:r w:rsidRPr="00B64395">
          <w:rPr>
            <w:noProof/>
          </w:rPr>
          <w:fldChar w:fldCharType="end"/>
        </w:r>
      </w:sdtContent>
    </w:sdt>
  </w:p>
  <w:p w14:paraId="717F0240" w14:textId="77777777" w:rsidR="00051F27" w:rsidRPr="00AB3720" w:rsidRDefault="00051F27" w:rsidP="007D1D0D">
    <w:pPr>
      <w:pStyle w:val="Footertextred"/>
    </w:pPr>
    <w:r w:rsidRPr="00B64395">
      <w:t>Specialist Health Service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CCAE1" w14:textId="77777777" w:rsidR="00051F27" w:rsidRPr="009E161B" w:rsidRDefault="00051F27" w:rsidP="007D1D0D">
    <w:pPr>
      <w:pStyle w:val="Footer"/>
      <w:rPr>
        <w:rFonts w:asciiTheme="majorHAnsi" w:eastAsiaTheme="majorEastAsia" w:hAnsiTheme="majorHAnsi"/>
      </w:rPr>
    </w:pPr>
    <w:r>
      <w:rPr>
        <w:rFonts w:asciiTheme="majorHAnsi" w:eastAsiaTheme="majorEastAsia" w:hAnsiTheme="majorHAnsi"/>
      </w:rPr>
      <w:t>December 2016</w:t>
    </w:r>
    <w:r>
      <w:rPr>
        <w:rFonts w:asciiTheme="majorHAnsi" w:eastAsiaTheme="majorEastAsia" w:hAnsiTheme="majorHAnsi"/>
      </w:rPr>
      <w:ptab w:relativeTo="margin" w:alignment="right" w:leader="none"/>
    </w:r>
    <w:r>
      <w:rPr>
        <w:rFonts w:asciiTheme="majorHAnsi" w:eastAsiaTheme="majorEastAsia" w:hAnsiTheme="majorHAnsi"/>
      </w:rPr>
      <w:t xml:space="preserve">Page </w:t>
    </w:r>
    <w:r>
      <w:rPr>
        <w:rFonts w:eastAsiaTheme="minorEastAsia" w:cstheme="minorBidi"/>
      </w:rPr>
      <w:fldChar w:fldCharType="begin"/>
    </w:r>
    <w:r>
      <w:instrText xml:space="preserve"> PAGE   \* MERGEFORMAT </w:instrText>
    </w:r>
    <w:r>
      <w:rPr>
        <w:rFonts w:eastAsiaTheme="minorEastAsia" w:cstheme="minorBidi"/>
      </w:rPr>
      <w:fldChar w:fldCharType="separate"/>
    </w:r>
    <w:r w:rsidRPr="00543C2F">
      <w:rPr>
        <w:rFonts w:asciiTheme="majorHAnsi" w:eastAsiaTheme="majorEastAsia" w:hAnsiTheme="majorHAnsi"/>
        <w:noProof/>
      </w:rPr>
      <w:t>10</w:t>
    </w:r>
    <w:r>
      <w:rPr>
        <w:rFonts w:asciiTheme="majorHAnsi" w:eastAsiaTheme="majorEastAsia"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C8235" w14:textId="77777777" w:rsidR="00051F27" w:rsidRDefault="00051F27" w:rsidP="007D1D0D">
      <w:r>
        <w:separator/>
      </w:r>
    </w:p>
  </w:footnote>
  <w:footnote w:type="continuationSeparator" w:id="0">
    <w:p w14:paraId="784F61B9" w14:textId="77777777" w:rsidR="00051F27" w:rsidRDefault="00051F27" w:rsidP="007D1D0D">
      <w:r>
        <w:continuationSeparator/>
      </w:r>
    </w:p>
  </w:footnote>
  <w:footnote w:id="1">
    <w:p w14:paraId="4ED8D97C" w14:textId="77777777" w:rsidR="00051F27" w:rsidRDefault="00051F27" w:rsidP="0000789C">
      <w:pPr>
        <w:pStyle w:val="FootnoteText"/>
        <w:rPr>
          <w:lang w:val="en-US"/>
        </w:rPr>
      </w:pPr>
      <w:r>
        <w:rPr>
          <w:rStyle w:val="FootnoteReference"/>
        </w:rPr>
        <w:footnoteRef/>
      </w:r>
      <w:r>
        <w:t xml:space="preserve"> Indicator results that were not included in the cumulative results analysis included those with: no data yet reported; results/data not yet expected at this point in time; indicator is too problematic to measure/report on/include; and/or high-impact indicators not appropriate for mid-term assessment.  </w:t>
      </w:r>
    </w:p>
  </w:footnote>
  <w:footnote w:id="2">
    <w:p w14:paraId="701C3CFD" w14:textId="77777777" w:rsidR="00051F27" w:rsidRPr="009D1EA3" w:rsidRDefault="00051F27">
      <w:pPr>
        <w:pStyle w:val="FootnoteText"/>
        <w:rPr>
          <w:lang w:val="en-US"/>
        </w:rPr>
      </w:pPr>
      <w:r>
        <w:rPr>
          <w:rStyle w:val="FootnoteReference"/>
        </w:rPr>
        <w:footnoteRef/>
      </w:r>
      <w:r>
        <w:t xml:space="preserve"> as planned in the PDD</w:t>
      </w:r>
    </w:p>
  </w:footnote>
  <w:footnote w:id="3">
    <w:p w14:paraId="065CB90A" w14:textId="77777777" w:rsidR="00051F27" w:rsidRDefault="00051F27" w:rsidP="00CA7D57">
      <w:pPr>
        <w:pStyle w:val="FootnoteText"/>
        <w:rPr>
          <w:sz w:val="18"/>
          <w:szCs w:val="18"/>
          <w:lang w:val="en-US"/>
        </w:rPr>
      </w:pPr>
      <w:r>
        <w:rPr>
          <w:rStyle w:val="FootnoteReference"/>
        </w:rPr>
        <w:footnoteRef/>
      </w:r>
      <w:r>
        <w:t xml:space="preserve"> </w:t>
      </w:r>
      <w:r>
        <w:rPr>
          <w:sz w:val="18"/>
          <w:szCs w:val="18"/>
          <w:lang w:val="en-US"/>
        </w:rPr>
        <w:t xml:space="preserve">Defined in </w:t>
      </w:r>
      <w:r>
        <w:rPr>
          <w:i/>
          <w:iCs/>
          <w:sz w:val="18"/>
          <w:szCs w:val="18"/>
          <w:lang w:val="en-US"/>
        </w:rPr>
        <w:t>Making Reproductive Rights and SRH a Reality for All: Reproductive Rights and SRH Framework, 2008, UNFPA</w:t>
      </w:r>
      <w:r>
        <w:rPr>
          <w:sz w:val="18"/>
          <w:szCs w:val="18"/>
          <w:lang w:val="en-US"/>
        </w:rPr>
        <w:t xml:space="preserve"> as:</w:t>
      </w:r>
      <w:r>
        <w:rPr>
          <w:rFonts w:cstheme="minorHAnsi"/>
          <w:sz w:val="18"/>
          <w:szCs w:val="18"/>
          <w:lang w:val="en-US"/>
        </w:rPr>
        <w:t xml:space="preserve"> </w:t>
      </w:r>
      <w:r>
        <w:rPr>
          <w:sz w:val="18"/>
          <w:szCs w:val="18"/>
        </w:rPr>
        <w:t>a) Family planning; (b) Antenatal, safe delivery and post-natal care; (c) Prevention and appropriate treatment of infertility; (d) Prevention of abortion and management of the consequences of abortion; (e) Treatment of reproductive tract infections; (f) Prevention, care and treatment of STIs and HIV/ AIDS; (g) Information, education and counselling, as appropriate, on human sexuality and reproductive health; (h) Prevention and surveillance of violence against women, care for survivors of violence and other actions to eliminate traditional harmful practices, such as FGM/C; (</w:t>
      </w:r>
      <w:proofErr w:type="spellStart"/>
      <w:r>
        <w:rPr>
          <w:sz w:val="18"/>
          <w:szCs w:val="18"/>
        </w:rPr>
        <w:t>i</w:t>
      </w:r>
      <w:proofErr w:type="spellEnd"/>
      <w:r>
        <w:rPr>
          <w:sz w:val="18"/>
          <w:szCs w:val="18"/>
        </w:rPr>
        <w:t xml:space="preserve">) Appropriate referrals for further diagnosis and management of the above. </w:t>
      </w:r>
    </w:p>
  </w:footnote>
  <w:footnote w:id="4">
    <w:p w14:paraId="2E336351" w14:textId="77777777" w:rsidR="00051F27" w:rsidRDefault="00051F27" w:rsidP="00CA7D57">
      <w:pPr>
        <w:pStyle w:val="FootnoteText"/>
        <w:rPr>
          <w:sz w:val="18"/>
          <w:szCs w:val="18"/>
          <w:lang w:val="en-US"/>
        </w:rPr>
      </w:pPr>
      <w:r>
        <w:rPr>
          <w:rStyle w:val="FootnoteReference"/>
          <w:sz w:val="18"/>
          <w:szCs w:val="18"/>
        </w:rPr>
        <w:footnoteRef/>
      </w:r>
      <w:r>
        <w:rPr>
          <w:sz w:val="18"/>
          <w:szCs w:val="18"/>
        </w:rPr>
        <w:t xml:space="preserve"> WHO Global Handbook on Family Planning </w:t>
      </w:r>
    </w:p>
  </w:footnote>
  <w:footnote w:id="5">
    <w:p w14:paraId="0475D420" w14:textId="77777777" w:rsidR="00051F27" w:rsidRDefault="00051F27" w:rsidP="00CA7D57">
      <w:pPr>
        <w:pStyle w:val="FootnoteText"/>
        <w:rPr>
          <w:sz w:val="18"/>
          <w:szCs w:val="18"/>
          <w:lang w:val="en-US"/>
        </w:rPr>
      </w:pPr>
      <w:r>
        <w:rPr>
          <w:rStyle w:val="FootnoteReference"/>
          <w:sz w:val="18"/>
          <w:szCs w:val="18"/>
        </w:rPr>
        <w:footnoteRef/>
      </w:r>
      <w:r>
        <w:rPr>
          <w:sz w:val="18"/>
          <w:szCs w:val="18"/>
        </w:rPr>
        <w:t xml:space="preserve"> </w:t>
      </w:r>
      <w:r>
        <w:rPr>
          <w:sz w:val="18"/>
          <w:szCs w:val="18"/>
          <w:lang w:val="en-US"/>
        </w:rPr>
        <w:t>Family Planning: A Global Handbook for Providers, WHO 2018</w:t>
      </w:r>
    </w:p>
  </w:footnote>
  <w:footnote w:id="6">
    <w:p w14:paraId="37577DDB" w14:textId="77777777" w:rsidR="00051F27" w:rsidRDefault="00051F27" w:rsidP="00CA7D57">
      <w:pPr>
        <w:pStyle w:val="FootnoteText"/>
        <w:rPr>
          <w:sz w:val="18"/>
          <w:szCs w:val="18"/>
          <w:lang w:val="en-US"/>
        </w:rPr>
      </w:pPr>
      <w:r>
        <w:rPr>
          <w:rStyle w:val="FootnoteReference"/>
          <w:sz w:val="18"/>
          <w:szCs w:val="18"/>
        </w:rPr>
        <w:footnoteRef/>
      </w:r>
      <w:r>
        <w:rPr>
          <w:rFonts w:eastAsia="Calibri" w:cs="Calibri"/>
          <w:color w:val="000000"/>
          <w:sz w:val="18"/>
          <w:szCs w:val="18"/>
        </w:rPr>
        <w:t xml:space="preserve"> Design Document, Transformative Agenda for Women, Adolescents and Youth in the Pacific: Towards Zero Unmet Need for Family Planning (2018)</w:t>
      </w:r>
    </w:p>
  </w:footnote>
  <w:footnote w:id="7">
    <w:p w14:paraId="3284172C" w14:textId="77777777" w:rsidR="00051F27" w:rsidRDefault="00051F27" w:rsidP="00CA7D57">
      <w:pPr>
        <w:pStyle w:val="FootnoteText"/>
        <w:rPr>
          <w:sz w:val="18"/>
          <w:szCs w:val="18"/>
          <w:lang w:val="en-US"/>
        </w:rPr>
      </w:pPr>
      <w:r>
        <w:rPr>
          <w:rStyle w:val="FootnoteReference"/>
          <w:sz w:val="18"/>
          <w:szCs w:val="18"/>
        </w:rPr>
        <w:footnoteRef/>
      </w:r>
      <w:r>
        <w:rPr>
          <w:rStyle w:val="FootnoteReference"/>
          <w:sz w:val="18"/>
          <w:szCs w:val="18"/>
        </w:rPr>
        <w:footnoteRef/>
      </w:r>
      <w:r>
        <w:rPr>
          <w:sz w:val="18"/>
          <w:szCs w:val="18"/>
        </w:rPr>
        <w:t xml:space="preserve"> WHO Global Strategy for Women’s, Children’s and Adolescent’s Health (2016-2030) </w:t>
      </w:r>
    </w:p>
  </w:footnote>
  <w:footnote w:id="8">
    <w:p w14:paraId="1079B9F2" w14:textId="77777777" w:rsidR="00051F27" w:rsidRDefault="00051F27" w:rsidP="00CA7D57">
      <w:pPr>
        <w:spacing w:line="240" w:lineRule="auto"/>
        <w:rPr>
          <w:rFonts w:eastAsia="Calibri" w:cs="Calibri"/>
          <w:color w:val="000000"/>
          <w:sz w:val="18"/>
          <w:szCs w:val="18"/>
        </w:rPr>
      </w:pPr>
      <w:r>
        <w:rPr>
          <w:rStyle w:val="FootnoteReference"/>
          <w:sz w:val="18"/>
          <w:szCs w:val="18"/>
        </w:rPr>
        <w:footnoteRef/>
      </w:r>
      <w:r>
        <w:rPr>
          <w:rFonts w:eastAsia="Calibri" w:cs="Calibri"/>
          <w:color w:val="000000"/>
          <w:sz w:val="18"/>
          <w:szCs w:val="18"/>
        </w:rPr>
        <w:t xml:space="preserve"> Total population, WRA, adolescents, and SDP figures from UNFPA PSRO publication, “The State of the Pacific’s RMNCAH Workforce, 2019” </w:t>
      </w:r>
    </w:p>
  </w:footnote>
  <w:footnote w:id="9">
    <w:p w14:paraId="28DF2CEB" w14:textId="77777777" w:rsidR="00051F27" w:rsidRDefault="00051F27" w:rsidP="00CA7D57">
      <w:pPr>
        <w:pStyle w:val="FootnoteText"/>
        <w:rPr>
          <w:sz w:val="18"/>
          <w:szCs w:val="18"/>
          <w:lang w:val="en-US"/>
        </w:rPr>
      </w:pPr>
      <w:r>
        <w:rPr>
          <w:rStyle w:val="FootnoteReference"/>
          <w:sz w:val="18"/>
          <w:szCs w:val="18"/>
        </w:rPr>
        <w:footnoteRef/>
      </w:r>
      <w:r>
        <w:rPr>
          <w:sz w:val="18"/>
          <w:szCs w:val="18"/>
        </w:rPr>
        <w:t xml:space="preserve"> Fiji Census Report (2017)</w:t>
      </w:r>
    </w:p>
  </w:footnote>
  <w:footnote w:id="10">
    <w:p w14:paraId="14CAE919" w14:textId="77777777" w:rsidR="00051F27" w:rsidRDefault="00051F27" w:rsidP="00CA7D57">
      <w:pPr>
        <w:pStyle w:val="FootnoteText"/>
        <w:rPr>
          <w:sz w:val="18"/>
          <w:szCs w:val="18"/>
          <w:lang w:val="en-US"/>
        </w:rPr>
      </w:pPr>
      <w:r>
        <w:rPr>
          <w:rStyle w:val="FootnoteReference"/>
          <w:sz w:val="18"/>
          <w:szCs w:val="18"/>
        </w:rPr>
        <w:footnoteRef/>
      </w:r>
      <w:r>
        <w:rPr>
          <w:sz w:val="18"/>
          <w:szCs w:val="18"/>
        </w:rPr>
        <w:t xml:space="preserve"> </w:t>
      </w:r>
      <w:r>
        <w:rPr>
          <w:rFonts w:eastAsia="Calibri" w:cs="Calibri"/>
          <w:color w:val="000000"/>
          <w:sz w:val="18"/>
          <w:szCs w:val="18"/>
        </w:rPr>
        <w:t>Total population, WRA, adolescents, and SDP figures from UNFPA PSRO publication, “The State of the Pacific’s RMNCAH Workforce, 2019”</w:t>
      </w:r>
    </w:p>
  </w:footnote>
  <w:footnote w:id="11">
    <w:p w14:paraId="475D20A0" w14:textId="77777777" w:rsidR="00051F27" w:rsidRDefault="00051F27" w:rsidP="00CA7D57">
      <w:pPr>
        <w:pStyle w:val="FootnoteText"/>
        <w:rPr>
          <w:sz w:val="18"/>
          <w:szCs w:val="18"/>
          <w:lang w:val="en-US"/>
        </w:rPr>
      </w:pPr>
      <w:r>
        <w:rPr>
          <w:rStyle w:val="FootnoteReference"/>
          <w:sz w:val="18"/>
          <w:szCs w:val="18"/>
        </w:rPr>
        <w:footnoteRef/>
      </w:r>
      <w:r>
        <w:rPr>
          <w:sz w:val="18"/>
          <w:szCs w:val="18"/>
        </w:rPr>
        <w:t xml:space="preserve"> Fiji Census Report, 2017</w:t>
      </w:r>
    </w:p>
  </w:footnote>
  <w:footnote w:id="12">
    <w:p w14:paraId="5AB96AF9" w14:textId="77777777" w:rsidR="00051F27" w:rsidRDefault="00051F27" w:rsidP="00CA7D57">
      <w:pPr>
        <w:spacing w:line="240" w:lineRule="auto"/>
        <w:rPr>
          <w:rFonts w:ascii="Calibri" w:eastAsia="Calibri" w:hAnsi="Calibri" w:cs="Calibri"/>
          <w:sz w:val="18"/>
          <w:szCs w:val="18"/>
        </w:rPr>
      </w:pPr>
      <w:r>
        <w:rPr>
          <w:rStyle w:val="FootnoteReference"/>
          <w:sz w:val="18"/>
          <w:szCs w:val="18"/>
        </w:rPr>
        <w:footnoteRef/>
      </w:r>
      <w:r>
        <w:rPr>
          <w:rFonts w:eastAsia="Calibri" w:cs="Calibri"/>
          <w:sz w:val="18"/>
          <w:szCs w:val="18"/>
        </w:rPr>
        <w:t xml:space="preserve"> Index Mundi, </w:t>
      </w:r>
      <w:hyperlink r:id="rId1" w:history="1">
        <w:r>
          <w:rPr>
            <w:rStyle w:val="Hyperlink"/>
            <w:rFonts w:eastAsia="Calibri" w:cs="Calibri"/>
            <w:color w:val="0563C1"/>
            <w:sz w:val="18"/>
            <w:szCs w:val="18"/>
          </w:rPr>
          <w:t>https://www.indexmundi.com/kiribati/demographics_profile.html</w:t>
        </w:r>
      </w:hyperlink>
      <w:r>
        <w:rPr>
          <w:rFonts w:eastAsia="Calibri" w:cs="Calibri"/>
          <w:sz w:val="18"/>
          <w:szCs w:val="18"/>
        </w:rPr>
        <w:t xml:space="preserve">, accessed 4 Aug </w:t>
      </w:r>
      <w:proofErr w:type="gramStart"/>
      <w:r>
        <w:rPr>
          <w:rFonts w:eastAsia="Calibri" w:cs="Calibri"/>
          <w:sz w:val="18"/>
          <w:szCs w:val="18"/>
        </w:rPr>
        <w:t>2020</w:t>
      </w:r>
      <w:proofErr w:type="gramEnd"/>
    </w:p>
  </w:footnote>
  <w:footnote w:id="13">
    <w:p w14:paraId="000696FE" w14:textId="77777777" w:rsidR="00051F27" w:rsidRDefault="00051F27" w:rsidP="000A146F">
      <w:pPr>
        <w:rPr>
          <w:rFonts w:ascii="Calibri" w:eastAsia="Calibri" w:hAnsi="Calibri" w:cs="Calibri"/>
          <w:sz w:val="18"/>
          <w:szCs w:val="18"/>
        </w:rPr>
      </w:pPr>
      <w:r>
        <w:rPr>
          <w:rStyle w:val="FootnoteReference"/>
        </w:rPr>
        <w:footnoteRef/>
      </w:r>
      <w:r>
        <w:rPr>
          <w:rFonts w:ascii="Calibri" w:eastAsia="Calibri" w:hAnsi="Calibri" w:cs="Calibri"/>
          <w:sz w:val="18"/>
          <w:szCs w:val="18"/>
        </w:rPr>
        <w:t xml:space="preserve"> UNFPA.org. Adolescent and Youth Demographics: A Brief Overview.  Accessed online, 3 July 2020.  </w:t>
      </w:r>
      <w:hyperlink r:id="rId2" w:history="1">
        <w:r>
          <w:rPr>
            <w:rStyle w:val="Hyperlink"/>
            <w:rFonts w:ascii="Calibri" w:eastAsia="Calibri" w:hAnsi="Calibri" w:cs="Calibri"/>
            <w:color w:val="0000FF"/>
            <w:sz w:val="18"/>
            <w:szCs w:val="18"/>
          </w:rPr>
          <w:t>https://www.unfpa.org/sites/default/files/resource-pdf/One%20pager%20on%20youth%20demographics%20GF.pdf</w:t>
        </w:r>
      </w:hyperlink>
    </w:p>
  </w:footnote>
  <w:footnote w:id="14">
    <w:p w14:paraId="235551EE" w14:textId="77777777" w:rsidR="00051F27" w:rsidRPr="00B407AB" w:rsidRDefault="00051F27" w:rsidP="00A60E09">
      <w:pPr>
        <w:pStyle w:val="FootnoteText"/>
        <w:rPr>
          <w:sz w:val="18"/>
          <w:szCs w:val="18"/>
          <w:lang w:val="en-US"/>
        </w:rPr>
      </w:pPr>
      <w:r w:rsidRPr="005E5A47">
        <w:rPr>
          <w:rStyle w:val="FootnoteReference"/>
          <w:sz w:val="18"/>
          <w:szCs w:val="18"/>
        </w:rPr>
        <w:footnoteRef/>
      </w:r>
      <w:r w:rsidRPr="005E5A47">
        <w:rPr>
          <w:sz w:val="18"/>
          <w:szCs w:val="18"/>
        </w:rPr>
        <w:t xml:space="preserve"> </w:t>
      </w:r>
      <w:r w:rsidRPr="005E5A47">
        <w:rPr>
          <w:sz w:val="18"/>
          <w:szCs w:val="18"/>
          <w:lang w:val="en-US"/>
        </w:rPr>
        <w:t>DFAT Health for Development Strategy 2015-2020; Women’s Economic Empowerment and Gender Equality Strategy, Australian Government, 2015</w:t>
      </w:r>
    </w:p>
  </w:footnote>
  <w:footnote w:id="15">
    <w:p w14:paraId="1B34DF18" w14:textId="77777777" w:rsidR="00051F27" w:rsidRPr="00904299" w:rsidRDefault="00051F27">
      <w:pPr>
        <w:pStyle w:val="FootnoteText"/>
        <w:rPr>
          <w:lang w:val="en-US"/>
        </w:rPr>
      </w:pPr>
      <w:r>
        <w:rPr>
          <w:rStyle w:val="FootnoteReference"/>
        </w:rPr>
        <w:footnoteRef/>
      </w:r>
      <w:r>
        <w:t xml:space="preserve"> </w:t>
      </w:r>
      <w:r>
        <w:rPr>
          <w:lang w:val="en-US"/>
        </w:rPr>
        <w:t xml:space="preserve">For example, 90% of funds spent by Fiji MOH in 2019 was for HFRSA; and 26% of Kiribati MHMS funds in 2019 spent on HFRSA (PSRO COGNOS Reports).  </w:t>
      </w:r>
    </w:p>
  </w:footnote>
  <w:footnote w:id="16">
    <w:p w14:paraId="565F6812" w14:textId="77777777" w:rsidR="00051F27" w:rsidRPr="00CE2593" w:rsidRDefault="00051F27" w:rsidP="00466F26">
      <w:pPr>
        <w:pStyle w:val="FootnoteText"/>
        <w:rPr>
          <w:sz w:val="18"/>
          <w:szCs w:val="18"/>
        </w:rPr>
      </w:pPr>
      <w:r>
        <w:rPr>
          <w:rStyle w:val="FootnoteReference"/>
        </w:rPr>
        <w:footnoteRef/>
      </w:r>
      <w:r>
        <w:t xml:space="preserve"> </w:t>
      </w:r>
      <w:r w:rsidRPr="00CE2593">
        <w:rPr>
          <w:sz w:val="18"/>
          <w:szCs w:val="18"/>
        </w:rPr>
        <w:t>Number of SDPs across all six countries: Primary SDPs = 754; Secondary and Tertiary SDPs = 94; Total = 848</w:t>
      </w:r>
    </w:p>
    <w:p w14:paraId="252857E7" w14:textId="77777777" w:rsidR="00051F27" w:rsidRPr="00CE2593" w:rsidRDefault="00051F27" w:rsidP="00466F26">
      <w:pPr>
        <w:pStyle w:val="FootnoteText"/>
        <w:rPr>
          <w:sz w:val="18"/>
          <w:szCs w:val="18"/>
        </w:rPr>
      </w:pPr>
      <w:r w:rsidRPr="00CE2593">
        <w:rPr>
          <w:sz w:val="18"/>
          <w:szCs w:val="18"/>
        </w:rPr>
        <w:t>Source: PSRO Updated HFRSA Results (2019-2020)</w:t>
      </w:r>
    </w:p>
  </w:footnote>
  <w:footnote w:id="17">
    <w:p w14:paraId="17C0F8D6" w14:textId="77777777" w:rsidR="00051F27" w:rsidRDefault="00051F27" w:rsidP="00466F26">
      <w:pPr>
        <w:pStyle w:val="FootnoteText"/>
        <w:rPr>
          <w:lang w:val="en-US"/>
        </w:rPr>
      </w:pPr>
      <w:r>
        <w:rPr>
          <w:rStyle w:val="FootnoteReference"/>
        </w:rPr>
        <w:footnoteRef/>
      </w:r>
      <w:r>
        <w:t xml:space="preserve"> </w:t>
      </w:r>
      <w:r>
        <w:rPr>
          <w:sz w:val="18"/>
          <w:szCs w:val="18"/>
        </w:rPr>
        <w:t>Source: UNFPA PSRO Finance Division, 3 August 2020</w:t>
      </w:r>
    </w:p>
  </w:footnote>
  <w:footnote w:id="18">
    <w:p w14:paraId="6116DAE5" w14:textId="77777777" w:rsidR="00051F27" w:rsidRPr="00303081" w:rsidRDefault="00051F27">
      <w:pPr>
        <w:pStyle w:val="FootnoteText"/>
        <w:rPr>
          <w:sz w:val="18"/>
          <w:szCs w:val="18"/>
          <w:lang w:val="en-US"/>
        </w:rPr>
      </w:pPr>
      <w:r>
        <w:rPr>
          <w:rStyle w:val="FootnoteReference"/>
        </w:rPr>
        <w:footnoteRef/>
      </w:r>
      <w:r>
        <w:t xml:space="preserve"> </w:t>
      </w:r>
      <w:r w:rsidRPr="00303081">
        <w:rPr>
          <w:sz w:val="18"/>
          <w:szCs w:val="18"/>
          <w:lang w:val="en-US"/>
        </w:rPr>
        <w:t>HFRSA assessments were carried out in Samoa in 2018; and Tonga, Fiji and Kiribati in 2019</w:t>
      </w:r>
    </w:p>
  </w:footnote>
  <w:footnote w:id="19">
    <w:p w14:paraId="44D86306" w14:textId="77777777" w:rsidR="00051F27" w:rsidRPr="00303081" w:rsidRDefault="00051F27" w:rsidP="0031711C">
      <w:pPr>
        <w:pStyle w:val="FootnoteText"/>
        <w:rPr>
          <w:sz w:val="18"/>
          <w:szCs w:val="18"/>
          <w:lang w:val="en-GB"/>
        </w:rPr>
      </w:pPr>
      <w:r w:rsidRPr="00303081">
        <w:rPr>
          <w:rStyle w:val="FootnoteReference"/>
          <w:sz w:val="18"/>
          <w:szCs w:val="18"/>
        </w:rPr>
        <w:footnoteRef/>
      </w:r>
      <w:r w:rsidRPr="00303081">
        <w:rPr>
          <w:sz w:val="18"/>
          <w:szCs w:val="18"/>
        </w:rPr>
        <w:t xml:space="preserve"> Though IPPF MA staff were trained on </w:t>
      </w:r>
      <w:proofErr w:type="spellStart"/>
      <w:r w:rsidRPr="00303081">
        <w:rPr>
          <w:sz w:val="18"/>
          <w:szCs w:val="18"/>
        </w:rPr>
        <w:t>implanon</w:t>
      </w:r>
      <w:proofErr w:type="spellEnd"/>
      <w:r w:rsidRPr="00303081">
        <w:rPr>
          <w:sz w:val="18"/>
          <w:szCs w:val="18"/>
        </w:rPr>
        <w:t xml:space="preserve"> in 9 countries, currently, only VFHA staff have completed </w:t>
      </w:r>
      <w:proofErr w:type="spellStart"/>
      <w:r w:rsidRPr="00303081">
        <w:rPr>
          <w:sz w:val="18"/>
          <w:szCs w:val="18"/>
        </w:rPr>
        <w:t>implanon</w:t>
      </w:r>
      <w:proofErr w:type="spellEnd"/>
      <w:r w:rsidRPr="00303081">
        <w:rPr>
          <w:sz w:val="18"/>
          <w:szCs w:val="18"/>
        </w:rPr>
        <w:t xml:space="preserve"> certification.  The other IPPF MAs have been </w:t>
      </w:r>
      <w:proofErr w:type="gramStart"/>
      <w:r w:rsidRPr="00303081">
        <w:rPr>
          <w:sz w:val="18"/>
          <w:szCs w:val="18"/>
        </w:rPr>
        <w:t>trained,</w:t>
      </w:r>
      <w:r>
        <w:rPr>
          <w:sz w:val="18"/>
          <w:szCs w:val="18"/>
        </w:rPr>
        <w:t xml:space="preserve"> </w:t>
      </w:r>
      <w:r w:rsidRPr="00303081">
        <w:rPr>
          <w:sz w:val="18"/>
          <w:szCs w:val="18"/>
        </w:rPr>
        <w:t>but</w:t>
      </w:r>
      <w:proofErr w:type="gramEnd"/>
      <w:r w:rsidRPr="00303081">
        <w:rPr>
          <w:sz w:val="18"/>
          <w:szCs w:val="18"/>
        </w:rPr>
        <w:t xml:space="preserve"> have not been able to complete certification due to challenges in receiving stock and completing the necessary number of insertions and removals.</w:t>
      </w:r>
    </w:p>
    <w:p w14:paraId="3C5BC33C" w14:textId="77777777" w:rsidR="00051F27" w:rsidRPr="00303081" w:rsidRDefault="00051F27">
      <w:pPr>
        <w:pStyle w:val="FootnoteText"/>
        <w:rPr>
          <w:lang w:val="en-US"/>
        </w:rPr>
      </w:pPr>
    </w:p>
  </w:footnote>
  <w:footnote w:id="20">
    <w:p w14:paraId="275D9769" w14:textId="77777777" w:rsidR="00051F27" w:rsidRPr="00303081" w:rsidRDefault="00051F27">
      <w:pPr>
        <w:pStyle w:val="FootnoteText"/>
        <w:rPr>
          <w:lang w:val="en-US"/>
        </w:rPr>
      </w:pPr>
      <w:r>
        <w:rPr>
          <w:rStyle w:val="FootnoteReference"/>
        </w:rPr>
        <w:footnoteRef/>
      </w:r>
      <w:r>
        <w:t xml:space="preserve"> </w:t>
      </w:r>
      <w:r>
        <w:rPr>
          <w:lang w:val="en-GB"/>
        </w:rPr>
        <w:t xml:space="preserve">The SRH Specialist in Kiribati left to take up a new post in June 2020.  A new staff member started in the position on December 1, </w:t>
      </w:r>
      <w:proofErr w:type="gramStart"/>
      <w:r>
        <w:rPr>
          <w:lang w:val="en-GB"/>
        </w:rPr>
        <w:t>2020</w:t>
      </w:r>
      <w:proofErr w:type="gramEnd"/>
    </w:p>
  </w:footnote>
  <w:footnote w:id="21">
    <w:p w14:paraId="4C865CFA" w14:textId="77777777" w:rsidR="00051F27" w:rsidRPr="00C06719" w:rsidRDefault="00051F27" w:rsidP="00004577">
      <w:pPr>
        <w:pStyle w:val="FootnoteText"/>
        <w:rPr>
          <w:lang w:val="en-US"/>
        </w:rPr>
      </w:pPr>
      <w:r>
        <w:rPr>
          <w:rStyle w:val="FootnoteReference"/>
        </w:rPr>
        <w:footnoteRef/>
      </w:r>
      <w:r>
        <w:t xml:space="preserve"> Clinic services include: 15 static, 19 mobile/outreach, 12 associate clinics (outreach services provided jointly at MOH health facilities) and 18 community-based distributors. Community based distributors also provide information and condoms. Note: Associate clinics are not currently supported due to travel restrictions. </w:t>
      </w:r>
    </w:p>
  </w:footnote>
  <w:footnote w:id="22">
    <w:p w14:paraId="59A9C7BF" w14:textId="77777777" w:rsidR="00051F27" w:rsidRPr="00152456" w:rsidRDefault="00051F27">
      <w:pPr>
        <w:pStyle w:val="FootnoteText"/>
        <w:rPr>
          <w:lang w:val="en-US"/>
        </w:rPr>
      </w:pPr>
      <w:r>
        <w:rPr>
          <w:rStyle w:val="FootnoteReference"/>
        </w:rPr>
        <w:footnoteRef/>
      </w:r>
      <w:r>
        <w:t xml:space="preserve"> </w:t>
      </w:r>
      <w:r>
        <w:rPr>
          <w:lang w:val="en-US"/>
        </w:rPr>
        <w:t>Output 1 of the PDD, p.43-</w:t>
      </w:r>
      <w:proofErr w:type="gramStart"/>
      <w:r>
        <w:rPr>
          <w:lang w:val="en-US"/>
        </w:rPr>
        <w:t>44</w:t>
      </w:r>
      <w:proofErr w:type="gramEnd"/>
    </w:p>
  </w:footnote>
  <w:footnote w:id="23">
    <w:p w14:paraId="6160DDED" w14:textId="77777777" w:rsidR="00051F27" w:rsidRPr="00152456" w:rsidRDefault="00051F27">
      <w:pPr>
        <w:pStyle w:val="FootnoteText"/>
        <w:rPr>
          <w:lang w:val="en-US"/>
        </w:rPr>
      </w:pPr>
      <w:r>
        <w:rPr>
          <w:rStyle w:val="FootnoteReference"/>
        </w:rPr>
        <w:footnoteRef/>
      </w:r>
      <w:r>
        <w:t xml:space="preserve"> </w:t>
      </w:r>
      <w:r>
        <w:rPr>
          <w:lang w:val="en-US"/>
        </w:rPr>
        <w:t xml:space="preserve">Note: Finance </w:t>
      </w:r>
      <w:r w:rsidRPr="00152456">
        <w:t xml:space="preserve">figures are drawn from the </w:t>
      </w:r>
      <w:r>
        <w:t xml:space="preserve">2018 and 2019 </w:t>
      </w:r>
      <w:r w:rsidRPr="00152456">
        <w:t>annual reports but could vary from verified final actuals which UNFPA present at country level</w:t>
      </w:r>
      <w:r>
        <w:t>.</w:t>
      </w:r>
    </w:p>
  </w:footnote>
  <w:footnote w:id="24">
    <w:p w14:paraId="5C2EAA62" w14:textId="77777777" w:rsidR="00051F27" w:rsidRPr="00303081" w:rsidRDefault="00051F27">
      <w:pPr>
        <w:pStyle w:val="FootnoteText"/>
        <w:rPr>
          <w:sz w:val="18"/>
          <w:szCs w:val="18"/>
          <w:lang w:val="en-US"/>
        </w:rPr>
      </w:pPr>
      <w:r w:rsidRPr="00303081">
        <w:rPr>
          <w:rStyle w:val="FootnoteReference"/>
          <w:sz w:val="18"/>
          <w:szCs w:val="18"/>
        </w:rPr>
        <w:footnoteRef/>
      </w:r>
      <w:r w:rsidRPr="00303081">
        <w:rPr>
          <w:sz w:val="18"/>
          <w:szCs w:val="18"/>
        </w:rPr>
        <w:t xml:space="preserve"> </w:t>
      </w:r>
      <w:r w:rsidRPr="00303081">
        <w:rPr>
          <w:sz w:val="18"/>
          <w:szCs w:val="18"/>
          <w:lang w:val="en-US"/>
        </w:rPr>
        <w:t>Ministry of Women, Youth and Social Affairs (MWYSA)</w:t>
      </w:r>
    </w:p>
  </w:footnote>
  <w:footnote w:id="25">
    <w:p w14:paraId="054B50EA" w14:textId="77777777" w:rsidR="00051F27" w:rsidRPr="00F14EE2" w:rsidRDefault="00051F27" w:rsidP="00F14EE2">
      <w:pPr>
        <w:spacing w:after="0" w:line="240" w:lineRule="auto"/>
        <w:rPr>
          <w:rFonts w:cstheme="minorHAnsi"/>
          <w:lang w:val="en-US"/>
        </w:rPr>
      </w:pPr>
      <w:r w:rsidRPr="00F14EE2">
        <w:rPr>
          <w:rStyle w:val="FootnoteReference"/>
          <w:sz w:val="18"/>
          <w:szCs w:val="18"/>
        </w:rPr>
        <w:footnoteRef/>
      </w:r>
      <w:r w:rsidRPr="00F14EE2">
        <w:rPr>
          <w:sz w:val="18"/>
          <w:szCs w:val="18"/>
        </w:rPr>
        <w:t xml:space="preserve"> </w:t>
      </w:r>
      <w:r w:rsidRPr="00F14EE2">
        <w:rPr>
          <w:sz w:val="18"/>
          <w:szCs w:val="18"/>
          <w:lang w:val="en-US"/>
        </w:rPr>
        <w:t>Includes</w:t>
      </w:r>
      <w:r>
        <w:rPr>
          <w:sz w:val="18"/>
          <w:szCs w:val="18"/>
          <w:lang w:val="en-US"/>
        </w:rPr>
        <w:t>:</w:t>
      </w:r>
      <w:r w:rsidRPr="00F14EE2">
        <w:rPr>
          <w:sz w:val="18"/>
          <w:szCs w:val="18"/>
          <w:lang w:val="en-US"/>
        </w:rPr>
        <w:t xml:space="preserve"> </w:t>
      </w:r>
      <w:r w:rsidRPr="00F14EE2">
        <w:rPr>
          <w:rFonts w:cstheme="minorHAnsi"/>
          <w:color w:val="000000"/>
          <w:sz w:val="18"/>
          <w:szCs w:val="18"/>
          <w:lang w:eastAsia="en-AU" w:bidi="ar-SA"/>
        </w:rPr>
        <w:t>SRH Specialist-Samoa, Research Assistant 1, Operations Quality Analyst, SRH Specialist-Kiribati, Program/Finance Assistant-Vanuatu; Program/Finance Assistant-Kiribati; Research Assistant 2; SRH Specialist-Vanuatu; SRH Specialist-Solomon; Program/Finance Assistant-Samoa’ Program/Finance Assistant-Tonga; Administrative Assistant; Program Associate; DFAT Program Coordinator; Humanitarian Specialist.</w:t>
      </w:r>
      <w:r w:rsidRPr="00F14EE2">
        <w:rPr>
          <w:rFonts w:cstheme="minorHAnsi"/>
          <w:lang w:val="en-US"/>
        </w:rPr>
        <w:t xml:space="preserve"> </w:t>
      </w:r>
    </w:p>
  </w:footnote>
  <w:footnote w:id="26">
    <w:p w14:paraId="356BD648" w14:textId="77777777" w:rsidR="00051F27" w:rsidRPr="00182DA9" w:rsidRDefault="00051F27">
      <w:pPr>
        <w:pStyle w:val="FootnoteText"/>
        <w:rPr>
          <w:lang w:val="en-US"/>
        </w:rPr>
      </w:pPr>
      <w:r>
        <w:rPr>
          <w:rStyle w:val="FootnoteReference"/>
        </w:rPr>
        <w:footnoteRef/>
      </w:r>
      <w:r>
        <w:t xml:space="preserve"> </w:t>
      </w:r>
      <w:r w:rsidRPr="00F14EE2">
        <w:rPr>
          <w:sz w:val="18"/>
          <w:szCs w:val="18"/>
          <w:lang w:val="en-US"/>
        </w:rPr>
        <w:t>TA Program Draft Annual Report 2019, p.</w:t>
      </w:r>
      <w:proofErr w:type="gramStart"/>
      <w:r w:rsidRPr="00F14EE2">
        <w:rPr>
          <w:sz w:val="18"/>
          <w:szCs w:val="18"/>
          <w:lang w:val="en-US"/>
        </w:rPr>
        <w:t>13</w:t>
      </w:r>
      <w:proofErr w:type="gramEnd"/>
      <w:r>
        <w:rPr>
          <w:lang w:val="en-US"/>
        </w:rPr>
        <w:t xml:space="preserve"> </w:t>
      </w:r>
    </w:p>
  </w:footnote>
  <w:footnote w:id="27">
    <w:p w14:paraId="0508679E" w14:textId="77777777" w:rsidR="00051F27" w:rsidRDefault="00051F27" w:rsidP="00043697">
      <w:pPr>
        <w:pStyle w:val="FootnoteText"/>
        <w:rPr>
          <w:lang w:val="en-US"/>
        </w:rPr>
      </w:pPr>
      <w:r>
        <w:rPr>
          <w:rStyle w:val="FootnoteReference"/>
        </w:rPr>
        <w:footnoteRef/>
      </w:r>
      <w:r>
        <w:t xml:space="preserve"> </w:t>
      </w:r>
      <w:r>
        <w:rPr>
          <w:lang w:val="en-US"/>
        </w:rPr>
        <w:t>See Output 1 of the Program Design Document, p.43-</w:t>
      </w:r>
      <w:proofErr w:type="gramStart"/>
      <w:r>
        <w:rPr>
          <w:lang w:val="en-US"/>
        </w:rPr>
        <w:t>44</w:t>
      </w:r>
      <w:proofErr w:type="gramEnd"/>
    </w:p>
  </w:footnote>
  <w:footnote w:id="28">
    <w:p w14:paraId="2E7BDB9C" w14:textId="77777777" w:rsidR="00051F27" w:rsidRPr="00BF183B" w:rsidRDefault="00051F27">
      <w:pPr>
        <w:pStyle w:val="FootnoteText"/>
        <w:rPr>
          <w:lang w:val="en-US"/>
        </w:rPr>
      </w:pPr>
      <w:r>
        <w:rPr>
          <w:rStyle w:val="FootnoteReference"/>
        </w:rPr>
        <w:footnoteRef/>
      </w:r>
      <w:r>
        <w:t xml:space="preserve"> </w:t>
      </w:r>
      <w:r>
        <w:rPr>
          <w:lang w:val="en-US"/>
        </w:rPr>
        <w:t>Care International’s ‘</w:t>
      </w:r>
      <w:proofErr w:type="spellStart"/>
      <w:r>
        <w:rPr>
          <w:lang w:val="en-US"/>
        </w:rPr>
        <w:t>Stori</w:t>
      </w:r>
      <w:proofErr w:type="spellEnd"/>
      <w:r>
        <w:rPr>
          <w:lang w:val="en-US"/>
        </w:rPr>
        <w:t xml:space="preserve"> </w:t>
      </w:r>
      <w:proofErr w:type="spellStart"/>
      <w:r>
        <w:rPr>
          <w:lang w:val="en-US"/>
        </w:rPr>
        <w:t>b’long</w:t>
      </w:r>
      <w:proofErr w:type="spellEnd"/>
      <w:r>
        <w:rPr>
          <w:lang w:val="en-US"/>
        </w:rPr>
        <w:t xml:space="preserve"> Yumi’ which has been endorsed by MOH, </w:t>
      </w:r>
      <w:proofErr w:type="gramStart"/>
      <w:r>
        <w:rPr>
          <w:lang w:val="en-US"/>
        </w:rPr>
        <w:t>Vanuatu</w:t>
      </w:r>
      <w:proofErr w:type="gramEnd"/>
    </w:p>
  </w:footnote>
  <w:footnote w:id="29">
    <w:p w14:paraId="60A4C6E3" w14:textId="77777777" w:rsidR="00051F27" w:rsidRPr="00EE6D55" w:rsidRDefault="00051F27">
      <w:pPr>
        <w:pStyle w:val="FootnoteText"/>
        <w:rPr>
          <w:lang w:val="en-US"/>
        </w:rPr>
      </w:pPr>
      <w:r>
        <w:rPr>
          <w:rStyle w:val="FootnoteReference"/>
        </w:rPr>
        <w:footnoteRef/>
      </w:r>
      <w:r>
        <w:t xml:space="preserve"> As per the Project Design Document: </w:t>
      </w:r>
      <w:r w:rsidRPr="00B32B4D">
        <w:t>UNFPA human resources</w:t>
      </w:r>
      <w:r>
        <w:t xml:space="preserve"> (31%)</w:t>
      </w:r>
      <w:r w:rsidRPr="00B32B4D">
        <w:t xml:space="preserve">, </w:t>
      </w:r>
      <w:r>
        <w:t xml:space="preserve">planning and </w:t>
      </w:r>
      <w:r w:rsidRPr="00B32B4D">
        <w:t xml:space="preserve">M&amp;E </w:t>
      </w:r>
      <w:r>
        <w:t xml:space="preserve">(3%) </w:t>
      </w:r>
      <w:r w:rsidRPr="00B32B4D">
        <w:t>and indirect costs</w:t>
      </w:r>
      <w:r>
        <w:t xml:space="preserve"> (8%). PDD p.72. Therefore 58% allocation for implementation of the three components.</w:t>
      </w:r>
    </w:p>
  </w:footnote>
  <w:footnote w:id="30">
    <w:p w14:paraId="2C6EDCCA" w14:textId="77777777" w:rsidR="00051F27" w:rsidRPr="00193F72" w:rsidRDefault="00051F27">
      <w:pPr>
        <w:pStyle w:val="FootnoteText"/>
        <w:rPr>
          <w:lang w:val="en-US"/>
        </w:rPr>
      </w:pPr>
      <w:r>
        <w:rPr>
          <w:rStyle w:val="FootnoteReference"/>
        </w:rPr>
        <w:footnoteRef/>
      </w:r>
      <w:r>
        <w:t xml:space="preserve"> </w:t>
      </w:r>
      <w:r w:rsidRPr="00E6211A">
        <w:t>https://www.who.int/data/gho/indicator-metadata-registry/imr-details/6</w:t>
      </w:r>
    </w:p>
  </w:footnote>
  <w:footnote w:id="31">
    <w:p w14:paraId="3419018F" w14:textId="77777777" w:rsidR="00051F27" w:rsidRPr="001B773E" w:rsidRDefault="00051F27">
      <w:pPr>
        <w:pStyle w:val="FootnoteText"/>
        <w:rPr>
          <w:lang w:val="en-US"/>
        </w:rPr>
      </w:pPr>
      <w:r>
        <w:rPr>
          <w:rStyle w:val="FootnoteReference"/>
        </w:rPr>
        <w:footnoteRef/>
      </w:r>
      <w:r>
        <w:t xml:space="preserve"> </w:t>
      </w:r>
      <w:r>
        <w:rPr>
          <w:lang w:val="en-US"/>
        </w:rPr>
        <w:t>As planned in the PDD</w:t>
      </w:r>
    </w:p>
  </w:footnote>
  <w:footnote w:id="32">
    <w:p w14:paraId="3E5D8C10" w14:textId="77777777" w:rsidR="00051F27" w:rsidRPr="00482467" w:rsidRDefault="00051F27">
      <w:pPr>
        <w:pStyle w:val="FootnoteText"/>
        <w:rPr>
          <w:lang w:val="en-US"/>
        </w:rPr>
      </w:pPr>
      <w:r>
        <w:rPr>
          <w:rStyle w:val="FootnoteReference"/>
        </w:rPr>
        <w:footnoteRef/>
      </w:r>
      <w:r>
        <w:t xml:space="preserve"> </w:t>
      </w:r>
      <w:r w:rsidRPr="0090185F">
        <w:t xml:space="preserve">This total USD amount is inclusive of AUD30m DFAT Transformative Agenda: Towards zero unmet need for FP </w:t>
      </w:r>
      <w:proofErr w:type="gramStart"/>
      <w:r w:rsidRPr="0090185F">
        <w:t>funding</w:t>
      </w:r>
      <w:proofErr w:type="gramEnd"/>
    </w:p>
  </w:footnote>
  <w:footnote w:id="33">
    <w:p w14:paraId="1ECA4054" w14:textId="77777777" w:rsidR="00051F27" w:rsidRPr="008453DD" w:rsidRDefault="00051F27" w:rsidP="00051F27">
      <w:pPr>
        <w:pStyle w:val="FootnoteText"/>
        <w:rPr>
          <w:lang w:val="en-US"/>
        </w:rPr>
      </w:pPr>
      <w:r>
        <w:rPr>
          <w:rStyle w:val="FootnoteReference"/>
        </w:rPr>
        <w:footnoteRef/>
      </w:r>
      <w:r>
        <w:t xml:space="preserve"> </w:t>
      </w:r>
      <w:r>
        <w:rPr>
          <w:lang w:val="en-US"/>
        </w:rPr>
        <w:t>Planning, Monitoring &amp; Evaluation, HR/Operations</w:t>
      </w:r>
    </w:p>
  </w:footnote>
  <w:footnote w:id="34">
    <w:p w14:paraId="2DF5918F" w14:textId="77777777" w:rsidR="00051F27" w:rsidRPr="00303081" w:rsidRDefault="00051F27">
      <w:pPr>
        <w:pStyle w:val="FootnoteText"/>
        <w:rPr>
          <w:lang w:val="en-US"/>
        </w:rPr>
      </w:pPr>
      <w:r>
        <w:rPr>
          <w:rStyle w:val="FootnoteReference"/>
        </w:rPr>
        <w:footnoteRef/>
      </w:r>
      <w:r>
        <w:t xml:space="preserve"> </w:t>
      </w:r>
      <w:r>
        <w:rPr>
          <w:lang w:val="en-US"/>
        </w:rPr>
        <w:t>HFRSA Report for Fiji, 2020</w:t>
      </w:r>
    </w:p>
  </w:footnote>
  <w:footnote w:id="35">
    <w:p w14:paraId="40DDE0A2" w14:textId="77777777" w:rsidR="00051F27" w:rsidRPr="00303081" w:rsidRDefault="00051F27">
      <w:pPr>
        <w:pStyle w:val="FootnoteText"/>
        <w:rPr>
          <w:lang w:val="en-US"/>
        </w:rPr>
      </w:pPr>
      <w:r>
        <w:rPr>
          <w:rStyle w:val="FootnoteReference"/>
        </w:rPr>
        <w:footnoteRef/>
      </w:r>
      <w:r>
        <w:t xml:space="preserve"> </w:t>
      </w:r>
      <w:r>
        <w:rPr>
          <w:lang w:val="en-US"/>
        </w:rPr>
        <w:t>HFRSA Report for Kiribati, 2020</w:t>
      </w:r>
    </w:p>
  </w:footnote>
  <w:footnote w:id="36">
    <w:p w14:paraId="1AFF7DD9" w14:textId="77777777" w:rsidR="00051F27" w:rsidRDefault="00051F27" w:rsidP="000221AD">
      <w:pPr>
        <w:pStyle w:val="FootnoteText"/>
      </w:pPr>
      <w:r>
        <w:rPr>
          <w:rStyle w:val="FootnoteReference"/>
        </w:rPr>
        <w:footnoteRef/>
      </w:r>
      <w:r>
        <w:t xml:space="preserve"> </w:t>
      </w:r>
      <w:r w:rsidRPr="00ED6506">
        <w:rPr>
          <w:rFonts w:ascii="Arial Narrow" w:hAnsi="Arial Narrow"/>
          <w:sz w:val="18"/>
          <w:szCs w:val="18"/>
        </w:rPr>
        <w:t>Youth volunteers are Community based distributors (CBDs)</w:t>
      </w:r>
      <w:r>
        <w:t xml:space="preserve"> </w:t>
      </w:r>
    </w:p>
  </w:footnote>
  <w:footnote w:id="37">
    <w:p w14:paraId="568B9CE3" w14:textId="77777777" w:rsidR="00051F27" w:rsidRPr="00303081" w:rsidRDefault="00051F27">
      <w:pPr>
        <w:pStyle w:val="FootnoteText"/>
        <w:rPr>
          <w:lang w:val="en-US"/>
        </w:rPr>
      </w:pPr>
      <w:r>
        <w:rPr>
          <w:rStyle w:val="FootnoteReference"/>
        </w:rPr>
        <w:footnoteRef/>
      </w:r>
      <w:r>
        <w:t xml:space="preserve"> </w:t>
      </w:r>
      <w:r>
        <w:rPr>
          <w:lang w:val="en-US"/>
        </w:rPr>
        <w:t>HFRSA Report for Samoa, 2018</w:t>
      </w:r>
    </w:p>
  </w:footnote>
  <w:footnote w:id="38">
    <w:p w14:paraId="450E8D00" w14:textId="77777777" w:rsidR="00051F27" w:rsidRPr="00303081" w:rsidRDefault="00051F27">
      <w:pPr>
        <w:pStyle w:val="FootnoteText"/>
        <w:rPr>
          <w:lang w:val="en-US"/>
        </w:rPr>
      </w:pPr>
      <w:r>
        <w:rPr>
          <w:rStyle w:val="FootnoteReference"/>
        </w:rPr>
        <w:footnoteRef/>
      </w:r>
      <w:r>
        <w:t xml:space="preserve"> </w:t>
      </w:r>
      <w:r>
        <w:rPr>
          <w:lang w:val="en-US"/>
        </w:rPr>
        <w:t>State of the Pacific RMNCAH Workforce, 2019</w:t>
      </w:r>
    </w:p>
  </w:footnote>
  <w:footnote w:id="39">
    <w:p w14:paraId="5A441F5A" w14:textId="77777777" w:rsidR="00051F27" w:rsidRPr="00303081" w:rsidRDefault="00051F27">
      <w:pPr>
        <w:pStyle w:val="FootnoteText"/>
        <w:rPr>
          <w:lang w:val="en-US"/>
        </w:rPr>
      </w:pPr>
      <w:r>
        <w:rPr>
          <w:rStyle w:val="FootnoteReference"/>
        </w:rPr>
        <w:footnoteRef/>
      </w:r>
      <w:r>
        <w:t xml:space="preserve"> </w:t>
      </w:r>
      <w:r>
        <w:rPr>
          <w:lang w:val="en-US"/>
        </w:rPr>
        <w:t>Package of Essential Health Services – Tonga; 2019</w:t>
      </w:r>
    </w:p>
  </w:footnote>
  <w:footnote w:id="40">
    <w:p w14:paraId="02739E2F" w14:textId="77777777" w:rsidR="00051F27" w:rsidRPr="00303081" w:rsidRDefault="00051F27">
      <w:pPr>
        <w:pStyle w:val="FootnoteText"/>
        <w:rPr>
          <w:lang w:val="en-US"/>
        </w:rPr>
      </w:pPr>
      <w:r>
        <w:rPr>
          <w:rStyle w:val="FootnoteReference"/>
        </w:rPr>
        <w:footnoteRef/>
      </w:r>
      <w:r>
        <w:t xml:space="preserve"> State of the Pacific </w:t>
      </w:r>
      <w:r>
        <w:rPr>
          <w:lang w:val="en-US"/>
        </w:rPr>
        <w:t xml:space="preserve">RMNCAH Workforce,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F52A5" w14:textId="77777777" w:rsidR="00051F27" w:rsidRDefault="00051F27" w:rsidP="007D1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7DAC5" w14:textId="77777777" w:rsidR="00051F27" w:rsidRPr="000F093C" w:rsidRDefault="00051F27" w:rsidP="007D1D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84F26" w14:textId="77777777" w:rsidR="00051F27" w:rsidRDefault="00051F27" w:rsidP="007D1D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A67A8" w14:textId="77777777" w:rsidR="00051F27" w:rsidRDefault="00051F27" w:rsidP="007D1D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7C6F" w14:textId="77777777" w:rsidR="00051F27" w:rsidRPr="00224A86" w:rsidRDefault="00051F27" w:rsidP="007D1D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C80B4" w14:textId="77777777" w:rsidR="00051F27" w:rsidRPr="00B64395" w:rsidRDefault="00051F27" w:rsidP="007D1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68EC"/>
    <w:multiLevelType w:val="multilevel"/>
    <w:tmpl w:val="374E061C"/>
    <w:lvl w:ilvl="0">
      <w:start w:val="1"/>
      <w:numFmt w:val="decimal"/>
      <w:pStyle w:val="NumberedTitle"/>
      <w:lvlText w:val="%1."/>
      <w:lvlJc w:val="left"/>
      <w:pPr>
        <w:ind w:left="360" w:hanging="360"/>
      </w:pPr>
      <w:rPr>
        <w:rFonts w:hint="default"/>
      </w:rPr>
    </w:lvl>
    <w:lvl w:ilvl="1">
      <w:start w:val="1"/>
      <w:numFmt w:val="lowerLetter"/>
      <w:lvlText w:val="%2)"/>
      <w:lvlJc w:val="left"/>
      <w:pPr>
        <w:tabs>
          <w:tab w:val="num" w:pos="720"/>
        </w:tabs>
        <w:ind w:left="720" w:hanging="360"/>
      </w:pPr>
      <w:rPr>
        <w:rFonts w:hint="default"/>
        <w:lang w:val="en-G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E2D0DD1"/>
    <w:multiLevelType w:val="hybridMultilevel"/>
    <w:tmpl w:val="B2BEA0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8065A1"/>
    <w:multiLevelType w:val="multilevel"/>
    <w:tmpl w:val="A3B8534E"/>
    <w:lvl w:ilvl="0">
      <w:start w:val="1"/>
      <w:numFmt w:val="decimal"/>
      <w:lvlText w:val="%1."/>
      <w:lvlJc w:val="left"/>
      <w:pPr>
        <w:ind w:left="360" w:hanging="360"/>
      </w:pPr>
      <w:rPr>
        <w:rFonts w:hint="default"/>
      </w:rPr>
    </w:lvl>
    <w:lvl w:ilvl="1">
      <w:start w:val="1"/>
      <w:numFmt w:val="decimal"/>
      <w:pStyle w:val="Level2Heading"/>
      <w:lvlText w:val="%1.%2."/>
      <w:lvlJc w:val="left"/>
      <w:pPr>
        <w:ind w:left="0" w:firstLine="0"/>
      </w:pPr>
      <w:rPr>
        <w:rFonts w:hint="default"/>
      </w:rPr>
    </w:lvl>
    <w:lvl w:ilvl="2">
      <w:start w:val="1"/>
      <w:numFmt w:val="decimal"/>
      <w:pStyle w:val="Level3heading"/>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B54457"/>
    <w:multiLevelType w:val="hybridMultilevel"/>
    <w:tmpl w:val="3592B1B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83A28F0"/>
    <w:multiLevelType w:val="hybridMultilevel"/>
    <w:tmpl w:val="8F3A22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85C2F61"/>
    <w:multiLevelType w:val="hybridMultilevel"/>
    <w:tmpl w:val="840E8414"/>
    <w:lvl w:ilvl="0" w:tplc="B1826072">
      <w:start w:val="1"/>
      <w:numFmt w:val="bullet"/>
      <w:pStyle w:val="ListParagraph"/>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CE3C0C"/>
    <w:multiLevelType w:val="hybridMultilevel"/>
    <w:tmpl w:val="9A8EB9E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7B6824"/>
    <w:multiLevelType w:val="hybridMultilevel"/>
    <w:tmpl w:val="D632F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313950"/>
    <w:multiLevelType w:val="hybridMultilevel"/>
    <w:tmpl w:val="C270C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A06000"/>
    <w:multiLevelType w:val="hybridMultilevel"/>
    <w:tmpl w:val="1D90A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29D17E3"/>
    <w:multiLevelType w:val="hybridMultilevel"/>
    <w:tmpl w:val="DD48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10988"/>
    <w:multiLevelType w:val="hybridMultilevel"/>
    <w:tmpl w:val="A3F69BA0"/>
    <w:lvl w:ilvl="0" w:tplc="95EAB25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835BFF"/>
    <w:multiLevelType w:val="hybridMultilevel"/>
    <w:tmpl w:val="33BAE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7F0C08"/>
    <w:multiLevelType w:val="hybridMultilevel"/>
    <w:tmpl w:val="06E49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B20BF1"/>
    <w:multiLevelType w:val="hybridMultilevel"/>
    <w:tmpl w:val="BFC80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BB3838"/>
    <w:multiLevelType w:val="hybridMultilevel"/>
    <w:tmpl w:val="175A34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A7326BE"/>
    <w:multiLevelType w:val="hybridMultilevel"/>
    <w:tmpl w:val="6A6E732C"/>
    <w:lvl w:ilvl="0" w:tplc="72F46B5E">
      <w:start w:val="1"/>
      <w:numFmt w:val="bullet"/>
      <w:pStyle w:val="bullet"/>
      <w:lvlText w:val=""/>
      <w:lvlJc w:val="left"/>
      <w:pPr>
        <w:ind w:left="717" w:hanging="360"/>
      </w:pPr>
      <w:rPr>
        <w:rFonts w:ascii="Symbol" w:hAnsi="Symbol" w:hint="default"/>
        <w:color w:val="DA291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8A343C"/>
    <w:multiLevelType w:val="hybridMultilevel"/>
    <w:tmpl w:val="62F0F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0C30A0"/>
    <w:multiLevelType w:val="multilevel"/>
    <w:tmpl w:val="D80A6E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C3763CE"/>
    <w:multiLevelType w:val="hybridMultilevel"/>
    <w:tmpl w:val="11F6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A21C6D"/>
    <w:multiLevelType w:val="hybridMultilevel"/>
    <w:tmpl w:val="7D7A3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763285"/>
    <w:multiLevelType w:val="hybridMultilevel"/>
    <w:tmpl w:val="055AA8F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332F4111"/>
    <w:multiLevelType w:val="hybridMultilevel"/>
    <w:tmpl w:val="B658D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5694C9E"/>
    <w:multiLevelType w:val="hybridMultilevel"/>
    <w:tmpl w:val="8BD87FCC"/>
    <w:lvl w:ilvl="0" w:tplc="0C09000F">
      <w:start w:val="3"/>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15:restartNumberingAfterBreak="0">
    <w:nsid w:val="397F78D4"/>
    <w:multiLevelType w:val="hybridMultilevel"/>
    <w:tmpl w:val="3D7E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F7308A"/>
    <w:multiLevelType w:val="hybridMultilevel"/>
    <w:tmpl w:val="EF66CB42"/>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3C8C7FA2"/>
    <w:multiLevelType w:val="hybridMultilevel"/>
    <w:tmpl w:val="5A3046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CD45149"/>
    <w:multiLevelType w:val="hybridMultilevel"/>
    <w:tmpl w:val="3224E1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F40467B"/>
    <w:multiLevelType w:val="hybridMultilevel"/>
    <w:tmpl w:val="912A73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C26B15"/>
    <w:multiLevelType w:val="hybridMultilevel"/>
    <w:tmpl w:val="907C6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7E2F08"/>
    <w:multiLevelType w:val="hybridMultilevel"/>
    <w:tmpl w:val="11A06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58216C"/>
    <w:multiLevelType w:val="hybridMultilevel"/>
    <w:tmpl w:val="A6F20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8977D1"/>
    <w:multiLevelType w:val="hybridMultilevel"/>
    <w:tmpl w:val="1F8A74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5DD434D"/>
    <w:multiLevelType w:val="hybridMultilevel"/>
    <w:tmpl w:val="48925ED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660643F"/>
    <w:multiLevelType w:val="hybridMultilevel"/>
    <w:tmpl w:val="23C8FA36"/>
    <w:lvl w:ilvl="0" w:tplc="57A0EE1C">
      <w:start w:val="1"/>
      <w:numFmt w:val="decimal"/>
      <w:lvlText w:val="%1."/>
      <w:lvlJc w:val="left"/>
      <w:pPr>
        <w:ind w:left="1080" w:hanging="360"/>
      </w:pPr>
      <w:rPr>
        <w:rFonts w:eastAsiaTheme="minorHAnsi" w:cs="FrutigerLTStd-Bold"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C318F9"/>
    <w:multiLevelType w:val="hybridMultilevel"/>
    <w:tmpl w:val="863AE534"/>
    <w:lvl w:ilvl="0" w:tplc="C4F44D80">
      <w:start w:val="3"/>
      <w:numFmt w:val="bullet"/>
      <w:lvlText w:val="•"/>
      <w:lvlJc w:val="left"/>
      <w:pPr>
        <w:ind w:left="1080" w:hanging="360"/>
      </w:pPr>
      <w:rPr>
        <w:rFonts w:ascii="Calibri" w:eastAsia="FrutigerLTStd-Light" w:hAnsi="Calibri" w:cs="FrutigerLTStd-Light"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10AB3"/>
    <w:multiLevelType w:val="hybridMultilevel"/>
    <w:tmpl w:val="69ECF1EC"/>
    <w:lvl w:ilvl="0" w:tplc="CF12971C">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6F2732"/>
    <w:multiLevelType w:val="hybridMultilevel"/>
    <w:tmpl w:val="EFD695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17E5B43"/>
    <w:multiLevelType w:val="hybridMultilevel"/>
    <w:tmpl w:val="BAC6E0EE"/>
    <w:lvl w:ilvl="0" w:tplc="CF12971C">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DE2FA7"/>
    <w:multiLevelType w:val="hybridMultilevel"/>
    <w:tmpl w:val="8B804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812C2B"/>
    <w:multiLevelType w:val="hybridMultilevel"/>
    <w:tmpl w:val="6E0C6564"/>
    <w:lvl w:ilvl="0" w:tplc="95EAB25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5C3C59"/>
    <w:multiLevelType w:val="multilevel"/>
    <w:tmpl w:val="C6F0768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781041B1"/>
    <w:multiLevelType w:val="hybridMultilevel"/>
    <w:tmpl w:val="FB5EE1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6"/>
  </w:num>
  <w:num w:numId="5">
    <w:abstractNumId w:val="40"/>
  </w:num>
  <w:num w:numId="6">
    <w:abstractNumId w:val="31"/>
  </w:num>
  <w:num w:numId="7">
    <w:abstractNumId w:val="39"/>
  </w:num>
  <w:num w:numId="8">
    <w:abstractNumId w:val="29"/>
  </w:num>
  <w:num w:numId="9">
    <w:abstractNumId w:val="17"/>
  </w:num>
  <w:num w:numId="10">
    <w:abstractNumId w:val="12"/>
  </w:num>
  <w:num w:numId="11">
    <w:abstractNumId w:val="20"/>
  </w:num>
  <w:num w:numId="12">
    <w:abstractNumId w:val="2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9"/>
  </w:num>
  <w:num w:numId="16">
    <w:abstractNumId w:val="15"/>
  </w:num>
  <w:num w:numId="17">
    <w:abstractNumId w:val="7"/>
  </w:num>
  <w:num w:numId="18">
    <w:abstractNumId w:val="25"/>
  </w:num>
  <w:num w:numId="19">
    <w:abstractNumId w:val="30"/>
  </w:num>
  <w:num w:numId="20">
    <w:abstractNumId w:val="26"/>
  </w:num>
  <w:num w:numId="21">
    <w:abstractNumId w:val="6"/>
  </w:num>
  <w:num w:numId="22">
    <w:abstractNumId w:val="23"/>
  </w:num>
  <w:num w:numId="23">
    <w:abstractNumId w:val="11"/>
  </w:num>
  <w:num w:numId="24">
    <w:abstractNumId w:val="14"/>
  </w:num>
  <w:num w:numId="25">
    <w:abstractNumId w:val="8"/>
  </w:num>
  <w:num w:numId="26">
    <w:abstractNumId w:val="28"/>
  </w:num>
  <w:num w:numId="27">
    <w:abstractNumId w:val="18"/>
  </w:num>
  <w:num w:numId="28">
    <w:abstractNumId w:val="19"/>
  </w:num>
  <w:num w:numId="29">
    <w:abstractNumId w:val="34"/>
  </w:num>
  <w:num w:numId="30">
    <w:abstractNumId w:val="35"/>
  </w:num>
  <w:num w:numId="31">
    <w:abstractNumId w:val="24"/>
  </w:num>
  <w:num w:numId="32">
    <w:abstractNumId w:val="36"/>
  </w:num>
  <w:num w:numId="33">
    <w:abstractNumId w:val="38"/>
  </w:num>
  <w:num w:numId="34">
    <w:abstractNumId w:val="10"/>
  </w:num>
  <w:num w:numId="35">
    <w:abstractNumId w:val="42"/>
  </w:num>
  <w:num w:numId="36">
    <w:abstractNumId w:val="13"/>
  </w:num>
  <w:num w:numId="37">
    <w:abstractNumId w:val="1"/>
  </w:num>
  <w:num w:numId="38">
    <w:abstractNumId w:val="37"/>
  </w:num>
  <w:num w:numId="39">
    <w:abstractNumId w:val="27"/>
  </w:num>
  <w:num w:numId="40">
    <w:abstractNumId w:val="32"/>
  </w:num>
  <w:num w:numId="41">
    <w:abstractNumId w:val="8"/>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0Mjc3sjCxMLU0NbRU0lEKTi0uzszPAykwqQUAkOke6SwAAAA="/>
  </w:docVars>
  <w:rsids>
    <w:rsidRoot w:val="000239C8"/>
    <w:rsid w:val="000016D0"/>
    <w:rsid w:val="00004577"/>
    <w:rsid w:val="00004C3F"/>
    <w:rsid w:val="00005ECA"/>
    <w:rsid w:val="0000634A"/>
    <w:rsid w:val="000076DC"/>
    <w:rsid w:val="0000789C"/>
    <w:rsid w:val="0001034A"/>
    <w:rsid w:val="0001224B"/>
    <w:rsid w:val="000126D9"/>
    <w:rsid w:val="000147FB"/>
    <w:rsid w:val="00016BF7"/>
    <w:rsid w:val="00020733"/>
    <w:rsid w:val="00021FDF"/>
    <w:rsid w:val="000221AD"/>
    <w:rsid w:val="00022368"/>
    <w:rsid w:val="000229D8"/>
    <w:rsid w:val="00022C7F"/>
    <w:rsid w:val="000239C8"/>
    <w:rsid w:val="000259BE"/>
    <w:rsid w:val="000259E1"/>
    <w:rsid w:val="00025FF9"/>
    <w:rsid w:val="000263BB"/>
    <w:rsid w:val="00026A6A"/>
    <w:rsid w:val="00026D84"/>
    <w:rsid w:val="000314D2"/>
    <w:rsid w:val="000315D8"/>
    <w:rsid w:val="0003353D"/>
    <w:rsid w:val="00034E4A"/>
    <w:rsid w:val="00036578"/>
    <w:rsid w:val="000375C9"/>
    <w:rsid w:val="0004174B"/>
    <w:rsid w:val="00043697"/>
    <w:rsid w:val="0004507F"/>
    <w:rsid w:val="00045D7E"/>
    <w:rsid w:val="0004659B"/>
    <w:rsid w:val="00047056"/>
    <w:rsid w:val="00051B34"/>
    <w:rsid w:val="00051F27"/>
    <w:rsid w:val="00052FA1"/>
    <w:rsid w:val="00053137"/>
    <w:rsid w:val="00053553"/>
    <w:rsid w:val="00066A57"/>
    <w:rsid w:val="000700E5"/>
    <w:rsid w:val="00071404"/>
    <w:rsid w:val="000727F0"/>
    <w:rsid w:val="00074289"/>
    <w:rsid w:val="00077027"/>
    <w:rsid w:val="00080751"/>
    <w:rsid w:val="000818EC"/>
    <w:rsid w:val="00082F9F"/>
    <w:rsid w:val="000841BF"/>
    <w:rsid w:val="000841F9"/>
    <w:rsid w:val="000845DC"/>
    <w:rsid w:val="000864E6"/>
    <w:rsid w:val="00087FD7"/>
    <w:rsid w:val="000933AE"/>
    <w:rsid w:val="00095411"/>
    <w:rsid w:val="00096FBD"/>
    <w:rsid w:val="000A0D79"/>
    <w:rsid w:val="000A146F"/>
    <w:rsid w:val="000A1BF2"/>
    <w:rsid w:val="000A340B"/>
    <w:rsid w:val="000A6718"/>
    <w:rsid w:val="000A71F1"/>
    <w:rsid w:val="000A7F9C"/>
    <w:rsid w:val="000B009B"/>
    <w:rsid w:val="000B07C7"/>
    <w:rsid w:val="000B276C"/>
    <w:rsid w:val="000B4E0A"/>
    <w:rsid w:val="000C076B"/>
    <w:rsid w:val="000C138F"/>
    <w:rsid w:val="000C4FFD"/>
    <w:rsid w:val="000C7FB8"/>
    <w:rsid w:val="000D0302"/>
    <w:rsid w:val="000D070E"/>
    <w:rsid w:val="000D072B"/>
    <w:rsid w:val="000D1B68"/>
    <w:rsid w:val="000D37F1"/>
    <w:rsid w:val="000D5E19"/>
    <w:rsid w:val="000D65EC"/>
    <w:rsid w:val="000D6870"/>
    <w:rsid w:val="000D7D10"/>
    <w:rsid w:val="000E1B79"/>
    <w:rsid w:val="000E2432"/>
    <w:rsid w:val="000E3964"/>
    <w:rsid w:val="000E7686"/>
    <w:rsid w:val="000F06C5"/>
    <w:rsid w:val="000F1126"/>
    <w:rsid w:val="000F4197"/>
    <w:rsid w:val="000F7030"/>
    <w:rsid w:val="001040D5"/>
    <w:rsid w:val="00104131"/>
    <w:rsid w:val="00104514"/>
    <w:rsid w:val="00105CC0"/>
    <w:rsid w:val="00111637"/>
    <w:rsid w:val="00112CA4"/>
    <w:rsid w:val="001145EF"/>
    <w:rsid w:val="001162BD"/>
    <w:rsid w:val="0012132A"/>
    <w:rsid w:val="0012338B"/>
    <w:rsid w:val="0012508E"/>
    <w:rsid w:val="00125E43"/>
    <w:rsid w:val="001265A6"/>
    <w:rsid w:val="00126B38"/>
    <w:rsid w:val="0013144F"/>
    <w:rsid w:val="00134466"/>
    <w:rsid w:val="00135595"/>
    <w:rsid w:val="001374A7"/>
    <w:rsid w:val="001376DD"/>
    <w:rsid w:val="00140409"/>
    <w:rsid w:val="0014260E"/>
    <w:rsid w:val="001453B1"/>
    <w:rsid w:val="001455A4"/>
    <w:rsid w:val="0015092F"/>
    <w:rsid w:val="00152456"/>
    <w:rsid w:val="00162693"/>
    <w:rsid w:val="00162E3D"/>
    <w:rsid w:val="001652C1"/>
    <w:rsid w:val="0016640D"/>
    <w:rsid w:val="001672E0"/>
    <w:rsid w:val="0016744D"/>
    <w:rsid w:val="001734CE"/>
    <w:rsid w:val="00173569"/>
    <w:rsid w:val="00174F2E"/>
    <w:rsid w:val="0017529A"/>
    <w:rsid w:val="00177000"/>
    <w:rsid w:val="001773D0"/>
    <w:rsid w:val="00177459"/>
    <w:rsid w:val="001808E0"/>
    <w:rsid w:val="00180969"/>
    <w:rsid w:val="00182A32"/>
    <w:rsid w:val="00182DA9"/>
    <w:rsid w:val="001851E7"/>
    <w:rsid w:val="00186653"/>
    <w:rsid w:val="0019289A"/>
    <w:rsid w:val="00193A79"/>
    <w:rsid w:val="00193F72"/>
    <w:rsid w:val="001A4760"/>
    <w:rsid w:val="001A6428"/>
    <w:rsid w:val="001B0755"/>
    <w:rsid w:val="001B0C17"/>
    <w:rsid w:val="001B0F73"/>
    <w:rsid w:val="001B1231"/>
    <w:rsid w:val="001B1AE2"/>
    <w:rsid w:val="001B6605"/>
    <w:rsid w:val="001B773E"/>
    <w:rsid w:val="001C11DE"/>
    <w:rsid w:val="001C1EF8"/>
    <w:rsid w:val="001C2C25"/>
    <w:rsid w:val="001C3990"/>
    <w:rsid w:val="001C441E"/>
    <w:rsid w:val="001C693B"/>
    <w:rsid w:val="001C7B7E"/>
    <w:rsid w:val="001C7DAC"/>
    <w:rsid w:val="001D16D3"/>
    <w:rsid w:val="001D73C2"/>
    <w:rsid w:val="001E222B"/>
    <w:rsid w:val="001E3513"/>
    <w:rsid w:val="001E3714"/>
    <w:rsid w:val="001E46B1"/>
    <w:rsid w:val="001E638E"/>
    <w:rsid w:val="001E6AD8"/>
    <w:rsid w:val="001E7D28"/>
    <w:rsid w:val="001F09F2"/>
    <w:rsid w:val="001F11BE"/>
    <w:rsid w:val="001F1CA8"/>
    <w:rsid w:val="001F4FE9"/>
    <w:rsid w:val="001F7983"/>
    <w:rsid w:val="002038E2"/>
    <w:rsid w:val="00204400"/>
    <w:rsid w:val="00204AF7"/>
    <w:rsid w:val="00205CE9"/>
    <w:rsid w:val="002066EA"/>
    <w:rsid w:val="00207D75"/>
    <w:rsid w:val="0021087B"/>
    <w:rsid w:val="00213821"/>
    <w:rsid w:val="002146EE"/>
    <w:rsid w:val="00216EA2"/>
    <w:rsid w:val="00217EA5"/>
    <w:rsid w:val="002200F7"/>
    <w:rsid w:val="002202DF"/>
    <w:rsid w:val="0022300E"/>
    <w:rsid w:val="0022321B"/>
    <w:rsid w:val="00223EA7"/>
    <w:rsid w:val="002240F5"/>
    <w:rsid w:val="00224164"/>
    <w:rsid w:val="002269BD"/>
    <w:rsid w:val="002302D3"/>
    <w:rsid w:val="00233189"/>
    <w:rsid w:val="002347A9"/>
    <w:rsid w:val="00234C12"/>
    <w:rsid w:val="002368C4"/>
    <w:rsid w:val="00240668"/>
    <w:rsid w:val="00241774"/>
    <w:rsid w:val="00241922"/>
    <w:rsid w:val="002462F9"/>
    <w:rsid w:val="002477A3"/>
    <w:rsid w:val="00251283"/>
    <w:rsid w:val="00252252"/>
    <w:rsid w:val="0025306C"/>
    <w:rsid w:val="00254765"/>
    <w:rsid w:val="00257CF4"/>
    <w:rsid w:val="002636E1"/>
    <w:rsid w:val="00266D05"/>
    <w:rsid w:val="00267B76"/>
    <w:rsid w:val="00267C5E"/>
    <w:rsid w:val="0027216D"/>
    <w:rsid w:val="00273C9E"/>
    <w:rsid w:val="002760F1"/>
    <w:rsid w:val="00276A93"/>
    <w:rsid w:val="00280348"/>
    <w:rsid w:val="002822BB"/>
    <w:rsid w:val="00282C38"/>
    <w:rsid w:val="0028330C"/>
    <w:rsid w:val="00285840"/>
    <w:rsid w:val="002872F1"/>
    <w:rsid w:val="00291D46"/>
    <w:rsid w:val="00294C20"/>
    <w:rsid w:val="00295944"/>
    <w:rsid w:val="00295D46"/>
    <w:rsid w:val="0029650B"/>
    <w:rsid w:val="002967CB"/>
    <w:rsid w:val="00296C1A"/>
    <w:rsid w:val="002A156C"/>
    <w:rsid w:val="002A6494"/>
    <w:rsid w:val="002A6B11"/>
    <w:rsid w:val="002A7A67"/>
    <w:rsid w:val="002B1250"/>
    <w:rsid w:val="002B1627"/>
    <w:rsid w:val="002B4705"/>
    <w:rsid w:val="002B6E41"/>
    <w:rsid w:val="002B7526"/>
    <w:rsid w:val="002B7771"/>
    <w:rsid w:val="002C0B3F"/>
    <w:rsid w:val="002C121B"/>
    <w:rsid w:val="002C1547"/>
    <w:rsid w:val="002C414D"/>
    <w:rsid w:val="002C4FE3"/>
    <w:rsid w:val="002C6685"/>
    <w:rsid w:val="002C7C70"/>
    <w:rsid w:val="002D11BF"/>
    <w:rsid w:val="002D2AFE"/>
    <w:rsid w:val="002D40D5"/>
    <w:rsid w:val="002D46EC"/>
    <w:rsid w:val="002D4A31"/>
    <w:rsid w:val="002D4EB5"/>
    <w:rsid w:val="002D56AF"/>
    <w:rsid w:val="002D7852"/>
    <w:rsid w:val="002E27A2"/>
    <w:rsid w:val="002E2C04"/>
    <w:rsid w:val="002E2D7F"/>
    <w:rsid w:val="002E3B74"/>
    <w:rsid w:val="002E435F"/>
    <w:rsid w:val="002E5996"/>
    <w:rsid w:val="002F0A2D"/>
    <w:rsid w:val="002F1357"/>
    <w:rsid w:val="002F1652"/>
    <w:rsid w:val="002F26D7"/>
    <w:rsid w:val="002F4405"/>
    <w:rsid w:val="002F4A96"/>
    <w:rsid w:val="002F4D07"/>
    <w:rsid w:val="002F5774"/>
    <w:rsid w:val="002F5ADA"/>
    <w:rsid w:val="002F5DCA"/>
    <w:rsid w:val="002F5ECD"/>
    <w:rsid w:val="002F7102"/>
    <w:rsid w:val="00301920"/>
    <w:rsid w:val="00302A0B"/>
    <w:rsid w:val="00302B0A"/>
    <w:rsid w:val="00302B49"/>
    <w:rsid w:val="00303081"/>
    <w:rsid w:val="00304661"/>
    <w:rsid w:val="00310015"/>
    <w:rsid w:val="00311F46"/>
    <w:rsid w:val="00312696"/>
    <w:rsid w:val="00313C52"/>
    <w:rsid w:val="0031711C"/>
    <w:rsid w:val="003204EA"/>
    <w:rsid w:val="00323235"/>
    <w:rsid w:val="003259DC"/>
    <w:rsid w:val="00326B61"/>
    <w:rsid w:val="0032767E"/>
    <w:rsid w:val="0033041E"/>
    <w:rsid w:val="00334220"/>
    <w:rsid w:val="003349EA"/>
    <w:rsid w:val="0033680D"/>
    <w:rsid w:val="00337406"/>
    <w:rsid w:val="00340BC8"/>
    <w:rsid w:val="00342689"/>
    <w:rsid w:val="00343853"/>
    <w:rsid w:val="0034605A"/>
    <w:rsid w:val="003475A1"/>
    <w:rsid w:val="00347B5B"/>
    <w:rsid w:val="003538C5"/>
    <w:rsid w:val="003545D4"/>
    <w:rsid w:val="0035508A"/>
    <w:rsid w:val="0035688E"/>
    <w:rsid w:val="003570B9"/>
    <w:rsid w:val="00360EA3"/>
    <w:rsid w:val="00361745"/>
    <w:rsid w:val="00364BAE"/>
    <w:rsid w:val="003666BD"/>
    <w:rsid w:val="00366D05"/>
    <w:rsid w:val="00367B21"/>
    <w:rsid w:val="00375B43"/>
    <w:rsid w:val="003776EC"/>
    <w:rsid w:val="00381776"/>
    <w:rsid w:val="00384327"/>
    <w:rsid w:val="00391523"/>
    <w:rsid w:val="00393E1E"/>
    <w:rsid w:val="00395A15"/>
    <w:rsid w:val="00395D3E"/>
    <w:rsid w:val="0039790A"/>
    <w:rsid w:val="003A09D0"/>
    <w:rsid w:val="003A271B"/>
    <w:rsid w:val="003A3D1C"/>
    <w:rsid w:val="003A55C0"/>
    <w:rsid w:val="003A55DC"/>
    <w:rsid w:val="003B046C"/>
    <w:rsid w:val="003B09AA"/>
    <w:rsid w:val="003B2CEA"/>
    <w:rsid w:val="003B47D4"/>
    <w:rsid w:val="003C13BA"/>
    <w:rsid w:val="003C2551"/>
    <w:rsid w:val="003C26F8"/>
    <w:rsid w:val="003C4025"/>
    <w:rsid w:val="003C4574"/>
    <w:rsid w:val="003C54AC"/>
    <w:rsid w:val="003C571B"/>
    <w:rsid w:val="003C5951"/>
    <w:rsid w:val="003C709E"/>
    <w:rsid w:val="003C7DAE"/>
    <w:rsid w:val="003D62BD"/>
    <w:rsid w:val="003D748A"/>
    <w:rsid w:val="003E07A1"/>
    <w:rsid w:val="003E0C3E"/>
    <w:rsid w:val="003E13A5"/>
    <w:rsid w:val="003E1F9A"/>
    <w:rsid w:val="003E271C"/>
    <w:rsid w:val="003E2CD5"/>
    <w:rsid w:val="003E508B"/>
    <w:rsid w:val="003E5412"/>
    <w:rsid w:val="003E54A2"/>
    <w:rsid w:val="003E57F7"/>
    <w:rsid w:val="003E5AD8"/>
    <w:rsid w:val="003E7D09"/>
    <w:rsid w:val="003F24C6"/>
    <w:rsid w:val="003F509F"/>
    <w:rsid w:val="003F6713"/>
    <w:rsid w:val="0040496B"/>
    <w:rsid w:val="004066B5"/>
    <w:rsid w:val="00406A0C"/>
    <w:rsid w:val="00407DE4"/>
    <w:rsid w:val="00410C3B"/>
    <w:rsid w:val="004178EE"/>
    <w:rsid w:val="00421147"/>
    <w:rsid w:val="00421CF0"/>
    <w:rsid w:val="004266C7"/>
    <w:rsid w:val="00426EC6"/>
    <w:rsid w:val="0043005C"/>
    <w:rsid w:val="00431A61"/>
    <w:rsid w:val="0043249C"/>
    <w:rsid w:val="00441959"/>
    <w:rsid w:val="00442B97"/>
    <w:rsid w:val="00443AA1"/>
    <w:rsid w:val="00447AB5"/>
    <w:rsid w:val="004500E6"/>
    <w:rsid w:val="004506E7"/>
    <w:rsid w:val="00456C64"/>
    <w:rsid w:val="00461C5D"/>
    <w:rsid w:val="00461F30"/>
    <w:rsid w:val="00462DDA"/>
    <w:rsid w:val="00464224"/>
    <w:rsid w:val="00466F26"/>
    <w:rsid w:val="00467412"/>
    <w:rsid w:val="00471A74"/>
    <w:rsid w:val="00471DAC"/>
    <w:rsid w:val="00471E00"/>
    <w:rsid w:val="00480524"/>
    <w:rsid w:val="00482467"/>
    <w:rsid w:val="00483C66"/>
    <w:rsid w:val="00484905"/>
    <w:rsid w:val="00485C34"/>
    <w:rsid w:val="00486809"/>
    <w:rsid w:val="0048729A"/>
    <w:rsid w:val="0049069E"/>
    <w:rsid w:val="00491275"/>
    <w:rsid w:val="00496A49"/>
    <w:rsid w:val="00497455"/>
    <w:rsid w:val="00497A67"/>
    <w:rsid w:val="00497F38"/>
    <w:rsid w:val="004A0497"/>
    <w:rsid w:val="004A17AE"/>
    <w:rsid w:val="004A1955"/>
    <w:rsid w:val="004A4721"/>
    <w:rsid w:val="004A636E"/>
    <w:rsid w:val="004A6B8A"/>
    <w:rsid w:val="004B13A3"/>
    <w:rsid w:val="004B6E49"/>
    <w:rsid w:val="004B7225"/>
    <w:rsid w:val="004B7E02"/>
    <w:rsid w:val="004B7F93"/>
    <w:rsid w:val="004C0293"/>
    <w:rsid w:val="004C36B6"/>
    <w:rsid w:val="004C4FBD"/>
    <w:rsid w:val="004C680E"/>
    <w:rsid w:val="004C6F39"/>
    <w:rsid w:val="004C7383"/>
    <w:rsid w:val="004C7402"/>
    <w:rsid w:val="004D0470"/>
    <w:rsid w:val="004D2D92"/>
    <w:rsid w:val="004D3DB5"/>
    <w:rsid w:val="004D7E88"/>
    <w:rsid w:val="004E64A7"/>
    <w:rsid w:val="004E6D0B"/>
    <w:rsid w:val="004F043A"/>
    <w:rsid w:val="004F0ED0"/>
    <w:rsid w:val="004F3BD3"/>
    <w:rsid w:val="004F56C7"/>
    <w:rsid w:val="004F5805"/>
    <w:rsid w:val="004F7328"/>
    <w:rsid w:val="004F7677"/>
    <w:rsid w:val="005009CB"/>
    <w:rsid w:val="0050278D"/>
    <w:rsid w:val="00504202"/>
    <w:rsid w:val="00505FC2"/>
    <w:rsid w:val="005060F4"/>
    <w:rsid w:val="0050638C"/>
    <w:rsid w:val="00507C4B"/>
    <w:rsid w:val="005115F3"/>
    <w:rsid w:val="00513EB5"/>
    <w:rsid w:val="00515CE9"/>
    <w:rsid w:val="00517290"/>
    <w:rsid w:val="00521126"/>
    <w:rsid w:val="005211BF"/>
    <w:rsid w:val="00527CF4"/>
    <w:rsid w:val="00527F27"/>
    <w:rsid w:val="00530128"/>
    <w:rsid w:val="005310A9"/>
    <w:rsid w:val="00531327"/>
    <w:rsid w:val="005321F1"/>
    <w:rsid w:val="00532BA1"/>
    <w:rsid w:val="00532BD9"/>
    <w:rsid w:val="00533EB2"/>
    <w:rsid w:val="005348DD"/>
    <w:rsid w:val="005358A7"/>
    <w:rsid w:val="00535B2B"/>
    <w:rsid w:val="00535BCB"/>
    <w:rsid w:val="00540259"/>
    <w:rsid w:val="0054061B"/>
    <w:rsid w:val="0054317D"/>
    <w:rsid w:val="005440D6"/>
    <w:rsid w:val="00544950"/>
    <w:rsid w:val="00546976"/>
    <w:rsid w:val="0055081B"/>
    <w:rsid w:val="005509CF"/>
    <w:rsid w:val="00550A9D"/>
    <w:rsid w:val="00550EC5"/>
    <w:rsid w:val="00552062"/>
    <w:rsid w:val="0055248D"/>
    <w:rsid w:val="0055251E"/>
    <w:rsid w:val="005526F2"/>
    <w:rsid w:val="00554C94"/>
    <w:rsid w:val="0056000C"/>
    <w:rsid w:val="00561877"/>
    <w:rsid w:val="00561D07"/>
    <w:rsid w:val="0056459E"/>
    <w:rsid w:val="00564E44"/>
    <w:rsid w:val="00566C8B"/>
    <w:rsid w:val="005729BF"/>
    <w:rsid w:val="00576CFF"/>
    <w:rsid w:val="0057741D"/>
    <w:rsid w:val="005828DC"/>
    <w:rsid w:val="0058299E"/>
    <w:rsid w:val="005829A9"/>
    <w:rsid w:val="00582ACC"/>
    <w:rsid w:val="005859EA"/>
    <w:rsid w:val="00586EE8"/>
    <w:rsid w:val="00590A8C"/>
    <w:rsid w:val="00591223"/>
    <w:rsid w:val="00591CBB"/>
    <w:rsid w:val="0059232A"/>
    <w:rsid w:val="005925E2"/>
    <w:rsid w:val="00594ED6"/>
    <w:rsid w:val="00595E6D"/>
    <w:rsid w:val="005961E9"/>
    <w:rsid w:val="0059778C"/>
    <w:rsid w:val="005A1096"/>
    <w:rsid w:val="005A263B"/>
    <w:rsid w:val="005A5B93"/>
    <w:rsid w:val="005B492B"/>
    <w:rsid w:val="005B4C01"/>
    <w:rsid w:val="005B5185"/>
    <w:rsid w:val="005B755E"/>
    <w:rsid w:val="005C1013"/>
    <w:rsid w:val="005C1114"/>
    <w:rsid w:val="005C3A89"/>
    <w:rsid w:val="005C4F60"/>
    <w:rsid w:val="005C6761"/>
    <w:rsid w:val="005D03C7"/>
    <w:rsid w:val="005D0806"/>
    <w:rsid w:val="005D17EC"/>
    <w:rsid w:val="005D1E89"/>
    <w:rsid w:val="005D2932"/>
    <w:rsid w:val="005D5804"/>
    <w:rsid w:val="005D6364"/>
    <w:rsid w:val="005D7EEC"/>
    <w:rsid w:val="005E0230"/>
    <w:rsid w:val="005E1589"/>
    <w:rsid w:val="005E2A9F"/>
    <w:rsid w:val="005E32D0"/>
    <w:rsid w:val="005E3A1F"/>
    <w:rsid w:val="005E50B5"/>
    <w:rsid w:val="005E51E3"/>
    <w:rsid w:val="005E6030"/>
    <w:rsid w:val="005E6CD9"/>
    <w:rsid w:val="005F02DC"/>
    <w:rsid w:val="005F047F"/>
    <w:rsid w:val="005F2698"/>
    <w:rsid w:val="005F68D1"/>
    <w:rsid w:val="005F6DC6"/>
    <w:rsid w:val="005F79DE"/>
    <w:rsid w:val="006018D0"/>
    <w:rsid w:val="00601D28"/>
    <w:rsid w:val="0060416D"/>
    <w:rsid w:val="006045B6"/>
    <w:rsid w:val="00605A95"/>
    <w:rsid w:val="00607630"/>
    <w:rsid w:val="00607B47"/>
    <w:rsid w:val="006157E2"/>
    <w:rsid w:val="00617502"/>
    <w:rsid w:val="006232C2"/>
    <w:rsid w:val="00626A57"/>
    <w:rsid w:val="006271F1"/>
    <w:rsid w:val="00631816"/>
    <w:rsid w:val="00633F53"/>
    <w:rsid w:val="00633FB2"/>
    <w:rsid w:val="006342ED"/>
    <w:rsid w:val="00636A85"/>
    <w:rsid w:val="00637013"/>
    <w:rsid w:val="00637A59"/>
    <w:rsid w:val="00637BF8"/>
    <w:rsid w:val="00640454"/>
    <w:rsid w:val="00641509"/>
    <w:rsid w:val="00644C43"/>
    <w:rsid w:val="00644EBA"/>
    <w:rsid w:val="00646CAF"/>
    <w:rsid w:val="00650E7B"/>
    <w:rsid w:val="006513C4"/>
    <w:rsid w:val="00651ADB"/>
    <w:rsid w:val="00651F15"/>
    <w:rsid w:val="00652E91"/>
    <w:rsid w:val="006540BF"/>
    <w:rsid w:val="006541FE"/>
    <w:rsid w:val="00655C16"/>
    <w:rsid w:val="00656416"/>
    <w:rsid w:val="00656E84"/>
    <w:rsid w:val="00660A34"/>
    <w:rsid w:val="00660B7C"/>
    <w:rsid w:val="00661398"/>
    <w:rsid w:val="00665D07"/>
    <w:rsid w:val="006676AE"/>
    <w:rsid w:val="00667BB8"/>
    <w:rsid w:val="00670B3C"/>
    <w:rsid w:val="0067285E"/>
    <w:rsid w:val="00672ECE"/>
    <w:rsid w:val="0067306B"/>
    <w:rsid w:val="00673F5A"/>
    <w:rsid w:val="00674280"/>
    <w:rsid w:val="0067546A"/>
    <w:rsid w:val="00675F43"/>
    <w:rsid w:val="0067640D"/>
    <w:rsid w:val="0068124F"/>
    <w:rsid w:val="00684812"/>
    <w:rsid w:val="00685389"/>
    <w:rsid w:val="00686E20"/>
    <w:rsid w:val="00691CDF"/>
    <w:rsid w:val="006933CF"/>
    <w:rsid w:val="00693E83"/>
    <w:rsid w:val="00695034"/>
    <w:rsid w:val="00697D94"/>
    <w:rsid w:val="006A0F53"/>
    <w:rsid w:val="006A1308"/>
    <w:rsid w:val="006A4F62"/>
    <w:rsid w:val="006B246D"/>
    <w:rsid w:val="006B2A64"/>
    <w:rsid w:val="006B32A8"/>
    <w:rsid w:val="006B377F"/>
    <w:rsid w:val="006B40FC"/>
    <w:rsid w:val="006B5C96"/>
    <w:rsid w:val="006B6B48"/>
    <w:rsid w:val="006C2660"/>
    <w:rsid w:val="006D09A2"/>
    <w:rsid w:val="006D1215"/>
    <w:rsid w:val="006D1A18"/>
    <w:rsid w:val="006D7AC6"/>
    <w:rsid w:val="006E0E9D"/>
    <w:rsid w:val="006E27B4"/>
    <w:rsid w:val="006E3D1A"/>
    <w:rsid w:val="006E568A"/>
    <w:rsid w:val="006E59FD"/>
    <w:rsid w:val="006E6511"/>
    <w:rsid w:val="006E69BC"/>
    <w:rsid w:val="006F120B"/>
    <w:rsid w:val="006F17E3"/>
    <w:rsid w:val="006F59B6"/>
    <w:rsid w:val="006F689E"/>
    <w:rsid w:val="00701EE7"/>
    <w:rsid w:val="0070417A"/>
    <w:rsid w:val="00707460"/>
    <w:rsid w:val="00710E11"/>
    <w:rsid w:val="00711113"/>
    <w:rsid w:val="00714E9A"/>
    <w:rsid w:val="00715E0C"/>
    <w:rsid w:val="00715E59"/>
    <w:rsid w:val="00717A63"/>
    <w:rsid w:val="00717F4D"/>
    <w:rsid w:val="0072185C"/>
    <w:rsid w:val="00721F4A"/>
    <w:rsid w:val="0072372F"/>
    <w:rsid w:val="0072672C"/>
    <w:rsid w:val="007274FE"/>
    <w:rsid w:val="00727719"/>
    <w:rsid w:val="007277B7"/>
    <w:rsid w:val="00730219"/>
    <w:rsid w:val="00730D45"/>
    <w:rsid w:val="0073382F"/>
    <w:rsid w:val="007338E0"/>
    <w:rsid w:val="00736215"/>
    <w:rsid w:val="0074110D"/>
    <w:rsid w:val="00742AF0"/>
    <w:rsid w:val="00743B97"/>
    <w:rsid w:val="0074672F"/>
    <w:rsid w:val="0075024D"/>
    <w:rsid w:val="00750504"/>
    <w:rsid w:val="007509D4"/>
    <w:rsid w:val="00752060"/>
    <w:rsid w:val="00752ED0"/>
    <w:rsid w:val="007544B7"/>
    <w:rsid w:val="0075687F"/>
    <w:rsid w:val="0075695D"/>
    <w:rsid w:val="00756B95"/>
    <w:rsid w:val="007617B2"/>
    <w:rsid w:val="00761AA0"/>
    <w:rsid w:val="00762202"/>
    <w:rsid w:val="007626D4"/>
    <w:rsid w:val="007669E5"/>
    <w:rsid w:val="00774CBB"/>
    <w:rsid w:val="00776283"/>
    <w:rsid w:val="00777BE6"/>
    <w:rsid w:val="00777E01"/>
    <w:rsid w:val="00781638"/>
    <w:rsid w:val="007820C8"/>
    <w:rsid w:val="00783E71"/>
    <w:rsid w:val="007865AF"/>
    <w:rsid w:val="00786931"/>
    <w:rsid w:val="0079016D"/>
    <w:rsid w:val="0079068F"/>
    <w:rsid w:val="00791AC8"/>
    <w:rsid w:val="0079634C"/>
    <w:rsid w:val="007A1E8C"/>
    <w:rsid w:val="007A265A"/>
    <w:rsid w:val="007C04A0"/>
    <w:rsid w:val="007C1090"/>
    <w:rsid w:val="007C22A1"/>
    <w:rsid w:val="007C2776"/>
    <w:rsid w:val="007C5F8F"/>
    <w:rsid w:val="007C7B5E"/>
    <w:rsid w:val="007D1D0D"/>
    <w:rsid w:val="007D5F2A"/>
    <w:rsid w:val="007D63D8"/>
    <w:rsid w:val="007E0110"/>
    <w:rsid w:val="007E069B"/>
    <w:rsid w:val="007E1195"/>
    <w:rsid w:val="007E19EB"/>
    <w:rsid w:val="007E1A9A"/>
    <w:rsid w:val="007E5A48"/>
    <w:rsid w:val="007E667E"/>
    <w:rsid w:val="007E6BBF"/>
    <w:rsid w:val="007E7360"/>
    <w:rsid w:val="007E7ED9"/>
    <w:rsid w:val="007F438E"/>
    <w:rsid w:val="007F528F"/>
    <w:rsid w:val="007F7BCA"/>
    <w:rsid w:val="00800324"/>
    <w:rsid w:val="0080592C"/>
    <w:rsid w:val="00805C11"/>
    <w:rsid w:val="00807DA5"/>
    <w:rsid w:val="0081036B"/>
    <w:rsid w:val="0081078D"/>
    <w:rsid w:val="00813C08"/>
    <w:rsid w:val="00814C8A"/>
    <w:rsid w:val="00815960"/>
    <w:rsid w:val="0081778E"/>
    <w:rsid w:val="00821504"/>
    <w:rsid w:val="00823E8D"/>
    <w:rsid w:val="008246CB"/>
    <w:rsid w:val="008253C3"/>
    <w:rsid w:val="008319BA"/>
    <w:rsid w:val="00831E7B"/>
    <w:rsid w:val="00831FAC"/>
    <w:rsid w:val="0083281E"/>
    <w:rsid w:val="00835669"/>
    <w:rsid w:val="00836D6B"/>
    <w:rsid w:val="008413C4"/>
    <w:rsid w:val="00841BD3"/>
    <w:rsid w:val="0084201F"/>
    <w:rsid w:val="00843E5E"/>
    <w:rsid w:val="008442A8"/>
    <w:rsid w:val="008453DD"/>
    <w:rsid w:val="00847792"/>
    <w:rsid w:val="008500E6"/>
    <w:rsid w:val="008505C7"/>
    <w:rsid w:val="00854890"/>
    <w:rsid w:val="00861AB7"/>
    <w:rsid w:val="00862147"/>
    <w:rsid w:val="00862F50"/>
    <w:rsid w:val="00863411"/>
    <w:rsid w:val="00870BE4"/>
    <w:rsid w:val="008714F4"/>
    <w:rsid w:val="0087248D"/>
    <w:rsid w:val="00876617"/>
    <w:rsid w:val="00880D5E"/>
    <w:rsid w:val="00882402"/>
    <w:rsid w:val="008838E6"/>
    <w:rsid w:val="008841C8"/>
    <w:rsid w:val="008875E4"/>
    <w:rsid w:val="00891EE8"/>
    <w:rsid w:val="008943FE"/>
    <w:rsid w:val="00894DA4"/>
    <w:rsid w:val="008A02D5"/>
    <w:rsid w:val="008A1548"/>
    <w:rsid w:val="008A1BC3"/>
    <w:rsid w:val="008A4705"/>
    <w:rsid w:val="008A6935"/>
    <w:rsid w:val="008B0E93"/>
    <w:rsid w:val="008B5254"/>
    <w:rsid w:val="008B6BB6"/>
    <w:rsid w:val="008B725A"/>
    <w:rsid w:val="008B772E"/>
    <w:rsid w:val="008B7A1C"/>
    <w:rsid w:val="008C2945"/>
    <w:rsid w:val="008C5FE5"/>
    <w:rsid w:val="008C6AA5"/>
    <w:rsid w:val="008D3C39"/>
    <w:rsid w:val="008D3F56"/>
    <w:rsid w:val="008D4134"/>
    <w:rsid w:val="008D53CB"/>
    <w:rsid w:val="008D59A4"/>
    <w:rsid w:val="008E2E6C"/>
    <w:rsid w:val="008E3C4F"/>
    <w:rsid w:val="008E4A9C"/>
    <w:rsid w:val="008E503F"/>
    <w:rsid w:val="008E6846"/>
    <w:rsid w:val="008E6D7B"/>
    <w:rsid w:val="008E7232"/>
    <w:rsid w:val="008F2485"/>
    <w:rsid w:val="008F383D"/>
    <w:rsid w:val="008F7029"/>
    <w:rsid w:val="00900884"/>
    <w:rsid w:val="0090307D"/>
    <w:rsid w:val="00904299"/>
    <w:rsid w:val="00907583"/>
    <w:rsid w:val="00907867"/>
    <w:rsid w:val="0091264E"/>
    <w:rsid w:val="00912DBA"/>
    <w:rsid w:val="009134C6"/>
    <w:rsid w:val="009137D8"/>
    <w:rsid w:val="00913BBF"/>
    <w:rsid w:val="00914313"/>
    <w:rsid w:val="00914F13"/>
    <w:rsid w:val="00915648"/>
    <w:rsid w:val="00915799"/>
    <w:rsid w:val="009229FB"/>
    <w:rsid w:val="009237DE"/>
    <w:rsid w:val="00923B56"/>
    <w:rsid w:val="00924CF1"/>
    <w:rsid w:val="0093194D"/>
    <w:rsid w:val="00932407"/>
    <w:rsid w:val="009341D4"/>
    <w:rsid w:val="009343ED"/>
    <w:rsid w:val="0093486D"/>
    <w:rsid w:val="009352AD"/>
    <w:rsid w:val="0093699E"/>
    <w:rsid w:val="00936CF8"/>
    <w:rsid w:val="00940D4C"/>
    <w:rsid w:val="00941203"/>
    <w:rsid w:val="00943BBD"/>
    <w:rsid w:val="00944132"/>
    <w:rsid w:val="0094479E"/>
    <w:rsid w:val="009448C8"/>
    <w:rsid w:val="00947F17"/>
    <w:rsid w:val="009511E6"/>
    <w:rsid w:val="00951453"/>
    <w:rsid w:val="009516C1"/>
    <w:rsid w:val="00954C8C"/>
    <w:rsid w:val="00956E73"/>
    <w:rsid w:val="00956EDB"/>
    <w:rsid w:val="009600D7"/>
    <w:rsid w:val="009629DB"/>
    <w:rsid w:val="009636C5"/>
    <w:rsid w:val="009727B2"/>
    <w:rsid w:val="0097339B"/>
    <w:rsid w:val="0097741D"/>
    <w:rsid w:val="00980586"/>
    <w:rsid w:val="00981F48"/>
    <w:rsid w:val="009835B1"/>
    <w:rsid w:val="00984173"/>
    <w:rsid w:val="00985F24"/>
    <w:rsid w:val="00987281"/>
    <w:rsid w:val="00991DA5"/>
    <w:rsid w:val="00992491"/>
    <w:rsid w:val="009925E4"/>
    <w:rsid w:val="00992FDA"/>
    <w:rsid w:val="00997394"/>
    <w:rsid w:val="009A0CBC"/>
    <w:rsid w:val="009A1EC2"/>
    <w:rsid w:val="009A2177"/>
    <w:rsid w:val="009A56D8"/>
    <w:rsid w:val="009B4339"/>
    <w:rsid w:val="009B6A6E"/>
    <w:rsid w:val="009B769D"/>
    <w:rsid w:val="009C1887"/>
    <w:rsid w:val="009C1B51"/>
    <w:rsid w:val="009C1CEB"/>
    <w:rsid w:val="009C24C7"/>
    <w:rsid w:val="009C4D86"/>
    <w:rsid w:val="009D1EA3"/>
    <w:rsid w:val="009D2D20"/>
    <w:rsid w:val="009D3E09"/>
    <w:rsid w:val="009D5A61"/>
    <w:rsid w:val="009E0765"/>
    <w:rsid w:val="009E100C"/>
    <w:rsid w:val="009E24EA"/>
    <w:rsid w:val="009E38DA"/>
    <w:rsid w:val="009E679E"/>
    <w:rsid w:val="009E7653"/>
    <w:rsid w:val="009F0466"/>
    <w:rsid w:val="009F05D8"/>
    <w:rsid w:val="009F24C8"/>
    <w:rsid w:val="009F2D9E"/>
    <w:rsid w:val="009F2FF1"/>
    <w:rsid w:val="009F3204"/>
    <w:rsid w:val="009F6DE0"/>
    <w:rsid w:val="00A028AD"/>
    <w:rsid w:val="00A03BC6"/>
    <w:rsid w:val="00A03FA9"/>
    <w:rsid w:val="00A05F0A"/>
    <w:rsid w:val="00A060F9"/>
    <w:rsid w:val="00A07D82"/>
    <w:rsid w:val="00A1535A"/>
    <w:rsid w:val="00A16D44"/>
    <w:rsid w:val="00A238B0"/>
    <w:rsid w:val="00A23B17"/>
    <w:rsid w:val="00A26290"/>
    <w:rsid w:val="00A2708D"/>
    <w:rsid w:val="00A325C1"/>
    <w:rsid w:val="00A36684"/>
    <w:rsid w:val="00A36D2E"/>
    <w:rsid w:val="00A37C22"/>
    <w:rsid w:val="00A435C8"/>
    <w:rsid w:val="00A44028"/>
    <w:rsid w:val="00A45159"/>
    <w:rsid w:val="00A4690D"/>
    <w:rsid w:val="00A47B06"/>
    <w:rsid w:val="00A51067"/>
    <w:rsid w:val="00A53232"/>
    <w:rsid w:val="00A534C3"/>
    <w:rsid w:val="00A53949"/>
    <w:rsid w:val="00A60155"/>
    <w:rsid w:val="00A60D2E"/>
    <w:rsid w:val="00A60E09"/>
    <w:rsid w:val="00A62A44"/>
    <w:rsid w:val="00A67EA3"/>
    <w:rsid w:val="00A703C4"/>
    <w:rsid w:val="00A70C25"/>
    <w:rsid w:val="00A7170E"/>
    <w:rsid w:val="00A71F9A"/>
    <w:rsid w:val="00A74A83"/>
    <w:rsid w:val="00A76E1D"/>
    <w:rsid w:val="00A83499"/>
    <w:rsid w:val="00A83738"/>
    <w:rsid w:val="00A86388"/>
    <w:rsid w:val="00A9102F"/>
    <w:rsid w:val="00A9351A"/>
    <w:rsid w:val="00A935CC"/>
    <w:rsid w:val="00A935EE"/>
    <w:rsid w:val="00A94387"/>
    <w:rsid w:val="00A965B9"/>
    <w:rsid w:val="00A97A7F"/>
    <w:rsid w:val="00AA3379"/>
    <w:rsid w:val="00AA5674"/>
    <w:rsid w:val="00AA5720"/>
    <w:rsid w:val="00AA7085"/>
    <w:rsid w:val="00AA7124"/>
    <w:rsid w:val="00AA78CA"/>
    <w:rsid w:val="00AA7C78"/>
    <w:rsid w:val="00AB0CEF"/>
    <w:rsid w:val="00AB0DF4"/>
    <w:rsid w:val="00AC055B"/>
    <w:rsid w:val="00AC10E4"/>
    <w:rsid w:val="00AC376B"/>
    <w:rsid w:val="00AD0519"/>
    <w:rsid w:val="00AD35B9"/>
    <w:rsid w:val="00AD3F0E"/>
    <w:rsid w:val="00AD737B"/>
    <w:rsid w:val="00AD7DC1"/>
    <w:rsid w:val="00AE1EC4"/>
    <w:rsid w:val="00AE497A"/>
    <w:rsid w:val="00AE5766"/>
    <w:rsid w:val="00AE76B1"/>
    <w:rsid w:val="00AE7E9F"/>
    <w:rsid w:val="00AF01C8"/>
    <w:rsid w:val="00AF04AB"/>
    <w:rsid w:val="00AF1F80"/>
    <w:rsid w:val="00AF2D0A"/>
    <w:rsid w:val="00AF4D19"/>
    <w:rsid w:val="00B00D89"/>
    <w:rsid w:val="00B04B22"/>
    <w:rsid w:val="00B0576B"/>
    <w:rsid w:val="00B06681"/>
    <w:rsid w:val="00B06F83"/>
    <w:rsid w:val="00B101D3"/>
    <w:rsid w:val="00B103D3"/>
    <w:rsid w:val="00B108EA"/>
    <w:rsid w:val="00B119B6"/>
    <w:rsid w:val="00B138A7"/>
    <w:rsid w:val="00B161D9"/>
    <w:rsid w:val="00B1647F"/>
    <w:rsid w:val="00B1668D"/>
    <w:rsid w:val="00B166C9"/>
    <w:rsid w:val="00B17B41"/>
    <w:rsid w:val="00B21BF0"/>
    <w:rsid w:val="00B27A1A"/>
    <w:rsid w:val="00B31926"/>
    <w:rsid w:val="00B3195C"/>
    <w:rsid w:val="00B32F7D"/>
    <w:rsid w:val="00B3390C"/>
    <w:rsid w:val="00B3686F"/>
    <w:rsid w:val="00B41416"/>
    <w:rsid w:val="00B41ACB"/>
    <w:rsid w:val="00B41F19"/>
    <w:rsid w:val="00B420FA"/>
    <w:rsid w:val="00B441EF"/>
    <w:rsid w:val="00B478F8"/>
    <w:rsid w:val="00B50CF1"/>
    <w:rsid w:val="00B5117A"/>
    <w:rsid w:val="00B520EB"/>
    <w:rsid w:val="00B53E06"/>
    <w:rsid w:val="00B53F82"/>
    <w:rsid w:val="00B55617"/>
    <w:rsid w:val="00B628D4"/>
    <w:rsid w:val="00B634F6"/>
    <w:rsid w:val="00B65B22"/>
    <w:rsid w:val="00B6737E"/>
    <w:rsid w:val="00B716BE"/>
    <w:rsid w:val="00B718AB"/>
    <w:rsid w:val="00B729A8"/>
    <w:rsid w:val="00B72C15"/>
    <w:rsid w:val="00B74C19"/>
    <w:rsid w:val="00B81284"/>
    <w:rsid w:val="00B823E8"/>
    <w:rsid w:val="00B83258"/>
    <w:rsid w:val="00B90A95"/>
    <w:rsid w:val="00B92A67"/>
    <w:rsid w:val="00B95B02"/>
    <w:rsid w:val="00B974DC"/>
    <w:rsid w:val="00B975A7"/>
    <w:rsid w:val="00B97A55"/>
    <w:rsid w:val="00BA2522"/>
    <w:rsid w:val="00BA34EA"/>
    <w:rsid w:val="00BA365E"/>
    <w:rsid w:val="00BA7508"/>
    <w:rsid w:val="00BB6271"/>
    <w:rsid w:val="00BB7044"/>
    <w:rsid w:val="00BB7CC6"/>
    <w:rsid w:val="00BC2464"/>
    <w:rsid w:val="00BC3305"/>
    <w:rsid w:val="00BC393D"/>
    <w:rsid w:val="00BC59B0"/>
    <w:rsid w:val="00BC59E3"/>
    <w:rsid w:val="00BC6C0D"/>
    <w:rsid w:val="00BC7452"/>
    <w:rsid w:val="00BD0D13"/>
    <w:rsid w:val="00BD13B8"/>
    <w:rsid w:val="00BD1481"/>
    <w:rsid w:val="00BD46DA"/>
    <w:rsid w:val="00BD5311"/>
    <w:rsid w:val="00BE03AF"/>
    <w:rsid w:val="00BE0615"/>
    <w:rsid w:val="00BE06C3"/>
    <w:rsid w:val="00BE0A8A"/>
    <w:rsid w:val="00BE1ACC"/>
    <w:rsid w:val="00BE29B5"/>
    <w:rsid w:val="00BE2A0A"/>
    <w:rsid w:val="00BE2C66"/>
    <w:rsid w:val="00BE353F"/>
    <w:rsid w:val="00BE5BDC"/>
    <w:rsid w:val="00BF183B"/>
    <w:rsid w:val="00BF1949"/>
    <w:rsid w:val="00BF223A"/>
    <w:rsid w:val="00BF2647"/>
    <w:rsid w:val="00C002D5"/>
    <w:rsid w:val="00C013D9"/>
    <w:rsid w:val="00C016D4"/>
    <w:rsid w:val="00C02DE1"/>
    <w:rsid w:val="00C05810"/>
    <w:rsid w:val="00C058E6"/>
    <w:rsid w:val="00C111C0"/>
    <w:rsid w:val="00C12A05"/>
    <w:rsid w:val="00C15251"/>
    <w:rsid w:val="00C152C1"/>
    <w:rsid w:val="00C15429"/>
    <w:rsid w:val="00C15504"/>
    <w:rsid w:val="00C205E2"/>
    <w:rsid w:val="00C20912"/>
    <w:rsid w:val="00C21F09"/>
    <w:rsid w:val="00C27A48"/>
    <w:rsid w:val="00C30D8F"/>
    <w:rsid w:val="00C311D0"/>
    <w:rsid w:val="00C3329C"/>
    <w:rsid w:val="00C3519A"/>
    <w:rsid w:val="00C369BC"/>
    <w:rsid w:val="00C369EF"/>
    <w:rsid w:val="00C378C9"/>
    <w:rsid w:val="00C411A1"/>
    <w:rsid w:val="00C41D47"/>
    <w:rsid w:val="00C44B77"/>
    <w:rsid w:val="00C4787B"/>
    <w:rsid w:val="00C505B7"/>
    <w:rsid w:val="00C53DF5"/>
    <w:rsid w:val="00C54307"/>
    <w:rsid w:val="00C54592"/>
    <w:rsid w:val="00C57080"/>
    <w:rsid w:val="00C609BD"/>
    <w:rsid w:val="00C62266"/>
    <w:rsid w:val="00C634B8"/>
    <w:rsid w:val="00C634D4"/>
    <w:rsid w:val="00C636C7"/>
    <w:rsid w:val="00C677CE"/>
    <w:rsid w:val="00C71654"/>
    <w:rsid w:val="00C7183D"/>
    <w:rsid w:val="00C74FCE"/>
    <w:rsid w:val="00C77D17"/>
    <w:rsid w:val="00C80A2D"/>
    <w:rsid w:val="00C86B27"/>
    <w:rsid w:val="00C95311"/>
    <w:rsid w:val="00C96B43"/>
    <w:rsid w:val="00CA1611"/>
    <w:rsid w:val="00CA3A5D"/>
    <w:rsid w:val="00CA4036"/>
    <w:rsid w:val="00CA69CB"/>
    <w:rsid w:val="00CA7092"/>
    <w:rsid w:val="00CA7D57"/>
    <w:rsid w:val="00CA7FE5"/>
    <w:rsid w:val="00CB004C"/>
    <w:rsid w:val="00CB02F3"/>
    <w:rsid w:val="00CB261B"/>
    <w:rsid w:val="00CB2D64"/>
    <w:rsid w:val="00CB3D58"/>
    <w:rsid w:val="00CB6598"/>
    <w:rsid w:val="00CB77E9"/>
    <w:rsid w:val="00CC05A8"/>
    <w:rsid w:val="00CD03C1"/>
    <w:rsid w:val="00CD053B"/>
    <w:rsid w:val="00CD178B"/>
    <w:rsid w:val="00CD1F54"/>
    <w:rsid w:val="00CD304A"/>
    <w:rsid w:val="00CE00E7"/>
    <w:rsid w:val="00CE12A2"/>
    <w:rsid w:val="00CE252E"/>
    <w:rsid w:val="00CE3DAD"/>
    <w:rsid w:val="00CF1B44"/>
    <w:rsid w:val="00CF4448"/>
    <w:rsid w:val="00CF56AD"/>
    <w:rsid w:val="00CF6F54"/>
    <w:rsid w:val="00CF7240"/>
    <w:rsid w:val="00D00ADB"/>
    <w:rsid w:val="00D00E76"/>
    <w:rsid w:val="00D02D46"/>
    <w:rsid w:val="00D0530F"/>
    <w:rsid w:val="00D05B94"/>
    <w:rsid w:val="00D068DC"/>
    <w:rsid w:val="00D07CD2"/>
    <w:rsid w:val="00D07DFF"/>
    <w:rsid w:val="00D10AE0"/>
    <w:rsid w:val="00D11415"/>
    <w:rsid w:val="00D12ED2"/>
    <w:rsid w:val="00D15CC7"/>
    <w:rsid w:val="00D16F65"/>
    <w:rsid w:val="00D200B3"/>
    <w:rsid w:val="00D22C28"/>
    <w:rsid w:val="00D235AA"/>
    <w:rsid w:val="00D23804"/>
    <w:rsid w:val="00D27D28"/>
    <w:rsid w:val="00D341AD"/>
    <w:rsid w:val="00D346A3"/>
    <w:rsid w:val="00D364A0"/>
    <w:rsid w:val="00D43E81"/>
    <w:rsid w:val="00D466AA"/>
    <w:rsid w:val="00D46F50"/>
    <w:rsid w:val="00D5363B"/>
    <w:rsid w:val="00D53888"/>
    <w:rsid w:val="00D54BDF"/>
    <w:rsid w:val="00D57C05"/>
    <w:rsid w:val="00D61CD6"/>
    <w:rsid w:val="00D62661"/>
    <w:rsid w:val="00D63164"/>
    <w:rsid w:val="00D650F5"/>
    <w:rsid w:val="00D67B1C"/>
    <w:rsid w:val="00D7152D"/>
    <w:rsid w:val="00D71D63"/>
    <w:rsid w:val="00D7226B"/>
    <w:rsid w:val="00D74539"/>
    <w:rsid w:val="00D747DC"/>
    <w:rsid w:val="00D7562B"/>
    <w:rsid w:val="00D778DB"/>
    <w:rsid w:val="00D82768"/>
    <w:rsid w:val="00D900F5"/>
    <w:rsid w:val="00D930A7"/>
    <w:rsid w:val="00D93D6C"/>
    <w:rsid w:val="00D93EBD"/>
    <w:rsid w:val="00D96A4A"/>
    <w:rsid w:val="00DA0E49"/>
    <w:rsid w:val="00DA5627"/>
    <w:rsid w:val="00DB06F7"/>
    <w:rsid w:val="00DB0B5E"/>
    <w:rsid w:val="00DB1992"/>
    <w:rsid w:val="00DC00E0"/>
    <w:rsid w:val="00DC3E1F"/>
    <w:rsid w:val="00DD2A0C"/>
    <w:rsid w:val="00DD30AB"/>
    <w:rsid w:val="00DD4943"/>
    <w:rsid w:val="00DD5662"/>
    <w:rsid w:val="00DD5EA3"/>
    <w:rsid w:val="00DD673C"/>
    <w:rsid w:val="00DE01CA"/>
    <w:rsid w:val="00DE2B29"/>
    <w:rsid w:val="00DE2C13"/>
    <w:rsid w:val="00DE4AC4"/>
    <w:rsid w:val="00DE65E4"/>
    <w:rsid w:val="00DE7305"/>
    <w:rsid w:val="00DE7523"/>
    <w:rsid w:val="00DE7CF2"/>
    <w:rsid w:val="00DF0B79"/>
    <w:rsid w:val="00DF0BA4"/>
    <w:rsid w:val="00DF1E84"/>
    <w:rsid w:val="00DF4232"/>
    <w:rsid w:val="00E00579"/>
    <w:rsid w:val="00E04F3E"/>
    <w:rsid w:val="00E062EA"/>
    <w:rsid w:val="00E0676A"/>
    <w:rsid w:val="00E06907"/>
    <w:rsid w:val="00E15E39"/>
    <w:rsid w:val="00E23982"/>
    <w:rsid w:val="00E242DF"/>
    <w:rsid w:val="00E25DAD"/>
    <w:rsid w:val="00E264C7"/>
    <w:rsid w:val="00E26FAA"/>
    <w:rsid w:val="00E30E9C"/>
    <w:rsid w:val="00E37C25"/>
    <w:rsid w:val="00E408A0"/>
    <w:rsid w:val="00E4259E"/>
    <w:rsid w:val="00E42FAA"/>
    <w:rsid w:val="00E43C72"/>
    <w:rsid w:val="00E4517F"/>
    <w:rsid w:val="00E4594F"/>
    <w:rsid w:val="00E46F20"/>
    <w:rsid w:val="00E50C1E"/>
    <w:rsid w:val="00E523EA"/>
    <w:rsid w:val="00E52748"/>
    <w:rsid w:val="00E57889"/>
    <w:rsid w:val="00E6211A"/>
    <w:rsid w:val="00E634A3"/>
    <w:rsid w:val="00E6485B"/>
    <w:rsid w:val="00E653C8"/>
    <w:rsid w:val="00E708BB"/>
    <w:rsid w:val="00E71944"/>
    <w:rsid w:val="00E76D50"/>
    <w:rsid w:val="00E779BE"/>
    <w:rsid w:val="00E80707"/>
    <w:rsid w:val="00E82F75"/>
    <w:rsid w:val="00E85103"/>
    <w:rsid w:val="00E86E7A"/>
    <w:rsid w:val="00E87883"/>
    <w:rsid w:val="00E878DC"/>
    <w:rsid w:val="00E94DCC"/>
    <w:rsid w:val="00EA1844"/>
    <w:rsid w:val="00EA4049"/>
    <w:rsid w:val="00EA5442"/>
    <w:rsid w:val="00EB08AB"/>
    <w:rsid w:val="00EB126D"/>
    <w:rsid w:val="00EB211D"/>
    <w:rsid w:val="00EB27A1"/>
    <w:rsid w:val="00EB5AFA"/>
    <w:rsid w:val="00EB68A4"/>
    <w:rsid w:val="00EC0DFA"/>
    <w:rsid w:val="00EC18BE"/>
    <w:rsid w:val="00EC27D7"/>
    <w:rsid w:val="00EC63C9"/>
    <w:rsid w:val="00EC63FE"/>
    <w:rsid w:val="00EC783F"/>
    <w:rsid w:val="00ED0754"/>
    <w:rsid w:val="00ED4BBC"/>
    <w:rsid w:val="00EE0A8C"/>
    <w:rsid w:val="00EE1FEF"/>
    <w:rsid w:val="00EE23AB"/>
    <w:rsid w:val="00EE66B7"/>
    <w:rsid w:val="00EE6BEF"/>
    <w:rsid w:val="00EE6D55"/>
    <w:rsid w:val="00EE70E6"/>
    <w:rsid w:val="00EF44B9"/>
    <w:rsid w:val="00EF466A"/>
    <w:rsid w:val="00EF68D9"/>
    <w:rsid w:val="00F00C4D"/>
    <w:rsid w:val="00F0110F"/>
    <w:rsid w:val="00F01B8D"/>
    <w:rsid w:val="00F01FF5"/>
    <w:rsid w:val="00F042E5"/>
    <w:rsid w:val="00F04DC0"/>
    <w:rsid w:val="00F07B82"/>
    <w:rsid w:val="00F128C1"/>
    <w:rsid w:val="00F12C1D"/>
    <w:rsid w:val="00F13ECC"/>
    <w:rsid w:val="00F14EE2"/>
    <w:rsid w:val="00F15D94"/>
    <w:rsid w:val="00F15ED2"/>
    <w:rsid w:val="00F21337"/>
    <w:rsid w:val="00F214EA"/>
    <w:rsid w:val="00F2319E"/>
    <w:rsid w:val="00F24E25"/>
    <w:rsid w:val="00F26C25"/>
    <w:rsid w:val="00F27A35"/>
    <w:rsid w:val="00F332B8"/>
    <w:rsid w:val="00F335D8"/>
    <w:rsid w:val="00F33A73"/>
    <w:rsid w:val="00F40BAD"/>
    <w:rsid w:val="00F41625"/>
    <w:rsid w:val="00F4232C"/>
    <w:rsid w:val="00F438DF"/>
    <w:rsid w:val="00F50086"/>
    <w:rsid w:val="00F50A5B"/>
    <w:rsid w:val="00F60CDE"/>
    <w:rsid w:val="00F6300C"/>
    <w:rsid w:val="00F64093"/>
    <w:rsid w:val="00F64FA3"/>
    <w:rsid w:val="00F65F52"/>
    <w:rsid w:val="00F72080"/>
    <w:rsid w:val="00F74147"/>
    <w:rsid w:val="00F7736B"/>
    <w:rsid w:val="00F821EA"/>
    <w:rsid w:val="00F82943"/>
    <w:rsid w:val="00F82B98"/>
    <w:rsid w:val="00F87AA9"/>
    <w:rsid w:val="00F90AED"/>
    <w:rsid w:val="00F9505D"/>
    <w:rsid w:val="00F957AF"/>
    <w:rsid w:val="00F962FB"/>
    <w:rsid w:val="00FA0CC8"/>
    <w:rsid w:val="00FA5A6B"/>
    <w:rsid w:val="00FA6A9A"/>
    <w:rsid w:val="00FB1BB9"/>
    <w:rsid w:val="00FB1CDC"/>
    <w:rsid w:val="00FB2964"/>
    <w:rsid w:val="00FB3A87"/>
    <w:rsid w:val="00FB3E48"/>
    <w:rsid w:val="00FB4806"/>
    <w:rsid w:val="00FB6873"/>
    <w:rsid w:val="00FC136C"/>
    <w:rsid w:val="00FC25CC"/>
    <w:rsid w:val="00FC67D7"/>
    <w:rsid w:val="00FC7987"/>
    <w:rsid w:val="00FD01A1"/>
    <w:rsid w:val="00FD1CE5"/>
    <w:rsid w:val="00FD1D80"/>
    <w:rsid w:val="00FD3F09"/>
    <w:rsid w:val="00FD54CA"/>
    <w:rsid w:val="00FE489A"/>
    <w:rsid w:val="00FE4B80"/>
    <w:rsid w:val="00FE73E5"/>
    <w:rsid w:val="00FF069F"/>
    <w:rsid w:val="00FF1886"/>
    <w:rsid w:val="00FF315B"/>
    <w:rsid w:val="00FF321A"/>
    <w:rsid w:val="00FF3E32"/>
    <w:rsid w:val="00FF59C7"/>
    <w:rsid w:val="00FF6F6E"/>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46CF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BF8"/>
    <w:pPr>
      <w:spacing w:after="120" w:line="276" w:lineRule="auto"/>
    </w:pPr>
    <w:rPr>
      <w:rFonts w:eastAsia="Times New Roman" w:cs="Mangal"/>
      <w:szCs w:val="24"/>
      <w:lang w:eastAsia="ja-JP" w:bidi="hi-IN"/>
    </w:rPr>
  </w:style>
  <w:style w:type="paragraph" w:styleId="Heading1">
    <w:name w:val="heading 1"/>
    <w:basedOn w:val="Normal"/>
    <w:next w:val="Normal"/>
    <w:link w:val="Heading1Char"/>
    <w:uiPriority w:val="9"/>
    <w:unhideWhenUsed/>
    <w:rsid w:val="000239C8"/>
    <w:pPr>
      <w:keepNext/>
      <w:keepLines/>
      <w:spacing w:before="240" w:after="0"/>
      <w:outlineLvl w:val="0"/>
    </w:pPr>
    <w:rPr>
      <w:rFonts w:asciiTheme="majorHAnsi" w:eastAsiaTheme="majorEastAsia" w:hAnsiTheme="majorHAnsi"/>
      <w:color w:val="A31E1C" w:themeColor="accent1" w:themeShade="BF"/>
      <w:sz w:val="32"/>
      <w:szCs w:val="29"/>
    </w:rPr>
  </w:style>
  <w:style w:type="paragraph" w:styleId="Heading2">
    <w:name w:val="heading 2"/>
    <w:basedOn w:val="Normal"/>
    <w:next w:val="Normal"/>
    <w:link w:val="Heading2Char"/>
    <w:uiPriority w:val="9"/>
    <w:semiHidden/>
    <w:unhideWhenUsed/>
    <w:rsid w:val="000239C8"/>
    <w:pPr>
      <w:keepNext/>
      <w:keepLines/>
      <w:spacing w:before="40" w:after="0"/>
      <w:outlineLvl w:val="1"/>
    </w:pPr>
    <w:rPr>
      <w:rFonts w:asciiTheme="majorHAnsi" w:eastAsiaTheme="majorEastAsia" w:hAnsiTheme="majorHAnsi"/>
      <w:color w:val="A31E1C" w:themeColor="accent1" w:themeShade="BF"/>
      <w:sz w:val="26"/>
      <w:szCs w:val="23"/>
    </w:rPr>
  </w:style>
  <w:style w:type="paragraph" w:styleId="Heading3">
    <w:name w:val="heading 3"/>
    <w:basedOn w:val="Normal"/>
    <w:next w:val="Normal"/>
    <w:link w:val="Heading3Char"/>
    <w:uiPriority w:val="9"/>
    <w:semiHidden/>
    <w:unhideWhenUsed/>
    <w:qFormat/>
    <w:rsid w:val="00FE73E5"/>
    <w:pPr>
      <w:keepNext/>
      <w:keepLines/>
      <w:spacing w:before="40" w:after="0"/>
      <w:outlineLvl w:val="2"/>
    </w:pPr>
    <w:rPr>
      <w:rFonts w:asciiTheme="majorHAnsi" w:eastAsiaTheme="majorEastAsia" w:hAnsiTheme="majorHAnsi"/>
      <w:color w:val="6C1412"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39C8"/>
    <w:pPr>
      <w:tabs>
        <w:tab w:val="center" w:pos="4153"/>
        <w:tab w:val="right" w:pos="8306"/>
      </w:tabs>
    </w:pPr>
  </w:style>
  <w:style w:type="character" w:customStyle="1" w:styleId="HeaderChar">
    <w:name w:val="Header Char"/>
    <w:basedOn w:val="DefaultParagraphFont"/>
    <w:link w:val="Header"/>
    <w:uiPriority w:val="99"/>
    <w:rsid w:val="000239C8"/>
    <w:rPr>
      <w:rFonts w:eastAsia="Times New Roman" w:cs="Mangal"/>
      <w:szCs w:val="24"/>
      <w:lang w:val="en-GB" w:eastAsia="en-GB" w:bidi="hi-IN"/>
    </w:rPr>
  </w:style>
  <w:style w:type="paragraph" w:styleId="Footer">
    <w:name w:val="footer"/>
    <w:basedOn w:val="Normal"/>
    <w:link w:val="FooterChar"/>
    <w:uiPriority w:val="99"/>
    <w:rsid w:val="000239C8"/>
    <w:pPr>
      <w:tabs>
        <w:tab w:val="center" w:pos="4153"/>
        <w:tab w:val="right" w:pos="8306"/>
      </w:tabs>
      <w:spacing w:after="0"/>
    </w:pPr>
  </w:style>
  <w:style w:type="character" w:customStyle="1" w:styleId="FooterChar">
    <w:name w:val="Footer Char"/>
    <w:basedOn w:val="DefaultParagraphFont"/>
    <w:link w:val="Footer"/>
    <w:uiPriority w:val="99"/>
    <w:rsid w:val="000239C8"/>
    <w:rPr>
      <w:rFonts w:eastAsia="Times New Roman" w:cs="Mangal"/>
      <w:szCs w:val="24"/>
      <w:lang w:val="en-GB" w:eastAsia="en-GB" w:bidi="hi-IN"/>
    </w:rPr>
  </w:style>
  <w:style w:type="paragraph" w:styleId="TOC1">
    <w:name w:val="toc 1"/>
    <w:basedOn w:val="Normal"/>
    <w:next w:val="Normal"/>
    <w:autoRedefine/>
    <w:uiPriority w:val="39"/>
    <w:rsid w:val="009448C8"/>
    <w:pPr>
      <w:tabs>
        <w:tab w:val="left" w:pos="440"/>
        <w:tab w:val="right" w:leader="dot" w:pos="9016"/>
      </w:tabs>
    </w:pPr>
    <w:rPr>
      <w:b/>
      <w:noProof/>
      <w:color w:val="DA2926" w:themeColor="accent1"/>
      <w:lang w:eastAsia="en-US"/>
    </w:rPr>
  </w:style>
  <w:style w:type="paragraph" w:styleId="TOC2">
    <w:name w:val="toc 2"/>
    <w:basedOn w:val="Normal"/>
    <w:next w:val="Normal"/>
    <w:autoRedefine/>
    <w:uiPriority w:val="39"/>
    <w:rsid w:val="000239C8"/>
    <w:pPr>
      <w:ind w:left="220"/>
    </w:pPr>
    <w:rPr>
      <w:sz w:val="20"/>
    </w:rPr>
  </w:style>
  <w:style w:type="paragraph" w:styleId="Title">
    <w:name w:val="Title"/>
    <w:basedOn w:val="Normal"/>
    <w:next w:val="Normal"/>
    <w:link w:val="TitleChar"/>
    <w:uiPriority w:val="10"/>
    <w:qFormat/>
    <w:rsid w:val="007669E5"/>
    <w:pPr>
      <w:spacing w:after="0"/>
      <w:contextualSpacing/>
      <w:outlineLvl w:val="0"/>
    </w:pPr>
    <w:rPr>
      <w:rFonts w:ascii="Calibri" w:eastAsiaTheme="majorEastAsia" w:hAnsi="Calibri" w:cs="Arial"/>
      <w:b/>
      <w:color w:val="DA291C"/>
      <w:spacing w:val="-10"/>
      <w:sz w:val="32"/>
      <w:szCs w:val="56"/>
      <w:lang w:bidi="ar-SA"/>
    </w:rPr>
  </w:style>
  <w:style w:type="character" w:customStyle="1" w:styleId="TitleChar">
    <w:name w:val="Title Char"/>
    <w:basedOn w:val="DefaultParagraphFont"/>
    <w:link w:val="Title"/>
    <w:uiPriority w:val="10"/>
    <w:rsid w:val="007669E5"/>
    <w:rPr>
      <w:rFonts w:ascii="Calibri" w:eastAsiaTheme="majorEastAsia" w:hAnsi="Calibri" w:cs="Arial"/>
      <w:b/>
      <w:color w:val="DA291C"/>
      <w:spacing w:val="-10"/>
      <w:sz w:val="32"/>
      <w:szCs w:val="56"/>
      <w:lang w:eastAsia="ja-JP"/>
    </w:rPr>
  </w:style>
  <w:style w:type="table" w:customStyle="1" w:styleId="ReportTable">
    <w:name w:val="Report Table"/>
    <w:basedOn w:val="TableGrid"/>
    <w:uiPriority w:val="99"/>
    <w:rsid w:val="000239C8"/>
    <w:rPr>
      <w:rFonts w:eastAsia="HGMinchoB"/>
      <w:sz w:val="20"/>
      <w:szCs w:val="20"/>
      <w:lang w:val="en-US" w:eastAsia="ja-JP"/>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b/>
        <w:color w:val="FFFFFF"/>
        <w:sz w:val="20"/>
      </w:rPr>
      <w:tblPr/>
      <w:tcPr>
        <w:shd w:val="clear" w:color="auto" w:fill="DA291C"/>
      </w:tcPr>
    </w:tblStylePr>
    <w:tblStylePr w:type="band1Horz">
      <w:tblPr/>
      <w:tcPr>
        <w:tcBorders>
          <w:insideV w:val="nil"/>
        </w:tcBorders>
        <w:shd w:val="clear" w:color="auto" w:fill="FFFFFF"/>
      </w:tcPr>
    </w:tblStylePr>
    <w:tblStylePr w:type="band2Horz">
      <w:rPr>
        <w:rFonts w:ascii="Arial" w:hAnsi="Arial"/>
        <w:sz w:val="20"/>
      </w:rPr>
      <w:tblPr/>
      <w:tcPr>
        <w:tcBorders>
          <w:insideH w:val="nil"/>
          <w:insideV w:val="nil"/>
        </w:tcBorders>
        <w:shd w:val="clear" w:color="auto" w:fill="F2F2F2"/>
      </w:tcPr>
    </w:tblStylePr>
  </w:style>
  <w:style w:type="paragraph" w:customStyle="1" w:styleId="Level2Heading">
    <w:name w:val="Level 2 Heading"/>
    <w:basedOn w:val="Non-numberedLevel1heading"/>
    <w:next w:val="Normal"/>
    <w:link w:val="Level2HeadingChar"/>
    <w:qFormat/>
    <w:rsid w:val="001E7D28"/>
    <w:pPr>
      <w:numPr>
        <w:ilvl w:val="1"/>
        <w:numId w:val="3"/>
      </w:numPr>
      <w:spacing w:before="120"/>
    </w:pPr>
    <w:rPr>
      <w:rFonts w:asciiTheme="minorHAnsi" w:hAnsiTheme="minorHAnsi"/>
      <w:color w:val="404040" w:themeColor="text1" w:themeTint="BF"/>
      <w:kern w:val="28"/>
      <w:sz w:val="24"/>
    </w:rPr>
  </w:style>
  <w:style w:type="paragraph" w:customStyle="1" w:styleId="Non-numberedLevel1heading">
    <w:name w:val="Non-numbered Level 1 heading"/>
    <w:basedOn w:val="Normal"/>
    <w:next w:val="Normal"/>
    <w:link w:val="Non-numberedLevel1headingChar"/>
    <w:qFormat/>
    <w:rsid w:val="007669E5"/>
    <w:pPr>
      <w:spacing w:before="320"/>
      <w:ind w:left="360" w:hanging="360"/>
    </w:pPr>
    <w:rPr>
      <w:rFonts w:ascii="Calibri" w:hAnsi="Calibri" w:cs="Arial"/>
      <w:b/>
      <w:color w:val="DA291C"/>
      <w:spacing w:val="-10"/>
      <w:sz w:val="32"/>
      <w:szCs w:val="32"/>
      <w:lang w:bidi="ar-SA"/>
    </w:rPr>
  </w:style>
  <w:style w:type="character" w:customStyle="1" w:styleId="Non-numberedLevel1headingChar">
    <w:name w:val="Non-numbered Level 1 heading Char"/>
    <w:basedOn w:val="TitleChar"/>
    <w:link w:val="Non-numberedLevel1heading"/>
    <w:rsid w:val="007669E5"/>
    <w:rPr>
      <w:rFonts w:ascii="Calibri" w:eastAsia="Times New Roman" w:hAnsi="Calibri" w:cs="Arial"/>
      <w:b/>
      <w:color w:val="DA291C"/>
      <w:spacing w:val="-10"/>
      <w:sz w:val="32"/>
      <w:szCs w:val="32"/>
      <w:lang w:eastAsia="ja-JP"/>
    </w:rPr>
  </w:style>
  <w:style w:type="character" w:customStyle="1" w:styleId="Level2HeadingChar">
    <w:name w:val="Level 2 Heading Char"/>
    <w:basedOn w:val="Heading1Char"/>
    <w:link w:val="Level2Heading"/>
    <w:rsid w:val="001E7D28"/>
    <w:rPr>
      <w:rFonts w:asciiTheme="majorHAnsi" w:eastAsia="Times New Roman" w:hAnsiTheme="majorHAnsi" w:cs="Arial"/>
      <w:b/>
      <w:color w:val="404040" w:themeColor="text1" w:themeTint="BF"/>
      <w:spacing w:val="-10"/>
      <w:kern w:val="28"/>
      <w:sz w:val="24"/>
      <w:szCs w:val="32"/>
      <w:lang w:val="en-AU" w:eastAsia="ja-JP" w:bidi="hi-IN"/>
    </w:rPr>
  </w:style>
  <w:style w:type="paragraph" w:customStyle="1" w:styleId="NumberedTitle">
    <w:name w:val="Numbered Title"/>
    <w:basedOn w:val="Non-numberedLevel1heading"/>
    <w:next w:val="Normal"/>
    <w:link w:val="NumberedTitleChar"/>
    <w:rsid w:val="006045B6"/>
    <w:pPr>
      <w:numPr>
        <w:numId w:val="1"/>
      </w:numPr>
    </w:pPr>
  </w:style>
  <w:style w:type="character" w:customStyle="1" w:styleId="NumberedTitleChar">
    <w:name w:val="Numbered Title Char"/>
    <w:basedOn w:val="TitleChar"/>
    <w:link w:val="NumberedTitle"/>
    <w:rsid w:val="009343ED"/>
    <w:rPr>
      <w:rFonts w:ascii="Calibri" w:eastAsia="Times New Roman" w:hAnsi="Calibri" w:cs="Arial"/>
      <w:b/>
      <w:color w:val="DA291C"/>
      <w:spacing w:val="-10"/>
      <w:sz w:val="32"/>
      <w:szCs w:val="32"/>
      <w:lang w:eastAsia="ja-JP"/>
    </w:rPr>
  </w:style>
  <w:style w:type="table" w:styleId="TableGrid">
    <w:name w:val="Table Grid"/>
    <w:basedOn w:val="TableNormal"/>
    <w:uiPriority w:val="39"/>
    <w:rsid w:val="00023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239C8"/>
    <w:rPr>
      <w:rFonts w:asciiTheme="majorHAnsi" w:eastAsiaTheme="majorEastAsia" w:hAnsiTheme="majorHAnsi" w:cs="Mangal"/>
      <w:color w:val="A31E1C" w:themeColor="accent1" w:themeShade="BF"/>
      <w:sz w:val="26"/>
      <w:szCs w:val="23"/>
      <w:lang w:val="en-GB" w:eastAsia="en-GB" w:bidi="hi-IN"/>
    </w:rPr>
  </w:style>
  <w:style w:type="character" w:customStyle="1" w:styleId="Heading1Char">
    <w:name w:val="Heading 1 Char"/>
    <w:basedOn w:val="DefaultParagraphFont"/>
    <w:link w:val="Heading1"/>
    <w:uiPriority w:val="9"/>
    <w:rsid w:val="000D072B"/>
    <w:rPr>
      <w:rFonts w:asciiTheme="majorHAnsi" w:eastAsiaTheme="majorEastAsia" w:hAnsiTheme="majorHAnsi" w:cs="Mangal"/>
      <w:color w:val="A31E1C" w:themeColor="accent1" w:themeShade="BF"/>
      <w:sz w:val="32"/>
      <w:szCs w:val="29"/>
      <w:lang w:val="en-AU" w:eastAsia="ja-JP" w:bidi="hi-IN"/>
    </w:rPr>
  </w:style>
  <w:style w:type="paragraph" w:styleId="ListParagraph">
    <w:name w:val="List Paragraph"/>
    <w:aliases w:val="Lists or bullet,List Paragraph1,List Paragraph11,L,Recommendation,CV text,Table text,Colorful List - Accent 11,COOP,Primary Bullet List,List Paragraph (numbered (a)),MCHIP_list paragraph,Bullet List,FooterText,F5 List Paragraph,Dot pt"/>
    <w:basedOn w:val="Normal"/>
    <w:next w:val="Normal"/>
    <w:link w:val="ListParagraphChar"/>
    <w:uiPriority w:val="34"/>
    <w:qFormat/>
    <w:rsid w:val="006045B6"/>
    <w:pPr>
      <w:numPr>
        <w:numId w:val="2"/>
      </w:numPr>
      <w:spacing w:after="60"/>
    </w:pPr>
    <w:rPr>
      <w:rFonts w:eastAsiaTheme="minorEastAsia" w:cstheme="minorBidi"/>
      <w:lang w:val="en-US" w:eastAsia="en-US" w:bidi="ar-SA"/>
    </w:rPr>
  </w:style>
  <w:style w:type="paragraph" w:styleId="BodyText">
    <w:name w:val="Body Text"/>
    <w:basedOn w:val="Normal"/>
    <w:link w:val="BodyTextChar"/>
    <w:unhideWhenUsed/>
    <w:rsid w:val="00C95311"/>
    <w:pPr>
      <w:keepNext/>
      <w:keepLines/>
      <w:spacing w:before="120" w:after="0"/>
    </w:pPr>
    <w:rPr>
      <w:rFonts w:asciiTheme="majorHAnsi" w:eastAsiaTheme="minorEastAsia" w:hAnsiTheme="majorHAnsi" w:cs="Times New Roman"/>
      <w:szCs w:val="20"/>
      <w:lang w:bidi="ar-SA"/>
    </w:rPr>
  </w:style>
  <w:style w:type="character" w:customStyle="1" w:styleId="BodyTextChar">
    <w:name w:val="Body Text Char"/>
    <w:basedOn w:val="DefaultParagraphFont"/>
    <w:link w:val="BodyText"/>
    <w:rsid w:val="00C95311"/>
    <w:rPr>
      <w:rFonts w:asciiTheme="majorHAnsi" w:eastAsiaTheme="minorEastAsia" w:hAnsiTheme="majorHAnsi" w:cs="Times New Roman"/>
      <w:szCs w:val="20"/>
      <w:lang w:val="en-AU" w:eastAsia="ja-JP"/>
    </w:rPr>
  </w:style>
  <w:style w:type="character" w:customStyle="1" w:styleId="ListParagraphChar">
    <w:name w:val="List Paragraph Char"/>
    <w:aliases w:val="Lists or bullet Char,List Paragraph1 Char,List Paragraph11 Char,L Char,Recommendation Char,CV text Char,Table text Char,Colorful List - Accent 11 Char,COOP Char,Primary Bullet List Char,List Paragraph (numbered (a)) Char,Dot pt Char"/>
    <w:basedOn w:val="DefaultParagraphFont"/>
    <w:link w:val="ListParagraph"/>
    <w:uiPriority w:val="34"/>
    <w:qFormat/>
    <w:rsid w:val="009343ED"/>
    <w:rPr>
      <w:rFonts w:eastAsiaTheme="minorEastAsia"/>
      <w:szCs w:val="24"/>
      <w:lang w:val="en-US"/>
    </w:rPr>
  </w:style>
  <w:style w:type="paragraph" w:styleId="TOCHeading">
    <w:name w:val="TOC Heading"/>
    <w:basedOn w:val="Heading1"/>
    <w:next w:val="Normal"/>
    <w:uiPriority w:val="39"/>
    <w:unhideWhenUsed/>
    <w:qFormat/>
    <w:rsid w:val="00EE6BEF"/>
    <w:pPr>
      <w:spacing w:line="259" w:lineRule="auto"/>
      <w:outlineLvl w:val="9"/>
    </w:pPr>
    <w:rPr>
      <w:rFonts w:cstheme="majorBidi"/>
      <w:szCs w:val="32"/>
      <w:lang w:val="en-US" w:eastAsia="en-US" w:bidi="ar-SA"/>
    </w:rPr>
  </w:style>
  <w:style w:type="character" w:styleId="Hyperlink">
    <w:name w:val="Hyperlink"/>
    <w:basedOn w:val="DefaultParagraphFont"/>
    <w:uiPriority w:val="99"/>
    <w:unhideWhenUsed/>
    <w:rsid w:val="00EE6BEF"/>
    <w:rPr>
      <w:color w:val="2998E3" w:themeColor="hyperlink"/>
      <w:u w:val="single"/>
    </w:rPr>
  </w:style>
  <w:style w:type="paragraph" w:styleId="TOC3">
    <w:name w:val="toc 3"/>
    <w:basedOn w:val="Normal"/>
    <w:next w:val="Normal"/>
    <w:autoRedefine/>
    <w:uiPriority w:val="39"/>
    <w:unhideWhenUsed/>
    <w:rsid w:val="009448C8"/>
    <w:pPr>
      <w:tabs>
        <w:tab w:val="left" w:pos="1100"/>
        <w:tab w:val="right" w:leader="dot" w:pos="9016"/>
      </w:tabs>
      <w:spacing w:after="100"/>
      <w:ind w:left="440"/>
    </w:pPr>
    <w:rPr>
      <w:noProof/>
      <w:color w:val="DA2926"/>
      <w:lang w:val="en-US"/>
    </w:rPr>
  </w:style>
  <w:style w:type="paragraph" w:styleId="IntenseQuote">
    <w:name w:val="Intense Quote"/>
    <w:basedOn w:val="Normal"/>
    <w:next w:val="Normal"/>
    <w:link w:val="IntenseQuoteChar"/>
    <w:uiPriority w:val="30"/>
    <w:rsid w:val="006E0E9D"/>
    <w:pPr>
      <w:pBdr>
        <w:left w:val="single" w:sz="18" w:space="12" w:color="DA291C"/>
      </w:pBdr>
      <w:spacing w:before="100" w:beforeAutospacing="1" w:line="300" w:lineRule="auto"/>
      <w:ind w:left="1224" w:right="1224"/>
    </w:pPr>
    <w:rPr>
      <w:rFonts w:asciiTheme="majorHAnsi" w:eastAsiaTheme="majorEastAsia" w:hAnsiTheme="majorHAnsi" w:cstheme="majorBidi"/>
      <w:color w:val="000000" w:themeColor="text1"/>
      <w:szCs w:val="28"/>
      <w:lang w:bidi="ar-SA"/>
    </w:rPr>
  </w:style>
  <w:style w:type="character" w:customStyle="1" w:styleId="IntenseQuoteChar">
    <w:name w:val="Intense Quote Char"/>
    <w:basedOn w:val="DefaultParagraphFont"/>
    <w:link w:val="IntenseQuote"/>
    <w:uiPriority w:val="30"/>
    <w:rsid w:val="006E0E9D"/>
    <w:rPr>
      <w:rFonts w:asciiTheme="majorHAnsi" w:eastAsiaTheme="majorEastAsia" w:hAnsiTheme="majorHAnsi" w:cstheme="majorBidi"/>
      <w:color w:val="000000" w:themeColor="text1"/>
      <w:szCs w:val="28"/>
      <w:lang w:val="en-AU" w:eastAsia="ja-JP"/>
    </w:rPr>
  </w:style>
  <w:style w:type="paragraph" w:styleId="Subtitle">
    <w:name w:val="Subtitle"/>
    <w:aliases w:val="Document Title"/>
    <w:basedOn w:val="Normal"/>
    <w:next w:val="Normal"/>
    <w:link w:val="SubtitleChar"/>
    <w:uiPriority w:val="11"/>
    <w:rsid w:val="0067306B"/>
    <w:rPr>
      <w:rFonts w:ascii="Arial" w:eastAsiaTheme="minorEastAsia" w:hAnsi="Arial" w:cs="Arial"/>
      <w:sz w:val="32"/>
      <w:szCs w:val="28"/>
      <w:lang w:bidi="ar-SA"/>
    </w:rPr>
  </w:style>
  <w:style w:type="character" w:customStyle="1" w:styleId="SubtitleChar">
    <w:name w:val="Subtitle Char"/>
    <w:aliases w:val="Document Title Char"/>
    <w:basedOn w:val="DefaultParagraphFont"/>
    <w:link w:val="Subtitle"/>
    <w:uiPriority w:val="11"/>
    <w:rsid w:val="0067306B"/>
    <w:rPr>
      <w:rFonts w:ascii="Arial" w:eastAsiaTheme="minorEastAsia" w:hAnsi="Arial" w:cs="Arial"/>
      <w:sz w:val="32"/>
      <w:szCs w:val="28"/>
      <w:lang w:val="en-AU" w:eastAsia="ja-JP"/>
    </w:rPr>
  </w:style>
  <w:style w:type="character" w:styleId="CommentReference">
    <w:name w:val="annotation reference"/>
    <w:basedOn w:val="DefaultParagraphFont"/>
    <w:uiPriority w:val="99"/>
    <w:semiHidden/>
    <w:unhideWhenUsed/>
    <w:rsid w:val="006E568A"/>
    <w:rPr>
      <w:sz w:val="16"/>
      <w:szCs w:val="16"/>
    </w:rPr>
  </w:style>
  <w:style w:type="paragraph" w:styleId="CommentText">
    <w:name w:val="annotation text"/>
    <w:basedOn w:val="Normal"/>
    <w:link w:val="CommentTextChar"/>
    <w:uiPriority w:val="99"/>
    <w:unhideWhenUsed/>
    <w:rsid w:val="006E568A"/>
    <w:pPr>
      <w:spacing w:line="240" w:lineRule="auto"/>
    </w:pPr>
    <w:rPr>
      <w:sz w:val="20"/>
      <w:szCs w:val="18"/>
    </w:rPr>
  </w:style>
  <w:style w:type="character" w:customStyle="1" w:styleId="CommentTextChar">
    <w:name w:val="Comment Text Char"/>
    <w:basedOn w:val="DefaultParagraphFont"/>
    <w:link w:val="CommentText"/>
    <w:uiPriority w:val="99"/>
    <w:rsid w:val="006E568A"/>
    <w:rPr>
      <w:rFonts w:eastAsia="Times New Roman" w:cs="Mangal"/>
      <w:sz w:val="20"/>
      <w:szCs w:val="18"/>
      <w:lang w:val="en-GB" w:eastAsia="en-GB" w:bidi="hi-IN"/>
    </w:rPr>
  </w:style>
  <w:style w:type="paragraph" w:styleId="CommentSubject">
    <w:name w:val="annotation subject"/>
    <w:basedOn w:val="CommentText"/>
    <w:next w:val="CommentText"/>
    <w:link w:val="CommentSubjectChar"/>
    <w:uiPriority w:val="99"/>
    <w:semiHidden/>
    <w:unhideWhenUsed/>
    <w:rsid w:val="006E568A"/>
    <w:rPr>
      <w:b/>
      <w:bCs/>
    </w:rPr>
  </w:style>
  <w:style w:type="character" w:customStyle="1" w:styleId="CommentSubjectChar">
    <w:name w:val="Comment Subject Char"/>
    <w:basedOn w:val="CommentTextChar"/>
    <w:link w:val="CommentSubject"/>
    <w:uiPriority w:val="99"/>
    <w:semiHidden/>
    <w:rsid w:val="006E568A"/>
    <w:rPr>
      <w:rFonts w:eastAsia="Times New Roman" w:cs="Mangal"/>
      <w:b/>
      <w:bCs/>
      <w:sz w:val="20"/>
      <w:szCs w:val="18"/>
      <w:lang w:val="en-GB" w:eastAsia="en-GB" w:bidi="hi-IN"/>
    </w:rPr>
  </w:style>
  <w:style w:type="paragraph" w:styleId="BalloonText">
    <w:name w:val="Balloon Text"/>
    <w:basedOn w:val="Normal"/>
    <w:link w:val="BalloonTextChar"/>
    <w:uiPriority w:val="99"/>
    <w:semiHidden/>
    <w:unhideWhenUsed/>
    <w:rsid w:val="006E568A"/>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6E568A"/>
    <w:rPr>
      <w:rFonts w:ascii="Segoe UI" w:eastAsia="Times New Roman" w:hAnsi="Segoe UI" w:cs="Mangal"/>
      <w:sz w:val="18"/>
      <w:szCs w:val="16"/>
      <w:lang w:val="en-GB" w:eastAsia="en-GB" w:bidi="hi-IN"/>
    </w:rPr>
  </w:style>
  <w:style w:type="paragraph" w:customStyle="1" w:styleId="redlinetext">
    <w:name w:val="red line text"/>
    <w:basedOn w:val="IntenseQuote"/>
    <w:qFormat/>
    <w:rsid w:val="00504202"/>
    <w:pPr>
      <w:spacing w:before="0" w:beforeAutospacing="0" w:after="60" w:line="276" w:lineRule="auto"/>
      <w:ind w:left="1134" w:right="1225"/>
    </w:pPr>
    <w:rPr>
      <w:rFonts w:asciiTheme="minorHAnsi" w:hAnsiTheme="minorHAnsi"/>
    </w:rPr>
  </w:style>
  <w:style w:type="paragraph" w:customStyle="1" w:styleId="Level4Heading">
    <w:name w:val="Level 4 Heading"/>
    <w:basedOn w:val="Normal"/>
    <w:next w:val="Normal"/>
    <w:link w:val="Level4HeadingChar"/>
    <w:qFormat/>
    <w:rsid w:val="003B47D4"/>
    <w:pPr>
      <w:keepNext/>
      <w:keepLines/>
      <w:spacing w:before="120" w:after="60"/>
      <w:ind w:left="431" w:hanging="431"/>
      <w:outlineLvl w:val="3"/>
    </w:pPr>
    <w:rPr>
      <w:rFonts w:eastAsiaTheme="majorEastAsia" w:cs="Arial"/>
      <w:i/>
      <w:szCs w:val="32"/>
      <w:lang w:bidi="ar-SA"/>
    </w:rPr>
  </w:style>
  <w:style w:type="character" w:customStyle="1" w:styleId="Level4HeadingChar">
    <w:name w:val="Level 4 Heading Char"/>
    <w:basedOn w:val="DefaultParagraphFont"/>
    <w:link w:val="Level4Heading"/>
    <w:rsid w:val="003B47D4"/>
    <w:rPr>
      <w:rFonts w:eastAsiaTheme="majorEastAsia" w:cs="Arial"/>
      <w:i/>
      <w:szCs w:val="32"/>
      <w:lang w:val="en-AU" w:eastAsia="ja-JP"/>
    </w:rPr>
  </w:style>
  <w:style w:type="paragraph" w:styleId="Caption">
    <w:name w:val="caption"/>
    <w:basedOn w:val="Normal"/>
    <w:next w:val="Normal"/>
    <w:uiPriority w:val="35"/>
    <w:unhideWhenUsed/>
    <w:qFormat/>
    <w:rsid w:val="00566C8B"/>
    <w:pPr>
      <w:keepNext/>
      <w:spacing w:after="60"/>
    </w:pPr>
    <w:rPr>
      <w:b/>
      <w:iCs/>
      <w:color w:val="82695E" w:themeColor="background2" w:themeShade="80"/>
      <w:szCs w:val="16"/>
    </w:rPr>
  </w:style>
  <w:style w:type="paragraph" w:customStyle="1" w:styleId="sourceoffigure">
    <w:name w:val="source of figure"/>
    <w:basedOn w:val="Caption"/>
    <w:qFormat/>
    <w:rsid w:val="00F41625"/>
    <w:rPr>
      <w:color w:val="808080" w:themeColor="background1" w:themeShade="80"/>
      <w:sz w:val="20"/>
    </w:rPr>
  </w:style>
  <w:style w:type="paragraph" w:customStyle="1" w:styleId="Acronymtabletext">
    <w:name w:val="Acronym table text"/>
    <w:basedOn w:val="Normal"/>
    <w:link w:val="AcronymtabletextChar"/>
    <w:rsid w:val="00D93D6C"/>
    <w:pPr>
      <w:spacing w:after="0"/>
    </w:pPr>
    <w:rPr>
      <w:rFonts w:eastAsiaTheme="minorEastAsia"/>
      <w:sz w:val="20"/>
      <w:szCs w:val="22"/>
      <w:lang w:eastAsia="en-AU"/>
    </w:rPr>
  </w:style>
  <w:style w:type="paragraph" w:customStyle="1" w:styleId="Level3heading">
    <w:name w:val="Level 3 heading"/>
    <w:basedOn w:val="Level2Heading"/>
    <w:next w:val="Normal"/>
    <w:qFormat/>
    <w:rsid w:val="001E7D28"/>
    <w:pPr>
      <w:numPr>
        <w:ilvl w:val="2"/>
      </w:numPr>
      <w:spacing w:after="60"/>
      <w:outlineLvl w:val="2"/>
    </w:pPr>
    <w:rPr>
      <w:rFonts w:eastAsiaTheme="majorEastAsia"/>
      <w:bCs/>
      <w:color w:val="595959" w:themeColor="text1" w:themeTint="A6"/>
      <w:sz w:val="22"/>
    </w:rPr>
  </w:style>
  <w:style w:type="paragraph" w:customStyle="1" w:styleId="Footertextblack">
    <w:name w:val="Footer text black"/>
    <w:basedOn w:val="Footer"/>
    <w:qFormat/>
    <w:rsid w:val="00F65F52"/>
    <w:pPr>
      <w:pBdr>
        <w:top w:val="single" w:sz="4" w:space="1" w:color="auto"/>
      </w:pBdr>
      <w:tabs>
        <w:tab w:val="right" w:pos="9072"/>
      </w:tabs>
      <w:spacing w:before="180" w:after="120"/>
      <w:jc w:val="both"/>
    </w:pPr>
    <w:rPr>
      <w:sz w:val="18"/>
      <w:szCs w:val="18"/>
    </w:rPr>
  </w:style>
  <w:style w:type="paragraph" w:customStyle="1" w:styleId="Footertextred">
    <w:name w:val="Footer text red"/>
    <w:basedOn w:val="Footer"/>
    <w:qFormat/>
    <w:rsid w:val="00F65F52"/>
    <w:pPr>
      <w:tabs>
        <w:tab w:val="clear" w:pos="4153"/>
        <w:tab w:val="clear" w:pos="8306"/>
        <w:tab w:val="left" w:pos="2400"/>
      </w:tabs>
    </w:pPr>
    <w:rPr>
      <w:color w:val="DA291C"/>
      <w:sz w:val="18"/>
    </w:rPr>
  </w:style>
  <w:style w:type="paragraph" w:customStyle="1" w:styleId="Acronymstabletext">
    <w:name w:val="Acronyms table text"/>
    <w:basedOn w:val="Acronymtabletext"/>
    <w:link w:val="AcronymstabletextChar"/>
    <w:qFormat/>
    <w:rsid w:val="00F65F52"/>
    <w:rPr>
      <w:sz w:val="22"/>
    </w:rPr>
  </w:style>
  <w:style w:type="paragraph" w:customStyle="1" w:styleId="TOCtext">
    <w:name w:val="TOC text"/>
    <w:basedOn w:val="TOC1"/>
    <w:qFormat/>
    <w:rsid w:val="002C6685"/>
    <w:rPr>
      <w:b w:val="0"/>
    </w:rPr>
  </w:style>
  <w:style w:type="paragraph" w:customStyle="1" w:styleId="Disclaimertext">
    <w:name w:val="Disclaimer text"/>
    <w:basedOn w:val="Normal"/>
    <w:qFormat/>
    <w:rsid w:val="0039790A"/>
    <w:rPr>
      <w:rFonts w:eastAsia="HGMinchoB"/>
      <w:i/>
      <w:iCs/>
      <w:sz w:val="18"/>
    </w:rPr>
  </w:style>
  <w:style w:type="paragraph" w:customStyle="1" w:styleId="Coverpagelogotext">
    <w:name w:val="Cover page logo text"/>
    <w:basedOn w:val="Normal"/>
    <w:qFormat/>
    <w:rsid w:val="003E57F7"/>
    <w:pPr>
      <w:spacing w:after="0"/>
      <w:jc w:val="right"/>
    </w:pPr>
    <w:rPr>
      <w:rFonts w:cs="Arial"/>
      <w:i/>
      <w:color w:val="DA291C"/>
      <w:sz w:val="18"/>
    </w:rPr>
  </w:style>
  <w:style w:type="paragraph" w:customStyle="1" w:styleId="figurespictures">
    <w:name w:val="figures/pictures"/>
    <w:basedOn w:val="Normal"/>
    <w:qFormat/>
    <w:rsid w:val="00815960"/>
    <w:pPr>
      <w:framePr w:wrap="notBeside" w:vAnchor="text" w:hAnchor="text" w:y="1"/>
      <w:spacing w:after="0"/>
    </w:pPr>
    <w:rPr>
      <w:noProof/>
      <w:lang w:eastAsia="en-AU" w:bidi="ar-SA"/>
    </w:rPr>
  </w:style>
  <w:style w:type="paragraph" w:customStyle="1" w:styleId="Subheadingtabletextandformat">
    <w:name w:val="Subheading table text and format"/>
    <w:basedOn w:val="Acronymtabletext"/>
    <w:link w:val="SubheadingtabletextandformatChar"/>
    <w:qFormat/>
    <w:rsid w:val="00B81284"/>
    <w:pPr>
      <w:shd w:val="clear" w:color="auto" w:fill="F6B9B4"/>
      <w:spacing w:after="120"/>
    </w:pPr>
    <w:rPr>
      <w:b/>
    </w:rPr>
  </w:style>
  <w:style w:type="paragraph" w:customStyle="1" w:styleId="Coverpagereport">
    <w:name w:val="Cover page report"/>
    <w:basedOn w:val="Normal"/>
    <w:qFormat/>
    <w:rsid w:val="007669E5"/>
    <w:pPr>
      <w:spacing w:after="0"/>
    </w:pPr>
    <w:rPr>
      <w:rFonts w:asciiTheme="majorHAnsi" w:hAnsiTheme="majorHAnsi"/>
      <w:b/>
      <w:sz w:val="36"/>
    </w:rPr>
  </w:style>
  <w:style w:type="paragraph" w:customStyle="1" w:styleId="NumberedLevel1heading">
    <w:name w:val="Numbered Level 1 heading"/>
    <w:basedOn w:val="Normal"/>
    <w:next w:val="Normal"/>
    <w:autoRedefine/>
    <w:qFormat/>
    <w:rsid w:val="00B92A67"/>
    <w:pPr>
      <w:spacing w:before="320" w:after="0"/>
      <w:ind w:left="720" w:hanging="360"/>
      <w:jc w:val="center"/>
      <w:outlineLvl w:val="0"/>
    </w:pPr>
    <w:rPr>
      <w:rFonts w:ascii="Calibri" w:hAnsi="Calibri" w:cs="Arial"/>
      <w:b/>
      <w:color w:val="D5291C"/>
      <w:sz w:val="28"/>
    </w:rPr>
  </w:style>
  <w:style w:type="paragraph" w:customStyle="1" w:styleId="bullet">
    <w:name w:val="bullet"/>
    <w:basedOn w:val="ListParagraph"/>
    <w:qFormat/>
    <w:rsid w:val="00066A57"/>
    <w:pPr>
      <w:numPr>
        <w:numId w:val="4"/>
      </w:numPr>
    </w:pPr>
  </w:style>
  <w:style w:type="paragraph" w:customStyle="1" w:styleId="REQUESTTitle">
    <w:name w:val="REQUEST Title"/>
    <w:basedOn w:val="redlinetext"/>
    <w:next w:val="redlinetext"/>
    <w:qFormat/>
    <w:rsid w:val="00504202"/>
    <w:rPr>
      <w:rFonts w:asciiTheme="majorHAnsi" w:hAnsiTheme="majorHAnsi" w:cs="Arial"/>
      <w:b/>
      <w:color w:val="DA291C"/>
      <w:sz w:val="28"/>
      <w:lang w:bidi="hi-IN"/>
    </w:rPr>
  </w:style>
  <w:style w:type="paragraph" w:customStyle="1" w:styleId="Acronymstext">
    <w:name w:val="Acronyms text"/>
    <w:basedOn w:val="Acronymtabletext"/>
    <w:link w:val="AcronymstextChar"/>
    <w:rsid w:val="00066A57"/>
    <w:rPr>
      <w:rFonts w:ascii="Arial" w:hAnsi="Arial"/>
      <w:lang w:val="en-US"/>
    </w:rPr>
  </w:style>
  <w:style w:type="paragraph" w:styleId="TableofFigures">
    <w:name w:val="table of figures"/>
    <w:basedOn w:val="Normal"/>
    <w:next w:val="Normal"/>
    <w:uiPriority w:val="99"/>
    <w:unhideWhenUsed/>
    <w:rsid w:val="0073382F"/>
    <w:pPr>
      <w:spacing w:after="0"/>
    </w:pPr>
  </w:style>
  <w:style w:type="character" w:customStyle="1" w:styleId="AcronymtabletextChar">
    <w:name w:val="Acronym table text Char"/>
    <w:basedOn w:val="DefaultParagraphFont"/>
    <w:link w:val="Acronymtabletext"/>
    <w:rsid w:val="00066A57"/>
    <w:rPr>
      <w:rFonts w:eastAsiaTheme="minorEastAsia" w:cs="Mangal"/>
      <w:sz w:val="20"/>
      <w:lang w:eastAsia="en-AU" w:bidi="hi-IN"/>
    </w:rPr>
  </w:style>
  <w:style w:type="character" w:customStyle="1" w:styleId="AcronymstextChar">
    <w:name w:val="Acronyms text Char"/>
    <w:basedOn w:val="AcronymtabletextChar"/>
    <w:link w:val="Acronymstext"/>
    <w:rsid w:val="00066A57"/>
    <w:rPr>
      <w:rFonts w:ascii="Arial" w:eastAsiaTheme="minorEastAsia" w:hAnsi="Arial" w:cs="Mangal"/>
      <w:sz w:val="20"/>
      <w:lang w:val="en-US" w:eastAsia="en-AU" w:bidi="hi-IN"/>
    </w:rPr>
  </w:style>
  <w:style w:type="paragraph" w:customStyle="1" w:styleId="TableofFigurestabletext">
    <w:name w:val="Table of Figures table text"/>
    <w:basedOn w:val="Acronymstabletext"/>
    <w:link w:val="TableofFigurestabletextChar"/>
    <w:qFormat/>
    <w:rsid w:val="0073382F"/>
    <w:pPr>
      <w:tabs>
        <w:tab w:val="right" w:leader="dot" w:pos="9016"/>
      </w:tabs>
    </w:pPr>
    <w:rPr>
      <w:noProof/>
    </w:rPr>
  </w:style>
  <w:style w:type="character" w:customStyle="1" w:styleId="Heading3Char">
    <w:name w:val="Heading 3 Char"/>
    <w:basedOn w:val="DefaultParagraphFont"/>
    <w:link w:val="Heading3"/>
    <w:uiPriority w:val="9"/>
    <w:semiHidden/>
    <w:rsid w:val="00FE73E5"/>
    <w:rPr>
      <w:rFonts w:asciiTheme="majorHAnsi" w:eastAsiaTheme="majorEastAsia" w:hAnsiTheme="majorHAnsi" w:cs="Mangal"/>
      <w:color w:val="6C1412" w:themeColor="accent1" w:themeShade="7F"/>
      <w:sz w:val="24"/>
      <w:szCs w:val="21"/>
      <w:lang w:eastAsia="ja-JP" w:bidi="hi-IN"/>
    </w:rPr>
  </w:style>
  <w:style w:type="character" w:customStyle="1" w:styleId="AcronymstabletextChar">
    <w:name w:val="Acronyms table text Char"/>
    <w:basedOn w:val="AcronymtabletextChar"/>
    <w:link w:val="Acronymstabletext"/>
    <w:rsid w:val="0073382F"/>
    <w:rPr>
      <w:rFonts w:eastAsiaTheme="minorEastAsia" w:cs="Mangal"/>
      <w:sz w:val="20"/>
      <w:lang w:eastAsia="en-AU" w:bidi="hi-IN"/>
    </w:rPr>
  </w:style>
  <w:style w:type="character" w:customStyle="1" w:styleId="TableofFigurestabletextChar">
    <w:name w:val="Table of Figures table text Char"/>
    <w:basedOn w:val="AcronymstabletextChar"/>
    <w:link w:val="TableofFigurestabletext"/>
    <w:rsid w:val="0073382F"/>
    <w:rPr>
      <w:rFonts w:eastAsiaTheme="minorEastAsia" w:cs="Mangal"/>
      <w:noProof/>
      <w:sz w:val="20"/>
      <w:lang w:eastAsia="en-AU" w:bidi="hi-IN"/>
    </w:rPr>
  </w:style>
  <w:style w:type="paragraph" w:customStyle="1" w:styleId="Quotes">
    <w:name w:val="Quotes"/>
    <w:basedOn w:val="Normal"/>
    <w:link w:val="QuotesChar"/>
    <w:qFormat/>
    <w:rsid w:val="00D46F50"/>
    <w:pPr>
      <w:ind w:left="862" w:right="862"/>
      <w:jc w:val="center"/>
    </w:pPr>
    <w:rPr>
      <w:i/>
    </w:rPr>
  </w:style>
  <w:style w:type="character" w:customStyle="1" w:styleId="QuotesChar">
    <w:name w:val="Quotes Char"/>
    <w:basedOn w:val="DefaultParagraphFont"/>
    <w:link w:val="Quotes"/>
    <w:rsid w:val="00D46F50"/>
    <w:rPr>
      <w:rFonts w:eastAsia="Times New Roman" w:cs="Mangal"/>
      <w:i/>
      <w:szCs w:val="24"/>
      <w:lang w:eastAsia="ja-JP" w:bidi="hi-IN"/>
    </w:rPr>
  </w:style>
  <w:style w:type="paragraph" w:customStyle="1" w:styleId="TableHeadingsText">
    <w:name w:val="Table Headings Text"/>
    <w:basedOn w:val="Acronymtabletext"/>
    <w:link w:val="TableHeadingsTextChar"/>
    <w:qFormat/>
    <w:rsid w:val="00535BCB"/>
    <w:pPr>
      <w:shd w:val="clear" w:color="auto" w:fill="DA291C"/>
    </w:pPr>
    <w:rPr>
      <w:b/>
      <w:color w:val="FFFFFF" w:themeColor="background1"/>
      <w:sz w:val="22"/>
      <w:lang w:val="en-US"/>
    </w:rPr>
  </w:style>
  <w:style w:type="paragraph" w:customStyle="1" w:styleId="Tabletextnormal">
    <w:name w:val="Table text normal"/>
    <w:basedOn w:val="Subheadingtabletextandformat"/>
    <w:link w:val="TabletextnormalChar"/>
    <w:qFormat/>
    <w:rsid w:val="00535BCB"/>
    <w:pPr>
      <w:shd w:val="clear" w:color="auto" w:fill="auto"/>
    </w:pPr>
    <w:rPr>
      <w:b w:val="0"/>
      <w:lang w:val="en-US"/>
    </w:rPr>
  </w:style>
  <w:style w:type="character" w:customStyle="1" w:styleId="TableHeadingsTextChar">
    <w:name w:val="Table Headings Text Char"/>
    <w:basedOn w:val="AcronymtabletextChar"/>
    <w:link w:val="TableHeadingsText"/>
    <w:rsid w:val="00535BCB"/>
    <w:rPr>
      <w:rFonts w:eastAsiaTheme="minorEastAsia" w:cs="Mangal"/>
      <w:b/>
      <w:color w:val="FFFFFF" w:themeColor="background1"/>
      <w:sz w:val="20"/>
      <w:shd w:val="clear" w:color="auto" w:fill="DA291C"/>
      <w:lang w:val="en-US" w:eastAsia="en-AU" w:bidi="hi-IN"/>
    </w:rPr>
  </w:style>
  <w:style w:type="character" w:customStyle="1" w:styleId="SubheadingtabletextandformatChar">
    <w:name w:val="Subheading table text and format Char"/>
    <w:basedOn w:val="AcronymtabletextChar"/>
    <w:link w:val="Subheadingtabletextandformat"/>
    <w:rsid w:val="00B81284"/>
    <w:rPr>
      <w:rFonts w:eastAsiaTheme="minorEastAsia" w:cs="Mangal"/>
      <w:b/>
      <w:sz w:val="20"/>
      <w:shd w:val="clear" w:color="auto" w:fill="F6B9B4"/>
      <w:lang w:eastAsia="en-AU" w:bidi="hi-IN"/>
    </w:rPr>
  </w:style>
  <w:style w:type="character" w:customStyle="1" w:styleId="TabletextnormalChar">
    <w:name w:val="Table text normal Char"/>
    <w:basedOn w:val="SubheadingtabletextandformatChar"/>
    <w:link w:val="Tabletextnormal"/>
    <w:rsid w:val="00535BCB"/>
    <w:rPr>
      <w:rFonts w:eastAsiaTheme="minorEastAsia" w:cs="Mangal"/>
      <w:b w:val="0"/>
      <w:sz w:val="20"/>
      <w:shd w:val="clear" w:color="auto" w:fill="F6B9B4"/>
      <w:lang w:val="en-US" w:eastAsia="en-AU" w:bidi="hi-IN"/>
    </w:rPr>
  </w:style>
  <w:style w:type="paragraph" w:styleId="TOC4">
    <w:name w:val="toc 4"/>
    <w:basedOn w:val="Normal"/>
    <w:next w:val="Normal"/>
    <w:autoRedefine/>
    <w:uiPriority w:val="39"/>
    <w:unhideWhenUsed/>
    <w:rsid w:val="0028330C"/>
    <w:pPr>
      <w:spacing w:after="100"/>
      <w:ind w:left="660"/>
    </w:pPr>
  </w:style>
  <w:style w:type="paragraph" w:styleId="FootnoteText">
    <w:name w:val="footnote text"/>
    <w:basedOn w:val="Normal"/>
    <w:link w:val="FootnoteTextChar"/>
    <w:uiPriority w:val="99"/>
    <w:semiHidden/>
    <w:unhideWhenUsed/>
    <w:rsid w:val="00CA7D57"/>
    <w:pPr>
      <w:spacing w:after="0" w:line="240" w:lineRule="auto"/>
    </w:pPr>
    <w:rPr>
      <w:rFonts w:eastAsiaTheme="minorHAnsi" w:cstheme="minorBidi"/>
      <w:sz w:val="20"/>
      <w:szCs w:val="20"/>
      <w:lang w:eastAsia="en-US" w:bidi="ar-SA"/>
    </w:rPr>
  </w:style>
  <w:style w:type="character" w:customStyle="1" w:styleId="FootnoteTextChar">
    <w:name w:val="Footnote Text Char"/>
    <w:basedOn w:val="DefaultParagraphFont"/>
    <w:link w:val="FootnoteText"/>
    <w:uiPriority w:val="99"/>
    <w:semiHidden/>
    <w:rsid w:val="00CA7D57"/>
    <w:rPr>
      <w:sz w:val="20"/>
      <w:szCs w:val="20"/>
    </w:rPr>
  </w:style>
  <w:style w:type="paragraph" w:customStyle="1" w:styleId="Pa4">
    <w:name w:val="Pa4"/>
    <w:basedOn w:val="Normal"/>
    <w:next w:val="Normal"/>
    <w:uiPriority w:val="99"/>
    <w:rsid w:val="00CA7D57"/>
    <w:pPr>
      <w:autoSpaceDE w:val="0"/>
      <w:autoSpaceDN w:val="0"/>
      <w:adjustRightInd w:val="0"/>
      <w:spacing w:after="0" w:line="181" w:lineRule="atLeast"/>
    </w:pPr>
    <w:rPr>
      <w:rFonts w:ascii="TMVPT P+ UNFPA" w:eastAsiaTheme="minorHAnsi" w:hAnsi="TMVPT P+ UNFPA" w:cstheme="minorBidi"/>
      <w:sz w:val="24"/>
      <w:lang w:eastAsia="en-US" w:bidi="ar-SA"/>
    </w:rPr>
  </w:style>
  <w:style w:type="character" w:styleId="FootnoteReference">
    <w:name w:val="footnote reference"/>
    <w:aliases w:val="ftref,Footnote text,16 Point,Superscript 6 Point,Superscript 6 Point + 11 pt"/>
    <w:basedOn w:val="DefaultParagraphFont"/>
    <w:uiPriority w:val="99"/>
    <w:unhideWhenUsed/>
    <w:rsid w:val="00CA7D57"/>
    <w:rPr>
      <w:vertAlign w:val="superscript"/>
    </w:rPr>
  </w:style>
  <w:style w:type="paragraph" w:styleId="NoSpacing">
    <w:name w:val="No Spacing"/>
    <w:uiPriority w:val="1"/>
    <w:qFormat/>
    <w:rsid w:val="00CA1611"/>
    <w:pPr>
      <w:spacing w:after="0" w:line="240" w:lineRule="auto"/>
    </w:pPr>
  </w:style>
  <w:style w:type="character" w:customStyle="1" w:styleId="CharacterStyle1">
    <w:name w:val="Character Style 1"/>
    <w:uiPriority w:val="99"/>
    <w:rsid w:val="009F6DE0"/>
    <w:rPr>
      <w:rFonts w:ascii="Arial" w:hAnsi="Arial" w:cs="Arial" w:hint="default"/>
      <w:sz w:val="20"/>
    </w:rPr>
  </w:style>
  <w:style w:type="paragraph" w:customStyle="1" w:styleId="m5822202063804842838msolistparagraph">
    <w:name w:val="m_5822202063804842838msolistparagraph"/>
    <w:basedOn w:val="Normal"/>
    <w:rsid w:val="00D7226B"/>
    <w:pPr>
      <w:spacing w:before="100" w:beforeAutospacing="1" w:after="100" w:afterAutospacing="1" w:line="240" w:lineRule="auto"/>
    </w:pPr>
    <w:rPr>
      <w:rFonts w:ascii="Times New Roman" w:hAnsi="Times New Roman" w:cs="Times New Roman"/>
      <w:sz w:val="24"/>
      <w:lang w:val="en-US" w:eastAsia="en-US" w:bidi="ar-SA"/>
    </w:rPr>
  </w:style>
  <w:style w:type="paragraph" w:customStyle="1" w:styleId="Default">
    <w:name w:val="Default"/>
    <w:rsid w:val="00360EA3"/>
    <w:pPr>
      <w:autoSpaceDE w:val="0"/>
      <w:autoSpaceDN w:val="0"/>
      <w:adjustRightInd w:val="0"/>
      <w:spacing w:after="0" w:line="240" w:lineRule="auto"/>
    </w:pPr>
    <w:rPr>
      <w:rFonts w:ascii="Cambria" w:hAnsi="Cambria" w:cs="Cambria"/>
      <w:color w:val="000000"/>
      <w:sz w:val="24"/>
      <w:szCs w:val="24"/>
      <w:lang w:val="en-US"/>
    </w:rPr>
  </w:style>
  <w:style w:type="table" w:styleId="GridTable5Dark">
    <w:name w:val="Grid Table 5 Dark"/>
    <w:basedOn w:val="TableNormal"/>
    <w:uiPriority w:val="50"/>
    <w:rsid w:val="00E425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E425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8964">
      <w:bodyDiv w:val="1"/>
      <w:marLeft w:val="0"/>
      <w:marRight w:val="0"/>
      <w:marTop w:val="0"/>
      <w:marBottom w:val="0"/>
      <w:divBdr>
        <w:top w:val="none" w:sz="0" w:space="0" w:color="auto"/>
        <w:left w:val="none" w:sz="0" w:space="0" w:color="auto"/>
        <w:bottom w:val="none" w:sz="0" w:space="0" w:color="auto"/>
        <w:right w:val="none" w:sz="0" w:space="0" w:color="auto"/>
      </w:divBdr>
    </w:div>
    <w:div w:id="19824099">
      <w:bodyDiv w:val="1"/>
      <w:marLeft w:val="0"/>
      <w:marRight w:val="0"/>
      <w:marTop w:val="0"/>
      <w:marBottom w:val="0"/>
      <w:divBdr>
        <w:top w:val="none" w:sz="0" w:space="0" w:color="auto"/>
        <w:left w:val="none" w:sz="0" w:space="0" w:color="auto"/>
        <w:bottom w:val="none" w:sz="0" w:space="0" w:color="auto"/>
        <w:right w:val="none" w:sz="0" w:space="0" w:color="auto"/>
      </w:divBdr>
      <w:divsChild>
        <w:div w:id="1030646755">
          <w:marLeft w:val="0"/>
          <w:marRight w:val="0"/>
          <w:marTop w:val="0"/>
          <w:marBottom w:val="0"/>
          <w:divBdr>
            <w:top w:val="none" w:sz="0" w:space="0" w:color="auto"/>
            <w:left w:val="none" w:sz="0" w:space="0" w:color="auto"/>
            <w:bottom w:val="none" w:sz="0" w:space="0" w:color="auto"/>
            <w:right w:val="none" w:sz="0" w:space="0" w:color="auto"/>
          </w:divBdr>
          <w:divsChild>
            <w:div w:id="381100323">
              <w:marLeft w:val="0"/>
              <w:marRight w:val="0"/>
              <w:marTop w:val="0"/>
              <w:marBottom w:val="0"/>
              <w:divBdr>
                <w:top w:val="none" w:sz="0" w:space="0" w:color="auto"/>
                <w:left w:val="none" w:sz="0" w:space="0" w:color="auto"/>
                <w:bottom w:val="none" w:sz="0" w:space="0" w:color="auto"/>
                <w:right w:val="none" w:sz="0" w:space="0" w:color="auto"/>
              </w:divBdr>
              <w:divsChild>
                <w:div w:id="1499032367">
                  <w:marLeft w:val="0"/>
                  <w:marRight w:val="0"/>
                  <w:marTop w:val="0"/>
                  <w:marBottom w:val="0"/>
                  <w:divBdr>
                    <w:top w:val="none" w:sz="0" w:space="0" w:color="auto"/>
                    <w:left w:val="none" w:sz="0" w:space="0" w:color="auto"/>
                    <w:bottom w:val="none" w:sz="0" w:space="0" w:color="auto"/>
                    <w:right w:val="none" w:sz="0" w:space="0" w:color="auto"/>
                  </w:divBdr>
                  <w:divsChild>
                    <w:div w:id="1304970137">
                      <w:marLeft w:val="0"/>
                      <w:marRight w:val="0"/>
                      <w:marTop w:val="0"/>
                      <w:marBottom w:val="0"/>
                      <w:divBdr>
                        <w:top w:val="none" w:sz="0" w:space="0" w:color="auto"/>
                        <w:left w:val="none" w:sz="0" w:space="0" w:color="auto"/>
                        <w:bottom w:val="none" w:sz="0" w:space="0" w:color="auto"/>
                        <w:right w:val="none" w:sz="0" w:space="0" w:color="auto"/>
                      </w:divBdr>
                      <w:divsChild>
                        <w:div w:id="1530992433">
                          <w:marLeft w:val="0"/>
                          <w:marRight w:val="0"/>
                          <w:marTop w:val="0"/>
                          <w:marBottom w:val="0"/>
                          <w:divBdr>
                            <w:top w:val="none" w:sz="0" w:space="0" w:color="auto"/>
                            <w:left w:val="none" w:sz="0" w:space="0" w:color="auto"/>
                            <w:bottom w:val="none" w:sz="0" w:space="0" w:color="auto"/>
                            <w:right w:val="none" w:sz="0" w:space="0" w:color="auto"/>
                          </w:divBdr>
                          <w:divsChild>
                            <w:div w:id="1490320799">
                              <w:marLeft w:val="0"/>
                              <w:marRight w:val="0"/>
                              <w:marTop w:val="0"/>
                              <w:marBottom w:val="0"/>
                              <w:divBdr>
                                <w:top w:val="none" w:sz="0" w:space="0" w:color="auto"/>
                                <w:left w:val="none" w:sz="0" w:space="0" w:color="auto"/>
                                <w:bottom w:val="none" w:sz="0" w:space="0" w:color="auto"/>
                                <w:right w:val="none" w:sz="0" w:space="0" w:color="auto"/>
                              </w:divBdr>
                              <w:divsChild>
                                <w:div w:id="57048685">
                                  <w:marLeft w:val="0"/>
                                  <w:marRight w:val="0"/>
                                  <w:marTop w:val="0"/>
                                  <w:marBottom w:val="0"/>
                                  <w:divBdr>
                                    <w:top w:val="none" w:sz="0" w:space="0" w:color="auto"/>
                                    <w:left w:val="none" w:sz="0" w:space="0" w:color="auto"/>
                                    <w:bottom w:val="none" w:sz="0" w:space="0" w:color="auto"/>
                                    <w:right w:val="none" w:sz="0" w:space="0" w:color="auto"/>
                                  </w:divBdr>
                                  <w:divsChild>
                                    <w:div w:id="207694141">
                                      <w:marLeft w:val="0"/>
                                      <w:marRight w:val="0"/>
                                      <w:marTop w:val="0"/>
                                      <w:marBottom w:val="0"/>
                                      <w:divBdr>
                                        <w:top w:val="none" w:sz="0" w:space="0" w:color="auto"/>
                                        <w:left w:val="none" w:sz="0" w:space="0" w:color="auto"/>
                                        <w:bottom w:val="none" w:sz="0" w:space="0" w:color="auto"/>
                                        <w:right w:val="none" w:sz="0" w:space="0" w:color="auto"/>
                                      </w:divBdr>
                                    </w:div>
                                    <w:div w:id="434054009">
                                      <w:marLeft w:val="0"/>
                                      <w:marRight w:val="0"/>
                                      <w:marTop w:val="0"/>
                                      <w:marBottom w:val="0"/>
                                      <w:divBdr>
                                        <w:top w:val="none" w:sz="0" w:space="0" w:color="auto"/>
                                        <w:left w:val="none" w:sz="0" w:space="0" w:color="auto"/>
                                        <w:bottom w:val="none" w:sz="0" w:space="0" w:color="auto"/>
                                        <w:right w:val="none" w:sz="0" w:space="0" w:color="auto"/>
                                      </w:divBdr>
                                    </w:div>
                                    <w:div w:id="15080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37180">
      <w:bodyDiv w:val="1"/>
      <w:marLeft w:val="0"/>
      <w:marRight w:val="0"/>
      <w:marTop w:val="0"/>
      <w:marBottom w:val="0"/>
      <w:divBdr>
        <w:top w:val="none" w:sz="0" w:space="0" w:color="auto"/>
        <w:left w:val="none" w:sz="0" w:space="0" w:color="auto"/>
        <w:bottom w:val="none" w:sz="0" w:space="0" w:color="auto"/>
        <w:right w:val="none" w:sz="0" w:space="0" w:color="auto"/>
      </w:divBdr>
    </w:div>
    <w:div w:id="84765563">
      <w:bodyDiv w:val="1"/>
      <w:marLeft w:val="0"/>
      <w:marRight w:val="0"/>
      <w:marTop w:val="0"/>
      <w:marBottom w:val="0"/>
      <w:divBdr>
        <w:top w:val="none" w:sz="0" w:space="0" w:color="auto"/>
        <w:left w:val="none" w:sz="0" w:space="0" w:color="auto"/>
        <w:bottom w:val="none" w:sz="0" w:space="0" w:color="auto"/>
        <w:right w:val="none" w:sz="0" w:space="0" w:color="auto"/>
      </w:divBdr>
    </w:div>
    <w:div w:id="151337189">
      <w:bodyDiv w:val="1"/>
      <w:marLeft w:val="0"/>
      <w:marRight w:val="0"/>
      <w:marTop w:val="0"/>
      <w:marBottom w:val="0"/>
      <w:divBdr>
        <w:top w:val="none" w:sz="0" w:space="0" w:color="auto"/>
        <w:left w:val="none" w:sz="0" w:space="0" w:color="auto"/>
        <w:bottom w:val="none" w:sz="0" w:space="0" w:color="auto"/>
        <w:right w:val="none" w:sz="0" w:space="0" w:color="auto"/>
      </w:divBdr>
    </w:div>
    <w:div w:id="195896532">
      <w:bodyDiv w:val="1"/>
      <w:marLeft w:val="0"/>
      <w:marRight w:val="0"/>
      <w:marTop w:val="0"/>
      <w:marBottom w:val="0"/>
      <w:divBdr>
        <w:top w:val="none" w:sz="0" w:space="0" w:color="auto"/>
        <w:left w:val="none" w:sz="0" w:space="0" w:color="auto"/>
        <w:bottom w:val="none" w:sz="0" w:space="0" w:color="auto"/>
        <w:right w:val="none" w:sz="0" w:space="0" w:color="auto"/>
      </w:divBdr>
    </w:div>
    <w:div w:id="401369332">
      <w:bodyDiv w:val="1"/>
      <w:marLeft w:val="0"/>
      <w:marRight w:val="0"/>
      <w:marTop w:val="0"/>
      <w:marBottom w:val="0"/>
      <w:divBdr>
        <w:top w:val="none" w:sz="0" w:space="0" w:color="auto"/>
        <w:left w:val="none" w:sz="0" w:space="0" w:color="auto"/>
        <w:bottom w:val="none" w:sz="0" w:space="0" w:color="auto"/>
        <w:right w:val="none" w:sz="0" w:space="0" w:color="auto"/>
      </w:divBdr>
    </w:div>
    <w:div w:id="414788643">
      <w:bodyDiv w:val="1"/>
      <w:marLeft w:val="0"/>
      <w:marRight w:val="0"/>
      <w:marTop w:val="0"/>
      <w:marBottom w:val="0"/>
      <w:divBdr>
        <w:top w:val="none" w:sz="0" w:space="0" w:color="auto"/>
        <w:left w:val="none" w:sz="0" w:space="0" w:color="auto"/>
        <w:bottom w:val="none" w:sz="0" w:space="0" w:color="auto"/>
        <w:right w:val="none" w:sz="0" w:space="0" w:color="auto"/>
      </w:divBdr>
      <w:divsChild>
        <w:div w:id="1656684625">
          <w:marLeft w:val="360"/>
          <w:marRight w:val="0"/>
          <w:marTop w:val="200"/>
          <w:marBottom w:val="0"/>
          <w:divBdr>
            <w:top w:val="none" w:sz="0" w:space="0" w:color="auto"/>
            <w:left w:val="none" w:sz="0" w:space="0" w:color="auto"/>
            <w:bottom w:val="none" w:sz="0" w:space="0" w:color="auto"/>
            <w:right w:val="none" w:sz="0" w:space="0" w:color="auto"/>
          </w:divBdr>
        </w:div>
      </w:divsChild>
    </w:div>
    <w:div w:id="434254440">
      <w:bodyDiv w:val="1"/>
      <w:marLeft w:val="0"/>
      <w:marRight w:val="0"/>
      <w:marTop w:val="0"/>
      <w:marBottom w:val="0"/>
      <w:divBdr>
        <w:top w:val="none" w:sz="0" w:space="0" w:color="auto"/>
        <w:left w:val="none" w:sz="0" w:space="0" w:color="auto"/>
        <w:bottom w:val="none" w:sz="0" w:space="0" w:color="auto"/>
        <w:right w:val="none" w:sz="0" w:space="0" w:color="auto"/>
      </w:divBdr>
    </w:div>
    <w:div w:id="438911891">
      <w:bodyDiv w:val="1"/>
      <w:marLeft w:val="0"/>
      <w:marRight w:val="0"/>
      <w:marTop w:val="0"/>
      <w:marBottom w:val="0"/>
      <w:divBdr>
        <w:top w:val="none" w:sz="0" w:space="0" w:color="auto"/>
        <w:left w:val="none" w:sz="0" w:space="0" w:color="auto"/>
        <w:bottom w:val="none" w:sz="0" w:space="0" w:color="auto"/>
        <w:right w:val="none" w:sz="0" w:space="0" w:color="auto"/>
      </w:divBdr>
    </w:div>
    <w:div w:id="464280207">
      <w:bodyDiv w:val="1"/>
      <w:marLeft w:val="0"/>
      <w:marRight w:val="0"/>
      <w:marTop w:val="0"/>
      <w:marBottom w:val="0"/>
      <w:divBdr>
        <w:top w:val="none" w:sz="0" w:space="0" w:color="auto"/>
        <w:left w:val="none" w:sz="0" w:space="0" w:color="auto"/>
        <w:bottom w:val="none" w:sz="0" w:space="0" w:color="auto"/>
        <w:right w:val="none" w:sz="0" w:space="0" w:color="auto"/>
      </w:divBdr>
    </w:div>
    <w:div w:id="469202943">
      <w:bodyDiv w:val="1"/>
      <w:marLeft w:val="0"/>
      <w:marRight w:val="0"/>
      <w:marTop w:val="0"/>
      <w:marBottom w:val="0"/>
      <w:divBdr>
        <w:top w:val="none" w:sz="0" w:space="0" w:color="auto"/>
        <w:left w:val="none" w:sz="0" w:space="0" w:color="auto"/>
        <w:bottom w:val="none" w:sz="0" w:space="0" w:color="auto"/>
        <w:right w:val="none" w:sz="0" w:space="0" w:color="auto"/>
      </w:divBdr>
    </w:div>
    <w:div w:id="491289453">
      <w:bodyDiv w:val="1"/>
      <w:marLeft w:val="0"/>
      <w:marRight w:val="0"/>
      <w:marTop w:val="0"/>
      <w:marBottom w:val="0"/>
      <w:divBdr>
        <w:top w:val="none" w:sz="0" w:space="0" w:color="auto"/>
        <w:left w:val="none" w:sz="0" w:space="0" w:color="auto"/>
        <w:bottom w:val="none" w:sz="0" w:space="0" w:color="auto"/>
        <w:right w:val="none" w:sz="0" w:space="0" w:color="auto"/>
      </w:divBdr>
    </w:div>
    <w:div w:id="645203966">
      <w:bodyDiv w:val="1"/>
      <w:marLeft w:val="0"/>
      <w:marRight w:val="0"/>
      <w:marTop w:val="0"/>
      <w:marBottom w:val="0"/>
      <w:divBdr>
        <w:top w:val="none" w:sz="0" w:space="0" w:color="auto"/>
        <w:left w:val="none" w:sz="0" w:space="0" w:color="auto"/>
        <w:bottom w:val="none" w:sz="0" w:space="0" w:color="auto"/>
        <w:right w:val="none" w:sz="0" w:space="0" w:color="auto"/>
      </w:divBdr>
    </w:div>
    <w:div w:id="656957623">
      <w:bodyDiv w:val="1"/>
      <w:marLeft w:val="0"/>
      <w:marRight w:val="0"/>
      <w:marTop w:val="0"/>
      <w:marBottom w:val="0"/>
      <w:divBdr>
        <w:top w:val="none" w:sz="0" w:space="0" w:color="auto"/>
        <w:left w:val="none" w:sz="0" w:space="0" w:color="auto"/>
        <w:bottom w:val="none" w:sz="0" w:space="0" w:color="auto"/>
        <w:right w:val="none" w:sz="0" w:space="0" w:color="auto"/>
      </w:divBdr>
    </w:div>
    <w:div w:id="681588211">
      <w:bodyDiv w:val="1"/>
      <w:marLeft w:val="0"/>
      <w:marRight w:val="0"/>
      <w:marTop w:val="0"/>
      <w:marBottom w:val="0"/>
      <w:divBdr>
        <w:top w:val="none" w:sz="0" w:space="0" w:color="auto"/>
        <w:left w:val="none" w:sz="0" w:space="0" w:color="auto"/>
        <w:bottom w:val="none" w:sz="0" w:space="0" w:color="auto"/>
        <w:right w:val="none" w:sz="0" w:space="0" w:color="auto"/>
      </w:divBdr>
    </w:div>
    <w:div w:id="716516668">
      <w:bodyDiv w:val="1"/>
      <w:marLeft w:val="0"/>
      <w:marRight w:val="0"/>
      <w:marTop w:val="0"/>
      <w:marBottom w:val="0"/>
      <w:divBdr>
        <w:top w:val="none" w:sz="0" w:space="0" w:color="auto"/>
        <w:left w:val="none" w:sz="0" w:space="0" w:color="auto"/>
        <w:bottom w:val="none" w:sz="0" w:space="0" w:color="auto"/>
        <w:right w:val="none" w:sz="0" w:space="0" w:color="auto"/>
      </w:divBdr>
    </w:div>
    <w:div w:id="824905068">
      <w:bodyDiv w:val="1"/>
      <w:marLeft w:val="0"/>
      <w:marRight w:val="0"/>
      <w:marTop w:val="0"/>
      <w:marBottom w:val="0"/>
      <w:divBdr>
        <w:top w:val="none" w:sz="0" w:space="0" w:color="auto"/>
        <w:left w:val="none" w:sz="0" w:space="0" w:color="auto"/>
        <w:bottom w:val="none" w:sz="0" w:space="0" w:color="auto"/>
        <w:right w:val="none" w:sz="0" w:space="0" w:color="auto"/>
      </w:divBdr>
    </w:div>
    <w:div w:id="836263349">
      <w:bodyDiv w:val="1"/>
      <w:marLeft w:val="0"/>
      <w:marRight w:val="0"/>
      <w:marTop w:val="0"/>
      <w:marBottom w:val="0"/>
      <w:divBdr>
        <w:top w:val="none" w:sz="0" w:space="0" w:color="auto"/>
        <w:left w:val="none" w:sz="0" w:space="0" w:color="auto"/>
        <w:bottom w:val="none" w:sz="0" w:space="0" w:color="auto"/>
        <w:right w:val="none" w:sz="0" w:space="0" w:color="auto"/>
      </w:divBdr>
    </w:div>
    <w:div w:id="875386393">
      <w:bodyDiv w:val="1"/>
      <w:marLeft w:val="0"/>
      <w:marRight w:val="0"/>
      <w:marTop w:val="0"/>
      <w:marBottom w:val="0"/>
      <w:divBdr>
        <w:top w:val="none" w:sz="0" w:space="0" w:color="auto"/>
        <w:left w:val="none" w:sz="0" w:space="0" w:color="auto"/>
        <w:bottom w:val="none" w:sz="0" w:space="0" w:color="auto"/>
        <w:right w:val="none" w:sz="0" w:space="0" w:color="auto"/>
      </w:divBdr>
    </w:div>
    <w:div w:id="901519593">
      <w:bodyDiv w:val="1"/>
      <w:marLeft w:val="0"/>
      <w:marRight w:val="0"/>
      <w:marTop w:val="0"/>
      <w:marBottom w:val="0"/>
      <w:divBdr>
        <w:top w:val="none" w:sz="0" w:space="0" w:color="auto"/>
        <w:left w:val="none" w:sz="0" w:space="0" w:color="auto"/>
        <w:bottom w:val="none" w:sz="0" w:space="0" w:color="auto"/>
        <w:right w:val="none" w:sz="0" w:space="0" w:color="auto"/>
      </w:divBdr>
    </w:div>
    <w:div w:id="1025139172">
      <w:bodyDiv w:val="1"/>
      <w:marLeft w:val="0"/>
      <w:marRight w:val="0"/>
      <w:marTop w:val="0"/>
      <w:marBottom w:val="0"/>
      <w:divBdr>
        <w:top w:val="none" w:sz="0" w:space="0" w:color="auto"/>
        <w:left w:val="none" w:sz="0" w:space="0" w:color="auto"/>
        <w:bottom w:val="none" w:sz="0" w:space="0" w:color="auto"/>
        <w:right w:val="none" w:sz="0" w:space="0" w:color="auto"/>
      </w:divBdr>
    </w:div>
    <w:div w:id="1032875172">
      <w:bodyDiv w:val="1"/>
      <w:marLeft w:val="0"/>
      <w:marRight w:val="0"/>
      <w:marTop w:val="0"/>
      <w:marBottom w:val="0"/>
      <w:divBdr>
        <w:top w:val="none" w:sz="0" w:space="0" w:color="auto"/>
        <w:left w:val="none" w:sz="0" w:space="0" w:color="auto"/>
        <w:bottom w:val="none" w:sz="0" w:space="0" w:color="auto"/>
        <w:right w:val="none" w:sz="0" w:space="0" w:color="auto"/>
      </w:divBdr>
    </w:div>
    <w:div w:id="1074664622">
      <w:bodyDiv w:val="1"/>
      <w:marLeft w:val="0"/>
      <w:marRight w:val="0"/>
      <w:marTop w:val="0"/>
      <w:marBottom w:val="0"/>
      <w:divBdr>
        <w:top w:val="none" w:sz="0" w:space="0" w:color="auto"/>
        <w:left w:val="none" w:sz="0" w:space="0" w:color="auto"/>
        <w:bottom w:val="none" w:sz="0" w:space="0" w:color="auto"/>
        <w:right w:val="none" w:sz="0" w:space="0" w:color="auto"/>
      </w:divBdr>
    </w:div>
    <w:div w:id="1124274099">
      <w:bodyDiv w:val="1"/>
      <w:marLeft w:val="0"/>
      <w:marRight w:val="0"/>
      <w:marTop w:val="0"/>
      <w:marBottom w:val="0"/>
      <w:divBdr>
        <w:top w:val="none" w:sz="0" w:space="0" w:color="auto"/>
        <w:left w:val="none" w:sz="0" w:space="0" w:color="auto"/>
        <w:bottom w:val="none" w:sz="0" w:space="0" w:color="auto"/>
        <w:right w:val="none" w:sz="0" w:space="0" w:color="auto"/>
      </w:divBdr>
    </w:div>
    <w:div w:id="1174876593">
      <w:bodyDiv w:val="1"/>
      <w:marLeft w:val="0"/>
      <w:marRight w:val="0"/>
      <w:marTop w:val="0"/>
      <w:marBottom w:val="0"/>
      <w:divBdr>
        <w:top w:val="none" w:sz="0" w:space="0" w:color="auto"/>
        <w:left w:val="none" w:sz="0" w:space="0" w:color="auto"/>
        <w:bottom w:val="none" w:sz="0" w:space="0" w:color="auto"/>
        <w:right w:val="none" w:sz="0" w:space="0" w:color="auto"/>
      </w:divBdr>
    </w:div>
    <w:div w:id="1197886157">
      <w:bodyDiv w:val="1"/>
      <w:marLeft w:val="0"/>
      <w:marRight w:val="0"/>
      <w:marTop w:val="0"/>
      <w:marBottom w:val="0"/>
      <w:divBdr>
        <w:top w:val="none" w:sz="0" w:space="0" w:color="auto"/>
        <w:left w:val="none" w:sz="0" w:space="0" w:color="auto"/>
        <w:bottom w:val="none" w:sz="0" w:space="0" w:color="auto"/>
        <w:right w:val="none" w:sz="0" w:space="0" w:color="auto"/>
      </w:divBdr>
    </w:div>
    <w:div w:id="1218517854">
      <w:bodyDiv w:val="1"/>
      <w:marLeft w:val="0"/>
      <w:marRight w:val="0"/>
      <w:marTop w:val="0"/>
      <w:marBottom w:val="0"/>
      <w:divBdr>
        <w:top w:val="none" w:sz="0" w:space="0" w:color="auto"/>
        <w:left w:val="none" w:sz="0" w:space="0" w:color="auto"/>
        <w:bottom w:val="none" w:sz="0" w:space="0" w:color="auto"/>
        <w:right w:val="none" w:sz="0" w:space="0" w:color="auto"/>
      </w:divBdr>
    </w:div>
    <w:div w:id="1355301164">
      <w:bodyDiv w:val="1"/>
      <w:marLeft w:val="0"/>
      <w:marRight w:val="0"/>
      <w:marTop w:val="0"/>
      <w:marBottom w:val="0"/>
      <w:divBdr>
        <w:top w:val="none" w:sz="0" w:space="0" w:color="auto"/>
        <w:left w:val="none" w:sz="0" w:space="0" w:color="auto"/>
        <w:bottom w:val="none" w:sz="0" w:space="0" w:color="auto"/>
        <w:right w:val="none" w:sz="0" w:space="0" w:color="auto"/>
      </w:divBdr>
    </w:div>
    <w:div w:id="1396272090">
      <w:bodyDiv w:val="1"/>
      <w:marLeft w:val="0"/>
      <w:marRight w:val="0"/>
      <w:marTop w:val="0"/>
      <w:marBottom w:val="0"/>
      <w:divBdr>
        <w:top w:val="none" w:sz="0" w:space="0" w:color="auto"/>
        <w:left w:val="none" w:sz="0" w:space="0" w:color="auto"/>
        <w:bottom w:val="none" w:sz="0" w:space="0" w:color="auto"/>
        <w:right w:val="none" w:sz="0" w:space="0" w:color="auto"/>
      </w:divBdr>
    </w:div>
    <w:div w:id="1406486860">
      <w:bodyDiv w:val="1"/>
      <w:marLeft w:val="0"/>
      <w:marRight w:val="0"/>
      <w:marTop w:val="0"/>
      <w:marBottom w:val="0"/>
      <w:divBdr>
        <w:top w:val="none" w:sz="0" w:space="0" w:color="auto"/>
        <w:left w:val="none" w:sz="0" w:space="0" w:color="auto"/>
        <w:bottom w:val="none" w:sz="0" w:space="0" w:color="auto"/>
        <w:right w:val="none" w:sz="0" w:space="0" w:color="auto"/>
      </w:divBdr>
    </w:div>
    <w:div w:id="1412695261">
      <w:bodyDiv w:val="1"/>
      <w:marLeft w:val="0"/>
      <w:marRight w:val="0"/>
      <w:marTop w:val="0"/>
      <w:marBottom w:val="0"/>
      <w:divBdr>
        <w:top w:val="none" w:sz="0" w:space="0" w:color="auto"/>
        <w:left w:val="none" w:sz="0" w:space="0" w:color="auto"/>
        <w:bottom w:val="none" w:sz="0" w:space="0" w:color="auto"/>
        <w:right w:val="none" w:sz="0" w:space="0" w:color="auto"/>
      </w:divBdr>
    </w:div>
    <w:div w:id="1444615985">
      <w:bodyDiv w:val="1"/>
      <w:marLeft w:val="0"/>
      <w:marRight w:val="0"/>
      <w:marTop w:val="0"/>
      <w:marBottom w:val="0"/>
      <w:divBdr>
        <w:top w:val="none" w:sz="0" w:space="0" w:color="auto"/>
        <w:left w:val="none" w:sz="0" w:space="0" w:color="auto"/>
        <w:bottom w:val="none" w:sz="0" w:space="0" w:color="auto"/>
        <w:right w:val="none" w:sz="0" w:space="0" w:color="auto"/>
      </w:divBdr>
    </w:div>
    <w:div w:id="1552039454">
      <w:bodyDiv w:val="1"/>
      <w:marLeft w:val="0"/>
      <w:marRight w:val="0"/>
      <w:marTop w:val="0"/>
      <w:marBottom w:val="0"/>
      <w:divBdr>
        <w:top w:val="none" w:sz="0" w:space="0" w:color="auto"/>
        <w:left w:val="none" w:sz="0" w:space="0" w:color="auto"/>
        <w:bottom w:val="none" w:sz="0" w:space="0" w:color="auto"/>
        <w:right w:val="none" w:sz="0" w:space="0" w:color="auto"/>
      </w:divBdr>
    </w:div>
    <w:div w:id="1554387158">
      <w:bodyDiv w:val="1"/>
      <w:marLeft w:val="0"/>
      <w:marRight w:val="0"/>
      <w:marTop w:val="0"/>
      <w:marBottom w:val="0"/>
      <w:divBdr>
        <w:top w:val="none" w:sz="0" w:space="0" w:color="auto"/>
        <w:left w:val="none" w:sz="0" w:space="0" w:color="auto"/>
        <w:bottom w:val="none" w:sz="0" w:space="0" w:color="auto"/>
        <w:right w:val="none" w:sz="0" w:space="0" w:color="auto"/>
      </w:divBdr>
    </w:div>
    <w:div w:id="1566915920">
      <w:bodyDiv w:val="1"/>
      <w:marLeft w:val="0"/>
      <w:marRight w:val="0"/>
      <w:marTop w:val="0"/>
      <w:marBottom w:val="0"/>
      <w:divBdr>
        <w:top w:val="none" w:sz="0" w:space="0" w:color="auto"/>
        <w:left w:val="none" w:sz="0" w:space="0" w:color="auto"/>
        <w:bottom w:val="none" w:sz="0" w:space="0" w:color="auto"/>
        <w:right w:val="none" w:sz="0" w:space="0" w:color="auto"/>
      </w:divBdr>
    </w:div>
    <w:div w:id="1573346192">
      <w:bodyDiv w:val="1"/>
      <w:marLeft w:val="0"/>
      <w:marRight w:val="0"/>
      <w:marTop w:val="0"/>
      <w:marBottom w:val="0"/>
      <w:divBdr>
        <w:top w:val="none" w:sz="0" w:space="0" w:color="auto"/>
        <w:left w:val="none" w:sz="0" w:space="0" w:color="auto"/>
        <w:bottom w:val="none" w:sz="0" w:space="0" w:color="auto"/>
        <w:right w:val="none" w:sz="0" w:space="0" w:color="auto"/>
      </w:divBdr>
    </w:div>
    <w:div w:id="1590507149">
      <w:bodyDiv w:val="1"/>
      <w:marLeft w:val="0"/>
      <w:marRight w:val="0"/>
      <w:marTop w:val="0"/>
      <w:marBottom w:val="0"/>
      <w:divBdr>
        <w:top w:val="none" w:sz="0" w:space="0" w:color="auto"/>
        <w:left w:val="none" w:sz="0" w:space="0" w:color="auto"/>
        <w:bottom w:val="none" w:sz="0" w:space="0" w:color="auto"/>
        <w:right w:val="none" w:sz="0" w:space="0" w:color="auto"/>
      </w:divBdr>
    </w:div>
    <w:div w:id="1625648101">
      <w:bodyDiv w:val="1"/>
      <w:marLeft w:val="0"/>
      <w:marRight w:val="0"/>
      <w:marTop w:val="0"/>
      <w:marBottom w:val="0"/>
      <w:divBdr>
        <w:top w:val="none" w:sz="0" w:space="0" w:color="auto"/>
        <w:left w:val="none" w:sz="0" w:space="0" w:color="auto"/>
        <w:bottom w:val="none" w:sz="0" w:space="0" w:color="auto"/>
        <w:right w:val="none" w:sz="0" w:space="0" w:color="auto"/>
      </w:divBdr>
    </w:div>
    <w:div w:id="1635910252">
      <w:bodyDiv w:val="1"/>
      <w:marLeft w:val="0"/>
      <w:marRight w:val="0"/>
      <w:marTop w:val="0"/>
      <w:marBottom w:val="0"/>
      <w:divBdr>
        <w:top w:val="none" w:sz="0" w:space="0" w:color="auto"/>
        <w:left w:val="none" w:sz="0" w:space="0" w:color="auto"/>
        <w:bottom w:val="none" w:sz="0" w:space="0" w:color="auto"/>
        <w:right w:val="none" w:sz="0" w:space="0" w:color="auto"/>
      </w:divBdr>
    </w:div>
    <w:div w:id="1638146861">
      <w:bodyDiv w:val="1"/>
      <w:marLeft w:val="0"/>
      <w:marRight w:val="0"/>
      <w:marTop w:val="0"/>
      <w:marBottom w:val="0"/>
      <w:divBdr>
        <w:top w:val="none" w:sz="0" w:space="0" w:color="auto"/>
        <w:left w:val="none" w:sz="0" w:space="0" w:color="auto"/>
        <w:bottom w:val="none" w:sz="0" w:space="0" w:color="auto"/>
        <w:right w:val="none" w:sz="0" w:space="0" w:color="auto"/>
      </w:divBdr>
    </w:div>
    <w:div w:id="1684285476">
      <w:bodyDiv w:val="1"/>
      <w:marLeft w:val="0"/>
      <w:marRight w:val="0"/>
      <w:marTop w:val="0"/>
      <w:marBottom w:val="0"/>
      <w:divBdr>
        <w:top w:val="none" w:sz="0" w:space="0" w:color="auto"/>
        <w:left w:val="none" w:sz="0" w:space="0" w:color="auto"/>
        <w:bottom w:val="none" w:sz="0" w:space="0" w:color="auto"/>
        <w:right w:val="none" w:sz="0" w:space="0" w:color="auto"/>
      </w:divBdr>
    </w:div>
    <w:div w:id="1698578917">
      <w:bodyDiv w:val="1"/>
      <w:marLeft w:val="0"/>
      <w:marRight w:val="0"/>
      <w:marTop w:val="0"/>
      <w:marBottom w:val="0"/>
      <w:divBdr>
        <w:top w:val="none" w:sz="0" w:space="0" w:color="auto"/>
        <w:left w:val="none" w:sz="0" w:space="0" w:color="auto"/>
        <w:bottom w:val="none" w:sz="0" w:space="0" w:color="auto"/>
        <w:right w:val="none" w:sz="0" w:space="0" w:color="auto"/>
      </w:divBdr>
    </w:div>
    <w:div w:id="1768233087">
      <w:bodyDiv w:val="1"/>
      <w:marLeft w:val="0"/>
      <w:marRight w:val="0"/>
      <w:marTop w:val="0"/>
      <w:marBottom w:val="0"/>
      <w:divBdr>
        <w:top w:val="none" w:sz="0" w:space="0" w:color="auto"/>
        <w:left w:val="none" w:sz="0" w:space="0" w:color="auto"/>
        <w:bottom w:val="none" w:sz="0" w:space="0" w:color="auto"/>
        <w:right w:val="none" w:sz="0" w:space="0" w:color="auto"/>
      </w:divBdr>
    </w:div>
    <w:div w:id="1770469312">
      <w:bodyDiv w:val="1"/>
      <w:marLeft w:val="0"/>
      <w:marRight w:val="0"/>
      <w:marTop w:val="0"/>
      <w:marBottom w:val="0"/>
      <w:divBdr>
        <w:top w:val="none" w:sz="0" w:space="0" w:color="auto"/>
        <w:left w:val="none" w:sz="0" w:space="0" w:color="auto"/>
        <w:bottom w:val="none" w:sz="0" w:space="0" w:color="auto"/>
        <w:right w:val="none" w:sz="0" w:space="0" w:color="auto"/>
      </w:divBdr>
    </w:div>
    <w:div w:id="1811441591">
      <w:bodyDiv w:val="1"/>
      <w:marLeft w:val="0"/>
      <w:marRight w:val="0"/>
      <w:marTop w:val="0"/>
      <w:marBottom w:val="0"/>
      <w:divBdr>
        <w:top w:val="none" w:sz="0" w:space="0" w:color="auto"/>
        <w:left w:val="none" w:sz="0" w:space="0" w:color="auto"/>
        <w:bottom w:val="none" w:sz="0" w:space="0" w:color="auto"/>
        <w:right w:val="none" w:sz="0" w:space="0" w:color="auto"/>
      </w:divBdr>
    </w:div>
    <w:div w:id="1846479944">
      <w:bodyDiv w:val="1"/>
      <w:marLeft w:val="0"/>
      <w:marRight w:val="0"/>
      <w:marTop w:val="0"/>
      <w:marBottom w:val="0"/>
      <w:divBdr>
        <w:top w:val="none" w:sz="0" w:space="0" w:color="auto"/>
        <w:left w:val="none" w:sz="0" w:space="0" w:color="auto"/>
        <w:bottom w:val="none" w:sz="0" w:space="0" w:color="auto"/>
        <w:right w:val="none" w:sz="0" w:space="0" w:color="auto"/>
      </w:divBdr>
    </w:div>
    <w:div w:id="1894153671">
      <w:bodyDiv w:val="1"/>
      <w:marLeft w:val="0"/>
      <w:marRight w:val="0"/>
      <w:marTop w:val="0"/>
      <w:marBottom w:val="0"/>
      <w:divBdr>
        <w:top w:val="none" w:sz="0" w:space="0" w:color="auto"/>
        <w:left w:val="none" w:sz="0" w:space="0" w:color="auto"/>
        <w:bottom w:val="none" w:sz="0" w:space="0" w:color="auto"/>
        <w:right w:val="none" w:sz="0" w:space="0" w:color="auto"/>
      </w:divBdr>
    </w:div>
    <w:div w:id="1959755584">
      <w:bodyDiv w:val="1"/>
      <w:marLeft w:val="0"/>
      <w:marRight w:val="0"/>
      <w:marTop w:val="0"/>
      <w:marBottom w:val="0"/>
      <w:divBdr>
        <w:top w:val="none" w:sz="0" w:space="0" w:color="auto"/>
        <w:left w:val="none" w:sz="0" w:space="0" w:color="auto"/>
        <w:bottom w:val="none" w:sz="0" w:space="0" w:color="auto"/>
        <w:right w:val="none" w:sz="0" w:space="0" w:color="auto"/>
      </w:divBdr>
    </w:div>
    <w:div w:id="2029863986">
      <w:bodyDiv w:val="1"/>
      <w:marLeft w:val="0"/>
      <w:marRight w:val="0"/>
      <w:marTop w:val="0"/>
      <w:marBottom w:val="0"/>
      <w:divBdr>
        <w:top w:val="none" w:sz="0" w:space="0" w:color="auto"/>
        <w:left w:val="none" w:sz="0" w:space="0" w:color="auto"/>
        <w:bottom w:val="none" w:sz="0" w:space="0" w:color="auto"/>
        <w:right w:val="none" w:sz="0" w:space="0" w:color="auto"/>
      </w:divBdr>
    </w:div>
    <w:div w:id="2036618162">
      <w:bodyDiv w:val="1"/>
      <w:marLeft w:val="0"/>
      <w:marRight w:val="0"/>
      <w:marTop w:val="0"/>
      <w:marBottom w:val="0"/>
      <w:divBdr>
        <w:top w:val="none" w:sz="0" w:space="0" w:color="auto"/>
        <w:left w:val="none" w:sz="0" w:space="0" w:color="auto"/>
        <w:bottom w:val="none" w:sz="0" w:space="0" w:color="auto"/>
        <w:right w:val="none" w:sz="0" w:space="0" w:color="auto"/>
      </w:divBdr>
    </w:div>
    <w:div w:id="2045668905">
      <w:bodyDiv w:val="1"/>
      <w:marLeft w:val="0"/>
      <w:marRight w:val="0"/>
      <w:marTop w:val="0"/>
      <w:marBottom w:val="0"/>
      <w:divBdr>
        <w:top w:val="none" w:sz="0" w:space="0" w:color="auto"/>
        <w:left w:val="none" w:sz="0" w:space="0" w:color="auto"/>
        <w:bottom w:val="none" w:sz="0" w:space="0" w:color="auto"/>
        <w:right w:val="none" w:sz="0" w:space="0" w:color="auto"/>
      </w:divBdr>
    </w:div>
    <w:div w:id="20972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Sally.Mackay@dfat.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Jessica.Gillmore@shsglobal.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nfpa.org/sites/default/files/resource-pdf/One%20pager%20on%20youth%20demographics%20GF.pdf" TargetMode="External"/><Relationship Id="rId1" Type="http://schemas.openxmlformats.org/officeDocument/2006/relationships/hyperlink" Target="https://www.indexmundi.com/kiribati/demographics_profile.html" TargetMode="External"/></Relationships>
</file>

<file path=word/theme/theme1.xml><?xml version="1.0" encoding="utf-8"?>
<a:theme xmlns:a="http://schemas.openxmlformats.org/drawingml/2006/main" name="Office Theme">
  <a:themeElements>
    <a:clrScheme name="SHS">
      <a:dk1>
        <a:sysClr val="windowText" lastClr="000000"/>
      </a:dk1>
      <a:lt1>
        <a:sysClr val="window" lastClr="FFFFFF"/>
      </a:lt1>
      <a:dk2>
        <a:srgbClr val="39302A"/>
      </a:dk2>
      <a:lt2>
        <a:srgbClr val="E5DEDB"/>
      </a:lt2>
      <a:accent1>
        <a:srgbClr val="DA2926"/>
      </a:accent1>
      <a:accent2>
        <a:srgbClr val="DA2926"/>
      </a:accent2>
      <a:accent3>
        <a:srgbClr val="DA2926"/>
      </a:accent3>
      <a:accent4>
        <a:srgbClr val="DA2926"/>
      </a:accent4>
      <a:accent5>
        <a:srgbClr val="DA2926"/>
      </a:accent5>
      <a:accent6>
        <a:srgbClr val="DA2926"/>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9A6A1-D030-412C-8515-A16A7135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30599</Words>
  <Characters>174416</Characters>
  <Application>Microsoft Office Word</Application>
  <DocSecurity>4</DocSecurity>
  <Lines>1453</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2021-07-07T23:48:00Z</dcterms:created>
  <dcterms:modified xsi:type="dcterms:W3CDTF">2021-07-07T23:48:00Z</dcterms:modified>
  <cp:category/>
</cp:coreProperties>
</file>