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4B" w:rsidRDefault="005D3F4B" w:rsidP="005D3F4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Independent </w:t>
      </w:r>
      <w:r w:rsidR="003D6E0A">
        <w:rPr>
          <w:sz w:val="24"/>
          <w:lang w:eastAsia="en-AU"/>
        </w:rPr>
        <w:t>Evaluation of</w:t>
      </w:r>
      <w:r w:rsidR="008F5624">
        <w:rPr>
          <w:sz w:val="24"/>
          <w:lang w:eastAsia="en-AU"/>
        </w:rPr>
        <w:t xml:space="preserve"> Tonga TVET Support Program 1 (TSP1) </w:t>
      </w:r>
    </w:p>
    <w:p w:rsidR="003D6E0A" w:rsidRDefault="005D3F4B" w:rsidP="003D6E0A">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w:t>
      </w:r>
      <w:r w:rsidR="005477B9">
        <w:rPr>
          <w:sz w:val="24"/>
          <w:lang w:eastAsia="en-AU"/>
        </w:rPr>
        <w:t>ANAGEMENT RESPONSE</w:t>
      </w:r>
    </w:p>
    <w:p w:rsidR="005477B9" w:rsidRPr="005477B9" w:rsidRDefault="005477B9" w:rsidP="006C54A3">
      <w:pPr>
        <w:tabs>
          <w:tab w:val="left" w:pos="1539"/>
        </w:tabs>
        <w:spacing w:before="360"/>
        <w:rPr>
          <w:lang w:eastAsia="en-AU"/>
        </w:rPr>
      </w:pPr>
      <w:r w:rsidRPr="005477B9">
        <w:rPr>
          <w:lang w:eastAsia="en-AU"/>
        </w:rPr>
        <w:t xml:space="preserve">Prepared by: </w:t>
      </w:r>
      <w:r w:rsidR="006C54A3">
        <w:rPr>
          <w:lang w:eastAsia="en-AU"/>
        </w:rPr>
        <w:tab/>
      </w:r>
      <w:r w:rsidR="00E2264A">
        <w:rPr>
          <w:lang w:eastAsia="en-AU"/>
        </w:rPr>
        <w:t xml:space="preserve">Education Team, </w:t>
      </w:r>
      <w:r w:rsidR="00EB3052">
        <w:rPr>
          <w:lang w:eastAsia="en-AU"/>
        </w:rPr>
        <w:t xml:space="preserve">AusAID </w:t>
      </w:r>
      <w:r w:rsidR="00E2264A">
        <w:rPr>
          <w:lang w:eastAsia="en-AU"/>
        </w:rPr>
        <w:t>Nuku’alofa Post</w:t>
      </w:r>
    </w:p>
    <w:p w:rsidR="005477B9" w:rsidRPr="005477B9" w:rsidRDefault="005477B9" w:rsidP="006C54A3">
      <w:pPr>
        <w:tabs>
          <w:tab w:val="left" w:pos="1539"/>
        </w:tabs>
        <w:rPr>
          <w:lang w:eastAsia="en-AU"/>
        </w:rPr>
      </w:pPr>
      <w:r w:rsidRPr="005477B9">
        <w:rPr>
          <w:lang w:eastAsia="en-AU"/>
        </w:rPr>
        <w:t xml:space="preserve">Approved by: </w:t>
      </w:r>
      <w:r w:rsidR="006C54A3">
        <w:rPr>
          <w:lang w:eastAsia="en-AU"/>
        </w:rPr>
        <w:tab/>
      </w:r>
      <w:r w:rsidR="008F5624">
        <w:rPr>
          <w:lang w:eastAsia="en-AU"/>
        </w:rPr>
        <w:t>John Davidson</w:t>
      </w:r>
      <w:r w:rsidR="00EB3052">
        <w:rPr>
          <w:lang w:eastAsia="en-AU"/>
        </w:rPr>
        <w:t>, Minister-Counsellor, Pacific</w:t>
      </w:r>
      <w:r w:rsidR="008F5624">
        <w:rPr>
          <w:lang w:eastAsia="en-AU"/>
        </w:rPr>
        <w:t xml:space="preserve"> </w:t>
      </w:r>
    </w:p>
    <w:p w:rsidR="005477B9" w:rsidRPr="005477B9" w:rsidRDefault="005477B9" w:rsidP="006C54A3">
      <w:pPr>
        <w:tabs>
          <w:tab w:val="left" w:pos="1539"/>
        </w:tabs>
        <w:rPr>
          <w:lang w:eastAsia="en-AU"/>
        </w:rPr>
      </w:pPr>
      <w:r w:rsidRPr="005477B9">
        <w:rPr>
          <w:lang w:eastAsia="en-AU"/>
        </w:rPr>
        <w:t xml:space="preserve">Date Approved: </w:t>
      </w:r>
      <w:r w:rsidR="006C54A3">
        <w:rPr>
          <w:lang w:eastAsia="en-AU"/>
        </w:rPr>
        <w:tab/>
      </w:r>
    </w:p>
    <w:p w:rsidR="00FC5426" w:rsidRDefault="00FC5426" w:rsidP="00030875">
      <w:pPr>
        <w:pStyle w:val="Heading2"/>
        <w:shd w:val="clear" w:color="auto" w:fill="BFBFBF"/>
        <w:spacing w:before="0" w:after="0"/>
      </w:pPr>
    </w:p>
    <w:p w:rsidR="00F36188" w:rsidRDefault="00F36188" w:rsidP="00030875">
      <w:pPr>
        <w:pStyle w:val="Heading2"/>
        <w:shd w:val="clear" w:color="auto" w:fill="BFBFBF"/>
        <w:spacing w:before="0" w:after="0"/>
      </w:pPr>
      <w:r>
        <w:t>Aid Activity Summary</w:t>
      </w:r>
      <w:bookmarkStart w:id="0" w:name="_GoBack"/>
      <w:bookmarkEnd w:id="0"/>
    </w:p>
    <w:p w:rsidR="00F36188" w:rsidRPr="00F36188" w:rsidRDefault="00F36188" w:rsidP="00F36188">
      <w:pPr>
        <w:rPr>
          <w:i/>
          <w:color w:val="666699"/>
          <w:lang w:eastAsia="en-AU"/>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F36188" w:rsidRPr="00C719D2" w:rsidTr="00C719D2">
        <w:trPr>
          <w:cantSplit/>
          <w:tblHeader/>
        </w:trPr>
        <w:tc>
          <w:tcPr>
            <w:tcW w:w="2235" w:type="dxa"/>
            <w:shd w:val="clear" w:color="auto" w:fill="E0E0E0"/>
            <w:vAlign w:val="center"/>
          </w:tcPr>
          <w:p w:rsidR="00F36188" w:rsidRPr="00C719D2" w:rsidRDefault="00F36188" w:rsidP="003F7C64">
            <w:pPr>
              <w:pStyle w:val="Table-normal-text"/>
              <w:rPr>
                <w:b/>
              </w:rPr>
            </w:pPr>
            <w:r w:rsidRPr="00C719D2">
              <w:rPr>
                <w:b/>
              </w:rPr>
              <w:t>Aid Activity Name</w:t>
            </w:r>
          </w:p>
        </w:tc>
        <w:tc>
          <w:tcPr>
            <w:tcW w:w="6191" w:type="dxa"/>
            <w:gridSpan w:val="3"/>
            <w:shd w:val="clear" w:color="auto" w:fill="E0E0E0"/>
            <w:vAlign w:val="center"/>
          </w:tcPr>
          <w:p w:rsidR="00F36188" w:rsidRPr="00C719D2" w:rsidRDefault="00821D18" w:rsidP="008F5624">
            <w:pPr>
              <w:pStyle w:val="Table-normal-text"/>
              <w:rPr>
                <w:b/>
              </w:rPr>
            </w:pPr>
            <w:r>
              <w:rPr>
                <w:b/>
              </w:rPr>
              <w:t xml:space="preserve">Tonga TVET </w:t>
            </w:r>
            <w:r w:rsidR="008F5624">
              <w:rPr>
                <w:b/>
              </w:rPr>
              <w:t xml:space="preserve">Support Program Phase 1 (TSP1) </w:t>
            </w:r>
          </w:p>
        </w:tc>
      </w:tr>
      <w:tr w:rsidR="00F36188" w:rsidRPr="00C719D2" w:rsidTr="00C719D2">
        <w:trPr>
          <w:cantSplit/>
        </w:trPr>
        <w:tc>
          <w:tcPr>
            <w:tcW w:w="2235" w:type="dxa"/>
            <w:shd w:val="clear" w:color="auto" w:fill="auto"/>
          </w:tcPr>
          <w:p w:rsidR="00F36188" w:rsidRPr="00F2320B" w:rsidRDefault="00F36188" w:rsidP="003F7C64">
            <w:pPr>
              <w:pStyle w:val="Table-normal-text"/>
            </w:pPr>
            <w:r w:rsidRPr="00F2320B">
              <w:t>AidWorks initiative number</w:t>
            </w:r>
          </w:p>
        </w:tc>
        <w:tc>
          <w:tcPr>
            <w:tcW w:w="6191" w:type="dxa"/>
            <w:gridSpan w:val="3"/>
            <w:shd w:val="clear" w:color="auto" w:fill="auto"/>
          </w:tcPr>
          <w:p w:rsidR="00F36188" w:rsidRPr="00F2320B" w:rsidRDefault="00821D18" w:rsidP="003F7C64">
            <w:pPr>
              <w:pStyle w:val="Table-normal-text"/>
            </w:pPr>
            <w:r>
              <w:t>INI954</w:t>
            </w:r>
          </w:p>
        </w:tc>
      </w:tr>
      <w:tr w:rsidR="00F36188" w:rsidRPr="00C719D2" w:rsidTr="00C719D2">
        <w:trPr>
          <w:cantSplit/>
        </w:trPr>
        <w:tc>
          <w:tcPr>
            <w:tcW w:w="2235" w:type="dxa"/>
            <w:shd w:val="clear" w:color="auto" w:fill="auto"/>
          </w:tcPr>
          <w:p w:rsidR="00F36188" w:rsidRPr="00F2320B" w:rsidRDefault="00F36188" w:rsidP="003F7C64">
            <w:pPr>
              <w:pStyle w:val="Table-normal-text"/>
            </w:pPr>
            <w:r w:rsidRPr="00F2320B">
              <w:t xml:space="preserve">Commencement </w:t>
            </w:r>
            <w:r>
              <w:t>d</w:t>
            </w:r>
            <w:r w:rsidRPr="00F2320B">
              <w:t>ate</w:t>
            </w:r>
          </w:p>
        </w:tc>
        <w:tc>
          <w:tcPr>
            <w:tcW w:w="2126" w:type="dxa"/>
            <w:shd w:val="clear" w:color="auto" w:fill="auto"/>
          </w:tcPr>
          <w:p w:rsidR="00F36188" w:rsidRPr="00F2320B" w:rsidRDefault="009A6B81" w:rsidP="003F7C64">
            <w:pPr>
              <w:pStyle w:val="Table-normal-text"/>
            </w:pPr>
            <w:r>
              <w:t>May</w:t>
            </w:r>
            <w:r w:rsidR="008F5624">
              <w:t xml:space="preserve"> 2010</w:t>
            </w:r>
          </w:p>
        </w:tc>
        <w:tc>
          <w:tcPr>
            <w:tcW w:w="1701" w:type="dxa"/>
            <w:shd w:val="clear" w:color="auto" w:fill="auto"/>
          </w:tcPr>
          <w:p w:rsidR="00F36188" w:rsidRPr="00F2320B" w:rsidRDefault="00F36188" w:rsidP="003F7C64">
            <w:pPr>
              <w:pStyle w:val="Table-normal-text"/>
            </w:pPr>
            <w:r w:rsidRPr="00F2320B">
              <w:t xml:space="preserve">Completion </w:t>
            </w:r>
            <w:r>
              <w:t>d</w:t>
            </w:r>
            <w:r w:rsidRPr="00F2320B">
              <w:t>ate</w:t>
            </w:r>
          </w:p>
        </w:tc>
        <w:tc>
          <w:tcPr>
            <w:tcW w:w="2364" w:type="dxa"/>
            <w:shd w:val="clear" w:color="auto" w:fill="auto"/>
          </w:tcPr>
          <w:p w:rsidR="00F36188" w:rsidRPr="00F2320B" w:rsidRDefault="008F5624" w:rsidP="003F7C64">
            <w:pPr>
              <w:pStyle w:val="Table-normal-text"/>
            </w:pPr>
            <w:r>
              <w:t>June 2014</w:t>
            </w:r>
          </w:p>
        </w:tc>
      </w:tr>
      <w:tr w:rsidR="00F36188" w:rsidRPr="00C719D2" w:rsidTr="00C719D2">
        <w:trPr>
          <w:cantSplit/>
        </w:trPr>
        <w:tc>
          <w:tcPr>
            <w:tcW w:w="2235" w:type="dxa"/>
            <w:shd w:val="clear" w:color="auto" w:fill="auto"/>
          </w:tcPr>
          <w:p w:rsidR="00F36188" w:rsidRPr="00F2320B" w:rsidRDefault="00F36188" w:rsidP="003F7C64">
            <w:pPr>
              <w:pStyle w:val="Table-normal-text"/>
            </w:pPr>
            <w:r>
              <w:t>Total Australian $</w:t>
            </w:r>
          </w:p>
        </w:tc>
        <w:tc>
          <w:tcPr>
            <w:tcW w:w="6191" w:type="dxa"/>
            <w:gridSpan w:val="3"/>
            <w:shd w:val="clear" w:color="auto" w:fill="auto"/>
          </w:tcPr>
          <w:p w:rsidR="00F36188" w:rsidRPr="00F2320B" w:rsidRDefault="008F5624" w:rsidP="003F7C64">
            <w:pPr>
              <w:pStyle w:val="Table-normal-text"/>
            </w:pPr>
            <w:r>
              <w:t>$3.7</w:t>
            </w:r>
            <w:r w:rsidR="00F97044">
              <w:t>1</w:t>
            </w:r>
            <w:r>
              <w:t xml:space="preserve"> million</w:t>
            </w:r>
          </w:p>
        </w:tc>
      </w:tr>
      <w:tr w:rsidR="00F36188" w:rsidRPr="00C719D2" w:rsidTr="00C719D2">
        <w:trPr>
          <w:cantSplit/>
        </w:trPr>
        <w:tc>
          <w:tcPr>
            <w:tcW w:w="2235" w:type="dxa"/>
            <w:shd w:val="clear" w:color="auto" w:fill="auto"/>
          </w:tcPr>
          <w:p w:rsidR="00F36188" w:rsidRPr="00F2320B" w:rsidRDefault="00F36188" w:rsidP="003F7C64">
            <w:pPr>
              <w:pStyle w:val="Table-normal-text"/>
            </w:pPr>
            <w:r>
              <w:t>Total other $</w:t>
            </w:r>
          </w:p>
        </w:tc>
        <w:tc>
          <w:tcPr>
            <w:tcW w:w="6191" w:type="dxa"/>
            <w:gridSpan w:val="3"/>
            <w:shd w:val="clear" w:color="auto" w:fill="auto"/>
          </w:tcPr>
          <w:p w:rsidR="00F36188" w:rsidRPr="00F2320B" w:rsidRDefault="008F5624" w:rsidP="008F5624">
            <w:pPr>
              <w:pStyle w:val="Table-normal-text"/>
            </w:pPr>
            <w:r>
              <w:t>$3.7</w:t>
            </w:r>
            <w:r w:rsidR="00F97044">
              <w:t>1</w:t>
            </w:r>
            <w:r>
              <w:t xml:space="preserve"> million</w:t>
            </w:r>
          </w:p>
        </w:tc>
      </w:tr>
      <w:tr w:rsidR="00F36188" w:rsidRPr="00C719D2" w:rsidTr="00C719D2">
        <w:trPr>
          <w:cantSplit/>
        </w:trPr>
        <w:tc>
          <w:tcPr>
            <w:tcW w:w="2235" w:type="dxa"/>
            <w:shd w:val="clear" w:color="auto" w:fill="auto"/>
          </w:tcPr>
          <w:p w:rsidR="00F36188" w:rsidRPr="00F2320B" w:rsidRDefault="00F36188" w:rsidP="003F7C64">
            <w:pPr>
              <w:pStyle w:val="Table-normal-text"/>
            </w:pPr>
            <w:r w:rsidRPr="00F2320B">
              <w:t>Delivery organisation(s)</w:t>
            </w:r>
          </w:p>
        </w:tc>
        <w:tc>
          <w:tcPr>
            <w:tcW w:w="6191" w:type="dxa"/>
            <w:gridSpan w:val="3"/>
            <w:shd w:val="clear" w:color="auto" w:fill="auto"/>
          </w:tcPr>
          <w:p w:rsidR="00F36188" w:rsidRPr="00F2320B" w:rsidRDefault="00EB3052" w:rsidP="003F7C64">
            <w:pPr>
              <w:pStyle w:val="Table-normal-text"/>
            </w:pPr>
            <w:r w:rsidRPr="00EB3052">
              <w:t>Tonga TVET Support Program (TSP)</w:t>
            </w:r>
            <w:r w:rsidR="008F5624">
              <w:t xml:space="preserve"> Office, </w:t>
            </w:r>
            <w:r>
              <w:t>Ministry of Training, Employment, Youth and Sports (MOTEYS)</w:t>
            </w:r>
          </w:p>
        </w:tc>
      </w:tr>
      <w:tr w:rsidR="00F36188" w:rsidRPr="00C719D2" w:rsidTr="00C719D2">
        <w:trPr>
          <w:cantSplit/>
        </w:trPr>
        <w:tc>
          <w:tcPr>
            <w:tcW w:w="2235" w:type="dxa"/>
            <w:shd w:val="clear" w:color="auto" w:fill="auto"/>
          </w:tcPr>
          <w:p w:rsidR="00F36188" w:rsidRPr="00F2320B" w:rsidRDefault="00F36188" w:rsidP="003F7C64">
            <w:pPr>
              <w:pStyle w:val="Table-normal-text"/>
            </w:pPr>
            <w:r w:rsidRPr="00F2320B">
              <w:t>Implementing Partner(s)</w:t>
            </w:r>
          </w:p>
        </w:tc>
        <w:tc>
          <w:tcPr>
            <w:tcW w:w="6191" w:type="dxa"/>
            <w:gridSpan w:val="3"/>
            <w:shd w:val="clear" w:color="auto" w:fill="auto"/>
          </w:tcPr>
          <w:p w:rsidR="00F36188" w:rsidRPr="00F2320B" w:rsidRDefault="00CD6D87" w:rsidP="00CD6D87">
            <w:pPr>
              <w:pStyle w:val="Table-normal-text"/>
            </w:pPr>
            <w:r>
              <w:t xml:space="preserve">Government of Tonga, </w:t>
            </w:r>
            <w:r w:rsidR="008F5624">
              <w:t>Ministry of Training, Employment, Youth and Sports (MOTEYS)</w:t>
            </w:r>
            <w:r w:rsidR="008A41E8">
              <w:t xml:space="preserve"> </w:t>
            </w:r>
            <w:r>
              <w:t xml:space="preserve">until </w:t>
            </w:r>
            <w:r w:rsidR="008A41E8">
              <w:t>1 July 2012</w:t>
            </w:r>
            <w:r>
              <w:t xml:space="preserve"> when this program transfers to the Ministry of </w:t>
            </w:r>
            <w:r w:rsidR="008A41E8">
              <w:t>Education and Training</w:t>
            </w:r>
          </w:p>
        </w:tc>
      </w:tr>
      <w:tr w:rsidR="00F36188" w:rsidRPr="00C719D2" w:rsidTr="00C719D2">
        <w:trPr>
          <w:cantSplit/>
        </w:trPr>
        <w:tc>
          <w:tcPr>
            <w:tcW w:w="2235" w:type="dxa"/>
            <w:shd w:val="clear" w:color="auto" w:fill="auto"/>
          </w:tcPr>
          <w:p w:rsidR="00F36188" w:rsidRPr="00F2320B" w:rsidRDefault="00F36188" w:rsidP="003F7C64">
            <w:pPr>
              <w:pStyle w:val="Table-normal-text"/>
            </w:pPr>
            <w:r w:rsidRPr="00F2320B">
              <w:t>Country/Region</w:t>
            </w:r>
          </w:p>
        </w:tc>
        <w:tc>
          <w:tcPr>
            <w:tcW w:w="6191" w:type="dxa"/>
            <w:gridSpan w:val="3"/>
            <w:shd w:val="clear" w:color="auto" w:fill="auto"/>
          </w:tcPr>
          <w:p w:rsidR="00F36188" w:rsidRPr="00F2320B" w:rsidRDefault="008F5624" w:rsidP="003F7C64">
            <w:pPr>
              <w:pStyle w:val="Table-normal-text"/>
            </w:pPr>
            <w:r>
              <w:t>Tonga</w:t>
            </w:r>
          </w:p>
        </w:tc>
      </w:tr>
      <w:tr w:rsidR="00F36188" w:rsidRPr="00C719D2" w:rsidTr="00C719D2">
        <w:trPr>
          <w:cantSplit/>
        </w:trPr>
        <w:tc>
          <w:tcPr>
            <w:tcW w:w="2235" w:type="dxa"/>
            <w:shd w:val="clear" w:color="auto" w:fill="auto"/>
          </w:tcPr>
          <w:p w:rsidR="00F36188" w:rsidRPr="00F2320B" w:rsidRDefault="00F36188" w:rsidP="003F7C64">
            <w:pPr>
              <w:pStyle w:val="Table-normal-text"/>
            </w:pPr>
            <w:r w:rsidRPr="00F2320B">
              <w:t>Primary Sector</w:t>
            </w:r>
          </w:p>
        </w:tc>
        <w:tc>
          <w:tcPr>
            <w:tcW w:w="6191" w:type="dxa"/>
            <w:gridSpan w:val="3"/>
            <w:shd w:val="clear" w:color="auto" w:fill="auto"/>
          </w:tcPr>
          <w:p w:rsidR="00F36188" w:rsidRPr="00F2320B" w:rsidRDefault="008A41E8" w:rsidP="003F7C64">
            <w:pPr>
              <w:pStyle w:val="Table-normal-text"/>
            </w:pPr>
            <w:r>
              <w:t>Education</w:t>
            </w:r>
          </w:p>
        </w:tc>
      </w:tr>
    </w:tbl>
    <w:p w:rsidR="00FC5426" w:rsidRDefault="00FC5426" w:rsidP="00030875">
      <w:pPr>
        <w:shd w:val="clear" w:color="auto" w:fill="BFBFBF"/>
        <w:spacing w:before="0"/>
        <w:rPr>
          <w:b/>
          <w:sz w:val="24"/>
        </w:rPr>
      </w:pPr>
    </w:p>
    <w:p w:rsidR="00F36188" w:rsidRPr="008A41E8" w:rsidRDefault="00123C3E" w:rsidP="00030875">
      <w:pPr>
        <w:shd w:val="clear" w:color="auto" w:fill="BFBFBF"/>
        <w:spacing w:before="0"/>
        <w:rPr>
          <w:b/>
          <w:sz w:val="24"/>
        </w:rPr>
      </w:pPr>
      <w:r w:rsidRPr="008A41E8">
        <w:rPr>
          <w:b/>
          <w:sz w:val="24"/>
        </w:rPr>
        <w:t>Aid Activity Objective:</w:t>
      </w:r>
    </w:p>
    <w:p w:rsidR="003774FE" w:rsidRDefault="003774FE" w:rsidP="003774FE">
      <w:pPr>
        <w:spacing w:before="0"/>
      </w:pPr>
    </w:p>
    <w:p w:rsidR="00123C3E" w:rsidRDefault="007A2C6B" w:rsidP="003774FE">
      <w:pPr>
        <w:spacing w:before="0"/>
        <w:rPr>
          <w:i/>
          <w:color w:val="666699"/>
          <w:lang w:eastAsia="en-AU"/>
        </w:rPr>
      </w:pPr>
      <w:r>
        <w:t>The overarching objective of TSP1 is to make Tongans more competitive in domestic, regional and international labour markets through improved demand based TVET and internationally recognised qualifications.</w:t>
      </w:r>
      <w:r w:rsidRPr="00F36188">
        <w:rPr>
          <w:i/>
          <w:color w:val="666699"/>
          <w:lang w:eastAsia="en-AU"/>
        </w:rPr>
        <w:t xml:space="preserve"> </w:t>
      </w:r>
    </w:p>
    <w:p w:rsidR="00FC5426" w:rsidRPr="00F36188" w:rsidRDefault="00FC5426" w:rsidP="003774FE">
      <w:pPr>
        <w:spacing w:before="0"/>
        <w:rPr>
          <w:i/>
          <w:color w:val="666699"/>
          <w:lang w:eastAsia="en-AU"/>
        </w:rPr>
      </w:pPr>
    </w:p>
    <w:p w:rsidR="003774FE" w:rsidRDefault="003774FE" w:rsidP="00030875">
      <w:pPr>
        <w:pStyle w:val="Heading2"/>
        <w:shd w:val="clear" w:color="auto" w:fill="BFBFBF"/>
        <w:spacing w:before="0" w:after="0"/>
      </w:pPr>
    </w:p>
    <w:p w:rsidR="00F36188" w:rsidRDefault="00123C3E" w:rsidP="00030875">
      <w:pPr>
        <w:pStyle w:val="Heading2"/>
        <w:shd w:val="clear" w:color="auto" w:fill="BFBFBF"/>
        <w:spacing w:before="0" w:after="0"/>
      </w:pPr>
      <w:r>
        <w:t>Independent Evaluation Summary</w:t>
      </w:r>
    </w:p>
    <w:p w:rsidR="00F97044" w:rsidRDefault="00F97044" w:rsidP="00FC5426">
      <w:pPr>
        <w:spacing w:before="0"/>
        <w:rPr>
          <w:b/>
        </w:rPr>
      </w:pPr>
    </w:p>
    <w:p w:rsidR="00F36188" w:rsidRDefault="00123C3E" w:rsidP="003774FE">
      <w:pPr>
        <w:spacing w:before="0"/>
        <w:rPr>
          <w:b/>
        </w:rPr>
      </w:pPr>
      <w:r w:rsidRPr="00123C3E">
        <w:rPr>
          <w:b/>
        </w:rPr>
        <w:t>Evaluation Objective:</w:t>
      </w:r>
    </w:p>
    <w:p w:rsidR="003774FE" w:rsidRDefault="003774FE" w:rsidP="003774FE">
      <w:pPr>
        <w:spacing w:before="0"/>
        <w:rPr>
          <w:b/>
        </w:rPr>
      </w:pPr>
    </w:p>
    <w:p w:rsidR="007A2C6B" w:rsidRPr="007A2C6B" w:rsidRDefault="007A2C6B" w:rsidP="00EA4C5C">
      <w:pPr>
        <w:numPr>
          <w:ilvl w:val="0"/>
          <w:numId w:val="10"/>
        </w:numPr>
        <w:tabs>
          <w:tab w:val="left" w:pos="709"/>
        </w:tabs>
        <w:spacing w:before="0" w:line="276" w:lineRule="auto"/>
        <w:ind w:left="709" w:hanging="709"/>
      </w:pPr>
      <w:r w:rsidRPr="007A2C6B">
        <w:t>Provide an independent assessment of the progress against</w:t>
      </w:r>
      <w:r w:rsidR="00CD6D87">
        <w:t xml:space="preserve"> the</w:t>
      </w:r>
      <w:r w:rsidRPr="007A2C6B">
        <w:t xml:space="preserve"> objectives of the Tonga Technical </w:t>
      </w:r>
      <w:r w:rsidR="00EA4C5C">
        <w:t xml:space="preserve">     </w:t>
      </w:r>
      <w:r w:rsidRPr="007A2C6B">
        <w:t>and Vocational Education (TVET) Support Program (TSP1) referen</w:t>
      </w:r>
      <w:r w:rsidR="00EA4C5C">
        <w:t>cing AusAID assessment criteria;</w:t>
      </w:r>
      <w:r w:rsidRPr="007A2C6B">
        <w:t xml:space="preserve">  </w:t>
      </w:r>
      <w:r w:rsidR="00EA4C5C">
        <w:t>i</w:t>
      </w:r>
      <w:r w:rsidRPr="007A2C6B">
        <w:t xml:space="preserve">n particular, the </w:t>
      </w:r>
      <w:r w:rsidR="00EA4C5C">
        <w:t>assessment</w:t>
      </w:r>
      <w:r w:rsidRPr="007A2C6B">
        <w:t xml:space="preserve"> will examine the activity’s scope and its management model, strengths and comparative advantages and also provide lessons for </w:t>
      </w:r>
      <w:r w:rsidR="00EA4C5C">
        <w:t>future support to TVET in Tonga;</w:t>
      </w:r>
    </w:p>
    <w:p w:rsidR="007A2C6B" w:rsidRPr="007A2C6B" w:rsidRDefault="007A2C6B" w:rsidP="00EA4C5C">
      <w:pPr>
        <w:numPr>
          <w:ilvl w:val="0"/>
          <w:numId w:val="10"/>
        </w:numPr>
        <w:tabs>
          <w:tab w:val="left" w:pos="709"/>
        </w:tabs>
        <w:spacing w:before="0" w:line="276" w:lineRule="auto"/>
        <w:ind w:left="709" w:hanging="709"/>
      </w:pPr>
      <w:r w:rsidRPr="007A2C6B">
        <w:t>Identify issues that need to be addressed to improve the implementation and management of TSP1 through to December 2012</w:t>
      </w:r>
      <w:r w:rsidR="00CD6D87">
        <w:t>,</w:t>
      </w:r>
      <w:r w:rsidRPr="007A2C6B">
        <w:t xml:space="preserve"> and recommend a course of action to accomplish this.</w:t>
      </w:r>
    </w:p>
    <w:p w:rsidR="00F97044" w:rsidRDefault="00F97044" w:rsidP="003774FE">
      <w:pPr>
        <w:spacing w:before="0"/>
        <w:rPr>
          <w:b/>
        </w:rPr>
      </w:pPr>
    </w:p>
    <w:p w:rsidR="00123C3E" w:rsidRPr="00E2264A" w:rsidRDefault="00123C3E" w:rsidP="003774FE">
      <w:pPr>
        <w:spacing w:before="0"/>
      </w:pPr>
      <w:r w:rsidRPr="00123C3E">
        <w:rPr>
          <w:b/>
        </w:rPr>
        <w:t>Evaluation Completion Date:</w:t>
      </w:r>
      <w:r w:rsidR="00E2264A">
        <w:rPr>
          <w:b/>
        </w:rPr>
        <w:t xml:space="preserve">  </w:t>
      </w:r>
      <w:r w:rsidR="00E2264A">
        <w:t>July 2012</w:t>
      </w:r>
    </w:p>
    <w:p w:rsidR="005B6097" w:rsidRDefault="005B6097" w:rsidP="003774FE">
      <w:pPr>
        <w:spacing w:before="0"/>
        <w:rPr>
          <w:b/>
        </w:rPr>
      </w:pPr>
    </w:p>
    <w:p w:rsidR="00123C3E" w:rsidRDefault="00123C3E" w:rsidP="003774FE">
      <w:pPr>
        <w:spacing w:before="0"/>
        <w:rPr>
          <w:b/>
        </w:rPr>
      </w:pPr>
      <w:r w:rsidRPr="00123C3E">
        <w:rPr>
          <w:b/>
        </w:rPr>
        <w:t>Evaluation Team:</w:t>
      </w:r>
      <w:r w:rsidR="00595CF4">
        <w:rPr>
          <w:b/>
        </w:rPr>
        <w:t xml:space="preserve">  </w:t>
      </w:r>
    </w:p>
    <w:p w:rsidR="003774FE" w:rsidRDefault="003774FE" w:rsidP="003774FE">
      <w:pPr>
        <w:spacing w:before="0"/>
        <w:rPr>
          <w:b/>
        </w:rPr>
      </w:pPr>
    </w:p>
    <w:p w:rsidR="00595CF4" w:rsidRDefault="00EA4C5C" w:rsidP="00030875">
      <w:pPr>
        <w:numPr>
          <w:ilvl w:val="1"/>
          <w:numId w:val="11"/>
        </w:numPr>
        <w:spacing w:before="0"/>
      </w:pPr>
      <w:r>
        <w:t xml:space="preserve">Mr </w:t>
      </w:r>
      <w:r w:rsidR="00595CF4">
        <w:t>Peter Morris – Team Leader</w:t>
      </w:r>
    </w:p>
    <w:p w:rsidR="00595CF4" w:rsidRDefault="00EA4C5C" w:rsidP="00030875">
      <w:pPr>
        <w:numPr>
          <w:ilvl w:val="1"/>
          <w:numId w:val="11"/>
        </w:numPr>
        <w:spacing w:before="0"/>
      </w:pPr>
      <w:r>
        <w:t xml:space="preserve">Dr </w:t>
      </w:r>
      <w:r w:rsidR="00595CF4">
        <w:t>Ton Farla – TVET</w:t>
      </w:r>
      <w:r w:rsidR="00CD6D87">
        <w:t xml:space="preserve"> and Monitoring and Evaluation </w:t>
      </w:r>
      <w:r w:rsidR="00595CF4">
        <w:t>Specialist</w:t>
      </w:r>
    </w:p>
    <w:p w:rsidR="00595CF4" w:rsidRDefault="00EA4C5C" w:rsidP="00030875">
      <w:pPr>
        <w:numPr>
          <w:ilvl w:val="1"/>
          <w:numId w:val="11"/>
        </w:numPr>
        <w:spacing w:before="0"/>
      </w:pPr>
      <w:r>
        <w:lastRenderedPageBreak/>
        <w:t xml:space="preserve">Mr </w:t>
      </w:r>
      <w:r w:rsidR="00595CF4">
        <w:t>Oto Misi – Government of Tonga representative</w:t>
      </w:r>
    </w:p>
    <w:p w:rsidR="003774FE" w:rsidRPr="00595CF4" w:rsidRDefault="003774FE" w:rsidP="003774FE">
      <w:pPr>
        <w:spacing w:before="0"/>
      </w:pPr>
    </w:p>
    <w:p w:rsidR="003774FE" w:rsidRDefault="003774FE" w:rsidP="00030875">
      <w:pPr>
        <w:pStyle w:val="Heading2"/>
        <w:shd w:val="clear" w:color="auto" w:fill="BFBFBF"/>
        <w:spacing w:before="0" w:after="0"/>
      </w:pPr>
    </w:p>
    <w:p w:rsidR="00123C3E" w:rsidRDefault="005477B9" w:rsidP="00030875">
      <w:pPr>
        <w:pStyle w:val="Heading2"/>
        <w:shd w:val="clear" w:color="auto" w:fill="BFBFBF"/>
        <w:spacing w:before="0" w:after="0"/>
      </w:pPr>
      <w:r>
        <w:t>Management Response</w:t>
      </w:r>
    </w:p>
    <w:p w:rsidR="003774FE" w:rsidRDefault="003774FE" w:rsidP="003774FE">
      <w:pPr>
        <w:spacing w:before="0"/>
        <w:jc w:val="both"/>
        <w:rPr>
          <w:rFonts w:cs="Arial"/>
          <w:szCs w:val="20"/>
        </w:rPr>
      </w:pPr>
    </w:p>
    <w:p w:rsidR="003774FE" w:rsidRPr="003774FE" w:rsidRDefault="003774FE" w:rsidP="003774FE">
      <w:pPr>
        <w:spacing w:before="0"/>
        <w:jc w:val="both"/>
        <w:rPr>
          <w:rFonts w:cs="Arial"/>
          <w:szCs w:val="20"/>
        </w:rPr>
      </w:pPr>
      <w:r w:rsidRPr="003774FE">
        <w:rPr>
          <w:rFonts w:cs="Arial"/>
          <w:szCs w:val="20"/>
        </w:rPr>
        <w:t xml:space="preserve">The </w:t>
      </w:r>
      <w:r w:rsidR="00EA4C5C">
        <w:rPr>
          <w:rFonts w:cs="Arial"/>
          <w:szCs w:val="20"/>
        </w:rPr>
        <w:t xml:space="preserve">Independent Progress Review (IPR) </w:t>
      </w:r>
      <w:r w:rsidRPr="003774FE">
        <w:rPr>
          <w:rFonts w:cs="Arial"/>
          <w:szCs w:val="20"/>
        </w:rPr>
        <w:t>was jointly agreed to by the Governments of Australia, Tonga and New Zealand in accordance with the TSP1 design</w:t>
      </w:r>
      <w:r w:rsidR="00EA4C5C">
        <w:rPr>
          <w:rFonts w:cs="Arial"/>
          <w:szCs w:val="20"/>
        </w:rPr>
        <w:t>,</w:t>
      </w:r>
      <w:r w:rsidRPr="003774FE">
        <w:rPr>
          <w:rFonts w:cs="Arial"/>
          <w:szCs w:val="20"/>
        </w:rPr>
        <w:t xml:space="preserve"> and was undertaken during April to June 2012.  The </w:t>
      </w:r>
      <w:r w:rsidR="00EA4C5C">
        <w:rPr>
          <w:rFonts w:cs="Arial"/>
          <w:szCs w:val="20"/>
        </w:rPr>
        <w:t>IPR also coincided with the whole-of-</w:t>
      </w:r>
      <w:r w:rsidRPr="003774FE">
        <w:rPr>
          <w:rFonts w:cs="Arial"/>
          <w:szCs w:val="20"/>
        </w:rPr>
        <w:t>Government of Tonga public sector restructure involving the move of ‘training’ and TSP1 to the Ministry of Education and Training (MET)</w:t>
      </w:r>
      <w:r w:rsidR="00EA4C5C">
        <w:rPr>
          <w:rFonts w:cs="Arial"/>
          <w:szCs w:val="20"/>
        </w:rPr>
        <w:t>,</w:t>
      </w:r>
      <w:r w:rsidRPr="003774FE">
        <w:rPr>
          <w:rFonts w:cs="Arial"/>
          <w:szCs w:val="20"/>
        </w:rPr>
        <w:t xml:space="preserve"> beginning 1 July 2012.  </w:t>
      </w:r>
    </w:p>
    <w:p w:rsidR="00632F4B" w:rsidRPr="003774FE" w:rsidRDefault="00632F4B" w:rsidP="003774FE">
      <w:pPr>
        <w:spacing w:before="0"/>
        <w:jc w:val="both"/>
        <w:rPr>
          <w:rFonts w:cs="Arial"/>
          <w:szCs w:val="20"/>
        </w:rPr>
      </w:pPr>
    </w:p>
    <w:p w:rsidR="00912880" w:rsidRPr="00912880" w:rsidRDefault="00D330E4" w:rsidP="00912880">
      <w:pPr>
        <w:jc w:val="both"/>
        <w:rPr>
          <w:rFonts w:cs="Arial"/>
          <w:szCs w:val="20"/>
        </w:rPr>
      </w:pPr>
      <w:r w:rsidRPr="003774FE">
        <w:rPr>
          <w:rFonts w:cs="Arial"/>
          <w:szCs w:val="20"/>
        </w:rPr>
        <w:t>While the IPR acknowledges the work of those who have implemented the TSP1, the report concludes that, overall, the TSP1 is not delivering on the outcomes it was designed to achieve. The report identifies a range of factors that led to this situation including, most fundamentally, an overly ambitious design for the Tonga context, and recommends the curr</w:t>
      </w:r>
      <w:r w:rsidR="00912880">
        <w:rPr>
          <w:rFonts w:cs="Arial"/>
          <w:szCs w:val="20"/>
        </w:rPr>
        <w:t xml:space="preserve">ent approach be reconsidered.  </w:t>
      </w:r>
      <w:r w:rsidR="00912880" w:rsidRPr="00421A58">
        <w:rPr>
          <w:rFonts w:cs="Arial"/>
          <w:szCs w:val="20"/>
        </w:rPr>
        <w:t>In line with Australia’s aid effectiveness commitments when expected results are not being achieved, we propose that senior officials from Australia and New Zealand commence consultations with the Government of Tonga to determine the best way forward for TVET in Tonga. We propose discussions take place at mutually convenient time during August 2012.</w:t>
      </w:r>
    </w:p>
    <w:p w:rsidR="00D330E4" w:rsidRPr="003774FE" w:rsidRDefault="00D330E4" w:rsidP="003774FE">
      <w:pPr>
        <w:spacing w:before="0"/>
        <w:jc w:val="both"/>
        <w:rPr>
          <w:rFonts w:cs="Arial"/>
          <w:szCs w:val="20"/>
        </w:rPr>
      </w:pPr>
    </w:p>
    <w:p w:rsidR="00410C1D" w:rsidRPr="003774FE" w:rsidRDefault="00410C1D" w:rsidP="003774FE">
      <w:pPr>
        <w:spacing w:before="0"/>
        <w:rPr>
          <w:rFonts w:cs="Arial"/>
          <w:szCs w:val="20"/>
        </w:rPr>
      </w:pPr>
      <w:r w:rsidRPr="003774FE">
        <w:rPr>
          <w:rFonts w:cs="Arial"/>
          <w:szCs w:val="20"/>
        </w:rPr>
        <w:t>A number of areas of particular concern raised in the re</w:t>
      </w:r>
      <w:r w:rsidR="00D72EAB" w:rsidRPr="003774FE">
        <w:rPr>
          <w:rFonts w:cs="Arial"/>
          <w:szCs w:val="20"/>
        </w:rPr>
        <w:t>port</w:t>
      </w:r>
      <w:r w:rsidR="00912880">
        <w:rPr>
          <w:rFonts w:cs="Arial"/>
          <w:szCs w:val="20"/>
        </w:rPr>
        <w:t xml:space="preserve"> are as follows. AusAID will seek to address these issues through the below Recommendations: </w:t>
      </w:r>
      <w:r w:rsidR="00D72EAB" w:rsidRPr="003774FE">
        <w:rPr>
          <w:rFonts w:cs="Arial"/>
          <w:szCs w:val="20"/>
        </w:rPr>
        <w:t xml:space="preserve"> </w:t>
      </w:r>
    </w:p>
    <w:p w:rsidR="003774FE" w:rsidRPr="003774FE" w:rsidRDefault="003774FE" w:rsidP="003774FE">
      <w:pPr>
        <w:spacing w:before="0"/>
        <w:rPr>
          <w:rFonts w:cs="Arial"/>
          <w:szCs w:val="20"/>
          <w:lang w:eastAsia="en-AU"/>
        </w:rPr>
      </w:pPr>
    </w:p>
    <w:p w:rsidR="00421A58" w:rsidRPr="00421A58" w:rsidRDefault="00421A58" w:rsidP="00421A58">
      <w:pPr>
        <w:numPr>
          <w:ilvl w:val="0"/>
          <w:numId w:val="16"/>
        </w:numPr>
        <w:spacing w:before="0" w:line="280" w:lineRule="atLeast"/>
        <w:rPr>
          <w:rFonts w:cs="Arial"/>
          <w:szCs w:val="20"/>
          <w:lang w:eastAsia="en-AU"/>
        </w:rPr>
      </w:pPr>
      <w:r w:rsidRPr="00421A58">
        <w:rPr>
          <w:rFonts w:cs="Arial"/>
          <w:szCs w:val="20"/>
          <w:lang w:eastAsia="en-AU"/>
        </w:rPr>
        <w:t xml:space="preserve">A poor </w:t>
      </w:r>
      <w:r w:rsidRPr="00421A58">
        <w:rPr>
          <w:rFonts w:cs="Arial"/>
          <w:b/>
          <w:szCs w:val="20"/>
          <w:lang w:eastAsia="en-AU"/>
        </w:rPr>
        <w:t>program design which did not adequately reflect the existing TVET context in Tonga</w:t>
      </w:r>
      <w:r w:rsidRPr="00421A58">
        <w:rPr>
          <w:rFonts w:cs="Arial"/>
          <w:szCs w:val="20"/>
          <w:lang w:eastAsia="en-AU"/>
        </w:rPr>
        <w:t xml:space="preserve"> and which did not include adequate analysis to determine priority sectors for support;</w:t>
      </w:r>
    </w:p>
    <w:p w:rsidR="00421A58" w:rsidRPr="00421A58" w:rsidRDefault="00421A58" w:rsidP="00421A58">
      <w:pPr>
        <w:numPr>
          <w:ilvl w:val="0"/>
          <w:numId w:val="16"/>
        </w:numPr>
        <w:spacing w:before="0" w:line="280" w:lineRule="atLeast"/>
        <w:rPr>
          <w:rFonts w:cs="Arial"/>
          <w:szCs w:val="20"/>
          <w:lang w:eastAsia="en-AU"/>
        </w:rPr>
      </w:pPr>
      <w:r w:rsidRPr="00421A58">
        <w:rPr>
          <w:rFonts w:cs="Arial"/>
          <w:szCs w:val="20"/>
          <w:lang w:eastAsia="en-AU"/>
        </w:rPr>
        <w:t xml:space="preserve">A </w:t>
      </w:r>
      <w:r w:rsidRPr="00421A58">
        <w:rPr>
          <w:rFonts w:cs="Arial"/>
          <w:b/>
          <w:szCs w:val="20"/>
          <w:lang w:eastAsia="en-AU"/>
        </w:rPr>
        <w:t>lack of a common vision for TVET in Tonga and the absence of any process to build such a vision</w:t>
      </w:r>
      <w:r w:rsidRPr="00421A58">
        <w:rPr>
          <w:rFonts w:cs="Arial"/>
          <w:szCs w:val="20"/>
          <w:lang w:eastAsia="en-AU"/>
        </w:rPr>
        <w:t xml:space="preserve"> based on broad based understanding of TVET concepts and approaches;</w:t>
      </w:r>
    </w:p>
    <w:p w:rsidR="00421A58" w:rsidRPr="00421A58" w:rsidRDefault="00421A58" w:rsidP="00421A58">
      <w:pPr>
        <w:numPr>
          <w:ilvl w:val="0"/>
          <w:numId w:val="16"/>
        </w:numPr>
        <w:spacing w:before="0" w:line="280" w:lineRule="atLeast"/>
        <w:rPr>
          <w:rFonts w:cs="Arial"/>
          <w:szCs w:val="20"/>
          <w:lang w:eastAsia="en-AU"/>
        </w:rPr>
      </w:pPr>
      <w:r w:rsidRPr="00421A58">
        <w:rPr>
          <w:rFonts w:cs="Arial"/>
          <w:szCs w:val="20"/>
          <w:lang w:eastAsia="en-AU"/>
        </w:rPr>
        <w:t xml:space="preserve">The </w:t>
      </w:r>
      <w:r w:rsidRPr="00421A58">
        <w:rPr>
          <w:rFonts w:cs="Arial"/>
          <w:b/>
          <w:szCs w:val="20"/>
          <w:lang w:eastAsia="en-AU"/>
        </w:rPr>
        <w:t>absence of a national TVET policy</w:t>
      </w:r>
      <w:r w:rsidRPr="00421A58">
        <w:rPr>
          <w:rFonts w:cs="Arial"/>
          <w:szCs w:val="20"/>
          <w:lang w:eastAsia="en-AU"/>
        </w:rPr>
        <w:t xml:space="preserve"> and legislative framework and missed opportunity to build understanding and ownership through a policy development process including an integrated approach to national system reform;</w:t>
      </w:r>
    </w:p>
    <w:p w:rsidR="00421A58" w:rsidRPr="00421A58" w:rsidRDefault="00421A58" w:rsidP="00421A58">
      <w:pPr>
        <w:numPr>
          <w:ilvl w:val="0"/>
          <w:numId w:val="16"/>
        </w:numPr>
        <w:spacing w:before="0" w:line="280" w:lineRule="atLeast"/>
        <w:rPr>
          <w:rFonts w:cs="Arial"/>
          <w:szCs w:val="20"/>
          <w:lang w:eastAsia="en-AU"/>
        </w:rPr>
      </w:pPr>
      <w:r w:rsidRPr="00421A58">
        <w:rPr>
          <w:rFonts w:cs="Arial"/>
          <w:szCs w:val="20"/>
          <w:lang w:eastAsia="en-AU"/>
        </w:rPr>
        <w:t xml:space="preserve">A </w:t>
      </w:r>
      <w:r w:rsidRPr="00421A58">
        <w:rPr>
          <w:rFonts w:cs="Arial"/>
          <w:b/>
          <w:szCs w:val="20"/>
          <w:lang w:eastAsia="en-AU"/>
        </w:rPr>
        <w:t>lack of data, particularly labour market information and skills plans to inform policy development and TSP1 implementation strategies</w:t>
      </w:r>
      <w:r w:rsidRPr="00421A58">
        <w:rPr>
          <w:rFonts w:cs="Arial"/>
          <w:szCs w:val="20"/>
          <w:lang w:eastAsia="en-AU"/>
        </w:rPr>
        <w:t xml:space="preserve"> to help identify appropriate courses and units of competence;</w:t>
      </w:r>
    </w:p>
    <w:p w:rsidR="00421A58" w:rsidRPr="00421A58" w:rsidRDefault="00421A58" w:rsidP="00421A58">
      <w:pPr>
        <w:numPr>
          <w:ilvl w:val="0"/>
          <w:numId w:val="16"/>
        </w:numPr>
        <w:spacing w:before="0" w:line="280" w:lineRule="atLeast"/>
        <w:rPr>
          <w:rFonts w:cs="Arial"/>
          <w:szCs w:val="20"/>
          <w:lang w:eastAsia="en-AU"/>
        </w:rPr>
      </w:pPr>
      <w:r w:rsidRPr="00421A58">
        <w:rPr>
          <w:rFonts w:cs="Arial"/>
          <w:szCs w:val="20"/>
          <w:lang w:eastAsia="en-AU"/>
        </w:rPr>
        <w:t xml:space="preserve">A </w:t>
      </w:r>
      <w:r w:rsidRPr="00421A58">
        <w:rPr>
          <w:rFonts w:cs="Arial"/>
          <w:b/>
          <w:szCs w:val="20"/>
          <w:lang w:eastAsia="en-AU"/>
        </w:rPr>
        <w:t>Program Management structure which falsely assumed an adequate level of administrative capacity</w:t>
      </w:r>
      <w:r w:rsidRPr="00421A58">
        <w:rPr>
          <w:rFonts w:cs="Arial"/>
          <w:szCs w:val="20"/>
          <w:lang w:eastAsia="en-AU"/>
        </w:rPr>
        <w:t xml:space="preserve"> within the implementing Ministry and the donors to implement a large (by Tongan standards) development cooperation program;</w:t>
      </w:r>
    </w:p>
    <w:p w:rsidR="00421A58" w:rsidRPr="00421A58" w:rsidRDefault="00421A58" w:rsidP="00421A58">
      <w:pPr>
        <w:numPr>
          <w:ilvl w:val="0"/>
          <w:numId w:val="16"/>
        </w:numPr>
        <w:spacing w:before="0" w:line="280" w:lineRule="atLeast"/>
        <w:rPr>
          <w:rFonts w:cs="Arial"/>
          <w:szCs w:val="20"/>
          <w:lang w:eastAsia="en-AU"/>
        </w:rPr>
      </w:pPr>
      <w:r w:rsidRPr="00421A58">
        <w:rPr>
          <w:rFonts w:cs="Arial"/>
          <w:szCs w:val="20"/>
          <w:lang w:eastAsia="en-AU"/>
        </w:rPr>
        <w:t xml:space="preserve">A </w:t>
      </w:r>
      <w:r w:rsidRPr="00421A58">
        <w:rPr>
          <w:rFonts w:cs="Arial"/>
          <w:b/>
          <w:szCs w:val="20"/>
          <w:lang w:eastAsia="en-AU"/>
        </w:rPr>
        <w:t>poorly implemented Donor Funding Arrangement and complex governance structures between the Governments of Tonga, Australia and New Zealand</w:t>
      </w:r>
      <w:r w:rsidRPr="00421A58">
        <w:rPr>
          <w:rFonts w:cs="Arial"/>
          <w:szCs w:val="20"/>
          <w:lang w:eastAsia="en-AU"/>
        </w:rPr>
        <w:t xml:space="preserve"> causing delays, uncertainty and confusion in the delivery of the program. </w:t>
      </w:r>
    </w:p>
    <w:p w:rsidR="00421A58" w:rsidRDefault="00421A58" w:rsidP="00421A58">
      <w:pPr>
        <w:numPr>
          <w:ilvl w:val="0"/>
          <w:numId w:val="16"/>
        </w:numPr>
        <w:spacing w:before="0" w:line="280" w:lineRule="atLeast"/>
        <w:rPr>
          <w:rFonts w:cs="Arial"/>
          <w:szCs w:val="20"/>
          <w:lang w:eastAsia="en-AU"/>
        </w:rPr>
      </w:pPr>
      <w:r w:rsidRPr="00CD6D87">
        <w:rPr>
          <w:rFonts w:cs="Arial"/>
          <w:b/>
          <w:szCs w:val="20"/>
          <w:lang w:eastAsia="en-AU"/>
        </w:rPr>
        <w:t xml:space="preserve">Lack of </w:t>
      </w:r>
      <w:r w:rsidR="00CD6D87" w:rsidRPr="00CD6D87">
        <w:rPr>
          <w:rFonts w:cs="Arial"/>
          <w:b/>
          <w:szCs w:val="20"/>
          <w:lang w:eastAsia="en-AU"/>
        </w:rPr>
        <w:t xml:space="preserve">a </w:t>
      </w:r>
      <w:r w:rsidRPr="00CD6D87">
        <w:rPr>
          <w:rFonts w:cs="Arial"/>
          <w:b/>
          <w:szCs w:val="20"/>
          <w:lang w:eastAsia="en-AU"/>
        </w:rPr>
        <w:t xml:space="preserve">cohesive approach to </w:t>
      </w:r>
      <w:r w:rsidR="00CD6D87" w:rsidRPr="00CD6D87">
        <w:rPr>
          <w:rFonts w:cs="Arial"/>
          <w:b/>
          <w:szCs w:val="20"/>
          <w:lang w:eastAsia="en-AU"/>
        </w:rPr>
        <w:t xml:space="preserve">monitoring and evaluation </w:t>
      </w:r>
      <w:r w:rsidRPr="00CD6D87">
        <w:rPr>
          <w:rFonts w:cs="Arial"/>
          <w:b/>
          <w:szCs w:val="20"/>
          <w:lang w:eastAsia="en-AU"/>
        </w:rPr>
        <w:t>and poor implementation</w:t>
      </w:r>
      <w:r w:rsidRPr="00421A58">
        <w:rPr>
          <w:rFonts w:cs="Arial"/>
          <w:szCs w:val="20"/>
          <w:lang w:eastAsia="en-AU"/>
        </w:rPr>
        <w:t xml:space="preserve"> </w:t>
      </w:r>
      <w:r w:rsidR="00CD6D87">
        <w:rPr>
          <w:rFonts w:cs="Arial"/>
          <w:szCs w:val="20"/>
          <w:lang w:eastAsia="en-AU"/>
        </w:rPr>
        <w:t xml:space="preserve">relating </w:t>
      </w:r>
      <w:r w:rsidRPr="00421A58">
        <w:rPr>
          <w:rFonts w:cs="Arial"/>
          <w:szCs w:val="20"/>
          <w:lang w:eastAsia="en-AU"/>
        </w:rPr>
        <w:t>to the Tonga TVET Management Information System.</w:t>
      </w:r>
    </w:p>
    <w:p w:rsidR="00D72EAB" w:rsidRPr="003774FE" w:rsidRDefault="00D72EAB" w:rsidP="003774FE">
      <w:pPr>
        <w:spacing w:before="0"/>
        <w:ind w:left="720"/>
        <w:rPr>
          <w:rFonts w:cs="Arial"/>
          <w:szCs w:val="20"/>
          <w:lang w:eastAsia="en-AU"/>
        </w:rPr>
      </w:pPr>
    </w:p>
    <w:p w:rsidR="00C4342E" w:rsidRPr="003774FE" w:rsidRDefault="00701AC8" w:rsidP="003774FE">
      <w:pPr>
        <w:spacing w:before="0"/>
        <w:rPr>
          <w:rFonts w:cs="Arial"/>
          <w:i/>
          <w:szCs w:val="20"/>
        </w:rPr>
      </w:pPr>
      <w:r w:rsidRPr="003774FE">
        <w:rPr>
          <w:rFonts w:cs="Arial"/>
          <w:i/>
          <w:szCs w:val="20"/>
        </w:rPr>
        <w:t>The management team agree</w:t>
      </w:r>
      <w:r w:rsidR="00E13658" w:rsidRPr="003774FE">
        <w:rPr>
          <w:rFonts w:cs="Arial"/>
          <w:i/>
          <w:szCs w:val="20"/>
        </w:rPr>
        <w:t>d</w:t>
      </w:r>
      <w:r w:rsidRPr="003774FE">
        <w:rPr>
          <w:rFonts w:cs="Arial"/>
          <w:i/>
          <w:szCs w:val="20"/>
        </w:rPr>
        <w:t xml:space="preserve"> to 2 recommendations and the management response and actions are noted below.</w:t>
      </w:r>
    </w:p>
    <w:p w:rsidR="00F97044" w:rsidRPr="003774FE" w:rsidRDefault="00F97044" w:rsidP="003774FE">
      <w:pPr>
        <w:spacing w:before="0"/>
        <w:rPr>
          <w:rFonts w:cs="Arial"/>
          <w:b/>
          <w:szCs w:val="20"/>
        </w:rPr>
      </w:pPr>
    </w:p>
    <w:p w:rsidR="003774FE" w:rsidRDefault="003774FE" w:rsidP="00030875">
      <w:pPr>
        <w:shd w:val="clear" w:color="auto" w:fill="BFBFBF"/>
        <w:spacing w:before="0"/>
        <w:rPr>
          <w:b/>
          <w:sz w:val="24"/>
        </w:rPr>
      </w:pPr>
    </w:p>
    <w:p w:rsidR="00F22FFA" w:rsidRPr="00701AC8" w:rsidRDefault="00F22FFA" w:rsidP="00030875">
      <w:pPr>
        <w:shd w:val="clear" w:color="auto" w:fill="BFBFBF"/>
        <w:spacing w:before="0"/>
        <w:rPr>
          <w:b/>
          <w:sz w:val="24"/>
        </w:rPr>
      </w:pPr>
      <w:r w:rsidRPr="00701AC8">
        <w:rPr>
          <w:b/>
          <w:sz w:val="24"/>
        </w:rPr>
        <w:t>Recommendation One</w:t>
      </w:r>
    </w:p>
    <w:p w:rsidR="00595CF4" w:rsidRPr="003774FE" w:rsidRDefault="00F22FFA" w:rsidP="00F22FFA">
      <w:pPr>
        <w:rPr>
          <w:b/>
        </w:rPr>
      </w:pPr>
      <w:r w:rsidRPr="003774FE">
        <w:rPr>
          <w:b/>
          <w:u w:val="single"/>
        </w:rPr>
        <w:t>Recommendation:</w:t>
      </w:r>
      <w:r w:rsidRPr="003774FE">
        <w:rPr>
          <w:b/>
        </w:rPr>
        <w:t xml:space="preserve"> </w:t>
      </w:r>
      <w:r w:rsidR="00595CF4" w:rsidRPr="003774FE">
        <w:t xml:space="preserve">That the </w:t>
      </w:r>
      <w:r w:rsidR="003A0E0F" w:rsidRPr="003774FE">
        <w:t xml:space="preserve">three </w:t>
      </w:r>
      <w:r w:rsidR="00595CF4" w:rsidRPr="003774FE">
        <w:t>Governments</w:t>
      </w:r>
      <w:r w:rsidR="003A0E0F" w:rsidRPr="003774FE">
        <w:t xml:space="preserve">, </w:t>
      </w:r>
      <w:r w:rsidR="00595CF4" w:rsidRPr="003774FE">
        <w:t xml:space="preserve">Tonga, Australia and New Zealand </w:t>
      </w:r>
      <w:r w:rsidR="00912880">
        <w:t>commence consultations</w:t>
      </w:r>
      <w:r w:rsidR="00792907" w:rsidRPr="003774FE">
        <w:t xml:space="preserve"> </w:t>
      </w:r>
      <w:r w:rsidR="00912880">
        <w:t xml:space="preserve">during August 2012 </w:t>
      </w:r>
      <w:r w:rsidR="00595CF4" w:rsidRPr="003774FE">
        <w:t>on the way forward</w:t>
      </w:r>
      <w:r w:rsidR="00CD6D87">
        <w:t xml:space="preserve"> and next steps concerning provision of support to TVET in </w:t>
      </w:r>
      <w:r w:rsidR="00F928F8" w:rsidRPr="003774FE">
        <w:t>Tonga</w:t>
      </w:r>
      <w:r w:rsidR="00595CF4" w:rsidRPr="003774FE">
        <w:t>.</w:t>
      </w:r>
    </w:p>
    <w:p w:rsidR="00F22FFA" w:rsidRPr="00792907" w:rsidRDefault="00F22FFA" w:rsidP="00792907">
      <w:pPr>
        <w:rPr>
          <w:b/>
        </w:rPr>
      </w:pPr>
      <w:r w:rsidRPr="00F22FFA">
        <w:rPr>
          <w:b/>
        </w:rPr>
        <w:t>Response:</w:t>
      </w:r>
      <w:r>
        <w:rPr>
          <w:b/>
        </w:rPr>
        <w:t xml:space="preserve"> </w:t>
      </w:r>
      <w:r w:rsidR="00792907" w:rsidRPr="00792907">
        <w:t>Agree</w:t>
      </w:r>
    </w:p>
    <w:p w:rsidR="00264366" w:rsidRDefault="00F22FFA" w:rsidP="00F22FFA">
      <w:r>
        <w:rPr>
          <w:b/>
        </w:rPr>
        <w:t>Actions:</w:t>
      </w:r>
      <w:r w:rsidR="008A41E8">
        <w:rPr>
          <w:b/>
        </w:rPr>
        <w:t xml:space="preserve"> </w:t>
      </w:r>
      <w:r w:rsidR="00912880">
        <w:t>Development Partners</w:t>
      </w:r>
      <w:r w:rsidR="005E7731">
        <w:t xml:space="preserve"> (</w:t>
      </w:r>
      <w:r w:rsidR="00912880">
        <w:t xml:space="preserve">Australia and </w:t>
      </w:r>
      <w:r w:rsidR="005E7731">
        <w:t xml:space="preserve">New Zealand) to initiate discussion </w:t>
      </w:r>
      <w:r w:rsidR="00912880" w:rsidRPr="00912880">
        <w:rPr>
          <w:rFonts w:cs="Arial"/>
          <w:szCs w:val="20"/>
        </w:rPr>
        <w:t xml:space="preserve">to determine the best way forward for </w:t>
      </w:r>
      <w:r w:rsidR="00CD6D87">
        <w:rPr>
          <w:rFonts w:cs="Arial"/>
          <w:szCs w:val="20"/>
        </w:rPr>
        <w:t xml:space="preserve">supporting </w:t>
      </w:r>
      <w:r w:rsidR="00912880" w:rsidRPr="00912880">
        <w:rPr>
          <w:rFonts w:cs="Arial"/>
          <w:szCs w:val="20"/>
        </w:rPr>
        <w:t>TVET in Tonga</w:t>
      </w:r>
      <w:r w:rsidR="00912880">
        <w:rPr>
          <w:rFonts w:cs="Arial"/>
          <w:szCs w:val="20"/>
        </w:rPr>
        <w:t>,</w:t>
      </w:r>
      <w:r w:rsidR="005E7731">
        <w:t xml:space="preserve"> </w:t>
      </w:r>
      <w:r w:rsidR="00912880">
        <w:t>and to arrange</w:t>
      </w:r>
      <w:r w:rsidR="005E7731">
        <w:t xml:space="preserve"> </w:t>
      </w:r>
      <w:r w:rsidR="0026533E">
        <w:t>consultation</w:t>
      </w:r>
      <w:r w:rsidR="00912880">
        <w:t>s</w:t>
      </w:r>
      <w:r w:rsidR="005E7731">
        <w:t xml:space="preserve"> with </w:t>
      </w:r>
      <w:r w:rsidR="0026533E">
        <w:t xml:space="preserve">the </w:t>
      </w:r>
      <w:r w:rsidR="005E7731">
        <w:t>Government of Tonga</w:t>
      </w:r>
      <w:r w:rsidR="0026533E">
        <w:t xml:space="preserve"> </w:t>
      </w:r>
      <w:r w:rsidR="00912880">
        <w:t xml:space="preserve">concerning </w:t>
      </w:r>
      <w:r w:rsidR="0026533E">
        <w:t xml:space="preserve">the way forward to </w:t>
      </w:r>
      <w:r w:rsidR="00912880">
        <w:t xml:space="preserve">supporting </w:t>
      </w:r>
      <w:r w:rsidR="0026533E">
        <w:t>TVET in Tonga</w:t>
      </w:r>
      <w:r w:rsidR="00912880">
        <w:t>.</w:t>
      </w:r>
    </w:p>
    <w:p w:rsidR="00FC5426" w:rsidRPr="005E7731" w:rsidRDefault="00FC5426" w:rsidP="00F22FFA"/>
    <w:p w:rsidR="003774FE" w:rsidRDefault="003774FE" w:rsidP="00030875">
      <w:pPr>
        <w:pStyle w:val="Heading2"/>
        <w:shd w:val="clear" w:color="auto" w:fill="BFBFBF"/>
        <w:spacing w:before="0" w:after="0"/>
      </w:pPr>
    </w:p>
    <w:p w:rsidR="00B07AD5" w:rsidRDefault="00B07AD5" w:rsidP="00030875">
      <w:pPr>
        <w:pStyle w:val="Heading2"/>
        <w:shd w:val="clear" w:color="auto" w:fill="BFBFBF"/>
        <w:spacing w:before="0" w:after="0"/>
      </w:pPr>
      <w:r>
        <w:t>Recommendation Two</w:t>
      </w:r>
    </w:p>
    <w:p w:rsidR="00912880" w:rsidRPr="00912880" w:rsidRDefault="00792907" w:rsidP="00912880">
      <w:pPr>
        <w:jc w:val="both"/>
        <w:rPr>
          <w:rFonts w:eastAsia="Calibri" w:cs="Arial"/>
          <w:szCs w:val="20"/>
        </w:rPr>
      </w:pPr>
      <w:r w:rsidRPr="003774FE">
        <w:rPr>
          <w:rFonts w:eastAsia="Calibri" w:cs="Arial"/>
          <w:b/>
          <w:szCs w:val="20"/>
          <w:u w:val="single"/>
        </w:rPr>
        <w:t>Recommendation</w:t>
      </w:r>
      <w:r w:rsidRPr="003774FE">
        <w:rPr>
          <w:rFonts w:eastAsia="Calibri" w:cs="Arial"/>
          <w:szCs w:val="20"/>
          <w:u w:val="single"/>
        </w:rPr>
        <w:t>:</w:t>
      </w:r>
      <w:r w:rsidRPr="003774FE">
        <w:rPr>
          <w:rFonts w:eastAsia="Calibri" w:cs="Arial"/>
          <w:szCs w:val="20"/>
        </w:rPr>
        <w:t xml:space="preserve">   </w:t>
      </w:r>
      <w:r w:rsidR="00912880">
        <w:rPr>
          <w:rFonts w:eastAsia="Calibri" w:cs="Arial"/>
          <w:szCs w:val="20"/>
        </w:rPr>
        <w:t>Outline</w:t>
      </w:r>
      <w:r w:rsidR="005063DC" w:rsidRPr="003774FE">
        <w:rPr>
          <w:rFonts w:eastAsia="Calibri" w:cs="Arial"/>
          <w:szCs w:val="20"/>
        </w:rPr>
        <w:t xml:space="preserve"> recommend</w:t>
      </w:r>
      <w:r w:rsidR="00912880">
        <w:rPr>
          <w:rFonts w:eastAsia="Calibri" w:cs="Arial"/>
          <w:szCs w:val="20"/>
        </w:rPr>
        <w:t>ed</w:t>
      </w:r>
      <w:r w:rsidR="005063DC" w:rsidRPr="003774FE">
        <w:rPr>
          <w:rFonts w:eastAsia="Calibri" w:cs="Arial"/>
          <w:szCs w:val="20"/>
        </w:rPr>
        <w:t xml:space="preserve"> </w:t>
      </w:r>
      <w:r w:rsidR="001A1554" w:rsidRPr="003774FE">
        <w:rPr>
          <w:rFonts w:eastAsia="Calibri" w:cs="Arial"/>
          <w:szCs w:val="20"/>
        </w:rPr>
        <w:t>a</w:t>
      </w:r>
      <w:r w:rsidRPr="003774FE">
        <w:rPr>
          <w:rFonts w:eastAsia="Calibri" w:cs="Arial"/>
          <w:szCs w:val="20"/>
        </w:rPr>
        <w:t xml:space="preserve">ctivities </w:t>
      </w:r>
      <w:r w:rsidR="005063DC" w:rsidRPr="003774FE">
        <w:rPr>
          <w:rFonts w:eastAsia="Calibri" w:cs="Arial"/>
          <w:szCs w:val="20"/>
        </w:rPr>
        <w:t>to</w:t>
      </w:r>
      <w:r w:rsidRPr="003774FE">
        <w:rPr>
          <w:rFonts w:eastAsia="Calibri" w:cs="Arial"/>
          <w:szCs w:val="20"/>
        </w:rPr>
        <w:t xml:space="preserve"> be </w:t>
      </w:r>
      <w:r w:rsidR="00912880">
        <w:rPr>
          <w:rFonts w:eastAsia="Calibri" w:cs="Arial"/>
          <w:szCs w:val="20"/>
        </w:rPr>
        <w:t xml:space="preserve">undertaken over the </w:t>
      </w:r>
      <w:r w:rsidR="001A1554" w:rsidRPr="003774FE">
        <w:rPr>
          <w:rFonts w:eastAsia="Calibri" w:cs="Arial"/>
          <w:szCs w:val="20"/>
        </w:rPr>
        <w:t>9</w:t>
      </w:r>
      <w:r w:rsidRPr="003774FE">
        <w:rPr>
          <w:rFonts w:eastAsia="Calibri" w:cs="Arial"/>
          <w:szCs w:val="20"/>
        </w:rPr>
        <w:t xml:space="preserve"> months</w:t>
      </w:r>
      <w:r w:rsidR="00DB08F0" w:rsidRPr="003774FE">
        <w:rPr>
          <w:rFonts w:eastAsia="Calibri" w:cs="Arial"/>
          <w:szCs w:val="20"/>
        </w:rPr>
        <w:t xml:space="preserve">, from </w:t>
      </w:r>
      <w:r w:rsidR="00DA7173">
        <w:rPr>
          <w:rFonts w:eastAsia="Calibri" w:cs="Arial"/>
          <w:szCs w:val="20"/>
        </w:rPr>
        <w:t>August</w:t>
      </w:r>
      <w:r w:rsidR="00DB08F0" w:rsidRPr="003774FE">
        <w:rPr>
          <w:rFonts w:eastAsia="Calibri" w:cs="Arial"/>
          <w:szCs w:val="20"/>
        </w:rPr>
        <w:t xml:space="preserve"> 2012 </w:t>
      </w:r>
      <w:r w:rsidR="00912880">
        <w:rPr>
          <w:rFonts w:eastAsia="Calibri" w:cs="Arial"/>
          <w:szCs w:val="20"/>
        </w:rPr>
        <w:t xml:space="preserve">to March 2013 </w:t>
      </w:r>
      <w:r w:rsidR="00912880" w:rsidRPr="00912880">
        <w:rPr>
          <w:rFonts w:eastAsia="Calibri" w:cs="Arial"/>
          <w:szCs w:val="20"/>
        </w:rPr>
        <w:t>to ensure that the TSP1 is able to continue activities that will benefit TVET in Tonga as well as initiate critical pieces of work necessary to underpin meaningful TVET interventions in the future.</w:t>
      </w:r>
    </w:p>
    <w:p w:rsidR="00814FEF" w:rsidRPr="00F97044" w:rsidRDefault="005063DC" w:rsidP="00814FEF">
      <w:pPr>
        <w:spacing w:before="0"/>
        <w:contextualSpacing/>
        <w:rPr>
          <w:rFonts w:eastAsia="Calibri" w:cs="Arial"/>
          <w:szCs w:val="20"/>
        </w:rPr>
      </w:pPr>
      <w:r w:rsidRPr="003774FE">
        <w:rPr>
          <w:rFonts w:eastAsia="Calibri" w:cs="Arial"/>
          <w:szCs w:val="20"/>
        </w:rPr>
        <w:t xml:space="preserve"> </w:t>
      </w:r>
      <w:r w:rsidR="00792907" w:rsidRPr="003774FE">
        <w:rPr>
          <w:rFonts w:eastAsia="Calibri" w:cs="Arial"/>
          <w:szCs w:val="20"/>
        </w:rPr>
        <w:t xml:space="preserve"> </w:t>
      </w:r>
    </w:p>
    <w:p w:rsidR="00DA7173" w:rsidRPr="00DA7173" w:rsidRDefault="00814FEF" w:rsidP="00CD6D87">
      <w:pPr>
        <w:tabs>
          <w:tab w:val="left" w:pos="426"/>
        </w:tabs>
        <w:rPr>
          <w:rFonts w:eastAsia="Calibri" w:cs="Arial"/>
          <w:szCs w:val="20"/>
        </w:rPr>
      </w:pPr>
      <w:r w:rsidRPr="003774FE">
        <w:rPr>
          <w:rFonts w:eastAsia="Calibri" w:cs="Arial"/>
          <w:b/>
          <w:i/>
          <w:szCs w:val="20"/>
          <w:u w:val="single"/>
        </w:rPr>
        <w:t>Recommendation 2.1</w:t>
      </w:r>
      <w:r w:rsidRPr="003774FE">
        <w:rPr>
          <w:rFonts w:eastAsia="Calibri" w:cs="Arial"/>
          <w:i/>
          <w:szCs w:val="20"/>
          <w:u w:val="single"/>
        </w:rPr>
        <w:t>:</w:t>
      </w:r>
      <w:r w:rsidRPr="003774FE">
        <w:rPr>
          <w:rFonts w:eastAsia="Calibri" w:cs="Arial"/>
          <w:i/>
          <w:szCs w:val="20"/>
        </w:rPr>
        <w:t xml:space="preserve">  </w:t>
      </w:r>
      <w:r w:rsidRPr="00DA7173">
        <w:rPr>
          <w:rFonts w:eastAsia="Calibri" w:cs="Arial"/>
          <w:szCs w:val="20"/>
        </w:rPr>
        <w:t xml:space="preserve">To </w:t>
      </w:r>
      <w:r w:rsidR="003A0E0F" w:rsidRPr="00DA7173">
        <w:rPr>
          <w:rFonts w:eastAsia="Calibri" w:cs="Arial"/>
          <w:szCs w:val="20"/>
        </w:rPr>
        <w:t xml:space="preserve">undertake a comprehensive </w:t>
      </w:r>
      <w:r w:rsidR="00DA7173" w:rsidRPr="00DA7173">
        <w:rPr>
          <w:rFonts w:eastAsia="Calibri" w:cs="Arial"/>
          <w:szCs w:val="20"/>
        </w:rPr>
        <w:t>a labour market study incorporating both an analysis of the current domestic and regional</w:t>
      </w:r>
      <w:r w:rsidR="00DA7173">
        <w:rPr>
          <w:rFonts w:eastAsia="Calibri" w:cs="Arial"/>
          <w:szCs w:val="20"/>
        </w:rPr>
        <w:t xml:space="preserve"> (to include Australia, New Zealand and possibly the United States)</w:t>
      </w:r>
      <w:r w:rsidR="00DA7173" w:rsidRPr="00DA7173">
        <w:rPr>
          <w:rFonts w:eastAsia="Calibri" w:cs="Arial"/>
          <w:szCs w:val="20"/>
        </w:rPr>
        <w:t xml:space="preserve"> labour markets (including skill shortages, skill gaps and training priorities) and a projection of skill needs over the next 5 years.</w:t>
      </w:r>
    </w:p>
    <w:p w:rsidR="00814FEF" w:rsidRPr="00F97044" w:rsidRDefault="00814FEF" w:rsidP="00CD6D87">
      <w:pPr>
        <w:contextualSpacing/>
        <w:rPr>
          <w:rFonts w:eastAsia="Calibri" w:cs="Arial"/>
          <w:szCs w:val="20"/>
        </w:rPr>
      </w:pPr>
    </w:p>
    <w:p w:rsidR="00814FEF" w:rsidRPr="00F97044" w:rsidRDefault="00814FEF" w:rsidP="00CD6D87">
      <w:pPr>
        <w:contextualSpacing/>
        <w:rPr>
          <w:rFonts w:eastAsia="Calibri" w:cs="Arial"/>
          <w:szCs w:val="20"/>
        </w:rPr>
      </w:pPr>
      <w:r w:rsidRPr="00F97044">
        <w:rPr>
          <w:rFonts w:eastAsia="Calibri" w:cs="Arial"/>
          <w:b/>
          <w:szCs w:val="20"/>
        </w:rPr>
        <w:t>Response:</w:t>
      </w:r>
      <w:r w:rsidRPr="00F97044">
        <w:rPr>
          <w:rFonts w:eastAsia="Calibri" w:cs="Arial"/>
          <w:szCs w:val="20"/>
        </w:rPr>
        <w:t xml:space="preserve">  Agree</w:t>
      </w:r>
    </w:p>
    <w:p w:rsidR="00814FEF" w:rsidRPr="00F97044" w:rsidRDefault="00814FEF" w:rsidP="00CD6D87">
      <w:pPr>
        <w:contextualSpacing/>
        <w:rPr>
          <w:rFonts w:eastAsia="Calibri" w:cs="Arial"/>
          <w:szCs w:val="20"/>
        </w:rPr>
      </w:pPr>
    </w:p>
    <w:p w:rsidR="0026533E" w:rsidRPr="00F97044" w:rsidRDefault="00814FEF" w:rsidP="00CD6D87">
      <w:pPr>
        <w:contextualSpacing/>
        <w:rPr>
          <w:rFonts w:eastAsia="Calibri" w:cs="Arial"/>
          <w:szCs w:val="20"/>
        </w:rPr>
      </w:pPr>
      <w:r w:rsidRPr="00F97044">
        <w:rPr>
          <w:rFonts w:eastAsia="Calibri" w:cs="Arial"/>
          <w:b/>
          <w:szCs w:val="20"/>
        </w:rPr>
        <w:t>Action</w:t>
      </w:r>
      <w:r w:rsidRPr="00F97044">
        <w:rPr>
          <w:rFonts w:eastAsia="Calibri" w:cs="Arial"/>
          <w:szCs w:val="20"/>
        </w:rPr>
        <w:t>:</w:t>
      </w:r>
      <w:r w:rsidR="0026533E" w:rsidRPr="00F97044">
        <w:rPr>
          <w:rFonts w:eastAsia="Calibri" w:cs="Arial"/>
          <w:szCs w:val="20"/>
        </w:rPr>
        <w:t xml:space="preserve">  </w:t>
      </w:r>
      <w:r w:rsidR="00DA7173">
        <w:rPr>
          <w:rFonts w:eastAsia="Calibri" w:cs="Arial"/>
          <w:szCs w:val="20"/>
        </w:rPr>
        <w:t xml:space="preserve">AusAID </w:t>
      </w:r>
      <w:r w:rsidR="0026533E" w:rsidRPr="00F97044">
        <w:rPr>
          <w:rFonts w:eastAsia="Calibri" w:cs="Arial"/>
          <w:szCs w:val="20"/>
        </w:rPr>
        <w:t xml:space="preserve">Nuku’alofa Post:  </w:t>
      </w:r>
    </w:p>
    <w:p w:rsidR="0026533E" w:rsidRPr="00F97044" w:rsidRDefault="00DA7173" w:rsidP="00CD6D87">
      <w:pPr>
        <w:numPr>
          <w:ilvl w:val="0"/>
          <w:numId w:val="8"/>
        </w:numPr>
        <w:contextualSpacing/>
        <w:rPr>
          <w:rFonts w:eastAsia="Calibri" w:cs="Arial"/>
          <w:szCs w:val="20"/>
        </w:rPr>
      </w:pPr>
      <w:r>
        <w:rPr>
          <w:rFonts w:eastAsia="Calibri" w:cs="Arial"/>
          <w:szCs w:val="20"/>
        </w:rPr>
        <w:t>E</w:t>
      </w:r>
      <w:r w:rsidR="0026533E" w:rsidRPr="00F97044">
        <w:rPr>
          <w:rFonts w:eastAsia="Calibri" w:cs="Arial"/>
          <w:szCs w:val="20"/>
        </w:rPr>
        <w:t xml:space="preserve">nsure that </w:t>
      </w:r>
      <w:r>
        <w:rPr>
          <w:rFonts w:eastAsia="Calibri" w:cs="Arial"/>
          <w:szCs w:val="20"/>
        </w:rPr>
        <w:t xml:space="preserve">IPR recommended </w:t>
      </w:r>
      <w:r w:rsidR="0026533E" w:rsidRPr="00F97044">
        <w:rPr>
          <w:rFonts w:eastAsia="Calibri" w:cs="Arial"/>
          <w:szCs w:val="20"/>
        </w:rPr>
        <w:t>activities are in</w:t>
      </w:r>
      <w:r>
        <w:rPr>
          <w:rFonts w:eastAsia="Calibri" w:cs="Arial"/>
          <w:szCs w:val="20"/>
        </w:rPr>
        <w:t xml:space="preserve">cluded </w:t>
      </w:r>
      <w:r w:rsidR="0026533E" w:rsidRPr="00F97044">
        <w:rPr>
          <w:rFonts w:eastAsia="Calibri" w:cs="Arial"/>
          <w:szCs w:val="20"/>
        </w:rPr>
        <w:t xml:space="preserve"> the TSP1 </w:t>
      </w:r>
      <w:r>
        <w:rPr>
          <w:rFonts w:eastAsia="Calibri" w:cs="Arial"/>
          <w:szCs w:val="20"/>
        </w:rPr>
        <w:t>work plan for August 2012 through to April 2013</w:t>
      </w:r>
      <w:r w:rsidR="0026533E" w:rsidRPr="00F97044">
        <w:rPr>
          <w:rFonts w:eastAsia="Calibri" w:cs="Arial"/>
          <w:szCs w:val="20"/>
        </w:rPr>
        <w:t>;</w:t>
      </w:r>
    </w:p>
    <w:p w:rsidR="00814FEF" w:rsidRPr="00F97044" w:rsidRDefault="00DA7173" w:rsidP="00CD6D87">
      <w:pPr>
        <w:numPr>
          <w:ilvl w:val="0"/>
          <w:numId w:val="8"/>
        </w:numPr>
        <w:contextualSpacing/>
        <w:rPr>
          <w:rFonts w:eastAsia="Calibri" w:cs="Arial"/>
          <w:szCs w:val="20"/>
        </w:rPr>
      </w:pPr>
      <w:r>
        <w:rPr>
          <w:rFonts w:eastAsia="Calibri" w:cs="Arial"/>
          <w:szCs w:val="20"/>
        </w:rPr>
        <w:t>W</w:t>
      </w:r>
      <w:r w:rsidR="0026533E" w:rsidRPr="00F97044">
        <w:rPr>
          <w:rFonts w:eastAsia="Calibri" w:cs="Arial"/>
          <w:szCs w:val="20"/>
        </w:rPr>
        <w:t xml:space="preserve">ork with TSP1 </w:t>
      </w:r>
      <w:r>
        <w:rPr>
          <w:rFonts w:eastAsia="Calibri" w:cs="Arial"/>
          <w:szCs w:val="20"/>
        </w:rPr>
        <w:t>and program stakeholders to</w:t>
      </w:r>
      <w:r w:rsidR="0026533E" w:rsidRPr="00F97044">
        <w:rPr>
          <w:rFonts w:eastAsia="Calibri" w:cs="Arial"/>
          <w:szCs w:val="20"/>
        </w:rPr>
        <w:t xml:space="preserve"> approv</w:t>
      </w:r>
      <w:r>
        <w:rPr>
          <w:rFonts w:eastAsia="Calibri" w:cs="Arial"/>
          <w:szCs w:val="20"/>
        </w:rPr>
        <w:t>e</w:t>
      </w:r>
      <w:r w:rsidR="0026533E" w:rsidRPr="00F97044">
        <w:rPr>
          <w:rFonts w:eastAsia="Calibri" w:cs="Arial"/>
          <w:szCs w:val="20"/>
        </w:rPr>
        <w:t xml:space="preserve"> the </w:t>
      </w:r>
      <w:r>
        <w:rPr>
          <w:rFonts w:eastAsia="Calibri" w:cs="Arial"/>
          <w:szCs w:val="20"/>
        </w:rPr>
        <w:t xml:space="preserve">August 2012 - April 2013 </w:t>
      </w:r>
      <w:r w:rsidRPr="00F97044">
        <w:rPr>
          <w:rFonts w:eastAsia="Calibri" w:cs="Arial"/>
          <w:szCs w:val="20"/>
        </w:rPr>
        <w:t>work plan</w:t>
      </w:r>
      <w:r>
        <w:rPr>
          <w:rFonts w:eastAsia="Calibri" w:cs="Arial"/>
          <w:szCs w:val="20"/>
        </w:rPr>
        <w:t xml:space="preserve"> </w:t>
      </w:r>
      <w:r w:rsidR="0026533E" w:rsidRPr="00F97044">
        <w:rPr>
          <w:rFonts w:eastAsia="Calibri" w:cs="Arial"/>
          <w:szCs w:val="20"/>
        </w:rPr>
        <w:t xml:space="preserve">and to </w:t>
      </w:r>
      <w:r>
        <w:rPr>
          <w:rFonts w:eastAsia="Calibri" w:cs="Arial"/>
          <w:szCs w:val="20"/>
        </w:rPr>
        <w:t xml:space="preserve">help </w:t>
      </w:r>
      <w:r w:rsidR="0026533E" w:rsidRPr="00F97044">
        <w:rPr>
          <w:rFonts w:eastAsia="Calibri" w:cs="Arial"/>
          <w:szCs w:val="20"/>
        </w:rPr>
        <w:t xml:space="preserve">expedite the sourcing of </w:t>
      </w:r>
      <w:r>
        <w:rPr>
          <w:rFonts w:eastAsia="Calibri" w:cs="Arial"/>
          <w:szCs w:val="20"/>
        </w:rPr>
        <w:t>necessary technical assistance</w:t>
      </w:r>
      <w:r w:rsidR="00CD6D87">
        <w:rPr>
          <w:rFonts w:eastAsia="Calibri" w:cs="Arial"/>
          <w:szCs w:val="20"/>
        </w:rPr>
        <w:t xml:space="preserve"> to enable these activities</w:t>
      </w:r>
      <w:r w:rsidR="0026533E" w:rsidRPr="00F97044">
        <w:rPr>
          <w:rFonts w:eastAsia="Calibri" w:cs="Arial"/>
          <w:szCs w:val="20"/>
        </w:rPr>
        <w:t>.</w:t>
      </w:r>
    </w:p>
    <w:p w:rsidR="00CD6D87" w:rsidRPr="00F97044" w:rsidRDefault="00CD6D87" w:rsidP="00CD6D87">
      <w:pPr>
        <w:contextualSpacing/>
        <w:rPr>
          <w:rFonts w:eastAsia="Calibri" w:cs="Arial"/>
          <w:szCs w:val="20"/>
        </w:rPr>
      </w:pPr>
    </w:p>
    <w:p w:rsidR="0004230C" w:rsidRDefault="00814FEF" w:rsidP="00CD6D87">
      <w:pPr>
        <w:spacing w:before="0"/>
        <w:contextualSpacing/>
        <w:rPr>
          <w:rFonts w:eastAsia="Calibri" w:cs="Arial"/>
          <w:szCs w:val="20"/>
        </w:rPr>
      </w:pPr>
      <w:r w:rsidRPr="003774FE">
        <w:rPr>
          <w:rFonts w:eastAsia="Calibri" w:cs="Arial"/>
          <w:b/>
          <w:i/>
          <w:szCs w:val="20"/>
          <w:u w:val="single"/>
        </w:rPr>
        <w:t>Recommendation 2.2:</w:t>
      </w:r>
      <w:r w:rsidRPr="003774FE">
        <w:rPr>
          <w:rFonts w:eastAsia="Calibri" w:cs="Arial"/>
          <w:b/>
          <w:i/>
          <w:szCs w:val="20"/>
        </w:rPr>
        <w:t xml:space="preserve">  </w:t>
      </w:r>
      <w:r w:rsidR="00DA7173" w:rsidRPr="00DA7173">
        <w:rPr>
          <w:rFonts w:eastAsia="Calibri" w:cs="Arial"/>
          <w:szCs w:val="20"/>
        </w:rPr>
        <w:t>Development Partners with Government of Tonga support the development of a national TVET policy</w:t>
      </w:r>
      <w:r w:rsidR="00E4774A">
        <w:t xml:space="preserve"> through which a common vision for TVET in Tonga should emerge</w:t>
      </w:r>
      <w:r w:rsidR="0004230C" w:rsidRPr="00DA7173">
        <w:rPr>
          <w:rFonts w:eastAsia="Calibri" w:cs="Arial"/>
          <w:szCs w:val="20"/>
        </w:rPr>
        <w:t>.</w:t>
      </w:r>
    </w:p>
    <w:p w:rsidR="00CD6D87" w:rsidRPr="00DA7173" w:rsidRDefault="00CD6D87" w:rsidP="00CD6D87">
      <w:pPr>
        <w:spacing w:before="0"/>
        <w:contextualSpacing/>
        <w:rPr>
          <w:rFonts w:eastAsia="Calibri" w:cs="Arial"/>
          <w:szCs w:val="20"/>
        </w:rPr>
      </w:pPr>
    </w:p>
    <w:p w:rsidR="00CD6D87" w:rsidRDefault="001A1554" w:rsidP="00CD6D87">
      <w:pPr>
        <w:spacing w:before="0"/>
        <w:rPr>
          <w:rFonts w:cs="Arial"/>
          <w:szCs w:val="20"/>
          <w:lang w:eastAsia="en-AU"/>
        </w:rPr>
      </w:pPr>
      <w:r w:rsidRPr="00F97044">
        <w:rPr>
          <w:rFonts w:cs="Arial"/>
          <w:b/>
          <w:szCs w:val="20"/>
          <w:lang w:eastAsia="en-AU"/>
        </w:rPr>
        <w:t xml:space="preserve">Response:  </w:t>
      </w:r>
      <w:r w:rsidRPr="00F97044">
        <w:rPr>
          <w:rFonts w:cs="Arial"/>
          <w:szCs w:val="20"/>
          <w:lang w:eastAsia="en-AU"/>
        </w:rPr>
        <w:t>Agree</w:t>
      </w:r>
    </w:p>
    <w:p w:rsidR="00CD6D87" w:rsidRDefault="00CD6D87" w:rsidP="00CD6D87">
      <w:pPr>
        <w:spacing w:before="0"/>
        <w:rPr>
          <w:rFonts w:cs="Arial"/>
          <w:szCs w:val="20"/>
          <w:lang w:eastAsia="en-AU"/>
        </w:rPr>
      </w:pPr>
    </w:p>
    <w:p w:rsidR="00814FEF" w:rsidRPr="00F97044" w:rsidRDefault="001A1554" w:rsidP="00CD6D87">
      <w:pPr>
        <w:spacing w:before="0"/>
        <w:rPr>
          <w:rFonts w:cs="Arial"/>
          <w:szCs w:val="20"/>
          <w:lang w:eastAsia="en-AU"/>
        </w:rPr>
      </w:pPr>
      <w:r w:rsidRPr="00F97044">
        <w:rPr>
          <w:rFonts w:cs="Arial"/>
          <w:b/>
          <w:szCs w:val="20"/>
          <w:lang w:eastAsia="en-AU"/>
        </w:rPr>
        <w:t>Actions:</w:t>
      </w:r>
      <w:r w:rsidR="0026533E" w:rsidRPr="00F97044">
        <w:rPr>
          <w:rFonts w:cs="Arial"/>
          <w:b/>
          <w:szCs w:val="20"/>
          <w:lang w:eastAsia="en-AU"/>
        </w:rPr>
        <w:t xml:space="preserve"> </w:t>
      </w:r>
      <w:r w:rsidR="004A301B" w:rsidRPr="00F97044">
        <w:rPr>
          <w:rFonts w:cs="Arial"/>
          <w:b/>
          <w:szCs w:val="20"/>
          <w:lang w:eastAsia="en-AU"/>
        </w:rPr>
        <w:t xml:space="preserve"> </w:t>
      </w:r>
      <w:r w:rsidR="00E4774A" w:rsidRPr="00E4774A">
        <w:rPr>
          <w:rFonts w:cs="Arial"/>
          <w:szCs w:val="20"/>
          <w:lang w:eastAsia="en-AU"/>
        </w:rPr>
        <w:t xml:space="preserve">AusAID </w:t>
      </w:r>
      <w:r w:rsidR="00E4774A" w:rsidRPr="00CD6D87">
        <w:rPr>
          <w:rFonts w:cs="Arial"/>
          <w:szCs w:val="20"/>
          <w:lang w:eastAsia="en-AU"/>
        </w:rPr>
        <w:t>Nuku’alofa to:</w:t>
      </w:r>
      <w:r w:rsidR="00E4774A" w:rsidRPr="00F97044">
        <w:rPr>
          <w:rFonts w:cs="Arial"/>
          <w:b/>
          <w:szCs w:val="20"/>
          <w:lang w:eastAsia="en-AU"/>
        </w:rPr>
        <w:t xml:space="preserve"> </w:t>
      </w:r>
      <w:r w:rsidR="00E4774A" w:rsidRPr="00F97044">
        <w:rPr>
          <w:rFonts w:cs="Arial"/>
          <w:szCs w:val="20"/>
          <w:lang w:eastAsia="en-AU"/>
        </w:rPr>
        <w:t xml:space="preserve"> </w:t>
      </w:r>
    </w:p>
    <w:p w:rsidR="00CD6D87" w:rsidRDefault="0006093A" w:rsidP="00CD6D87">
      <w:pPr>
        <w:numPr>
          <w:ilvl w:val="0"/>
          <w:numId w:val="9"/>
        </w:numPr>
        <w:spacing w:before="0"/>
        <w:rPr>
          <w:rFonts w:eastAsia="Calibri" w:cs="Arial"/>
          <w:szCs w:val="20"/>
        </w:rPr>
      </w:pPr>
      <w:r w:rsidRPr="00F97044">
        <w:rPr>
          <w:rFonts w:cs="Arial"/>
          <w:szCs w:val="20"/>
          <w:lang w:eastAsia="en-AU"/>
        </w:rPr>
        <w:t xml:space="preserve">assist TSP1 recruit/source and </w:t>
      </w:r>
      <w:r w:rsidR="00E4774A">
        <w:rPr>
          <w:rFonts w:cs="Arial"/>
          <w:szCs w:val="20"/>
          <w:lang w:eastAsia="en-AU"/>
        </w:rPr>
        <w:t xml:space="preserve">technical assistance to </w:t>
      </w:r>
      <w:r w:rsidR="00CD6D87">
        <w:rPr>
          <w:rFonts w:cs="Arial"/>
          <w:szCs w:val="20"/>
          <w:lang w:eastAsia="en-AU"/>
        </w:rPr>
        <w:t>support this process and activity</w:t>
      </w:r>
    </w:p>
    <w:p w:rsidR="003774FE" w:rsidRPr="00F97044" w:rsidRDefault="003774FE" w:rsidP="00CD6D87">
      <w:pPr>
        <w:spacing w:before="0"/>
        <w:ind w:left="720"/>
        <w:rPr>
          <w:rFonts w:cs="Arial"/>
          <w:szCs w:val="20"/>
          <w:lang w:eastAsia="en-AU"/>
        </w:rPr>
      </w:pPr>
    </w:p>
    <w:p w:rsidR="00814FEF" w:rsidRPr="003774FE" w:rsidRDefault="00814FEF" w:rsidP="00CD6D87">
      <w:pPr>
        <w:spacing w:before="0"/>
        <w:rPr>
          <w:rFonts w:cs="Arial"/>
          <w:i/>
          <w:szCs w:val="20"/>
          <w:lang w:eastAsia="en-AU"/>
        </w:rPr>
      </w:pPr>
      <w:r w:rsidRPr="003774FE">
        <w:rPr>
          <w:rFonts w:cs="Arial"/>
          <w:b/>
          <w:i/>
          <w:szCs w:val="20"/>
          <w:u w:val="single"/>
          <w:lang w:eastAsia="en-AU"/>
        </w:rPr>
        <w:t xml:space="preserve">Recommendation 2.3: </w:t>
      </w:r>
      <w:r w:rsidRPr="003774FE">
        <w:rPr>
          <w:rFonts w:cs="Arial"/>
          <w:b/>
          <w:i/>
          <w:szCs w:val="20"/>
          <w:lang w:eastAsia="en-AU"/>
        </w:rPr>
        <w:t xml:space="preserve"> </w:t>
      </w:r>
      <w:r w:rsidRPr="003774FE">
        <w:rPr>
          <w:rFonts w:cs="Arial"/>
          <w:i/>
          <w:szCs w:val="20"/>
          <w:lang w:eastAsia="en-AU"/>
        </w:rPr>
        <w:t xml:space="preserve">A </w:t>
      </w:r>
      <w:r w:rsidR="00E4774A">
        <w:rPr>
          <w:rFonts w:cs="Arial"/>
          <w:i/>
          <w:szCs w:val="20"/>
          <w:lang w:eastAsia="en-AU"/>
        </w:rPr>
        <w:t xml:space="preserve">costed </w:t>
      </w:r>
      <w:r w:rsidRPr="003774FE">
        <w:rPr>
          <w:rFonts w:cs="Arial"/>
          <w:i/>
          <w:szCs w:val="20"/>
          <w:lang w:eastAsia="en-AU"/>
        </w:rPr>
        <w:t xml:space="preserve">workplan </w:t>
      </w:r>
      <w:r w:rsidR="00E4774A">
        <w:rPr>
          <w:rFonts w:cs="Arial"/>
          <w:i/>
          <w:szCs w:val="20"/>
          <w:lang w:eastAsia="en-AU"/>
        </w:rPr>
        <w:t>produced by</w:t>
      </w:r>
      <w:r w:rsidRPr="003774FE">
        <w:rPr>
          <w:rFonts w:cs="Arial"/>
          <w:i/>
          <w:szCs w:val="20"/>
          <w:lang w:eastAsia="en-AU"/>
        </w:rPr>
        <w:t xml:space="preserve"> TSP1 up to the end of </w:t>
      </w:r>
      <w:r w:rsidR="00F97044" w:rsidRPr="003774FE">
        <w:rPr>
          <w:rFonts w:cs="Arial"/>
          <w:i/>
          <w:szCs w:val="20"/>
          <w:lang w:eastAsia="en-AU"/>
        </w:rPr>
        <w:t>April</w:t>
      </w:r>
      <w:r w:rsidR="00E4774A">
        <w:rPr>
          <w:rFonts w:cs="Arial"/>
          <w:i/>
          <w:szCs w:val="20"/>
          <w:lang w:eastAsia="en-AU"/>
        </w:rPr>
        <w:t xml:space="preserve"> 2013, based on the recommended activities outlined in the IPR, and submitted for approval of the </w:t>
      </w:r>
      <w:r w:rsidRPr="003774FE">
        <w:rPr>
          <w:rFonts w:cs="Arial"/>
          <w:i/>
          <w:szCs w:val="20"/>
          <w:lang w:eastAsia="en-AU"/>
        </w:rPr>
        <w:t>Program Steering Commi</w:t>
      </w:r>
      <w:r w:rsidR="00E4774A">
        <w:rPr>
          <w:rFonts w:cs="Arial"/>
          <w:i/>
          <w:szCs w:val="20"/>
          <w:lang w:eastAsia="en-AU"/>
        </w:rPr>
        <w:t>ttee (PSC).</w:t>
      </w:r>
    </w:p>
    <w:p w:rsidR="003774FE" w:rsidRDefault="003774FE" w:rsidP="00CD6D87">
      <w:pPr>
        <w:spacing w:before="0"/>
        <w:rPr>
          <w:rFonts w:cs="Arial"/>
          <w:b/>
          <w:szCs w:val="20"/>
          <w:lang w:eastAsia="en-AU"/>
        </w:rPr>
      </w:pPr>
    </w:p>
    <w:p w:rsidR="005D318C" w:rsidRPr="00F97044" w:rsidRDefault="005D318C" w:rsidP="00CD6D87">
      <w:pPr>
        <w:spacing w:before="0"/>
        <w:rPr>
          <w:rFonts w:cs="Arial"/>
          <w:szCs w:val="20"/>
          <w:lang w:eastAsia="en-AU"/>
        </w:rPr>
      </w:pPr>
      <w:r w:rsidRPr="00F97044">
        <w:rPr>
          <w:rFonts w:cs="Arial"/>
          <w:b/>
          <w:szCs w:val="20"/>
          <w:lang w:eastAsia="en-AU"/>
        </w:rPr>
        <w:t xml:space="preserve">Response:  </w:t>
      </w:r>
      <w:r w:rsidRPr="00F97044">
        <w:rPr>
          <w:rFonts w:cs="Arial"/>
          <w:szCs w:val="20"/>
          <w:lang w:eastAsia="en-AU"/>
        </w:rPr>
        <w:t>Agree</w:t>
      </w:r>
    </w:p>
    <w:p w:rsidR="003774FE" w:rsidRDefault="003774FE" w:rsidP="00CD6D87">
      <w:pPr>
        <w:spacing w:before="0"/>
        <w:rPr>
          <w:rFonts w:cs="Arial"/>
          <w:b/>
          <w:szCs w:val="20"/>
          <w:lang w:eastAsia="en-AU"/>
        </w:rPr>
      </w:pPr>
    </w:p>
    <w:p w:rsidR="00E4774A" w:rsidRPr="00E4774A" w:rsidRDefault="005D318C" w:rsidP="00CD6D87">
      <w:pPr>
        <w:spacing w:before="0"/>
        <w:rPr>
          <w:rFonts w:cs="Arial"/>
          <w:b/>
          <w:szCs w:val="20"/>
          <w:lang w:eastAsia="en-AU"/>
        </w:rPr>
      </w:pPr>
      <w:r w:rsidRPr="00F97044">
        <w:rPr>
          <w:rFonts w:cs="Arial"/>
          <w:b/>
          <w:szCs w:val="20"/>
          <w:lang w:eastAsia="en-AU"/>
        </w:rPr>
        <w:t>Action:</w:t>
      </w:r>
      <w:r w:rsidR="0006093A" w:rsidRPr="00F97044">
        <w:rPr>
          <w:rFonts w:cs="Arial"/>
          <w:b/>
          <w:szCs w:val="20"/>
          <w:lang w:eastAsia="en-AU"/>
        </w:rPr>
        <w:t xml:space="preserve"> </w:t>
      </w:r>
      <w:r w:rsidR="00E4774A" w:rsidRPr="00E4774A">
        <w:rPr>
          <w:rFonts w:cs="Arial"/>
          <w:szCs w:val="20"/>
          <w:lang w:eastAsia="en-AU"/>
        </w:rPr>
        <w:t>AusAID Nuku’alofa to</w:t>
      </w:r>
      <w:r w:rsidR="00CD6D87">
        <w:rPr>
          <w:rFonts w:cs="Arial"/>
          <w:szCs w:val="20"/>
          <w:lang w:eastAsia="en-AU"/>
        </w:rPr>
        <w:t>:</w:t>
      </w:r>
    </w:p>
    <w:p w:rsidR="0006093A" w:rsidRPr="00F97044" w:rsidRDefault="00E4774A" w:rsidP="00CD6D87">
      <w:pPr>
        <w:numPr>
          <w:ilvl w:val="0"/>
          <w:numId w:val="9"/>
        </w:numPr>
        <w:spacing w:before="0"/>
        <w:rPr>
          <w:rFonts w:cs="Arial"/>
          <w:b/>
          <w:szCs w:val="20"/>
          <w:lang w:eastAsia="en-AU"/>
        </w:rPr>
      </w:pPr>
      <w:r>
        <w:rPr>
          <w:rFonts w:cs="Arial"/>
          <w:szCs w:val="20"/>
          <w:lang w:eastAsia="en-AU"/>
        </w:rPr>
        <w:t xml:space="preserve">discuss with the TSP1 the recommended activities to be undertaken over the next 9-months as the basis of the TSP1 work plan, and for the workplan to be submitted for  approval by the TSP1 Program Steering Committee </w:t>
      </w:r>
      <w:r w:rsidRPr="00F97044">
        <w:rPr>
          <w:rFonts w:cs="Arial"/>
          <w:szCs w:val="20"/>
          <w:lang w:eastAsia="en-AU"/>
        </w:rPr>
        <w:t>as</w:t>
      </w:r>
      <w:r w:rsidR="0006093A" w:rsidRPr="00F97044">
        <w:rPr>
          <w:rFonts w:cs="Arial"/>
          <w:szCs w:val="20"/>
          <w:lang w:eastAsia="en-AU"/>
        </w:rPr>
        <w:t xml:space="preserve"> soon as possible.</w:t>
      </w:r>
    </w:p>
    <w:p w:rsidR="001A1554" w:rsidRPr="00F97044" w:rsidRDefault="0004230C" w:rsidP="00792907">
      <w:pPr>
        <w:rPr>
          <w:rFonts w:cs="Arial"/>
          <w:b/>
          <w:szCs w:val="20"/>
          <w:lang w:eastAsia="en-AU"/>
        </w:rPr>
      </w:pPr>
      <w:r w:rsidRPr="00F97044">
        <w:rPr>
          <w:rFonts w:cs="Arial"/>
          <w:b/>
          <w:szCs w:val="20"/>
          <w:lang w:eastAsia="en-AU"/>
        </w:rPr>
        <w:t xml:space="preserve">  </w:t>
      </w:r>
    </w:p>
    <w:p w:rsidR="00B07AD5" w:rsidRPr="00F22FFA" w:rsidRDefault="00B07AD5" w:rsidP="00F22FFA">
      <w:pPr>
        <w:rPr>
          <w:b/>
        </w:rPr>
      </w:pPr>
    </w:p>
    <w:sectPr w:rsidR="00B07AD5" w:rsidRPr="00F22FFA" w:rsidSect="002E5D4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9C" w:rsidRDefault="003D129C">
      <w:pPr>
        <w:pStyle w:val="Table-list-number"/>
      </w:pPr>
      <w:r>
        <w:separator/>
      </w:r>
    </w:p>
  </w:endnote>
  <w:endnote w:type="continuationSeparator" w:id="0">
    <w:p w:rsidR="003D129C" w:rsidRDefault="003D129C">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42" w:rsidRDefault="00F22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87" w:rsidRPr="008F1256" w:rsidRDefault="00CD6D87" w:rsidP="002E5D40">
    <w:pPr>
      <w:pStyle w:val="Footer"/>
      <w:pBdr>
        <w:top w:val="single" w:sz="4" w:space="8" w:color="999999"/>
      </w:pBdr>
      <w:tabs>
        <w:tab w:val="clear" w:pos="4153"/>
        <w:tab w:val="clear" w:pos="8306"/>
        <w:tab w:val="right" w:pos="9639"/>
      </w:tabs>
      <w:rPr>
        <w:szCs w:val="16"/>
      </w:rPr>
    </w:pPr>
    <w:r>
      <w:rPr>
        <w:szCs w:val="16"/>
      </w:rPr>
      <w:t>Independent Evaluation Management Response, registered #158</w:t>
    </w:r>
    <w:r w:rsidRPr="008F1256">
      <w:rPr>
        <w:szCs w:val="16"/>
      </w:rPr>
      <w:tab/>
      <w:t xml:space="preserve">UNCLASSIFIED   page </w:t>
    </w:r>
    <w:r w:rsidRPr="008F1256">
      <w:rPr>
        <w:rStyle w:val="PageNumber"/>
        <w:szCs w:val="16"/>
      </w:rPr>
      <w:fldChar w:fldCharType="begin"/>
    </w:r>
    <w:r w:rsidRPr="008F1256">
      <w:rPr>
        <w:rStyle w:val="PageNumber"/>
        <w:szCs w:val="16"/>
      </w:rPr>
      <w:instrText xml:space="preserve"> PAGE </w:instrText>
    </w:r>
    <w:r w:rsidRPr="008F1256">
      <w:rPr>
        <w:rStyle w:val="PageNumber"/>
        <w:szCs w:val="16"/>
      </w:rPr>
      <w:fldChar w:fldCharType="separate"/>
    </w:r>
    <w:r w:rsidR="006C2670">
      <w:rPr>
        <w:rStyle w:val="PageNumber"/>
        <w:noProof/>
        <w:szCs w:val="16"/>
      </w:rPr>
      <w:t>3</w:t>
    </w:r>
    <w:r w:rsidRPr="008F1256">
      <w:rPr>
        <w:rStyle w:val="PageNumber"/>
        <w:szCs w:val="16"/>
      </w:rPr>
      <w:fldChar w:fldCharType="end"/>
    </w:r>
    <w:r w:rsidRPr="008F1256">
      <w:rPr>
        <w:rStyle w:val="PageNumber"/>
        <w:szCs w:val="16"/>
      </w:rPr>
      <w:t xml:space="preserve"> of </w:t>
    </w:r>
    <w:r w:rsidRPr="008F1256">
      <w:rPr>
        <w:rStyle w:val="PageNumber"/>
        <w:szCs w:val="16"/>
      </w:rPr>
      <w:fldChar w:fldCharType="begin"/>
    </w:r>
    <w:r w:rsidRPr="008F1256">
      <w:rPr>
        <w:rStyle w:val="PageNumber"/>
        <w:szCs w:val="16"/>
      </w:rPr>
      <w:instrText xml:space="preserve"> NUMPAGES </w:instrText>
    </w:r>
    <w:r w:rsidRPr="008F1256">
      <w:rPr>
        <w:rStyle w:val="PageNumber"/>
        <w:szCs w:val="16"/>
      </w:rPr>
      <w:fldChar w:fldCharType="separate"/>
    </w:r>
    <w:r w:rsidR="006C2670">
      <w:rPr>
        <w:rStyle w:val="PageNumber"/>
        <w:noProof/>
        <w:szCs w:val="16"/>
      </w:rPr>
      <w:t>3</w:t>
    </w:r>
    <w:r w:rsidRPr="008F1256">
      <w:rPr>
        <w:rStyle w:val="PageNumber"/>
        <w:szCs w:val="16"/>
      </w:rPr>
      <w:fldChar w:fldCharType="end"/>
    </w:r>
  </w:p>
  <w:p w:rsidR="00CD6D87" w:rsidRPr="008F1256" w:rsidRDefault="00CD6D87" w:rsidP="002E5D40">
    <w:pPr>
      <w:pStyle w:val="Footer"/>
      <w:tabs>
        <w:tab w:val="clear" w:pos="4153"/>
        <w:tab w:val="clear" w:pos="8306"/>
        <w:tab w:val="right" w:pos="9639"/>
      </w:tabs>
      <w:spacing w:before="40"/>
      <w:rPr>
        <w:szCs w:val="16"/>
      </w:rPr>
    </w:pPr>
    <w:r w:rsidRPr="00074C73">
      <w:rPr>
        <w:rStyle w:val="PageNumber"/>
        <w:szCs w:val="16"/>
      </w:rPr>
      <w:t xml:space="preserve">Business Process Owner: </w:t>
    </w:r>
    <w:r w:rsidRPr="00074C73">
      <w:rPr>
        <w:rFonts w:cs="Arial"/>
        <w:bCs/>
        <w:szCs w:val="16"/>
      </w:rPr>
      <w:t xml:space="preserve">Director, </w:t>
    </w:r>
    <w:r>
      <w:rPr>
        <w:rFonts w:cs="Arial"/>
        <w:bCs/>
        <w:szCs w:val="16"/>
      </w:rPr>
      <w:t>Performance Systems and Support</w:t>
    </w:r>
    <w:r w:rsidRPr="00074C73">
      <w:rPr>
        <w:szCs w:val="16"/>
      </w:rPr>
      <w:tab/>
      <w:t>Template c</w:t>
    </w:r>
    <w:r w:rsidRPr="00074C73">
      <w:rPr>
        <w:rStyle w:val="PageNumber"/>
        <w:szCs w:val="16"/>
      </w:rPr>
      <w:t>urrent to</w:t>
    </w:r>
    <w:r w:rsidRPr="00074C73">
      <w:rPr>
        <w:szCs w:val="16"/>
      </w:rPr>
      <w:t xml:space="preserve"> </w:t>
    </w:r>
    <w:r>
      <w:rPr>
        <w:szCs w:val="16"/>
      </w:rPr>
      <w:t>31 December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42" w:rsidRDefault="00F22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9C" w:rsidRDefault="003D129C">
      <w:pPr>
        <w:pStyle w:val="Table-list-number"/>
      </w:pPr>
      <w:r>
        <w:separator/>
      </w:r>
    </w:p>
  </w:footnote>
  <w:footnote w:type="continuationSeparator" w:id="0">
    <w:p w:rsidR="003D129C" w:rsidRDefault="003D129C">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42" w:rsidRDefault="00F22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42" w:rsidRDefault="00F22A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42" w:rsidRDefault="00F22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02"/>
    <w:multiLevelType w:val="hybridMultilevel"/>
    <w:tmpl w:val="B368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7446A8"/>
    <w:multiLevelType w:val="hybridMultilevel"/>
    <w:tmpl w:val="877871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2EFE0AD0"/>
    <w:multiLevelType w:val="hybridMultilevel"/>
    <w:tmpl w:val="BAFAA5FA"/>
    <w:lvl w:ilvl="0" w:tplc="0C090019">
      <w:start w:val="1"/>
      <w:numFmt w:val="lowerLetter"/>
      <w:lvlText w:val="%1."/>
      <w:lvlJc w:val="left"/>
      <w:pPr>
        <w:ind w:left="1724" w:hanging="360"/>
      </w:pPr>
      <w:rPr>
        <w:rFonts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15128D1"/>
    <w:multiLevelType w:val="hybridMultilevel"/>
    <w:tmpl w:val="12B29C5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4A956886"/>
    <w:multiLevelType w:val="hybridMultilevel"/>
    <w:tmpl w:val="6AFEF17C"/>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nsid w:val="54062165"/>
    <w:multiLevelType w:val="hybridMultilevel"/>
    <w:tmpl w:val="C0424D7E"/>
    <w:lvl w:ilvl="0" w:tplc="0C090001">
      <w:start w:val="1"/>
      <w:numFmt w:val="bullet"/>
      <w:lvlText w:val=""/>
      <w:lvlJc w:val="left"/>
      <w:pPr>
        <w:ind w:left="1724" w:hanging="360"/>
      </w:pPr>
      <w:rPr>
        <w:rFonts w:ascii="Symbol" w:hAnsi="Symbol"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0">
    <w:nsid w:val="5D5131A8"/>
    <w:multiLevelType w:val="hybridMultilevel"/>
    <w:tmpl w:val="1F9060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09550B4"/>
    <w:multiLevelType w:val="hybridMultilevel"/>
    <w:tmpl w:val="9CCA9C24"/>
    <w:lvl w:ilvl="0" w:tplc="632AA72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3">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CE0087"/>
    <w:multiLevelType w:val="hybridMultilevel"/>
    <w:tmpl w:val="840AEAD2"/>
    <w:lvl w:ilvl="0" w:tplc="0C090001">
      <w:start w:val="1"/>
      <w:numFmt w:val="bullet"/>
      <w:lvlText w:val=""/>
      <w:lvlJc w:val="left"/>
      <w:pPr>
        <w:ind w:left="2520" w:hanging="720"/>
      </w:pPr>
      <w:rPr>
        <w:rFonts w:ascii="Symbol" w:hAnsi="Symbol" w:hint="default"/>
        <w:b/>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7B182796"/>
    <w:multiLevelType w:val="multilevel"/>
    <w:tmpl w:val="FE1404B4"/>
    <w:lvl w:ilvl="0">
      <w:start w:val="1"/>
      <w:numFmt w:val="decimal"/>
      <w:pStyle w:val="CONLevel1"/>
      <w:lvlText w:val="%1."/>
      <w:lvlJc w:val="left"/>
      <w:pPr>
        <w:tabs>
          <w:tab w:val="num" w:pos="720"/>
        </w:tabs>
        <w:ind w:left="720" w:hanging="720"/>
      </w:pPr>
      <w:rPr>
        <w:rFonts w:ascii="Arial" w:hAnsi="Arial" w:hint="default"/>
        <w:b w:val="0"/>
        <w:i w:val="0"/>
        <w:sz w:val="22"/>
      </w:rPr>
    </w:lvl>
    <w:lvl w:ilvl="1">
      <w:start w:val="1"/>
      <w:numFmt w:val="decimal"/>
      <w:pStyle w:val="CONLevel11"/>
      <w:lvlText w:val="%1.%2"/>
      <w:lvlJc w:val="left"/>
      <w:pPr>
        <w:tabs>
          <w:tab w:val="num" w:pos="1132"/>
        </w:tabs>
        <w:ind w:left="1132" w:hanging="706"/>
      </w:pPr>
      <w:rPr>
        <w:rFonts w:ascii="Arial" w:hAnsi="Arial" w:hint="default"/>
        <w:b w:val="0"/>
        <w:i w:val="0"/>
        <w:sz w:val="22"/>
      </w:rPr>
    </w:lvl>
    <w:lvl w:ilvl="2">
      <w:start w:val="1"/>
      <w:numFmt w:val="lowerLetter"/>
      <w:pStyle w:val="CONLevela"/>
      <w:lvlText w:val="(%3)"/>
      <w:lvlJc w:val="left"/>
      <w:pPr>
        <w:tabs>
          <w:tab w:val="num" w:pos="1440"/>
        </w:tabs>
        <w:ind w:left="1440" w:hanging="720"/>
      </w:pPr>
      <w:rPr>
        <w:rFonts w:ascii="Arial" w:hAnsi="Arial" w:hint="default"/>
        <w:b w:val="0"/>
        <w:i w:val="0"/>
        <w:sz w:val="20"/>
      </w:rPr>
    </w:lvl>
    <w:lvl w:ilvl="3">
      <w:start w:val="1"/>
      <w:numFmt w:val="lowerRoman"/>
      <w:pStyle w:val="CONLeveli"/>
      <w:lvlText w:val="(%4)"/>
      <w:lvlJc w:val="left"/>
      <w:pPr>
        <w:tabs>
          <w:tab w:val="num" w:pos="2160"/>
        </w:tabs>
        <w:ind w:left="2160" w:hanging="720"/>
      </w:pPr>
      <w:rPr>
        <w:rFonts w:ascii="Arial" w:hAnsi="Arial" w:hint="default"/>
        <w:b w:val="0"/>
        <w:i w:val="0"/>
        <w:sz w:val="22"/>
      </w:rPr>
    </w:lvl>
    <w:lvl w:ilvl="4">
      <w:start w:val="1"/>
      <w:numFmt w:val="upperLetter"/>
      <w:pStyle w:val="CONLevelA0"/>
      <w:lvlText w:val="(%5)"/>
      <w:lvlJc w:val="left"/>
      <w:pPr>
        <w:tabs>
          <w:tab w:val="num" w:pos="2880"/>
        </w:tabs>
        <w:ind w:left="2880" w:hanging="720"/>
      </w:pPr>
      <w:rPr>
        <w:rFonts w:ascii="Arial" w:hAnsi="Arial" w:hint="default"/>
        <w:b w:val="0"/>
        <w:i w:val="0"/>
        <w:sz w:val="22"/>
      </w:rPr>
    </w:lvl>
    <w:lvl w:ilvl="5">
      <w:start w:val="1"/>
      <w:numFmt w:val="upperRoman"/>
      <w:pStyle w:val="CONLevelI0"/>
      <w:lvlText w:val="(%6)"/>
      <w:lvlJc w:val="left"/>
      <w:pPr>
        <w:tabs>
          <w:tab w:val="num" w:pos="3600"/>
        </w:tabs>
        <w:ind w:left="3600" w:hanging="720"/>
      </w:pPr>
      <w:rPr>
        <w:rFonts w:ascii="Letter Gothic" w:hAnsi="Letter Gothic"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7"/>
  </w:num>
  <w:num w:numId="3">
    <w:abstractNumId w:val="5"/>
  </w:num>
  <w:num w:numId="4">
    <w:abstractNumId w:val="12"/>
  </w:num>
  <w:num w:numId="5">
    <w:abstractNumId w:val="13"/>
  </w:num>
  <w:num w:numId="6">
    <w:abstractNumId w:val="1"/>
  </w:num>
  <w:num w:numId="7">
    <w:abstractNumId w:val="11"/>
  </w:num>
  <w:num w:numId="8">
    <w:abstractNumId w:val="2"/>
  </w:num>
  <w:num w:numId="9">
    <w:abstractNumId w:val="0"/>
  </w:num>
  <w:num w:numId="10">
    <w:abstractNumId w:val="14"/>
  </w:num>
  <w:num w:numId="11">
    <w:abstractNumId w:val="8"/>
  </w:num>
  <w:num w:numId="12">
    <w:abstractNumId w:val="10"/>
  </w:num>
  <w:num w:numId="13">
    <w:abstractNumId w:val="15"/>
  </w:num>
  <w:num w:numId="14">
    <w:abstractNumId w:val="6"/>
  </w:num>
  <w:num w:numId="15">
    <w:abstractNumId w:val="4"/>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35D5"/>
    <w:rsid w:val="00015371"/>
    <w:rsid w:val="0002251B"/>
    <w:rsid w:val="00023182"/>
    <w:rsid w:val="00030875"/>
    <w:rsid w:val="00031779"/>
    <w:rsid w:val="0004230C"/>
    <w:rsid w:val="00052316"/>
    <w:rsid w:val="0006093A"/>
    <w:rsid w:val="00064C44"/>
    <w:rsid w:val="00067C95"/>
    <w:rsid w:val="00071CEC"/>
    <w:rsid w:val="000728D3"/>
    <w:rsid w:val="000765F5"/>
    <w:rsid w:val="000815D3"/>
    <w:rsid w:val="000869CE"/>
    <w:rsid w:val="00094CE2"/>
    <w:rsid w:val="000A77DB"/>
    <w:rsid w:val="000B7AFD"/>
    <w:rsid w:val="000E1475"/>
    <w:rsid w:val="000E1958"/>
    <w:rsid w:val="000F5FF5"/>
    <w:rsid w:val="0010006D"/>
    <w:rsid w:val="00102362"/>
    <w:rsid w:val="00123C3E"/>
    <w:rsid w:val="0012582F"/>
    <w:rsid w:val="00134B6C"/>
    <w:rsid w:val="001378B7"/>
    <w:rsid w:val="00140289"/>
    <w:rsid w:val="00144AF1"/>
    <w:rsid w:val="00151891"/>
    <w:rsid w:val="00153F2A"/>
    <w:rsid w:val="00173632"/>
    <w:rsid w:val="0017585E"/>
    <w:rsid w:val="00184728"/>
    <w:rsid w:val="001874BC"/>
    <w:rsid w:val="001917F6"/>
    <w:rsid w:val="001A1554"/>
    <w:rsid w:val="001B5DEE"/>
    <w:rsid w:val="001D7353"/>
    <w:rsid w:val="001D7823"/>
    <w:rsid w:val="001E4372"/>
    <w:rsid w:val="001E4ABC"/>
    <w:rsid w:val="001E4FCC"/>
    <w:rsid w:val="001F548E"/>
    <w:rsid w:val="00201759"/>
    <w:rsid w:val="00221D53"/>
    <w:rsid w:val="00223581"/>
    <w:rsid w:val="00232239"/>
    <w:rsid w:val="002425E0"/>
    <w:rsid w:val="002427EC"/>
    <w:rsid w:val="002524DA"/>
    <w:rsid w:val="00264366"/>
    <w:rsid w:val="0026533E"/>
    <w:rsid w:val="00265F50"/>
    <w:rsid w:val="00276F45"/>
    <w:rsid w:val="002839B9"/>
    <w:rsid w:val="0029717D"/>
    <w:rsid w:val="002B2279"/>
    <w:rsid w:val="002B2BA6"/>
    <w:rsid w:val="002B50BC"/>
    <w:rsid w:val="002D1173"/>
    <w:rsid w:val="002E5D40"/>
    <w:rsid w:val="002E7065"/>
    <w:rsid w:val="0030264B"/>
    <w:rsid w:val="00310FA6"/>
    <w:rsid w:val="00334E51"/>
    <w:rsid w:val="00342870"/>
    <w:rsid w:val="003459CB"/>
    <w:rsid w:val="00345F77"/>
    <w:rsid w:val="0036649B"/>
    <w:rsid w:val="003719DB"/>
    <w:rsid w:val="00373EB2"/>
    <w:rsid w:val="003774FE"/>
    <w:rsid w:val="0039002F"/>
    <w:rsid w:val="003A0E0F"/>
    <w:rsid w:val="003A36D5"/>
    <w:rsid w:val="003B518A"/>
    <w:rsid w:val="003C0A67"/>
    <w:rsid w:val="003C24EC"/>
    <w:rsid w:val="003C25ED"/>
    <w:rsid w:val="003D0C24"/>
    <w:rsid w:val="003D129C"/>
    <w:rsid w:val="003D4CAC"/>
    <w:rsid w:val="003D6E0A"/>
    <w:rsid w:val="003E2603"/>
    <w:rsid w:val="003E3E3E"/>
    <w:rsid w:val="003E6561"/>
    <w:rsid w:val="003E7BC4"/>
    <w:rsid w:val="003F0F7E"/>
    <w:rsid w:val="003F2997"/>
    <w:rsid w:val="003F43F9"/>
    <w:rsid w:val="003F7C64"/>
    <w:rsid w:val="004032D0"/>
    <w:rsid w:val="00406867"/>
    <w:rsid w:val="00410C1D"/>
    <w:rsid w:val="00411862"/>
    <w:rsid w:val="004140BA"/>
    <w:rsid w:val="00421A58"/>
    <w:rsid w:val="004221A5"/>
    <w:rsid w:val="00424E4A"/>
    <w:rsid w:val="00443D7E"/>
    <w:rsid w:val="004555E2"/>
    <w:rsid w:val="00455F94"/>
    <w:rsid w:val="00456E4D"/>
    <w:rsid w:val="00457321"/>
    <w:rsid w:val="00461D80"/>
    <w:rsid w:val="00473AA7"/>
    <w:rsid w:val="00476FDC"/>
    <w:rsid w:val="0047719C"/>
    <w:rsid w:val="004962B9"/>
    <w:rsid w:val="00496DB3"/>
    <w:rsid w:val="004A301B"/>
    <w:rsid w:val="004A5138"/>
    <w:rsid w:val="004A56A0"/>
    <w:rsid w:val="004A5947"/>
    <w:rsid w:val="004A7055"/>
    <w:rsid w:val="004C00C0"/>
    <w:rsid w:val="004C675F"/>
    <w:rsid w:val="004E0A16"/>
    <w:rsid w:val="004E150A"/>
    <w:rsid w:val="004E37BD"/>
    <w:rsid w:val="004F5F17"/>
    <w:rsid w:val="00504689"/>
    <w:rsid w:val="005063DC"/>
    <w:rsid w:val="005077AB"/>
    <w:rsid w:val="005109BE"/>
    <w:rsid w:val="005149FE"/>
    <w:rsid w:val="0052010E"/>
    <w:rsid w:val="00523BBF"/>
    <w:rsid w:val="00530283"/>
    <w:rsid w:val="005477B9"/>
    <w:rsid w:val="005829CA"/>
    <w:rsid w:val="0059065C"/>
    <w:rsid w:val="005928E6"/>
    <w:rsid w:val="00595CF4"/>
    <w:rsid w:val="005A4455"/>
    <w:rsid w:val="005A47C3"/>
    <w:rsid w:val="005A6B4A"/>
    <w:rsid w:val="005A7156"/>
    <w:rsid w:val="005A7776"/>
    <w:rsid w:val="005B6097"/>
    <w:rsid w:val="005C51A3"/>
    <w:rsid w:val="005D008B"/>
    <w:rsid w:val="005D318C"/>
    <w:rsid w:val="005D3F4B"/>
    <w:rsid w:val="005E0F91"/>
    <w:rsid w:val="005E7731"/>
    <w:rsid w:val="00602415"/>
    <w:rsid w:val="0061231E"/>
    <w:rsid w:val="006153BC"/>
    <w:rsid w:val="006165DE"/>
    <w:rsid w:val="0061664E"/>
    <w:rsid w:val="00630522"/>
    <w:rsid w:val="00632F4B"/>
    <w:rsid w:val="00642F53"/>
    <w:rsid w:val="00677BF8"/>
    <w:rsid w:val="00681953"/>
    <w:rsid w:val="006A069A"/>
    <w:rsid w:val="006A33F8"/>
    <w:rsid w:val="006A6864"/>
    <w:rsid w:val="006B0754"/>
    <w:rsid w:val="006B204D"/>
    <w:rsid w:val="006B4A7A"/>
    <w:rsid w:val="006B7BFE"/>
    <w:rsid w:val="006C2142"/>
    <w:rsid w:val="006C2670"/>
    <w:rsid w:val="006C54A3"/>
    <w:rsid w:val="006D31BA"/>
    <w:rsid w:val="006D7297"/>
    <w:rsid w:val="006E0843"/>
    <w:rsid w:val="006F31C4"/>
    <w:rsid w:val="0070186B"/>
    <w:rsid w:val="00701AC8"/>
    <w:rsid w:val="00722ABE"/>
    <w:rsid w:val="007336DD"/>
    <w:rsid w:val="00744139"/>
    <w:rsid w:val="007478C2"/>
    <w:rsid w:val="00762F7B"/>
    <w:rsid w:val="00767EB4"/>
    <w:rsid w:val="007820D0"/>
    <w:rsid w:val="00792907"/>
    <w:rsid w:val="007A2C6B"/>
    <w:rsid w:val="007A55B6"/>
    <w:rsid w:val="007B042E"/>
    <w:rsid w:val="007C0E48"/>
    <w:rsid w:val="007C0F46"/>
    <w:rsid w:val="007C5FAB"/>
    <w:rsid w:val="007D2631"/>
    <w:rsid w:val="007E37A6"/>
    <w:rsid w:val="007E3CA5"/>
    <w:rsid w:val="007E4E22"/>
    <w:rsid w:val="007E60A1"/>
    <w:rsid w:val="007E694D"/>
    <w:rsid w:val="007F3EE5"/>
    <w:rsid w:val="00802A54"/>
    <w:rsid w:val="00804D49"/>
    <w:rsid w:val="00814D47"/>
    <w:rsid w:val="00814FEF"/>
    <w:rsid w:val="0081654C"/>
    <w:rsid w:val="00817570"/>
    <w:rsid w:val="00821D18"/>
    <w:rsid w:val="00831FE2"/>
    <w:rsid w:val="00843412"/>
    <w:rsid w:val="00886322"/>
    <w:rsid w:val="00894472"/>
    <w:rsid w:val="008A41E8"/>
    <w:rsid w:val="008B7666"/>
    <w:rsid w:val="008D6AC6"/>
    <w:rsid w:val="008D6B75"/>
    <w:rsid w:val="008E0C4C"/>
    <w:rsid w:val="008F36C7"/>
    <w:rsid w:val="008F5624"/>
    <w:rsid w:val="00912880"/>
    <w:rsid w:val="00921CBF"/>
    <w:rsid w:val="00953FAD"/>
    <w:rsid w:val="0095688C"/>
    <w:rsid w:val="00963C76"/>
    <w:rsid w:val="00963FE5"/>
    <w:rsid w:val="00975EFF"/>
    <w:rsid w:val="00982318"/>
    <w:rsid w:val="00983442"/>
    <w:rsid w:val="00997823"/>
    <w:rsid w:val="009A4B0D"/>
    <w:rsid w:val="009A6B81"/>
    <w:rsid w:val="009B6244"/>
    <w:rsid w:val="009B6A20"/>
    <w:rsid w:val="009C235A"/>
    <w:rsid w:val="009C34DA"/>
    <w:rsid w:val="009D62FF"/>
    <w:rsid w:val="00A04888"/>
    <w:rsid w:val="00A2540E"/>
    <w:rsid w:val="00A305CB"/>
    <w:rsid w:val="00A35590"/>
    <w:rsid w:val="00A36EBD"/>
    <w:rsid w:val="00A435F6"/>
    <w:rsid w:val="00A44E49"/>
    <w:rsid w:val="00A519CC"/>
    <w:rsid w:val="00A5273A"/>
    <w:rsid w:val="00A558C5"/>
    <w:rsid w:val="00A55C90"/>
    <w:rsid w:val="00A71362"/>
    <w:rsid w:val="00A75B48"/>
    <w:rsid w:val="00AA4991"/>
    <w:rsid w:val="00AB4900"/>
    <w:rsid w:val="00AB6960"/>
    <w:rsid w:val="00AC3332"/>
    <w:rsid w:val="00AE250D"/>
    <w:rsid w:val="00AF1433"/>
    <w:rsid w:val="00AF367C"/>
    <w:rsid w:val="00AF4FCA"/>
    <w:rsid w:val="00B008B4"/>
    <w:rsid w:val="00B04101"/>
    <w:rsid w:val="00B06A1E"/>
    <w:rsid w:val="00B07AD5"/>
    <w:rsid w:val="00B10549"/>
    <w:rsid w:val="00B11A4D"/>
    <w:rsid w:val="00B22A06"/>
    <w:rsid w:val="00B2593F"/>
    <w:rsid w:val="00B41A17"/>
    <w:rsid w:val="00B4437C"/>
    <w:rsid w:val="00B72A71"/>
    <w:rsid w:val="00B766F4"/>
    <w:rsid w:val="00B8200C"/>
    <w:rsid w:val="00B93E67"/>
    <w:rsid w:val="00B9551F"/>
    <w:rsid w:val="00B96858"/>
    <w:rsid w:val="00BA3C47"/>
    <w:rsid w:val="00BC2C84"/>
    <w:rsid w:val="00BC532B"/>
    <w:rsid w:val="00BC5D5C"/>
    <w:rsid w:val="00BF3562"/>
    <w:rsid w:val="00BF3735"/>
    <w:rsid w:val="00C00100"/>
    <w:rsid w:val="00C01019"/>
    <w:rsid w:val="00C0520A"/>
    <w:rsid w:val="00C123DC"/>
    <w:rsid w:val="00C16B9D"/>
    <w:rsid w:val="00C20446"/>
    <w:rsid w:val="00C3142F"/>
    <w:rsid w:val="00C35632"/>
    <w:rsid w:val="00C4342E"/>
    <w:rsid w:val="00C441FE"/>
    <w:rsid w:val="00C4776D"/>
    <w:rsid w:val="00C51434"/>
    <w:rsid w:val="00C53398"/>
    <w:rsid w:val="00C6299D"/>
    <w:rsid w:val="00C64683"/>
    <w:rsid w:val="00C65A25"/>
    <w:rsid w:val="00C65DDC"/>
    <w:rsid w:val="00C679C9"/>
    <w:rsid w:val="00C700FD"/>
    <w:rsid w:val="00C719D2"/>
    <w:rsid w:val="00C77C7A"/>
    <w:rsid w:val="00C8100B"/>
    <w:rsid w:val="00C8709B"/>
    <w:rsid w:val="00CA2397"/>
    <w:rsid w:val="00CA5F98"/>
    <w:rsid w:val="00CB0D9F"/>
    <w:rsid w:val="00CB13C6"/>
    <w:rsid w:val="00CB24A3"/>
    <w:rsid w:val="00CB3FB6"/>
    <w:rsid w:val="00CC30D7"/>
    <w:rsid w:val="00CC5199"/>
    <w:rsid w:val="00CD0227"/>
    <w:rsid w:val="00CD6D87"/>
    <w:rsid w:val="00CF08F0"/>
    <w:rsid w:val="00D02F70"/>
    <w:rsid w:val="00D273CD"/>
    <w:rsid w:val="00D330E4"/>
    <w:rsid w:val="00D34B08"/>
    <w:rsid w:val="00D45317"/>
    <w:rsid w:val="00D4711F"/>
    <w:rsid w:val="00D709F8"/>
    <w:rsid w:val="00D72611"/>
    <w:rsid w:val="00D72EAB"/>
    <w:rsid w:val="00D81AE0"/>
    <w:rsid w:val="00D910B7"/>
    <w:rsid w:val="00D91610"/>
    <w:rsid w:val="00D95EB1"/>
    <w:rsid w:val="00DA7173"/>
    <w:rsid w:val="00DB08F0"/>
    <w:rsid w:val="00DC5878"/>
    <w:rsid w:val="00DC73A5"/>
    <w:rsid w:val="00DE2470"/>
    <w:rsid w:val="00E10870"/>
    <w:rsid w:val="00E12F7B"/>
    <w:rsid w:val="00E13658"/>
    <w:rsid w:val="00E20030"/>
    <w:rsid w:val="00E2264A"/>
    <w:rsid w:val="00E245E4"/>
    <w:rsid w:val="00E27F4A"/>
    <w:rsid w:val="00E44075"/>
    <w:rsid w:val="00E4774A"/>
    <w:rsid w:val="00E67963"/>
    <w:rsid w:val="00E77EAF"/>
    <w:rsid w:val="00E879FB"/>
    <w:rsid w:val="00E9260F"/>
    <w:rsid w:val="00EA4C5C"/>
    <w:rsid w:val="00EA5124"/>
    <w:rsid w:val="00EA6987"/>
    <w:rsid w:val="00EA6FCD"/>
    <w:rsid w:val="00EB3052"/>
    <w:rsid w:val="00EB3F2D"/>
    <w:rsid w:val="00EC0B5B"/>
    <w:rsid w:val="00EC262F"/>
    <w:rsid w:val="00EC54C2"/>
    <w:rsid w:val="00EC6A26"/>
    <w:rsid w:val="00EE4B93"/>
    <w:rsid w:val="00EF0E09"/>
    <w:rsid w:val="00EF116F"/>
    <w:rsid w:val="00F00F21"/>
    <w:rsid w:val="00F13AF9"/>
    <w:rsid w:val="00F22A42"/>
    <w:rsid w:val="00F22FFA"/>
    <w:rsid w:val="00F36188"/>
    <w:rsid w:val="00F3700D"/>
    <w:rsid w:val="00F37DD4"/>
    <w:rsid w:val="00F4512D"/>
    <w:rsid w:val="00F52EA1"/>
    <w:rsid w:val="00F56B0A"/>
    <w:rsid w:val="00F570DB"/>
    <w:rsid w:val="00F67830"/>
    <w:rsid w:val="00F928F8"/>
    <w:rsid w:val="00F931EC"/>
    <w:rsid w:val="00F97044"/>
    <w:rsid w:val="00FA068C"/>
    <w:rsid w:val="00FA5AC3"/>
    <w:rsid w:val="00FB4715"/>
    <w:rsid w:val="00FC2E73"/>
    <w:rsid w:val="00FC5426"/>
    <w:rsid w:val="00FD7A7C"/>
    <w:rsid w:val="00FE5571"/>
    <w:rsid w:val="00FF0910"/>
    <w:rsid w:val="00FF247F"/>
    <w:rsid w:val="00FF3066"/>
    <w:rsid w:val="00FF54DB"/>
    <w:rsid w:val="00FF5A97"/>
    <w:rsid w:val="00FF6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semiHidden/>
    <w:rsid w:val="002B22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2279"/>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paragraph" w:styleId="ListParagraph">
    <w:name w:val="List Paragraph"/>
    <w:basedOn w:val="Normal"/>
    <w:uiPriority w:val="34"/>
    <w:qFormat/>
    <w:rsid w:val="00F928F8"/>
    <w:pPr>
      <w:spacing w:before="0"/>
      <w:ind w:left="720"/>
      <w:contextualSpacing/>
    </w:pPr>
    <w:rPr>
      <w:rFonts w:ascii="Calibri" w:eastAsia="Calibri" w:hAnsi="Calibri" w:cs="Calibri"/>
      <w:sz w:val="22"/>
      <w:szCs w:val="22"/>
    </w:rPr>
  </w:style>
  <w:style w:type="paragraph" w:customStyle="1" w:styleId="CONLevel1">
    <w:name w:val=".CON  Level   1."/>
    <w:basedOn w:val="Normal"/>
    <w:next w:val="Normal"/>
    <w:rsid w:val="00DA7173"/>
    <w:pPr>
      <w:keepNext/>
      <w:numPr>
        <w:numId w:val="13"/>
      </w:numPr>
      <w:spacing w:before="240" w:after="120"/>
      <w:jc w:val="both"/>
      <w:outlineLvl w:val="1"/>
    </w:pPr>
    <w:rPr>
      <w:rFonts w:ascii="Times New Roman" w:hAnsi="Times New Roman"/>
      <w:b/>
      <w:sz w:val="22"/>
      <w:szCs w:val="22"/>
    </w:rPr>
  </w:style>
  <w:style w:type="paragraph" w:customStyle="1" w:styleId="CONLevel11">
    <w:name w:val=".CON  Level   1.1"/>
    <w:basedOn w:val="Normal"/>
    <w:next w:val="Normal"/>
    <w:rsid w:val="00DA7173"/>
    <w:pPr>
      <w:numPr>
        <w:ilvl w:val="1"/>
        <w:numId w:val="13"/>
      </w:numPr>
      <w:spacing w:before="240" w:after="120"/>
      <w:jc w:val="both"/>
      <w:outlineLvl w:val="2"/>
    </w:pPr>
    <w:rPr>
      <w:rFonts w:ascii="Times New Roman" w:hAnsi="Times New Roman"/>
      <w:sz w:val="22"/>
      <w:szCs w:val="22"/>
    </w:rPr>
  </w:style>
  <w:style w:type="paragraph" w:customStyle="1" w:styleId="CONLevela">
    <w:name w:val=".CON  Level  (a)"/>
    <w:basedOn w:val="Normal"/>
    <w:next w:val="Normal"/>
    <w:rsid w:val="00DA7173"/>
    <w:pPr>
      <w:numPr>
        <w:ilvl w:val="2"/>
        <w:numId w:val="13"/>
      </w:numPr>
      <w:spacing w:before="240" w:after="120"/>
      <w:jc w:val="both"/>
      <w:outlineLvl w:val="3"/>
    </w:pPr>
    <w:rPr>
      <w:rFonts w:ascii="Times New Roman" w:hAnsi="Times New Roman"/>
      <w:sz w:val="22"/>
      <w:szCs w:val="22"/>
    </w:rPr>
  </w:style>
  <w:style w:type="paragraph" w:customStyle="1" w:styleId="CONLeveli">
    <w:name w:val=".CON  Level  (i)"/>
    <w:basedOn w:val="Normal"/>
    <w:next w:val="Normal"/>
    <w:rsid w:val="00DA7173"/>
    <w:pPr>
      <w:numPr>
        <w:ilvl w:val="3"/>
        <w:numId w:val="13"/>
      </w:numPr>
      <w:spacing w:before="240" w:after="120"/>
      <w:jc w:val="both"/>
      <w:outlineLvl w:val="4"/>
    </w:pPr>
    <w:rPr>
      <w:rFonts w:ascii="Times New Roman" w:hAnsi="Times New Roman"/>
      <w:sz w:val="22"/>
      <w:szCs w:val="22"/>
    </w:rPr>
  </w:style>
  <w:style w:type="paragraph" w:customStyle="1" w:styleId="CONLevelA0">
    <w:name w:val=".CON  Level (A)"/>
    <w:basedOn w:val="Normal"/>
    <w:next w:val="Normal"/>
    <w:rsid w:val="00DA7173"/>
    <w:pPr>
      <w:numPr>
        <w:ilvl w:val="4"/>
        <w:numId w:val="13"/>
      </w:numPr>
      <w:spacing w:before="240" w:after="120"/>
      <w:jc w:val="both"/>
      <w:outlineLvl w:val="5"/>
    </w:pPr>
    <w:rPr>
      <w:rFonts w:ascii="Times New Roman" w:hAnsi="Times New Roman"/>
      <w:sz w:val="22"/>
      <w:szCs w:val="22"/>
    </w:rPr>
  </w:style>
  <w:style w:type="paragraph" w:customStyle="1" w:styleId="CONLevelI0">
    <w:name w:val=".CON  Level (I)"/>
    <w:basedOn w:val="Normal"/>
    <w:next w:val="Normal"/>
    <w:rsid w:val="00DA7173"/>
    <w:pPr>
      <w:numPr>
        <w:ilvl w:val="5"/>
        <w:numId w:val="13"/>
      </w:numPr>
      <w:spacing w:before="240" w:after="120"/>
      <w:jc w:val="both"/>
      <w:outlineLvl w:val="6"/>
    </w:pPr>
    <w:rPr>
      <w:rFonts w:ascii="Times New Roman" w:hAnsi="Times New Roman"/>
      <w:sz w:val="22"/>
      <w:szCs w:val="22"/>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rsid w:val="00DA7173"/>
    <w:pPr>
      <w:spacing w:after="120"/>
      <w:jc w:val="both"/>
    </w:pPr>
    <w:rPr>
      <w:rFonts w:ascii="Cambria" w:hAnsi="Cambria"/>
      <w:sz w:val="18"/>
      <w:szCs w:val="20"/>
      <w:lang w:eastAsia="en-AU"/>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link w:val="FootnoteText"/>
    <w:uiPriority w:val="99"/>
    <w:rsid w:val="00DA7173"/>
    <w:rPr>
      <w:rFonts w:ascii="Cambria" w:hAnsi="Cambria"/>
      <w:sz w:val="18"/>
    </w:rPr>
  </w:style>
  <w:style w:type="character" w:styleId="FootnoteReference">
    <w:name w:val="footnote reference"/>
    <w:aliases w:val="ftref,(NECG) Footnote Reference,Ref,de nota al pie"/>
    <w:uiPriority w:val="99"/>
    <w:rsid w:val="00DA7173"/>
    <w:rPr>
      <w:vertAlign w:val="superscript"/>
    </w:rPr>
  </w:style>
  <w:style w:type="paragraph" w:styleId="BodyText">
    <w:name w:val="Body Text"/>
    <w:basedOn w:val="Normal"/>
    <w:link w:val="BodyTextChar"/>
    <w:uiPriority w:val="99"/>
    <w:rsid w:val="00CD6D87"/>
    <w:pPr>
      <w:spacing w:before="80" w:after="80" w:line="280" w:lineRule="atLeast"/>
    </w:pPr>
    <w:rPr>
      <w:rFonts w:ascii="Georgia" w:hAnsi="Georgia"/>
      <w:sz w:val="19"/>
      <w:szCs w:val="19"/>
      <w:lang w:eastAsia="en-AU"/>
    </w:rPr>
  </w:style>
  <w:style w:type="character" w:customStyle="1" w:styleId="BodyTextChar">
    <w:name w:val="Body Text Char"/>
    <w:link w:val="BodyText"/>
    <w:uiPriority w:val="99"/>
    <w:rsid w:val="00CD6D87"/>
    <w:rPr>
      <w:rFonts w:ascii="Georgia" w:hAnsi="Georgi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semiHidden/>
    <w:rsid w:val="002B22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2279"/>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paragraph" w:styleId="ListParagraph">
    <w:name w:val="List Paragraph"/>
    <w:basedOn w:val="Normal"/>
    <w:uiPriority w:val="34"/>
    <w:qFormat/>
    <w:rsid w:val="00F928F8"/>
    <w:pPr>
      <w:spacing w:before="0"/>
      <w:ind w:left="720"/>
      <w:contextualSpacing/>
    </w:pPr>
    <w:rPr>
      <w:rFonts w:ascii="Calibri" w:eastAsia="Calibri" w:hAnsi="Calibri" w:cs="Calibri"/>
      <w:sz w:val="22"/>
      <w:szCs w:val="22"/>
    </w:rPr>
  </w:style>
  <w:style w:type="paragraph" w:customStyle="1" w:styleId="CONLevel1">
    <w:name w:val=".CON  Level   1."/>
    <w:basedOn w:val="Normal"/>
    <w:next w:val="Normal"/>
    <w:rsid w:val="00DA7173"/>
    <w:pPr>
      <w:keepNext/>
      <w:numPr>
        <w:numId w:val="13"/>
      </w:numPr>
      <w:spacing w:before="240" w:after="120"/>
      <w:jc w:val="both"/>
      <w:outlineLvl w:val="1"/>
    </w:pPr>
    <w:rPr>
      <w:rFonts w:ascii="Times New Roman" w:hAnsi="Times New Roman"/>
      <w:b/>
      <w:sz w:val="22"/>
      <w:szCs w:val="22"/>
    </w:rPr>
  </w:style>
  <w:style w:type="paragraph" w:customStyle="1" w:styleId="CONLevel11">
    <w:name w:val=".CON  Level   1.1"/>
    <w:basedOn w:val="Normal"/>
    <w:next w:val="Normal"/>
    <w:rsid w:val="00DA7173"/>
    <w:pPr>
      <w:numPr>
        <w:ilvl w:val="1"/>
        <w:numId w:val="13"/>
      </w:numPr>
      <w:spacing w:before="240" w:after="120"/>
      <w:jc w:val="both"/>
      <w:outlineLvl w:val="2"/>
    </w:pPr>
    <w:rPr>
      <w:rFonts w:ascii="Times New Roman" w:hAnsi="Times New Roman"/>
      <w:sz w:val="22"/>
      <w:szCs w:val="22"/>
    </w:rPr>
  </w:style>
  <w:style w:type="paragraph" w:customStyle="1" w:styleId="CONLevela">
    <w:name w:val=".CON  Level  (a)"/>
    <w:basedOn w:val="Normal"/>
    <w:next w:val="Normal"/>
    <w:rsid w:val="00DA7173"/>
    <w:pPr>
      <w:numPr>
        <w:ilvl w:val="2"/>
        <w:numId w:val="13"/>
      </w:numPr>
      <w:spacing w:before="240" w:after="120"/>
      <w:jc w:val="both"/>
      <w:outlineLvl w:val="3"/>
    </w:pPr>
    <w:rPr>
      <w:rFonts w:ascii="Times New Roman" w:hAnsi="Times New Roman"/>
      <w:sz w:val="22"/>
      <w:szCs w:val="22"/>
    </w:rPr>
  </w:style>
  <w:style w:type="paragraph" w:customStyle="1" w:styleId="CONLeveli">
    <w:name w:val=".CON  Level  (i)"/>
    <w:basedOn w:val="Normal"/>
    <w:next w:val="Normal"/>
    <w:rsid w:val="00DA7173"/>
    <w:pPr>
      <w:numPr>
        <w:ilvl w:val="3"/>
        <w:numId w:val="13"/>
      </w:numPr>
      <w:spacing w:before="240" w:after="120"/>
      <w:jc w:val="both"/>
      <w:outlineLvl w:val="4"/>
    </w:pPr>
    <w:rPr>
      <w:rFonts w:ascii="Times New Roman" w:hAnsi="Times New Roman"/>
      <w:sz w:val="22"/>
      <w:szCs w:val="22"/>
    </w:rPr>
  </w:style>
  <w:style w:type="paragraph" w:customStyle="1" w:styleId="CONLevelA0">
    <w:name w:val=".CON  Level (A)"/>
    <w:basedOn w:val="Normal"/>
    <w:next w:val="Normal"/>
    <w:rsid w:val="00DA7173"/>
    <w:pPr>
      <w:numPr>
        <w:ilvl w:val="4"/>
        <w:numId w:val="13"/>
      </w:numPr>
      <w:spacing w:before="240" w:after="120"/>
      <w:jc w:val="both"/>
      <w:outlineLvl w:val="5"/>
    </w:pPr>
    <w:rPr>
      <w:rFonts w:ascii="Times New Roman" w:hAnsi="Times New Roman"/>
      <w:sz w:val="22"/>
      <w:szCs w:val="22"/>
    </w:rPr>
  </w:style>
  <w:style w:type="paragraph" w:customStyle="1" w:styleId="CONLevelI0">
    <w:name w:val=".CON  Level (I)"/>
    <w:basedOn w:val="Normal"/>
    <w:next w:val="Normal"/>
    <w:rsid w:val="00DA7173"/>
    <w:pPr>
      <w:numPr>
        <w:ilvl w:val="5"/>
        <w:numId w:val="13"/>
      </w:numPr>
      <w:spacing w:before="240" w:after="120"/>
      <w:jc w:val="both"/>
      <w:outlineLvl w:val="6"/>
    </w:pPr>
    <w:rPr>
      <w:rFonts w:ascii="Times New Roman" w:hAnsi="Times New Roman"/>
      <w:sz w:val="22"/>
      <w:szCs w:val="22"/>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rsid w:val="00DA7173"/>
    <w:pPr>
      <w:spacing w:after="120"/>
      <w:jc w:val="both"/>
    </w:pPr>
    <w:rPr>
      <w:rFonts w:ascii="Cambria" w:hAnsi="Cambria"/>
      <w:sz w:val="18"/>
      <w:szCs w:val="20"/>
      <w:lang w:eastAsia="en-AU"/>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link w:val="FootnoteText"/>
    <w:uiPriority w:val="99"/>
    <w:rsid w:val="00DA7173"/>
    <w:rPr>
      <w:rFonts w:ascii="Cambria" w:hAnsi="Cambria"/>
      <w:sz w:val="18"/>
    </w:rPr>
  </w:style>
  <w:style w:type="character" w:styleId="FootnoteReference">
    <w:name w:val="footnote reference"/>
    <w:aliases w:val="ftref,(NECG) Footnote Reference,Ref,de nota al pie"/>
    <w:uiPriority w:val="99"/>
    <w:rsid w:val="00DA7173"/>
    <w:rPr>
      <w:vertAlign w:val="superscript"/>
    </w:rPr>
  </w:style>
  <w:style w:type="paragraph" w:styleId="BodyText">
    <w:name w:val="Body Text"/>
    <w:basedOn w:val="Normal"/>
    <w:link w:val="BodyTextChar"/>
    <w:uiPriority w:val="99"/>
    <w:rsid w:val="00CD6D87"/>
    <w:pPr>
      <w:spacing w:before="80" w:after="80" w:line="280" w:lineRule="atLeast"/>
    </w:pPr>
    <w:rPr>
      <w:rFonts w:ascii="Georgia" w:hAnsi="Georgia"/>
      <w:sz w:val="19"/>
      <w:szCs w:val="19"/>
      <w:lang w:eastAsia="en-AU"/>
    </w:rPr>
  </w:style>
  <w:style w:type="character" w:customStyle="1" w:styleId="BodyTextChar">
    <w:name w:val="Body Text Char"/>
    <w:link w:val="BodyText"/>
    <w:uiPriority w:val="99"/>
    <w:rsid w:val="00CD6D87"/>
    <w:rPr>
      <w:rFonts w:ascii="Georgia" w:hAnsi="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3206">
      <w:bodyDiv w:val="1"/>
      <w:marLeft w:val="0"/>
      <w:marRight w:val="0"/>
      <w:marTop w:val="0"/>
      <w:marBottom w:val="0"/>
      <w:divBdr>
        <w:top w:val="none" w:sz="0" w:space="0" w:color="auto"/>
        <w:left w:val="none" w:sz="0" w:space="0" w:color="auto"/>
        <w:bottom w:val="none" w:sz="0" w:space="0" w:color="auto"/>
        <w:right w:val="none" w:sz="0" w:space="0" w:color="auto"/>
      </w:divBdr>
    </w:div>
    <w:div w:id="399254299">
      <w:bodyDiv w:val="1"/>
      <w:marLeft w:val="0"/>
      <w:marRight w:val="0"/>
      <w:marTop w:val="0"/>
      <w:marBottom w:val="0"/>
      <w:divBdr>
        <w:top w:val="none" w:sz="0" w:space="0" w:color="auto"/>
        <w:left w:val="none" w:sz="0" w:space="0" w:color="auto"/>
        <w:bottom w:val="none" w:sz="0" w:space="0" w:color="auto"/>
        <w:right w:val="none" w:sz="0" w:space="0" w:color="auto"/>
      </w:divBdr>
    </w:div>
    <w:div w:id="4124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22703-1B21-4F87-876A-95078479A0DE}"/>
</file>

<file path=customXml/itemProps2.xml><?xml version="1.0" encoding="utf-8"?>
<ds:datastoreItem xmlns:ds="http://schemas.openxmlformats.org/officeDocument/2006/customXml" ds:itemID="{58E5B0BA-EBF4-485E-851A-D2583D44680B}"/>
</file>

<file path=customXml/itemProps3.xml><?xml version="1.0" encoding="utf-8"?>
<ds:datastoreItem xmlns:ds="http://schemas.openxmlformats.org/officeDocument/2006/customXml" ds:itemID="{E87C39BA-6D8B-4F31-BFA0-69C3C5459DA2}"/>
</file>

<file path=customXml/itemProps4.xml><?xml version="1.0" encoding="utf-8"?>
<ds:datastoreItem xmlns:ds="http://schemas.openxmlformats.org/officeDocument/2006/customXml" ds:itemID="{279F4C26-387E-480B-94BD-755A2D264E01}"/>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2013-01-17T22:49:00Z</dcterms:created>
  <dcterms:modified xsi:type="dcterms:W3CDTF">2013-01-17T22:50:00Z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