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BDE3F" w14:textId="77777777" w:rsidR="00DF5938" w:rsidRDefault="001763D1" w:rsidP="00257EA7">
      <w:pPr>
        <w:jc w:val="center"/>
        <w:rPr>
          <w:b/>
          <w:u w:val="single"/>
        </w:rPr>
      </w:pPr>
      <w:bookmarkStart w:id="0" w:name="_GoBack"/>
      <w:bookmarkEnd w:id="0"/>
      <w:r>
        <w:rPr>
          <w:b/>
          <w:u w:val="single"/>
        </w:rPr>
        <w:t>Management response to Mid-term review of Tonga Skills for Inclusive Economic Growth (Tonga Skills)</w:t>
      </w:r>
    </w:p>
    <w:tbl>
      <w:tblPr>
        <w:tblStyle w:val="TableGrid"/>
        <w:tblW w:w="5000" w:type="pct"/>
        <w:tblLook w:val="04A0" w:firstRow="1" w:lastRow="0" w:firstColumn="1" w:lastColumn="0" w:noHBand="0" w:noVBand="1"/>
      </w:tblPr>
      <w:tblGrid>
        <w:gridCol w:w="580"/>
        <w:gridCol w:w="6504"/>
        <w:gridCol w:w="1417"/>
        <w:gridCol w:w="3148"/>
        <w:gridCol w:w="2037"/>
        <w:gridCol w:w="1702"/>
      </w:tblGrid>
      <w:tr w:rsidR="001763D1" w:rsidRPr="002B7EB4" w14:paraId="480ADD1F" w14:textId="77777777" w:rsidTr="00F27B90">
        <w:trPr>
          <w:cantSplit/>
          <w:tblHeader/>
        </w:trPr>
        <w:tc>
          <w:tcPr>
            <w:tcW w:w="188" w:type="pct"/>
          </w:tcPr>
          <w:p w14:paraId="76EA1463" w14:textId="77777777" w:rsidR="001763D1" w:rsidRPr="002B7EB4" w:rsidRDefault="001763D1" w:rsidP="001763D1">
            <w:pPr>
              <w:rPr>
                <w:rFonts w:ascii="Arial" w:hAnsi="Arial" w:cs="Arial"/>
                <w:b/>
                <w:sz w:val="20"/>
                <w:szCs w:val="20"/>
              </w:rPr>
            </w:pPr>
          </w:p>
        </w:tc>
        <w:tc>
          <w:tcPr>
            <w:tcW w:w="2113" w:type="pct"/>
          </w:tcPr>
          <w:p w14:paraId="0D1D23C3" w14:textId="77777777" w:rsidR="001763D1" w:rsidRPr="002B7EB4" w:rsidRDefault="001763D1" w:rsidP="001763D1">
            <w:pPr>
              <w:rPr>
                <w:rFonts w:ascii="Arial" w:hAnsi="Arial" w:cs="Arial"/>
                <w:b/>
                <w:sz w:val="20"/>
                <w:szCs w:val="20"/>
              </w:rPr>
            </w:pPr>
            <w:r w:rsidRPr="002B7EB4">
              <w:rPr>
                <w:rFonts w:ascii="Arial" w:hAnsi="Arial" w:cs="Arial"/>
                <w:b/>
                <w:sz w:val="20"/>
                <w:szCs w:val="20"/>
              </w:rPr>
              <w:t>Recommendation</w:t>
            </w:r>
          </w:p>
        </w:tc>
        <w:tc>
          <w:tcPr>
            <w:tcW w:w="460" w:type="pct"/>
          </w:tcPr>
          <w:p w14:paraId="31F1A4D1" w14:textId="77777777" w:rsidR="001763D1" w:rsidRPr="002B7EB4" w:rsidRDefault="001763D1" w:rsidP="001763D1">
            <w:pPr>
              <w:rPr>
                <w:rFonts w:ascii="Arial" w:hAnsi="Arial" w:cs="Arial"/>
                <w:b/>
                <w:sz w:val="20"/>
                <w:szCs w:val="20"/>
              </w:rPr>
            </w:pPr>
            <w:r w:rsidRPr="002B7EB4">
              <w:rPr>
                <w:rFonts w:ascii="Arial" w:hAnsi="Arial" w:cs="Arial"/>
                <w:b/>
                <w:sz w:val="20"/>
                <w:szCs w:val="20"/>
              </w:rPr>
              <w:t>DFAT Response</w:t>
            </w:r>
          </w:p>
        </w:tc>
        <w:tc>
          <w:tcPr>
            <w:tcW w:w="1023" w:type="pct"/>
          </w:tcPr>
          <w:p w14:paraId="1E4CA983" w14:textId="77777777" w:rsidR="001763D1" w:rsidRPr="002B7EB4" w:rsidRDefault="001763D1" w:rsidP="001763D1">
            <w:pPr>
              <w:rPr>
                <w:rFonts w:ascii="Arial" w:hAnsi="Arial" w:cs="Arial"/>
                <w:b/>
                <w:sz w:val="20"/>
                <w:szCs w:val="20"/>
              </w:rPr>
            </w:pPr>
            <w:r w:rsidRPr="002B7EB4">
              <w:rPr>
                <w:rFonts w:ascii="Arial" w:hAnsi="Arial" w:cs="Arial"/>
                <w:b/>
                <w:sz w:val="20"/>
                <w:szCs w:val="20"/>
              </w:rPr>
              <w:t>Action</w:t>
            </w:r>
          </w:p>
        </w:tc>
        <w:tc>
          <w:tcPr>
            <w:tcW w:w="662" w:type="pct"/>
          </w:tcPr>
          <w:p w14:paraId="7E0FDA48" w14:textId="77777777" w:rsidR="001763D1" w:rsidRPr="002B7EB4" w:rsidRDefault="00F27B90" w:rsidP="001763D1">
            <w:pPr>
              <w:rPr>
                <w:rFonts w:ascii="Arial" w:hAnsi="Arial" w:cs="Arial"/>
                <w:b/>
                <w:sz w:val="20"/>
                <w:szCs w:val="20"/>
              </w:rPr>
            </w:pPr>
            <w:r>
              <w:rPr>
                <w:rFonts w:ascii="Arial" w:hAnsi="Arial" w:cs="Arial"/>
                <w:b/>
                <w:sz w:val="20"/>
                <w:szCs w:val="20"/>
              </w:rPr>
              <w:t>Responsibility</w:t>
            </w:r>
          </w:p>
        </w:tc>
        <w:tc>
          <w:tcPr>
            <w:tcW w:w="553" w:type="pct"/>
          </w:tcPr>
          <w:p w14:paraId="4135F83D" w14:textId="77777777" w:rsidR="001763D1" w:rsidRPr="00CB6BED" w:rsidRDefault="001763D1" w:rsidP="001763D1">
            <w:pPr>
              <w:rPr>
                <w:rFonts w:ascii="Arial" w:hAnsi="Arial" w:cs="Arial"/>
                <w:b/>
                <w:sz w:val="20"/>
                <w:szCs w:val="20"/>
              </w:rPr>
            </w:pPr>
            <w:r w:rsidRPr="00CB6BED">
              <w:rPr>
                <w:rFonts w:ascii="Arial" w:hAnsi="Arial" w:cs="Arial"/>
                <w:b/>
                <w:sz w:val="20"/>
                <w:szCs w:val="20"/>
              </w:rPr>
              <w:t xml:space="preserve">Indicative </w:t>
            </w:r>
          </w:p>
          <w:p w14:paraId="4E810E35" w14:textId="77777777" w:rsidR="001763D1" w:rsidRPr="00CB6BED" w:rsidRDefault="001763D1" w:rsidP="001763D1">
            <w:pPr>
              <w:rPr>
                <w:rFonts w:ascii="Arial" w:hAnsi="Arial" w:cs="Arial"/>
                <w:b/>
                <w:sz w:val="20"/>
                <w:szCs w:val="20"/>
              </w:rPr>
            </w:pPr>
            <w:r w:rsidRPr="00CB6BED">
              <w:rPr>
                <w:rFonts w:ascii="Arial" w:hAnsi="Arial" w:cs="Arial"/>
                <w:b/>
                <w:sz w:val="20"/>
                <w:szCs w:val="20"/>
              </w:rPr>
              <w:t>Timing</w:t>
            </w:r>
          </w:p>
        </w:tc>
      </w:tr>
      <w:tr w:rsidR="001763D1" w:rsidRPr="002B7EB4" w14:paraId="748CEC4A" w14:textId="77777777" w:rsidTr="00F27B90">
        <w:trPr>
          <w:cantSplit/>
        </w:trPr>
        <w:tc>
          <w:tcPr>
            <w:tcW w:w="188" w:type="pct"/>
          </w:tcPr>
          <w:p w14:paraId="63D1CE3E" w14:textId="77777777" w:rsidR="001763D1" w:rsidRPr="002B7EB4" w:rsidRDefault="001763D1" w:rsidP="001763D1">
            <w:pPr>
              <w:rPr>
                <w:rFonts w:ascii="Arial" w:hAnsi="Arial" w:cs="Arial"/>
                <w:sz w:val="20"/>
                <w:szCs w:val="20"/>
              </w:rPr>
            </w:pPr>
            <w:r w:rsidRPr="002B7EB4">
              <w:rPr>
                <w:rFonts w:ascii="Arial" w:hAnsi="Arial" w:cs="Arial"/>
                <w:sz w:val="20"/>
                <w:szCs w:val="20"/>
              </w:rPr>
              <w:t>1</w:t>
            </w:r>
          </w:p>
        </w:tc>
        <w:tc>
          <w:tcPr>
            <w:tcW w:w="2113" w:type="pct"/>
          </w:tcPr>
          <w:p w14:paraId="02E21484" w14:textId="77777777" w:rsidR="001763D1" w:rsidRPr="002B7EB4" w:rsidRDefault="001763D1" w:rsidP="001763D1">
            <w:pPr>
              <w:rPr>
                <w:rFonts w:ascii="Arial" w:hAnsi="Arial" w:cs="Arial"/>
                <w:sz w:val="20"/>
                <w:szCs w:val="20"/>
              </w:rPr>
            </w:pPr>
            <w:r w:rsidRPr="002B7EB4">
              <w:rPr>
                <w:rFonts w:ascii="Arial" w:hAnsi="Arial" w:cs="Arial"/>
                <w:sz w:val="20"/>
                <w:szCs w:val="20"/>
              </w:rPr>
              <w:t>Scope Global provide corporate guidance to ensure:</w:t>
            </w:r>
          </w:p>
          <w:p w14:paraId="3639C653" w14:textId="77777777" w:rsidR="001763D1" w:rsidRPr="002B7EB4" w:rsidRDefault="001763D1" w:rsidP="001763D1">
            <w:pPr>
              <w:pStyle w:val="ListParagraph"/>
              <w:numPr>
                <w:ilvl w:val="0"/>
                <w:numId w:val="1"/>
              </w:numPr>
              <w:rPr>
                <w:rFonts w:ascii="Arial" w:eastAsia="Arial" w:hAnsi="Arial" w:cs="Arial"/>
                <w:sz w:val="20"/>
                <w:szCs w:val="20"/>
              </w:rPr>
            </w:pPr>
            <w:r w:rsidRPr="002B7EB4">
              <w:rPr>
                <w:rFonts w:ascii="Arial" w:hAnsi="Arial" w:cs="Arial"/>
                <w:sz w:val="20"/>
                <w:szCs w:val="20"/>
              </w:rPr>
              <w:t xml:space="preserve">an efficient </w:t>
            </w:r>
            <w:r w:rsidRPr="002B7EB4">
              <w:rPr>
                <w:rFonts w:ascii="Arial" w:hAnsi="Arial" w:cs="Arial"/>
                <w:i/>
                <w:sz w:val="20"/>
                <w:szCs w:val="20"/>
              </w:rPr>
              <w:t>Tonga Skills</w:t>
            </w:r>
            <w:r w:rsidRPr="002B7EB4">
              <w:rPr>
                <w:rFonts w:ascii="Arial" w:hAnsi="Arial" w:cs="Arial"/>
                <w:sz w:val="20"/>
                <w:szCs w:val="20"/>
              </w:rPr>
              <w:t xml:space="preserve"> planning and management information system is developed to support implementation, including monthly work planning and reporting, and management of the </w:t>
            </w:r>
            <w:r w:rsidR="000C6E28">
              <w:rPr>
                <w:rFonts w:ascii="Arial" w:hAnsi="Arial" w:cs="Arial"/>
                <w:sz w:val="20"/>
                <w:szCs w:val="20"/>
              </w:rPr>
              <w:t>Skills Development Fund (</w:t>
            </w:r>
            <w:r w:rsidRPr="002B7EB4">
              <w:rPr>
                <w:rFonts w:ascii="Arial" w:hAnsi="Arial" w:cs="Arial"/>
                <w:sz w:val="20"/>
                <w:szCs w:val="20"/>
              </w:rPr>
              <w:t>SDF</w:t>
            </w:r>
            <w:r w:rsidR="000C6E28">
              <w:rPr>
                <w:rFonts w:ascii="Arial" w:hAnsi="Arial" w:cs="Arial"/>
                <w:sz w:val="20"/>
                <w:szCs w:val="20"/>
              </w:rPr>
              <w:t>)</w:t>
            </w:r>
            <w:r w:rsidRPr="002B7EB4">
              <w:rPr>
                <w:rFonts w:ascii="Arial" w:hAnsi="Arial" w:cs="Arial"/>
                <w:sz w:val="20"/>
                <w:szCs w:val="20"/>
              </w:rPr>
              <w:t xml:space="preserve"> and </w:t>
            </w:r>
            <w:r w:rsidR="000C6E28">
              <w:rPr>
                <w:rFonts w:ascii="Arial" w:hAnsi="Arial" w:cs="Arial"/>
                <w:sz w:val="20"/>
                <w:szCs w:val="20"/>
              </w:rPr>
              <w:t>Skills Development Activities (</w:t>
            </w:r>
            <w:r w:rsidRPr="002B7EB4">
              <w:rPr>
                <w:rFonts w:ascii="Arial" w:hAnsi="Arial" w:cs="Arial"/>
                <w:sz w:val="20"/>
                <w:szCs w:val="20"/>
              </w:rPr>
              <w:t>SDAs</w:t>
            </w:r>
            <w:r w:rsidR="000C6E28">
              <w:rPr>
                <w:rFonts w:ascii="Arial" w:hAnsi="Arial" w:cs="Arial"/>
                <w:sz w:val="20"/>
                <w:szCs w:val="20"/>
              </w:rPr>
              <w:t>)</w:t>
            </w:r>
          </w:p>
          <w:p w14:paraId="617A24BC" w14:textId="77777777" w:rsidR="001763D1" w:rsidRPr="002B7EB4" w:rsidRDefault="001763D1" w:rsidP="001763D1">
            <w:pPr>
              <w:pStyle w:val="ListParagraph"/>
              <w:numPr>
                <w:ilvl w:val="0"/>
                <w:numId w:val="1"/>
              </w:numPr>
              <w:rPr>
                <w:rFonts w:ascii="Arial" w:eastAsia="Arial" w:hAnsi="Arial" w:cs="Arial"/>
                <w:sz w:val="20"/>
                <w:szCs w:val="20"/>
              </w:rPr>
            </w:pPr>
            <w:r w:rsidRPr="002B7EB4">
              <w:rPr>
                <w:rFonts w:ascii="Arial" w:eastAsia="Times New Roman" w:hAnsi="Arial" w:cs="Arial"/>
                <w:sz w:val="20"/>
                <w:szCs w:val="20"/>
              </w:rPr>
              <w:t>a more satisfactory statement of planned outcomes along with supporting outputs, targets and performance indicators is settled quickly without burdening staff and in time to be reflected into the forthcoming Annual Plan</w:t>
            </w:r>
          </w:p>
          <w:p w14:paraId="25E03530" w14:textId="77777777" w:rsidR="001763D1" w:rsidRPr="002B7EB4" w:rsidRDefault="001763D1" w:rsidP="001763D1">
            <w:pPr>
              <w:pStyle w:val="ListParagraph"/>
              <w:numPr>
                <w:ilvl w:val="0"/>
                <w:numId w:val="1"/>
              </w:numPr>
              <w:rPr>
                <w:rFonts w:ascii="Arial" w:eastAsia="Arial" w:hAnsi="Arial" w:cs="Arial"/>
                <w:sz w:val="20"/>
                <w:szCs w:val="20"/>
              </w:rPr>
            </w:pPr>
            <w:r w:rsidRPr="002B7EB4">
              <w:rPr>
                <w:rFonts w:ascii="Arial" w:hAnsi="Arial" w:cs="Arial"/>
                <w:bCs/>
                <w:iCs/>
                <w:sz w:val="20"/>
                <w:szCs w:val="20"/>
                <w:lang w:val="en-US"/>
              </w:rPr>
              <w:t>Monitoring, Evaluation, Learning and Communication (</w:t>
            </w:r>
            <w:r w:rsidRPr="002B7EB4">
              <w:rPr>
                <w:rFonts w:ascii="Arial" w:hAnsi="Arial" w:cs="Arial"/>
                <w:sz w:val="20"/>
                <w:szCs w:val="20"/>
              </w:rPr>
              <w:t>MELC) systems are designed to quantify benefit and contain measures that demonstrate value for money</w:t>
            </w:r>
          </w:p>
          <w:p w14:paraId="256533B4" w14:textId="77777777" w:rsidR="001763D1" w:rsidRPr="002B7EB4" w:rsidRDefault="001763D1" w:rsidP="001763D1">
            <w:pPr>
              <w:pStyle w:val="ListParagraph"/>
              <w:numPr>
                <w:ilvl w:val="0"/>
                <w:numId w:val="1"/>
              </w:numPr>
              <w:rPr>
                <w:rFonts w:ascii="Arial" w:hAnsi="Arial" w:cs="Arial"/>
                <w:sz w:val="20"/>
                <w:szCs w:val="20"/>
              </w:rPr>
            </w:pPr>
            <w:r w:rsidRPr="002B7EB4">
              <w:rPr>
                <w:rFonts w:ascii="Arial" w:hAnsi="Arial" w:cs="Arial"/>
                <w:sz w:val="20"/>
                <w:szCs w:val="20"/>
              </w:rPr>
              <w:t>some standard</w:t>
            </w:r>
            <w:r w:rsidR="000C6E28">
              <w:rPr>
                <w:rFonts w:ascii="Arial" w:hAnsi="Arial" w:cs="Arial"/>
                <w:sz w:val="20"/>
                <w:szCs w:val="20"/>
              </w:rPr>
              <w:t xml:space="preserve"> technical and vocational education (</w:t>
            </w:r>
            <w:r w:rsidRPr="002B7EB4">
              <w:rPr>
                <w:rFonts w:ascii="Arial" w:hAnsi="Arial" w:cs="Arial"/>
                <w:sz w:val="20"/>
                <w:szCs w:val="20"/>
              </w:rPr>
              <w:t>TVET</w:t>
            </w:r>
            <w:r w:rsidR="000C6E28">
              <w:rPr>
                <w:rFonts w:ascii="Arial" w:hAnsi="Arial" w:cs="Arial"/>
                <w:sz w:val="20"/>
                <w:szCs w:val="20"/>
              </w:rPr>
              <w:t>)</w:t>
            </w:r>
            <w:r w:rsidRPr="002B7EB4">
              <w:rPr>
                <w:rFonts w:ascii="Arial" w:hAnsi="Arial" w:cs="Arial"/>
                <w:sz w:val="20"/>
                <w:szCs w:val="20"/>
              </w:rPr>
              <w:t xml:space="preserve"> approaches to measurement are introduced, including the adoption of a unique client code/identifier and a selection of additional measures, total and broken down by industry sector and cross-cutting</w:t>
            </w:r>
          </w:p>
          <w:p w14:paraId="367D3BE2" w14:textId="77777777" w:rsidR="001763D1" w:rsidRPr="000C6E28" w:rsidRDefault="001763D1" w:rsidP="001763D1">
            <w:pPr>
              <w:pStyle w:val="ListParagraph"/>
              <w:numPr>
                <w:ilvl w:val="0"/>
                <w:numId w:val="1"/>
              </w:numPr>
              <w:rPr>
                <w:rFonts w:ascii="Arial" w:eastAsia="Arial" w:hAnsi="Arial" w:cs="Arial"/>
                <w:sz w:val="20"/>
                <w:szCs w:val="20"/>
              </w:rPr>
            </w:pPr>
            <w:r w:rsidRPr="002B7EB4">
              <w:rPr>
                <w:rFonts w:ascii="Arial" w:hAnsi="Arial" w:cs="Arial"/>
                <w:sz w:val="20"/>
                <w:szCs w:val="20"/>
              </w:rPr>
              <w:t>a sound approach to tracer studies is established as soon as possible.</w:t>
            </w:r>
          </w:p>
          <w:p w14:paraId="7D6F2F7B" w14:textId="77777777" w:rsidR="000C6E28" w:rsidRPr="002B7EB4" w:rsidRDefault="000C6E28" w:rsidP="000C6E28">
            <w:pPr>
              <w:pStyle w:val="ListParagraph"/>
              <w:ind w:left="284"/>
              <w:rPr>
                <w:rFonts w:ascii="Arial" w:eastAsia="Arial" w:hAnsi="Arial" w:cs="Arial"/>
                <w:sz w:val="20"/>
                <w:szCs w:val="20"/>
              </w:rPr>
            </w:pPr>
          </w:p>
        </w:tc>
        <w:tc>
          <w:tcPr>
            <w:tcW w:w="460" w:type="pct"/>
          </w:tcPr>
          <w:p w14:paraId="2D7D6E7B" w14:textId="77777777" w:rsidR="001763D1" w:rsidRPr="002B7EB4" w:rsidRDefault="001763D1" w:rsidP="001763D1">
            <w:pPr>
              <w:rPr>
                <w:rFonts w:ascii="Arial" w:hAnsi="Arial" w:cs="Arial"/>
                <w:sz w:val="20"/>
                <w:szCs w:val="20"/>
              </w:rPr>
            </w:pPr>
            <w:r w:rsidRPr="002B7EB4">
              <w:rPr>
                <w:rFonts w:ascii="Arial" w:hAnsi="Arial" w:cs="Arial"/>
                <w:sz w:val="20"/>
                <w:szCs w:val="20"/>
              </w:rPr>
              <w:t>Agree</w:t>
            </w:r>
          </w:p>
          <w:p w14:paraId="400434A2"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 </w:t>
            </w:r>
          </w:p>
        </w:tc>
        <w:tc>
          <w:tcPr>
            <w:tcW w:w="1023" w:type="pct"/>
          </w:tcPr>
          <w:p w14:paraId="7C63FD6B" w14:textId="68B5D8DA" w:rsidR="00F27B90" w:rsidRDefault="00F27B90" w:rsidP="00F27B90">
            <w:pPr>
              <w:rPr>
                <w:rFonts w:ascii="Arial" w:hAnsi="Arial" w:cs="Arial"/>
                <w:sz w:val="20"/>
                <w:szCs w:val="20"/>
              </w:rPr>
            </w:pPr>
            <w:r>
              <w:rPr>
                <w:rFonts w:ascii="Arial" w:hAnsi="Arial" w:cs="Arial"/>
                <w:sz w:val="20"/>
                <w:szCs w:val="20"/>
              </w:rPr>
              <w:t>The M</w:t>
            </w:r>
            <w:r w:rsidR="001F5068">
              <w:rPr>
                <w:rFonts w:ascii="Arial" w:hAnsi="Arial" w:cs="Arial"/>
                <w:sz w:val="20"/>
                <w:szCs w:val="20"/>
              </w:rPr>
              <w:t>EL</w:t>
            </w:r>
            <w:r>
              <w:rPr>
                <w:rFonts w:ascii="Arial" w:hAnsi="Arial" w:cs="Arial"/>
                <w:sz w:val="20"/>
                <w:szCs w:val="20"/>
              </w:rPr>
              <w:t xml:space="preserve"> team will:</w:t>
            </w:r>
          </w:p>
          <w:p w14:paraId="22FDF885" w14:textId="1207AA54" w:rsidR="00F27B90" w:rsidRDefault="00617B9A" w:rsidP="00F27B90">
            <w:pPr>
              <w:pStyle w:val="ListParagraph"/>
              <w:numPr>
                <w:ilvl w:val="0"/>
                <w:numId w:val="1"/>
              </w:numPr>
              <w:rPr>
                <w:rFonts w:ascii="Arial" w:hAnsi="Arial" w:cs="Arial"/>
                <w:sz w:val="20"/>
                <w:szCs w:val="20"/>
              </w:rPr>
            </w:pPr>
            <w:r>
              <w:rPr>
                <w:rFonts w:ascii="Arial" w:hAnsi="Arial" w:cs="Arial"/>
                <w:sz w:val="20"/>
                <w:szCs w:val="20"/>
              </w:rPr>
              <w:t>R</w:t>
            </w:r>
            <w:r w:rsidR="00FD3CDF">
              <w:rPr>
                <w:rFonts w:ascii="Arial" w:hAnsi="Arial" w:cs="Arial"/>
                <w:sz w:val="20"/>
                <w:szCs w:val="20"/>
              </w:rPr>
              <w:t xml:space="preserve">evise the </w:t>
            </w:r>
            <w:r w:rsidR="00CA447F">
              <w:rPr>
                <w:rFonts w:ascii="Arial" w:hAnsi="Arial" w:cs="Arial"/>
                <w:sz w:val="20"/>
                <w:szCs w:val="20"/>
              </w:rPr>
              <w:t>MEL P</w:t>
            </w:r>
            <w:r w:rsidR="00FD3CDF">
              <w:rPr>
                <w:rFonts w:ascii="Arial" w:hAnsi="Arial" w:cs="Arial"/>
                <w:sz w:val="20"/>
                <w:szCs w:val="20"/>
              </w:rPr>
              <w:t>lan for inclu</w:t>
            </w:r>
            <w:r w:rsidR="00F27B90">
              <w:rPr>
                <w:rFonts w:ascii="Arial" w:hAnsi="Arial" w:cs="Arial"/>
                <w:sz w:val="20"/>
                <w:szCs w:val="20"/>
              </w:rPr>
              <w:t xml:space="preserve">sion in the 2018-19 </w:t>
            </w:r>
            <w:r w:rsidR="00CA447F">
              <w:rPr>
                <w:rFonts w:ascii="Arial" w:hAnsi="Arial" w:cs="Arial"/>
                <w:sz w:val="20"/>
                <w:szCs w:val="20"/>
              </w:rPr>
              <w:t>A</w:t>
            </w:r>
            <w:r w:rsidR="00F27B90">
              <w:rPr>
                <w:rFonts w:ascii="Arial" w:hAnsi="Arial" w:cs="Arial"/>
                <w:sz w:val="20"/>
                <w:szCs w:val="20"/>
              </w:rPr>
              <w:t xml:space="preserve">nnual </w:t>
            </w:r>
            <w:r w:rsidR="00CA447F">
              <w:rPr>
                <w:rFonts w:ascii="Arial" w:hAnsi="Arial" w:cs="Arial"/>
                <w:sz w:val="20"/>
                <w:szCs w:val="20"/>
              </w:rPr>
              <w:t>P</w:t>
            </w:r>
            <w:r w:rsidR="00F27B90">
              <w:rPr>
                <w:rFonts w:ascii="Arial" w:hAnsi="Arial" w:cs="Arial"/>
                <w:sz w:val="20"/>
                <w:szCs w:val="20"/>
              </w:rPr>
              <w:t>lan</w:t>
            </w:r>
          </w:p>
          <w:p w14:paraId="0433C988" w14:textId="5B96773F" w:rsidR="00F27B90" w:rsidRDefault="00617B9A" w:rsidP="00F27B90">
            <w:pPr>
              <w:pStyle w:val="ListParagraph"/>
              <w:numPr>
                <w:ilvl w:val="0"/>
                <w:numId w:val="1"/>
              </w:numPr>
              <w:rPr>
                <w:rFonts w:ascii="Arial" w:hAnsi="Arial" w:cs="Arial"/>
                <w:sz w:val="20"/>
                <w:szCs w:val="20"/>
              </w:rPr>
            </w:pPr>
            <w:r>
              <w:rPr>
                <w:rFonts w:ascii="Arial" w:hAnsi="Arial" w:cs="Arial"/>
                <w:sz w:val="20"/>
                <w:szCs w:val="20"/>
              </w:rPr>
              <w:t>I</w:t>
            </w:r>
            <w:r w:rsidR="00FD3CDF">
              <w:rPr>
                <w:rFonts w:ascii="Arial" w:hAnsi="Arial" w:cs="Arial"/>
                <w:sz w:val="20"/>
                <w:szCs w:val="20"/>
              </w:rPr>
              <w:t xml:space="preserve">nstall a management information system (MIS) </w:t>
            </w:r>
            <w:r w:rsidR="00DC7023">
              <w:rPr>
                <w:rFonts w:ascii="Arial" w:hAnsi="Arial" w:cs="Arial"/>
                <w:sz w:val="20"/>
                <w:szCs w:val="20"/>
              </w:rPr>
              <w:t xml:space="preserve">that </w:t>
            </w:r>
            <w:r w:rsidR="00FD3CDF">
              <w:rPr>
                <w:rFonts w:ascii="Arial" w:hAnsi="Arial" w:cs="Arial"/>
                <w:sz w:val="20"/>
                <w:szCs w:val="20"/>
              </w:rPr>
              <w:t>include</w:t>
            </w:r>
            <w:r w:rsidR="00DC7023">
              <w:rPr>
                <w:rFonts w:ascii="Arial" w:hAnsi="Arial" w:cs="Arial"/>
                <w:sz w:val="20"/>
                <w:szCs w:val="20"/>
              </w:rPr>
              <w:t>s</w:t>
            </w:r>
            <w:r w:rsidR="00FD3CDF">
              <w:rPr>
                <w:rFonts w:ascii="Arial" w:hAnsi="Arial" w:cs="Arial"/>
                <w:sz w:val="20"/>
                <w:szCs w:val="20"/>
              </w:rPr>
              <w:t xml:space="preserve"> standard TVET approaches</w:t>
            </w:r>
          </w:p>
          <w:p w14:paraId="51C71742" w14:textId="3669831B" w:rsidR="001763D1" w:rsidRDefault="00617B9A" w:rsidP="00F27B90">
            <w:pPr>
              <w:pStyle w:val="ListParagraph"/>
              <w:numPr>
                <w:ilvl w:val="0"/>
                <w:numId w:val="1"/>
              </w:numPr>
              <w:rPr>
                <w:rFonts w:ascii="Arial" w:hAnsi="Arial" w:cs="Arial"/>
                <w:sz w:val="20"/>
                <w:szCs w:val="20"/>
              </w:rPr>
            </w:pPr>
            <w:r>
              <w:rPr>
                <w:rFonts w:ascii="Arial" w:hAnsi="Arial" w:cs="Arial"/>
                <w:sz w:val="20"/>
                <w:szCs w:val="20"/>
              </w:rPr>
              <w:t>A</w:t>
            </w:r>
            <w:r w:rsidR="00F27B90">
              <w:rPr>
                <w:rFonts w:ascii="Arial" w:hAnsi="Arial" w:cs="Arial"/>
                <w:sz w:val="20"/>
                <w:szCs w:val="20"/>
              </w:rPr>
              <w:t>dopt the use of a unique client identifier.</w:t>
            </w:r>
            <w:r w:rsidR="00FD3CDF">
              <w:rPr>
                <w:rFonts w:ascii="Arial" w:hAnsi="Arial" w:cs="Arial"/>
                <w:sz w:val="20"/>
                <w:szCs w:val="20"/>
              </w:rPr>
              <w:t xml:space="preserve"> </w:t>
            </w:r>
          </w:p>
          <w:p w14:paraId="5DD4294C" w14:textId="77777777" w:rsidR="00F27B90" w:rsidRPr="00F27B90" w:rsidRDefault="00F27B90" w:rsidP="00F27B90">
            <w:pPr>
              <w:rPr>
                <w:rFonts w:ascii="Arial" w:hAnsi="Arial" w:cs="Arial"/>
                <w:sz w:val="20"/>
                <w:szCs w:val="20"/>
              </w:rPr>
            </w:pPr>
          </w:p>
        </w:tc>
        <w:tc>
          <w:tcPr>
            <w:tcW w:w="662" w:type="pct"/>
          </w:tcPr>
          <w:p w14:paraId="2F413F26" w14:textId="77777777" w:rsidR="001763D1" w:rsidRPr="002B7EB4" w:rsidRDefault="001763D1" w:rsidP="001763D1">
            <w:pPr>
              <w:rPr>
                <w:rFonts w:ascii="Arial" w:hAnsi="Arial" w:cs="Arial"/>
                <w:sz w:val="20"/>
                <w:szCs w:val="20"/>
              </w:rPr>
            </w:pPr>
            <w:r w:rsidRPr="002B7EB4">
              <w:rPr>
                <w:rFonts w:ascii="Arial" w:hAnsi="Arial" w:cs="Arial"/>
                <w:sz w:val="20"/>
                <w:szCs w:val="20"/>
              </w:rPr>
              <w:t>Scope Global &amp; Tonga Skills</w:t>
            </w:r>
          </w:p>
        </w:tc>
        <w:tc>
          <w:tcPr>
            <w:tcW w:w="553" w:type="pct"/>
          </w:tcPr>
          <w:p w14:paraId="404F02AC" w14:textId="77777777" w:rsidR="00CB6BED" w:rsidRDefault="001763D1" w:rsidP="001763D1">
            <w:pPr>
              <w:rPr>
                <w:rFonts w:ascii="Arial" w:hAnsi="Arial" w:cs="Arial"/>
                <w:sz w:val="20"/>
                <w:szCs w:val="20"/>
              </w:rPr>
            </w:pPr>
            <w:r w:rsidRPr="00E111F8">
              <w:rPr>
                <w:rFonts w:ascii="Arial" w:hAnsi="Arial" w:cs="Arial"/>
                <w:sz w:val="20"/>
                <w:szCs w:val="20"/>
              </w:rPr>
              <w:t>July to December 2018</w:t>
            </w:r>
            <w:r w:rsidR="00CB6BED">
              <w:rPr>
                <w:rFonts w:ascii="Arial" w:hAnsi="Arial" w:cs="Arial"/>
                <w:sz w:val="20"/>
                <w:szCs w:val="20"/>
              </w:rPr>
              <w:t>.</w:t>
            </w:r>
          </w:p>
          <w:p w14:paraId="3E38574C" w14:textId="08D766C6" w:rsidR="00CB6BED" w:rsidRDefault="00CB6BED" w:rsidP="001763D1">
            <w:pPr>
              <w:rPr>
                <w:rFonts w:ascii="Arial" w:hAnsi="Arial" w:cs="Arial"/>
                <w:sz w:val="20"/>
                <w:szCs w:val="20"/>
              </w:rPr>
            </w:pPr>
          </w:p>
          <w:p w14:paraId="752055EA" w14:textId="1279C352" w:rsidR="001763D1" w:rsidRPr="00CB6BED" w:rsidRDefault="00D42614" w:rsidP="001763D1">
            <w:pPr>
              <w:rPr>
                <w:rFonts w:ascii="Arial" w:hAnsi="Arial" w:cs="Arial"/>
                <w:sz w:val="20"/>
                <w:szCs w:val="20"/>
              </w:rPr>
            </w:pPr>
            <w:r w:rsidRPr="00CB6BED">
              <w:rPr>
                <w:rFonts w:ascii="Arial" w:hAnsi="Arial" w:cs="Arial"/>
                <w:sz w:val="20"/>
                <w:szCs w:val="20"/>
              </w:rPr>
              <w:t>Complet</w:t>
            </w:r>
            <w:r w:rsidR="00617B9A" w:rsidRPr="00CB6BED">
              <w:rPr>
                <w:rFonts w:ascii="Arial" w:hAnsi="Arial" w:cs="Arial"/>
                <w:sz w:val="20"/>
                <w:szCs w:val="20"/>
              </w:rPr>
              <w:t>e</w:t>
            </w:r>
            <w:r w:rsidR="00CB6BED">
              <w:rPr>
                <w:rFonts w:ascii="Arial" w:hAnsi="Arial" w:cs="Arial"/>
                <w:sz w:val="20"/>
                <w:szCs w:val="20"/>
              </w:rPr>
              <w:t>.</w:t>
            </w:r>
          </w:p>
        </w:tc>
      </w:tr>
      <w:tr w:rsidR="001763D1" w:rsidRPr="002B7EB4" w14:paraId="083E4561" w14:textId="77777777" w:rsidTr="00F27B90">
        <w:trPr>
          <w:cantSplit/>
          <w:trHeight w:val="3349"/>
        </w:trPr>
        <w:tc>
          <w:tcPr>
            <w:tcW w:w="188" w:type="pct"/>
          </w:tcPr>
          <w:p w14:paraId="5D51BD81" w14:textId="77777777" w:rsidR="001763D1" w:rsidRPr="002B7EB4" w:rsidRDefault="001763D1" w:rsidP="001763D1">
            <w:pPr>
              <w:rPr>
                <w:rFonts w:ascii="Arial" w:hAnsi="Arial" w:cs="Arial"/>
                <w:sz w:val="20"/>
                <w:szCs w:val="20"/>
              </w:rPr>
            </w:pPr>
            <w:r w:rsidRPr="002B7EB4">
              <w:rPr>
                <w:rFonts w:ascii="Arial" w:hAnsi="Arial" w:cs="Arial"/>
                <w:sz w:val="20"/>
                <w:szCs w:val="20"/>
              </w:rPr>
              <w:t>2</w:t>
            </w:r>
          </w:p>
        </w:tc>
        <w:tc>
          <w:tcPr>
            <w:tcW w:w="2113" w:type="pct"/>
          </w:tcPr>
          <w:p w14:paraId="23DFE9FD" w14:textId="77777777" w:rsidR="001763D1" w:rsidRPr="002B7EB4" w:rsidRDefault="001763D1" w:rsidP="001763D1">
            <w:pPr>
              <w:contextualSpacing/>
              <w:rPr>
                <w:rFonts w:ascii="Arial" w:hAnsi="Arial" w:cs="Arial"/>
                <w:sz w:val="20"/>
                <w:szCs w:val="20"/>
              </w:rPr>
            </w:pPr>
            <w:r w:rsidRPr="002B7EB4">
              <w:rPr>
                <w:rFonts w:ascii="Arial" w:hAnsi="Arial" w:cs="Arial"/>
                <w:sz w:val="20"/>
                <w:szCs w:val="20"/>
              </w:rPr>
              <w:t xml:space="preserve">In conjunction with Tonga Skills staff, </w:t>
            </w:r>
            <w:r w:rsidRPr="002B7EB4">
              <w:rPr>
                <w:rFonts w:ascii="Arial" w:hAnsi="Arial" w:cs="Arial"/>
                <w:b/>
                <w:sz w:val="20"/>
                <w:szCs w:val="20"/>
              </w:rPr>
              <w:t>Scope Global</w:t>
            </w:r>
            <w:r w:rsidRPr="002B7EB4">
              <w:rPr>
                <w:rFonts w:ascii="Arial" w:hAnsi="Arial" w:cs="Arial"/>
                <w:sz w:val="20"/>
                <w:szCs w:val="20"/>
              </w:rPr>
              <w:t xml:space="preserve"> develop a dynamic three to five-year training strategy, addressing elements such as:</w:t>
            </w:r>
          </w:p>
          <w:p w14:paraId="60204681" w14:textId="77777777" w:rsidR="001763D1" w:rsidRPr="002B7EB4"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in</w:t>
            </w:r>
            <w:r w:rsidR="00AF5DE5">
              <w:rPr>
                <w:rFonts w:ascii="Arial" w:hAnsi="Arial" w:cs="Arial"/>
                <w:sz w:val="20"/>
                <w:szCs w:val="20"/>
              </w:rPr>
              <w:t>dicative projected shifts in brokered training</w:t>
            </w:r>
            <w:r w:rsidRPr="002B7EB4">
              <w:rPr>
                <w:rFonts w:ascii="Arial" w:hAnsi="Arial" w:cs="Arial"/>
                <w:b/>
                <w:i/>
                <w:sz w:val="20"/>
                <w:szCs w:val="20"/>
              </w:rPr>
              <w:t>,</w:t>
            </w:r>
            <w:r w:rsidRPr="002B7EB4">
              <w:rPr>
                <w:rFonts w:ascii="Arial" w:hAnsi="Arial" w:cs="Arial"/>
                <w:sz w:val="20"/>
                <w:szCs w:val="20"/>
              </w:rPr>
              <w:t xml:space="preserve"> </w:t>
            </w:r>
            <w:r w:rsidR="00AF5DE5">
              <w:rPr>
                <w:rFonts w:ascii="Arial" w:hAnsi="Arial" w:cs="Arial"/>
                <w:sz w:val="20"/>
                <w:szCs w:val="20"/>
              </w:rPr>
              <w:t>including by</w:t>
            </w:r>
            <w:r w:rsidRPr="002B7EB4">
              <w:rPr>
                <w:rFonts w:ascii="Arial" w:hAnsi="Arial" w:cs="Arial"/>
                <w:sz w:val="20"/>
                <w:szCs w:val="20"/>
              </w:rPr>
              <w:t xml:space="preserve"> industry sector and generic/cross-cutting training </w:t>
            </w:r>
          </w:p>
          <w:p w14:paraId="513DBA86" w14:textId="77777777" w:rsidR="001763D1" w:rsidRPr="002B7EB4"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likely changes in demand for training as Tonga Skills progressively addresses high priority areas</w:t>
            </w:r>
          </w:p>
          <w:p w14:paraId="48298397" w14:textId="77777777" w:rsidR="001763D1" w:rsidRPr="002B7EB4"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new targets or initiatives to support gender equality and social inclusion</w:t>
            </w:r>
          </w:p>
          <w:p w14:paraId="7BAA1AAF" w14:textId="77777777" w:rsidR="001763D1" w:rsidRPr="002B7EB4"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 xml:space="preserve">movement in the range and level of providers, including balance between the public and private training sectors, ways to expedite the registration of all providers, ways to avoid the risk of over-reliance on individual providers </w:t>
            </w:r>
          </w:p>
          <w:p w14:paraId="47CE9BD1" w14:textId="77777777" w:rsidR="001763D1" w:rsidRPr="002B7EB4"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the role and extent of national qualifications</w:t>
            </w:r>
          </w:p>
          <w:p w14:paraId="5C3C7EA9" w14:textId="77777777" w:rsidR="001763D1" w:rsidRPr="002B7EB4"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the approach to building training pathways for clients</w:t>
            </w:r>
          </w:p>
          <w:p w14:paraId="17D3FC27" w14:textId="77777777" w:rsidR="001763D1" w:rsidRDefault="001763D1" w:rsidP="001763D1">
            <w:pPr>
              <w:pStyle w:val="ListParagraph"/>
              <w:numPr>
                <w:ilvl w:val="0"/>
                <w:numId w:val="6"/>
              </w:numPr>
              <w:rPr>
                <w:rFonts w:ascii="Arial" w:hAnsi="Arial" w:cs="Arial"/>
                <w:sz w:val="20"/>
                <w:szCs w:val="20"/>
              </w:rPr>
            </w:pPr>
            <w:r w:rsidRPr="002B7EB4">
              <w:rPr>
                <w:rFonts w:ascii="Arial" w:hAnsi="Arial" w:cs="Arial"/>
                <w:sz w:val="20"/>
                <w:szCs w:val="20"/>
              </w:rPr>
              <w:t>Tonga Skills’ future role as a broker any projected changes to the budget allocation for the SDF.</w:t>
            </w:r>
          </w:p>
          <w:p w14:paraId="3A7D2714" w14:textId="77777777" w:rsidR="000C6E28" w:rsidRPr="002B7EB4" w:rsidRDefault="000C6E28" w:rsidP="000C6E28">
            <w:pPr>
              <w:pStyle w:val="ListParagraph"/>
              <w:ind w:left="360"/>
              <w:rPr>
                <w:rFonts w:ascii="Arial" w:hAnsi="Arial" w:cs="Arial"/>
                <w:sz w:val="20"/>
                <w:szCs w:val="20"/>
              </w:rPr>
            </w:pPr>
          </w:p>
        </w:tc>
        <w:tc>
          <w:tcPr>
            <w:tcW w:w="460" w:type="pct"/>
          </w:tcPr>
          <w:p w14:paraId="6E510BF8"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Agree </w:t>
            </w:r>
          </w:p>
        </w:tc>
        <w:tc>
          <w:tcPr>
            <w:tcW w:w="1023" w:type="pct"/>
          </w:tcPr>
          <w:p w14:paraId="364523E7" w14:textId="53953123" w:rsidR="001763D1" w:rsidRPr="002B7EB4" w:rsidRDefault="00617B9A" w:rsidP="001763D1">
            <w:pPr>
              <w:rPr>
                <w:rFonts w:ascii="Arial" w:hAnsi="Arial" w:cs="Arial"/>
                <w:sz w:val="20"/>
                <w:szCs w:val="20"/>
              </w:rPr>
            </w:pPr>
            <w:r>
              <w:rPr>
                <w:rFonts w:ascii="Arial" w:hAnsi="Arial" w:cs="Arial"/>
                <w:sz w:val="20"/>
                <w:szCs w:val="20"/>
              </w:rPr>
              <w:t xml:space="preserve">Update </w:t>
            </w:r>
            <w:r w:rsidR="001E382F">
              <w:rPr>
                <w:rFonts w:ascii="Arial" w:hAnsi="Arial" w:cs="Arial"/>
                <w:sz w:val="20"/>
                <w:szCs w:val="20"/>
              </w:rPr>
              <w:t>Annual Plan 2018-19 to include a strategy to implement this recommendation. This will include a focus on sustained client development and supporting business growth within priority sectors.</w:t>
            </w:r>
          </w:p>
        </w:tc>
        <w:tc>
          <w:tcPr>
            <w:tcW w:w="662" w:type="pct"/>
          </w:tcPr>
          <w:p w14:paraId="157F23AC" w14:textId="77777777" w:rsidR="001763D1" w:rsidRPr="002B7EB4" w:rsidRDefault="001763D1" w:rsidP="001763D1">
            <w:pPr>
              <w:rPr>
                <w:rFonts w:ascii="Arial" w:hAnsi="Arial" w:cs="Arial"/>
                <w:sz w:val="20"/>
                <w:szCs w:val="20"/>
              </w:rPr>
            </w:pPr>
            <w:r w:rsidRPr="002B7EB4">
              <w:rPr>
                <w:rFonts w:ascii="Arial" w:hAnsi="Arial" w:cs="Arial"/>
                <w:sz w:val="20"/>
                <w:szCs w:val="20"/>
              </w:rPr>
              <w:t>Scope Global &amp; Tonga Skills</w:t>
            </w:r>
          </w:p>
        </w:tc>
        <w:tc>
          <w:tcPr>
            <w:tcW w:w="553" w:type="pct"/>
          </w:tcPr>
          <w:p w14:paraId="76129D83" w14:textId="73B23479" w:rsidR="00617B9A" w:rsidRPr="00E111F8" w:rsidRDefault="00617B9A" w:rsidP="001763D1">
            <w:pPr>
              <w:rPr>
                <w:rFonts w:ascii="Arial" w:hAnsi="Arial" w:cs="Arial"/>
                <w:sz w:val="20"/>
                <w:szCs w:val="20"/>
              </w:rPr>
            </w:pPr>
            <w:r w:rsidRPr="00E111F8">
              <w:rPr>
                <w:rFonts w:ascii="Arial" w:hAnsi="Arial" w:cs="Arial"/>
                <w:sz w:val="20"/>
                <w:szCs w:val="20"/>
              </w:rPr>
              <w:t>July</w:t>
            </w:r>
            <w:r w:rsidR="00CB6BED">
              <w:rPr>
                <w:rFonts w:ascii="Arial" w:hAnsi="Arial" w:cs="Arial"/>
                <w:sz w:val="20"/>
                <w:szCs w:val="20"/>
              </w:rPr>
              <w:t xml:space="preserve"> to </w:t>
            </w:r>
            <w:r w:rsidRPr="00E111F8">
              <w:rPr>
                <w:rFonts w:ascii="Arial" w:hAnsi="Arial" w:cs="Arial"/>
                <w:sz w:val="20"/>
                <w:szCs w:val="20"/>
              </w:rPr>
              <w:t xml:space="preserve">December </w:t>
            </w:r>
            <w:r w:rsidR="00E01128" w:rsidRPr="00E111F8">
              <w:rPr>
                <w:rFonts w:ascii="Arial" w:hAnsi="Arial" w:cs="Arial"/>
                <w:sz w:val="20"/>
                <w:szCs w:val="20"/>
              </w:rPr>
              <w:t>2018</w:t>
            </w:r>
            <w:r w:rsidR="00CB6BED">
              <w:rPr>
                <w:rFonts w:ascii="Arial" w:hAnsi="Arial" w:cs="Arial"/>
                <w:sz w:val="20"/>
                <w:szCs w:val="20"/>
              </w:rPr>
              <w:t>.</w:t>
            </w:r>
          </w:p>
          <w:p w14:paraId="16A0186D" w14:textId="77777777" w:rsidR="00CB6BED" w:rsidRDefault="00CB6BED" w:rsidP="001763D1">
            <w:pPr>
              <w:rPr>
                <w:rFonts w:ascii="Arial" w:hAnsi="Arial" w:cs="Arial"/>
                <w:sz w:val="20"/>
                <w:szCs w:val="20"/>
              </w:rPr>
            </w:pPr>
          </w:p>
          <w:p w14:paraId="49882D4A" w14:textId="44B7E781" w:rsidR="001763D1" w:rsidRPr="00CB6BED" w:rsidRDefault="00E01128" w:rsidP="001763D1">
            <w:pPr>
              <w:rPr>
                <w:rFonts w:ascii="Arial" w:hAnsi="Arial" w:cs="Arial"/>
                <w:sz w:val="20"/>
                <w:szCs w:val="20"/>
              </w:rPr>
            </w:pPr>
            <w:r w:rsidRPr="00CB6BED">
              <w:rPr>
                <w:rFonts w:ascii="Arial" w:hAnsi="Arial" w:cs="Arial"/>
                <w:sz w:val="20"/>
                <w:szCs w:val="20"/>
              </w:rPr>
              <w:t>Complete</w:t>
            </w:r>
            <w:r w:rsidR="00CB6BED">
              <w:rPr>
                <w:rFonts w:ascii="Arial" w:hAnsi="Arial" w:cs="Arial"/>
                <w:sz w:val="20"/>
                <w:szCs w:val="20"/>
              </w:rPr>
              <w:t>.</w:t>
            </w:r>
          </w:p>
        </w:tc>
      </w:tr>
      <w:tr w:rsidR="001763D1" w:rsidRPr="002B7EB4" w14:paraId="3BF1D83D" w14:textId="77777777" w:rsidTr="00F27B90">
        <w:trPr>
          <w:cantSplit/>
        </w:trPr>
        <w:tc>
          <w:tcPr>
            <w:tcW w:w="188" w:type="pct"/>
          </w:tcPr>
          <w:p w14:paraId="57F85761" w14:textId="77777777" w:rsidR="001763D1" w:rsidRPr="002B7EB4" w:rsidRDefault="001763D1" w:rsidP="001763D1">
            <w:pPr>
              <w:rPr>
                <w:rFonts w:ascii="Arial" w:hAnsi="Arial" w:cs="Arial"/>
                <w:sz w:val="20"/>
                <w:szCs w:val="20"/>
              </w:rPr>
            </w:pPr>
            <w:r w:rsidRPr="002B7EB4">
              <w:rPr>
                <w:rFonts w:ascii="Arial" w:hAnsi="Arial" w:cs="Arial"/>
                <w:sz w:val="20"/>
                <w:szCs w:val="20"/>
              </w:rPr>
              <w:lastRenderedPageBreak/>
              <w:t>3</w:t>
            </w:r>
          </w:p>
        </w:tc>
        <w:tc>
          <w:tcPr>
            <w:tcW w:w="2113" w:type="pct"/>
          </w:tcPr>
          <w:p w14:paraId="6D3D0678" w14:textId="77777777" w:rsidR="001763D1" w:rsidRDefault="00CF5A75" w:rsidP="001763D1">
            <w:pPr>
              <w:contextualSpacing/>
              <w:rPr>
                <w:rFonts w:ascii="Arial" w:hAnsi="Arial" w:cs="Arial"/>
                <w:sz w:val="20"/>
                <w:szCs w:val="20"/>
              </w:rPr>
            </w:pPr>
            <w:r w:rsidRPr="002B7EB4">
              <w:rPr>
                <w:rFonts w:ascii="Arial" w:hAnsi="Arial" w:cs="Arial"/>
                <w:sz w:val="20"/>
                <w:szCs w:val="20"/>
              </w:rPr>
              <w:t>I</w:t>
            </w:r>
            <w:r w:rsidR="001763D1" w:rsidRPr="002B7EB4">
              <w:rPr>
                <w:rFonts w:ascii="Arial" w:hAnsi="Arial" w:cs="Arial"/>
                <w:sz w:val="20"/>
                <w:szCs w:val="20"/>
              </w:rPr>
              <w:t xml:space="preserve">n the meantime and without limiting the overall aim of matching demand and supply, </w:t>
            </w:r>
            <w:r w:rsidR="001763D1" w:rsidRPr="002B7EB4">
              <w:rPr>
                <w:rFonts w:ascii="Arial" w:hAnsi="Arial" w:cs="Arial"/>
                <w:b/>
                <w:sz w:val="20"/>
                <w:szCs w:val="20"/>
              </w:rPr>
              <w:t>Tonga Skills</w:t>
            </w:r>
            <w:r w:rsidR="001763D1" w:rsidRPr="002B7EB4">
              <w:rPr>
                <w:rFonts w:ascii="Arial" w:hAnsi="Arial" w:cs="Arial"/>
                <w:sz w:val="20"/>
                <w:szCs w:val="20"/>
              </w:rPr>
              <w:t xml:space="preserve"> amend the </w:t>
            </w:r>
            <w:r w:rsidR="001763D1" w:rsidRPr="002B7EB4">
              <w:rPr>
                <w:rFonts w:ascii="Arial" w:hAnsi="Arial" w:cs="Arial"/>
                <w:i/>
                <w:sz w:val="20"/>
                <w:szCs w:val="20"/>
              </w:rPr>
              <w:t xml:space="preserve">Skills Development Fund (SDF) Guidelines, July 2017, </w:t>
            </w:r>
            <w:r w:rsidR="001763D1" w:rsidRPr="002B7EB4">
              <w:rPr>
                <w:rFonts w:ascii="Arial" w:hAnsi="Arial" w:cs="Arial"/>
                <w:sz w:val="20"/>
                <w:szCs w:val="20"/>
              </w:rPr>
              <w:t>to include reference to ensuring a reasonable distribution of training across the four priority industry sectors, in terms of factors such as participant numbers, SDA numbers or budget allocations, as appropriate.</w:t>
            </w:r>
          </w:p>
          <w:p w14:paraId="592E0874" w14:textId="77777777" w:rsidR="000C6E28" w:rsidRPr="002B7EB4" w:rsidRDefault="000C6E28" w:rsidP="001763D1">
            <w:pPr>
              <w:contextualSpacing/>
              <w:rPr>
                <w:rFonts w:ascii="Arial" w:hAnsi="Arial" w:cs="Arial"/>
                <w:sz w:val="20"/>
                <w:szCs w:val="20"/>
              </w:rPr>
            </w:pPr>
          </w:p>
        </w:tc>
        <w:tc>
          <w:tcPr>
            <w:tcW w:w="460" w:type="pct"/>
          </w:tcPr>
          <w:p w14:paraId="5607227B"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Agree </w:t>
            </w:r>
          </w:p>
        </w:tc>
        <w:tc>
          <w:tcPr>
            <w:tcW w:w="1023" w:type="pct"/>
          </w:tcPr>
          <w:p w14:paraId="6AC2A871" w14:textId="5E392337" w:rsidR="001763D1" w:rsidRPr="002B7EB4" w:rsidRDefault="00617B9A" w:rsidP="001763D1">
            <w:pPr>
              <w:rPr>
                <w:rFonts w:ascii="Arial" w:hAnsi="Arial" w:cs="Arial"/>
                <w:sz w:val="20"/>
                <w:szCs w:val="20"/>
              </w:rPr>
            </w:pPr>
            <w:r>
              <w:rPr>
                <w:rFonts w:ascii="Arial" w:hAnsi="Arial" w:cs="Arial"/>
                <w:sz w:val="20"/>
                <w:szCs w:val="20"/>
              </w:rPr>
              <w:t xml:space="preserve">Update the </w:t>
            </w:r>
            <w:r w:rsidR="00F27B90">
              <w:rPr>
                <w:rFonts w:ascii="Arial" w:hAnsi="Arial" w:cs="Arial"/>
                <w:sz w:val="20"/>
                <w:szCs w:val="20"/>
              </w:rPr>
              <w:t xml:space="preserve">SDF guidelines </w:t>
            </w:r>
            <w:r>
              <w:rPr>
                <w:rFonts w:ascii="Arial" w:hAnsi="Arial" w:cs="Arial"/>
                <w:sz w:val="20"/>
                <w:szCs w:val="20"/>
              </w:rPr>
              <w:t xml:space="preserve">with the </w:t>
            </w:r>
            <w:r w:rsidR="00F27B90">
              <w:rPr>
                <w:rFonts w:ascii="Arial" w:hAnsi="Arial" w:cs="Arial"/>
                <w:sz w:val="20"/>
                <w:szCs w:val="20"/>
              </w:rPr>
              <w:t>Annual Plan 2018-19.</w:t>
            </w:r>
          </w:p>
        </w:tc>
        <w:tc>
          <w:tcPr>
            <w:tcW w:w="662" w:type="pct"/>
          </w:tcPr>
          <w:p w14:paraId="48C4D622"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Scope Global &amp; Tonga Skills </w:t>
            </w:r>
          </w:p>
        </w:tc>
        <w:tc>
          <w:tcPr>
            <w:tcW w:w="553" w:type="pct"/>
          </w:tcPr>
          <w:p w14:paraId="5BE3190E" w14:textId="5108EFA3" w:rsidR="00617B9A" w:rsidRDefault="001763D1" w:rsidP="001763D1">
            <w:pPr>
              <w:rPr>
                <w:rFonts w:ascii="Arial" w:hAnsi="Arial" w:cs="Arial"/>
                <w:sz w:val="20"/>
                <w:szCs w:val="20"/>
              </w:rPr>
            </w:pPr>
            <w:r w:rsidRPr="00E111F8">
              <w:rPr>
                <w:rFonts w:ascii="Arial" w:hAnsi="Arial" w:cs="Arial"/>
                <w:sz w:val="20"/>
                <w:szCs w:val="20"/>
              </w:rPr>
              <w:t xml:space="preserve">July </w:t>
            </w:r>
            <w:r w:rsidR="00E01128" w:rsidRPr="00E111F8">
              <w:rPr>
                <w:rFonts w:ascii="Arial" w:hAnsi="Arial" w:cs="Arial"/>
                <w:sz w:val="20"/>
                <w:szCs w:val="20"/>
              </w:rPr>
              <w:t xml:space="preserve">2018 </w:t>
            </w:r>
            <w:r w:rsidRPr="00E111F8">
              <w:rPr>
                <w:rFonts w:ascii="Arial" w:hAnsi="Arial" w:cs="Arial"/>
                <w:sz w:val="20"/>
                <w:szCs w:val="20"/>
              </w:rPr>
              <w:t xml:space="preserve">to </w:t>
            </w:r>
            <w:r w:rsidR="00E01128" w:rsidRPr="00E111F8">
              <w:rPr>
                <w:rFonts w:ascii="Arial" w:hAnsi="Arial" w:cs="Arial"/>
                <w:sz w:val="20"/>
                <w:szCs w:val="20"/>
              </w:rPr>
              <w:t>February 2019</w:t>
            </w:r>
            <w:r w:rsidR="00CB6BED">
              <w:rPr>
                <w:rFonts w:ascii="Arial" w:hAnsi="Arial" w:cs="Arial"/>
                <w:sz w:val="20"/>
                <w:szCs w:val="20"/>
              </w:rPr>
              <w:t>.</w:t>
            </w:r>
          </w:p>
          <w:p w14:paraId="4A538692" w14:textId="77777777" w:rsidR="00CB6BED" w:rsidRPr="00E111F8" w:rsidRDefault="00CB6BED" w:rsidP="001763D1">
            <w:pPr>
              <w:rPr>
                <w:rFonts w:ascii="Arial" w:hAnsi="Arial" w:cs="Arial"/>
                <w:sz w:val="20"/>
                <w:szCs w:val="20"/>
              </w:rPr>
            </w:pPr>
          </w:p>
          <w:p w14:paraId="4257C373" w14:textId="5EDE2751" w:rsidR="001763D1" w:rsidRPr="00CB6BED" w:rsidRDefault="00E01128" w:rsidP="001763D1">
            <w:pPr>
              <w:rPr>
                <w:rFonts w:ascii="Arial" w:hAnsi="Arial" w:cs="Arial"/>
                <w:sz w:val="20"/>
                <w:szCs w:val="20"/>
              </w:rPr>
            </w:pPr>
            <w:r w:rsidRPr="00E111F8">
              <w:rPr>
                <w:rFonts w:ascii="Arial" w:hAnsi="Arial" w:cs="Arial"/>
                <w:sz w:val="20"/>
                <w:szCs w:val="20"/>
              </w:rPr>
              <w:t>Underway</w:t>
            </w:r>
            <w:r w:rsidR="00CB6BED">
              <w:rPr>
                <w:rFonts w:ascii="Arial" w:hAnsi="Arial" w:cs="Arial"/>
                <w:sz w:val="20"/>
                <w:szCs w:val="20"/>
              </w:rPr>
              <w:t>.</w:t>
            </w:r>
          </w:p>
        </w:tc>
      </w:tr>
      <w:tr w:rsidR="001763D1" w:rsidRPr="002B7EB4" w14:paraId="73239CF1" w14:textId="77777777" w:rsidTr="00F27B90">
        <w:trPr>
          <w:cantSplit/>
        </w:trPr>
        <w:tc>
          <w:tcPr>
            <w:tcW w:w="188" w:type="pct"/>
          </w:tcPr>
          <w:p w14:paraId="48015E3F" w14:textId="77777777" w:rsidR="001763D1" w:rsidRPr="002B7EB4" w:rsidRDefault="001763D1" w:rsidP="001763D1">
            <w:pPr>
              <w:rPr>
                <w:rFonts w:ascii="Arial" w:hAnsi="Arial" w:cs="Arial"/>
                <w:sz w:val="20"/>
                <w:szCs w:val="20"/>
              </w:rPr>
            </w:pPr>
            <w:r w:rsidRPr="002B7EB4">
              <w:rPr>
                <w:rFonts w:ascii="Arial" w:hAnsi="Arial" w:cs="Arial"/>
                <w:sz w:val="20"/>
                <w:szCs w:val="20"/>
              </w:rPr>
              <w:t>4</w:t>
            </w:r>
          </w:p>
        </w:tc>
        <w:tc>
          <w:tcPr>
            <w:tcW w:w="2113" w:type="pct"/>
          </w:tcPr>
          <w:p w14:paraId="778978AA" w14:textId="77777777" w:rsidR="00CF5A75" w:rsidRPr="002B7EB4" w:rsidRDefault="00CF5A75" w:rsidP="00CF5A75">
            <w:pPr>
              <w:rPr>
                <w:rFonts w:ascii="Arial" w:hAnsi="Arial" w:cs="Arial"/>
                <w:sz w:val="20"/>
                <w:szCs w:val="20"/>
              </w:rPr>
            </w:pPr>
            <w:r w:rsidRPr="002B7EB4">
              <w:rPr>
                <w:rFonts w:ascii="Arial" w:hAnsi="Arial" w:cs="Arial"/>
                <w:sz w:val="20"/>
                <w:szCs w:val="20"/>
              </w:rPr>
              <w:t>I</w:t>
            </w:r>
            <w:r w:rsidR="001763D1" w:rsidRPr="002B7EB4">
              <w:rPr>
                <w:rFonts w:ascii="Arial" w:hAnsi="Arial" w:cs="Arial"/>
                <w:sz w:val="20"/>
                <w:szCs w:val="20"/>
              </w:rPr>
              <w:t xml:space="preserve">n the next six months </w:t>
            </w:r>
            <w:r w:rsidR="001763D1" w:rsidRPr="002B7EB4">
              <w:rPr>
                <w:rFonts w:ascii="Arial" w:hAnsi="Arial" w:cs="Arial"/>
                <w:b/>
                <w:sz w:val="20"/>
                <w:szCs w:val="20"/>
              </w:rPr>
              <w:t>the Tonga Skills Team Leader</w:t>
            </w:r>
            <w:r w:rsidR="001763D1" w:rsidRPr="002B7EB4">
              <w:rPr>
                <w:rFonts w:ascii="Arial" w:hAnsi="Arial" w:cs="Arial"/>
                <w:sz w:val="20"/>
                <w:szCs w:val="20"/>
              </w:rPr>
              <w:t xml:space="preserve"> adopt the following as strategic priorities:</w:t>
            </w:r>
          </w:p>
          <w:p w14:paraId="6FE71388" w14:textId="77777777" w:rsidR="001763D1" w:rsidRPr="002B7EB4" w:rsidRDefault="00CF5A75" w:rsidP="00CF5A75">
            <w:pPr>
              <w:pStyle w:val="ListParagraph"/>
              <w:numPr>
                <w:ilvl w:val="0"/>
                <w:numId w:val="10"/>
              </w:numPr>
              <w:rPr>
                <w:rFonts w:ascii="Arial" w:hAnsi="Arial" w:cs="Arial"/>
                <w:sz w:val="20"/>
                <w:szCs w:val="20"/>
              </w:rPr>
            </w:pPr>
            <w:r w:rsidRPr="002B7EB4">
              <w:rPr>
                <w:rFonts w:ascii="Arial" w:hAnsi="Arial" w:cs="Arial"/>
                <w:sz w:val="20"/>
                <w:szCs w:val="20"/>
              </w:rPr>
              <w:t>engaging MET with a view to re-visiting the now expired National TVET Policy Framework 2013-17 to ensure it is updated, complementary with the objectives of the Tonga Skills Program and put forward for re-endorsement by the Government of Tonga</w:t>
            </w:r>
          </w:p>
          <w:p w14:paraId="0EE53954" w14:textId="77777777" w:rsidR="00CF5A75" w:rsidRPr="002B7EB4" w:rsidRDefault="00CF5A75" w:rsidP="00CF5A75">
            <w:pPr>
              <w:pStyle w:val="ListParagraph"/>
              <w:numPr>
                <w:ilvl w:val="0"/>
                <w:numId w:val="10"/>
              </w:numPr>
              <w:rPr>
                <w:rFonts w:ascii="Arial" w:hAnsi="Arial" w:cs="Arial"/>
                <w:sz w:val="20"/>
                <w:szCs w:val="20"/>
              </w:rPr>
            </w:pPr>
            <w:r w:rsidRPr="002B7EB4">
              <w:rPr>
                <w:rFonts w:ascii="Arial" w:hAnsi="Arial" w:cs="Arial"/>
                <w:sz w:val="20"/>
                <w:szCs w:val="20"/>
              </w:rPr>
              <w:t xml:space="preserve">advocating with </w:t>
            </w:r>
            <w:r w:rsidR="000C6E28">
              <w:rPr>
                <w:rFonts w:ascii="Arial" w:hAnsi="Arial" w:cs="Arial"/>
                <w:sz w:val="20"/>
                <w:szCs w:val="20"/>
              </w:rPr>
              <w:t>Tonga National Qualifications and Accreditation Board (</w:t>
            </w:r>
            <w:r w:rsidRPr="002B7EB4">
              <w:rPr>
                <w:rFonts w:ascii="Arial" w:hAnsi="Arial" w:cs="Arial"/>
                <w:sz w:val="20"/>
                <w:szCs w:val="20"/>
              </w:rPr>
              <w:t>TNQAB</w:t>
            </w:r>
            <w:r w:rsidR="000C6E28">
              <w:rPr>
                <w:rFonts w:ascii="Arial" w:hAnsi="Arial" w:cs="Arial"/>
                <w:sz w:val="20"/>
                <w:szCs w:val="20"/>
              </w:rPr>
              <w:t>)</w:t>
            </w:r>
            <w:r w:rsidRPr="002B7EB4">
              <w:rPr>
                <w:rFonts w:ascii="Arial" w:hAnsi="Arial" w:cs="Arial"/>
                <w:sz w:val="20"/>
                <w:szCs w:val="20"/>
              </w:rPr>
              <w:t xml:space="preserve"> to give consideration to reviewing and amending the TNQAB Act 2004 and Tonga National Qualifications and Accreditation Regulations 2010 as a means to:</w:t>
            </w:r>
          </w:p>
          <w:p w14:paraId="0AD4F4CE" w14:textId="77777777" w:rsidR="00CF5A75" w:rsidRPr="002B7EB4" w:rsidRDefault="00CF5A75" w:rsidP="00CF5A75">
            <w:pPr>
              <w:pStyle w:val="ListParagraph"/>
              <w:numPr>
                <w:ilvl w:val="0"/>
                <w:numId w:val="8"/>
              </w:numPr>
              <w:rPr>
                <w:rFonts w:ascii="Arial" w:hAnsi="Arial" w:cs="Arial"/>
                <w:sz w:val="20"/>
                <w:szCs w:val="20"/>
              </w:rPr>
            </w:pPr>
            <w:r w:rsidRPr="002B7EB4">
              <w:rPr>
                <w:rFonts w:ascii="Arial" w:hAnsi="Arial" w:cs="Arial"/>
                <w:sz w:val="20"/>
                <w:szCs w:val="20"/>
              </w:rPr>
              <w:t>reference the national policy for TVET and its goals</w:t>
            </w:r>
          </w:p>
          <w:p w14:paraId="26C03989" w14:textId="77777777" w:rsidR="00CF5A75" w:rsidRPr="002B7EB4" w:rsidRDefault="00CF5A75" w:rsidP="00CF5A75">
            <w:pPr>
              <w:pStyle w:val="ListParagraph"/>
              <w:numPr>
                <w:ilvl w:val="0"/>
                <w:numId w:val="8"/>
              </w:numPr>
              <w:rPr>
                <w:rFonts w:ascii="Arial" w:hAnsi="Arial" w:cs="Arial"/>
                <w:sz w:val="20"/>
                <w:szCs w:val="20"/>
              </w:rPr>
            </w:pPr>
            <w:r w:rsidRPr="002B7EB4">
              <w:rPr>
                <w:rFonts w:ascii="Arial" w:hAnsi="Arial" w:cs="Arial"/>
                <w:sz w:val="20"/>
                <w:szCs w:val="20"/>
              </w:rPr>
              <w:t>ensure that the TNQAB has the power to prevent a provider(s) that is not registered from continuing to operate</w:t>
            </w:r>
          </w:p>
          <w:p w14:paraId="376C072D" w14:textId="77777777" w:rsidR="00CF5A75" w:rsidRPr="002B7EB4" w:rsidRDefault="00CF5A75" w:rsidP="00CF5A75">
            <w:pPr>
              <w:pStyle w:val="ListParagraph"/>
              <w:numPr>
                <w:ilvl w:val="0"/>
                <w:numId w:val="8"/>
              </w:numPr>
              <w:rPr>
                <w:rFonts w:ascii="Arial" w:hAnsi="Arial" w:cs="Arial"/>
                <w:sz w:val="20"/>
                <w:szCs w:val="20"/>
              </w:rPr>
            </w:pPr>
            <w:r w:rsidRPr="002B7EB4">
              <w:rPr>
                <w:rFonts w:ascii="Arial" w:hAnsi="Arial" w:cs="Arial"/>
                <w:sz w:val="20"/>
                <w:szCs w:val="20"/>
              </w:rPr>
              <w:t>make any other changes required to update the Act and Regulations</w:t>
            </w:r>
          </w:p>
          <w:p w14:paraId="465C0AFC" w14:textId="77777777" w:rsidR="00CF5A75" w:rsidRPr="002B7EB4" w:rsidRDefault="00CF5A75" w:rsidP="00CF5A75">
            <w:pPr>
              <w:pStyle w:val="ListParagraph"/>
              <w:numPr>
                <w:ilvl w:val="0"/>
                <w:numId w:val="7"/>
              </w:numPr>
              <w:rPr>
                <w:rFonts w:ascii="Arial" w:hAnsi="Arial" w:cs="Arial"/>
                <w:sz w:val="20"/>
                <w:szCs w:val="20"/>
              </w:rPr>
            </w:pPr>
            <w:r w:rsidRPr="002B7EB4">
              <w:rPr>
                <w:rFonts w:ascii="Arial" w:hAnsi="Arial" w:cs="Arial"/>
                <w:sz w:val="20"/>
                <w:szCs w:val="20"/>
              </w:rPr>
              <w:t xml:space="preserve">influencing the TNQAB Board to commence a recruitment process for a permanent </w:t>
            </w:r>
            <w:r w:rsidRPr="00F27B90">
              <w:rPr>
                <w:rFonts w:ascii="Arial" w:hAnsi="Arial" w:cs="Arial"/>
                <w:sz w:val="20"/>
                <w:szCs w:val="20"/>
              </w:rPr>
              <w:t>Chief</w:t>
            </w:r>
            <w:r w:rsidRPr="002B7EB4">
              <w:rPr>
                <w:rFonts w:ascii="Arial" w:hAnsi="Arial" w:cs="Arial"/>
                <w:sz w:val="20"/>
                <w:szCs w:val="20"/>
              </w:rPr>
              <w:t xml:space="preserve"> Executive Officer</w:t>
            </w:r>
            <w:r w:rsidR="005B2D66">
              <w:rPr>
                <w:rFonts w:ascii="Arial" w:hAnsi="Arial" w:cs="Arial"/>
                <w:sz w:val="20"/>
                <w:szCs w:val="20"/>
              </w:rPr>
              <w:t xml:space="preserve"> (CEO)</w:t>
            </w:r>
            <w:r w:rsidRPr="002B7EB4">
              <w:rPr>
                <w:rFonts w:ascii="Arial" w:hAnsi="Arial" w:cs="Arial"/>
                <w:sz w:val="20"/>
                <w:szCs w:val="20"/>
              </w:rPr>
              <w:t xml:space="preserve"> with selection criteria that include strong leadership and facilitation skills; experience of TVET systems; experience of quality assurance systems; and demonstrated practical expertise in competency-based training and assessment</w:t>
            </w:r>
          </w:p>
          <w:p w14:paraId="541E43E1" w14:textId="77777777" w:rsidR="00CF5A75" w:rsidRPr="002B7EB4" w:rsidRDefault="00CF5A75" w:rsidP="00CF5A75">
            <w:pPr>
              <w:pStyle w:val="ListParagraph"/>
              <w:numPr>
                <w:ilvl w:val="0"/>
                <w:numId w:val="7"/>
              </w:numPr>
              <w:rPr>
                <w:rFonts w:ascii="Arial" w:hAnsi="Arial" w:cs="Arial"/>
                <w:sz w:val="20"/>
                <w:szCs w:val="20"/>
              </w:rPr>
            </w:pPr>
            <w:r w:rsidRPr="002B7EB4">
              <w:rPr>
                <w:rFonts w:ascii="Arial" w:hAnsi="Arial" w:cs="Arial"/>
                <w:sz w:val="20"/>
                <w:szCs w:val="20"/>
              </w:rPr>
              <w:t>encouraging TNQAB to consider ensuring that in future recruitment to new and vacant positions, a TVET background be a pre-requisite for appointment</w:t>
            </w:r>
          </w:p>
          <w:p w14:paraId="281F02E1" w14:textId="77777777" w:rsidR="00CF5A75" w:rsidRDefault="00CF5A75" w:rsidP="00CF5A75">
            <w:pPr>
              <w:pStyle w:val="ListParagraph"/>
              <w:numPr>
                <w:ilvl w:val="0"/>
                <w:numId w:val="7"/>
              </w:numPr>
              <w:rPr>
                <w:rFonts w:ascii="Arial" w:hAnsi="Arial" w:cs="Arial"/>
                <w:sz w:val="20"/>
                <w:szCs w:val="20"/>
              </w:rPr>
            </w:pPr>
            <w:r w:rsidRPr="002B7EB4">
              <w:rPr>
                <w:rFonts w:ascii="Arial" w:hAnsi="Arial" w:cs="Arial"/>
                <w:sz w:val="20"/>
                <w:szCs w:val="20"/>
              </w:rPr>
              <w:t>Generally focussing on influencing the changes required by stakeholders to achieve the success of Tonga Skills.</w:t>
            </w:r>
          </w:p>
          <w:p w14:paraId="48BE3A0B" w14:textId="77777777" w:rsidR="000C6E28" w:rsidRPr="002B7EB4" w:rsidRDefault="000C6E28" w:rsidP="000C6E28">
            <w:pPr>
              <w:pStyle w:val="ListParagraph"/>
              <w:ind w:left="360"/>
              <w:rPr>
                <w:rFonts w:ascii="Arial" w:hAnsi="Arial" w:cs="Arial"/>
                <w:sz w:val="20"/>
                <w:szCs w:val="20"/>
              </w:rPr>
            </w:pPr>
          </w:p>
        </w:tc>
        <w:tc>
          <w:tcPr>
            <w:tcW w:w="460" w:type="pct"/>
          </w:tcPr>
          <w:p w14:paraId="44C59CB3" w14:textId="77777777" w:rsidR="001763D1" w:rsidRPr="002B7EB4" w:rsidRDefault="00F27B90" w:rsidP="001763D1">
            <w:pPr>
              <w:rPr>
                <w:rFonts w:ascii="Arial" w:hAnsi="Arial" w:cs="Arial"/>
                <w:sz w:val="20"/>
                <w:szCs w:val="20"/>
              </w:rPr>
            </w:pPr>
            <w:r>
              <w:rPr>
                <w:rFonts w:ascii="Arial" w:hAnsi="Arial" w:cs="Arial"/>
                <w:sz w:val="20"/>
                <w:szCs w:val="20"/>
              </w:rPr>
              <w:t xml:space="preserve">Agree, noting that DFAT will need to be involved. </w:t>
            </w:r>
          </w:p>
        </w:tc>
        <w:tc>
          <w:tcPr>
            <w:tcW w:w="1023" w:type="pct"/>
          </w:tcPr>
          <w:p w14:paraId="09F2CFB8" w14:textId="1E181E71" w:rsidR="00617B9A" w:rsidRDefault="00617B9A" w:rsidP="005B2D66">
            <w:pPr>
              <w:rPr>
                <w:rFonts w:ascii="Arial" w:hAnsi="Arial" w:cs="Arial"/>
                <w:sz w:val="20"/>
                <w:szCs w:val="20"/>
              </w:rPr>
            </w:pPr>
            <w:r>
              <w:rPr>
                <w:rFonts w:ascii="Arial" w:hAnsi="Arial" w:cs="Arial"/>
                <w:sz w:val="20"/>
                <w:szCs w:val="20"/>
              </w:rPr>
              <w:t xml:space="preserve">Tonga Skills to work with MET and TNQAB to commence review of </w:t>
            </w:r>
            <w:r w:rsidRPr="002B7EB4">
              <w:rPr>
                <w:rFonts w:ascii="Arial" w:hAnsi="Arial" w:cs="Arial"/>
                <w:sz w:val="20"/>
                <w:szCs w:val="20"/>
              </w:rPr>
              <w:t>TVET Policy Framework</w:t>
            </w:r>
            <w:r>
              <w:rPr>
                <w:rFonts w:ascii="Arial" w:hAnsi="Arial" w:cs="Arial"/>
                <w:sz w:val="20"/>
                <w:szCs w:val="20"/>
              </w:rPr>
              <w:t>,</w:t>
            </w:r>
            <w:r w:rsidRPr="002B7EB4">
              <w:rPr>
                <w:rFonts w:ascii="Arial" w:hAnsi="Arial" w:cs="Arial"/>
                <w:sz w:val="20"/>
                <w:szCs w:val="20"/>
              </w:rPr>
              <w:t xml:space="preserve"> TNQAB Act 2004 </w:t>
            </w:r>
            <w:r>
              <w:rPr>
                <w:rFonts w:ascii="Arial" w:hAnsi="Arial" w:cs="Arial"/>
                <w:sz w:val="20"/>
                <w:szCs w:val="20"/>
              </w:rPr>
              <w:t xml:space="preserve">and </w:t>
            </w:r>
            <w:r w:rsidRPr="002B7EB4">
              <w:rPr>
                <w:rFonts w:ascii="Arial" w:hAnsi="Arial" w:cs="Arial"/>
                <w:sz w:val="20"/>
                <w:szCs w:val="20"/>
              </w:rPr>
              <w:t>Tonga National Qualifications and Accreditation Regulations 2010</w:t>
            </w:r>
            <w:r>
              <w:rPr>
                <w:rFonts w:ascii="Arial" w:hAnsi="Arial" w:cs="Arial"/>
                <w:sz w:val="20"/>
                <w:szCs w:val="20"/>
              </w:rPr>
              <w:t>.</w:t>
            </w:r>
          </w:p>
          <w:p w14:paraId="762BB53E" w14:textId="77777777" w:rsidR="00617B9A" w:rsidRDefault="00617B9A" w:rsidP="005B2D66">
            <w:pPr>
              <w:rPr>
                <w:rFonts w:ascii="Arial" w:hAnsi="Arial" w:cs="Arial"/>
                <w:sz w:val="20"/>
                <w:szCs w:val="20"/>
              </w:rPr>
            </w:pPr>
          </w:p>
          <w:p w14:paraId="2193B255" w14:textId="2F4DCEF4" w:rsidR="005B2D66" w:rsidRPr="002B7EB4" w:rsidRDefault="005B2D66" w:rsidP="005B2D66">
            <w:pPr>
              <w:rPr>
                <w:rFonts w:ascii="Arial" w:hAnsi="Arial" w:cs="Arial"/>
                <w:sz w:val="20"/>
                <w:szCs w:val="20"/>
              </w:rPr>
            </w:pPr>
            <w:r>
              <w:rPr>
                <w:rFonts w:ascii="Arial" w:hAnsi="Arial" w:cs="Arial"/>
                <w:sz w:val="20"/>
                <w:szCs w:val="20"/>
              </w:rPr>
              <w:t>Tonga Skills and DFAT continue to advocate for TNQAB to appropriately recruit staff, including a permanent CEO.</w:t>
            </w:r>
          </w:p>
        </w:tc>
        <w:tc>
          <w:tcPr>
            <w:tcW w:w="662" w:type="pct"/>
          </w:tcPr>
          <w:p w14:paraId="3A2D34A8" w14:textId="77777777" w:rsidR="001763D1" w:rsidRPr="002B7EB4" w:rsidRDefault="00F27B90" w:rsidP="001763D1">
            <w:pPr>
              <w:contextualSpacing/>
              <w:rPr>
                <w:rFonts w:ascii="Arial" w:hAnsi="Arial" w:cs="Arial"/>
                <w:sz w:val="20"/>
                <w:szCs w:val="20"/>
              </w:rPr>
            </w:pPr>
            <w:r w:rsidRPr="002B7EB4">
              <w:rPr>
                <w:rFonts w:ascii="Arial" w:eastAsia="Arial" w:hAnsi="Arial" w:cs="Arial"/>
                <w:sz w:val="20"/>
                <w:szCs w:val="20"/>
              </w:rPr>
              <w:t>Tonga Skills</w:t>
            </w:r>
            <w:r w:rsidR="005B2D66">
              <w:rPr>
                <w:rFonts w:ascii="Arial" w:eastAsia="Arial" w:hAnsi="Arial" w:cs="Arial"/>
                <w:sz w:val="20"/>
                <w:szCs w:val="20"/>
              </w:rPr>
              <w:t xml:space="preserve"> &amp; DFAT</w:t>
            </w:r>
          </w:p>
        </w:tc>
        <w:tc>
          <w:tcPr>
            <w:tcW w:w="553" w:type="pct"/>
          </w:tcPr>
          <w:p w14:paraId="002F7367" w14:textId="77777777" w:rsidR="00CB6BED" w:rsidRDefault="005B2D66" w:rsidP="001763D1">
            <w:pPr>
              <w:rPr>
                <w:rFonts w:ascii="Arial" w:hAnsi="Arial" w:cs="Arial"/>
                <w:sz w:val="20"/>
                <w:szCs w:val="20"/>
              </w:rPr>
            </w:pPr>
            <w:r w:rsidRPr="00E111F8">
              <w:rPr>
                <w:rFonts w:ascii="Arial" w:hAnsi="Arial" w:cs="Arial"/>
                <w:sz w:val="20"/>
                <w:szCs w:val="20"/>
              </w:rPr>
              <w:t>July 2018 to June 2019</w:t>
            </w:r>
            <w:r w:rsidR="00E01128" w:rsidRPr="00CB6BED">
              <w:rPr>
                <w:rFonts w:ascii="Arial" w:hAnsi="Arial" w:cs="Arial"/>
                <w:sz w:val="20"/>
                <w:szCs w:val="20"/>
              </w:rPr>
              <w:t xml:space="preserve">. </w:t>
            </w:r>
          </w:p>
          <w:p w14:paraId="187B3BE2" w14:textId="77777777" w:rsidR="00CB6BED" w:rsidRDefault="00CB6BED" w:rsidP="001763D1">
            <w:pPr>
              <w:rPr>
                <w:rFonts w:ascii="Arial" w:hAnsi="Arial" w:cs="Arial"/>
                <w:sz w:val="20"/>
                <w:szCs w:val="20"/>
              </w:rPr>
            </w:pPr>
          </w:p>
          <w:p w14:paraId="7349D956" w14:textId="4AB51E79" w:rsidR="001763D1" w:rsidRPr="00CB6BED" w:rsidRDefault="00E01128" w:rsidP="001763D1">
            <w:pPr>
              <w:rPr>
                <w:rFonts w:ascii="Arial" w:hAnsi="Arial" w:cs="Arial"/>
                <w:sz w:val="20"/>
                <w:szCs w:val="20"/>
              </w:rPr>
            </w:pPr>
            <w:r w:rsidRPr="00CB6BED">
              <w:rPr>
                <w:rFonts w:ascii="Arial" w:hAnsi="Arial" w:cs="Arial"/>
                <w:sz w:val="20"/>
                <w:szCs w:val="20"/>
              </w:rPr>
              <w:t>Underway</w:t>
            </w:r>
            <w:r w:rsidR="00CB6BED">
              <w:rPr>
                <w:rFonts w:ascii="Arial" w:hAnsi="Arial" w:cs="Arial"/>
                <w:sz w:val="20"/>
                <w:szCs w:val="20"/>
              </w:rPr>
              <w:t>.</w:t>
            </w:r>
          </w:p>
        </w:tc>
      </w:tr>
      <w:tr w:rsidR="001763D1" w:rsidRPr="002B7EB4" w14:paraId="76AB4478" w14:textId="77777777" w:rsidTr="00F27B90">
        <w:trPr>
          <w:cantSplit/>
        </w:trPr>
        <w:tc>
          <w:tcPr>
            <w:tcW w:w="188" w:type="pct"/>
            <w:shd w:val="clear" w:color="auto" w:fill="auto"/>
          </w:tcPr>
          <w:p w14:paraId="3848CE8D" w14:textId="77777777" w:rsidR="001763D1" w:rsidRPr="002B7EB4" w:rsidRDefault="001763D1" w:rsidP="001763D1">
            <w:pPr>
              <w:rPr>
                <w:rFonts w:ascii="Arial" w:hAnsi="Arial" w:cs="Arial"/>
                <w:sz w:val="20"/>
                <w:szCs w:val="20"/>
              </w:rPr>
            </w:pPr>
            <w:r w:rsidRPr="002B7EB4">
              <w:rPr>
                <w:rFonts w:ascii="Arial" w:hAnsi="Arial" w:cs="Arial"/>
                <w:sz w:val="20"/>
                <w:szCs w:val="20"/>
              </w:rPr>
              <w:t>5</w:t>
            </w:r>
          </w:p>
        </w:tc>
        <w:tc>
          <w:tcPr>
            <w:tcW w:w="2113" w:type="pct"/>
            <w:shd w:val="clear" w:color="auto" w:fill="auto"/>
          </w:tcPr>
          <w:p w14:paraId="5C28BA95" w14:textId="77777777" w:rsidR="001763D1" w:rsidRPr="002B7EB4" w:rsidRDefault="002B7EB4" w:rsidP="001763D1">
            <w:pPr>
              <w:contextualSpacing/>
              <w:rPr>
                <w:rFonts w:ascii="Arial" w:hAnsi="Arial" w:cs="Arial"/>
                <w:sz w:val="20"/>
                <w:szCs w:val="20"/>
              </w:rPr>
            </w:pPr>
            <w:r>
              <w:rPr>
                <w:rFonts w:ascii="Arial" w:hAnsi="Arial" w:cs="Arial"/>
                <w:sz w:val="20"/>
                <w:szCs w:val="20"/>
              </w:rPr>
              <w:t>W</w:t>
            </w:r>
            <w:r w:rsidR="001763D1" w:rsidRPr="002B7EB4">
              <w:rPr>
                <w:rFonts w:ascii="Arial" w:hAnsi="Arial" w:cs="Arial"/>
                <w:sz w:val="20"/>
                <w:szCs w:val="20"/>
              </w:rPr>
              <w:t xml:space="preserve">ith respect to the mix of Tongan-based staff, long-term advisers and short-term advisers, </w:t>
            </w:r>
            <w:r w:rsidR="001763D1" w:rsidRPr="002B7EB4">
              <w:rPr>
                <w:rFonts w:ascii="Arial" w:hAnsi="Arial" w:cs="Arial"/>
                <w:b/>
                <w:sz w:val="20"/>
                <w:szCs w:val="20"/>
              </w:rPr>
              <w:t xml:space="preserve">Scope Global </w:t>
            </w:r>
            <w:r w:rsidR="001763D1" w:rsidRPr="002B7EB4">
              <w:rPr>
                <w:rFonts w:ascii="Arial" w:hAnsi="Arial" w:cs="Arial"/>
                <w:sz w:val="20"/>
                <w:szCs w:val="20"/>
              </w:rPr>
              <w:t>and the</w:t>
            </w:r>
            <w:r w:rsidR="001763D1" w:rsidRPr="002B7EB4">
              <w:rPr>
                <w:rFonts w:ascii="Arial" w:hAnsi="Arial" w:cs="Arial"/>
                <w:b/>
                <w:sz w:val="20"/>
                <w:szCs w:val="20"/>
              </w:rPr>
              <w:t xml:space="preserve"> Tonga Skills Team Leader</w:t>
            </w:r>
            <w:r w:rsidR="001763D1" w:rsidRPr="002B7EB4">
              <w:rPr>
                <w:rFonts w:ascii="Arial" w:hAnsi="Arial" w:cs="Arial"/>
                <w:sz w:val="20"/>
                <w:szCs w:val="20"/>
              </w:rPr>
              <w:t xml:space="preserve"> clarify the lines of authority, accountability, responsibility and delegation of authority in such a way as to empower the Tonga-based staff in the absence of advisers.</w:t>
            </w:r>
          </w:p>
          <w:p w14:paraId="218ACB49" w14:textId="77777777" w:rsidR="001763D1" w:rsidRPr="002B7EB4" w:rsidRDefault="001763D1" w:rsidP="001763D1">
            <w:pPr>
              <w:rPr>
                <w:rFonts w:ascii="Arial" w:hAnsi="Arial" w:cs="Arial"/>
                <w:sz w:val="20"/>
                <w:szCs w:val="20"/>
              </w:rPr>
            </w:pPr>
          </w:p>
        </w:tc>
        <w:tc>
          <w:tcPr>
            <w:tcW w:w="460" w:type="pct"/>
          </w:tcPr>
          <w:p w14:paraId="64A56B3C"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 Agree </w:t>
            </w:r>
          </w:p>
        </w:tc>
        <w:tc>
          <w:tcPr>
            <w:tcW w:w="1023" w:type="pct"/>
          </w:tcPr>
          <w:p w14:paraId="35BEFD47" w14:textId="77777777" w:rsidR="00E01128" w:rsidRDefault="00E01128" w:rsidP="001763D1">
            <w:pPr>
              <w:rPr>
                <w:rFonts w:ascii="Arial" w:hAnsi="Arial" w:cs="Arial"/>
                <w:sz w:val="20"/>
                <w:szCs w:val="20"/>
              </w:rPr>
            </w:pPr>
            <w:r>
              <w:rPr>
                <w:rFonts w:ascii="Arial" w:hAnsi="Arial" w:cs="Arial"/>
                <w:sz w:val="20"/>
                <w:szCs w:val="20"/>
              </w:rPr>
              <w:t>Review and update organisational structure to clarify reporting lines.</w:t>
            </w:r>
          </w:p>
          <w:p w14:paraId="390FD415" w14:textId="570931F1" w:rsidR="001763D1" w:rsidRPr="002B7EB4" w:rsidRDefault="00E01128" w:rsidP="001763D1">
            <w:pPr>
              <w:rPr>
                <w:rFonts w:ascii="Arial" w:hAnsi="Arial" w:cs="Arial"/>
                <w:sz w:val="20"/>
                <w:szCs w:val="20"/>
              </w:rPr>
            </w:pPr>
            <w:r>
              <w:rPr>
                <w:rFonts w:ascii="Arial" w:hAnsi="Arial" w:cs="Arial"/>
                <w:sz w:val="20"/>
                <w:szCs w:val="20"/>
              </w:rPr>
              <w:t xml:space="preserve">Revise </w:t>
            </w:r>
            <w:r w:rsidR="005B2D66">
              <w:rPr>
                <w:rFonts w:ascii="Arial" w:hAnsi="Arial" w:cs="Arial"/>
                <w:sz w:val="20"/>
                <w:szCs w:val="20"/>
              </w:rPr>
              <w:t>TORs for all key management and adviser positions</w:t>
            </w:r>
            <w:r>
              <w:rPr>
                <w:rFonts w:ascii="Arial" w:hAnsi="Arial" w:cs="Arial"/>
                <w:sz w:val="20"/>
                <w:szCs w:val="20"/>
              </w:rPr>
              <w:t>.</w:t>
            </w:r>
          </w:p>
        </w:tc>
        <w:tc>
          <w:tcPr>
            <w:tcW w:w="662" w:type="pct"/>
          </w:tcPr>
          <w:p w14:paraId="2F480A10"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Tonga Skills and Scope Global </w:t>
            </w:r>
          </w:p>
        </w:tc>
        <w:tc>
          <w:tcPr>
            <w:tcW w:w="553" w:type="pct"/>
          </w:tcPr>
          <w:p w14:paraId="3D499E15" w14:textId="721BBDA8" w:rsidR="00481712" w:rsidRDefault="00E01128" w:rsidP="001763D1">
            <w:pPr>
              <w:rPr>
                <w:rFonts w:ascii="Arial" w:hAnsi="Arial" w:cs="Arial"/>
                <w:sz w:val="20"/>
                <w:szCs w:val="20"/>
              </w:rPr>
            </w:pPr>
            <w:r w:rsidRPr="00CB6BED">
              <w:rPr>
                <w:rFonts w:ascii="Arial" w:hAnsi="Arial" w:cs="Arial"/>
                <w:sz w:val="20"/>
                <w:szCs w:val="20"/>
              </w:rPr>
              <w:t>July</w:t>
            </w:r>
            <w:r w:rsidR="00CB6BED">
              <w:rPr>
                <w:rFonts w:ascii="Arial" w:hAnsi="Arial" w:cs="Arial"/>
                <w:sz w:val="20"/>
                <w:szCs w:val="20"/>
              </w:rPr>
              <w:t xml:space="preserve"> to </w:t>
            </w:r>
            <w:r w:rsidR="001F499F" w:rsidRPr="00CB6BED">
              <w:rPr>
                <w:rFonts w:ascii="Arial" w:hAnsi="Arial" w:cs="Arial"/>
                <w:sz w:val="20"/>
                <w:szCs w:val="20"/>
              </w:rPr>
              <w:t>December</w:t>
            </w:r>
            <w:r w:rsidRPr="00CB6BED">
              <w:rPr>
                <w:rFonts w:ascii="Arial" w:hAnsi="Arial" w:cs="Arial"/>
                <w:sz w:val="20"/>
                <w:szCs w:val="20"/>
              </w:rPr>
              <w:t xml:space="preserve"> 2018</w:t>
            </w:r>
            <w:r w:rsidR="00CB6BED">
              <w:rPr>
                <w:rFonts w:ascii="Arial" w:hAnsi="Arial" w:cs="Arial"/>
                <w:sz w:val="20"/>
                <w:szCs w:val="20"/>
              </w:rPr>
              <w:t>.</w:t>
            </w:r>
          </w:p>
          <w:p w14:paraId="4216DF65" w14:textId="77777777" w:rsidR="00CB6BED" w:rsidRPr="00CB6BED" w:rsidRDefault="00CB6BED" w:rsidP="001763D1">
            <w:pPr>
              <w:rPr>
                <w:rFonts w:ascii="Arial" w:hAnsi="Arial" w:cs="Arial"/>
                <w:sz w:val="20"/>
                <w:szCs w:val="20"/>
              </w:rPr>
            </w:pPr>
          </w:p>
          <w:p w14:paraId="79B6D8E2" w14:textId="0284FFC2" w:rsidR="001763D1" w:rsidRPr="00CB6BED" w:rsidRDefault="00E01128" w:rsidP="001763D1">
            <w:pPr>
              <w:rPr>
                <w:rFonts w:ascii="Arial" w:hAnsi="Arial" w:cs="Arial"/>
                <w:sz w:val="20"/>
                <w:szCs w:val="20"/>
              </w:rPr>
            </w:pPr>
            <w:r w:rsidRPr="00CB6BED">
              <w:rPr>
                <w:rFonts w:ascii="Arial" w:hAnsi="Arial" w:cs="Arial"/>
                <w:sz w:val="20"/>
                <w:szCs w:val="20"/>
              </w:rPr>
              <w:t>Complet</w:t>
            </w:r>
            <w:r w:rsidR="001F5068" w:rsidRPr="00AC5A23">
              <w:rPr>
                <w:rFonts w:ascii="Arial" w:hAnsi="Arial" w:cs="Arial"/>
                <w:sz w:val="20"/>
                <w:szCs w:val="20"/>
              </w:rPr>
              <w:t>e</w:t>
            </w:r>
            <w:r w:rsidR="00CB6BED">
              <w:rPr>
                <w:rFonts w:ascii="Arial" w:hAnsi="Arial" w:cs="Arial"/>
                <w:sz w:val="20"/>
                <w:szCs w:val="20"/>
              </w:rPr>
              <w:t>.</w:t>
            </w:r>
          </w:p>
        </w:tc>
      </w:tr>
      <w:tr w:rsidR="001763D1" w:rsidRPr="002B7EB4" w14:paraId="03E35C62" w14:textId="77777777" w:rsidTr="00F27B90">
        <w:trPr>
          <w:cantSplit/>
          <w:trHeight w:val="3544"/>
        </w:trPr>
        <w:tc>
          <w:tcPr>
            <w:tcW w:w="188" w:type="pct"/>
          </w:tcPr>
          <w:p w14:paraId="236E9EDD" w14:textId="77777777" w:rsidR="001763D1" w:rsidRPr="002B7EB4" w:rsidRDefault="001763D1" w:rsidP="001763D1">
            <w:pPr>
              <w:rPr>
                <w:rFonts w:ascii="Arial" w:hAnsi="Arial" w:cs="Arial"/>
                <w:sz w:val="20"/>
                <w:szCs w:val="20"/>
              </w:rPr>
            </w:pPr>
            <w:r w:rsidRPr="002B7EB4">
              <w:rPr>
                <w:rFonts w:ascii="Arial" w:hAnsi="Arial" w:cs="Arial"/>
                <w:sz w:val="20"/>
                <w:szCs w:val="20"/>
              </w:rPr>
              <w:lastRenderedPageBreak/>
              <w:t>6</w:t>
            </w:r>
          </w:p>
        </w:tc>
        <w:tc>
          <w:tcPr>
            <w:tcW w:w="2113" w:type="pct"/>
            <w:shd w:val="clear" w:color="auto" w:fill="auto"/>
          </w:tcPr>
          <w:p w14:paraId="65D15415" w14:textId="77777777" w:rsidR="001763D1" w:rsidRPr="002B7EB4" w:rsidRDefault="002B7EB4" w:rsidP="001763D1">
            <w:pPr>
              <w:contextualSpacing/>
              <w:rPr>
                <w:rFonts w:ascii="Arial" w:hAnsi="Arial" w:cs="Arial"/>
                <w:sz w:val="20"/>
                <w:szCs w:val="20"/>
              </w:rPr>
            </w:pPr>
            <w:r>
              <w:rPr>
                <w:rFonts w:ascii="Arial" w:hAnsi="Arial" w:cs="Arial"/>
                <w:sz w:val="20"/>
                <w:szCs w:val="20"/>
              </w:rPr>
              <w:t>S</w:t>
            </w:r>
            <w:r w:rsidR="001763D1" w:rsidRPr="002B7EB4">
              <w:rPr>
                <w:rFonts w:ascii="Arial" w:hAnsi="Arial" w:cs="Arial"/>
                <w:sz w:val="20"/>
                <w:szCs w:val="20"/>
              </w:rPr>
              <w:t xml:space="preserve">hould the new position of Operations Manager be approved, </w:t>
            </w:r>
            <w:r w:rsidR="001763D1" w:rsidRPr="002B7EB4">
              <w:rPr>
                <w:rFonts w:ascii="Arial" w:hAnsi="Arial" w:cs="Arial"/>
                <w:b/>
                <w:sz w:val="20"/>
                <w:szCs w:val="20"/>
              </w:rPr>
              <w:t>Scope Global</w:t>
            </w:r>
            <w:r w:rsidR="001763D1" w:rsidRPr="002B7EB4">
              <w:rPr>
                <w:rFonts w:ascii="Arial" w:hAnsi="Arial" w:cs="Arial"/>
                <w:sz w:val="20"/>
                <w:szCs w:val="20"/>
              </w:rPr>
              <w:t xml:space="preserve"> consider the following guidelines for recruitment:</w:t>
            </w:r>
          </w:p>
          <w:p w14:paraId="2A9394A1" w14:textId="77777777" w:rsidR="001763D1" w:rsidRPr="002B7EB4" w:rsidRDefault="001763D1" w:rsidP="001763D1">
            <w:pPr>
              <w:pStyle w:val="ListParagraph"/>
              <w:numPr>
                <w:ilvl w:val="0"/>
                <w:numId w:val="9"/>
              </w:numPr>
              <w:rPr>
                <w:rFonts w:ascii="Arial" w:hAnsi="Arial" w:cs="Arial"/>
                <w:sz w:val="20"/>
                <w:szCs w:val="20"/>
              </w:rPr>
            </w:pPr>
            <w:r w:rsidRPr="002B7EB4">
              <w:rPr>
                <w:rFonts w:ascii="Arial" w:hAnsi="Arial" w:cs="Arial"/>
                <w:sz w:val="20"/>
                <w:szCs w:val="20"/>
              </w:rPr>
              <w:t>Require a successful candidate to either already have, or complete within six months of appointment, formal qualifications in project management methodology.</w:t>
            </w:r>
          </w:p>
          <w:p w14:paraId="7AB9A6A6" w14:textId="77777777" w:rsidR="001763D1" w:rsidRPr="002B7EB4" w:rsidRDefault="001763D1" w:rsidP="001763D1">
            <w:pPr>
              <w:pStyle w:val="ListParagraph"/>
              <w:numPr>
                <w:ilvl w:val="0"/>
                <w:numId w:val="9"/>
              </w:numPr>
              <w:rPr>
                <w:rFonts w:ascii="Arial" w:hAnsi="Arial" w:cs="Arial"/>
                <w:sz w:val="20"/>
                <w:szCs w:val="20"/>
              </w:rPr>
            </w:pPr>
            <w:r w:rsidRPr="002B7EB4">
              <w:rPr>
                <w:rFonts w:ascii="Arial" w:hAnsi="Arial" w:cs="Arial"/>
                <w:sz w:val="20"/>
                <w:szCs w:val="20"/>
              </w:rPr>
              <w:t xml:space="preserve">review the position description of the Team Leader to ensure that there is a clear distinction between the strategic and operational focus in the two roles, that is, the strategic role of the Team Leader outlined in Recommendation R4 is clearly defined, and to identify whether the appointment of the Operations Manager has any impact on the work value of the Team Leader </w:t>
            </w:r>
          </w:p>
          <w:p w14:paraId="3F3B170E" w14:textId="77777777" w:rsidR="001763D1" w:rsidRPr="002B7EB4" w:rsidRDefault="001763D1" w:rsidP="001763D1">
            <w:pPr>
              <w:pStyle w:val="ListParagraph"/>
              <w:numPr>
                <w:ilvl w:val="0"/>
                <w:numId w:val="10"/>
              </w:numPr>
              <w:rPr>
                <w:rFonts w:ascii="Arial" w:hAnsi="Arial" w:cs="Arial"/>
                <w:sz w:val="20"/>
                <w:szCs w:val="20"/>
              </w:rPr>
            </w:pPr>
            <w:r w:rsidRPr="002B7EB4">
              <w:rPr>
                <w:rFonts w:ascii="Arial" w:hAnsi="Arial" w:cs="Arial"/>
                <w:sz w:val="20"/>
                <w:szCs w:val="20"/>
              </w:rPr>
              <w:t>Specifically make the position open to both genders and people with disabilities.</w:t>
            </w:r>
          </w:p>
        </w:tc>
        <w:tc>
          <w:tcPr>
            <w:tcW w:w="460" w:type="pct"/>
          </w:tcPr>
          <w:p w14:paraId="58F04B87" w14:textId="77777777" w:rsidR="001763D1" w:rsidRPr="002B7EB4" w:rsidRDefault="000C6E28" w:rsidP="000C6E28">
            <w:pPr>
              <w:rPr>
                <w:rFonts w:ascii="Arial" w:hAnsi="Arial" w:cs="Arial"/>
                <w:sz w:val="20"/>
                <w:szCs w:val="20"/>
              </w:rPr>
            </w:pPr>
            <w:r>
              <w:rPr>
                <w:rFonts w:ascii="Arial" w:hAnsi="Arial" w:cs="Arial"/>
                <w:sz w:val="20"/>
                <w:szCs w:val="20"/>
              </w:rPr>
              <w:t>Agree</w:t>
            </w:r>
          </w:p>
        </w:tc>
        <w:tc>
          <w:tcPr>
            <w:tcW w:w="1023" w:type="pct"/>
          </w:tcPr>
          <w:p w14:paraId="158E52E9" w14:textId="5C6A2FE6" w:rsidR="001763D1" w:rsidRPr="002B7EB4" w:rsidRDefault="00E03A0B" w:rsidP="001763D1">
            <w:pPr>
              <w:rPr>
                <w:rFonts w:ascii="Arial" w:hAnsi="Arial" w:cs="Arial"/>
                <w:sz w:val="20"/>
                <w:szCs w:val="20"/>
              </w:rPr>
            </w:pPr>
            <w:r>
              <w:rPr>
                <w:rFonts w:ascii="Arial" w:hAnsi="Arial" w:cs="Arial"/>
                <w:sz w:val="20"/>
                <w:szCs w:val="20"/>
              </w:rPr>
              <w:t xml:space="preserve">Nil required- agreed that </w:t>
            </w:r>
            <w:r w:rsidR="00E01128">
              <w:rPr>
                <w:rFonts w:ascii="Arial" w:hAnsi="Arial" w:cs="Arial"/>
                <w:sz w:val="20"/>
                <w:szCs w:val="20"/>
              </w:rPr>
              <w:t>Operations Manager position</w:t>
            </w:r>
            <w:r w:rsidR="000655F6">
              <w:rPr>
                <w:rFonts w:ascii="Arial" w:hAnsi="Arial" w:cs="Arial"/>
                <w:sz w:val="20"/>
                <w:szCs w:val="20"/>
              </w:rPr>
              <w:t xml:space="preserve"> is</w:t>
            </w:r>
            <w:r w:rsidR="00E01128">
              <w:rPr>
                <w:rFonts w:ascii="Arial" w:hAnsi="Arial" w:cs="Arial"/>
                <w:sz w:val="20"/>
                <w:szCs w:val="20"/>
              </w:rPr>
              <w:t xml:space="preserve"> not required in the current organisational structure.</w:t>
            </w:r>
          </w:p>
        </w:tc>
        <w:tc>
          <w:tcPr>
            <w:tcW w:w="662" w:type="pct"/>
          </w:tcPr>
          <w:p w14:paraId="100F7875" w14:textId="706256E6" w:rsidR="001763D1" w:rsidRPr="002B7EB4" w:rsidRDefault="000655F6" w:rsidP="001763D1">
            <w:pPr>
              <w:rPr>
                <w:rFonts w:ascii="Arial" w:hAnsi="Arial" w:cs="Arial"/>
                <w:sz w:val="20"/>
                <w:szCs w:val="20"/>
              </w:rPr>
            </w:pPr>
            <w:r>
              <w:rPr>
                <w:rFonts w:ascii="Arial" w:hAnsi="Arial" w:cs="Arial"/>
                <w:sz w:val="20"/>
                <w:szCs w:val="20"/>
              </w:rPr>
              <w:t>n/a.</w:t>
            </w:r>
          </w:p>
        </w:tc>
        <w:tc>
          <w:tcPr>
            <w:tcW w:w="553" w:type="pct"/>
          </w:tcPr>
          <w:p w14:paraId="3C8CE2BE" w14:textId="6DD001E4" w:rsidR="001763D1" w:rsidRPr="00CB6BED" w:rsidRDefault="00E03A0B">
            <w:pPr>
              <w:rPr>
                <w:rFonts w:ascii="Arial" w:hAnsi="Arial" w:cs="Arial"/>
                <w:sz w:val="20"/>
                <w:szCs w:val="20"/>
              </w:rPr>
            </w:pPr>
            <w:r>
              <w:rPr>
                <w:rFonts w:ascii="Arial" w:hAnsi="Arial" w:cs="Arial"/>
                <w:sz w:val="20"/>
                <w:szCs w:val="20"/>
              </w:rPr>
              <w:t>n/a</w:t>
            </w:r>
            <w:r w:rsidR="00CB6BED">
              <w:rPr>
                <w:rFonts w:ascii="Arial" w:hAnsi="Arial" w:cs="Arial"/>
                <w:sz w:val="20"/>
                <w:szCs w:val="20"/>
              </w:rPr>
              <w:t>.</w:t>
            </w:r>
          </w:p>
        </w:tc>
      </w:tr>
      <w:tr w:rsidR="001763D1" w:rsidRPr="002B7EB4" w14:paraId="6FEC37E3" w14:textId="77777777" w:rsidTr="00F27B90">
        <w:trPr>
          <w:cantSplit/>
        </w:trPr>
        <w:tc>
          <w:tcPr>
            <w:tcW w:w="188" w:type="pct"/>
          </w:tcPr>
          <w:p w14:paraId="445BC869" w14:textId="77777777" w:rsidR="001763D1" w:rsidRPr="002B7EB4" w:rsidRDefault="001763D1" w:rsidP="001763D1">
            <w:pPr>
              <w:rPr>
                <w:rFonts w:ascii="Arial" w:hAnsi="Arial" w:cs="Arial"/>
                <w:sz w:val="20"/>
                <w:szCs w:val="20"/>
              </w:rPr>
            </w:pPr>
            <w:r w:rsidRPr="002B7EB4">
              <w:rPr>
                <w:rFonts w:ascii="Arial" w:eastAsia="Arial" w:hAnsi="Arial" w:cs="Arial"/>
                <w:sz w:val="20"/>
                <w:szCs w:val="20"/>
              </w:rPr>
              <w:t>7</w:t>
            </w:r>
          </w:p>
        </w:tc>
        <w:tc>
          <w:tcPr>
            <w:tcW w:w="2113" w:type="pct"/>
            <w:shd w:val="clear" w:color="auto" w:fill="auto"/>
          </w:tcPr>
          <w:p w14:paraId="10242F73" w14:textId="77777777" w:rsidR="001763D1" w:rsidRDefault="001763D1" w:rsidP="001763D1">
            <w:pPr>
              <w:contextualSpacing/>
              <w:rPr>
                <w:rFonts w:ascii="Arial" w:hAnsi="Arial" w:cs="Arial"/>
                <w:sz w:val="20"/>
                <w:szCs w:val="20"/>
              </w:rPr>
            </w:pPr>
            <w:r w:rsidRPr="002B7EB4">
              <w:rPr>
                <w:rFonts w:ascii="Arial" w:hAnsi="Arial" w:cs="Arial"/>
                <w:b/>
                <w:sz w:val="20"/>
                <w:szCs w:val="20"/>
              </w:rPr>
              <w:t>Tonga Skills</w:t>
            </w:r>
            <w:r w:rsidRPr="002B7EB4">
              <w:rPr>
                <w:rFonts w:ascii="Arial" w:hAnsi="Arial" w:cs="Arial"/>
                <w:sz w:val="20"/>
                <w:szCs w:val="20"/>
              </w:rPr>
              <w:t xml:space="preserve"> considers reviewing the membership of the Skills Sector Steering Committee</w:t>
            </w:r>
            <w:r w:rsidR="00AE2969">
              <w:rPr>
                <w:rFonts w:ascii="Arial" w:hAnsi="Arial" w:cs="Arial"/>
                <w:sz w:val="20"/>
                <w:szCs w:val="20"/>
              </w:rPr>
              <w:t xml:space="preserve"> (SSSC)</w:t>
            </w:r>
            <w:r w:rsidRPr="002B7EB4">
              <w:rPr>
                <w:rFonts w:ascii="Arial" w:hAnsi="Arial" w:cs="Arial"/>
                <w:sz w:val="20"/>
                <w:szCs w:val="20"/>
              </w:rPr>
              <w:t xml:space="preserve"> with the aim of achieving a better balance between the public and private sector members and to include other donors investing in skills-related programs in Tonga.</w:t>
            </w:r>
          </w:p>
          <w:p w14:paraId="573D174F" w14:textId="77777777" w:rsidR="000C6E28" w:rsidRPr="002B7EB4" w:rsidRDefault="000C6E28" w:rsidP="001763D1">
            <w:pPr>
              <w:contextualSpacing/>
              <w:rPr>
                <w:rFonts w:ascii="Arial" w:hAnsi="Arial" w:cs="Arial"/>
                <w:sz w:val="20"/>
                <w:szCs w:val="20"/>
              </w:rPr>
            </w:pPr>
          </w:p>
        </w:tc>
        <w:tc>
          <w:tcPr>
            <w:tcW w:w="460" w:type="pct"/>
          </w:tcPr>
          <w:p w14:paraId="5DB404F1" w14:textId="77777777" w:rsidR="001763D1" w:rsidRPr="002B7EB4" w:rsidRDefault="001763D1" w:rsidP="001763D1">
            <w:pPr>
              <w:rPr>
                <w:rFonts w:ascii="Arial" w:hAnsi="Arial" w:cs="Arial"/>
                <w:sz w:val="20"/>
                <w:szCs w:val="20"/>
              </w:rPr>
            </w:pPr>
            <w:r w:rsidRPr="002B7EB4">
              <w:rPr>
                <w:rFonts w:ascii="Arial" w:hAnsi="Arial" w:cs="Arial"/>
                <w:sz w:val="20"/>
                <w:szCs w:val="20"/>
              </w:rPr>
              <w:t>Agree</w:t>
            </w:r>
          </w:p>
        </w:tc>
        <w:tc>
          <w:tcPr>
            <w:tcW w:w="1023" w:type="pct"/>
          </w:tcPr>
          <w:p w14:paraId="5E2E8A2F" w14:textId="5237DB9B" w:rsidR="001763D1" w:rsidRPr="002B7EB4" w:rsidRDefault="001F499F" w:rsidP="001763D1">
            <w:pPr>
              <w:rPr>
                <w:rFonts w:ascii="Arial" w:hAnsi="Arial" w:cs="Arial"/>
                <w:sz w:val="20"/>
                <w:szCs w:val="20"/>
              </w:rPr>
            </w:pPr>
            <w:r>
              <w:rPr>
                <w:rFonts w:ascii="Arial" w:hAnsi="Arial" w:cs="Arial"/>
                <w:sz w:val="20"/>
                <w:szCs w:val="20"/>
              </w:rPr>
              <w:t xml:space="preserve">Review </w:t>
            </w:r>
            <w:r w:rsidR="00BF736A">
              <w:rPr>
                <w:rFonts w:ascii="Arial" w:hAnsi="Arial" w:cs="Arial"/>
                <w:sz w:val="20"/>
                <w:szCs w:val="20"/>
              </w:rPr>
              <w:t xml:space="preserve">and update membership list of the </w:t>
            </w:r>
            <w:r w:rsidR="00AE2969">
              <w:rPr>
                <w:rFonts w:ascii="Arial" w:hAnsi="Arial" w:cs="Arial"/>
                <w:sz w:val="20"/>
                <w:szCs w:val="20"/>
              </w:rPr>
              <w:t>SSSC terms of reference</w:t>
            </w:r>
            <w:r w:rsidR="00BF736A">
              <w:rPr>
                <w:rFonts w:ascii="Arial" w:hAnsi="Arial" w:cs="Arial"/>
                <w:sz w:val="20"/>
                <w:szCs w:val="20"/>
              </w:rPr>
              <w:t>.</w:t>
            </w:r>
            <w:r w:rsidR="00AE2969">
              <w:rPr>
                <w:rFonts w:ascii="Arial" w:hAnsi="Arial" w:cs="Arial"/>
                <w:sz w:val="20"/>
                <w:szCs w:val="20"/>
              </w:rPr>
              <w:t xml:space="preserve"> </w:t>
            </w:r>
          </w:p>
        </w:tc>
        <w:tc>
          <w:tcPr>
            <w:tcW w:w="662" w:type="pct"/>
          </w:tcPr>
          <w:p w14:paraId="3A7817D9" w14:textId="77777777" w:rsidR="001763D1" w:rsidRPr="002B7EB4" w:rsidRDefault="001763D1" w:rsidP="001763D1">
            <w:pPr>
              <w:rPr>
                <w:rFonts w:ascii="Arial" w:hAnsi="Arial" w:cs="Arial"/>
                <w:sz w:val="20"/>
                <w:szCs w:val="20"/>
              </w:rPr>
            </w:pPr>
            <w:r w:rsidRPr="002B7EB4">
              <w:rPr>
                <w:rFonts w:ascii="Arial" w:eastAsia="Arial" w:hAnsi="Arial" w:cs="Arial"/>
                <w:sz w:val="20"/>
                <w:szCs w:val="20"/>
              </w:rPr>
              <w:t>Tonga Skills</w:t>
            </w:r>
          </w:p>
        </w:tc>
        <w:tc>
          <w:tcPr>
            <w:tcW w:w="553" w:type="pct"/>
          </w:tcPr>
          <w:p w14:paraId="54B39E53" w14:textId="43F0A7CC" w:rsidR="00CB6BED" w:rsidRDefault="001763D1" w:rsidP="001763D1">
            <w:pPr>
              <w:rPr>
                <w:rFonts w:ascii="Arial" w:hAnsi="Arial" w:cs="Arial"/>
                <w:sz w:val="20"/>
                <w:szCs w:val="20"/>
              </w:rPr>
            </w:pPr>
            <w:r w:rsidRPr="00E111F8">
              <w:rPr>
                <w:rFonts w:ascii="Arial" w:hAnsi="Arial" w:cs="Arial"/>
                <w:sz w:val="20"/>
                <w:szCs w:val="20"/>
              </w:rPr>
              <w:t xml:space="preserve">July </w:t>
            </w:r>
            <w:r w:rsidR="00E01128" w:rsidRPr="00E111F8">
              <w:rPr>
                <w:rFonts w:ascii="Arial" w:hAnsi="Arial" w:cs="Arial"/>
                <w:sz w:val="20"/>
                <w:szCs w:val="20"/>
              </w:rPr>
              <w:t xml:space="preserve">2018 </w:t>
            </w:r>
            <w:r w:rsidRPr="00E111F8">
              <w:rPr>
                <w:rFonts w:ascii="Arial" w:hAnsi="Arial" w:cs="Arial"/>
                <w:sz w:val="20"/>
                <w:szCs w:val="20"/>
              </w:rPr>
              <w:t xml:space="preserve">to </w:t>
            </w:r>
            <w:r w:rsidR="00E01128" w:rsidRPr="00E111F8">
              <w:rPr>
                <w:rFonts w:ascii="Arial" w:hAnsi="Arial" w:cs="Arial"/>
                <w:sz w:val="20"/>
                <w:szCs w:val="20"/>
              </w:rPr>
              <w:t>February 2019</w:t>
            </w:r>
            <w:r w:rsidR="00CB6BED">
              <w:rPr>
                <w:rFonts w:ascii="Arial" w:hAnsi="Arial" w:cs="Arial"/>
                <w:sz w:val="20"/>
                <w:szCs w:val="20"/>
              </w:rPr>
              <w:t>.</w:t>
            </w:r>
          </w:p>
          <w:p w14:paraId="03F3BDC5" w14:textId="77777777" w:rsidR="00CB6BED" w:rsidRDefault="00CB6BED" w:rsidP="001763D1">
            <w:pPr>
              <w:rPr>
                <w:rFonts w:ascii="Arial" w:hAnsi="Arial" w:cs="Arial"/>
                <w:sz w:val="20"/>
                <w:szCs w:val="20"/>
              </w:rPr>
            </w:pPr>
          </w:p>
          <w:p w14:paraId="2C37B374" w14:textId="0611D13B" w:rsidR="001763D1" w:rsidRPr="00E111F8" w:rsidRDefault="00E01128" w:rsidP="001763D1">
            <w:pPr>
              <w:rPr>
                <w:rFonts w:ascii="Arial" w:hAnsi="Arial" w:cs="Arial"/>
                <w:sz w:val="20"/>
                <w:szCs w:val="20"/>
              </w:rPr>
            </w:pPr>
            <w:r w:rsidRPr="00E111F8">
              <w:rPr>
                <w:rFonts w:ascii="Arial" w:hAnsi="Arial" w:cs="Arial"/>
                <w:sz w:val="20"/>
                <w:szCs w:val="20"/>
              </w:rPr>
              <w:t>Underway</w:t>
            </w:r>
            <w:r w:rsidR="00CB6BED">
              <w:rPr>
                <w:rFonts w:ascii="Arial" w:hAnsi="Arial" w:cs="Arial"/>
                <w:sz w:val="20"/>
                <w:szCs w:val="20"/>
              </w:rPr>
              <w:t>.</w:t>
            </w:r>
          </w:p>
        </w:tc>
      </w:tr>
      <w:tr w:rsidR="001763D1" w:rsidRPr="002B7EB4" w14:paraId="38DC5283" w14:textId="77777777" w:rsidTr="00F27B90">
        <w:trPr>
          <w:cantSplit/>
        </w:trPr>
        <w:tc>
          <w:tcPr>
            <w:tcW w:w="188" w:type="pct"/>
          </w:tcPr>
          <w:p w14:paraId="5428FBFF" w14:textId="77777777" w:rsidR="001763D1" w:rsidRPr="002B7EB4" w:rsidRDefault="001763D1" w:rsidP="001763D1">
            <w:pPr>
              <w:rPr>
                <w:rFonts w:ascii="Arial" w:eastAsia="Arial" w:hAnsi="Arial" w:cs="Arial"/>
                <w:sz w:val="20"/>
                <w:szCs w:val="20"/>
              </w:rPr>
            </w:pPr>
            <w:r w:rsidRPr="002B7EB4">
              <w:rPr>
                <w:rFonts w:ascii="Arial" w:eastAsia="Arial" w:hAnsi="Arial" w:cs="Arial"/>
                <w:sz w:val="20"/>
                <w:szCs w:val="20"/>
              </w:rPr>
              <w:t>8</w:t>
            </w:r>
          </w:p>
        </w:tc>
        <w:tc>
          <w:tcPr>
            <w:tcW w:w="2113" w:type="pct"/>
            <w:shd w:val="clear" w:color="auto" w:fill="auto"/>
          </w:tcPr>
          <w:p w14:paraId="43583B48" w14:textId="77777777" w:rsidR="001763D1" w:rsidRDefault="001763D1" w:rsidP="001763D1">
            <w:pPr>
              <w:contextualSpacing/>
              <w:rPr>
                <w:rFonts w:ascii="Arial" w:hAnsi="Arial" w:cs="Arial"/>
                <w:sz w:val="20"/>
                <w:szCs w:val="20"/>
              </w:rPr>
            </w:pPr>
            <w:r w:rsidRPr="002B7EB4">
              <w:rPr>
                <w:rFonts w:ascii="Arial" w:hAnsi="Arial" w:cs="Arial"/>
                <w:b/>
                <w:sz w:val="20"/>
                <w:szCs w:val="20"/>
              </w:rPr>
              <w:t>Scope Global</w:t>
            </w:r>
            <w:r w:rsidRPr="002B7EB4">
              <w:rPr>
                <w:rFonts w:ascii="Arial" w:hAnsi="Arial" w:cs="Arial"/>
                <w:sz w:val="20"/>
                <w:szCs w:val="20"/>
              </w:rPr>
              <w:t xml:space="preserve"> further investigate what Tonga Skills can realistically contribute to the labour mobility potential for Tonga Skills clients (outside of seasonal work in Australia and New Zealand) to ensure that expectations raised with clients are likely to be met and, as appropriate, end of program outcomes are modified accordingly. This might entail seeking advice from DFAT Canberra and other labour mobility and migration experts</w:t>
            </w:r>
          </w:p>
          <w:p w14:paraId="2AE7043C" w14:textId="77777777" w:rsidR="000C6E28" w:rsidRPr="002B7EB4" w:rsidRDefault="000C6E28" w:rsidP="001763D1">
            <w:pPr>
              <w:contextualSpacing/>
              <w:rPr>
                <w:rFonts w:ascii="Arial" w:hAnsi="Arial" w:cs="Arial"/>
                <w:sz w:val="20"/>
                <w:szCs w:val="20"/>
              </w:rPr>
            </w:pPr>
          </w:p>
        </w:tc>
        <w:tc>
          <w:tcPr>
            <w:tcW w:w="460" w:type="pct"/>
          </w:tcPr>
          <w:p w14:paraId="7B9A4BC8"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Agree </w:t>
            </w:r>
          </w:p>
        </w:tc>
        <w:tc>
          <w:tcPr>
            <w:tcW w:w="1023" w:type="pct"/>
          </w:tcPr>
          <w:p w14:paraId="695A3DA0" w14:textId="77777777" w:rsidR="001763D1" w:rsidRPr="00AE2969" w:rsidRDefault="00493E37" w:rsidP="001763D1">
            <w:pPr>
              <w:rPr>
                <w:rFonts w:ascii="Arial" w:hAnsi="Arial" w:cs="Arial"/>
                <w:sz w:val="20"/>
                <w:szCs w:val="20"/>
                <w:highlight w:val="yellow"/>
              </w:rPr>
            </w:pPr>
            <w:r w:rsidRPr="00493E37">
              <w:rPr>
                <w:rFonts w:ascii="Arial" w:hAnsi="Arial" w:cs="Arial"/>
                <w:sz w:val="20"/>
                <w:szCs w:val="20"/>
              </w:rPr>
              <w:t>Tonga Skills to work with DFAT and experts to understand labour mobility requirements and communicate these to clients.</w:t>
            </w:r>
          </w:p>
        </w:tc>
        <w:tc>
          <w:tcPr>
            <w:tcW w:w="662" w:type="pct"/>
          </w:tcPr>
          <w:p w14:paraId="45FB1AA3" w14:textId="77777777" w:rsidR="001763D1" w:rsidRPr="002B7EB4" w:rsidRDefault="00493E37" w:rsidP="001763D1">
            <w:pPr>
              <w:rPr>
                <w:rFonts w:ascii="Arial" w:eastAsia="Arial" w:hAnsi="Arial" w:cs="Arial"/>
                <w:sz w:val="20"/>
                <w:szCs w:val="20"/>
              </w:rPr>
            </w:pPr>
            <w:r>
              <w:rPr>
                <w:rFonts w:ascii="Arial" w:eastAsia="Arial" w:hAnsi="Arial" w:cs="Arial"/>
                <w:sz w:val="20"/>
                <w:szCs w:val="20"/>
              </w:rPr>
              <w:t>Tonga Skills</w:t>
            </w:r>
          </w:p>
        </w:tc>
        <w:tc>
          <w:tcPr>
            <w:tcW w:w="553" w:type="pct"/>
          </w:tcPr>
          <w:p w14:paraId="4DD5767A" w14:textId="74948459" w:rsidR="00CB6BED" w:rsidRDefault="001763D1" w:rsidP="001763D1">
            <w:pPr>
              <w:rPr>
                <w:rFonts w:ascii="Arial" w:hAnsi="Arial" w:cs="Arial"/>
                <w:sz w:val="20"/>
                <w:szCs w:val="20"/>
              </w:rPr>
            </w:pPr>
            <w:r w:rsidRPr="00E111F8">
              <w:rPr>
                <w:rFonts w:ascii="Arial" w:hAnsi="Arial" w:cs="Arial"/>
                <w:sz w:val="20"/>
                <w:szCs w:val="20"/>
              </w:rPr>
              <w:t xml:space="preserve">July </w:t>
            </w:r>
            <w:r w:rsidR="00E01128" w:rsidRPr="00E111F8">
              <w:rPr>
                <w:rFonts w:ascii="Arial" w:hAnsi="Arial" w:cs="Arial"/>
                <w:sz w:val="20"/>
                <w:szCs w:val="20"/>
              </w:rPr>
              <w:t xml:space="preserve">2018 </w:t>
            </w:r>
            <w:r w:rsidRPr="00E111F8">
              <w:rPr>
                <w:rFonts w:ascii="Arial" w:hAnsi="Arial" w:cs="Arial"/>
                <w:sz w:val="20"/>
                <w:szCs w:val="20"/>
              </w:rPr>
              <w:t xml:space="preserve">to </w:t>
            </w:r>
            <w:r w:rsidR="00E01128" w:rsidRPr="00E111F8">
              <w:rPr>
                <w:rFonts w:ascii="Arial" w:hAnsi="Arial" w:cs="Arial"/>
                <w:sz w:val="20"/>
                <w:szCs w:val="20"/>
              </w:rPr>
              <w:t>March 2019</w:t>
            </w:r>
            <w:r w:rsidR="00CB6BED">
              <w:rPr>
                <w:rFonts w:ascii="Arial" w:hAnsi="Arial" w:cs="Arial"/>
                <w:sz w:val="20"/>
                <w:szCs w:val="20"/>
              </w:rPr>
              <w:t>.</w:t>
            </w:r>
          </w:p>
          <w:p w14:paraId="19969BE6" w14:textId="00A638D9" w:rsidR="001763D1" w:rsidRPr="00E111F8" w:rsidRDefault="001763D1" w:rsidP="001763D1">
            <w:pPr>
              <w:rPr>
                <w:rFonts w:ascii="Arial" w:hAnsi="Arial" w:cs="Arial"/>
                <w:sz w:val="20"/>
                <w:szCs w:val="20"/>
              </w:rPr>
            </w:pPr>
          </w:p>
          <w:p w14:paraId="4D39AE30" w14:textId="112F1119" w:rsidR="00E01128" w:rsidRPr="00E111F8" w:rsidRDefault="00E01128" w:rsidP="001763D1">
            <w:pPr>
              <w:rPr>
                <w:rFonts w:ascii="Arial" w:hAnsi="Arial" w:cs="Arial"/>
                <w:sz w:val="20"/>
                <w:szCs w:val="20"/>
              </w:rPr>
            </w:pPr>
            <w:r w:rsidRPr="00E111F8">
              <w:rPr>
                <w:rFonts w:ascii="Arial" w:hAnsi="Arial" w:cs="Arial"/>
                <w:sz w:val="20"/>
                <w:szCs w:val="20"/>
              </w:rPr>
              <w:t>Underway</w:t>
            </w:r>
            <w:r w:rsidR="00CB6BED">
              <w:rPr>
                <w:rFonts w:ascii="Arial" w:hAnsi="Arial" w:cs="Arial"/>
                <w:sz w:val="20"/>
                <w:szCs w:val="20"/>
              </w:rPr>
              <w:t>.</w:t>
            </w:r>
          </w:p>
        </w:tc>
      </w:tr>
      <w:tr w:rsidR="001763D1" w:rsidRPr="002B7EB4" w14:paraId="7E2F727B" w14:textId="77777777" w:rsidTr="00F27B90">
        <w:trPr>
          <w:cantSplit/>
        </w:trPr>
        <w:tc>
          <w:tcPr>
            <w:tcW w:w="188" w:type="pct"/>
          </w:tcPr>
          <w:p w14:paraId="775634B8" w14:textId="77777777" w:rsidR="001763D1" w:rsidRPr="002B7EB4" w:rsidRDefault="001763D1" w:rsidP="001763D1">
            <w:pPr>
              <w:rPr>
                <w:rFonts w:ascii="Arial" w:eastAsia="Arial" w:hAnsi="Arial" w:cs="Arial"/>
                <w:sz w:val="20"/>
                <w:szCs w:val="20"/>
              </w:rPr>
            </w:pPr>
            <w:r w:rsidRPr="002B7EB4">
              <w:rPr>
                <w:rFonts w:ascii="Arial" w:eastAsia="Arial" w:hAnsi="Arial" w:cs="Arial"/>
                <w:sz w:val="20"/>
                <w:szCs w:val="20"/>
              </w:rPr>
              <w:t>9</w:t>
            </w:r>
          </w:p>
        </w:tc>
        <w:tc>
          <w:tcPr>
            <w:tcW w:w="2113" w:type="pct"/>
            <w:shd w:val="clear" w:color="auto" w:fill="auto"/>
          </w:tcPr>
          <w:p w14:paraId="41315B79" w14:textId="77777777" w:rsidR="001763D1" w:rsidRDefault="001763D1" w:rsidP="001763D1">
            <w:pPr>
              <w:contextualSpacing/>
              <w:rPr>
                <w:rFonts w:ascii="Arial" w:eastAsia="Calibri" w:hAnsi="Arial" w:cs="Arial"/>
                <w:sz w:val="20"/>
                <w:szCs w:val="20"/>
              </w:rPr>
            </w:pPr>
            <w:r w:rsidRPr="002B7EB4">
              <w:rPr>
                <w:rFonts w:ascii="Arial" w:eastAsia="Calibri" w:hAnsi="Arial" w:cs="Arial"/>
                <w:b/>
                <w:sz w:val="20"/>
                <w:szCs w:val="20"/>
              </w:rPr>
              <w:t>Tonga Skills</w:t>
            </w:r>
            <w:r w:rsidRPr="002B7EB4">
              <w:rPr>
                <w:rFonts w:ascii="Arial" w:eastAsia="Calibri" w:hAnsi="Arial" w:cs="Arial"/>
                <w:sz w:val="20"/>
                <w:szCs w:val="20"/>
              </w:rPr>
              <w:t xml:space="preserve"> consult with DFAT about the focus and purpose of the Development Partners’ Network (DPN) and consider confining its own role to convening a periodic Vocational Education and Training Forum with the skills sector.</w:t>
            </w:r>
          </w:p>
          <w:p w14:paraId="1D8F08B3" w14:textId="77777777" w:rsidR="000C6E28" w:rsidRPr="002B7EB4" w:rsidRDefault="000C6E28" w:rsidP="001763D1">
            <w:pPr>
              <w:contextualSpacing/>
              <w:rPr>
                <w:rFonts w:ascii="Arial" w:hAnsi="Arial" w:cs="Arial"/>
                <w:sz w:val="20"/>
                <w:szCs w:val="20"/>
              </w:rPr>
            </w:pPr>
          </w:p>
        </w:tc>
        <w:tc>
          <w:tcPr>
            <w:tcW w:w="460" w:type="pct"/>
          </w:tcPr>
          <w:p w14:paraId="134D8968" w14:textId="77777777" w:rsidR="001763D1" w:rsidRPr="002B7EB4" w:rsidRDefault="001763D1" w:rsidP="001763D1">
            <w:pPr>
              <w:rPr>
                <w:rFonts w:ascii="Arial" w:hAnsi="Arial" w:cs="Arial"/>
                <w:sz w:val="20"/>
                <w:szCs w:val="20"/>
              </w:rPr>
            </w:pPr>
            <w:r w:rsidRPr="002B7EB4">
              <w:rPr>
                <w:rFonts w:ascii="Arial" w:hAnsi="Arial" w:cs="Arial"/>
                <w:sz w:val="20"/>
                <w:szCs w:val="20"/>
              </w:rPr>
              <w:t>Agree</w:t>
            </w:r>
          </w:p>
        </w:tc>
        <w:tc>
          <w:tcPr>
            <w:tcW w:w="1023" w:type="pct"/>
          </w:tcPr>
          <w:p w14:paraId="102A2BE9" w14:textId="03DF7E07" w:rsidR="001F499F" w:rsidRPr="001F499F" w:rsidRDefault="00493E37" w:rsidP="001F499F">
            <w:pPr>
              <w:rPr>
                <w:rFonts w:ascii="Arial" w:hAnsi="Arial" w:cs="Arial"/>
                <w:sz w:val="20"/>
                <w:szCs w:val="20"/>
              </w:rPr>
            </w:pPr>
            <w:r w:rsidRPr="001F499F">
              <w:rPr>
                <w:rFonts w:ascii="Arial" w:hAnsi="Arial" w:cs="Arial"/>
                <w:sz w:val="20"/>
                <w:szCs w:val="20"/>
              </w:rPr>
              <w:t>Tonga Skills</w:t>
            </w:r>
            <w:r w:rsidR="00E01128" w:rsidRPr="001F499F">
              <w:rPr>
                <w:rFonts w:ascii="Arial" w:hAnsi="Arial" w:cs="Arial"/>
                <w:sz w:val="20"/>
                <w:szCs w:val="20"/>
              </w:rPr>
              <w:t xml:space="preserve"> to </w:t>
            </w:r>
            <w:r w:rsidR="001F499F" w:rsidRPr="001F499F">
              <w:rPr>
                <w:rFonts w:ascii="Arial" w:hAnsi="Arial" w:cs="Arial"/>
                <w:sz w:val="20"/>
                <w:szCs w:val="20"/>
              </w:rPr>
              <w:t>convene a forum with other skills</w:t>
            </w:r>
            <w:r w:rsidR="001F499F">
              <w:rPr>
                <w:rFonts w:ascii="Arial" w:hAnsi="Arial" w:cs="Arial"/>
                <w:sz w:val="20"/>
                <w:szCs w:val="20"/>
              </w:rPr>
              <w:t xml:space="preserve"> sector </w:t>
            </w:r>
            <w:r w:rsidR="001F499F" w:rsidRPr="001F499F">
              <w:rPr>
                <w:rFonts w:ascii="Arial" w:hAnsi="Arial" w:cs="Arial"/>
                <w:sz w:val="20"/>
                <w:szCs w:val="20"/>
              </w:rPr>
              <w:t>focused development and implementing partners</w:t>
            </w:r>
            <w:r w:rsidR="001F499F">
              <w:rPr>
                <w:rFonts w:ascii="Arial" w:hAnsi="Arial" w:cs="Arial"/>
                <w:sz w:val="20"/>
                <w:szCs w:val="20"/>
              </w:rPr>
              <w:t>.</w:t>
            </w:r>
          </w:p>
          <w:p w14:paraId="209D0E1C" w14:textId="08BB4C14" w:rsidR="001763D1" w:rsidRPr="00AE2969" w:rsidRDefault="001763D1" w:rsidP="001763D1">
            <w:pPr>
              <w:rPr>
                <w:rFonts w:ascii="Arial" w:eastAsia="Arial" w:hAnsi="Arial" w:cs="Arial"/>
                <w:sz w:val="20"/>
                <w:szCs w:val="20"/>
                <w:highlight w:val="yellow"/>
              </w:rPr>
            </w:pPr>
          </w:p>
        </w:tc>
        <w:tc>
          <w:tcPr>
            <w:tcW w:w="662" w:type="pct"/>
          </w:tcPr>
          <w:p w14:paraId="44330BE8" w14:textId="77777777" w:rsidR="001763D1" w:rsidRPr="002B7EB4" w:rsidRDefault="001763D1" w:rsidP="001763D1">
            <w:pPr>
              <w:rPr>
                <w:rFonts w:ascii="Arial" w:eastAsia="Arial" w:hAnsi="Arial" w:cs="Arial"/>
                <w:sz w:val="20"/>
                <w:szCs w:val="20"/>
              </w:rPr>
            </w:pPr>
            <w:r w:rsidRPr="002B7EB4">
              <w:rPr>
                <w:rFonts w:ascii="Arial" w:eastAsia="Arial" w:hAnsi="Arial" w:cs="Arial"/>
                <w:sz w:val="20"/>
                <w:szCs w:val="20"/>
              </w:rPr>
              <w:t>Tonga Skills</w:t>
            </w:r>
          </w:p>
        </w:tc>
        <w:tc>
          <w:tcPr>
            <w:tcW w:w="553" w:type="pct"/>
          </w:tcPr>
          <w:p w14:paraId="1A23AE17" w14:textId="1D4F2FC9" w:rsidR="001763D1" w:rsidRDefault="00E01128" w:rsidP="001763D1">
            <w:pPr>
              <w:rPr>
                <w:rFonts w:ascii="Arial" w:eastAsia="Arial" w:hAnsi="Arial" w:cs="Arial"/>
                <w:sz w:val="20"/>
                <w:szCs w:val="20"/>
              </w:rPr>
            </w:pPr>
            <w:r w:rsidRPr="00E111F8">
              <w:rPr>
                <w:rFonts w:ascii="Arial" w:eastAsia="Arial" w:hAnsi="Arial" w:cs="Arial"/>
                <w:sz w:val="20"/>
                <w:szCs w:val="20"/>
              </w:rPr>
              <w:t>May</w:t>
            </w:r>
            <w:r w:rsidR="00CB6BED">
              <w:rPr>
                <w:rFonts w:ascii="Arial" w:eastAsia="Arial" w:hAnsi="Arial" w:cs="Arial"/>
                <w:sz w:val="20"/>
                <w:szCs w:val="20"/>
              </w:rPr>
              <w:t xml:space="preserve"> to </w:t>
            </w:r>
            <w:r w:rsidRPr="00E111F8">
              <w:rPr>
                <w:rFonts w:ascii="Arial" w:eastAsia="Arial" w:hAnsi="Arial" w:cs="Arial"/>
                <w:sz w:val="20"/>
                <w:szCs w:val="20"/>
              </w:rPr>
              <w:t>June 2018</w:t>
            </w:r>
            <w:r w:rsidR="00CB6BED">
              <w:rPr>
                <w:rFonts w:ascii="Arial" w:eastAsia="Arial" w:hAnsi="Arial" w:cs="Arial"/>
                <w:sz w:val="20"/>
                <w:szCs w:val="20"/>
              </w:rPr>
              <w:t>.</w:t>
            </w:r>
          </w:p>
          <w:p w14:paraId="183EC89E" w14:textId="77777777" w:rsidR="00CB6BED" w:rsidRPr="00E111F8" w:rsidRDefault="00CB6BED" w:rsidP="001763D1">
            <w:pPr>
              <w:rPr>
                <w:rFonts w:ascii="Arial" w:eastAsia="Arial" w:hAnsi="Arial" w:cs="Arial"/>
                <w:sz w:val="20"/>
                <w:szCs w:val="20"/>
              </w:rPr>
            </w:pPr>
          </w:p>
          <w:p w14:paraId="755CA4E9" w14:textId="3BA307AD" w:rsidR="00E01128" w:rsidRPr="00E111F8" w:rsidRDefault="00E01128" w:rsidP="001763D1">
            <w:pPr>
              <w:rPr>
                <w:rFonts w:ascii="Arial" w:eastAsia="Arial" w:hAnsi="Arial" w:cs="Arial"/>
                <w:sz w:val="20"/>
                <w:szCs w:val="20"/>
              </w:rPr>
            </w:pPr>
            <w:r w:rsidRPr="00E111F8">
              <w:rPr>
                <w:rFonts w:ascii="Arial" w:eastAsia="Arial" w:hAnsi="Arial" w:cs="Arial"/>
                <w:sz w:val="20"/>
                <w:szCs w:val="20"/>
              </w:rPr>
              <w:t>Complete</w:t>
            </w:r>
            <w:r w:rsidR="00CB6BED">
              <w:rPr>
                <w:rFonts w:ascii="Arial" w:eastAsia="Arial" w:hAnsi="Arial" w:cs="Arial"/>
                <w:sz w:val="20"/>
                <w:szCs w:val="20"/>
              </w:rPr>
              <w:t>.</w:t>
            </w:r>
          </w:p>
        </w:tc>
      </w:tr>
      <w:tr w:rsidR="001763D1" w:rsidRPr="002B7EB4" w14:paraId="631BE329" w14:textId="77777777" w:rsidTr="00F27B90">
        <w:trPr>
          <w:cantSplit/>
        </w:trPr>
        <w:tc>
          <w:tcPr>
            <w:tcW w:w="188" w:type="pct"/>
          </w:tcPr>
          <w:p w14:paraId="7D47D1FD" w14:textId="77777777" w:rsidR="001763D1" w:rsidRPr="002B7EB4" w:rsidRDefault="001763D1" w:rsidP="001763D1">
            <w:pPr>
              <w:rPr>
                <w:rFonts w:ascii="Arial" w:eastAsia="Arial" w:hAnsi="Arial" w:cs="Arial"/>
                <w:sz w:val="20"/>
                <w:szCs w:val="20"/>
              </w:rPr>
            </w:pPr>
            <w:r w:rsidRPr="002B7EB4">
              <w:rPr>
                <w:rFonts w:ascii="Arial" w:eastAsia="Arial" w:hAnsi="Arial" w:cs="Arial"/>
                <w:sz w:val="20"/>
                <w:szCs w:val="20"/>
              </w:rPr>
              <w:t>10</w:t>
            </w:r>
          </w:p>
        </w:tc>
        <w:tc>
          <w:tcPr>
            <w:tcW w:w="2113" w:type="pct"/>
            <w:shd w:val="clear" w:color="auto" w:fill="auto"/>
          </w:tcPr>
          <w:p w14:paraId="474FDA1C" w14:textId="77777777" w:rsidR="001763D1" w:rsidRDefault="001763D1" w:rsidP="001763D1">
            <w:pPr>
              <w:contextualSpacing/>
              <w:rPr>
                <w:rFonts w:ascii="Arial" w:hAnsi="Arial" w:cs="Arial"/>
                <w:sz w:val="20"/>
                <w:szCs w:val="20"/>
              </w:rPr>
            </w:pPr>
            <w:r w:rsidRPr="002B7EB4">
              <w:rPr>
                <w:rFonts w:ascii="Arial" w:hAnsi="Arial" w:cs="Arial"/>
                <w:b/>
                <w:sz w:val="20"/>
                <w:szCs w:val="20"/>
              </w:rPr>
              <w:t>Tonga Skills</w:t>
            </w:r>
            <w:r w:rsidRPr="002B7EB4">
              <w:rPr>
                <w:rFonts w:ascii="Arial" w:hAnsi="Arial" w:cs="Arial"/>
                <w:sz w:val="20"/>
                <w:szCs w:val="20"/>
              </w:rPr>
              <w:t xml:space="preserve"> develop, and agree with partners, protocols for co-branding covering advertisement; participant recruitment; trainer identification; training certification; and reporting</w:t>
            </w:r>
            <w:r w:rsidR="00AE2969">
              <w:rPr>
                <w:rFonts w:ascii="Arial" w:hAnsi="Arial" w:cs="Arial"/>
                <w:sz w:val="20"/>
                <w:szCs w:val="20"/>
              </w:rPr>
              <w:t>.</w:t>
            </w:r>
          </w:p>
          <w:p w14:paraId="5D6F401B" w14:textId="77777777" w:rsidR="000C6E28" w:rsidRPr="002B7EB4" w:rsidRDefault="000C6E28" w:rsidP="001763D1">
            <w:pPr>
              <w:contextualSpacing/>
              <w:rPr>
                <w:rFonts w:ascii="Arial" w:eastAsia="Calibri" w:hAnsi="Arial" w:cs="Arial"/>
                <w:sz w:val="20"/>
                <w:szCs w:val="20"/>
              </w:rPr>
            </w:pPr>
          </w:p>
        </w:tc>
        <w:tc>
          <w:tcPr>
            <w:tcW w:w="460" w:type="pct"/>
          </w:tcPr>
          <w:p w14:paraId="0FFB4725" w14:textId="77777777" w:rsidR="001763D1" w:rsidRPr="002B7EB4" w:rsidRDefault="001763D1" w:rsidP="001763D1">
            <w:pPr>
              <w:rPr>
                <w:rFonts w:ascii="Arial" w:hAnsi="Arial" w:cs="Arial"/>
                <w:sz w:val="20"/>
                <w:szCs w:val="20"/>
              </w:rPr>
            </w:pPr>
            <w:r w:rsidRPr="002B7EB4">
              <w:rPr>
                <w:rFonts w:ascii="Arial" w:hAnsi="Arial" w:cs="Arial"/>
                <w:sz w:val="20"/>
                <w:szCs w:val="20"/>
              </w:rPr>
              <w:t xml:space="preserve">Agree </w:t>
            </w:r>
          </w:p>
        </w:tc>
        <w:tc>
          <w:tcPr>
            <w:tcW w:w="1023" w:type="pct"/>
          </w:tcPr>
          <w:p w14:paraId="35E5092B" w14:textId="5F94F0EA" w:rsidR="001763D1" w:rsidRPr="002B7EB4" w:rsidRDefault="001F499F" w:rsidP="00493E37">
            <w:pPr>
              <w:rPr>
                <w:rFonts w:ascii="Arial" w:eastAsia="Arial" w:hAnsi="Arial" w:cs="Arial"/>
                <w:sz w:val="20"/>
                <w:szCs w:val="20"/>
              </w:rPr>
            </w:pPr>
            <w:r>
              <w:rPr>
                <w:rFonts w:ascii="Arial" w:eastAsia="Arial" w:hAnsi="Arial" w:cs="Arial"/>
                <w:sz w:val="20"/>
                <w:szCs w:val="20"/>
              </w:rPr>
              <w:t>Develop c</w:t>
            </w:r>
            <w:r w:rsidR="00AE2969">
              <w:rPr>
                <w:rFonts w:ascii="Arial" w:eastAsia="Arial" w:hAnsi="Arial" w:cs="Arial"/>
                <w:sz w:val="20"/>
                <w:szCs w:val="20"/>
              </w:rPr>
              <w:t>ommunications guidelines and protocols for implementing partners</w:t>
            </w:r>
            <w:r>
              <w:rPr>
                <w:rFonts w:ascii="Arial" w:eastAsia="Arial" w:hAnsi="Arial" w:cs="Arial"/>
                <w:sz w:val="20"/>
                <w:szCs w:val="20"/>
              </w:rPr>
              <w:t>.</w:t>
            </w:r>
          </w:p>
        </w:tc>
        <w:tc>
          <w:tcPr>
            <w:tcW w:w="662" w:type="pct"/>
          </w:tcPr>
          <w:p w14:paraId="2E9D8F56" w14:textId="77777777" w:rsidR="001763D1" w:rsidRPr="002B7EB4" w:rsidRDefault="001763D1" w:rsidP="001763D1">
            <w:pPr>
              <w:rPr>
                <w:rFonts w:ascii="Arial" w:eastAsia="Arial" w:hAnsi="Arial" w:cs="Arial"/>
                <w:sz w:val="20"/>
                <w:szCs w:val="20"/>
              </w:rPr>
            </w:pPr>
            <w:r w:rsidRPr="002B7EB4">
              <w:rPr>
                <w:rFonts w:ascii="Arial" w:eastAsia="Arial" w:hAnsi="Arial" w:cs="Arial"/>
                <w:sz w:val="20"/>
                <w:szCs w:val="20"/>
              </w:rPr>
              <w:t>Tonga Skills</w:t>
            </w:r>
          </w:p>
        </w:tc>
        <w:tc>
          <w:tcPr>
            <w:tcW w:w="553" w:type="pct"/>
          </w:tcPr>
          <w:p w14:paraId="1DF1E7C5" w14:textId="6FEB2539" w:rsidR="00CB6BED" w:rsidRDefault="001763D1" w:rsidP="001763D1">
            <w:pPr>
              <w:rPr>
                <w:rFonts w:ascii="Arial" w:eastAsia="Arial" w:hAnsi="Arial" w:cs="Arial"/>
                <w:sz w:val="20"/>
                <w:szCs w:val="20"/>
              </w:rPr>
            </w:pPr>
            <w:r w:rsidRPr="00E111F8">
              <w:rPr>
                <w:rFonts w:ascii="Arial" w:eastAsia="Arial" w:hAnsi="Arial" w:cs="Arial"/>
                <w:sz w:val="20"/>
                <w:szCs w:val="20"/>
              </w:rPr>
              <w:t xml:space="preserve">July </w:t>
            </w:r>
            <w:r w:rsidR="00E01128" w:rsidRPr="00E111F8">
              <w:rPr>
                <w:rFonts w:ascii="Arial" w:eastAsia="Arial" w:hAnsi="Arial" w:cs="Arial"/>
                <w:sz w:val="20"/>
                <w:szCs w:val="20"/>
              </w:rPr>
              <w:t xml:space="preserve">2018 </w:t>
            </w:r>
            <w:r w:rsidRPr="00E111F8">
              <w:rPr>
                <w:rFonts w:ascii="Arial" w:eastAsia="Arial" w:hAnsi="Arial" w:cs="Arial"/>
                <w:sz w:val="20"/>
                <w:szCs w:val="20"/>
              </w:rPr>
              <w:t xml:space="preserve">to </w:t>
            </w:r>
            <w:r w:rsidR="00E01128" w:rsidRPr="00E111F8">
              <w:rPr>
                <w:rFonts w:ascii="Arial" w:eastAsia="Arial" w:hAnsi="Arial" w:cs="Arial"/>
                <w:sz w:val="20"/>
                <w:szCs w:val="20"/>
              </w:rPr>
              <w:t xml:space="preserve">February </w:t>
            </w:r>
            <w:r w:rsidRPr="00E111F8">
              <w:rPr>
                <w:rFonts w:ascii="Arial" w:eastAsia="Arial" w:hAnsi="Arial" w:cs="Arial"/>
                <w:sz w:val="20"/>
                <w:szCs w:val="20"/>
              </w:rPr>
              <w:t>201</w:t>
            </w:r>
            <w:r w:rsidR="00E01128" w:rsidRPr="00E111F8">
              <w:rPr>
                <w:rFonts w:ascii="Arial" w:eastAsia="Arial" w:hAnsi="Arial" w:cs="Arial"/>
                <w:sz w:val="20"/>
                <w:szCs w:val="20"/>
              </w:rPr>
              <w:t>9</w:t>
            </w:r>
            <w:r w:rsidR="00CB6BED">
              <w:rPr>
                <w:rFonts w:ascii="Arial" w:eastAsia="Arial" w:hAnsi="Arial" w:cs="Arial"/>
                <w:sz w:val="20"/>
                <w:szCs w:val="20"/>
              </w:rPr>
              <w:t>.</w:t>
            </w:r>
          </w:p>
          <w:p w14:paraId="18ABA862" w14:textId="2AFFFD8F" w:rsidR="001763D1" w:rsidRPr="00E111F8" w:rsidRDefault="001763D1" w:rsidP="001763D1">
            <w:pPr>
              <w:rPr>
                <w:rFonts w:ascii="Arial" w:eastAsia="Arial" w:hAnsi="Arial" w:cs="Arial"/>
                <w:sz w:val="20"/>
                <w:szCs w:val="20"/>
              </w:rPr>
            </w:pPr>
          </w:p>
          <w:p w14:paraId="6D90B27A" w14:textId="645533DA" w:rsidR="00E01128" w:rsidRPr="00E111F8" w:rsidRDefault="00E01128" w:rsidP="001763D1">
            <w:pPr>
              <w:rPr>
                <w:rFonts w:ascii="Arial" w:eastAsia="Arial" w:hAnsi="Arial" w:cs="Arial"/>
                <w:sz w:val="20"/>
                <w:szCs w:val="20"/>
              </w:rPr>
            </w:pPr>
            <w:r w:rsidRPr="00E111F8">
              <w:rPr>
                <w:rFonts w:ascii="Arial" w:eastAsia="Arial" w:hAnsi="Arial" w:cs="Arial"/>
                <w:sz w:val="20"/>
                <w:szCs w:val="20"/>
              </w:rPr>
              <w:t>Underway</w:t>
            </w:r>
            <w:r w:rsidR="00CB6BED">
              <w:rPr>
                <w:rFonts w:ascii="Arial" w:eastAsia="Arial" w:hAnsi="Arial" w:cs="Arial"/>
                <w:sz w:val="20"/>
                <w:szCs w:val="20"/>
              </w:rPr>
              <w:t>.</w:t>
            </w:r>
          </w:p>
        </w:tc>
      </w:tr>
    </w:tbl>
    <w:p w14:paraId="3FE68B03" w14:textId="77777777" w:rsidR="00257EA7" w:rsidRPr="00D51466" w:rsidRDefault="00257EA7" w:rsidP="00257EA7">
      <w:pPr>
        <w:rPr>
          <w:sz w:val="18"/>
          <w:szCs w:val="18"/>
        </w:rPr>
      </w:pPr>
    </w:p>
    <w:p w14:paraId="0A6FDA3E" w14:textId="77777777" w:rsidR="00257EA7" w:rsidRPr="00850FB8" w:rsidRDefault="00257EA7" w:rsidP="00257EA7">
      <w:pPr>
        <w:spacing w:after="0" w:line="240" w:lineRule="auto"/>
        <w:rPr>
          <w:sz w:val="18"/>
          <w:szCs w:val="18"/>
        </w:rPr>
      </w:pPr>
    </w:p>
    <w:p w14:paraId="00144270" w14:textId="77777777" w:rsidR="00257EA7" w:rsidRPr="00257EA7" w:rsidRDefault="00257EA7" w:rsidP="00257EA7"/>
    <w:sectPr w:rsidR="00257EA7" w:rsidRPr="00257EA7" w:rsidSect="002B7EB4">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5B09F" w14:textId="77777777" w:rsidR="00793C08" w:rsidRDefault="00793C08" w:rsidP="00BE367D">
      <w:pPr>
        <w:spacing w:after="0" w:line="240" w:lineRule="auto"/>
      </w:pPr>
      <w:r>
        <w:separator/>
      </w:r>
    </w:p>
  </w:endnote>
  <w:endnote w:type="continuationSeparator" w:id="0">
    <w:p w14:paraId="4AE19FB4" w14:textId="77777777" w:rsidR="00793C08" w:rsidRDefault="00793C08" w:rsidP="00BE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45D46" w14:textId="77777777" w:rsidR="00D43F82" w:rsidRDefault="00D4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95E0" w14:textId="77777777" w:rsidR="00D43F82" w:rsidRDefault="00D4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2A7B" w14:textId="77777777" w:rsidR="00D43F82" w:rsidRDefault="00D4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8D14" w14:textId="77777777" w:rsidR="00793C08" w:rsidRDefault="00793C08" w:rsidP="00BE367D">
      <w:pPr>
        <w:spacing w:after="0" w:line="240" w:lineRule="auto"/>
      </w:pPr>
      <w:r>
        <w:separator/>
      </w:r>
    </w:p>
  </w:footnote>
  <w:footnote w:type="continuationSeparator" w:id="0">
    <w:p w14:paraId="64672747" w14:textId="77777777" w:rsidR="00793C08" w:rsidRDefault="00793C08" w:rsidP="00BE3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FB5C" w14:textId="77777777" w:rsidR="00D43F82" w:rsidRDefault="00D43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72BD" w14:textId="77777777" w:rsidR="00D43F82" w:rsidRDefault="00D43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6E2E" w14:textId="77777777" w:rsidR="00D43F82" w:rsidRDefault="00D43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DCF"/>
    <w:multiLevelType w:val="hybridMultilevel"/>
    <w:tmpl w:val="28B64A58"/>
    <w:lvl w:ilvl="0" w:tplc="56F44E10">
      <w:start w:val="1"/>
      <w:numFmt w:val="bullet"/>
      <w:lvlText w:val=""/>
      <w:lvlJc w:val="left"/>
      <w:pPr>
        <w:ind w:left="284" w:hanging="28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3375C8"/>
    <w:multiLevelType w:val="hybridMultilevel"/>
    <w:tmpl w:val="8ECE1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CF303A"/>
    <w:multiLevelType w:val="hybridMultilevel"/>
    <w:tmpl w:val="EF6CB950"/>
    <w:lvl w:ilvl="0" w:tplc="6456C2B2">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0A5460"/>
    <w:multiLevelType w:val="hybridMultilevel"/>
    <w:tmpl w:val="43429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676491"/>
    <w:multiLevelType w:val="hybridMultilevel"/>
    <w:tmpl w:val="D1D67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182D25"/>
    <w:multiLevelType w:val="hybridMultilevel"/>
    <w:tmpl w:val="C7045F86"/>
    <w:lvl w:ilvl="0" w:tplc="8F701D8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F5092"/>
    <w:multiLevelType w:val="hybridMultilevel"/>
    <w:tmpl w:val="8B1A0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32458"/>
    <w:multiLevelType w:val="hybridMultilevel"/>
    <w:tmpl w:val="B204E446"/>
    <w:lvl w:ilvl="0" w:tplc="0C09000F">
      <w:start w:val="1"/>
      <w:numFmt w:val="decimal"/>
      <w:lvlText w:val="%1."/>
      <w:lvlJc w:val="left"/>
      <w:pPr>
        <w:ind w:left="284" w:hanging="284"/>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40640B"/>
    <w:multiLevelType w:val="hybridMultilevel"/>
    <w:tmpl w:val="5D889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1A2E62"/>
    <w:multiLevelType w:val="hybridMultilevel"/>
    <w:tmpl w:val="58DA2700"/>
    <w:lvl w:ilvl="0" w:tplc="6456C2B2">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7594F"/>
    <w:multiLevelType w:val="hybridMultilevel"/>
    <w:tmpl w:val="A2FE5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A025DD"/>
    <w:multiLevelType w:val="hybridMultilevel"/>
    <w:tmpl w:val="17406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7550EA"/>
    <w:multiLevelType w:val="hybridMultilevel"/>
    <w:tmpl w:val="D2CEA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77F24"/>
    <w:multiLevelType w:val="hybridMultilevel"/>
    <w:tmpl w:val="B1F81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F7F4F9D"/>
    <w:multiLevelType w:val="hybridMultilevel"/>
    <w:tmpl w:val="F52C4C98"/>
    <w:lvl w:ilvl="0" w:tplc="0C090001">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CA685F"/>
    <w:multiLevelType w:val="hybridMultilevel"/>
    <w:tmpl w:val="C68A2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14"/>
  </w:num>
  <w:num w:numId="6">
    <w:abstractNumId w:val="1"/>
  </w:num>
  <w:num w:numId="7">
    <w:abstractNumId w:val="10"/>
  </w:num>
  <w:num w:numId="8">
    <w:abstractNumId w:val="9"/>
  </w:num>
  <w:num w:numId="9">
    <w:abstractNumId w:val="15"/>
  </w:num>
  <w:num w:numId="10">
    <w:abstractNumId w:val="5"/>
  </w:num>
  <w:num w:numId="11">
    <w:abstractNumId w:val="13"/>
  </w:num>
  <w:num w:numId="12">
    <w:abstractNumId w:val="6"/>
  </w:num>
  <w:num w:numId="13">
    <w:abstractNumId w:val="3"/>
  </w:num>
  <w:num w:numId="14">
    <w:abstractNumId w:val="1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6C"/>
    <w:rsid w:val="00032389"/>
    <w:rsid w:val="00032913"/>
    <w:rsid w:val="000655F6"/>
    <w:rsid w:val="000A1EBB"/>
    <w:rsid w:val="000C6E28"/>
    <w:rsid w:val="000F0F6A"/>
    <w:rsid w:val="00117F3E"/>
    <w:rsid w:val="00150162"/>
    <w:rsid w:val="00174075"/>
    <w:rsid w:val="001763D1"/>
    <w:rsid w:val="0017664E"/>
    <w:rsid w:val="00187994"/>
    <w:rsid w:val="001D1A20"/>
    <w:rsid w:val="001D7169"/>
    <w:rsid w:val="001E382F"/>
    <w:rsid w:val="001F499F"/>
    <w:rsid w:val="001F5068"/>
    <w:rsid w:val="001F7AD4"/>
    <w:rsid w:val="00223100"/>
    <w:rsid w:val="00244E96"/>
    <w:rsid w:val="00257EA7"/>
    <w:rsid w:val="002931AB"/>
    <w:rsid w:val="002A1DE0"/>
    <w:rsid w:val="002B7EB4"/>
    <w:rsid w:val="002E2DC4"/>
    <w:rsid w:val="0030447B"/>
    <w:rsid w:val="003123FF"/>
    <w:rsid w:val="00355BAC"/>
    <w:rsid w:val="00363837"/>
    <w:rsid w:val="00375FD9"/>
    <w:rsid w:val="00376590"/>
    <w:rsid w:val="00381C16"/>
    <w:rsid w:val="0039632A"/>
    <w:rsid w:val="003A66A2"/>
    <w:rsid w:val="003C4862"/>
    <w:rsid w:val="003D6D1B"/>
    <w:rsid w:val="003F6AE8"/>
    <w:rsid w:val="0040386C"/>
    <w:rsid w:val="00407620"/>
    <w:rsid w:val="00440C96"/>
    <w:rsid w:val="00446087"/>
    <w:rsid w:val="00481712"/>
    <w:rsid w:val="00493E37"/>
    <w:rsid w:val="004959B5"/>
    <w:rsid w:val="004A45FB"/>
    <w:rsid w:val="004A68BE"/>
    <w:rsid w:val="004C5FE5"/>
    <w:rsid w:val="00513F53"/>
    <w:rsid w:val="005341C5"/>
    <w:rsid w:val="00543454"/>
    <w:rsid w:val="005629A4"/>
    <w:rsid w:val="00567DFD"/>
    <w:rsid w:val="005A53FC"/>
    <w:rsid w:val="005B2D66"/>
    <w:rsid w:val="005B3897"/>
    <w:rsid w:val="005C0C98"/>
    <w:rsid w:val="005C1131"/>
    <w:rsid w:val="005D2A77"/>
    <w:rsid w:val="00600777"/>
    <w:rsid w:val="00617B9A"/>
    <w:rsid w:val="00624FF0"/>
    <w:rsid w:val="006739A2"/>
    <w:rsid w:val="00687181"/>
    <w:rsid w:val="00692CA4"/>
    <w:rsid w:val="006976EE"/>
    <w:rsid w:val="00722194"/>
    <w:rsid w:val="0075363C"/>
    <w:rsid w:val="0077587C"/>
    <w:rsid w:val="00775BBD"/>
    <w:rsid w:val="00793C08"/>
    <w:rsid w:val="007C0594"/>
    <w:rsid w:val="00810E86"/>
    <w:rsid w:val="00827A23"/>
    <w:rsid w:val="0083114C"/>
    <w:rsid w:val="00841902"/>
    <w:rsid w:val="00850FB8"/>
    <w:rsid w:val="008517EA"/>
    <w:rsid w:val="00877564"/>
    <w:rsid w:val="008C6B7E"/>
    <w:rsid w:val="008F4FB8"/>
    <w:rsid w:val="00926410"/>
    <w:rsid w:val="009531B0"/>
    <w:rsid w:val="0095442A"/>
    <w:rsid w:val="009B44F9"/>
    <w:rsid w:val="009C1880"/>
    <w:rsid w:val="009D1422"/>
    <w:rsid w:val="009E34E1"/>
    <w:rsid w:val="00A666EF"/>
    <w:rsid w:val="00AB516B"/>
    <w:rsid w:val="00AC5A23"/>
    <w:rsid w:val="00AD6C63"/>
    <w:rsid w:val="00AE2969"/>
    <w:rsid w:val="00AF5DE5"/>
    <w:rsid w:val="00B45A28"/>
    <w:rsid w:val="00B518AB"/>
    <w:rsid w:val="00B76067"/>
    <w:rsid w:val="00B972D7"/>
    <w:rsid w:val="00BC168F"/>
    <w:rsid w:val="00BC4D46"/>
    <w:rsid w:val="00BE367D"/>
    <w:rsid w:val="00BE40F8"/>
    <w:rsid w:val="00BF736A"/>
    <w:rsid w:val="00C35547"/>
    <w:rsid w:val="00C427DB"/>
    <w:rsid w:val="00C72E9D"/>
    <w:rsid w:val="00C74F09"/>
    <w:rsid w:val="00C75F54"/>
    <w:rsid w:val="00CA447F"/>
    <w:rsid w:val="00CB6BED"/>
    <w:rsid w:val="00CE2470"/>
    <w:rsid w:val="00CF5A75"/>
    <w:rsid w:val="00D14007"/>
    <w:rsid w:val="00D26F18"/>
    <w:rsid w:val="00D42614"/>
    <w:rsid w:val="00D43F82"/>
    <w:rsid w:val="00D75451"/>
    <w:rsid w:val="00D84610"/>
    <w:rsid w:val="00DA1462"/>
    <w:rsid w:val="00DA507E"/>
    <w:rsid w:val="00DA6260"/>
    <w:rsid w:val="00DC7023"/>
    <w:rsid w:val="00DD25CF"/>
    <w:rsid w:val="00DD50B7"/>
    <w:rsid w:val="00DE4E77"/>
    <w:rsid w:val="00DF5938"/>
    <w:rsid w:val="00E01128"/>
    <w:rsid w:val="00E03A0B"/>
    <w:rsid w:val="00E111F8"/>
    <w:rsid w:val="00E35F5E"/>
    <w:rsid w:val="00E61170"/>
    <w:rsid w:val="00E94F89"/>
    <w:rsid w:val="00EB0491"/>
    <w:rsid w:val="00EC042F"/>
    <w:rsid w:val="00F27B90"/>
    <w:rsid w:val="00F40B20"/>
    <w:rsid w:val="00F8132C"/>
    <w:rsid w:val="00FB7F7F"/>
    <w:rsid w:val="00FD2730"/>
    <w:rsid w:val="00FD3CDF"/>
    <w:rsid w:val="00FE7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3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s,ADB List Paragraph"/>
    <w:basedOn w:val="Normal"/>
    <w:link w:val="ListParagraphChar"/>
    <w:uiPriority w:val="34"/>
    <w:qFormat/>
    <w:rsid w:val="0040386C"/>
    <w:pPr>
      <w:ind w:left="720"/>
      <w:contextualSpacing/>
    </w:pPr>
  </w:style>
  <w:style w:type="character" w:customStyle="1" w:styleId="ListParagraphChar">
    <w:name w:val="List Paragraph Char"/>
    <w:aliases w:val="List Paragraph1 Char,Recommendation Char,List Paragraph11 Char,Bullets Char,ADB List Paragraph Char"/>
    <w:basedOn w:val="DefaultParagraphFont"/>
    <w:link w:val="ListParagraph"/>
    <w:uiPriority w:val="34"/>
    <w:locked/>
    <w:rsid w:val="0040386C"/>
  </w:style>
  <w:style w:type="paragraph" w:styleId="BalloonText">
    <w:name w:val="Balloon Text"/>
    <w:basedOn w:val="Normal"/>
    <w:link w:val="BalloonTextChar"/>
    <w:uiPriority w:val="99"/>
    <w:semiHidden/>
    <w:unhideWhenUsed/>
    <w:rsid w:val="007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94"/>
    <w:rPr>
      <w:rFonts w:ascii="Segoe UI" w:hAnsi="Segoe UI" w:cs="Segoe UI"/>
      <w:sz w:val="18"/>
      <w:szCs w:val="18"/>
    </w:rPr>
  </w:style>
  <w:style w:type="paragraph" w:styleId="Header">
    <w:name w:val="header"/>
    <w:basedOn w:val="Normal"/>
    <w:link w:val="HeaderChar"/>
    <w:uiPriority w:val="99"/>
    <w:unhideWhenUsed/>
    <w:rsid w:val="00BE3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67D"/>
  </w:style>
  <w:style w:type="paragraph" w:styleId="Footer">
    <w:name w:val="footer"/>
    <w:basedOn w:val="Normal"/>
    <w:link w:val="FooterChar"/>
    <w:uiPriority w:val="99"/>
    <w:unhideWhenUsed/>
    <w:rsid w:val="00BE3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1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DE727A-1396-4EB2-B9DA-402C04B2A76C}"/>
</file>

<file path=customXml/itemProps2.xml><?xml version="1.0" encoding="utf-8"?>
<ds:datastoreItem xmlns:ds="http://schemas.openxmlformats.org/officeDocument/2006/customXml" ds:itemID="{3FEDD7E2-7B53-41D8-9510-C0B18496C788}"/>
</file>

<file path=customXml/itemProps3.xml><?xml version="1.0" encoding="utf-8"?>
<ds:datastoreItem xmlns:ds="http://schemas.openxmlformats.org/officeDocument/2006/customXml" ds:itemID="{01B7E053-F873-45CF-A931-E59B5F034628}"/>
</file>

<file path=customXml/itemProps4.xml><?xml version="1.0" encoding="utf-8"?>
<ds:datastoreItem xmlns:ds="http://schemas.openxmlformats.org/officeDocument/2006/customXml" ds:itemID="{CB355498-C33F-44CF-BE50-9F8764E95A8B}"/>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2018-12-23T22:56:00Z</dcterms:created>
  <dcterms:modified xsi:type="dcterms:W3CDTF">2018-12-23T22:56:00Z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b23f7716-3069-418d-9d92-91a8f262336b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1214400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