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EA1D4" w14:textId="77777777" w:rsidR="00230777" w:rsidRPr="00867443" w:rsidRDefault="00230777" w:rsidP="00230777">
      <w:pPr>
        <w:pStyle w:val="Title"/>
        <w:rPr>
          <w:sz w:val="16"/>
          <w:szCs w:val="16"/>
        </w:rPr>
      </w:pPr>
    </w:p>
    <w:p w14:paraId="1E130D65" w14:textId="77777777" w:rsidR="00EB398C" w:rsidRDefault="00494F98" w:rsidP="00EB398C">
      <w:pPr>
        <w:pStyle w:val="Title"/>
        <w:rPr>
          <w:sz w:val="36"/>
          <w:szCs w:val="36"/>
        </w:rPr>
      </w:pPr>
      <w:r>
        <w:rPr>
          <w:sz w:val="36"/>
          <w:szCs w:val="36"/>
        </w:rPr>
        <w:t xml:space="preserve">2019-20 </w:t>
      </w:r>
      <w:r w:rsidR="00F42B3C">
        <w:rPr>
          <w:sz w:val="36"/>
          <w:szCs w:val="36"/>
        </w:rPr>
        <w:t>TONGA</w:t>
      </w:r>
      <w:r w:rsidR="00235EAB">
        <w:rPr>
          <w:sz w:val="36"/>
          <w:szCs w:val="36"/>
        </w:rPr>
        <w:t xml:space="preserve"> </w:t>
      </w:r>
      <w:r w:rsidR="004C5598">
        <w:rPr>
          <w:sz w:val="36"/>
          <w:szCs w:val="36"/>
        </w:rPr>
        <w:t>development program progress report</w:t>
      </w:r>
      <w:r w:rsidR="00660121">
        <w:rPr>
          <w:sz w:val="36"/>
          <w:szCs w:val="36"/>
        </w:rPr>
        <w:t xml:space="preserve">  </w:t>
      </w:r>
    </w:p>
    <w:p w14:paraId="78DBF077" w14:textId="6EA6A148" w:rsidR="00900652" w:rsidRDefault="00900652" w:rsidP="00EB398C">
      <w:pPr>
        <w:pStyle w:val="Title"/>
        <w:rPr>
          <w:sz w:val="36"/>
          <w:szCs w:val="36"/>
        </w:rPr>
      </w:pPr>
    </w:p>
    <w:p w14:paraId="09862B57" w14:textId="77777777" w:rsidR="00900652" w:rsidRPr="00900652" w:rsidRDefault="00900652" w:rsidP="00900652">
      <w:pPr>
        <w:sectPr w:rsidR="00900652" w:rsidRPr="00900652" w:rsidSect="00452298">
          <w:headerReference w:type="default" r:id="rId11"/>
          <w:footerReference w:type="default" r:id="rId12"/>
          <w:headerReference w:type="first" r:id="rId13"/>
          <w:footerReference w:type="first" r:id="rId14"/>
          <w:type w:val="continuous"/>
          <w:pgSz w:w="11906" w:h="16838" w:code="9"/>
          <w:pgMar w:top="1701" w:right="140" w:bottom="1418" w:left="709" w:header="142" w:footer="493" w:gutter="0"/>
          <w:cols w:space="397"/>
          <w:titlePg/>
          <w:docGrid w:linePitch="360"/>
        </w:sectPr>
      </w:pPr>
    </w:p>
    <w:tbl>
      <w:tblPr>
        <w:tblStyle w:val="TableGrid"/>
        <w:tblW w:w="5266" w:type="dxa"/>
        <w:tblBorders>
          <w:top w:val="single" w:sz="2" w:space="0" w:color="65C5B4" w:themeColor="accent1"/>
          <w:left w:val="single" w:sz="2" w:space="0" w:color="65C5B4" w:themeColor="accent1"/>
          <w:bottom w:val="single" w:sz="2" w:space="0" w:color="65C5B4" w:themeColor="accent1"/>
          <w:right w:val="single" w:sz="2" w:space="0" w:color="65C5B4" w:themeColor="accent1"/>
          <w:insideH w:val="single" w:sz="2" w:space="0" w:color="65C5B4" w:themeColor="accent1"/>
          <w:insideV w:val="single" w:sz="2" w:space="0" w:color="65C5B4" w:themeColor="accent1"/>
        </w:tblBorders>
        <w:tblLook w:val="04A0" w:firstRow="1" w:lastRow="0" w:firstColumn="1" w:lastColumn="0" w:noHBand="0" w:noVBand="1"/>
        <w:tblCaption w:val="2019-20 Budget Estimate"/>
        <w:tblDescription w:val="Bilateral – 17.6&#10;Regional – 5.6&#10;Global – 1.4&#10;Other Government Departments – 2.0&#10;Total Australian ODA – 26.6&#10;Note. Actual expenditure is expected to be available in December 2020&#10;"/>
      </w:tblPr>
      <w:tblGrid>
        <w:gridCol w:w="3715"/>
        <w:gridCol w:w="1551"/>
      </w:tblGrid>
      <w:tr w:rsidR="00900652" w14:paraId="1A0D515B" w14:textId="77777777" w:rsidTr="00F857E7">
        <w:trPr>
          <w:trHeight w:hRule="exact" w:val="851"/>
        </w:trPr>
        <w:tc>
          <w:tcPr>
            <w:tcW w:w="3715" w:type="dxa"/>
            <w:shd w:val="clear" w:color="auto" w:fill="C1E7E0" w:themeFill="accent1" w:themeFillTint="66"/>
            <w:vAlign w:val="center"/>
          </w:tcPr>
          <w:p w14:paraId="05033799" w14:textId="77777777" w:rsidR="00900652" w:rsidRPr="00467DCE" w:rsidRDefault="00900652" w:rsidP="00F857E7">
            <w:pPr>
              <w:pStyle w:val="NormalWeb"/>
              <w:spacing w:before="120" w:beforeAutospacing="0" w:after="60" w:afterAutospacing="0" w:line="200" w:lineRule="exact"/>
              <w:jc w:val="center"/>
              <w:rPr>
                <w:rFonts w:asciiTheme="minorHAnsi" w:hAnsiTheme="minorHAnsi" w:cstheme="minorHAnsi"/>
                <w:b/>
                <w:bCs/>
                <w:kern w:val="24"/>
                <w:sz w:val="22"/>
                <w:szCs w:val="20"/>
              </w:rPr>
            </w:pPr>
            <w:r w:rsidRPr="00467DCE">
              <w:rPr>
                <w:rFonts w:asciiTheme="minorHAnsi" w:hAnsiTheme="minorHAnsi" w:cstheme="minorHAnsi"/>
                <w:b/>
                <w:sz w:val="22"/>
              </w:rPr>
              <w:t>Program Budget</w:t>
            </w:r>
          </w:p>
        </w:tc>
        <w:tc>
          <w:tcPr>
            <w:tcW w:w="1551" w:type="dxa"/>
            <w:shd w:val="clear" w:color="auto" w:fill="C1E7E0" w:themeFill="accent1" w:themeFillTint="66"/>
            <w:vAlign w:val="center"/>
          </w:tcPr>
          <w:p w14:paraId="6778A2E0" w14:textId="77777777" w:rsidR="00900652" w:rsidRPr="00C36AC7" w:rsidRDefault="00900652" w:rsidP="00F857E7">
            <w:pPr>
              <w:pStyle w:val="NormalWeb"/>
              <w:spacing w:before="120" w:beforeAutospacing="0" w:after="60" w:afterAutospacing="0" w:line="200" w:lineRule="exact"/>
              <w:jc w:val="center"/>
              <w:rPr>
                <w:rFonts w:asciiTheme="minorHAnsi" w:hAnsiTheme="minorHAnsi" w:cs="Calibri"/>
                <w:b/>
                <w:bCs/>
                <w:kern w:val="24"/>
                <w:sz w:val="20"/>
                <w:szCs w:val="20"/>
              </w:rPr>
            </w:pPr>
            <w:r w:rsidRPr="00C36AC7">
              <w:rPr>
                <w:rFonts w:asciiTheme="minorHAnsi" w:hAnsiTheme="minorHAnsi" w:cs="Calibri"/>
                <w:b/>
                <w:bCs/>
                <w:kern w:val="24"/>
                <w:sz w:val="20"/>
                <w:szCs w:val="20"/>
              </w:rPr>
              <w:t>2019-20 Budget Estimate ($m)</w:t>
            </w:r>
            <w:r w:rsidRPr="001E50EA">
              <w:rPr>
                <w:rFonts w:asciiTheme="minorHAnsi" w:hAnsiTheme="minorHAnsi" w:cs="Calibri"/>
                <w:b/>
                <w:bCs/>
                <w:kern w:val="24"/>
                <w:sz w:val="20"/>
                <w:szCs w:val="20"/>
                <w:vertAlign w:val="superscript"/>
              </w:rPr>
              <w:t>*</w:t>
            </w:r>
          </w:p>
        </w:tc>
      </w:tr>
      <w:tr w:rsidR="00900652" w14:paraId="6D224E85" w14:textId="77777777" w:rsidTr="00F857E7">
        <w:trPr>
          <w:trHeight w:hRule="exact" w:val="454"/>
        </w:trPr>
        <w:tc>
          <w:tcPr>
            <w:tcW w:w="3715" w:type="dxa"/>
            <w:shd w:val="clear" w:color="auto" w:fill="auto"/>
            <w:vAlign w:val="bottom"/>
          </w:tcPr>
          <w:p w14:paraId="0BF6CBB4" w14:textId="77777777" w:rsidR="00900652" w:rsidRDefault="00900652"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Bilateral</w:t>
            </w:r>
          </w:p>
        </w:tc>
        <w:tc>
          <w:tcPr>
            <w:tcW w:w="1551" w:type="dxa"/>
            <w:vAlign w:val="bottom"/>
          </w:tcPr>
          <w:p w14:paraId="15F18259" w14:textId="77777777" w:rsidR="00900652" w:rsidRDefault="00900652"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17.6</w:t>
            </w:r>
          </w:p>
        </w:tc>
      </w:tr>
      <w:tr w:rsidR="00900652" w14:paraId="2C12F383" w14:textId="77777777" w:rsidTr="00F857E7">
        <w:trPr>
          <w:trHeight w:hRule="exact" w:val="454"/>
        </w:trPr>
        <w:tc>
          <w:tcPr>
            <w:tcW w:w="3715" w:type="dxa"/>
            <w:shd w:val="clear" w:color="auto" w:fill="auto"/>
            <w:vAlign w:val="bottom"/>
          </w:tcPr>
          <w:p w14:paraId="582B3B60" w14:textId="77777777" w:rsidR="00900652" w:rsidRDefault="00900652"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Regional</w:t>
            </w:r>
          </w:p>
        </w:tc>
        <w:tc>
          <w:tcPr>
            <w:tcW w:w="1551" w:type="dxa"/>
            <w:vAlign w:val="bottom"/>
          </w:tcPr>
          <w:p w14:paraId="0D91C3D8" w14:textId="77777777" w:rsidR="00900652" w:rsidRDefault="00900652"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5.6</w:t>
            </w:r>
          </w:p>
        </w:tc>
      </w:tr>
      <w:tr w:rsidR="00900652" w14:paraId="21070512" w14:textId="77777777" w:rsidTr="00F857E7">
        <w:trPr>
          <w:trHeight w:hRule="exact" w:val="454"/>
        </w:trPr>
        <w:tc>
          <w:tcPr>
            <w:tcW w:w="3715" w:type="dxa"/>
            <w:shd w:val="clear" w:color="auto" w:fill="auto"/>
            <w:vAlign w:val="bottom"/>
          </w:tcPr>
          <w:p w14:paraId="6E14AB59" w14:textId="77777777" w:rsidR="00900652" w:rsidRDefault="00900652"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Global</w:t>
            </w:r>
          </w:p>
        </w:tc>
        <w:tc>
          <w:tcPr>
            <w:tcW w:w="1551" w:type="dxa"/>
            <w:vAlign w:val="bottom"/>
          </w:tcPr>
          <w:p w14:paraId="29FE6F78" w14:textId="77777777" w:rsidR="00900652" w:rsidRDefault="00900652"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1.4</w:t>
            </w:r>
          </w:p>
        </w:tc>
      </w:tr>
      <w:tr w:rsidR="00900652" w14:paraId="05B0DE11" w14:textId="77777777" w:rsidTr="00F857E7">
        <w:trPr>
          <w:trHeight w:hRule="exact" w:val="454"/>
        </w:trPr>
        <w:tc>
          <w:tcPr>
            <w:tcW w:w="3715" w:type="dxa"/>
            <w:shd w:val="clear" w:color="auto" w:fill="auto"/>
            <w:vAlign w:val="bottom"/>
          </w:tcPr>
          <w:p w14:paraId="255A390A" w14:textId="77777777" w:rsidR="00900652" w:rsidRDefault="00900652"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Other Government Departments</w:t>
            </w:r>
          </w:p>
        </w:tc>
        <w:tc>
          <w:tcPr>
            <w:tcW w:w="1551" w:type="dxa"/>
            <w:vAlign w:val="bottom"/>
          </w:tcPr>
          <w:p w14:paraId="114B02A3" w14:textId="77777777" w:rsidR="00900652" w:rsidRDefault="00900652"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2.0</w:t>
            </w:r>
          </w:p>
        </w:tc>
      </w:tr>
      <w:tr w:rsidR="00900652" w14:paraId="3DC8E255" w14:textId="77777777" w:rsidTr="00F857E7">
        <w:trPr>
          <w:trHeight w:hRule="exact" w:val="454"/>
        </w:trPr>
        <w:tc>
          <w:tcPr>
            <w:tcW w:w="3715" w:type="dxa"/>
            <w:tcBorders>
              <w:bottom w:val="single" w:sz="2" w:space="0" w:color="65C5B4" w:themeColor="accent1"/>
            </w:tcBorders>
            <w:shd w:val="clear" w:color="auto" w:fill="auto"/>
            <w:vAlign w:val="bottom"/>
          </w:tcPr>
          <w:p w14:paraId="6D43E427" w14:textId="77777777" w:rsidR="00900652" w:rsidRDefault="00900652" w:rsidP="00F857E7">
            <w:pPr>
              <w:pStyle w:val="NormalWeb"/>
              <w:spacing w:before="20" w:beforeAutospacing="0" w:after="20" w:afterAutospacing="0"/>
              <w:rPr>
                <w:rFonts w:ascii="Arial" w:hAnsi="Arial" w:cs="Arial"/>
                <w:sz w:val="36"/>
                <w:szCs w:val="36"/>
              </w:rPr>
            </w:pPr>
            <w:r>
              <w:rPr>
                <w:rFonts w:ascii="Calibri" w:hAnsi="Calibri" w:cs="Calibri"/>
                <w:b/>
                <w:bCs/>
                <w:color w:val="000000" w:themeColor="dark1"/>
                <w:kern w:val="24"/>
                <w:sz w:val="20"/>
                <w:szCs w:val="20"/>
              </w:rPr>
              <w:t>Total Australian ODA to Tonga</w:t>
            </w:r>
          </w:p>
        </w:tc>
        <w:tc>
          <w:tcPr>
            <w:tcW w:w="1551" w:type="dxa"/>
            <w:tcBorders>
              <w:bottom w:val="single" w:sz="2" w:space="0" w:color="65C5B4" w:themeColor="accent1"/>
            </w:tcBorders>
            <w:vAlign w:val="bottom"/>
          </w:tcPr>
          <w:p w14:paraId="60948BED" w14:textId="77777777" w:rsidR="00900652" w:rsidRPr="00C36AC7" w:rsidRDefault="00900652" w:rsidP="00F857E7">
            <w:pPr>
              <w:pStyle w:val="NormalWeb"/>
              <w:spacing w:before="20" w:beforeAutospacing="0" w:after="20" w:afterAutospacing="0"/>
              <w:ind w:right="172"/>
              <w:jc w:val="right"/>
              <w:rPr>
                <w:rFonts w:ascii="Calibri" w:hAnsi="Calibri" w:cs="Calibri"/>
                <w:b/>
                <w:bCs/>
                <w:color w:val="000000" w:themeColor="dark1"/>
                <w:kern w:val="24"/>
                <w:sz w:val="20"/>
                <w:szCs w:val="20"/>
              </w:rPr>
            </w:pPr>
            <w:r w:rsidRPr="00C36AC7">
              <w:rPr>
                <w:rFonts w:ascii="Calibri" w:hAnsi="Calibri" w:cs="Calibri"/>
                <w:b/>
                <w:bCs/>
                <w:color w:val="000000" w:themeColor="dark1"/>
                <w:kern w:val="24"/>
                <w:sz w:val="20"/>
                <w:szCs w:val="20"/>
              </w:rPr>
              <w:t>26.6</w:t>
            </w:r>
          </w:p>
        </w:tc>
      </w:tr>
    </w:tbl>
    <w:p w14:paraId="4487E48D" w14:textId="0E5337F3" w:rsidR="00900652" w:rsidRPr="00962EC1" w:rsidRDefault="00900652" w:rsidP="00900652">
      <w:pPr>
        <w:spacing w:before="0" w:line="240" w:lineRule="auto"/>
        <w:rPr>
          <w:rFonts w:cstheme="minorHAnsi"/>
          <w:sz w:val="20"/>
        </w:rPr>
      </w:pPr>
      <w:r w:rsidRPr="00962EC1">
        <w:rPr>
          <w:rFonts w:cstheme="minorHAnsi"/>
          <w:bCs/>
          <w:color w:val="000000" w:themeColor="dark1"/>
          <w:kern w:val="24"/>
          <w:sz w:val="16"/>
          <w:szCs w:val="20"/>
        </w:rPr>
        <w:t>*Actual expenditure is expected to be available in December 2020</w:t>
      </w:r>
    </w:p>
    <w:p w14:paraId="11430399" w14:textId="6787F2ED" w:rsidR="00452298" w:rsidRDefault="00900652" w:rsidP="00494F98">
      <w:pPr>
        <w:spacing w:before="0" w:after="0"/>
      </w:pPr>
      <w:r>
        <w:rPr>
          <w:noProof/>
          <w:lang w:val="en-AU" w:eastAsia="en-AU"/>
        </w:rPr>
        <w:drawing>
          <wp:inline distT="0" distB="0" distL="0" distR="0" wp14:anchorId="657F54D3" wp14:editId="4254EF71">
            <wp:extent cx="3314982" cy="2012950"/>
            <wp:effectExtent l="0" t="0" r="0" b="6350"/>
            <wp:docPr id="1" name="Picture 1" descr="Infrastructure and trade – 4%&#10;Agriculture, fisheries and water – 6%&#10;Governance – 23%&#10;Education – 29%&#10;Health – 28%&#10;Building resilience – 6%&#10;General development support – 4%&#10;Due to rounding total percentage may not add up to 100 per cent&#10;&#10;" title="Estimated ODA by Sector,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7385" cy="2020481"/>
                    </a:xfrm>
                    <a:prstGeom prst="rect">
                      <a:avLst/>
                    </a:prstGeom>
                    <a:noFill/>
                  </pic:spPr>
                </pic:pic>
              </a:graphicData>
            </a:graphic>
          </wp:inline>
        </w:drawing>
      </w:r>
    </w:p>
    <w:p w14:paraId="0ECC4973" w14:textId="598E48CB" w:rsidR="00900652" w:rsidRDefault="00900652" w:rsidP="00494F98">
      <w:pPr>
        <w:spacing w:before="0" w:after="0"/>
      </w:pPr>
    </w:p>
    <w:p w14:paraId="428B7F1E" w14:textId="6EE6DF0D" w:rsidR="00900652" w:rsidRDefault="00900652" w:rsidP="00494F98">
      <w:pPr>
        <w:spacing w:before="0" w:after="0"/>
      </w:pPr>
    </w:p>
    <w:p w14:paraId="2A07DC61" w14:textId="77777777" w:rsidR="00900652" w:rsidRPr="00452298" w:rsidRDefault="00900652" w:rsidP="00494F98">
      <w:pPr>
        <w:spacing w:before="0" w:after="0"/>
        <w:sectPr w:rsidR="00900652" w:rsidRPr="00452298" w:rsidSect="00900652">
          <w:type w:val="continuous"/>
          <w:pgSz w:w="11906" w:h="16838" w:code="9"/>
          <w:pgMar w:top="1701" w:right="140" w:bottom="1418" w:left="709" w:header="142" w:footer="493" w:gutter="0"/>
          <w:cols w:num="2" w:space="397"/>
          <w:titlePg/>
          <w:docGrid w:linePitch="360"/>
        </w:sectPr>
      </w:pPr>
    </w:p>
    <w:p w14:paraId="52EDC3D2" w14:textId="77777777" w:rsidR="003500CF" w:rsidRDefault="006B751D" w:rsidP="00C32299">
      <w:pPr>
        <w:rPr>
          <w:b/>
        </w:rPr>
      </w:pPr>
      <w:r>
        <w:rPr>
          <w:b/>
          <w:sz w:val="24"/>
        </w:rPr>
        <w:t>C</w:t>
      </w:r>
      <w:r w:rsidR="00651213">
        <w:rPr>
          <w:b/>
          <w:sz w:val="24"/>
        </w:rPr>
        <w:t>OVID-19 Development Response</w:t>
      </w:r>
      <w:r w:rsidR="003500CF">
        <w:rPr>
          <w:b/>
        </w:rPr>
        <w:tab/>
      </w:r>
    </w:p>
    <w:p w14:paraId="067E34D2" w14:textId="639BDCCE" w:rsidR="00032CB5" w:rsidRDefault="00565D67" w:rsidP="00032CB5">
      <w:pPr>
        <w:pStyle w:val="ListParagraph"/>
        <w:numPr>
          <w:ilvl w:val="0"/>
          <w:numId w:val="50"/>
        </w:numPr>
        <w:ind w:left="284" w:hanging="284"/>
      </w:pPr>
      <w:r>
        <w:t xml:space="preserve">The Australian Government’s </w:t>
      </w:r>
      <w:r w:rsidR="001D2E81">
        <w:t>$</w:t>
      </w:r>
      <w:r>
        <w:t xml:space="preserve">10.5 million </w:t>
      </w:r>
      <w:r w:rsidRPr="00B76BA4">
        <w:rPr>
          <w:i/>
        </w:rPr>
        <w:t>COVID-19 Support Package</w:t>
      </w:r>
      <w:r>
        <w:t xml:space="preserve"> has </w:t>
      </w:r>
      <w:r w:rsidR="002C36CE">
        <w:t>contributed to</w:t>
      </w:r>
      <w:r w:rsidR="004255C6">
        <w:t xml:space="preserve"> health security and economic stability in Tonga</w:t>
      </w:r>
      <w:r w:rsidR="00225D90">
        <w:t>. Measures included</w:t>
      </w:r>
      <w:r w:rsidR="004532A2">
        <w:t xml:space="preserve"> </w:t>
      </w:r>
      <w:r w:rsidR="00225D90">
        <w:t>budget support to enhance</w:t>
      </w:r>
      <w:r>
        <w:t xml:space="preserve"> </w:t>
      </w:r>
      <w:r w:rsidR="004255C6">
        <w:t xml:space="preserve">fiscal resilience and support </w:t>
      </w:r>
      <w:r w:rsidR="00691780">
        <w:t xml:space="preserve">to </w:t>
      </w:r>
      <w:r w:rsidR="004532A2">
        <w:t>pandemic</w:t>
      </w:r>
      <w:r>
        <w:t xml:space="preserve"> preparedness and response</w:t>
      </w:r>
      <w:r w:rsidR="00225D90">
        <w:t xml:space="preserve">. </w:t>
      </w:r>
    </w:p>
    <w:p w14:paraId="32BD147D" w14:textId="6D72BE5F" w:rsidR="007B3E56" w:rsidRDefault="00B15B31" w:rsidP="00032CB5">
      <w:pPr>
        <w:pStyle w:val="ListParagraph"/>
        <w:numPr>
          <w:ilvl w:val="0"/>
          <w:numId w:val="50"/>
        </w:numPr>
        <w:ind w:left="284" w:hanging="284"/>
      </w:pPr>
      <w:r>
        <w:t>Australia</w:t>
      </w:r>
      <w:r w:rsidR="007B3E56">
        <w:t xml:space="preserve"> </w:t>
      </w:r>
      <w:r w:rsidR="002C36CE">
        <w:t xml:space="preserve">supported the delivery of </w:t>
      </w:r>
      <w:r w:rsidR="007B3E56">
        <w:t>:</w:t>
      </w:r>
    </w:p>
    <w:p w14:paraId="1AC7BBBB" w14:textId="77777777" w:rsidR="007B3E56" w:rsidRDefault="00BF7FCE" w:rsidP="002C164F">
      <w:pPr>
        <w:pStyle w:val="ListParagraph"/>
        <w:numPr>
          <w:ilvl w:val="1"/>
          <w:numId w:val="50"/>
        </w:numPr>
        <w:ind w:left="567" w:hanging="283"/>
      </w:pPr>
      <w:r>
        <w:t xml:space="preserve">3,300 </w:t>
      </w:r>
      <w:r w:rsidR="00225D90">
        <w:t>Gen</w:t>
      </w:r>
      <w:r w:rsidR="0054112F">
        <w:t>eX</w:t>
      </w:r>
      <w:r w:rsidR="00225D90">
        <w:t xml:space="preserve">pert COVID </w:t>
      </w:r>
      <w:r>
        <w:t xml:space="preserve">testing cartridges </w:t>
      </w:r>
      <w:r w:rsidR="00722ECC">
        <w:t xml:space="preserve">and </w:t>
      </w:r>
      <w:r>
        <w:t>over 3000</w:t>
      </w:r>
      <w:r w:rsidR="00722ECC">
        <w:t xml:space="preserve"> test kits</w:t>
      </w:r>
      <w:r w:rsidR="002C164F">
        <w:t>;</w:t>
      </w:r>
      <w:r w:rsidR="000C1E62">
        <w:t xml:space="preserve"> </w:t>
      </w:r>
    </w:p>
    <w:p w14:paraId="7B79B0DF" w14:textId="18111DDF" w:rsidR="00691780" w:rsidRDefault="0098765D" w:rsidP="002C164F">
      <w:pPr>
        <w:pStyle w:val="ListParagraph"/>
        <w:numPr>
          <w:ilvl w:val="1"/>
          <w:numId w:val="50"/>
        </w:numPr>
        <w:ind w:left="567" w:hanging="283"/>
      </w:pPr>
      <w:r>
        <w:t>personal protective (PPE)</w:t>
      </w:r>
      <w:r w:rsidR="006A2DD2">
        <w:t xml:space="preserve"> </w:t>
      </w:r>
      <w:r w:rsidR="00691780">
        <w:t>and clinical equipment</w:t>
      </w:r>
      <w:r w:rsidR="006A2DD2">
        <w:t xml:space="preserve"> wor</w:t>
      </w:r>
      <w:r w:rsidR="001F762F">
        <w:t>th</w:t>
      </w:r>
      <w:r w:rsidR="006A2DD2">
        <w:t xml:space="preserve"> $850,000</w:t>
      </w:r>
      <w:r w:rsidR="002C164F">
        <w:t>;</w:t>
      </w:r>
    </w:p>
    <w:p w14:paraId="06836735" w14:textId="77777777" w:rsidR="007B3E56" w:rsidRDefault="00722ECC" w:rsidP="002C164F">
      <w:pPr>
        <w:pStyle w:val="ListParagraph"/>
        <w:numPr>
          <w:ilvl w:val="1"/>
          <w:numId w:val="50"/>
        </w:numPr>
        <w:ind w:left="567" w:hanging="283"/>
      </w:pPr>
      <w:r>
        <w:t>quarantine and border management</w:t>
      </w:r>
      <w:r w:rsidR="00C87C56">
        <w:t xml:space="preserve"> </w:t>
      </w:r>
      <w:r w:rsidR="004255C6">
        <w:t>systems</w:t>
      </w:r>
      <w:r w:rsidR="002C164F">
        <w:t>;</w:t>
      </w:r>
    </w:p>
    <w:p w14:paraId="7A1B0A08" w14:textId="77777777" w:rsidR="007B3E56" w:rsidRDefault="00691780" w:rsidP="002C164F">
      <w:pPr>
        <w:pStyle w:val="ListParagraph"/>
        <w:numPr>
          <w:ilvl w:val="1"/>
          <w:numId w:val="50"/>
        </w:numPr>
        <w:ind w:left="567" w:hanging="283"/>
      </w:pPr>
      <w:r>
        <w:t>r</w:t>
      </w:r>
      <w:r w:rsidR="00722ECC">
        <w:t>efurbishment of</w:t>
      </w:r>
      <w:r>
        <w:t xml:space="preserve"> the </w:t>
      </w:r>
      <w:proofErr w:type="spellStart"/>
      <w:r w:rsidR="00C87C56">
        <w:t>Vaiola</w:t>
      </w:r>
      <w:proofErr w:type="spellEnd"/>
      <w:r w:rsidR="00722ECC">
        <w:t xml:space="preserve"> national referral hospital and </w:t>
      </w:r>
      <w:proofErr w:type="spellStart"/>
      <w:r w:rsidR="00722ECC">
        <w:t>Mu’a</w:t>
      </w:r>
      <w:proofErr w:type="spellEnd"/>
      <w:r w:rsidR="00722ECC">
        <w:t xml:space="preserve"> </w:t>
      </w:r>
      <w:r w:rsidR="00AF00AE">
        <w:t>H</w:t>
      </w:r>
      <w:r w:rsidR="00722ECC">
        <w:t xml:space="preserve">ealth </w:t>
      </w:r>
      <w:r w:rsidR="00AF00AE">
        <w:t>C</w:t>
      </w:r>
      <w:r w:rsidR="00722ECC">
        <w:t>linic</w:t>
      </w:r>
      <w:r w:rsidR="002C164F">
        <w:t>; and</w:t>
      </w:r>
      <w:r w:rsidR="00D81414">
        <w:t xml:space="preserve"> </w:t>
      </w:r>
    </w:p>
    <w:p w14:paraId="7A5CD46E" w14:textId="77777777" w:rsidR="0005626E" w:rsidRDefault="002C164F" w:rsidP="002C164F">
      <w:pPr>
        <w:pStyle w:val="ListParagraph"/>
        <w:numPr>
          <w:ilvl w:val="1"/>
          <w:numId w:val="50"/>
        </w:numPr>
        <w:ind w:left="567" w:hanging="283"/>
      </w:pPr>
      <w:r>
        <w:t>a</w:t>
      </w:r>
      <w:r w:rsidR="007B3E56">
        <w:t xml:space="preserve"> </w:t>
      </w:r>
      <w:r w:rsidR="00C87C56">
        <w:t>national p</w:t>
      </w:r>
      <w:r w:rsidR="00722ECC">
        <w:t xml:space="preserve">ublic health messaging </w:t>
      </w:r>
      <w:r w:rsidR="00C87C56">
        <w:t xml:space="preserve">campaign </w:t>
      </w:r>
      <w:r w:rsidR="00722ECC">
        <w:t>on social distancing and hygiene</w:t>
      </w:r>
      <w:r>
        <w:t>.</w:t>
      </w:r>
    </w:p>
    <w:p w14:paraId="564E8628" w14:textId="77777777" w:rsidR="003500CF" w:rsidRPr="00452298" w:rsidRDefault="00651213" w:rsidP="00B16FE3">
      <w:pPr>
        <w:rPr>
          <w:b/>
          <w:sz w:val="24"/>
        </w:rPr>
      </w:pPr>
      <w:r>
        <w:rPr>
          <w:b/>
          <w:sz w:val="24"/>
        </w:rPr>
        <w:t>Other program highlights</w:t>
      </w:r>
    </w:p>
    <w:p w14:paraId="1D7D92A9" w14:textId="77777777" w:rsidR="007B3E56" w:rsidRPr="00B15B31" w:rsidRDefault="00CB427F" w:rsidP="002C164F">
      <w:pPr>
        <w:pStyle w:val="ListParagraph"/>
        <w:numPr>
          <w:ilvl w:val="0"/>
          <w:numId w:val="50"/>
        </w:numPr>
        <w:ind w:left="284" w:hanging="284"/>
        <w:rPr>
          <w:lang w:val="en-AU"/>
        </w:rPr>
      </w:pPr>
      <w:r w:rsidRPr="00B15B31">
        <w:rPr>
          <w:lang w:val="en-AU"/>
        </w:rPr>
        <w:t>Australia</w:t>
      </w:r>
      <w:r w:rsidR="00D81414" w:rsidRPr="00B15B31">
        <w:rPr>
          <w:lang w:val="en-AU"/>
        </w:rPr>
        <w:t>’s</w:t>
      </w:r>
      <w:r w:rsidR="00C87C56" w:rsidRPr="00B15B31">
        <w:rPr>
          <w:lang w:val="en-AU"/>
        </w:rPr>
        <w:t xml:space="preserve"> assistance following </w:t>
      </w:r>
      <w:r w:rsidR="004255C6" w:rsidRPr="00B15B31">
        <w:rPr>
          <w:lang w:val="en-AU"/>
        </w:rPr>
        <w:t>T</w:t>
      </w:r>
      <w:r w:rsidR="002C164F">
        <w:rPr>
          <w:lang w:val="en-AU"/>
        </w:rPr>
        <w:t xml:space="preserve">ropical </w:t>
      </w:r>
      <w:r w:rsidR="004255C6" w:rsidRPr="00B15B31">
        <w:rPr>
          <w:lang w:val="en-AU"/>
        </w:rPr>
        <w:t>C</w:t>
      </w:r>
      <w:r w:rsidR="002C164F">
        <w:rPr>
          <w:lang w:val="en-AU"/>
        </w:rPr>
        <w:t>yclone</w:t>
      </w:r>
      <w:r w:rsidR="00C87C56" w:rsidRPr="00B15B31">
        <w:rPr>
          <w:lang w:val="en-AU"/>
        </w:rPr>
        <w:t xml:space="preserve"> Harold </w:t>
      </w:r>
      <w:r w:rsidR="007B3E56" w:rsidRPr="00B15B31">
        <w:rPr>
          <w:lang w:val="en-AU"/>
        </w:rPr>
        <w:t xml:space="preserve">helped </w:t>
      </w:r>
      <w:r w:rsidRPr="00B15B31">
        <w:rPr>
          <w:lang w:val="en-AU"/>
        </w:rPr>
        <w:t xml:space="preserve">Tonga’s </w:t>
      </w:r>
      <w:r w:rsidR="00C87C56" w:rsidRPr="00B15B31">
        <w:rPr>
          <w:lang w:val="en-AU"/>
        </w:rPr>
        <w:t xml:space="preserve">emergency </w:t>
      </w:r>
      <w:r w:rsidRPr="00B15B31">
        <w:rPr>
          <w:lang w:val="en-AU"/>
        </w:rPr>
        <w:t xml:space="preserve">response </w:t>
      </w:r>
      <w:r w:rsidR="002C164F">
        <w:rPr>
          <w:lang w:val="en-AU"/>
        </w:rPr>
        <w:t xml:space="preserve">by </w:t>
      </w:r>
      <w:r w:rsidR="00691780" w:rsidRPr="00B15B31">
        <w:rPr>
          <w:lang w:val="en-AU"/>
        </w:rPr>
        <w:t>deliver</w:t>
      </w:r>
      <w:r w:rsidR="002C164F">
        <w:rPr>
          <w:lang w:val="en-AU"/>
        </w:rPr>
        <w:t>ing</w:t>
      </w:r>
      <w:r w:rsidR="00691780" w:rsidRPr="00B15B31">
        <w:rPr>
          <w:lang w:val="en-AU"/>
        </w:rPr>
        <w:t xml:space="preserve"> non-food emergency items on </w:t>
      </w:r>
      <w:proofErr w:type="spellStart"/>
      <w:r w:rsidR="00691780" w:rsidRPr="00B15B31">
        <w:rPr>
          <w:lang w:val="en-AU"/>
        </w:rPr>
        <w:t>Tongatapu</w:t>
      </w:r>
      <w:proofErr w:type="spellEnd"/>
      <w:r w:rsidR="00691780" w:rsidRPr="00B15B31">
        <w:rPr>
          <w:lang w:val="en-AU"/>
        </w:rPr>
        <w:t xml:space="preserve"> </w:t>
      </w:r>
      <w:r w:rsidR="007309CD" w:rsidRPr="00B15B31">
        <w:rPr>
          <w:lang w:val="en-AU"/>
        </w:rPr>
        <w:t>and re</w:t>
      </w:r>
      <w:r w:rsidR="003F58F5">
        <w:rPr>
          <w:lang w:val="en-AU"/>
        </w:rPr>
        <w:t>-</w:t>
      </w:r>
      <w:r w:rsidR="007309CD" w:rsidRPr="00B15B31">
        <w:rPr>
          <w:lang w:val="en-AU"/>
        </w:rPr>
        <w:t>supply</w:t>
      </w:r>
      <w:r w:rsidR="002C164F">
        <w:rPr>
          <w:lang w:val="en-AU"/>
        </w:rPr>
        <w:t>ing</w:t>
      </w:r>
      <w:r w:rsidR="007309CD" w:rsidRPr="00B15B31">
        <w:rPr>
          <w:lang w:val="en-AU"/>
        </w:rPr>
        <w:t xml:space="preserve"> the national emergency warehouse.</w:t>
      </w:r>
      <w:r w:rsidR="00C87C56" w:rsidRPr="00B15B31">
        <w:rPr>
          <w:lang w:val="en-AU"/>
        </w:rPr>
        <w:t xml:space="preserve"> </w:t>
      </w:r>
    </w:p>
    <w:p w14:paraId="757026F9" w14:textId="77777777" w:rsidR="007B3E56" w:rsidRPr="00B15B31" w:rsidRDefault="00691780" w:rsidP="002C164F">
      <w:pPr>
        <w:pStyle w:val="ListParagraph"/>
        <w:numPr>
          <w:ilvl w:val="0"/>
          <w:numId w:val="50"/>
        </w:numPr>
        <w:ind w:left="284" w:hanging="284"/>
        <w:rPr>
          <w:lang w:val="en-AU"/>
        </w:rPr>
      </w:pPr>
      <w:r w:rsidRPr="00B15B31">
        <w:rPr>
          <w:lang w:val="en-AU"/>
        </w:rPr>
        <w:t>Design</w:t>
      </w:r>
      <w:r w:rsidR="004255C6" w:rsidRPr="00B15B31">
        <w:rPr>
          <w:lang w:val="en-AU"/>
        </w:rPr>
        <w:t xml:space="preserve"> of the </w:t>
      </w:r>
      <w:r w:rsidR="00D922AA" w:rsidRPr="00B15B31">
        <w:rPr>
          <w:lang w:val="en-AU"/>
        </w:rPr>
        <w:t>Tonga</w:t>
      </w:r>
      <w:r w:rsidR="007309CD" w:rsidRPr="00B15B31">
        <w:rPr>
          <w:lang w:val="en-AU"/>
        </w:rPr>
        <w:t xml:space="preserve"> </w:t>
      </w:r>
      <w:r w:rsidR="00CB427F" w:rsidRPr="00B15B31">
        <w:rPr>
          <w:lang w:val="en-AU"/>
        </w:rPr>
        <w:t>Parliament House and Office of Legislative Assembly</w:t>
      </w:r>
      <w:r w:rsidR="007309CD" w:rsidRPr="00B15B31">
        <w:rPr>
          <w:lang w:val="en-AU"/>
        </w:rPr>
        <w:t xml:space="preserve"> </w:t>
      </w:r>
      <w:r w:rsidR="006A2DD2">
        <w:rPr>
          <w:lang w:val="en-AU"/>
        </w:rPr>
        <w:t>Complex</w:t>
      </w:r>
      <w:r w:rsidR="00D922AA" w:rsidRPr="00B15B31">
        <w:rPr>
          <w:lang w:val="en-AU"/>
        </w:rPr>
        <w:t xml:space="preserve"> </w:t>
      </w:r>
      <w:r w:rsidRPr="00B15B31">
        <w:rPr>
          <w:lang w:val="en-AU"/>
        </w:rPr>
        <w:t>commenced</w:t>
      </w:r>
      <w:r w:rsidR="00C87C56" w:rsidRPr="00B15B31">
        <w:rPr>
          <w:lang w:val="en-AU"/>
        </w:rPr>
        <w:t xml:space="preserve">. </w:t>
      </w:r>
    </w:p>
    <w:p w14:paraId="6A940688" w14:textId="77777777" w:rsidR="007B3E56" w:rsidRPr="00B15B31" w:rsidRDefault="002C164F" w:rsidP="002C164F">
      <w:pPr>
        <w:pStyle w:val="ListParagraph"/>
        <w:numPr>
          <w:ilvl w:val="0"/>
          <w:numId w:val="50"/>
        </w:numPr>
        <w:ind w:left="284" w:hanging="284"/>
        <w:rPr>
          <w:lang w:val="en-AU"/>
        </w:rPr>
      </w:pPr>
      <w:r>
        <w:rPr>
          <w:lang w:val="en-AU"/>
        </w:rPr>
        <w:t>Australia’s support under a</w:t>
      </w:r>
      <w:r w:rsidR="004255C6" w:rsidRPr="00B15B31">
        <w:rPr>
          <w:lang w:val="en-AU"/>
        </w:rPr>
        <w:t xml:space="preserve"> </w:t>
      </w:r>
      <w:r>
        <w:rPr>
          <w:lang w:val="en-AU"/>
        </w:rPr>
        <w:t>m</w:t>
      </w:r>
      <w:r w:rsidR="004255C6" w:rsidRPr="00B15B31">
        <w:rPr>
          <w:lang w:val="en-AU"/>
        </w:rPr>
        <w:t>ulti-donor governance program enabled</w:t>
      </w:r>
      <w:r w:rsidR="004532A2" w:rsidRPr="00B15B31">
        <w:rPr>
          <w:lang w:val="en-AU"/>
        </w:rPr>
        <w:t xml:space="preserve"> </w:t>
      </w:r>
      <w:r w:rsidR="006A2DD2">
        <w:rPr>
          <w:lang w:val="en-AU"/>
        </w:rPr>
        <w:t>key</w:t>
      </w:r>
      <w:r w:rsidR="00C87C56" w:rsidRPr="00B15B31">
        <w:rPr>
          <w:lang w:val="en-AU"/>
        </w:rPr>
        <w:t xml:space="preserve"> </w:t>
      </w:r>
      <w:r w:rsidR="004532A2" w:rsidRPr="00B15B31">
        <w:rPr>
          <w:lang w:val="en-AU"/>
        </w:rPr>
        <w:t>economic and policy reforms</w:t>
      </w:r>
      <w:r w:rsidR="00032CB5">
        <w:rPr>
          <w:lang w:val="en-AU"/>
        </w:rPr>
        <w:t>,</w:t>
      </w:r>
      <w:r w:rsidR="004532A2" w:rsidRPr="00B15B31">
        <w:rPr>
          <w:lang w:val="en-AU"/>
        </w:rPr>
        <w:t xml:space="preserve"> and </w:t>
      </w:r>
      <w:r w:rsidR="004255C6" w:rsidRPr="00B15B31">
        <w:rPr>
          <w:lang w:val="en-AU"/>
        </w:rPr>
        <w:t xml:space="preserve">helped underpin </w:t>
      </w:r>
      <w:r w:rsidR="004532A2" w:rsidRPr="00B15B31">
        <w:rPr>
          <w:lang w:val="en-AU"/>
        </w:rPr>
        <w:t>medium-term fiscal sustainability.</w:t>
      </w:r>
      <w:r w:rsidR="00C87C56" w:rsidRPr="00B15B31">
        <w:rPr>
          <w:lang w:val="en-AU"/>
        </w:rPr>
        <w:t xml:space="preserve"> </w:t>
      </w:r>
    </w:p>
    <w:p w14:paraId="4BCB74C9" w14:textId="65FE4629" w:rsidR="007B3E56" w:rsidRPr="00B15B31" w:rsidRDefault="001604E3" w:rsidP="002C164F">
      <w:pPr>
        <w:pStyle w:val="ListParagraph"/>
        <w:numPr>
          <w:ilvl w:val="0"/>
          <w:numId w:val="50"/>
        </w:numPr>
        <w:ind w:left="284" w:hanging="284"/>
        <w:rPr>
          <w:lang w:val="en-AU"/>
        </w:rPr>
      </w:pPr>
      <w:r>
        <w:rPr>
          <w:lang w:val="en-AU"/>
        </w:rPr>
        <w:t>Australia</w:t>
      </w:r>
      <w:r w:rsidR="00CC3FFC" w:rsidRPr="00B15B31">
        <w:rPr>
          <w:lang w:val="en-AU"/>
        </w:rPr>
        <w:t xml:space="preserve"> </w:t>
      </w:r>
      <w:r w:rsidR="002C36CE">
        <w:rPr>
          <w:lang w:val="en-AU"/>
        </w:rPr>
        <w:t>contributed to the reduction</w:t>
      </w:r>
      <w:r w:rsidR="00CC3FFC" w:rsidRPr="00B15B31">
        <w:rPr>
          <w:lang w:val="en-AU"/>
        </w:rPr>
        <w:t xml:space="preserve"> </w:t>
      </w:r>
      <w:r w:rsidR="002C36CE">
        <w:rPr>
          <w:lang w:val="en-AU"/>
        </w:rPr>
        <w:t xml:space="preserve">of </w:t>
      </w:r>
      <w:r w:rsidR="006A2DD2">
        <w:rPr>
          <w:lang w:val="en-AU"/>
        </w:rPr>
        <w:t>impacts of n</w:t>
      </w:r>
      <w:r w:rsidR="00CC3FFC" w:rsidRPr="00B15B31">
        <w:rPr>
          <w:lang w:val="en-AU"/>
        </w:rPr>
        <w:t>on-</w:t>
      </w:r>
      <w:r w:rsidR="006A2DD2">
        <w:rPr>
          <w:lang w:val="en-AU"/>
        </w:rPr>
        <w:t>communicable d</w:t>
      </w:r>
      <w:r w:rsidR="00CC3FFC" w:rsidRPr="00B15B31">
        <w:rPr>
          <w:lang w:val="en-AU"/>
        </w:rPr>
        <w:t>iseases</w:t>
      </w:r>
      <w:r w:rsidR="001D2E81">
        <w:rPr>
          <w:lang w:val="en-AU"/>
        </w:rPr>
        <w:t xml:space="preserve"> (NCDs)</w:t>
      </w:r>
      <w:r w:rsidR="00C87C56" w:rsidRPr="00B15B31">
        <w:rPr>
          <w:lang w:val="en-AU"/>
        </w:rPr>
        <w:t xml:space="preserve"> through c</w:t>
      </w:r>
      <w:r w:rsidR="00CC3FFC" w:rsidRPr="00B15B31">
        <w:rPr>
          <w:lang w:val="en-AU"/>
        </w:rPr>
        <w:t xml:space="preserve">ommunity education campaigns on healthy eating, tobacco use and </w:t>
      </w:r>
      <w:r w:rsidR="00C87C56" w:rsidRPr="00B15B31">
        <w:rPr>
          <w:lang w:val="en-AU"/>
        </w:rPr>
        <w:t>diabetes</w:t>
      </w:r>
      <w:r w:rsidR="00CC3FFC" w:rsidRPr="00B15B31">
        <w:rPr>
          <w:lang w:val="en-AU"/>
        </w:rPr>
        <w:t xml:space="preserve">.  </w:t>
      </w:r>
    </w:p>
    <w:p w14:paraId="574C13A4" w14:textId="6B986250" w:rsidR="007B3E56" w:rsidRPr="00B15B31" w:rsidRDefault="00B15B31" w:rsidP="002C164F">
      <w:pPr>
        <w:pStyle w:val="ListParagraph"/>
        <w:numPr>
          <w:ilvl w:val="0"/>
          <w:numId w:val="50"/>
        </w:numPr>
        <w:ind w:left="284" w:hanging="284"/>
        <w:rPr>
          <w:lang w:val="en-AU"/>
        </w:rPr>
      </w:pPr>
      <w:r>
        <w:rPr>
          <w:lang w:val="en-AU"/>
        </w:rPr>
        <w:t>Australia</w:t>
      </w:r>
      <w:r w:rsidR="00D81414" w:rsidRPr="00B15B31">
        <w:rPr>
          <w:lang w:val="en-AU"/>
        </w:rPr>
        <w:t xml:space="preserve"> </w:t>
      </w:r>
      <w:r w:rsidR="002A119B">
        <w:rPr>
          <w:lang w:val="en-AU"/>
        </w:rPr>
        <w:t xml:space="preserve">supported Tonga’s recovery from Tropical Cyclone Gita by </w:t>
      </w:r>
      <w:r w:rsidR="00CF2FDD">
        <w:rPr>
          <w:lang w:val="en-AU"/>
        </w:rPr>
        <w:t xml:space="preserve">partnering with </w:t>
      </w:r>
      <w:r w:rsidR="001604E3">
        <w:rPr>
          <w:lang w:val="en-AU"/>
        </w:rPr>
        <w:t>non-government organisations (</w:t>
      </w:r>
      <w:r w:rsidR="00CF2FDD" w:rsidRPr="00B15B31">
        <w:rPr>
          <w:lang w:val="en-AU"/>
        </w:rPr>
        <w:t>NGOs</w:t>
      </w:r>
      <w:r w:rsidR="001604E3">
        <w:rPr>
          <w:lang w:val="en-AU"/>
        </w:rPr>
        <w:t xml:space="preserve">) </w:t>
      </w:r>
      <w:r w:rsidR="00CF2FDD">
        <w:rPr>
          <w:lang w:val="en-AU"/>
        </w:rPr>
        <w:t xml:space="preserve">to </w:t>
      </w:r>
      <w:r w:rsidR="002A119B">
        <w:rPr>
          <w:lang w:val="en-AU"/>
        </w:rPr>
        <w:t>deliver 140</w:t>
      </w:r>
      <w:r w:rsidR="002A119B" w:rsidRPr="00B15B31">
        <w:rPr>
          <w:lang w:val="en-AU"/>
        </w:rPr>
        <w:t xml:space="preserve"> </w:t>
      </w:r>
      <w:r w:rsidR="008A15D8" w:rsidRPr="00B15B31">
        <w:rPr>
          <w:lang w:val="en-AU"/>
        </w:rPr>
        <w:t>water tank</w:t>
      </w:r>
      <w:r w:rsidR="002A119B">
        <w:rPr>
          <w:lang w:val="en-AU"/>
        </w:rPr>
        <w:t>s</w:t>
      </w:r>
      <w:r w:rsidR="00CF2FDD">
        <w:rPr>
          <w:lang w:val="en-AU"/>
        </w:rPr>
        <w:t xml:space="preserve"> in 78 communities; </w:t>
      </w:r>
      <w:r w:rsidR="00DE029D">
        <w:rPr>
          <w:lang w:val="en-AU"/>
        </w:rPr>
        <w:t xml:space="preserve">new </w:t>
      </w:r>
      <w:r w:rsidR="001604E3">
        <w:rPr>
          <w:lang w:val="en-AU"/>
        </w:rPr>
        <w:t xml:space="preserve">water, sanitation and hygiene </w:t>
      </w:r>
      <w:r w:rsidR="00DE029D">
        <w:rPr>
          <w:lang w:val="en-AU"/>
        </w:rPr>
        <w:t xml:space="preserve">facilities in 18 schools; and </w:t>
      </w:r>
      <w:r w:rsidR="002A119B">
        <w:rPr>
          <w:lang w:val="en-AU"/>
        </w:rPr>
        <w:t xml:space="preserve">new classrooms in 25 schools. </w:t>
      </w:r>
    </w:p>
    <w:p w14:paraId="1C9A6581" w14:textId="77777777" w:rsidR="007B3E56" w:rsidRPr="00B15B31" w:rsidRDefault="00D72962" w:rsidP="002C164F">
      <w:pPr>
        <w:pStyle w:val="ListParagraph"/>
        <w:numPr>
          <w:ilvl w:val="0"/>
          <w:numId w:val="50"/>
        </w:numPr>
        <w:ind w:left="284" w:hanging="284"/>
        <w:rPr>
          <w:lang w:val="en-AU" w:eastAsia="en-AU"/>
        </w:rPr>
      </w:pPr>
      <w:r w:rsidRPr="00B15B31">
        <w:rPr>
          <w:lang w:val="en-AU" w:eastAsia="en-AU"/>
        </w:rPr>
        <w:t xml:space="preserve">A total of 30 </w:t>
      </w:r>
      <w:r w:rsidR="001604E3">
        <w:rPr>
          <w:lang w:val="en-AU" w:eastAsia="en-AU"/>
        </w:rPr>
        <w:t>technical training</w:t>
      </w:r>
      <w:r w:rsidRPr="00B15B31">
        <w:rPr>
          <w:lang w:val="en-AU" w:eastAsia="en-AU"/>
        </w:rPr>
        <w:t xml:space="preserve"> activities for 533 beneficiaries (204</w:t>
      </w:r>
      <w:r w:rsidR="000C1E62" w:rsidRPr="00B15B31">
        <w:rPr>
          <w:lang w:val="en-AU" w:eastAsia="en-AU"/>
        </w:rPr>
        <w:t xml:space="preserve"> men and </w:t>
      </w:r>
      <w:r w:rsidRPr="00B15B31">
        <w:rPr>
          <w:lang w:val="en-AU" w:eastAsia="en-AU"/>
        </w:rPr>
        <w:t>329</w:t>
      </w:r>
      <w:r w:rsidR="000C1E62" w:rsidRPr="00B15B31">
        <w:rPr>
          <w:lang w:val="en-AU" w:eastAsia="en-AU"/>
        </w:rPr>
        <w:t xml:space="preserve"> women</w:t>
      </w:r>
      <w:r w:rsidRPr="00B15B31">
        <w:rPr>
          <w:lang w:val="en-AU" w:eastAsia="en-AU"/>
        </w:rPr>
        <w:t xml:space="preserve">) </w:t>
      </w:r>
      <w:r w:rsidR="00D81414" w:rsidRPr="00B15B31">
        <w:rPr>
          <w:lang w:val="en-AU" w:eastAsia="en-AU"/>
        </w:rPr>
        <w:t xml:space="preserve">were implemented </w:t>
      </w:r>
      <w:r w:rsidRPr="00B15B31">
        <w:rPr>
          <w:lang w:val="en-AU" w:eastAsia="en-AU"/>
        </w:rPr>
        <w:t>with 50</w:t>
      </w:r>
      <w:r w:rsidR="00E72C99">
        <w:rPr>
          <w:lang w:val="en-AU" w:eastAsia="en-AU"/>
        </w:rPr>
        <w:t xml:space="preserve"> per cent</w:t>
      </w:r>
      <w:r w:rsidR="00D232F0" w:rsidRPr="00B15B31">
        <w:rPr>
          <w:lang w:val="en-AU" w:eastAsia="en-AU"/>
        </w:rPr>
        <w:t xml:space="preserve"> </w:t>
      </w:r>
      <w:r w:rsidRPr="00B15B31">
        <w:rPr>
          <w:lang w:val="en-AU" w:eastAsia="en-AU"/>
        </w:rPr>
        <w:t xml:space="preserve">delivered in </w:t>
      </w:r>
      <w:r w:rsidR="000C1E62" w:rsidRPr="00B15B31">
        <w:rPr>
          <w:lang w:val="en-AU" w:eastAsia="en-AU"/>
        </w:rPr>
        <w:t>outer islands</w:t>
      </w:r>
      <w:r w:rsidR="00D232F0" w:rsidRPr="00B15B31">
        <w:rPr>
          <w:lang w:val="en-AU" w:eastAsia="en-AU"/>
        </w:rPr>
        <w:t xml:space="preserve">. </w:t>
      </w:r>
    </w:p>
    <w:p w14:paraId="6A34C10E" w14:textId="401DE110" w:rsidR="00691780" w:rsidRPr="00B15B31" w:rsidRDefault="007B3E56" w:rsidP="002C164F">
      <w:pPr>
        <w:pStyle w:val="ListParagraph"/>
        <w:numPr>
          <w:ilvl w:val="0"/>
          <w:numId w:val="50"/>
        </w:numPr>
        <w:ind w:left="284" w:hanging="284"/>
        <w:rPr>
          <w:lang w:val="en-AU" w:eastAsia="en-AU"/>
        </w:rPr>
      </w:pPr>
      <w:r w:rsidRPr="00B15B31">
        <w:rPr>
          <w:lang w:val="en-AU" w:eastAsia="en-AU"/>
        </w:rPr>
        <w:t>Through local NGO</w:t>
      </w:r>
      <w:r w:rsidR="00610F75">
        <w:rPr>
          <w:lang w:val="en-AU" w:eastAsia="en-AU"/>
        </w:rPr>
        <w:t xml:space="preserve"> partner</w:t>
      </w:r>
      <w:r w:rsidRPr="00B15B31">
        <w:rPr>
          <w:lang w:val="en-AU" w:eastAsia="en-AU"/>
        </w:rPr>
        <w:t xml:space="preserve">s, </w:t>
      </w:r>
      <w:r w:rsidR="002C164F">
        <w:rPr>
          <w:lang w:val="en-AU" w:eastAsia="en-AU"/>
        </w:rPr>
        <w:t>Australia</w:t>
      </w:r>
      <w:r w:rsidR="002C164F" w:rsidRPr="00B15B31">
        <w:rPr>
          <w:lang w:val="en-AU" w:eastAsia="en-AU"/>
        </w:rPr>
        <w:t xml:space="preserve"> </w:t>
      </w:r>
      <w:r w:rsidR="00610F75">
        <w:rPr>
          <w:lang w:val="en-AU" w:eastAsia="en-AU"/>
        </w:rPr>
        <w:t>provided support to</w:t>
      </w:r>
      <w:r w:rsidR="00E50BEA" w:rsidRPr="00B15B31">
        <w:rPr>
          <w:lang w:val="en-AU" w:eastAsia="en-AU"/>
        </w:rPr>
        <w:t xml:space="preserve"> 33</w:t>
      </w:r>
      <w:r w:rsidR="00005019" w:rsidRPr="00B15B31">
        <w:rPr>
          <w:lang w:val="en-AU" w:eastAsia="en-AU"/>
        </w:rPr>
        <w:t xml:space="preserve"> </w:t>
      </w:r>
      <w:r w:rsidR="006A2DD2">
        <w:rPr>
          <w:lang w:val="en-AU" w:eastAsia="en-AU"/>
        </w:rPr>
        <w:t>female entrepreneurs</w:t>
      </w:r>
      <w:r w:rsidR="00610F75">
        <w:rPr>
          <w:lang w:val="en-AU" w:eastAsia="en-AU"/>
        </w:rPr>
        <w:t xml:space="preserve"> </w:t>
      </w:r>
      <w:r w:rsidRPr="00B15B31">
        <w:rPr>
          <w:lang w:val="en-AU" w:eastAsia="en-AU"/>
        </w:rPr>
        <w:t>and</w:t>
      </w:r>
      <w:r w:rsidR="00005019" w:rsidRPr="00B15B31">
        <w:rPr>
          <w:lang w:val="en-AU" w:eastAsia="en-AU"/>
        </w:rPr>
        <w:t xml:space="preserve"> helped clients apply for 179 protection orders, </w:t>
      </w:r>
      <w:r w:rsidR="00691780" w:rsidRPr="00B15B31">
        <w:rPr>
          <w:lang w:val="en-AU" w:eastAsia="en-AU"/>
        </w:rPr>
        <w:t xml:space="preserve">with </w:t>
      </w:r>
      <w:r w:rsidR="00005019" w:rsidRPr="00B15B31">
        <w:rPr>
          <w:lang w:val="en-AU" w:eastAsia="en-AU"/>
        </w:rPr>
        <w:t>140 granted.</w:t>
      </w:r>
      <w:r w:rsidR="00EC4981">
        <w:rPr>
          <w:lang w:val="en-AU" w:eastAsia="en-AU"/>
        </w:rPr>
        <w:t xml:space="preserve"> </w:t>
      </w:r>
      <w:r w:rsidR="0098765D">
        <w:rPr>
          <w:lang w:val="en-AU" w:eastAsia="en-AU"/>
        </w:rPr>
        <w:t>H</w:t>
      </w:r>
      <w:r w:rsidR="00EC4981">
        <w:rPr>
          <w:lang w:val="en-AU" w:eastAsia="en-AU"/>
        </w:rPr>
        <w:t xml:space="preserve">ome </w:t>
      </w:r>
      <w:r w:rsidR="0098765D">
        <w:rPr>
          <w:lang w:val="en-AU" w:eastAsia="en-AU"/>
        </w:rPr>
        <w:t xml:space="preserve">welfare </w:t>
      </w:r>
      <w:r w:rsidR="00EC4981">
        <w:rPr>
          <w:lang w:val="en-AU" w:eastAsia="en-AU"/>
        </w:rPr>
        <w:t xml:space="preserve">visits </w:t>
      </w:r>
      <w:r w:rsidR="00005019" w:rsidRPr="00B15B31">
        <w:rPr>
          <w:lang w:val="en-AU" w:eastAsia="en-AU"/>
        </w:rPr>
        <w:t xml:space="preserve">reached 196 women and children in rural areas, including </w:t>
      </w:r>
      <w:r w:rsidR="00691780" w:rsidRPr="00B15B31">
        <w:rPr>
          <w:lang w:val="en-AU" w:eastAsia="en-AU"/>
        </w:rPr>
        <w:t>women</w:t>
      </w:r>
      <w:r w:rsidR="00005019" w:rsidRPr="00B15B31">
        <w:rPr>
          <w:lang w:val="en-AU" w:eastAsia="en-AU"/>
        </w:rPr>
        <w:t xml:space="preserve"> with disabilities. </w:t>
      </w:r>
    </w:p>
    <w:p w14:paraId="04DF22F6" w14:textId="6CD153EC" w:rsidR="007B3E56" w:rsidRPr="00B15B31" w:rsidRDefault="002C164F" w:rsidP="002C164F">
      <w:pPr>
        <w:pStyle w:val="ListParagraph"/>
        <w:numPr>
          <w:ilvl w:val="0"/>
          <w:numId w:val="50"/>
        </w:numPr>
        <w:ind w:left="284" w:hanging="284"/>
        <w:rPr>
          <w:lang w:val="en-AU"/>
        </w:rPr>
      </w:pPr>
      <w:r>
        <w:rPr>
          <w:lang w:val="en-AU"/>
        </w:rPr>
        <w:t>Australia</w:t>
      </w:r>
      <w:r w:rsidRPr="00B15B31">
        <w:rPr>
          <w:lang w:val="en-AU"/>
        </w:rPr>
        <w:t xml:space="preserve"> </w:t>
      </w:r>
      <w:r w:rsidR="007309CD" w:rsidRPr="00B15B31">
        <w:rPr>
          <w:lang w:val="en-AU"/>
        </w:rPr>
        <w:t xml:space="preserve">offered </w:t>
      </w:r>
      <w:r w:rsidR="002C2AFB" w:rsidRPr="005D471F">
        <w:rPr>
          <w:lang w:val="en-AU"/>
        </w:rPr>
        <w:t>37</w:t>
      </w:r>
      <w:r w:rsidR="002C2AFB" w:rsidRPr="00B15B31">
        <w:rPr>
          <w:b/>
          <w:lang w:val="en-AU"/>
        </w:rPr>
        <w:t xml:space="preserve"> </w:t>
      </w:r>
      <w:r w:rsidR="007309CD" w:rsidRPr="00B15B31">
        <w:rPr>
          <w:lang w:val="en-AU"/>
        </w:rPr>
        <w:t>Australia Awards scholarships for study in 2019</w:t>
      </w:r>
      <w:r w:rsidR="00610F75">
        <w:rPr>
          <w:lang w:val="en-AU"/>
        </w:rPr>
        <w:t>-20</w:t>
      </w:r>
      <w:r w:rsidR="007309CD" w:rsidRPr="00B15B31">
        <w:rPr>
          <w:lang w:val="en-AU"/>
        </w:rPr>
        <w:t>: (</w:t>
      </w:r>
      <w:r w:rsidR="002C2AFB" w:rsidRPr="005D471F">
        <w:rPr>
          <w:lang w:val="en-AU"/>
        </w:rPr>
        <w:t>15</w:t>
      </w:r>
      <w:r w:rsidR="007309CD" w:rsidRPr="00B15B31">
        <w:rPr>
          <w:lang w:val="en-AU"/>
        </w:rPr>
        <w:t xml:space="preserve"> in Australia; </w:t>
      </w:r>
      <w:r w:rsidR="002C2AFB" w:rsidRPr="005D471F">
        <w:rPr>
          <w:lang w:val="en-AU"/>
        </w:rPr>
        <w:t>22</w:t>
      </w:r>
      <w:r w:rsidR="007309CD" w:rsidRPr="00B15B31">
        <w:rPr>
          <w:lang w:val="en-AU"/>
        </w:rPr>
        <w:t xml:space="preserve"> in the Pacific) and </w:t>
      </w:r>
      <w:r w:rsidR="005D242F">
        <w:rPr>
          <w:lang w:val="en-AU"/>
        </w:rPr>
        <w:t xml:space="preserve">Tonga </w:t>
      </w:r>
      <w:r w:rsidR="00D70747" w:rsidRPr="006A2DD2">
        <w:rPr>
          <w:lang w:val="en-AU"/>
        </w:rPr>
        <w:t xml:space="preserve">hosted </w:t>
      </w:r>
      <w:r w:rsidR="00D70747" w:rsidRPr="005D471F">
        <w:rPr>
          <w:lang w:val="en-AU"/>
        </w:rPr>
        <w:t>34</w:t>
      </w:r>
      <w:r w:rsidR="00D70747">
        <w:rPr>
          <w:lang w:val="en-AU"/>
        </w:rPr>
        <w:t xml:space="preserve"> </w:t>
      </w:r>
      <w:r w:rsidR="00691780" w:rsidRPr="00B15B31">
        <w:rPr>
          <w:lang w:val="en-AU"/>
        </w:rPr>
        <w:t xml:space="preserve">Australian Volunteers. </w:t>
      </w:r>
    </w:p>
    <w:p w14:paraId="7F4CE7EB" w14:textId="77777777" w:rsidR="00691780" w:rsidRPr="00B15B31" w:rsidRDefault="002C164F" w:rsidP="002C164F">
      <w:pPr>
        <w:pStyle w:val="ListParagraph"/>
        <w:numPr>
          <w:ilvl w:val="0"/>
          <w:numId w:val="50"/>
        </w:numPr>
        <w:ind w:left="284" w:hanging="284"/>
        <w:rPr>
          <w:lang w:val="en-AU"/>
        </w:rPr>
      </w:pPr>
      <w:r>
        <w:rPr>
          <w:lang w:val="en-AU"/>
        </w:rPr>
        <w:t>Australia’s</w:t>
      </w:r>
      <w:r w:rsidRPr="00B15B31">
        <w:rPr>
          <w:lang w:val="en-AU"/>
        </w:rPr>
        <w:t xml:space="preserve"> </w:t>
      </w:r>
      <w:r w:rsidR="007B3E56" w:rsidRPr="00B15B31">
        <w:rPr>
          <w:lang w:val="en-AU"/>
        </w:rPr>
        <w:t>support to renewable energy</w:t>
      </w:r>
      <w:r w:rsidR="007309CD" w:rsidRPr="00B15B31">
        <w:rPr>
          <w:lang w:val="en-AU"/>
        </w:rPr>
        <w:t xml:space="preserve"> is reducing emissions</w:t>
      </w:r>
      <w:r w:rsidR="007B3E56" w:rsidRPr="00B15B31">
        <w:rPr>
          <w:lang w:val="en-AU"/>
        </w:rPr>
        <w:t>, dependence on fossil fuels</w:t>
      </w:r>
      <w:r w:rsidR="007309CD" w:rsidRPr="00B15B31">
        <w:rPr>
          <w:lang w:val="en-AU"/>
        </w:rPr>
        <w:t xml:space="preserve"> </w:t>
      </w:r>
      <w:r w:rsidR="007B3E56" w:rsidRPr="00B15B31">
        <w:rPr>
          <w:lang w:val="en-AU"/>
        </w:rPr>
        <w:t>and</w:t>
      </w:r>
      <w:r w:rsidR="007309CD" w:rsidRPr="00B15B31">
        <w:rPr>
          <w:lang w:val="en-AU"/>
        </w:rPr>
        <w:t xml:space="preserve"> building resilience in </w:t>
      </w:r>
      <w:r w:rsidR="00691780" w:rsidRPr="00B15B31">
        <w:rPr>
          <w:lang w:val="en-AU"/>
        </w:rPr>
        <w:t>outer island</w:t>
      </w:r>
      <w:r w:rsidR="007309CD" w:rsidRPr="00B15B31">
        <w:rPr>
          <w:lang w:val="en-AU"/>
        </w:rPr>
        <w:t xml:space="preserve"> communities. </w:t>
      </w:r>
    </w:p>
    <w:p w14:paraId="446A172F" w14:textId="66D67247" w:rsidR="00977676" w:rsidRDefault="007B3E56" w:rsidP="002C164F">
      <w:pPr>
        <w:pStyle w:val="ListParagraph"/>
        <w:numPr>
          <w:ilvl w:val="0"/>
          <w:numId w:val="50"/>
        </w:numPr>
        <w:ind w:left="284" w:hanging="284"/>
      </w:pPr>
      <w:r w:rsidRPr="00B15B31">
        <w:rPr>
          <w:lang w:val="en-AU"/>
        </w:rPr>
        <w:t xml:space="preserve">In urban </w:t>
      </w:r>
      <w:r w:rsidR="00576A8C" w:rsidRPr="00B15B31">
        <w:rPr>
          <w:lang w:val="en-AU"/>
        </w:rPr>
        <w:t>Nuku’alofa</w:t>
      </w:r>
      <w:r w:rsidRPr="00B15B31">
        <w:rPr>
          <w:lang w:val="en-AU"/>
        </w:rPr>
        <w:t xml:space="preserve">, </w:t>
      </w:r>
      <w:r w:rsidR="002A119B">
        <w:rPr>
          <w:lang w:val="en-AU"/>
        </w:rPr>
        <w:t>Australia</w:t>
      </w:r>
      <w:r w:rsidR="00576A8C" w:rsidRPr="00B15B31">
        <w:rPr>
          <w:lang w:val="en-AU"/>
        </w:rPr>
        <w:t xml:space="preserve"> </w:t>
      </w:r>
      <w:r w:rsidR="002C36CE">
        <w:rPr>
          <w:lang w:val="en-AU"/>
        </w:rPr>
        <w:t xml:space="preserve">supported </w:t>
      </w:r>
      <w:r w:rsidR="00576A8C" w:rsidRPr="00B15B31">
        <w:rPr>
          <w:lang w:val="en-AU"/>
        </w:rPr>
        <w:t xml:space="preserve"> improve</w:t>
      </w:r>
      <w:r w:rsidR="002C36CE">
        <w:rPr>
          <w:lang w:val="en-AU"/>
        </w:rPr>
        <w:t>ments to</w:t>
      </w:r>
      <w:r w:rsidR="00576A8C" w:rsidRPr="00B15B31">
        <w:rPr>
          <w:lang w:val="en-AU"/>
        </w:rPr>
        <w:t xml:space="preserve"> urban planning and municipal services, including water supply and waste collection.</w:t>
      </w:r>
    </w:p>
    <w:p w14:paraId="350846CF" w14:textId="77777777" w:rsidR="00977676" w:rsidRDefault="00977676" w:rsidP="00230777">
      <w:pPr>
        <w:sectPr w:rsidR="00977676" w:rsidSect="00C32299">
          <w:headerReference w:type="default" r:id="rId16"/>
          <w:footerReference w:type="default" r:id="rId17"/>
          <w:headerReference w:type="first" r:id="rId18"/>
          <w:footerReference w:type="first" r:id="rId19"/>
          <w:type w:val="continuous"/>
          <w:pgSz w:w="11906" w:h="16838" w:code="9"/>
          <w:pgMar w:top="1701" w:right="1134" w:bottom="1418" w:left="1134" w:header="425" w:footer="493" w:gutter="0"/>
          <w:cols w:num="2" w:space="397"/>
          <w:titlePg/>
          <w:docGrid w:linePitch="360"/>
        </w:sectPr>
      </w:pPr>
    </w:p>
    <w:p w14:paraId="199139C9" w14:textId="1241D720" w:rsidR="004C5598" w:rsidRDefault="00D00153" w:rsidP="004C5598">
      <w:pPr>
        <w:pStyle w:val="Heading2"/>
        <w:spacing w:before="360" w:line="300" w:lineRule="exact"/>
        <w:contextualSpacing w:val="0"/>
        <w:rPr>
          <w:sz w:val="24"/>
          <w:szCs w:val="24"/>
        </w:rPr>
      </w:pPr>
      <w:r>
        <w:lastRenderedPageBreak/>
        <w:t>P</w:t>
      </w:r>
      <w:r w:rsidR="004C5598">
        <w:t>rogress against 2019-20 performance indicators</w:t>
      </w:r>
      <w:r w:rsidR="00C32299">
        <w:br/>
      </w:r>
    </w:p>
    <w:tbl>
      <w:tblPr>
        <w:tblStyle w:val="TableGrid"/>
        <w:tblW w:w="10201" w:type="dxa"/>
        <w:tblLook w:val="04A0" w:firstRow="1" w:lastRow="0" w:firstColumn="1" w:lastColumn="0" w:noHBand="0" w:noVBand="1"/>
        <w:tblCaption w:val="Performance Assessment Framework"/>
        <w:tblDescription w:val="This program has five strategic objectives and five performance benchmark, indicators that are used to measure progress."/>
      </w:tblPr>
      <w:tblGrid>
        <w:gridCol w:w="2263"/>
        <w:gridCol w:w="3402"/>
        <w:gridCol w:w="4536"/>
      </w:tblGrid>
      <w:tr w:rsidR="004C5598" w:rsidRPr="00274483" w14:paraId="64BB0407" w14:textId="77777777" w:rsidTr="00232B45">
        <w:trPr>
          <w:tblHeader/>
        </w:trPr>
        <w:tc>
          <w:tcPr>
            <w:tcW w:w="2263" w:type="dxa"/>
            <w:shd w:val="clear" w:color="auto" w:fill="C1E7E0" w:themeFill="accent1" w:themeFillTint="66"/>
          </w:tcPr>
          <w:p w14:paraId="73628B8A" w14:textId="77777777" w:rsidR="004C5598" w:rsidRPr="00274483" w:rsidRDefault="004C5598" w:rsidP="00D922AA">
            <w:pPr>
              <w:pStyle w:val="BodyText"/>
              <w:spacing w:before="40" w:after="40" w:line="240" w:lineRule="auto"/>
              <w:rPr>
                <w:rFonts w:asciiTheme="majorHAnsi" w:eastAsiaTheme="majorEastAsia" w:hAnsiTheme="majorHAnsi" w:cstheme="majorHAnsi"/>
                <w:b/>
                <w:caps/>
                <w:sz w:val="20"/>
                <w:szCs w:val="20"/>
              </w:rPr>
            </w:pPr>
            <w:r>
              <w:rPr>
                <w:rFonts w:asciiTheme="majorHAnsi" w:eastAsiaTheme="majorEastAsia" w:hAnsiTheme="majorHAnsi" w:cstheme="majorHAnsi"/>
                <w:b/>
                <w:caps/>
                <w:sz w:val="20"/>
                <w:szCs w:val="20"/>
              </w:rPr>
              <w:t xml:space="preserve">title of strategic </w:t>
            </w:r>
            <w:r w:rsidRPr="00274483">
              <w:rPr>
                <w:rFonts w:asciiTheme="majorHAnsi" w:eastAsiaTheme="majorEastAsia" w:hAnsiTheme="majorHAnsi" w:cstheme="majorHAnsi"/>
                <w:b/>
                <w:caps/>
                <w:sz w:val="20"/>
                <w:szCs w:val="20"/>
              </w:rPr>
              <w:t>OBJECTIVE</w:t>
            </w:r>
          </w:p>
        </w:tc>
        <w:tc>
          <w:tcPr>
            <w:tcW w:w="3402" w:type="dxa"/>
            <w:shd w:val="clear" w:color="auto" w:fill="C1E7E0" w:themeFill="accent1" w:themeFillTint="66"/>
          </w:tcPr>
          <w:p w14:paraId="26901DD4" w14:textId="77777777" w:rsidR="004C5598" w:rsidRDefault="004C5598" w:rsidP="00D922AA">
            <w:pPr>
              <w:pStyle w:val="BodyText"/>
              <w:spacing w:before="40" w:after="40" w:line="240" w:lineRule="auto"/>
              <w:rPr>
                <w:rFonts w:asciiTheme="majorHAnsi" w:eastAsiaTheme="majorEastAsia" w:hAnsiTheme="majorHAnsi" w:cstheme="majorHAnsi"/>
                <w:b/>
                <w:caps/>
                <w:sz w:val="20"/>
                <w:szCs w:val="20"/>
              </w:rPr>
            </w:pPr>
            <w:r>
              <w:rPr>
                <w:rFonts w:asciiTheme="majorHAnsi" w:eastAsiaTheme="majorEastAsia" w:hAnsiTheme="majorHAnsi" w:cstheme="majorHAnsi"/>
                <w:b/>
                <w:caps/>
                <w:sz w:val="20"/>
                <w:szCs w:val="20"/>
              </w:rPr>
              <w:t>Performance assessment framework indicator/benchmark</w:t>
            </w:r>
          </w:p>
        </w:tc>
        <w:tc>
          <w:tcPr>
            <w:tcW w:w="4536" w:type="dxa"/>
            <w:shd w:val="clear" w:color="auto" w:fill="C1E7E0" w:themeFill="accent1" w:themeFillTint="66"/>
          </w:tcPr>
          <w:p w14:paraId="01D508B0" w14:textId="77777777" w:rsidR="004C5598" w:rsidRPr="00274483" w:rsidRDefault="004C5598" w:rsidP="001A7ED5">
            <w:pPr>
              <w:pStyle w:val="BodyText"/>
              <w:spacing w:before="40" w:after="40" w:line="240" w:lineRule="auto"/>
              <w:rPr>
                <w:rFonts w:asciiTheme="majorHAnsi" w:eastAsiaTheme="majorEastAsia" w:hAnsiTheme="majorHAnsi" w:cstheme="majorHAnsi"/>
                <w:b/>
                <w:caps/>
                <w:sz w:val="20"/>
                <w:szCs w:val="20"/>
              </w:rPr>
            </w:pPr>
            <w:r>
              <w:rPr>
                <w:rFonts w:asciiTheme="majorHAnsi" w:eastAsiaTheme="majorEastAsia" w:hAnsiTheme="majorHAnsi" w:cstheme="majorHAnsi"/>
                <w:b/>
                <w:caps/>
                <w:sz w:val="20"/>
                <w:szCs w:val="20"/>
              </w:rPr>
              <w:t>Brief summary of progress against indicator/ben</w:t>
            </w:r>
            <w:r w:rsidR="001A7ED5">
              <w:rPr>
                <w:rFonts w:asciiTheme="majorHAnsi" w:eastAsiaTheme="majorEastAsia" w:hAnsiTheme="majorHAnsi" w:cstheme="majorHAnsi"/>
                <w:b/>
                <w:caps/>
                <w:sz w:val="20"/>
                <w:szCs w:val="20"/>
              </w:rPr>
              <w:t>ch</w:t>
            </w:r>
            <w:r>
              <w:rPr>
                <w:rFonts w:asciiTheme="majorHAnsi" w:eastAsiaTheme="majorEastAsia" w:hAnsiTheme="majorHAnsi" w:cstheme="majorHAnsi"/>
                <w:b/>
                <w:caps/>
                <w:sz w:val="20"/>
                <w:szCs w:val="20"/>
              </w:rPr>
              <w:t>mark</w:t>
            </w:r>
          </w:p>
        </w:tc>
      </w:tr>
      <w:tr w:rsidR="001A7ED5" w:rsidRPr="00274483" w14:paraId="6317D1F9" w14:textId="77777777" w:rsidTr="00232B45">
        <w:trPr>
          <w:tblHeader/>
        </w:trPr>
        <w:tc>
          <w:tcPr>
            <w:tcW w:w="2263" w:type="dxa"/>
          </w:tcPr>
          <w:p w14:paraId="67605103" w14:textId="145DBE87" w:rsidR="002D6109" w:rsidRPr="004A278B" w:rsidRDefault="002D6109" w:rsidP="00AE7AB3">
            <w:pPr>
              <w:pStyle w:val="BodyText"/>
              <w:spacing w:before="40" w:after="40" w:line="240" w:lineRule="auto"/>
              <w:rPr>
                <w:rFonts w:eastAsiaTheme="majorEastAsia" w:cstheme="minorHAnsi"/>
                <w:sz w:val="20"/>
                <w:szCs w:val="20"/>
              </w:rPr>
            </w:pPr>
            <w:r w:rsidRPr="004A278B">
              <w:rPr>
                <w:rFonts w:eastAsiaTheme="majorEastAsia" w:cstheme="minorHAnsi"/>
                <w:sz w:val="20"/>
                <w:szCs w:val="20"/>
              </w:rPr>
              <w:t>Objective 1</w:t>
            </w:r>
            <w:r w:rsidR="00C055B8">
              <w:rPr>
                <w:rFonts w:eastAsiaTheme="majorEastAsia" w:cstheme="minorHAnsi"/>
                <w:sz w:val="20"/>
                <w:szCs w:val="20"/>
              </w:rPr>
              <w:t>.</w:t>
            </w:r>
            <w:r w:rsidRPr="004A278B">
              <w:rPr>
                <w:rFonts w:eastAsiaTheme="majorEastAsia" w:cstheme="minorHAnsi"/>
                <w:sz w:val="20"/>
                <w:szCs w:val="20"/>
              </w:rPr>
              <w:t xml:space="preserve"> </w:t>
            </w:r>
          </w:p>
          <w:p w14:paraId="7596744E" w14:textId="6888E905" w:rsidR="001A7ED5" w:rsidRPr="004A278B" w:rsidRDefault="006A2DD2" w:rsidP="00AE7AB3">
            <w:pPr>
              <w:pStyle w:val="BodyText"/>
              <w:spacing w:before="40" w:after="40" w:line="240" w:lineRule="auto"/>
              <w:rPr>
                <w:rFonts w:eastAsiaTheme="majorEastAsia" w:cstheme="minorHAnsi"/>
                <w:sz w:val="20"/>
                <w:szCs w:val="20"/>
              </w:rPr>
            </w:pPr>
            <w:r w:rsidRPr="004A278B">
              <w:rPr>
                <w:rFonts w:eastAsiaTheme="majorEastAsia" w:cstheme="minorHAnsi"/>
                <w:sz w:val="20"/>
                <w:szCs w:val="20"/>
              </w:rPr>
              <w:t>P</w:t>
            </w:r>
            <w:r w:rsidR="00615E3F" w:rsidRPr="004A278B">
              <w:rPr>
                <w:rFonts w:eastAsiaTheme="majorEastAsia" w:cstheme="minorHAnsi"/>
                <w:sz w:val="20"/>
                <w:szCs w:val="20"/>
              </w:rPr>
              <w:t>rogress economic</w:t>
            </w:r>
            <w:r w:rsidR="00AE7AB3" w:rsidRPr="004A278B">
              <w:rPr>
                <w:rFonts w:eastAsiaTheme="majorEastAsia" w:cstheme="minorHAnsi"/>
                <w:sz w:val="20"/>
                <w:szCs w:val="20"/>
              </w:rPr>
              <w:t>, policy and governance reform</w:t>
            </w:r>
            <w:r w:rsidRPr="004A278B">
              <w:rPr>
                <w:rFonts w:eastAsiaTheme="majorEastAsia" w:cstheme="minorHAnsi"/>
                <w:sz w:val="20"/>
                <w:szCs w:val="20"/>
              </w:rPr>
              <w:t>.</w:t>
            </w:r>
          </w:p>
        </w:tc>
        <w:tc>
          <w:tcPr>
            <w:tcW w:w="3402" w:type="dxa"/>
          </w:tcPr>
          <w:p w14:paraId="27F8DD88" w14:textId="35370CD8" w:rsidR="001A7ED5" w:rsidRPr="004A278B" w:rsidRDefault="00C055B8" w:rsidP="00DE029D">
            <w:pPr>
              <w:pStyle w:val="BodyText"/>
              <w:spacing w:before="40" w:after="40" w:line="240" w:lineRule="auto"/>
              <w:rPr>
                <w:rFonts w:eastAsiaTheme="majorEastAsia" w:cstheme="minorHAnsi"/>
                <w:sz w:val="20"/>
                <w:szCs w:val="20"/>
              </w:rPr>
            </w:pPr>
            <w:r w:rsidRPr="00C055B8">
              <w:rPr>
                <w:rFonts w:asciiTheme="majorHAnsi" w:eastAsiaTheme="majorEastAsia" w:hAnsiTheme="majorHAnsi" w:cstheme="majorHAnsi"/>
                <w:sz w:val="20"/>
                <w:szCs w:val="20"/>
              </w:rPr>
              <w:t>1.1</w:t>
            </w:r>
            <w:r>
              <w:rPr>
                <w:rFonts w:eastAsiaTheme="majorEastAsia" w:cstheme="minorHAnsi"/>
                <w:sz w:val="20"/>
                <w:szCs w:val="20"/>
              </w:rPr>
              <w:t xml:space="preserve"> </w:t>
            </w:r>
            <w:r w:rsidR="0054112F" w:rsidRPr="004A278B">
              <w:rPr>
                <w:rFonts w:eastAsiaTheme="majorEastAsia" w:cstheme="minorHAnsi"/>
                <w:sz w:val="20"/>
                <w:szCs w:val="20"/>
              </w:rPr>
              <w:t>S</w:t>
            </w:r>
            <w:r w:rsidR="00AE7AB3" w:rsidRPr="004A278B">
              <w:rPr>
                <w:rFonts w:eastAsiaTheme="majorEastAsia" w:cstheme="minorHAnsi"/>
                <w:sz w:val="20"/>
                <w:szCs w:val="20"/>
              </w:rPr>
              <w:t xml:space="preserve">uccessful </w:t>
            </w:r>
            <w:r w:rsidR="001D2E81" w:rsidRPr="004A278B">
              <w:rPr>
                <w:rFonts w:eastAsiaTheme="majorEastAsia" w:cstheme="minorHAnsi"/>
                <w:sz w:val="20"/>
                <w:szCs w:val="20"/>
              </w:rPr>
              <w:t>a</w:t>
            </w:r>
            <w:r w:rsidR="00615E3F" w:rsidRPr="004A278B">
              <w:rPr>
                <w:rFonts w:eastAsiaTheme="majorEastAsia" w:cstheme="minorHAnsi"/>
                <w:sz w:val="20"/>
                <w:szCs w:val="20"/>
              </w:rPr>
              <w:t xml:space="preserve">chievement </w:t>
            </w:r>
            <w:r w:rsidR="0054112F" w:rsidRPr="004A278B">
              <w:rPr>
                <w:rFonts w:eastAsiaTheme="majorEastAsia" w:cstheme="minorHAnsi"/>
                <w:sz w:val="20"/>
                <w:szCs w:val="20"/>
              </w:rPr>
              <w:t>by T</w:t>
            </w:r>
            <w:r w:rsidR="00AE7AB3" w:rsidRPr="004A278B">
              <w:rPr>
                <w:rFonts w:eastAsiaTheme="majorEastAsia" w:cstheme="minorHAnsi"/>
                <w:sz w:val="20"/>
                <w:szCs w:val="20"/>
              </w:rPr>
              <w:t xml:space="preserve">onga </w:t>
            </w:r>
            <w:r w:rsidR="00615E3F" w:rsidRPr="004A278B">
              <w:rPr>
                <w:rFonts w:eastAsiaTheme="majorEastAsia" w:cstheme="minorHAnsi"/>
                <w:sz w:val="20"/>
                <w:szCs w:val="20"/>
              </w:rPr>
              <w:t xml:space="preserve">of </w:t>
            </w:r>
            <w:r w:rsidR="00AE7AB3" w:rsidRPr="004A278B">
              <w:rPr>
                <w:rFonts w:eastAsiaTheme="majorEastAsia" w:cstheme="minorHAnsi"/>
                <w:sz w:val="20"/>
                <w:szCs w:val="20"/>
              </w:rPr>
              <w:t>economic, policy and governance</w:t>
            </w:r>
            <w:r w:rsidR="004E6E90" w:rsidRPr="004A278B">
              <w:rPr>
                <w:rFonts w:eastAsiaTheme="majorEastAsia" w:cstheme="minorHAnsi"/>
                <w:sz w:val="20"/>
                <w:szCs w:val="20"/>
              </w:rPr>
              <w:t xml:space="preserve"> reform </w:t>
            </w:r>
            <w:r w:rsidR="00615E3F" w:rsidRPr="004A278B">
              <w:rPr>
                <w:rFonts w:eastAsiaTheme="majorEastAsia" w:cstheme="minorHAnsi"/>
                <w:sz w:val="20"/>
                <w:szCs w:val="20"/>
              </w:rPr>
              <w:t xml:space="preserve">under </w:t>
            </w:r>
            <w:r w:rsidR="004E6E90" w:rsidRPr="004A278B">
              <w:rPr>
                <w:rFonts w:eastAsiaTheme="majorEastAsia" w:cstheme="minorHAnsi"/>
                <w:sz w:val="20"/>
                <w:szCs w:val="20"/>
              </w:rPr>
              <w:t>the</w:t>
            </w:r>
            <w:r w:rsidR="005970CB" w:rsidRPr="004A278B">
              <w:rPr>
                <w:rFonts w:eastAsiaTheme="majorEastAsia" w:cstheme="minorHAnsi"/>
                <w:sz w:val="20"/>
                <w:szCs w:val="20"/>
              </w:rPr>
              <w:t xml:space="preserve"> </w:t>
            </w:r>
            <w:r w:rsidR="001D2E81" w:rsidRPr="004A278B">
              <w:rPr>
                <w:rFonts w:eastAsiaTheme="majorEastAsia" w:cstheme="minorHAnsi"/>
                <w:sz w:val="20"/>
                <w:szCs w:val="20"/>
              </w:rPr>
              <w:t>W</w:t>
            </w:r>
            <w:r w:rsidR="005970CB" w:rsidRPr="004A278B">
              <w:rPr>
                <w:rFonts w:eastAsiaTheme="majorEastAsia" w:cstheme="minorHAnsi"/>
                <w:sz w:val="20"/>
                <w:szCs w:val="20"/>
              </w:rPr>
              <w:t xml:space="preserve">orld </w:t>
            </w:r>
            <w:r w:rsidR="001D2E81" w:rsidRPr="004A278B">
              <w:rPr>
                <w:rFonts w:eastAsiaTheme="majorEastAsia" w:cstheme="minorHAnsi"/>
                <w:sz w:val="20"/>
                <w:szCs w:val="20"/>
              </w:rPr>
              <w:t>B</w:t>
            </w:r>
            <w:r w:rsidR="005970CB" w:rsidRPr="004A278B">
              <w:rPr>
                <w:rFonts w:eastAsiaTheme="majorEastAsia" w:cstheme="minorHAnsi"/>
                <w:sz w:val="20"/>
                <w:szCs w:val="20"/>
              </w:rPr>
              <w:t>ank led</w:t>
            </w:r>
            <w:r w:rsidR="004E6E90" w:rsidRPr="004A278B">
              <w:rPr>
                <w:rFonts w:eastAsiaTheme="majorEastAsia" w:cstheme="minorHAnsi"/>
                <w:sz w:val="20"/>
                <w:szCs w:val="20"/>
              </w:rPr>
              <w:t xml:space="preserve"> </w:t>
            </w:r>
            <w:r w:rsidR="00615E3F" w:rsidRPr="004A278B">
              <w:rPr>
                <w:rFonts w:eastAsiaTheme="majorEastAsia" w:cstheme="minorHAnsi"/>
                <w:sz w:val="20"/>
                <w:szCs w:val="20"/>
              </w:rPr>
              <w:t>Joint Policy Reform Matrix</w:t>
            </w:r>
            <w:r w:rsidR="004E6E90" w:rsidRPr="004A278B">
              <w:rPr>
                <w:rFonts w:eastAsiaTheme="majorEastAsia" w:cstheme="minorHAnsi"/>
                <w:sz w:val="20"/>
                <w:szCs w:val="20"/>
              </w:rPr>
              <w:t xml:space="preserve"> (JPRM)</w:t>
            </w:r>
            <w:r w:rsidR="00615E3F" w:rsidRPr="004A278B">
              <w:rPr>
                <w:rFonts w:eastAsiaTheme="majorEastAsia" w:cstheme="minorHAnsi"/>
                <w:sz w:val="20"/>
                <w:szCs w:val="20"/>
              </w:rPr>
              <w:t xml:space="preserve"> </w:t>
            </w:r>
            <w:r w:rsidR="004E6E90" w:rsidRPr="004A278B">
              <w:rPr>
                <w:rFonts w:eastAsiaTheme="majorEastAsia" w:cstheme="minorHAnsi"/>
                <w:sz w:val="20"/>
                <w:szCs w:val="20"/>
              </w:rPr>
              <w:t>enables</w:t>
            </w:r>
            <w:r w:rsidR="00615E3F" w:rsidRPr="004A278B">
              <w:rPr>
                <w:rFonts w:eastAsiaTheme="majorEastAsia" w:cstheme="minorHAnsi"/>
                <w:sz w:val="20"/>
                <w:szCs w:val="20"/>
              </w:rPr>
              <w:t xml:space="preserve"> release of </w:t>
            </w:r>
            <w:r w:rsidR="004E6E90" w:rsidRPr="004A278B">
              <w:rPr>
                <w:rFonts w:eastAsiaTheme="majorEastAsia" w:cstheme="minorHAnsi"/>
                <w:sz w:val="20"/>
                <w:szCs w:val="20"/>
              </w:rPr>
              <w:t xml:space="preserve">multi </w:t>
            </w:r>
            <w:r w:rsidR="00615E3F" w:rsidRPr="004A278B">
              <w:rPr>
                <w:rFonts w:eastAsiaTheme="majorEastAsia" w:cstheme="minorHAnsi"/>
                <w:sz w:val="20"/>
                <w:szCs w:val="20"/>
              </w:rPr>
              <w:t xml:space="preserve">donor </w:t>
            </w:r>
            <w:r w:rsidR="004E6E90" w:rsidRPr="004A278B">
              <w:rPr>
                <w:rFonts w:eastAsiaTheme="majorEastAsia" w:cstheme="minorHAnsi"/>
                <w:sz w:val="20"/>
                <w:szCs w:val="20"/>
              </w:rPr>
              <w:t>budget support</w:t>
            </w:r>
            <w:r w:rsidR="0054112F" w:rsidRPr="004A278B">
              <w:rPr>
                <w:rFonts w:eastAsiaTheme="majorEastAsia" w:cstheme="minorHAnsi"/>
                <w:sz w:val="20"/>
                <w:szCs w:val="20"/>
              </w:rPr>
              <w:t>.</w:t>
            </w:r>
          </w:p>
        </w:tc>
        <w:tc>
          <w:tcPr>
            <w:tcW w:w="4536" w:type="dxa"/>
            <w:shd w:val="clear" w:color="auto" w:fill="auto"/>
          </w:tcPr>
          <w:p w14:paraId="1157745D" w14:textId="1C9833D8" w:rsidR="001A7ED5" w:rsidRPr="004A278B" w:rsidRDefault="00C055B8" w:rsidP="00AA785B">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001B24B4" w:rsidRPr="004A278B">
              <w:rPr>
                <w:rFonts w:eastAsiaTheme="majorEastAsia" w:cstheme="minorHAnsi"/>
                <w:sz w:val="20"/>
                <w:szCs w:val="20"/>
              </w:rPr>
              <w:t>R</w:t>
            </w:r>
            <w:r w:rsidR="00AE7AB3" w:rsidRPr="004A278B">
              <w:rPr>
                <w:rFonts w:eastAsiaTheme="majorEastAsia" w:cstheme="minorHAnsi"/>
                <w:sz w:val="20"/>
                <w:szCs w:val="20"/>
              </w:rPr>
              <w:t>eforms included:</w:t>
            </w:r>
            <w:r w:rsidR="005970CB" w:rsidRPr="004A278B">
              <w:rPr>
                <w:rFonts w:eastAsiaTheme="majorEastAsia" w:cstheme="minorHAnsi"/>
                <w:sz w:val="20"/>
                <w:szCs w:val="20"/>
              </w:rPr>
              <w:t xml:space="preserve"> </w:t>
            </w:r>
            <w:r w:rsidR="00AA785B" w:rsidRPr="004A278B">
              <w:rPr>
                <w:rFonts w:eastAsiaTheme="majorEastAsia" w:cstheme="minorHAnsi"/>
                <w:sz w:val="20"/>
                <w:szCs w:val="20"/>
              </w:rPr>
              <w:t>L</w:t>
            </w:r>
            <w:r w:rsidR="005970CB" w:rsidRPr="004A278B">
              <w:rPr>
                <w:rFonts w:eastAsiaTheme="majorEastAsia" w:cstheme="minorHAnsi"/>
                <w:sz w:val="20"/>
                <w:szCs w:val="20"/>
              </w:rPr>
              <w:t xml:space="preserve">abour </w:t>
            </w:r>
            <w:r w:rsidR="00AA785B" w:rsidRPr="004A278B">
              <w:rPr>
                <w:rFonts w:eastAsiaTheme="majorEastAsia" w:cstheme="minorHAnsi"/>
                <w:sz w:val="20"/>
                <w:szCs w:val="20"/>
              </w:rPr>
              <w:t>M</w:t>
            </w:r>
            <w:r w:rsidR="005970CB" w:rsidRPr="004A278B">
              <w:rPr>
                <w:rFonts w:eastAsiaTheme="majorEastAsia" w:cstheme="minorHAnsi"/>
                <w:sz w:val="20"/>
                <w:szCs w:val="20"/>
              </w:rPr>
              <w:t>obility</w:t>
            </w:r>
            <w:r w:rsidR="00F93801" w:rsidRPr="004A278B">
              <w:rPr>
                <w:rFonts w:eastAsiaTheme="majorEastAsia" w:cstheme="minorHAnsi"/>
                <w:sz w:val="20"/>
                <w:szCs w:val="20"/>
              </w:rPr>
              <w:t xml:space="preserve"> </w:t>
            </w:r>
            <w:r w:rsidR="00AA785B" w:rsidRPr="004A278B">
              <w:rPr>
                <w:rFonts w:eastAsiaTheme="majorEastAsia" w:cstheme="minorHAnsi"/>
                <w:sz w:val="20"/>
                <w:szCs w:val="20"/>
              </w:rPr>
              <w:t>P</w:t>
            </w:r>
            <w:r w:rsidR="00F93801" w:rsidRPr="004A278B">
              <w:rPr>
                <w:rFonts w:eastAsiaTheme="majorEastAsia" w:cstheme="minorHAnsi"/>
                <w:sz w:val="20"/>
                <w:szCs w:val="20"/>
              </w:rPr>
              <w:t xml:space="preserve">olicy </w:t>
            </w:r>
            <w:r w:rsidR="00AA785B" w:rsidRPr="004A278B">
              <w:rPr>
                <w:rFonts w:eastAsiaTheme="majorEastAsia" w:cstheme="minorHAnsi"/>
                <w:sz w:val="20"/>
                <w:szCs w:val="20"/>
              </w:rPr>
              <w:t>F</w:t>
            </w:r>
            <w:r w:rsidR="00F93801" w:rsidRPr="004A278B">
              <w:rPr>
                <w:rFonts w:eastAsiaTheme="majorEastAsia" w:cstheme="minorHAnsi"/>
                <w:sz w:val="20"/>
                <w:szCs w:val="20"/>
              </w:rPr>
              <w:t>ramework</w:t>
            </w:r>
            <w:r w:rsidR="00722ECC" w:rsidRPr="004A278B">
              <w:rPr>
                <w:rFonts w:eastAsiaTheme="majorEastAsia" w:cstheme="minorHAnsi"/>
                <w:sz w:val="20"/>
                <w:szCs w:val="20"/>
              </w:rPr>
              <w:t>,</w:t>
            </w:r>
            <w:r w:rsidR="005970CB" w:rsidRPr="004A278B">
              <w:rPr>
                <w:rFonts w:eastAsiaTheme="majorEastAsia" w:cstheme="minorHAnsi"/>
                <w:sz w:val="20"/>
                <w:szCs w:val="20"/>
              </w:rPr>
              <w:t xml:space="preserve"> National Housing Recovery and Resilience </w:t>
            </w:r>
            <w:r w:rsidR="00F93801" w:rsidRPr="004A278B">
              <w:rPr>
                <w:rFonts w:eastAsiaTheme="majorEastAsia" w:cstheme="minorHAnsi"/>
                <w:sz w:val="20"/>
                <w:szCs w:val="20"/>
              </w:rPr>
              <w:t xml:space="preserve">policy, </w:t>
            </w:r>
            <w:r w:rsidR="005970CB" w:rsidRPr="004A278B">
              <w:rPr>
                <w:rFonts w:eastAsiaTheme="majorEastAsia" w:cstheme="minorHAnsi"/>
                <w:sz w:val="20"/>
                <w:szCs w:val="20"/>
              </w:rPr>
              <w:t xml:space="preserve">TVET sector </w:t>
            </w:r>
            <w:r w:rsidR="00AA785B" w:rsidRPr="004A278B">
              <w:rPr>
                <w:rFonts w:eastAsiaTheme="majorEastAsia" w:cstheme="minorHAnsi"/>
                <w:sz w:val="20"/>
                <w:szCs w:val="20"/>
              </w:rPr>
              <w:t>S</w:t>
            </w:r>
            <w:r w:rsidR="005970CB" w:rsidRPr="004A278B">
              <w:rPr>
                <w:rFonts w:eastAsiaTheme="majorEastAsia" w:cstheme="minorHAnsi"/>
                <w:sz w:val="20"/>
                <w:szCs w:val="20"/>
              </w:rPr>
              <w:t>trategic</w:t>
            </w:r>
            <w:r w:rsidR="001B24B4" w:rsidRPr="004A278B">
              <w:rPr>
                <w:rFonts w:eastAsiaTheme="majorEastAsia" w:cstheme="minorHAnsi"/>
                <w:sz w:val="20"/>
                <w:szCs w:val="20"/>
              </w:rPr>
              <w:t xml:space="preserve"> </w:t>
            </w:r>
            <w:r w:rsidR="00AA785B" w:rsidRPr="004A278B">
              <w:rPr>
                <w:rFonts w:eastAsiaTheme="majorEastAsia" w:cstheme="minorHAnsi"/>
                <w:sz w:val="20"/>
                <w:szCs w:val="20"/>
              </w:rPr>
              <w:t>P</w:t>
            </w:r>
            <w:r w:rsidR="001B24B4" w:rsidRPr="004A278B">
              <w:rPr>
                <w:rFonts w:eastAsiaTheme="majorEastAsia" w:cstheme="minorHAnsi"/>
                <w:sz w:val="20"/>
                <w:szCs w:val="20"/>
              </w:rPr>
              <w:t xml:space="preserve">olicy </w:t>
            </w:r>
            <w:r w:rsidR="00AA785B" w:rsidRPr="004A278B">
              <w:rPr>
                <w:rFonts w:eastAsiaTheme="majorEastAsia" w:cstheme="minorHAnsi"/>
                <w:sz w:val="20"/>
                <w:szCs w:val="20"/>
              </w:rPr>
              <w:t>F</w:t>
            </w:r>
            <w:r w:rsidR="001B24B4" w:rsidRPr="004A278B">
              <w:rPr>
                <w:rFonts w:eastAsiaTheme="majorEastAsia" w:cstheme="minorHAnsi"/>
                <w:sz w:val="20"/>
                <w:szCs w:val="20"/>
              </w:rPr>
              <w:t>ramework and the r</w:t>
            </w:r>
            <w:r w:rsidR="005970CB" w:rsidRPr="004A278B">
              <w:rPr>
                <w:rFonts w:eastAsiaTheme="majorEastAsia" w:cstheme="minorHAnsi"/>
                <w:sz w:val="20"/>
                <w:szCs w:val="20"/>
              </w:rPr>
              <w:t>evised regulations under the Revenue Services Administration Act</w:t>
            </w:r>
            <w:r w:rsidR="001B24B4" w:rsidRPr="004A278B">
              <w:rPr>
                <w:rFonts w:eastAsiaTheme="majorEastAsia" w:cstheme="minorHAnsi"/>
                <w:sz w:val="20"/>
                <w:szCs w:val="20"/>
              </w:rPr>
              <w:t>. T</w:t>
            </w:r>
            <w:r w:rsidR="00AE7AB3" w:rsidRPr="004A278B">
              <w:rPr>
                <w:rFonts w:eastAsiaTheme="majorEastAsia" w:cstheme="minorHAnsi"/>
                <w:sz w:val="20"/>
                <w:szCs w:val="20"/>
              </w:rPr>
              <w:t>onga also adhered</w:t>
            </w:r>
            <w:r w:rsidR="005970CB" w:rsidRPr="004A278B">
              <w:rPr>
                <w:rFonts w:eastAsiaTheme="majorEastAsia" w:cstheme="minorHAnsi"/>
                <w:sz w:val="20"/>
                <w:szCs w:val="20"/>
              </w:rPr>
              <w:t xml:space="preserve"> to </w:t>
            </w:r>
            <w:r w:rsidR="00AE7AB3" w:rsidRPr="004A278B">
              <w:rPr>
                <w:rFonts w:eastAsiaTheme="majorEastAsia" w:cstheme="minorHAnsi"/>
                <w:sz w:val="20"/>
                <w:szCs w:val="20"/>
              </w:rPr>
              <w:t xml:space="preserve">a </w:t>
            </w:r>
            <w:r w:rsidR="0005792F" w:rsidRPr="004A278B">
              <w:rPr>
                <w:rFonts w:eastAsiaTheme="majorEastAsia" w:cstheme="minorHAnsi"/>
                <w:sz w:val="20"/>
                <w:szCs w:val="20"/>
              </w:rPr>
              <w:t>medium term debt strategy</w:t>
            </w:r>
            <w:r w:rsidR="00F93801" w:rsidRPr="004A278B">
              <w:rPr>
                <w:rFonts w:eastAsiaTheme="majorEastAsia" w:cstheme="minorHAnsi"/>
                <w:sz w:val="20"/>
                <w:szCs w:val="20"/>
              </w:rPr>
              <w:t xml:space="preserve"> to help </w:t>
            </w:r>
            <w:r w:rsidR="00AE7AB3" w:rsidRPr="004A278B">
              <w:rPr>
                <w:rFonts w:eastAsiaTheme="majorEastAsia" w:cstheme="minorHAnsi"/>
                <w:sz w:val="20"/>
                <w:szCs w:val="20"/>
              </w:rPr>
              <w:t>avoid any new non-concessional external borrowing.</w:t>
            </w:r>
            <w:r w:rsidR="001B24B4" w:rsidRPr="004A278B">
              <w:rPr>
                <w:rFonts w:eastAsiaTheme="majorEastAsia" w:cstheme="minorHAnsi"/>
                <w:sz w:val="20"/>
                <w:szCs w:val="20"/>
              </w:rPr>
              <w:t xml:space="preserve"> </w:t>
            </w:r>
            <w:r w:rsidR="00AA785B" w:rsidRPr="004A278B">
              <w:rPr>
                <w:rFonts w:eastAsiaTheme="majorEastAsia" w:cstheme="minorHAnsi"/>
                <w:sz w:val="20"/>
                <w:szCs w:val="20"/>
              </w:rPr>
              <w:t xml:space="preserve">Australia </w:t>
            </w:r>
            <w:r w:rsidR="001B24B4" w:rsidRPr="004A278B">
              <w:rPr>
                <w:rFonts w:eastAsiaTheme="majorEastAsia" w:cstheme="minorHAnsi"/>
                <w:sz w:val="20"/>
                <w:szCs w:val="20"/>
              </w:rPr>
              <w:t xml:space="preserve">disbursed </w:t>
            </w:r>
            <w:r w:rsidR="001D2E81" w:rsidRPr="004A278B">
              <w:rPr>
                <w:rFonts w:eastAsiaTheme="majorEastAsia" w:cstheme="minorHAnsi"/>
                <w:sz w:val="20"/>
                <w:szCs w:val="20"/>
              </w:rPr>
              <w:t xml:space="preserve">$4 million </w:t>
            </w:r>
            <w:r w:rsidR="0005792F" w:rsidRPr="004A278B">
              <w:rPr>
                <w:rFonts w:eastAsiaTheme="majorEastAsia" w:cstheme="minorHAnsi"/>
                <w:sz w:val="20"/>
                <w:szCs w:val="20"/>
              </w:rPr>
              <w:t xml:space="preserve">in conditional budget support and </w:t>
            </w:r>
            <w:r w:rsidR="001D2E81" w:rsidRPr="004A278B">
              <w:rPr>
                <w:rFonts w:eastAsiaTheme="majorEastAsia" w:cstheme="minorHAnsi"/>
                <w:sz w:val="20"/>
                <w:szCs w:val="20"/>
              </w:rPr>
              <w:t xml:space="preserve">$7 million </w:t>
            </w:r>
            <w:r w:rsidR="0005792F" w:rsidRPr="004A278B">
              <w:rPr>
                <w:rFonts w:eastAsiaTheme="majorEastAsia" w:cstheme="minorHAnsi"/>
                <w:sz w:val="20"/>
                <w:szCs w:val="20"/>
              </w:rPr>
              <w:t>un</w:t>
            </w:r>
            <w:r w:rsidR="00032CB5" w:rsidRPr="004A278B">
              <w:rPr>
                <w:rFonts w:eastAsiaTheme="majorEastAsia" w:cstheme="minorHAnsi"/>
                <w:sz w:val="20"/>
                <w:szCs w:val="20"/>
              </w:rPr>
              <w:t>-</w:t>
            </w:r>
            <w:r w:rsidR="0005792F" w:rsidRPr="004A278B">
              <w:rPr>
                <w:rFonts w:eastAsiaTheme="majorEastAsia" w:cstheme="minorHAnsi"/>
                <w:sz w:val="20"/>
                <w:szCs w:val="20"/>
              </w:rPr>
              <w:t>earma</w:t>
            </w:r>
            <w:r w:rsidR="001D2E81" w:rsidRPr="004A278B">
              <w:rPr>
                <w:rFonts w:eastAsiaTheme="majorEastAsia" w:cstheme="minorHAnsi"/>
                <w:sz w:val="20"/>
                <w:szCs w:val="20"/>
              </w:rPr>
              <w:t>r</w:t>
            </w:r>
            <w:r w:rsidR="0005792F" w:rsidRPr="004A278B">
              <w:rPr>
                <w:rFonts w:eastAsiaTheme="majorEastAsia" w:cstheme="minorHAnsi"/>
                <w:sz w:val="20"/>
                <w:szCs w:val="20"/>
              </w:rPr>
              <w:t>ked funding through the COVID-19 package.</w:t>
            </w:r>
          </w:p>
        </w:tc>
      </w:tr>
      <w:tr w:rsidR="001A7ED5" w:rsidRPr="00274483" w14:paraId="1DA23F2A" w14:textId="77777777" w:rsidTr="00232B45">
        <w:trPr>
          <w:tblHeader/>
        </w:trPr>
        <w:tc>
          <w:tcPr>
            <w:tcW w:w="2263" w:type="dxa"/>
          </w:tcPr>
          <w:p w14:paraId="22545A92" w14:textId="3D9B8895" w:rsidR="002D6109" w:rsidRPr="004A278B" w:rsidRDefault="002D6109" w:rsidP="001A7ED5">
            <w:pPr>
              <w:pStyle w:val="BodyText"/>
              <w:spacing w:before="40" w:after="40" w:line="240" w:lineRule="auto"/>
              <w:rPr>
                <w:rFonts w:eastAsiaTheme="majorEastAsia" w:cstheme="minorHAnsi"/>
                <w:sz w:val="20"/>
                <w:szCs w:val="20"/>
              </w:rPr>
            </w:pPr>
            <w:r w:rsidRPr="004A278B">
              <w:rPr>
                <w:rFonts w:eastAsiaTheme="majorEastAsia" w:cstheme="minorHAnsi"/>
                <w:sz w:val="20"/>
                <w:szCs w:val="20"/>
              </w:rPr>
              <w:t>Objective 2</w:t>
            </w:r>
            <w:r w:rsidR="00C055B8">
              <w:rPr>
                <w:rFonts w:eastAsiaTheme="majorEastAsia" w:cstheme="minorHAnsi"/>
                <w:sz w:val="20"/>
                <w:szCs w:val="20"/>
              </w:rPr>
              <w:t>.</w:t>
            </w:r>
            <w:r w:rsidRPr="004A278B">
              <w:rPr>
                <w:rFonts w:eastAsiaTheme="majorEastAsia" w:cstheme="minorHAnsi"/>
                <w:sz w:val="20"/>
                <w:szCs w:val="20"/>
              </w:rPr>
              <w:t xml:space="preserve"> </w:t>
            </w:r>
          </w:p>
          <w:p w14:paraId="23DF3485" w14:textId="11AC8418" w:rsidR="001A7ED5" w:rsidRPr="004A278B" w:rsidRDefault="006A2DD2" w:rsidP="001A7ED5">
            <w:pPr>
              <w:pStyle w:val="BodyText"/>
              <w:spacing w:before="40" w:after="40" w:line="240" w:lineRule="auto"/>
              <w:rPr>
                <w:rFonts w:eastAsiaTheme="majorEastAsia" w:cstheme="minorHAnsi"/>
                <w:sz w:val="20"/>
                <w:szCs w:val="20"/>
              </w:rPr>
            </w:pPr>
            <w:r w:rsidRPr="004A278B">
              <w:rPr>
                <w:rFonts w:eastAsiaTheme="majorEastAsia" w:cstheme="minorHAnsi"/>
                <w:sz w:val="20"/>
                <w:szCs w:val="20"/>
              </w:rPr>
              <w:t>I</w:t>
            </w:r>
            <w:r w:rsidR="00615E3F" w:rsidRPr="004A278B">
              <w:rPr>
                <w:rFonts w:eastAsiaTheme="majorEastAsia" w:cstheme="minorHAnsi"/>
                <w:sz w:val="20"/>
                <w:szCs w:val="20"/>
              </w:rPr>
              <w:t>mprove economic benefits through targeted renewable energy and trade enhancing infrastructure</w:t>
            </w:r>
            <w:r w:rsidRPr="004A278B">
              <w:rPr>
                <w:rFonts w:eastAsiaTheme="majorEastAsia" w:cstheme="minorHAnsi"/>
                <w:sz w:val="20"/>
                <w:szCs w:val="20"/>
              </w:rPr>
              <w:t>.</w:t>
            </w:r>
          </w:p>
        </w:tc>
        <w:tc>
          <w:tcPr>
            <w:tcW w:w="3402" w:type="dxa"/>
          </w:tcPr>
          <w:p w14:paraId="44EE9DD8" w14:textId="599AF8B2" w:rsidR="001A7ED5" w:rsidRPr="004A278B" w:rsidRDefault="00C055B8" w:rsidP="001A7ED5">
            <w:pPr>
              <w:pStyle w:val="BodyText"/>
              <w:spacing w:before="40" w:after="40" w:line="240" w:lineRule="auto"/>
              <w:rPr>
                <w:rFonts w:eastAsiaTheme="majorEastAsia" w:cstheme="minorHAnsi"/>
                <w:sz w:val="20"/>
                <w:szCs w:val="20"/>
              </w:rPr>
            </w:pPr>
            <w:r w:rsidRPr="00C055B8">
              <w:rPr>
                <w:rFonts w:asciiTheme="majorHAnsi" w:eastAsiaTheme="majorEastAsia" w:hAnsiTheme="majorHAnsi" w:cstheme="majorHAnsi"/>
                <w:sz w:val="20"/>
                <w:szCs w:val="20"/>
              </w:rPr>
              <w:t>2.1</w:t>
            </w:r>
            <w:r>
              <w:rPr>
                <w:rFonts w:eastAsiaTheme="majorEastAsia" w:cstheme="minorHAnsi"/>
                <w:sz w:val="20"/>
                <w:szCs w:val="20"/>
              </w:rPr>
              <w:t xml:space="preserve"> </w:t>
            </w:r>
            <w:r w:rsidR="00615E3F" w:rsidRPr="004A278B">
              <w:rPr>
                <w:rFonts w:eastAsiaTheme="majorEastAsia" w:cstheme="minorHAnsi"/>
                <w:sz w:val="20"/>
                <w:szCs w:val="20"/>
              </w:rPr>
              <w:t xml:space="preserve">A further 200kWp of solar generation and 1,100kWh of energy storage installed in </w:t>
            </w:r>
            <w:r w:rsidR="00DE029D" w:rsidRPr="004A278B">
              <w:rPr>
                <w:rFonts w:eastAsiaTheme="majorEastAsia" w:cstheme="minorHAnsi"/>
                <w:sz w:val="20"/>
                <w:szCs w:val="20"/>
              </w:rPr>
              <w:t>three</w:t>
            </w:r>
            <w:r w:rsidR="00615E3F" w:rsidRPr="004A278B">
              <w:rPr>
                <w:rFonts w:eastAsiaTheme="majorEastAsia" w:cstheme="minorHAnsi"/>
                <w:sz w:val="20"/>
                <w:szCs w:val="20"/>
              </w:rPr>
              <w:t xml:space="preserve"> more outer islands</w:t>
            </w:r>
            <w:r w:rsidR="001B24B4" w:rsidRPr="004A278B">
              <w:rPr>
                <w:rFonts w:eastAsiaTheme="majorEastAsia" w:cstheme="minorHAnsi"/>
                <w:sz w:val="20"/>
                <w:szCs w:val="20"/>
              </w:rPr>
              <w:t>.</w:t>
            </w:r>
          </w:p>
        </w:tc>
        <w:tc>
          <w:tcPr>
            <w:tcW w:w="4536" w:type="dxa"/>
            <w:shd w:val="clear" w:color="auto" w:fill="auto"/>
          </w:tcPr>
          <w:p w14:paraId="112A44E8" w14:textId="77DB722B" w:rsidR="001A7ED5" w:rsidRPr="004A278B" w:rsidRDefault="00C055B8" w:rsidP="00610782">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00610782" w:rsidRPr="004A278B">
              <w:rPr>
                <w:rFonts w:eastAsiaTheme="majorEastAsia" w:cstheme="minorHAnsi"/>
                <w:sz w:val="20"/>
                <w:szCs w:val="20"/>
              </w:rPr>
              <w:t xml:space="preserve">A further 200kWp of solar energy was generated under phase one of the </w:t>
            </w:r>
            <w:r w:rsidR="001B24B4" w:rsidRPr="004A278B">
              <w:rPr>
                <w:rFonts w:eastAsiaTheme="majorEastAsia" w:cstheme="minorHAnsi"/>
                <w:sz w:val="20"/>
                <w:szCs w:val="20"/>
              </w:rPr>
              <w:t>Outer Island Renewable Energy Project</w:t>
            </w:r>
            <w:r w:rsidR="006A2DD2" w:rsidRPr="004A278B">
              <w:rPr>
                <w:rFonts w:eastAsiaTheme="majorEastAsia" w:cstheme="minorHAnsi"/>
                <w:sz w:val="20"/>
                <w:szCs w:val="20"/>
              </w:rPr>
              <w:t xml:space="preserve"> </w:t>
            </w:r>
            <w:r w:rsidR="00610782" w:rsidRPr="004A278B">
              <w:rPr>
                <w:rFonts w:eastAsiaTheme="majorEastAsia" w:cstheme="minorHAnsi"/>
                <w:sz w:val="20"/>
                <w:szCs w:val="20"/>
              </w:rPr>
              <w:t>which was completed in June 2019</w:t>
            </w:r>
            <w:r w:rsidR="001B24B4" w:rsidRPr="004A278B">
              <w:rPr>
                <w:rFonts w:eastAsiaTheme="majorEastAsia" w:cstheme="minorHAnsi"/>
                <w:sz w:val="20"/>
                <w:szCs w:val="20"/>
              </w:rPr>
              <w:t xml:space="preserve">. </w:t>
            </w:r>
            <w:r w:rsidR="00610782" w:rsidRPr="004A278B">
              <w:rPr>
                <w:rFonts w:eastAsiaTheme="majorEastAsia" w:cstheme="minorHAnsi"/>
                <w:sz w:val="20"/>
                <w:szCs w:val="20"/>
              </w:rPr>
              <w:t>Through</w:t>
            </w:r>
            <w:r w:rsidR="001B24B4" w:rsidRPr="004A278B">
              <w:rPr>
                <w:rFonts w:eastAsiaTheme="majorEastAsia" w:cstheme="minorHAnsi"/>
                <w:sz w:val="20"/>
                <w:szCs w:val="20"/>
              </w:rPr>
              <w:t xml:space="preserve"> </w:t>
            </w:r>
            <w:r w:rsidR="00610782" w:rsidRPr="004A278B">
              <w:rPr>
                <w:rFonts w:eastAsiaTheme="majorEastAsia" w:cstheme="minorHAnsi"/>
                <w:sz w:val="20"/>
                <w:szCs w:val="20"/>
              </w:rPr>
              <w:t>p</w:t>
            </w:r>
            <w:r w:rsidR="001B24B4" w:rsidRPr="004A278B">
              <w:rPr>
                <w:rFonts w:eastAsiaTheme="majorEastAsia" w:cstheme="minorHAnsi"/>
                <w:sz w:val="20"/>
                <w:szCs w:val="20"/>
              </w:rPr>
              <w:t xml:space="preserve">hase </w:t>
            </w:r>
            <w:r w:rsidR="00610782" w:rsidRPr="004A278B">
              <w:rPr>
                <w:rFonts w:eastAsiaTheme="majorEastAsia" w:cstheme="minorHAnsi"/>
                <w:sz w:val="20"/>
                <w:szCs w:val="20"/>
              </w:rPr>
              <w:t>two</w:t>
            </w:r>
            <w:r w:rsidR="001B24B4" w:rsidRPr="004A278B">
              <w:rPr>
                <w:rFonts w:eastAsiaTheme="majorEastAsia" w:cstheme="minorHAnsi"/>
                <w:sz w:val="20"/>
                <w:szCs w:val="20"/>
              </w:rPr>
              <w:t xml:space="preserve"> a</w:t>
            </w:r>
            <w:r w:rsidR="0054112F" w:rsidRPr="004A278B">
              <w:rPr>
                <w:rFonts w:eastAsiaTheme="majorEastAsia" w:cstheme="minorHAnsi"/>
                <w:sz w:val="20"/>
                <w:szCs w:val="20"/>
              </w:rPr>
              <w:t xml:space="preserve"> </w:t>
            </w:r>
            <w:r w:rsidR="001B24B4" w:rsidRPr="004A278B">
              <w:rPr>
                <w:rFonts w:eastAsiaTheme="majorEastAsia" w:cstheme="minorHAnsi"/>
                <w:sz w:val="20"/>
                <w:szCs w:val="20"/>
              </w:rPr>
              <w:t>further</w:t>
            </w:r>
            <w:r w:rsidR="00610782" w:rsidRPr="004A278B">
              <w:rPr>
                <w:rFonts w:eastAsiaTheme="majorEastAsia" w:cstheme="minorHAnsi"/>
                <w:sz w:val="20"/>
                <w:szCs w:val="20"/>
              </w:rPr>
              <w:t xml:space="preserve"> 510kWp</w:t>
            </w:r>
            <w:r w:rsidR="0054112F" w:rsidRPr="004A278B">
              <w:rPr>
                <w:rFonts w:eastAsiaTheme="majorEastAsia" w:cstheme="minorHAnsi"/>
                <w:sz w:val="20"/>
                <w:szCs w:val="20"/>
              </w:rPr>
              <w:t xml:space="preserve"> </w:t>
            </w:r>
            <w:r w:rsidR="00610782" w:rsidRPr="004A278B">
              <w:rPr>
                <w:rFonts w:eastAsiaTheme="majorEastAsia" w:cstheme="minorHAnsi"/>
                <w:sz w:val="20"/>
                <w:szCs w:val="20"/>
              </w:rPr>
              <w:t xml:space="preserve">of solar energy </w:t>
            </w:r>
            <w:r w:rsidR="001B24B4" w:rsidRPr="004A278B">
              <w:rPr>
                <w:rFonts w:eastAsiaTheme="majorEastAsia" w:cstheme="minorHAnsi"/>
                <w:sz w:val="20"/>
                <w:szCs w:val="20"/>
              </w:rPr>
              <w:t>and</w:t>
            </w:r>
            <w:r w:rsidR="00610782" w:rsidRPr="004A278B">
              <w:rPr>
                <w:rFonts w:eastAsiaTheme="majorEastAsia" w:cstheme="minorHAnsi"/>
                <w:sz w:val="20"/>
                <w:szCs w:val="20"/>
              </w:rPr>
              <w:t xml:space="preserve"> 1,035k</w:t>
            </w:r>
            <w:r w:rsidR="0054112F" w:rsidRPr="004A278B">
              <w:rPr>
                <w:rFonts w:eastAsiaTheme="majorEastAsia" w:cstheme="minorHAnsi"/>
                <w:sz w:val="20"/>
                <w:szCs w:val="20"/>
              </w:rPr>
              <w:t>W</w:t>
            </w:r>
            <w:r w:rsidR="00610782" w:rsidRPr="004A278B">
              <w:rPr>
                <w:rFonts w:eastAsiaTheme="majorEastAsia" w:cstheme="minorHAnsi"/>
                <w:sz w:val="20"/>
                <w:szCs w:val="20"/>
              </w:rPr>
              <w:t>h of</w:t>
            </w:r>
            <w:r w:rsidR="0054112F" w:rsidRPr="004A278B">
              <w:rPr>
                <w:rFonts w:eastAsiaTheme="majorEastAsia" w:cstheme="minorHAnsi"/>
                <w:sz w:val="20"/>
                <w:szCs w:val="20"/>
              </w:rPr>
              <w:t xml:space="preserve"> </w:t>
            </w:r>
            <w:r w:rsidR="0098765D" w:rsidRPr="004A278B">
              <w:rPr>
                <w:rFonts w:eastAsiaTheme="majorEastAsia" w:cstheme="minorHAnsi"/>
                <w:sz w:val="20"/>
                <w:szCs w:val="20"/>
              </w:rPr>
              <w:t>energy storage are</w:t>
            </w:r>
            <w:r w:rsidR="00610782" w:rsidRPr="004A278B">
              <w:rPr>
                <w:rFonts w:eastAsiaTheme="majorEastAsia" w:cstheme="minorHAnsi"/>
                <w:sz w:val="20"/>
                <w:szCs w:val="20"/>
              </w:rPr>
              <w:t xml:space="preserve"> currently </w:t>
            </w:r>
            <w:r w:rsidR="001B24B4" w:rsidRPr="004A278B">
              <w:rPr>
                <w:rFonts w:eastAsiaTheme="majorEastAsia" w:cstheme="minorHAnsi"/>
                <w:sz w:val="20"/>
                <w:szCs w:val="20"/>
              </w:rPr>
              <w:t>being installed in five more outer islands</w:t>
            </w:r>
            <w:r w:rsidR="0054112F" w:rsidRPr="004A278B">
              <w:rPr>
                <w:rFonts w:eastAsiaTheme="majorEastAsia" w:cstheme="minorHAnsi"/>
                <w:sz w:val="20"/>
                <w:szCs w:val="20"/>
              </w:rPr>
              <w:t>.</w:t>
            </w:r>
          </w:p>
        </w:tc>
      </w:tr>
      <w:tr w:rsidR="001A7ED5" w:rsidRPr="00274483" w14:paraId="379A9568" w14:textId="77777777" w:rsidTr="00232B45">
        <w:trPr>
          <w:tblHeader/>
        </w:trPr>
        <w:tc>
          <w:tcPr>
            <w:tcW w:w="2263" w:type="dxa"/>
          </w:tcPr>
          <w:p w14:paraId="50653549" w14:textId="09A8D45A" w:rsidR="002D6109" w:rsidRPr="004A278B" w:rsidRDefault="002D6109" w:rsidP="00615E3F">
            <w:pPr>
              <w:pStyle w:val="BodyText"/>
              <w:spacing w:before="40" w:after="40" w:line="240" w:lineRule="auto"/>
              <w:rPr>
                <w:rFonts w:eastAsiaTheme="majorEastAsia" w:cstheme="minorHAnsi"/>
                <w:sz w:val="20"/>
                <w:szCs w:val="20"/>
              </w:rPr>
            </w:pPr>
            <w:r w:rsidRPr="004A278B">
              <w:rPr>
                <w:rFonts w:eastAsiaTheme="majorEastAsia" w:cstheme="minorHAnsi"/>
                <w:sz w:val="20"/>
                <w:szCs w:val="20"/>
              </w:rPr>
              <w:t>Objective 3</w:t>
            </w:r>
            <w:r w:rsidR="00C055B8">
              <w:rPr>
                <w:rFonts w:eastAsiaTheme="majorEastAsia" w:cstheme="minorHAnsi"/>
                <w:sz w:val="20"/>
                <w:szCs w:val="20"/>
              </w:rPr>
              <w:t>.</w:t>
            </w:r>
            <w:r w:rsidRPr="004A278B">
              <w:rPr>
                <w:rFonts w:eastAsiaTheme="majorEastAsia" w:cstheme="minorHAnsi"/>
                <w:sz w:val="20"/>
                <w:szCs w:val="20"/>
              </w:rPr>
              <w:t xml:space="preserve"> </w:t>
            </w:r>
          </w:p>
          <w:p w14:paraId="745E01A6" w14:textId="037591C0" w:rsidR="001A7ED5" w:rsidRPr="004A278B" w:rsidRDefault="006A2DD2" w:rsidP="00615E3F">
            <w:pPr>
              <w:pStyle w:val="BodyText"/>
              <w:spacing w:before="40" w:after="40" w:line="240" w:lineRule="auto"/>
              <w:rPr>
                <w:rFonts w:eastAsiaTheme="majorEastAsia" w:cstheme="minorHAnsi"/>
                <w:sz w:val="20"/>
                <w:szCs w:val="20"/>
              </w:rPr>
            </w:pPr>
            <w:r w:rsidRPr="004A278B">
              <w:rPr>
                <w:rFonts w:eastAsiaTheme="majorEastAsia" w:cstheme="minorHAnsi"/>
                <w:sz w:val="20"/>
                <w:szCs w:val="20"/>
              </w:rPr>
              <w:t>I</w:t>
            </w:r>
            <w:r w:rsidR="00615E3F" w:rsidRPr="004A278B">
              <w:rPr>
                <w:rFonts w:eastAsiaTheme="majorEastAsia" w:cstheme="minorHAnsi"/>
                <w:sz w:val="20"/>
                <w:szCs w:val="20"/>
              </w:rPr>
              <w:t>mprove health system effectiveness, efficiency and equity</w:t>
            </w:r>
            <w:r w:rsidRPr="004A278B">
              <w:rPr>
                <w:rFonts w:eastAsiaTheme="majorEastAsia" w:cstheme="minorHAnsi"/>
                <w:sz w:val="20"/>
                <w:szCs w:val="20"/>
              </w:rPr>
              <w:t>.</w:t>
            </w:r>
          </w:p>
        </w:tc>
        <w:tc>
          <w:tcPr>
            <w:tcW w:w="3402" w:type="dxa"/>
          </w:tcPr>
          <w:p w14:paraId="557243E0" w14:textId="15CD66E7" w:rsidR="001A7ED5" w:rsidRPr="004A278B" w:rsidRDefault="00C055B8" w:rsidP="00032CB5">
            <w:pPr>
              <w:pStyle w:val="BodyText"/>
              <w:spacing w:before="40" w:after="40" w:line="240" w:lineRule="auto"/>
              <w:rPr>
                <w:rFonts w:eastAsiaTheme="majorEastAsia" w:cstheme="minorHAnsi"/>
                <w:sz w:val="20"/>
                <w:szCs w:val="20"/>
              </w:rPr>
            </w:pPr>
            <w:r w:rsidRPr="00C055B8">
              <w:rPr>
                <w:rFonts w:asciiTheme="majorHAnsi" w:eastAsiaTheme="majorEastAsia" w:hAnsiTheme="majorHAnsi" w:cstheme="majorHAnsi"/>
                <w:sz w:val="20"/>
                <w:szCs w:val="20"/>
              </w:rPr>
              <w:t>3.1</w:t>
            </w:r>
            <w:r>
              <w:rPr>
                <w:rFonts w:eastAsiaTheme="majorEastAsia" w:cstheme="minorHAnsi"/>
                <w:sz w:val="20"/>
                <w:szCs w:val="20"/>
              </w:rPr>
              <w:t xml:space="preserve"> </w:t>
            </w:r>
            <w:r w:rsidR="00615E3F" w:rsidRPr="004A278B">
              <w:rPr>
                <w:rFonts w:eastAsiaTheme="majorEastAsia" w:cstheme="minorHAnsi"/>
                <w:sz w:val="20"/>
                <w:szCs w:val="20"/>
              </w:rPr>
              <w:t>Ministry of Health</w:t>
            </w:r>
            <w:r w:rsidR="003F58F5" w:rsidRPr="004A278B">
              <w:rPr>
                <w:rFonts w:eastAsiaTheme="majorEastAsia" w:cstheme="minorHAnsi"/>
                <w:sz w:val="20"/>
                <w:szCs w:val="20"/>
              </w:rPr>
              <w:t xml:space="preserve"> (</w:t>
            </w:r>
            <w:proofErr w:type="spellStart"/>
            <w:r w:rsidR="003F58F5" w:rsidRPr="004A278B">
              <w:rPr>
                <w:rFonts w:eastAsiaTheme="majorEastAsia" w:cstheme="minorHAnsi"/>
                <w:sz w:val="20"/>
                <w:szCs w:val="20"/>
              </w:rPr>
              <w:t>MoH</w:t>
            </w:r>
            <w:proofErr w:type="spellEnd"/>
            <w:r w:rsidR="003F58F5" w:rsidRPr="004A278B">
              <w:rPr>
                <w:rFonts w:eastAsiaTheme="majorEastAsia" w:cstheme="minorHAnsi"/>
                <w:sz w:val="20"/>
                <w:szCs w:val="20"/>
              </w:rPr>
              <w:t>)</w:t>
            </w:r>
            <w:r w:rsidR="00615E3F" w:rsidRPr="004A278B">
              <w:rPr>
                <w:rFonts w:eastAsiaTheme="majorEastAsia" w:cstheme="minorHAnsi"/>
                <w:sz w:val="20"/>
                <w:szCs w:val="20"/>
              </w:rPr>
              <w:t xml:space="preserve"> and Tonga Health budgets (separately considered and excluding donor funds) as a percentage of the total government budget do not decrease against the 2015 baseline, and the proportion of the 2019-20 </w:t>
            </w:r>
            <w:proofErr w:type="spellStart"/>
            <w:r w:rsidR="003F58F5" w:rsidRPr="004A278B">
              <w:rPr>
                <w:rFonts w:eastAsiaTheme="majorEastAsia" w:cstheme="minorHAnsi"/>
                <w:sz w:val="20"/>
                <w:szCs w:val="20"/>
              </w:rPr>
              <w:t>MoH</w:t>
            </w:r>
            <w:proofErr w:type="spellEnd"/>
            <w:r w:rsidR="00615E3F" w:rsidRPr="004A278B">
              <w:rPr>
                <w:rFonts w:eastAsiaTheme="majorEastAsia" w:cstheme="minorHAnsi"/>
                <w:sz w:val="20"/>
                <w:szCs w:val="20"/>
              </w:rPr>
              <w:t xml:space="preserve"> budget</w:t>
            </w:r>
            <w:r w:rsidR="006A2DD2" w:rsidRPr="004A278B">
              <w:rPr>
                <w:rFonts w:eastAsiaTheme="majorEastAsia" w:cstheme="minorHAnsi"/>
                <w:sz w:val="20"/>
                <w:szCs w:val="20"/>
              </w:rPr>
              <w:t xml:space="preserve"> </w:t>
            </w:r>
            <w:r w:rsidR="00615E3F" w:rsidRPr="004A278B">
              <w:rPr>
                <w:rFonts w:eastAsiaTheme="majorEastAsia" w:cstheme="minorHAnsi"/>
                <w:sz w:val="20"/>
                <w:szCs w:val="20"/>
              </w:rPr>
              <w:t>(excluding donor funds) allocated to the Public Health Division, has continued to increase from the 2018-19 level</w:t>
            </w:r>
            <w:r w:rsidR="001B24B4" w:rsidRPr="004A278B">
              <w:rPr>
                <w:rFonts w:eastAsiaTheme="majorEastAsia" w:cstheme="minorHAnsi"/>
                <w:sz w:val="20"/>
                <w:szCs w:val="20"/>
              </w:rPr>
              <w:t>.</w:t>
            </w:r>
          </w:p>
        </w:tc>
        <w:tc>
          <w:tcPr>
            <w:tcW w:w="4536" w:type="dxa"/>
            <w:shd w:val="clear" w:color="auto" w:fill="auto"/>
          </w:tcPr>
          <w:p w14:paraId="1BA2CAE9" w14:textId="7FA7253D" w:rsidR="00C45879" w:rsidRPr="004A278B" w:rsidRDefault="00C055B8" w:rsidP="001A7ED5">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00C45879" w:rsidRPr="004A278B">
              <w:rPr>
                <w:rFonts w:eastAsiaTheme="majorEastAsia" w:cstheme="minorHAnsi"/>
                <w:sz w:val="20"/>
                <w:szCs w:val="20"/>
              </w:rPr>
              <w:t xml:space="preserve">This year, Tonga has again met the agreed high-level targets to: </w:t>
            </w:r>
          </w:p>
          <w:p w14:paraId="4F4EFAA6" w14:textId="77777777" w:rsidR="00C45879" w:rsidRPr="004A278B" w:rsidRDefault="00C45879" w:rsidP="00C45879">
            <w:pPr>
              <w:pStyle w:val="BodyText"/>
              <w:numPr>
                <w:ilvl w:val="0"/>
                <w:numId w:val="46"/>
              </w:numPr>
              <w:spacing w:before="40" w:after="40" w:line="240" w:lineRule="auto"/>
              <w:ind w:left="461"/>
              <w:rPr>
                <w:rFonts w:eastAsiaTheme="majorEastAsia" w:cstheme="minorHAnsi"/>
                <w:sz w:val="20"/>
                <w:szCs w:val="20"/>
              </w:rPr>
            </w:pPr>
            <w:r w:rsidRPr="004A278B">
              <w:rPr>
                <w:rFonts w:eastAsiaTheme="majorEastAsia" w:cstheme="minorHAnsi"/>
                <w:sz w:val="20"/>
                <w:szCs w:val="20"/>
              </w:rPr>
              <w:t>maintain the budget allocations as a percentage of the Government of Tonga budget; and</w:t>
            </w:r>
          </w:p>
          <w:p w14:paraId="23F2A060" w14:textId="77777777" w:rsidR="00C45879" w:rsidRPr="004A278B" w:rsidRDefault="00032CB5" w:rsidP="00C45879">
            <w:pPr>
              <w:pStyle w:val="BodyText"/>
              <w:numPr>
                <w:ilvl w:val="0"/>
                <w:numId w:val="46"/>
              </w:numPr>
              <w:spacing w:before="40" w:after="40" w:line="240" w:lineRule="auto"/>
              <w:ind w:left="461"/>
              <w:rPr>
                <w:rFonts w:eastAsiaTheme="majorEastAsia" w:cstheme="minorHAnsi"/>
                <w:sz w:val="20"/>
                <w:szCs w:val="20"/>
              </w:rPr>
            </w:pPr>
            <w:r w:rsidRPr="004A278B">
              <w:rPr>
                <w:rFonts w:eastAsiaTheme="majorEastAsia" w:cstheme="minorHAnsi"/>
                <w:sz w:val="20"/>
                <w:szCs w:val="20"/>
              </w:rPr>
              <w:t>i</w:t>
            </w:r>
            <w:r w:rsidR="00C45879" w:rsidRPr="004A278B">
              <w:rPr>
                <w:rFonts w:eastAsiaTheme="majorEastAsia" w:cstheme="minorHAnsi"/>
                <w:sz w:val="20"/>
                <w:szCs w:val="20"/>
              </w:rPr>
              <w:t>ncrease funding to the preventative health budget (from 12.8</w:t>
            </w:r>
            <w:r w:rsidR="00E72C99" w:rsidRPr="004A278B">
              <w:rPr>
                <w:rFonts w:eastAsiaTheme="majorEastAsia" w:cstheme="minorHAnsi"/>
                <w:sz w:val="20"/>
                <w:szCs w:val="20"/>
              </w:rPr>
              <w:t xml:space="preserve"> per cent</w:t>
            </w:r>
            <w:r w:rsidR="00C45879" w:rsidRPr="004A278B">
              <w:rPr>
                <w:rFonts w:eastAsiaTheme="majorEastAsia" w:cstheme="minorHAnsi"/>
                <w:sz w:val="20"/>
                <w:szCs w:val="20"/>
              </w:rPr>
              <w:t xml:space="preserve"> to 15.7</w:t>
            </w:r>
            <w:r w:rsidR="00E72C99" w:rsidRPr="004A278B">
              <w:rPr>
                <w:rFonts w:eastAsiaTheme="majorEastAsia" w:cstheme="minorHAnsi"/>
                <w:sz w:val="20"/>
                <w:szCs w:val="20"/>
              </w:rPr>
              <w:t xml:space="preserve"> per cent</w:t>
            </w:r>
            <w:r w:rsidR="00C45879" w:rsidRPr="004A278B">
              <w:rPr>
                <w:rFonts w:eastAsiaTheme="majorEastAsia" w:cstheme="minorHAnsi"/>
                <w:sz w:val="20"/>
                <w:szCs w:val="20"/>
              </w:rPr>
              <w:t xml:space="preserve"> of the </w:t>
            </w:r>
            <w:proofErr w:type="spellStart"/>
            <w:r w:rsidR="003F58F5" w:rsidRPr="004A278B">
              <w:rPr>
                <w:rFonts w:eastAsiaTheme="majorEastAsia" w:cstheme="minorHAnsi"/>
                <w:sz w:val="20"/>
                <w:szCs w:val="20"/>
              </w:rPr>
              <w:t>MoH</w:t>
            </w:r>
            <w:proofErr w:type="spellEnd"/>
            <w:r w:rsidR="00C45879" w:rsidRPr="004A278B">
              <w:rPr>
                <w:rFonts w:eastAsiaTheme="majorEastAsia" w:cstheme="minorHAnsi"/>
                <w:sz w:val="20"/>
                <w:szCs w:val="20"/>
              </w:rPr>
              <w:t xml:space="preserve"> budget).</w:t>
            </w:r>
          </w:p>
          <w:p w14:paraId="2DFF5632" w14:textId="77777777" w:rsidR="0005792F" w:rsidRPr="004A278B" w:rsidRDefault="00AA785B" w:rsidP="009208FC">
            <w:pPr>
              <w:pStyle w:val="BodyText"/>
              <w:spacing w:before="40" w:after="40" w:line="240" w:lineRule="auto"/>
              <w:rPr>
                <w:rFonts w:eastAsiaTheme="majorEastAsia" w:cstheme="minorHAnsi"/>
                <w:sz w:val="20"/>
                <w:szCs w:val="20"/>
              </w:rPr>
            </w:pPr>
            <w:r w:rsidRPr="004A278B">
              <w:rPr>
                <w:rFonts w:eastAsiaTheme="majorEastAsia" w:cstheme="minorHAnsi"/>
                <w:sz w:val="20"/>
                <w:szCs w:val="20"/>
              </w:rPr>
              <w:t xml:space="preserve">Australia’s </w:t>
            </w:r>
            <w:r w:rsidR="001B24B4" w:rsidRPr="004A278B">
              <w:rPr>
                <w:rFonts w:eastAsiaTheme="majorEastAsia" w:cstheme="minorHAnsi"/>
                <w:sz w:val="20"/>
                <w:szCs w:val="20"/>
              </w:rPr>
              <w:t>COVID</w:t>
            </w:r>
            <w:r w:rsidR="0005792F" w:rsidRPr="004A278B">
              <w:rPr>
                <w:rFonts w:eastAsiaTheme="majorEastAsia" w:cstheme="minorHAnsi"/>
                <w:sz w:val="20"/>
                <w:szCs w:val="20"/>
              </w:rPr>
              <w:t xml:space="preserve">-19 package delivered </w:t>
            </w:r>
            <w:r w:rsidR="001D2E81" w:rsidRPr="004A278B">
              <w:rPr>
                <w:rFonts w:eastAsiaTheme="majorEastAsia" w:cstheme="minorHAnsi"/>
                <w:sz w:val="20"/>
                <w:szCs w:val="20"/>
              </w:rPr>
              <w:t>$</w:t>
            </w:r>
            <w:r w:rsidR="0005792F" w:rsidRPr="004A278B">
              <w:rPr>
                <w:rFonts w:eastAsiaTheme="majorEastAsia" w:cstheme="minorHAnsi"/>
                <w:sz w:val="20"/>
                <w:szCs w:val="20"/>
              </w:rPr>
              <w:t>1</w:t>
            </w:r>
            <w:r w:rsidR="001D2E81" w:rsidRPr="004A278B">
              <w:rPr>
                <w:rFonts w:eastAsiaTheme="majorEastAsia" w:cstheme="minorHAnsi"/>
                <w:sz w:val="20"/>
                <w:szCs w:val="20"/>
              </w:rPr>
              <w:t xml:space="preserve"> </w:t>
            </w:r>
            <w:r w:rsidR="0005792F" w:rsidRPr="004A278B">
              <w:rPr>
                <w:rFonts w:eastAsiaTheme="majorEastAsia" w:cstheme="minorHAnsi"/>
                <w:sz w:val="20"/>
                <w:szCs w:val="20"/>
              </w:rPr>
              <w:t>m</w:t>
            </w:r>
            <w:r w:rsidR="001D2E81" w:rsidRPr="004A278B">
              <w:rPr>
                <w:rFonts w:eastAsiaTheme="majorEastAsia" w:cstheme="minorHAnsi"/>
                <w:sz w:val="20"/>
                <w:szCs w:val="20"/>
              </w:rPr>
              <w:t>illion</w:t>
            </w:r>
            <w:r w:rsidR="0005792F" w:rsidRPr="004A278B">
              <w:rPr>
                <w:rFonts w:eastAsiaTheme="majorEastAsia" w:cstheme="minorHAnsi"/>
                <w:sz w:val="20"/>
                <w:szCs w:val="20"/>
              </w:rPr>
              <w:t xml:space="preserve"> direct to </w:t>
            </w:r>
            <w:r w:rsidR="001B24B4" w:rsidRPr="004A278B">
              <w:rPr>
                <w:rFonts w:eastAsiaTheme="majorEastAsia" w:cstheme="minorHAnsi"/>
                <w:sz w:val="20"/>
                <w:szCs w:val="20"/>
              </w:rPr>
              <w:t xml:space="preserve">the </w:t>
            </w:r>
            <w:proofErr w:type="spellStart"/>
            <w:r w:rsidR="00032CB5" w:rsidRPr="004A278B">
              <w:rPr>
                <w:rFonts w:eastAsiaTheme="majorEastAsia" w:cstheme="minorHAnsi"/>
                <w:sz w:val="20"/>
                <w:szCs w:val="20"/>
              </w:rPr>
              <w:t>MoH</w:t>
            </w:r>
            <w:proofErr w:type="spellEnd"/>
            <w:r w:rsidR="0005792F" w:rsidRPr="004A278B">
              <w:rPr>
                <w:rFonts w:eastAsiaTheme="majorEastAsia" w:cstheme="minorHAnsi"/>
                <w:sz w:val="20"/>
                <w:szCs w:val="20"/>
              </w:rPr>
              <w:t>.</w:t>
            </w:r>
          </w:p>
        </w:tc>
      </w:tr>
      <w:tr w:rsidR="001A7ED5" w:rsidRPr="00274483" w14:paraId="5B7C7190" w14:textId="77777777" w:rsidTr="00232B45">
        <w:trPr>
          <w:tblHeader/>
        </w:trPr>
        <w:tc>
          <w:tcPr>
            <w:tcW w:w="2263" w:type="dxa"/>
          </w:tcPr>
          <w:p w14:paraId="51DD99DC" w14:textId="63BEAFE5" w:rsidR="002D6109" w:rsidRPr="004A278B" w:rsidRDefault="00C055B8" w:rsidP="001A7ED5">
            <w:pPr>
              <w:pStyle w:val="BodyText"/>
              <w:spacing w:before="40" w:after="40" w:line="240" w:lineRule="auto"/>
              <w:rPr>
                <w:rFonts w:eastAsiaTheme="majorEastAsia" w:cstheme="minorHAnsi"/>
                <w:sz w:val="20"/>
                <w:szCs w:val="20"/>
              </w:rPr>
            </w:pPr>
            <w:r>
              <w:rPr>
                <w:rFonts w:eastAsiaTheme="majorEastAsia" w:cstheme="minorHAnsi"/>
                <w:sz w:val="20"/>
                <w:szCs w:val="20"/>
              </w:rPr>
              <w:t>Objective 4.</w:t>
            </w:r>
            <w:r w:rsidR="002D6109" w:rsidRPr="004A278B">
              <w:rPr>
                <w:rFonts w:eastAsiaTheme="majorEastAsia" w:cstheme="minorHAnsi"/>
                <w:sz w:val="20"/>
                <w:szCs w:val="20"/>
              </w:rPr>
              <w:t xml:space="preserve"> </w:t>
            </w:r>
          </w:p>
          <w:p w14:paraId="40627712" w14:textId="5D4F9A41" w:rsidR="001A7ED5" w:rsidRPr="004A278B" w:rsidRDefault="006A2DD2" w:rsidP="001A7ED5">
            <w:pPr>
              <w:pStyle w:val="BodyText"/>
              <w:spacing w:before="40" w:after="40" w:line="240" w:lineRule="auto"/>
              <w:rPr>
                <w:rFonts w:eastAsiaTheme="majorEastAsia" w:cstheme="minorHAnsi"/>
                <w:sz w:val="20"/>
                <w:szCs w:val="20"/>
              </w:rPr>
            </w:pPr>
            <w:r w:rsidRPr="004A278B">
              <w:rPr>
                <w:rFonts w:eastAsiaTheme="majorEastAsia" w:cstheme="minorHAnsi"/>
                <w:sz w:val="20"/>
                <w:szCs w:val="20"/>
              </w:rPr>
              <w:t>R</w:t>
            </w:r>
            <w:r w:rsidR="00615E3F" w:rsidRPr="004A278B">
              <w:rPr>
                <w:rFonts w:eastAsiaTheme="majorEastAsia" w:cstheme="minorHAnsi"/>
                <w:sz w:val="20"/>
                <w:szCs w:val="20"/>
              </w:rPr>
              <w:t>educe the health and economic burden of NCDs</w:t>
            </w:r>
            <w:r w:rsidRPr="004A278B">
              <w:rPr>
                <w:rFonts w:eastAsiaTheme="majorEastAsia" w:cstheme="minorHAnsi"/>
                <w:sz w:val="20"/>
                <w:szCs w:val="20"/>
              </w:rPr>
              <w:t>.</w:t>
            </w:r>
          </w:p>
        </w:tc>
        <w:tc>
          <w:tcPr>
            <w:tcW w:w="3402" w:type="dxa"/>
          </w:tcPr>
          <w:p w14:paraId="1C7EC189" w14:textId="69E79855" w:rsidR="001A7ED5" w:rsidRPr="004A278B" w:rsidRDefault="00C055B8" w:rsidP="001B24B4">
            <w:pPr>
              <w:pStyle w:val="BodyText"/>
              <w:spacing w:before="40" w:after="40" w:line="240" w:lineRule="auto"/>
              <w:rPr>
                <w:rFonts w:eastAsiaTheme="majorEastAsia" w:cstheme="minorHAnsi"/>
                <w:sz w:val="20"/>
                <w:szCs w:val="20"/>
              </w:rPr>
            </w:pPr>
            <w:r w:rsidRPr="00C055B8">
              <w:rPr>
                <w:rFonts w:asciiTheme="majorHAnsi" w:eastAsiaTheme="majorEastAsia" w:hAnsiTheme="majorHAnsi" w:cstheme="majorHAnsi"/>
                <w:sz w:val="20"/>
                <w:szCs w:val="20"/>
              </w:rPr>
              <w:t>4.1</w:t>
            </w:r>
            <w:r>
              <w:rPr>
                <w:rFonts w:eastAsiaTheme="majorEastAsia" w:cstheme="minorHAnsi"/>
                <w:sz w:val="20"/>
                <w:szCs w:val="20"/>
              </w:rPr>
              <w:t xml:space="preserve"> </w:t>
            </w:r>
            <w:r w:rsidR="00615E3F" w:rsidRPr="004A278B">
              <w:rPr>
                <w:rFonts w:eastAsiaTheme="majorEastAsia" w:cstheme="minorHAnsi"/>
                <w:sz w:val="20"/>
                <w:szCs w:val="20"/>
              </w:rPr>
              <w:t>Launch of a multi-year, national scale, health</w:t>
            </w:r>
            <w:r w:rsidR="001B24B4" w:rsidRPr="004A278B">
              <w:rPr>
                <w:rFonts w:eastAsiaTheme="majorEastAsia" w:cstheme="minorHAnsi"/>
                <w:sz w:val="20"/>
                <w:szCs w:val="20"/>
              </w:rPr>
              <w:t>y</w:t>
            </w:r>
            <w:r w:rsidR="00615E3F" w:rsidRPr="004A278B">
              <w:rPr>
                <w:rFonts w:eastAsiaTheme="majorEastAsia" w:cstheme="minorHAnsi"/>
                <w:sz w:val="20"/>
                <w:szCs w:val="20"/>
              </w:rPr>
              <w:t xml:space="preserve"> eating public awareness campaign that improves healthy eating behaviours. Decrease in the rates of premature deaths and preventable disability related to NCDs in men and women. </w:t>
            </w:r>
          </w:p>
        </w:tc>
        <w:tc>
          <w:tcPr>
            <w:tcW w:w="4536" w:type="dxa"/>
            <w:shd w:val="clear" w:color="auto" w:fill="auto"/>
          </w:tcPr>
          <w:p w14:paraId="45D36FFF" w14:textId="3251C1A9" w:rsidR="001A7ED5" w:rsidRPr="004A278B" w:rsidRDefault="00C055B8" w:rsidP="0098765D">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009E4D2F" w:rsidRPr="004A278B">
              <w:rPr>
                <w:rFonts w:eastAsiaTheme="majorEastAsia" w:cstheme="minorHAnsi"/>
                <w:sz w:val="20"/>
                <w:szCs w:val="20"/>
              </w:rPr>
              <w:t xml:space="preserve">A </w:t>
            </w:r>
            <w:r w:rsidR="001B24B4" w:rsidRPr="004A278B">
              <w:rPr>
                <w:rFonts w:eastAsiaTheme="majorEastAsia" w:cstheme="minorHAnsi"/>
                <w:sz w:val="20"/>
                <w:szCs w:val="20"/>
              </w:rPr>
              <w:t>multi-year</w:t>
            </w:r>
            <w:r w:rsidR="0072769E" w:rsidRPr="004A278B">
              <w:rPr>
                <w:rFonts w:eastAsiaTheme="majorEastAsia" w:cstheme="minorHAnsi"/>
                <w:sz w:val="20"/>
                <w:szCs w:val="20"/>
              </w:rPr>
              <w:t xml:space="preserve"> </w:t>
            </w:r>
            <w:r w:rsidR="009E4D2F" w:rsidRPr="004A278B">
              <w:rPr>
                <w:rFonts w:eastAsiaTheme="majorEastAsia" w:cstheme="minorHAnsi"/>
                <w:sz w:val="20"/>
                <w:szCs w:val="20"/>
              </w:rPr>
              <w:t xml:space="preserve">national campaign for healthy eating </w:t>
            </w:r>
            <w:r w:rsidR="006A2DD2" w:rsidRPr="004A278B">
              <w:rPr>
                <w:rFonts w:eastAsiaTheme="majorEastAsia" w:cstheme="minorHAnsi"/>
                <w:sz w:val="20"/>
                <w:szCs w:val="20"/>
              </w:rPr>
              <w:t>commenced</w:t>
            </w:r>
            <w:r w:rsidR="00EC4981" w:rsidRPr="004A278B">
              <w:rPr>
                <w:rFonts w:eastAsiaTheme="majorEastAsia" w:cstheme="minorHAnsi"/>
                <w:sz w:val="20"/>
                <w:szCs w:val="20"/>
              </w:rPr>
              <w:t xml:space="preserve"> 17 April 2019 </w:t>
            </w:r>
            <w:r w:rsidR="006A2DD2" w:rsidRPr="004A278B">
              <w:rPr>
                <w:rFonts w:eastAsiaTheme="majorEastAsia" w:cstheme="minorHAnsi"/>
                <w:sz w:val="20"/>
                <w:szCs w:val="20"/>
              </w:rPr>
              <w:t>and implementation continues</w:t>
            </w:r>
            <w:r w:rsidR="009E4D2F" w:rsidRPr="004A278B">
              <w:rPr>
                <w:rFonts w:eastAsiaTheme="majorEastAsia" w:cstheme="minorHAnsi"/>
                <w:sz w:val="20"/>
                <w:szCs w:val="20"/>
              </w:rPr>
              <w:t xml:space="preserve">. </w:t>
            </w:r>
            <w:r w:rsidR="001B24B4" w:rsidRPr="004A278B">
              <w:rPr>
                <w:rFonts w:eastAsiaTheme="majorEastAsia" w:cstheme="minorHAnsi"/>
                <w:sz w:val="20"/>
                <w:szCs w:val="20"/>
              </w:rPr>
              <w:t>D</w:t>
            </w:r>
            <w:r w:rsidR="009E4D2F" w:rsidRPr="004A278B">
              <w:rPr>
                <w:rFonts w:eastAsiaTheme="majorEastAsia" w:cstheme="minorHAnsi"/>
                <w:sz w:val="20"/>
                <w:szCs w:val="20"/>
              </w:rPr>
              <w:t>ata on ra</w:t>
            </w:r>
            <w:r w:rsidR="00691780" w:rsidRPr="004A278B">
              <w:rPr>
                <w:rFonts w:eastAsiaTheme="majorEastAsia" w:cstheme="minorHAnsi"/>
                <w:sz w:val="20"/>
                <w:szCs w:val="20"/>
              </w:rPr>
              <w:t>tes of premature deaths and prev</w:t>
            </w:r>
            <w:r w:rsidR="009E4D2F" w:rsidRPr="004A278B">
              <w:rPr>
                <w:rFonts w:eastAsiaTheme="majorEastAsia" w:cstheme="minorHAnsi"/>
                <w:sz w:val="20"/>
                <w:szCs w:val="20"/>
              </w:rPr>
              <w:t xml:space="preserve">entable disability related to </w:t>
            </w:r>
            <w:r w:rsidR="001B24B4" w:rsidRPr="004A278B">
              <w:rPr>
                <w:rFonts w:eastAsiaTheme="majorEastAsia" w:cstheme="minorHAnsi"/>
                <w:sz w:val="20"/>
                <w:szCs w:val="20"/>
              </w:rPr>
              <w:t>NCDs</w:t>
            </w:r>
            <w:r w:rsidR="006A2DD2" w:rsidRPr="004A278B">
              <w:rPr>
                <w:rFonts w:eastAsiaTheme="majorEastAsia" w:cstheme="minorHAnsi"/>
                <w:sz w:val="20"/>
                <w:szCs w:val="20"/>
              </w:rPr>
              <w:t xml:space="preserve"> </w:t>
            </w:r>
            <w:r w:rsidR="001F762F" w:rsidRPr="004A278B">
              <w:rPr>
                <w:rFonts w:eastAsiaTheme="majorEastAsia" w:cstheme="minorHAnsi"/>
                <w:sz w:val="20"/>
                <w:szCs w:val="20"/>
              </w:rPr>
              <w:t>ha</w:t>
            </w:r>
            <w:r w:rsidR="0098765D" w:rsidRPr="004A278B">
              <w:rPr>
                <w:rFonts w:eastAsiaTheme="majorEastAsia" w:cstheme="minorHAnsi"/>
                <w:sz w:val="20"/>
                <w:szCs w:val="20"/>
              </w:rPr>
              <w:t>s</w:t>
            </w:r>
            <w:r w:rsidR="006A2DD2" w:rsidRPr="004A278B">
              <w:rPr>
                <w:rFonts w:eastAsiaTheme="majorEastAsia" w:cstheme="minorHAnsi"/>
                <w:sz w:val="20"/>
                <w:szCs w:val="20"/>
              </w:rPr>
              <w:t xml:space="preserve"> not been collected du</w:t>
            </w:r>
            <w:r w:rsidR="009E4D2F" w:rsidRPr="004A278B">
              <w:rPr>
                <w:rFonts w:eastAsiaTheme="majorEastAsia" w:cstheme="minorHAnsi"/>
                <w:sz w:val="20"/>
                <w:szCs w:val="20"/>
              </w:rPr>
              <w:t xml:space="preserve">e to </w:t>
            </w:r>
            <w:r w:rsidR="001B24B4" w:rsidRPr="004A278B">
              <w:rPr>
                <w:rFonts w:eastAsiaTheme="majorEastAsia" w:cstheme="minorHAnsi"/>
                <w:sz w:val="20"/>
                <w:szCs w:val="20"/>
              </w:rPr>
              <w:t>COVID</w:t>
            </w:r>
            <w:r w:rsidR="009E4D2F" w:rsidRPr="004A278B">
              <w:rPr>
                <w:rFonts w:eastAsiaTheme="majorEastAsia" w:cstheme="minorHAnsi"/>
                <w:sz w:val="20"/>
                <w:szCs w:val="20"/>
              </w:rPr>
              <w:t xml:space="preserve">-19 </w:t>
            </w:r>
            <w:r w:rsidR="006A2DD2" w:rsidRPr="004A278B">
              <w:rPr>
                <w:rFonts w:eastAsiaTheme="majorEastAsia" w:cstheme="minorHAnsi"/>
                <w:sz w:val="20"/>
                <w:szCs w:val="20"/>
              </w:rPr>
              <w:t>pressure</w:t>
            </w:r>
            <w:r w:rsidR="009E4D2F" w:rsidRPr="004A278B">
              <w:rPr>
                <w:rFonts w:eastAsiaTheme="majorEastAsia" w:cstheme="minorHAnsi"/>
                <w:sz w:val="20"/>
                <w:szCs w:val="20"/>
              </w:rPr>
              <w:t xml:space="preserve">. </w:t>
            </w:r>
          </w:p>
        </w:tc>
      </w:tr>
      <w:tr w:rsidR="001A7ED5" w:rsidRPr="00274483" w14:paraId="5745C4AB" w14:textId="77777777" w:rsidTr="00232B45">
        <w:trPr>
          <w:tblHeader/>
        </w:trPr>
        <w:tc>
          <w:tcPr>
            <w:tcW w:w="2263" w:type="dxa"/>
          </w:tcPr>
          <w:p w14:paraId="3E322293" w14:textId="57C7E1C7" w:rsidR="002D6109" w:rsidRPr="004A278B" w:rsidRDefault="002D6109" w:rsidP="001A7ED5">
            <w:pPr>
              <w:pStyle w:val="BodyText"/>
              <w:spacing w:before="40" w:after="40" w:line="240" w:lineRule="auto"/>
              <w:rPr>
                <w:rFonts w:eastAsiaTheme="majorEastAsia" w:cstheme="minorHAnsi"/>
                <w:sz w:val="20"/>
                <w:szCs w:val="20"/>
              </w:rPr>
            </w:pPr>
            <w:r w:rsidRPr="004A278B">
              <w:rPr>
                <w:rFonts w:eastAsiaTheme="majorEastAsia" w:cstheme="minorHAnsi"/>
                <w:sz w:val="20"/>
                <w:szCs w:val="20"/>
              </w:rPr>
              <w:t>Objective 5</w:t>
            </w:r>
            <w:r w:rsidR="00C055B8">
              <w:rPr>
                <w:rFonts w:eastAsiaTheme="majorEastAsia" w:cstheme="minorHAnsi"/>
                <w:sz w:val="20"/>
                <w:szCs w:val="20"/>
              </w:rPr>
              <w:t>.</w:t>
            </w:r>
            <w:r w:rsidRPr="004A278B">
              <w:rPr>
                <w:rFonts w:eastAsiaTheme="majorEastAsia" w:cstheme="minorHAnsi"/>
                <w:sz w:val="20"/>
                <w:szCs w:val="20"/>
              </w:rPr>
              <w:t xml:space="preserve"> </w:t>
            </w:r>
          </w:p>
          <w:p w14:paraId="501D78AE" w14:textId="5E1A9E27" w:rsidR="001A7ED5" w:rsidRPr="004A278B" w:rsidRDefault="006A2DD2" w:rsidP="001A7ED5">
            <w:pPr>
              <w:pStyle w:val="BodyText"/>
              <w:spacing w:before="40" w:after="40" w:line="240" w:lineRule="auto"/>
              <w:rPr>
                <w:rFonts w:eastAsiaTheme="majorEastAsia" w:cstheme="minorHAnsi"/>
                <w:sz w:val="20"/>
                <w:szCs w:val="20"/>
              </w:rPr>
            </w:pPr>
            <w:r w:rsidRPr="004A278B">
              <w:rPr>
                <w:rFonts w:eastAsiaTheme="majorEastAsia" w:cstheme="minorHAnsi"/>
                <w:sz w:val="20"/>
                <w:szCs w:val="20"/>
              </w:rPr>
              <w:t>I</w:t>
            </w:r>
            <w:r w:rsidR="00615E3F" w:rsidRPr="004A278B">
              <w:rPr>
                <w:rFonts w:eastAsiaTheme="majorEastAsia" w:cstheme="minorHAnsi"/>
                <w:sz w:val="20"/>
                <w:szCs w:val="20"/>
              </w:rPr>
              <w:t xml:space="preserve">ncrease the number of Tongans, especially </w:t>
            </w:r>
            <w:r w:rsidR="00AE55B9" w:rsidRPr="004A278B">
              <w:rPr>
                <w:rFonts w:eastAsiaTheme="majorEastAsia" w:cstheme="minorHAnsi"/>
                <w:sz w:val="20"/>
                <w:szCs w:val="20"/>
              </w:rPr>
              <w:t>women and those with disability</w:t>
            </w:r>
            <w:r w:rsidR="00615E3F" w:rsidRPr="004A278B">
              <w:rPr>
                <w:rFonts w:eastAsiaTheme="majorEastAsia" w:cstheme="minorHAnsi"/>
                <w:sz w:val="20"/>
                <w:szCs w:val="20"/>
              </w:rPr>
              <w:t xml:space="preserve"> that are skilled to meet priority areas of labour demand</w:t>
            </w:r>
            <w:r w:rsidRPr="004A278B">
              <w:rPr>
                <w:rFonts w:eastAsiaTheme="majorEastAsia" w:cstheme="minorHAnsi"/>
                <w:sz w:val="20"/>
                <w:szCs w:val="20"/>
              </w:rPr>
              <w:t>.</w:t>
            </w:r>
          </w:p>
        </w:tc>
        <w:tc>
          <w:tcPr>
            <w:tcW w:w="3402" w:type="dxa"/>
          </w:tcPr>
          <w:p w14:paraId="15AB7D1C" w14:textId="5AB0C657" w:rsidR="001A7ED5" w:rsidRPr="004A278B" w:rsidRDefault="00C055B8" w:rsidP="00E72C99">
            <w:pPr>
              <w:pStyle w:val="BodyText"/>
              <w:spacing w:before="40" w:after="40" w:line="240" w:lineRule="auto"/>
              <w:rPr>
                <w:rFonts w:eastAsiaTheme="majorEastAsia" w:cstheme="minorHAnsi"/>
                <w:sz w:val="20"/>
                <w:szCs w:val="20"/>
              </w:rPr>
            </w:pPr>
            <w:r w:rsidRPr="00C055B8">
              <w:rPr>
                <w:rFonts w:asciiTheme="majorHAnsi" w:eastAsiaTheme="majorEastAsia" w:hAnsiTheme="majorHAnsi" w:cstheme="majorHAnsi"/>
                <w:sz w:val="20"/>
                <w:szCs w:val="20"/>
              </w:rPr>
              <w:t>5.1</w:t>
            </w:r>
            <w:r>
              <w:rPr>
                <w:rFonts w:eastAsiaTheme="majorEastAsia" w:cstheme="minorHAnsi"/>
                <w:sz w:val="20"/>
                <w:szCs w:val="20"/>
              </w:rPr>
              <w:t xml:space="preserve"> </w:t>
            </w:r>
            <w:r w:rsidR="00615E3F" w:rsidRPr="004A278B">
              <w:rPr>
                <w:rFonts w:eastAsiaTheme="majorEastAsia" w:cstheme="minorHAnsi"/>
                <w:sz w:val="20"/>
                <w:szCs w:val="20"/>
              </w:rPr>
              <w:t>80</w:t>
            </w:r>
            <w:r w:rsidR="00E72C99" w:rsidRPr="004A278B">
              <w:rPr>
                <w:rFonts w:eastAsiaTheme="majorEastAsia" w:cstheme="minorHAnsi"/>
                <w:sz w:val="20"/>
                <w:szCs w:val="20"/>
              </w:rPr>
              <w:t xml:space="preserve"> per cent</w:t>
            </w:r>
            <w:r w:rsidR="00615E3F" w:rsidRPr="004A278B">
              <w:rPr>
                <w:rFonts w:eastAsiaTheme="majorEastAsia" w:cstheme="minorHAnsi"/>
                <w:sz w:val="20"/>
                <w:szCs w:val="20"/>
              </w:rPr>
              <w:t xml:space="preserve"> </w:t>
            </w:r>
            <w:r w:rsidR="00D571CB" w:rsidRPr="004A278B">
              <w:rPr>
                <w:rFonts w:eastAsiaTheme="majorEastAsia" w:cstheme="minorHAnsi"/>
                <w:sz w:val="20"/>
                <w:szCs w:val="20"/>
              </w:rPr>
              <w:t xml:space="preserve">of </w:t>
            </w:r>
            <w:r w:rsidR="001B24B4" w:rsidRPr="004A278B">
              <w:rPr>
                <w:rFonts w:eastAsiaTheme="majorEastAsia" w:cstheme="minorHAnsi"/>
                <w:sz w:val="20"/>
                <w:szCs w:val="20"/>
              </w:rPr>
              <w:t>skills for inclusive economic g</w:t>
            </w:r>
            <w:r w:rsidR="00615E3F" w:rsidRPr="004A278B">
              <w:rPr>
                <w:rFonts w:eastAsiaTheme="majorEastAsia" w:cstheme="minorHAnsi"/>
                <w:sz w:val="20"/>
                <w:szCs w:val="20"/>
              </w:rPr>
              <w:t>rowth and scholarship students complete quality educat</w:t>
            </w:r>
            <w:r w:rsidR="00D571CB" w:rsidRPr="004A278B">
              <w:rPr>
                <w:rFonts w:eastAsiaTheme="majorEastAsia" w:cstheme="minorHAnsi"/>
                <w:sz w:val="20"/>
                <w:szCs w:val="20"/>
              </w:rPr>
              <w:t>i</w:t>
            </w:r>
            <w:r w:rsidR="00615E3F" w:rsidRPr="004A278B">
              <w:rPr>
                <w:rFonts w:eastAsiaTheme="majorEastAsia" w:cstheme="minorHAnsi"/>
                <w:sz w:val="20"/>
                <w:szCs w:val="20"/>
              </w:rPr>
              <w:t xml:space="preserve">on, training and skills development opportunities aligned with labour market needs. </w:t>
            </w:r>
            <w:r w:rsidR="00415A4C" w:rsidRPr="004A278B">
              <w:rPr>
                <w:rFonts w:eastAsiaTheme="majorEastAsia" w:cstheme="minorHAnsi"/>
                <w:sz w:val="20"/>
                <w:szCs w:val="20"/>
              </w:rPr>
              <w:t>Ten</w:t>
            </w:r>
            <w:r w:rsidR="00E72C99" w:rsidRPr="004A278B">
              <w:rPr>
                <w:rFonts w:eastAsiaTheme="majorEastAsia" w:cstheme="minorHAnsi"/>
                <w:sz w:val="20"/>
                <w:szCs w:val="20"/>
              </w:rPr>
              <w:t xml:space="preserve"> per cent</w:t>
            </w:r>
            <w:r w:rsidR="00615E3F" w:rsidRPr="004A278B">
              <w:rPr>
                <w:rFonts w:eastAsiaTheme="majorEastAsia" w:cstheme="minorHAnsi"/>
                <w:sz w:val="20"/>
                <w:szCs w:val="20"/>
              </w:rPr>
              <w:t xml:space="preserve"> of </w:t>
            </w:r>
            <w:r w:rsidR="00415A4C" w:rsidRPr="004A278B">
              <w:rPr>
                <w:rFonts w:eastAsiaTheme="majorEastAsia" w:cstheme="minorHAnsi"/>
                <w:sz w:val="20"/>
                <w:szCs w:val="20"/>
              </w:rPr>
              <w:t>U</w:t>
            </w:r>
            <w:r w:rsidR="00615E3F" w:rsidRPr="004A278B">
              <w:rPr>
                <w:rFonts w:eastAsiaTheme="majorEastAsia" w:cstheme="minorHAnsi"/>
                <w:sz w:val="20"/>
                <w:szCs w:val="20"/>
              </w:rPr>
              <w:t xml:space="preserve">niversity students are studying in non-traditional fields related to their gender. </w:t>
            </w:r>
          </w:p>
        </w:tc>
        <w:tc>
          <w:tcPr>
            <w:tcW w:w="4536" w:type="dxa"/>
            <w:shd w:val="clear" w:color="auto" w:fill="auto"/>
          </w:tcPr>
          <w:p w14:paraId="6EEB631A" w14:textId="40939A54" w:rsidR="002C2AFB" w:rsidRPr="004A278B" w:rsidRDefault="00C055B8" w:rsidP="0098765D">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00783961" w:rsidRPr="004A278B">
              <w:rPr>
                <w:rFonts w:eastAsiaTheme="majorEastAsia" w:cstheme="minorHAnsi"/>
                <w:sz w:val="20"/>
                <w:szCs w:val="20"/>
              </w:rPr>
              <w:t xml:space="preserve">In 2019-20, 80 per cent of students completed training and development that aligned with labour market needs. </w:t>
            </w:r>
            <w:r w:rsidR="00D232F0" w:rsidRPr="004A278B">
              <w:rPr>
                <w:rFonts w:eastAsiaTheme="majorEastAsia" w:cstheme="minorHAnsi"/>
                <w:sz w:val="20"/>
                <w:szCs w:val="20"/>
              </w:rPr>
              <w:t xml:space="preserve">Under </w:t>
            </w:r>
            <w:r w:rsidR="00F315D0" w:rsidRPr="004A278B">
              <w:rPr>
                <w:rFonts w:eastAsiaTheme="majorEastAsia" w:cstheme="minorHAnsi"/>
                <w:sz w:val="20"/>
                <w:szCs w:val="20"/>
              </w:rPr>
              <w:t xml:space="preserve">the </w:t>
            </w:r>
            <w:r w:rsidR="00610F75" w:rsidRPr="004A278B">
              <w:rPr>
                <w:rFonts w:eastAsiaTheme="majorEastAsia" w:cstheme="minorHAnsi"/>
                <w:sz w:val="20"/>
                <w:szCs w:val="20"/>
              </w:rPr>
              <w:t xml:space="preserve">Pacific Labour Scheme </w:t>
            </w:r>
            <w:r w:rsidR="00D232F0" w:rsidRPr="004A278B">
              <w:rPr>
                <w:rFonts w:eastAsiaTheme="majorEastAsia" w:cstheme="minorHAnsi"/>
                <w:sz w:val="20"/>
                <w:szCs w:val="20"/>
              </w:rPr>
              <w:t xml:space="preserve">a total of 47 </w:t>
            </w:r>
            <w:r w:rsidR="00032CB5" w:rsidRPr="004A278B">
              <w:rPr>
                <w:rFonts w:eastAsiaTheme="majorEastAsia" w:cstheme="minorHAnsi"/>
                <w:sz w:val="20"/>
                <w:szCs w:val="20"/>
              </w:rPr>
              <w:t xml:space="preserve">people </w:t>
            </w:r>
            <w:r w:rsidR="00D232F0" w:rsidRPr="004A278B">
              <w:rPr>
                <w:rFonts w:eastAsiaTheme="majorEastAsia" w:cstheme="minorHAnsi"/>
                <w:sz w:val="20"/>
                <w:szCs w:val="20"/>
              </w:rPr>
              <w:t>(</w:t>
            </w:r>
            <w:r w:rsidR="003F58F5" w:rsidRPr="004A278B">
              <w:rPr>
                <w:rFonts w:eastAsiaTheme="majorEastAsia" w:cstheme="minorHAnsi"/>
                <w:sz w:val="20"/>
                <w:szCs w:val="20"/>
              </w:rPr>
              <w:t>eight</w:t>
            </w:r>
            <w:r w:rsidR="00AA785B" w:rsidRPr="004A278B">
              <w:rPr>
                <w:rFonts w:eastAsiaTheme="majorEastAsia" w:cstheme="minorHAnsi"/>
                <w:sz w:val="20"/>
                <w:szCs w:val="20"/>
              </w:rPr>
              <w:t xml:space="preserve"> men and </w:t>
            </w:r>
            <w:r w:rsidR="00D232F0" w:rsidRPr="004A278B">
              <w:rPr>
                <w:rFonts w:eastAsiaTheme="majorEastAsia" w:cstheme="minorHAnsi"/>
                <w:sz w:val="20"/>
                <w:szCs w:val="20"/>
              </w:rPr>
              <w:t>39</w:t>
            </w:r>
            <w:r w:rsidR="00AA785B" w:rsidRPr="004A278B">
              <w:rPr>
                <w:rFonts w:eastAsiaTheme="majorEastAsia" w:cstheme="minorHAnsi"/>
                <w:sz w:val="20"/>
                <w:szCs w:val="20"/>
              </w:rPr>
              <w:t xml:space="preserve"> women</w:t>
            </w:r>
            <w:r w:rsidR="00D232F0" w:rsidRPr="004A278B">
              <w:rPr>
                <w:rFonts w:eastAsiaTheme="majorEastAsia" w:cstheme="minorHAnsi"/>
                <w:sz w:val="20"/>
                <w:szCs w:val="20"/>
              </w:rPr>
              <w:t xml:space="preserve">) </w:t>
            </w:r>
            <w:r w:rsidR="00F315D0" w:rsidRPr="004A278B">
              <w:rPr>
                <w:rFonts w:eastAsiaTheme="majorEastAsia" w:cstheme="minorHAnsi"/>
                <w:sz w:val="20"/>
                <w:szCs w:val="20"/>
              </w:rPr>
              <w:t xml:space="preserve">gained employment in semi-skilled work in </w:t>
            </w:r>
            <w:r w:rsidR="001B24B4" w:rsidRPr="004A278B">
              <w:rPr>
                <w:rFonts w:eastAsiaTheme="majorEastAsia" w:cstheme="minorHAnsi"/>
                <w:sz w:val="20"/>
                <w:szCs w:val="20"/>
              </w:rPr>
              <w:t>A</w:t>
            </w:r>
            <w:r w:rsidR="00F315D0" w:rsidRPr="004A278B">
              <w:rPr>
                <w:rFonts w:eastAsiaTheme="majorEastAsia" w:cstheme="minorHAnsi"/>
                <w:sz w:val="20"/>
                <w:szCs w:val="20"/>
              </w:rPr>
              <w:t>ustralia.</w:t>
            </w:r>
            <w:r w:rsidR="001B24B4" w:rsidRPr="004A278B">
              <w:rPr>
                <w:rFonts w:eastAsiaTheme="majorEastAsia" w:cstheme="minorHAnsi"/>
                <w:sz w:val="20"/>
                <w:szCs w:val="20"/>
              </w:rPr>
              <w:t xml:space="preserve"> </w:t>
            </w:r>
            <w:r w:rsidR="00AA785B" w:rsidRPr="004A278B">
              <w:rPr>
                <w:rFonts w:eastAsiaTheme="majorEastAsia" w:cstheme="minorHAnsi"/>
                <w:sz w:val="20"/>
                <w:szCs w:val="20"/>
              </w:rPr>
              <w:t xml:space="preserve">Australia </w:t>
            </w:r>
            <w:r w:rsidR="0005792F" w:rsidRPr="004A278B">
              <w:rPr>
                <w:rFonts w:eastAsiaTheme="majorEastAsia" w:cstheme="minorHAnsi"/>
                <w:sz w:val="20"/>
                <w:szCs w:val="20"/>
              </w:rPr>
              <w:t>also</w:t>
            </w:r>
            <w:r w:rsidR="002C2AFB" w:rsidRPr="004A278B">
              <w:rPr>
                <w:rFonts w:eastAsiaTheme="majorEastAsia" w:cstheme="minorHAnsi"/>
                <w:sz w:val="20"/>
                <w:szCs w:val="20"/>
              </w:rPr>
              <w:t xml:space="preserve"> </w:t>
            </w:r>
            <w:r w:rsidR="00691780" w:rsidRPr="004A278B">
              <w:rPr>
                <w:rFonts w:eastAsiaTheme="majorEastAsia" w:cstheme="minorHAnsi"/>
                <w:sz w:val="20"/>
                <w:szCs w:val="20"/>
              </w:rPr>
              <w:t>provided</w:t>
            </w:r>
            <w:r w:rsidR="002C2AFB" w:rsidRPr="004A278B">
              <w:rPr>
                <w:rFonts w:eastAsiaTheme="majorEastAsia" w:cstheme="minorHAnsi"/>
                <w:sz w:val="20"/>
                <w:szCs w:val="20"/>
              </w:rPr>
              <w:t xml:space="preserve"> higher </w:t>
            </w:r>
            <w:r w:rsidR="001B24B4" w:rsidRPr="004A278B">
              <w:rPr>
                <w:rFonts w:eastAsiaTheme="majorEastAsia" w:cstheme="minorHAnsi"/>
                <w:sz w:val="20"/>
                <w:szCs w:val="20"/>
              </w:rPr>
              <w:t>education</w:t>
            </w:r>
            <w:r w:rsidR="002C2AFB" w:rsidRPr="004A278B">
              <w:rPr>
                <w:rFonts w:eastAsiaTheme="majorEastAsia" w:cstheme="minorHAnsi"/>
                <w:sz w:val="20"/>
                <w:szCs w:val="20"/>
              </w:rPr>
              <w:t xml:space="preserve"> opportunities for Tongans, with 32 </w:t>
            </w:r>
            <w:r w:rsidR="00415A4C" w:rsidRPr="004A278B">
              <w:rPr>
                <w:rFonts w:eastAsiaTheme="majorEastAsia" w:cstheme="minorHAnsi"/>
                <w:sz w:val="20"/>
                <w:szCs w:val="20"/>
              </w:rPr>
              <w:t>u</w:t>
            </w:r>
            <w:r w:rsidR="002C2AFB" w:rsidRPr="004A278B">
              <w:rPr>
                <w:rFonts w:eastAsiaTheme="majorEastAsia" w:cstheme="minorHAnsi"/>
                <w:sz w:val="20"/>
                <w:szCs w:val="20"/>
              </w:rPr>
              <w:t xml:space="preserve">niversity students graduating from </w:t>
            </w:r>
            <w:r w:rsidR="001B24B4" w:rsidRPr="004A278B">
              <w:rPr>
                <w:rFonts w:eastAsiaTheme="majorEastAsia" w:cstheme="minorHAnsi"/>
                <w:sz w:val="20"/>
                <w:szCs w:val="20"/>
              </w:rPr>
              <w:t>Australian</w:t>
            </w:r>
            <w:r w:rsidR="002C2AFB" w:rsidRPr="004A278B">
              <w:rPr>
                <w:rFonts w:eastAsiaTheme="majorEastAsia" w:cstheme="minorHAnsi"/>
                <w:sz w:val="20"/>
                <w:szCs w:val="20"/>
              </w:rPr>
              <w:t xml:space="preserve"> and </w:t>
            </w:r>
            <w:r w:rsidR="00415A4C" w:rsidRPr="004A278B">
              <w:rPr>
                <w:rFonts w:eastAsiaTheme="majorEastAsia" w:cstheme="minorHAnsi"/>
                <w:sz w:val="20"/>
                <w:szCs w:val="20"/>
              </w:rPr>
              <w:t>P</w:t>
            </w:r>
            <w:r w:rsidR="002C2AFB" w:rsidRPr="004A278B">
              <w:rPr>
                <w:rFonts w:eastAsiaTheme="majorEastAsia" w:cstheme="minorHAnsi"/>
                <w:sz w:val="20"/>
                <w:szCs w:val="20"/>
              </w:rPr>
              <w:t>ac</w:t>
            </w:r>
            <w:r w:rsidR="001B24B4" w:rsidRPr="004A278B">
              <w:rPr>
                <w:rFonts w:eastAsiaTheme="majorEastAsia" w:cstheme="minorHAnsi"/>
                <w:sz w:val="20"/>
                <w:szCs w:val="20"/>
              </w:rPr>
              <w:t xml:space="preserve">ific institutions in 2019-20. </w:t>
            </w:r>
            <w:r w:rsidR="005D471F" w:rsidRPr="004A278B">
              <w:rPr>
                <w:rFonts w:eastAsiaTheme="majorEastAsia" w:cstheme="minorHAnsi"/>
                <w:sz w:val="20"/>
                <w:szCs w:val="20"/>
              </w:rPr>
              <w:t>Of the 32 students, 23 completed their studies as scheduled.</w:t>
            </w:r>
            <w:r w:rsidR="001B24B4" w:rsidRPr="004A278B">
              <w:rPr>
                <w:rFonts w:eastAsiaTheme="majorEastAsia" w:cstheme="minorHAnsi"/>
                <w:sz w:val="20"/>
                <w:szCs w:val="20"/>
              </w:rPr>
              <w:t xml:space="preserve"> </w:t>
            </w:r>
            <w:r w:rsidR="00032CB5" w:rsidRPr="004A278B">
              <w:rPr>
                <w:rFonts w:eastAsiaTheme="majorEastAsia" w:cstheme="minorHAnsi"/>
                <w:sz w:val="20"/>
                <w:szCs w:val="20"/>
              </w:rPr>
              <w:t xml:space="preserve">Seventeen </w:t>
            </w:r>
            <w:r w:rsidR="00E72C99" w:rsidRPr="004A278B">
              <w:rPr>
                <w:rFonts w:eastAsiaTheme="majorEastAsia" w:cstheme="minorHAnsi"/>
                <w:sz w:val="20"/>
                <w:szCs w:val="20"/>
              </w:rPr>
              <w:t>per</w:t>
            </w:r>
            <w:r w:rsidR="0098765D" w:rsidRPr="004A278B">
              <w:rPr>
                <w:rFonts w:eastAsiaTheme="majorEastAsia" w:cstheme="minorHAnsi"/>
                <w:sz w:val="20"/>
                <w:szCs w:val="20"/>
              </w:rPr>
              <w:t> </w:t>
            </w:r>
            <w:r w:rsidR="00E72C99" w:rsidRPr="004A278B">
              <w:rPr>
                <w:rFonts w:eastAsiaTheme="majorEastAsia" w:cstheme="minorHAnsi"/>
                <w:sz w:val="20"/>
                <w:szCs w:val="20"/>
              </w:rPr>
              <w:t>cent</w:t>
            </w:r>
            <w:r w:rsidR="00AA785B" w:rsidRPr="004A278B">
              <w:rPr>
                <w:rFonts w:eastAsiaTheme="majorEastAsia" w:cstheme="minorHAnsi"/>
                <w:sz w:val="20"/>
                <w:szCs w:val="20"/>
              </w:rPr>
              <w:t xml:space="preserve"> of </w:t>
            </w:r>
            <w:r w:rsidR="00415A4C" w:rsidRPr="004A278B">
              <w:rPr>
                <w:rFonts w:eastAsiaTheme="majorEastAsia" w:cstheme="minorHAnsi"/>
                <w:sz w:val="20"/>
                <w:szCs w:val="20"/>
              </w:rPr>
              <w:t>u</w:t>
            </w:r>
            <w:r w:rsidR="002C2AFB" w:rsidRPr="004A278B">
              <w:rPr>
                <w:rFonts w:eastAsiaTheme="majorEastAsia" w:cstheme="minorHAnsi"/>
                <w:sz w:val="20"/>
                <w:szCs w:val="20"/>
              </w:rPr>
              <w:t xml:space="preserve">niversity students studied </w:t>
            </w:r>
            <w:r w:rsidR="00F315D0" w:rsidRPr="004A278B">
              <w:rPr>
                <w:rFonts w:eastAsiaTheme="majorEastAsia" w:cstheme="minorHAnsi"/>
                <w:sz w:val="20"/>
                <w:szCs w:val="20"/>
              </w:rPr>
              <w:t xml:space="preserve">disciplines outside </w:t>
            </w:r>
            <w:r w:rsidR="0005792F" w:rsidRPr="004A278B">
              <w:rPr>
                <w:rFonts w:eastAsiaTheme="majorEastAsia" w:cstheme="minorHAnsi"/>
                <w:sz w:val="20"/>
                <w:szCs w:val="20"/>
              </w:rPr>
              <w:t>existing</w:t>
            </w:r>
            <w:r w:rsidR="00F315D0" w:rsidRPr="004A278B">
              <w:rPr>
                <w:rFonts w:eastAsiaTheme="majorEastAsia" w:cstheme="minorHAnsi"/>
                <w:sz w:val="20"/>
                <w:szCs w:val="20"/>
              </w:rPr>
              <w:t xml:space="preserve"> gendered stereotypes</w:t>
            </w:r>
            <w:r w:rsidR="001B24B4" w:rsidRPr="004A278B">
              <w:rPr>
                <w:rFonts w:eastAsiaTheme="majorEastAsia" w:cstheme="minorHAnsi"/>
                <w:sz w:val="20"/>
                <w:szCs w:val="20"/>
              </w:rPr>
              <w:t>.</w:t>
            </w:r>
          </w:p>
        </w:tc>
      </w:tr>
    </w:tbl>
    <w:p w14:paraId="2A96C770" w14:textId="77777777" w:rsidR="00390828" w:rsidRPr="00B927C4" w:rsidRDefault="00390828" w:rsidP="00390828">
      <w:pPr>
        <w:pStyle w:val="Heading2Numbered"/>
        <w:numPr>
          <w:ilvl w:val="0"/>
          <w:numId w:val="0"/>
        </w:numPr>
        <w:spacing w:before="240" w:after="240"/>
        <w:rPr>
          <w:sz w:val="28"/>
          <w:szCs w:val="28"/>
        </w:rPr>
      </w:pPr>
      <w:r w:rsidRPr="00B927C4">
        <w:rPr>
          <w:sz w:val="28"/>
          <w:szCs w:val="28"/>
        </w:rPr>
        <w:lastRenderedPageBreak/>
        <w:t>ANNEX A: Program Quality</w:t>
      </w:r>
    </w:p>
    <w:p w14:paraId="756DDC11" w14:textId="77777777" w:rsidR="00390828" w:rsidRDefault="00B927C4" w:rsidP="00390828">
      <w:pPr>
        <w:pStyle w:val="Heading3"/>
      </w:pPr>
      <w:r>
        <w:t>Investment Monitoring Report</w:t>
      </w:r>
      <w:r w:rsidR="00390828">
        <w:t xml:space="preserve"> ratings</w:t>
      </w:r>
    </w:p>
    <w:tbl>
      <w:tblPr>
        <w:tblStyle w:val="APPR"/>
        <w:tblW w:w="4613" w:type="pct"/>
        <w:tblBorders>
          <w:top w:val="single" w:sz="12" w:space="0" w:color="auto"/>
          <w:bottom w:val="single" w:sz="12" w:space="0" w:color="auto"/>
        </w:tblBorders>
        <w:tblLook w:val="0020" w:firstRow="1" w:lastRow="0" w:firstColumn="0" w:lastColumn="0" w:noHBand="0" w:noVBand="0"/>
      </w:tblPr>
      <w:tblGrid>
        <w:gridCol w:w="4250"/>
        <w:gridCol w:w="967"/>
        <w:gridCol w:w="1155"/>
        <w:gridCol w:w="623"/>
        <w:gridCol w:w="623"/>
        <w:gridCol w:w="641"/>
        <w:gridCol w:w="633"/>
      </w:tblGrid>
      <w:tr w:rsidR="00546056" w:rsidRPr="00812509" w14:paraId="5237466A" w14:textId="77777777" w:rsidTr="007B3DAA">
        <w:trPr>
          <w:cnfStyle w:val="100000000000" w:firstRow="1" w:lastRow="0" w:firstColumn="0" w:lastColumn="0" w:oddVBand="0" w:evenVBand="0" w:oddHBand="0" w:evenHBand="0" w:firstRowFirstColumn="0" w:firstRowLastColumn="0" w:lastRowFirstColumn="0" w:lastRowLastColumn="0"/>
          <w:trHeight w:val="1413"/>
        </w:trPr>
        <w:tc>
          <w:tcPr>
            <w:tcW w:w="2368" w:type="pct"/>
            <w:tcBorders>
              <w:top w:val="none" w:sz="0" w:space="0" w:color="auto"/>
              <w:bottom w:val="none" w:sz="0" w:space="0" w:color="auto"/>
            </w:tcBorders>
          </w:tcPr>
          <w:p w14:paraId="12A063DA" w14:textId="1BC5B398" w:rsidR="00546056" w:rsidRPr="00812509" w:rsidRDefault="00546056" w:rsidP="00F86FF2">
            <w:pPr>
              <w:keepLines/>
              <w:spacing w:before="80" w:after="80" w:line="200" w:lineRule="atLeast"/>
              <w:rPr>
                <w:rFonts w:asciiTheme="minorHAnsi" w:eastAsia="Times New Roman" w:hAnsiTheme="minorHAnsi"/>
                <w:b w:val="0"/>
                <w:iCs/>
                <w:szCs w:val="17"/>
                <w:lang w:eastAsia="en-US"/>
              </w:rPr>
            </w:pPr>
            <w:r w:rsidRPr="00812509">
              <w:rPr>
                <w:rFonts w:eastAsia="Times New Roman"/>
                <w:b w:val="0"/>
                <w:iCs/>
                <w:noProof/>
                <w:szCs w:val="17"/>
                <w:lang w:val="en-AU"/>
              </w:rPr>
              <w:drawing>
                <wp:anchor distT="0" distB="0" distL="114300" distR="114300" simplePos="0" relativeHeight="251670528" behindDoc="0" locked="0" layoutInCell="1" allowOverlap="1" wp14:anchorId="377F6B39" wp14:editId="70F168AD">
                  <wp:simplePos x="0" y="0"/>
                  <wp:positionH relativeFrom="column">
                    <wp:posOffset>0</wp:posOffset>
                  </wp:positionH>
                  <wp:positionV relativeFrom="paragraph">
                    <wp:posOffset>0</wp:posOffset>
                  </wp:positionV>
                  <wp:extent cx="1857375" cy="228600"/>
                  <wp:effectExtent l="0" t="0" r="9525" b="0"/>
                  <wp:wrapNone/>
                  <wp:docPr id="48" name="Picture 4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eastAsia="Times New Roman" w:hAnsiTheme="minorHAnsi"/>
                <w:iCs/>
                <w:szCs w:val="17"/>
                <w:lang w:eastAsia="en-US"/>
              </w:rPr>
              <w:t xml:space="preserve">Investment </w:t>
            </w:r>
            <w:r w:rsidR="00F86FF2">
              <w:rPr>
                <w:rFonts w:asciiTheme="minorHAnsi" w:eastAsia="Times New Roman" w:hAnsiTheme="minorHAnsi"/>
                <w:iCs/>
                <w:szCs w:val="17"/>
                <w:lang w:eastAsia="en-US"/>
              </w:rPr>
              <w:t>n</w:t>
            </w:r>
            <w:r>
              <w:rPr>
                <w:rFonts w:asciiTheme="minorHAnsi" w:eastAsia="Times New Roman" w:hAnsiTheme="minorHAnsi"/>
                <w:iCs/>
                <w:szCs w:val="17"/>
                <w:lang w:eastAsia="en-US"/>
              </w:rPr>
              <w:t>ame</w:t>
            </w:r>
          </w:p>
        </w:tc>
        <w:tc>
          <w:tcPr>
            <w:tcW w:w="529" w:type="pct"/>
            <w:tcBorders>
              <w:top w:val="none" w:sz="0" w:space="0" w:color="auto"/>
              <w:bottom w:val="none" w:sz="0" w:space="0" w:color="auto"/>
            </w:tcBorders>
            <w:textDirection w:val="btLr"/>
          </w:tcPr>
          <w:p w14:paraId="2E23566C" w14:textId="77777777" w:rsidR="00546056" w:rsidRPr="00812509" w:rsidRDefault="00546056"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Approved budget and duration</w:t>
            </w:r>
          </w:p>
        </w:tc>
        <w:tc>
          <w:tcPr>
            <w:tcW w:w="635" w:type="pct"/>
            <w:tcBorders>
              <w:top w:val="none" w:sz="0" w:space="0" w:color="auto"/>
              <w:bottom w:val="none" w:sz="0" w:space="0" w:color="auto"/>
            </w:tcBorders>
            <w:textDirection w:val="btLr"/>
          </w:tcPr>
          <w:p w14:paraId="1CB737DE" w14:textId="77777777" w:rsidR="00546056" w:rsidRPr="00812509" w:rsidRDefault="00546056"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year on year</w:t>
            </w:r>
          </w:p>
        </w:tc>
        <w:tc>
          <w:tcPr>
            <w:tcW w:w="332" w:type="pct"/>
            <w:tcBorders>
              <w:top w:val="none" w:sz="0" w:space="0" w:color="auto"/>
              <w:bottom w:val="none" w:sz="0" w:space="0" w:color="auto"/>
            </w:tcBorders>
            <w:textDirection w:val="btLr"/>
          </w:tcPr>
          <w:p w14:paraId="3BE6EFD4" w14:textId="77777777" w:rsidR="00546056" w:rsidRPr="00812509" w:rsidRDefault="00546056"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Effectiveness</w:t>
            </w:r>
          </w:p>
        </w:tc>
        <w:tc>
          <w:tcPr>
            <w:tcW w:w="332" w:type="pct"/>
            <w:tcBorders>
              <w:top w:val="none" w:sz="0" w:space="0" w:color="auto"/>
              <w:bottom w:val="none" w:sz="0" w:space="0" w:color="auto"/>
            </w:tcBorders>
            <w:textDirection w:val="btLr"/>
          </w:tcPr>
          <w:p w14:paraId="258B69FD" w14:textId="77777777" w:rsidR="00546056" w:rsidRPr="00812509" w:rsidRDefault="00546056"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Efficiency</w:t>
            </w:r>
          </w:p>
        </w:tc>
        <w:tc>
          <w:tcPr>
            <w:tcW w:w="346" w:type="pct"/>
            <w:tcBorders>
              <w:top w:val="none" w:sz="0" w:space="0" w:color="auto"/>
              <w:bottom w:val="none" w:sz="0" w:space="0" w:color="auto"/>
            </w:tcBorders>
            <w:textDirection w:val="btLr"/>
          </w:tcPr>
          <w:p w14:paraId="706DDDCF" w14:textId="77777777" w:rsidR="00546056" w:rsidRPr="00812509" w:rsidRDefault="00546056"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Gender equality</w:t>
            </w:r>
          </w:p>
        </w:tc>
        <w:tc>
          <w:tcPr>
            <w:tcW w:w="333" w:type="pct"/>
            <w:tcBorders>
              <w:top w:val="none" w:sz="0" w:space="0" w:color="auto"/>
              <w:bottom w:val="none" w:sz="0" w:space="0" w:color="auto"/>
            </w:tcBorders>
            <w:textDirection w:val="btLr"/>
          </w:tcPr>
          <w:p w14:paraId="52F9BF93" w14:textId="77777777" w:rsidR="00546056" w:rsidRPr="00812509" w:rsidRDefault="00546056" w:rsidP="00390828">
            <w:pPr>
              <w:keepLines/>
              <w:spacing w:before="80" w:after="80" w:line="200" w:lineRule="atLeast"/>
              <w:rPr>
                <w:rFonts w:asciiTheme="minorHAnsi" w:eastAsia="Times New Roman" w:hAnsiTheme="minorHAnsi"/>
                <w:b w:val="0"/>
                <w:iCs/>
                <w:szCs w:val="17"/>
                <w:lang w:eastAsia="en-US"/>
              </w:rPr>
            </w:pPr>
          </w:p>
        </w:tc>
      </w:tr>
      <w:tr w:rsidR="00835811" w:rsidRPr="00812509" w14:paraId="1BCA5497" w14:textId="77777777" w:rsidTr="007B3DAA">
        <w:trPr>
          <w:cnfStyle w:val="100000000000" w:firstRow="1" w:lastRow="0" w:firstColumn="0" w:lastColumn="0" w:oddVBand="0" w:evenVBand="0" w:oddHBand="0" w:evenHBand="0" w:firstRowFirstColumn="0" w:firstRowLastColumn="0" w:lastRowFirstColumn="0" w:lastRowLastColumn="0"/>
          <w:trHeight w:val="284"/>
        </w:trPr>
        <w:tc>
          <w:tcPr>
            <w:tcW w:w="2368" w:type="pct"/>
            <w:tcBorders>
              <w:top w:val="single" w:sz="2" w:space="0" w:color="65C5B4" w:themeColor="accent1"/>
              <w:bottom w:val="single" w:sz="2" w:space="0" w:color="65C5B4" w:themeColor="accent1"/>
            </w:tcBorders>
          </w:tcPr>
          <w:p w14:paraId="2D952C72" w14:textId="77777777" w:rsidR="00546056" w:rsidRPr="00EB52F4" w:rsidRDefault="00546056" w:rsidP="00390828">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 xml:space="preserve">Tonga </w:t>
            </w:r>
            <w:r w:rsidRPr="00EB52F4">
              <w:rPr>
                <w:rFonts w:asciiTheme="minorHAnsi" w:eastAsia="Times New Roman" w:hAnsiTheme="minorHAnsi" w:cstheme="minorHAnsi"/>
                <w:iCs/>
                <w:szCs w:val="17"/>
              </w:rPr>
              <w:t>Economic and Public Sector Reform</w:t>
            </w:r>
            <w:r>
              <w:rPr>
                <w:rFonts w:asciiTheme="minorHAnsi" w:eastAsia="Times New Roman" w:hAnsiTheme="minorHAnsi" w:cstheme="minorHAnsi"/>
                <w:iCs/>
                <w:szCs w:val="17"/>
              </w:rPr>
              <w:t xml:space="preserve"> Program (INL881)</w:t>
            </w:r>
          </w:p>
        </w:tc>
        <w:tc>
          <w:tcPr>
            <w:tcW w:w="529" w:type="pct"/>
            <w:tcBorders>
              <w:top w:val="single" w:sz="2" w:space="0" w:color="65C5B4" w:themeColor="accent1"/>
              <w:bottom w:val="single" w:sz="2" w:space="0" w:color="65C5B4" w:themeColor="accent1"/>
            </w:tcBorders>
          </w:tcPr>
          <w:p w14:paraId="4ED6E662" w14:textId="77777777" w:rsidR="00546056" w:rsidRPr="00482EA2" w:rsidRDefault="00546056" w:rsidP="0037719B">
            <w:pPr>
              <w:autoSpaceDE w:val="0"/>
              <w:autoSpaceDN w:val="0"/>
              <w:adjustRightInd w:val="0"/>
              <w:spacing w:before="40" w:after="40" w:line="240" w:lineRule="auto"/>
              <w:rPr>
                <w:rFonts w:asciiTheme="minorHAnsi" w:hAnsiTheme="minorHAnsi" w:cstheme="minorHAnsi"/>
                <w:szCs w:val="17"/>
              </w:rPr>
            </w:pPr>
            <w:r w:rsidRPr="00482EA2">
              <w:rPr>
                <w:rFonts w:asciiTheme="minorHAnsi" w:hAnsiTheme="minorHAnsi" w:cstheme="minorHAnsi"/>
                <w:szCs w:val="17"/>
              </w:rPr>
              <w:t>$35.2m</w:t>
            </w:r>
            <w:r w:rsidRPr="00482EA2">
              <w:rPr>
                <w:rFonts w:asciiTheme="minorHAnsi" w:hAnsiTheme="minorHAnsi" w:cstheme="minorHAnsi"/>
                <w:szCs w:val="17"/>
              </w:rPr>
              <w:br/>
              <w:t>2016-24</w:t>
            </w:r>
          </w:p>
        </w:tc>
        <w:tc>
          <w:tcPr>
            <w:tcW w:w="635" w:type="pct"/>
            <w:tcBorders>
              <w:top w:val="single" w:sz="2" w:space="0" w:color="65C5B4" w:themeColor="accent1"/>
              <w:bottom w:val="single" w:sz="2" w:space="0" w:color="65C5B4" w:themeColor="accent1"/>
            </w:tcBorders>
          </w:tcPr>
          <w:p w14:paraId="255116B1" w14:textId="77777777" w:rsidR="00546056" w:rsidRDefault="00546056" w:rsidP="00390828">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2019 AQC</w:t>
            </w:r>
          </w:p>
          <w:p w14:paraId="645D3EB0" w14:textId="31478943" w:rsidR="00546056" w:rsidRPr="00EB52F4" w:rsidRDefault="00546056" w:rsidP="00546056">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2020 AQC</w:t>
            </w:r>
          </w:p>
        </w:tc>
        <w:tc>
          <w:tcPr>
            <w:tcW w:w="332" w:type="pct"/>
            <w:tcBorders>
              <w:top w:val="single" w:sz="2" w:space="0" w:color="65C5B4" w:themeColor="accent1"/>
              <w:bottom w:val="single" w:sz="2" w:space="0" w:color="65C5B4" w:themeColor="accent1"/>
            </w:tcBorders>
            <w:shd w:val="clear" w:color="auto" w:fill="auto"/>
            <w:noWrap/>
          </w:tcPr>
          <w:p w14:paraId="683AD6C7" w14:textId="77777777" w:rsidR="00546056" w:rsidRDefault="00546056"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p w14:paraId="4275078E" w14:textId="77777777" w:rsidR="00546056" w:rsidRPr="00EB52F4" w:rsidRDefault="00546056"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tc>
        <w:tc>
          <w:tcPr>
            <w:tcW w:w="332" w:type="pct"/>
            <w:tcBorders>
              <w:top w:val="single" w:sz="2" w:space="0" w:color="65C5B4" w:themeColor="accent1"/>
              <w:bottom w:val="single" w:sz="2" w:space="0" w:color="65C5B4" w:themeColor="accent1"/>
            </w:tcBorders>
            <w:shd w:val="clear" w:color="auto" w:fill="auto"/>
            <w:noWrap/>
          </w:tcPr>
          <w:p w14:paraId="1EAFA0BD" w14:textId="77777777" w:rsidR="00546056" w:rsidRDefault="00546056"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p w14:paraId="3379E083" w14:textId="77777777" w:rsidR="00546056" w:rsidRPr="00EB52F4" w:rsidRDefault="00546056"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tc>
        <w:tc>
          <w:tcPr>
            <w:tcW w:w="346" w:type="pct"/>
            <w:tcBorders>
              <w:top w:val="single" w:sz="2" w:space="0" w:color="65C5B4" w:themeColor="accent1"/>
              <w:bottom w:val="single" w:sz="2" w:space="0" w:color="65C5B4" w:themeColor="accent1"/>
            </w:tcBorders>
            <w:shd w:val="clear" w:color="auto" w:fill="auto"/>
            <w:noWrap/>
          </w:tcPr>
          <w:p w14:paraId="65A6E218" w14:textId="77777777" w:rsidR="00546056" w:rsidRDefault="00546056"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p w14:paraId="0963DC84" w14:textId="77777777" w:rsidR="00546056" w:rsidRPr="00EB52F4" w:rsidRDefault="00546056"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tc>
        <w:tc>
          <w:tcPr>
            <w:tcW w:w="333" w:type="pct"/>
            <w:shd w:val="clear" w:color="auto" w:fill="auto"/>
          </w:tcPr>
          <w:p w14:paraId="1DC4A3BD" w14:textId="77777777" w:rsidR="00546056" w:rsidRPr="00EB52F4" w:rsidRDefault="00546056" w:rsidP="00390828">
            <w:pPr>
              <w:keepLines/>
              <w:spacing w:before="40" w:after="40" w:line="200" w:lineRule="atLeast"/>
              <w:jc w:val="center"/>
              <w:rPr>
                <w:rFonts w:asciiTheme="minorHAnsi" w:eastAsia="Times New Roman" w:hAnsiTheme="minorHAnsi" w:cstheme="minorHAnsi"/>
                <w:iCs/>
                <w:szCs w:val="17"/>
              </w:rPr>
            </w:pPr>
          </w:p>
        </w:tc>
      </w:tr>
      <w:tr w:rsidR="00546056" w:rsidRPr="00812509" w14:paraId="532D01BF" w14:textId="77777777" w:rsidTr="007B3DAA">
        <w:trPr>
          <w:cnfStyle w:val="100000000000" w:firstRow="1" w:lastRow="0" w:firstColumn="0" w:lastColumn="0" w:oddVBand="0" w:evenVBand="0" w:oddHBand="0" w:evenHBand="0" w:firstRowFirstColumn="0" w:firstRowLastColumn="0" w:lastRowFirstColumn="0" w:lastRowLastColumn="0"/>
          <w:trHeight w:val="284"/>
        </w:trPr>
        <w:tc>
          <w:tcPr>
            <w:tcW w:w="2368" w:type="pct"/>
            <w:tcBorders>
              <w:bottom w:val="none" w:sz="0" w:space="0" w:color="auto"/>
            </w:tcBorders>
          </w:tcPr>
          <w:p w14:paraId="3C1BF0E9" w14:textId="77777777" w:rsidR="00546056" w:rsidRPr="0037719B" w:rsidRDefault="00546056" w:rsidP="00390828">
            <w:pPr>
              <w:keepLines/>
              <w:spacing w:before="40" w:after="40" w:line="200" w:lineRule="atLeast"/>
              <w:rPr>
                <w:rFonts w:asciiTheme="minorHAnsi" w:eastAsia="Times New Roman" w:hAnsiTheme="minorHAnsi" w:cstheme="minorHAnsi"/>
                <w:iCs/>
                <w:szCs w:val="17"/>
              </w:rPr>
            </w:pPr>
            <w:r w:rsidRPr="0037719B">
              <w:rPr>
                <w:rFonts w:asciiTheme="minorHAnsi" w:eastAsia="Times New Roman" w:hAnsiTheme="minorHAnsi" w:cstheme="minorHAnsi"/>
                <w:iCs/>
                <w:szCs w:val="17"/>
              </w:rPr>
              <w:t>Tonga Health Systems Support Program II</w:t>
            </w:r>
            <w:r>
              <w:rPr>
                <w:rFonts w:asciiTheme="minorHAnsi" w:eastAsia="Times New Roman" w:hAnsiTheme="minorHAnsi" w:cstheme="minorHAnsi"/>
                <w:iCs/>
                <w:szCs w:val="17"/>
              </w:rPr>
              <w:t xml:space="preserve"> (INL683)</w:t>
            </w:r>
          </w:p>
        </w:tc>
        <w:tc>
          <w:tcPr>
            <w:tcW w:w="529" w:type="pct"/>
            <w:tcBorders>
              <w:bottom w:val="none" w:sz="0" w:space="0" w:color="auto"/>
            </w:tcBorders>
          </w:tcPr>
          <w:p w14:paraId="16F5DC22" w14:textId="77777777" w:rsidR="00546056" w:rsidRPr="00482EA2" w:rsidRDefault="00546056" w:rsidP="0037719B">
            <w:pPr>
              <w:autoSpaceDE w:val="0"/>
              <w:autoSpaceDN w:val="0"/>
              <w:adjustRightInd w:val="0"/>
              <w:spacing w:before="40" w:after="40" w:line="240" w:lineRule="auto"/>
              <w:rPr>
                <w:rFonts w:asciiTheme="minorHAnsi" w:hAnsiTheme="minorHAnsi" w:cstheme="minorHAnsi"/>
                <w:szCs w:val="17"/>
              </w:rPr>
            </w:pPr>
            <w:r w:rsidRPr="00482EA2">
              <w:rPr>
                <w:rFonts w:asciiTheme="minorHAnsi" w:hAnsiTheme="minorHAnsi" w:cstheme="minorHAnsi"/>
                <w:szCs w:val="17"/>
              </w:rPr>
              <w:t>$19.5</w:t>
            </w:r>
            <w:r w:rsidRPr="00482EA2">
              <w:rPr>
                <w:rFonts w:asciiTheme="minorHAnsi" w:hAnsiTheme="minorHAnsi" w:cstheme="minorHAnsi"/>
                <w:szCs w:val="17"/>
              </w:rPr>
              <w:br/>
              <w:t>2015-21</w:t>
            </w:r>
          </w:p>
        </w:tc>
        <w:tc>
          <w:tcPr>
            <w:tcW w:w="635" w:type="pct"/>
            <w:tcBorders>
              <w:bottom w:val="none" w:sz="0" w:space="0" w:color="auto"/>
            </w:tcBorders>
          </w:tcPr>
          <w:p w14:paraId="710AD4BF" w14:textId="77777777" w:rsidR="00546056" w:rsidRDefault="00546056" w:rsidP="00390828">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2019 AQC</w:t>
            </w:r>
          </w:p>
          <w:p w14:paraId="47909FC4" w14:textId="77777777" w:rsidR="00546056" w:rsidRPr="0037719B" w:rsidRDefault="00546056" w:rsidP="00390828">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2020 AQC</w:t>
            </w:r>
          </w:p>
        </w:tc>
        <w:tc>
          <w:tcPr>
            <w:tcW w:w="332" w:type="pct"/>
            <w:tcBorders>
              <w:bottom w:val="none" w:sz="0" w:space="0" w:color="auto"/>
            </w:tcBorders>
            <w:shd w:val="clear" w:color="auto" w:fill="auto"/>
            <w:noWrap/>
          </w:tcPr>
          <w:p w14:paraId="124E1020" w14:textId="77777777" w:rsidR="00546056" w:rsidRDefault="00546056"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3</w:t>
            </w:r>
          </w:p>
          <w:p w14:paraId="7D0F6B34" w14:textId="77777777" w:rsidR="00546056" w:rsidRPr="0037719B" w:rsidRDefault="00546056"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3</w:t>
            </w:r>
          </w:p>
        </w:tc>
        <w:tc>
          <w:tcPr>
            <w:tcW w:w="332" w:type="pct"/>
            <w:tcBorders>
              <w:bottom w:val="none" w:sz="0" w:space="0" w:color="auto"/>
            </w:tcBorders>
            <w:shd w:val="clear" w:color="auto" w:fill="auto"/>
            <w:noWrap/>
          </w:tcPr>
          <w:p w14:paraId="5390B628" w14:textId="77777777" w:rsidR="00546056" w:rsidRDefault="00546056"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3</w:t>
            </w:r>
          </w:p>
          <w:p w14:paraId="7A2E6A1C" w14:textId="77777777" w:rsidR="00546056" w:rsidRPr="0037719B" w:rsidRDefault="00546056"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tc>
        <w:tc>
          <w:tcPr>
            <w:tcW w:w="346" w:type="pct"/>
            <w:tcBorders>
              <w:bottom w:val="none" w:sz="0" w:space="0" w:color="auto"/>
            </w:tcBorders>
            <w:shd w:val="clear" w:color="auto" w:fill="auto"/>
            <w:noWrap/>
          </w:tcPr>
          <w:p w14:paraId="61A9BEDD" w14:textId="77777777" w:rsidR="00546056" w:rsidRDefault="00546056"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3</w:t>
            </w:r>
          </w:p>
          <w:p w14:paraId="1062D4D1" w14:textId="77777777" w:rsidR="00546056" w:rsidRPr="0037719B" w:rsidRDefault="00546056"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tc>
        <w:tc>
          <w:tcPr>
            <w:tcW w:w="333" w:type="pct"/>
            <w:tcBorders>
              <w:bottom w:val="none" w:sz="0" w:space="0" w:color="auto"/>
            </w:tcBorders>
            <w:shd w:val="clear" w:color="auto" w:fill="auto"/>
          </w:tcPr>
          <w:p w14:paraId="6592FE27" w14:textId="77777777" w:rsidR="00546056" w:rsidRPr="0037719B" w:rsidRDefault="00546056" w:rsidP="00390828">
            <w:pPr>
              <w:keepLines/>
              <w:spacing w:before="40" w:after="40" w:line="200" w:lineRule="atLeast"/>
              <w:jc w:val="center"/>
              <w:rPr>
                <w:rFonts w:asciiTheme="minorHAnsi" w:eastAsia="Times New Roman" w:hAnsiTheme="minorHAnsi" w:cstheme="minorHAnsi"/>
                <w:iCs/>
                <w:szCs w:val="17"/>
              </w:rPr>
            </w:pPr>
          </w:p>
        </w:tc>
      </w:tr>
      <w:tr w:rsidR="00835811" w:rsidRPr="00812509" w14:paraId="57339CE3" w14:textId="77777777" w:rsidTr="007B3DAA">
        <w:trPr>
          <w:cnfStyle w:val="100000000000" w:firstRow="1" w:lastRow="0" w:firstColumn="0" w:lastColumn="0" w:oddVBand="0" w:evenVBand="0" w:oddHBand="0" w:evenHBand="0" w:firstRowFirstColumn="0" w:firstRowLastColumn="0" w:lastRowFirstColumn="0" w:lastRowLastColumn="0"/>
          <w:trHeight w:val="284"/>
        </w:trPr>
        <w:tc>
          <w:tcPr>
            <w:tcW w:w="2368" w:type="pct"/>
            <w:tcBorders>
              <w:top w:val="single" w:sz="2" w:space="0" w:color="65C5B4" w:themeColor="accent1"/>
              <w:bottom w:val="single" w:sz="2" w:space="0" w:color="65C5B4" w:themeColor="accent1"/>
            </w:tcBorders>
          </w:tcPr>
          <w:p w14:paraId="00A8E597" w14:textId="77777777" w:rsidR="00546056" w:rsidRPr="0037719B" w:rsidRDefault="00546056" w:rsidP="00390828">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Nuku’alofa Urban Development Sector Project (INK206)</w:t>
            </w:r>
          </w:p>
        </w:tc>
        <w:tc>
          <w:tcPr>
            <w:tcW w:w="529" w:type="pct"/>
            <w:tcBorders>
              <w:top w:val="single" w:sz="2" w:space="0" w:color="65C5B4" w:themeColor="accent1"/>
              <w:bottom w:val="single" w:sz="2" w:space="0" w:color="65C5B4" w:themeColor="accent1"/>
            </w:tcBorders>
          </w:tcPr>
          <w:p w14:paraId="6A7C863A" w14:textId="77777777" w:rsidR="00546056" w:rsidRPr="00482EA2" w:rsidRDefault="00546056" w:rsidP="0037719B">
            <w:pPr>
              <w:autoSpaceDE w:val="0"/>
              <w:autoSpaceDN w:val="0"/>
              <w:adjustRightInd w:val="0"/>
              <w:spacing w:before="40" w:after="40" w:line="240" w:lineRule="auto"/>
              <w:rPr>
                <w:rFonts w:asciiTheme="minorHAnsi" w:hAnsiTheme="minorHAnsi" w:cstheme="minorHAnsi"/>
                <w:szCs w:val="17"/>
              </w:rPr>
            </w:pPr>
            <w:r w:rsidRPr="00482EA2">
              <w:rPr>
                <w:rFonts w:asciiTheme="minorHAnsi" w:hAnsiTheme="minorHAnsi" w:cstheme="minorHAnsi"/>
                <w:szCs w:val="17"/>
              </w:rPr>
              <w:t>$9.1m</w:t>
            </w:r>
            <w:r w:rsidRPr="00482EA2">
              <w:rPr>
                <w:rFonts w:asciiTheme="minorHAnsi" w:hAnsiTheme="minorHAnsi" w:cstheme="minorHAnsi"/>
                <w:szCs w:val="17"/>
              </w:rPr>
              <w:br/>
              <w:t>2011-20</w:t>
            </w:r>
          </w:p>
        </w:tc>
        <w:tc>
          <w:tcPr>
            <w:tcW w:w="635" w:type="pct"/>
            <w:tcBorders>
              <w:top w:val="single" w:sz="2" w:space="0" w:color="65C5B4" w:themeColor="accent1"/>
              <w:bottom w:val="single" w:sz="2" w:space="0" w:color="65C5B4" w:themeColor="accent1"/>
            </w:tcBorders>
          </w:tcPr>
          <w:p w14:paraId="46365E00" w14:textId="77777777" w:rsidR="00546056" w:rsidRDefault="00546056" w:rsidP="00390828">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2019 AQC</w:t>
            </w:r>
          </w:p>
          <w:p w14:paraId="2EC0FFC4" w14:textId="77777777" w:rsidR="00546056" w:rsidRPr="0037719B" w:rsidRDefault="00546056" w:rsidP="00390828">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2020 AQC</w:t>
            </w:r>
          </w:p>
        </w:tc>
        <w:tc>
          <w:tcPr>
            <w:tcW w:w="332" w:type="pct"/>
            <w:tcBorders>
              <w:top w:val="single" w:sz="2" w:space="0" w:color="65C5B4" w:themeColor="accent1"/>
              <w:bottom w:val="single" w:sz="2" w:space="0" w:color="65C5B4" w:themeColor="accent1"/>
            </w:tcBorders>
            <w:shd w:val="clear" w:color="auto" w:fill="auto"/>
            <w:noWrap/>
          </w:tcPr>
          <w:p w14:paraId="3D20CCE8" w14:textId="77777777" w:rsidR="00546056" w:rsidRDefault="00546056"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p w14:paraId="76BAE298" w14:textId="77777777" w:rsidR="00546056" w:rsidRPr="0037719B" w:rsidRDefault="00546056"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tc>
        <w:tc>
          <w:tcPr>
            <w:tcW w:w="332" w:type="pct"/>
            <w:tcBorders>
              <w:top w:val="single" w:sz="2" w:space="0" w:color="65C5B4" w:themeColor="accent1"/>
              <w:bottom w:val="single" w:sz="2" w:space="0" w:color="65C5B4" w:themeColor="accent1"/>
            </w:tcBorders>
            <w:shd w:val="clear" w:color="auto" w:fill="auto"/>
            <w:noWrap/>
          </w:tcPr>
          <w:p w14:paraId="7A93D6DA" w14:textId="77777777" w:rsidR="00546056" w:rsidRDefault="00546056"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p w14:paraId="502EB3E7" w14:textId="77777777" w:rsidR="00546056" w:rsidRPr="0037719B" w:rsidRDefault="00546056"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tc>
        <w:tc>
          <w:tcPr>
            <w:tcW w:w="346" w:type="pct"/>
            <w:tcBorders>
              <w:top w:val="single" w:sz="2" w:space="0" w:color="65C5B4" w:themeColor="accent1"/>
              <w:bottom w:val="single" w:sz="2" w:space="0" w:color="65C5B4" w:themeColor="accent1"/>
            </w:tcBorders>
            <w:shd w:val="clear" w:color="auto" w:fill="auto"/>
            <w:noWrap/>
          </w:tcPr>
          <w:p w14:paraId="2AB889C6" w14:textId="77777777" w:rsidR="00546056" w:rsidRDefault="00546056"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p w14:paraId="45721B1F" w14:textId="77777777" w:rsidR="00546056" w:rsidRPr="0037719B" w:rsidRDefault="00546056"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tc>
        <w:tc>
          <w:tcPr>
            <w:tcW w:w="333" w:type="pct"/>
            <w:shd w:val="clear" w:color="auto" w:fill="auto"/>
          </w:tcPr>
          <w:p w14:paraId="5E895FF8" w14:textId="77777777" w:rsidR="00546056" w:rsidRPr="0037719B" w:rsidRDefault="00546056" w:rsidP="00390828">
            <w:pPr>
              <w:keepLines/>
              <w:spacing w:before="40" w:after="40" w:line="200" w:lineRule="atLeast"/>
              <w:jc w:val="center"/>
              <w:rPr>
                <w:rFonts w:asciiTheme="minorHAnsi" w:eastAsia="Times New Roman" w:hAnsiTheme="minorHAnsi" w:cstheme="minorHAnsi"/>
                <w:iCs/>
                <w:szCs w:val="17"/>
              </w:rPr>
            </w:pPr>
          </w:p>
        </w:tc>
      </w:tr>
      <w:tr w:rsidR="00546056" w:rsidRPr="00812509" w14:paraId="67C64424" w14:textId="77777777" w:rsidTr="007B3DAA">
        <w:trPr>
          <w:cnfStyle w:val="100000000000" w:firstRow="1" w:lastRow="0" w:firstColumn="0" w:lastColumn="0" w:oddVBand="0" w:evenVBand="0" w:oddHBand="0" w:evenHBand="0" w:firstRowFirstColumn="0" w:firstRowLastColumn="0" w:lastRowFirstColumn="0" w:lastRowLastColumn="0"/>
          <w:trHeight w:val="284"/>
        </w:trPr>
        <w:tc>
          <w:tcPr>
            <w:tcW w:w="2368" w:type="pct"/>
            <w:tcBorders>
              <w:bottom w:val="none" w:sz="0" w:space="0" w:color="auto"/>
            </w:tcBorders>
          </w:tcPr>
          <w:p w14:paraId="72168A9A" w14:textId="77777777" w:rsidR="00546056" w:rsidRPr="0037719B" w:rsidRDefault="00546056" w:rsidP="00390828">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Tonga Energy Roadmap (INK605)</w:t>
            </w:r>
          </w:p>
        </w:tc>
        <w:tc>
          <w:tcPr>
            <w:tcW w:w="529" w:type="pct"/>
            <w:tcBorders>
              <w:bottom w:val="none" w:sz="0" w:space="0" w:color="auto"/>
            </w:tcBorders>
          </w:tcPr>
          <w:p w14:paraId="65D0237D" w14:textId="77777777" w:rsidR="00546056" w:rsidRPr="00482EA2" w:rsidRDefault="00546056" w:rsidP="00AE55B9">
            <w:pPr>
              <w:autoSpaceDE w:val="0"/>
              <w:autoSpaceDN w:val="0"/>
              <w:adjustRightInd w:val="0"/>
              <w:spacing w:before="40" w:after="40" w:line="240" w:lineRule="auto"/>
              <w:rPr>
                <w:rFonts w:asciiTheme="minorHAnsi" w:hAnsiTheme="minorHAnsi" w:cstheme="minorHAnsi"/>
                <w:szCs w:val="17"/>
              </w:rPr>
            </w:pPr>
            <w:r w:rsidRPr="00482EA2">
              <w:rPr>
                <w:rFonts w:asciiTheme="minorHAnsi" w:hAnsiTheme="minorHAnsi" w:cstheme="minorHAnsi"/>
                <w:szCs w:val="17"/>
              </w:rPr>
              <w:t>$</w:t>
            </w:r>
            <w:r>
              <w:rPr>
                <w:rFonts w:asciiTheme="minorHAnsi" w:hAnsiTheme="minorHAnsi" w:cstheme="minorHAnsi"/>
                <w:szCs w:val="17"/>
              </w:rPr>
              <w:t>10.7m</w:t>
            </w:r>
            <w:r w:rsidRPr="00482EA2">
              <w:rPr>
                <w:rFonts w:asciiTheme="minorHAnsi" w:hAnsiTheme="minorHAnsi" w:cstheme="minorHAnsi"/>
                <w:szCs w:val="17"/>
              </w:rPr>
              <w:br/>
              <w:t>2012-22</w:t>
            </w:r>
          </w:p>
        </w:tc>
        <w:tc>
          <w:tcPr>
            <w:tcW w:w="635" w:type="pct"/>
            <w:tcBorders>
              <w:bottom w:val="none" w:sz="0" w:space="0" w:color="auto"/>
            </w:tcBorders>
          </w:tcPr>
          <w:p w14:paraId="7CEE61D3" w14:textId="77777777" w:rsidR="00546056" w:rsidRDefault="00546056" w:rsidP="00390828">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2019 AQC</w:t>
            </w:r>
          </w:p>
          <w:p w14:paraId="602BDFAD" w14:textId="77777777" w:rsidR="00546056" w:rsidRPr="0037719B" w:rsidRDefault="00546056" w:rsidP="00390828">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2020 AQC</w:t>
            </w:r>
          </w:p>
        </w:tc>
        <w:tc>
          <w:tcPr>
            <w:tcW w:w="332" w:type="pct"/>
            <w:tcBorders>
              <w:bottom w:val="none" w:sz="0" w:space="0" w:color="auto"/>
            </w:tcBorders>
            <w:shd w:val="clear" w:color="auto" w:fill="auto"/>
            <w:noWrap/>
          </w:tcPr>
          <w:p w14:paraId="0E30CBCA" w14:textId="77777777" w:rsidR="00546056" w:rsidRDefault="00546056"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p w14:paraId="790D6CFF" w14:textId="77777777" w:rsidR="00546056" w:rsidRPr="0037719B" w:rsidRDefault="00546056"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tc>
        <w:tc>
          <w:tcPr>
            <w:tcW w:w="332" w:type="pct"/>
            <w:tcBorders>
              <w:bottom w:val="none" w:sz="0" w:space="0" w:color="auto"/>
            </w:tcBorders>
            <w:shd w:val="clear" w:color="auto" w:fill="auto"/>
            <w:noWrap/>
          </w:tcPr>
          <w:p w14:paraId="131B71B8" w14:textId="77777777" w:rsidR="00546056" w:rsidRDefault="00546056"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p w14:paraId="072DEA69" w14:textId="77777777" w:rsidR="00546056" w:rsidRPr="0037719B" w:rsidRDefault="00546056"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tc>
        <w:tc>
          <w:tcPr>
            <w:tcW w:w="346" w:type="pct"/>
            <w:tcBorders>
              <w:bottom w:val="none" w:sz="0" w:space="0" w:color="auto"/>
            </w:tcBorders>
            <w:shd w:val="clear" w:color="auto" w:fill="auto"/>
            <w:noWrap/>
          </w:tcPr>
          <w:p w14:paraId="078671EC" w14:textId="77777777" w:rsidR="00546056" w:rsidRDefault="00546056"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p w14:paraId="1A00CD47" w14:textId="77777777" w:rsidR="00546056" w:rsidRPr="0037719B" w:rsidRDefault="00546056"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tc>
        <w:tc>
          <w:tcPr>
            <w:tcW w:w="333" w:type="pct"/>
            <w:tcBorders>
              <w:bottom w:val="none" w:sz="0" w:space="0" w:color="auto"/>
            </w:tcBorders>
            <w:shd w:val="clear" w:color="auto" w:fill="auto"/>
          </w:tcPr>
          <w:p w14:paraId="4C335164" w14:textId="77777777" w:rsidR="00546056" w:rsidRPr="0037719B" w:rsidRDefault="00546056" w:rsidP="00390828">
            <w:pPr>
              <w:keepLines/>
              <w:spacing w:before="40" w:after="40" w:line="200" w:lineRule="atLeast"/>
              <w:jc w:val="center"/>
              <w:rPr>
                <w:rFonts w:asciiTheme="minorHAnsi" w:eastAsia="Times New Roman" w:hAnsiTheme="minorHAnsi" w:cstheme="minorHAnsi"/>
                <w:iCs/>
                <w:szCs w:val="17"/>
              </w:rPr>
            </w:pPr>
          </w:p>
        </w:tc>
      </w:tr>
      <w:tr w:rsidR="00835811" w:rsidRPr="00812509" w14:paraId="163C2A98" w14:textId="77777777" w:rsidTr="007B3DAA">
        <w:trPr>
          <w:cnfStyle w:val="100000000000" w:firstRow="1" w:lastRow="0" w:firstColumn="0" w:lastColumn="0" w:oddVBand="0" w:evenVBand="0" w:oddHBand="0" w:evenHBand="0" w:firstRowFirstColumn="0" w:firstRowLastColumn="0" w:lastRowFirstColumn="0" w:lastRowLastColumn="0"/>
          <w:trHeight w:val="284"/>
        </w:trPr>
        <w:tc>
          <w:tcPr>
            <w:tcW w:w="2368" w:type="pct"/>
            <w:tcBorders>
              <w:top w:val="single" w:sz="2" w:space="0" w:color="65C5B4" w:themeColor="accent1"/>
              <w:bottom w:val="single" w:sz="2" w:space="0" w:color="65C5B4" w:themeColor="accent1"/>
            </w:tcBorders>
          </w:tcPr>
          <w:p w14:paraId="3C30F89D" w14:textId="77777777" w:rsidR="00546056" w:rsidRPr="0037719B" w:rsidRDefault="00546056" w:rsidP="00390828">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Skills for Inclusive Economic Growth (INL899)</w:t>
            </w:r>
          </w:p>
        </w:tc>
        <w:tc>
          <w:tcPr>
            <w:tcW w:w="529" w:type="pct"/>
            <w:tcBorders>
              <w:top w:val="single" w:sz="2" w:space="0" w:color="65C5B4" w:themeColor="accent1"/>
              <w:bottom w:val="single" w:sz="2" w:space="0" w:color="65C5B4" w:themeColor="accent1"/>
            </w:tcBorders>
          </w:tcPr>
          <w:p w14:paraId="3DBE6937" w14:textId="77777777" w:rsidR="00546056" w:rsidRPr="00482EA2" w:rsidRDefault="00546056" w:rsidP="0037719B">
            <w:pPr>
              <w:autoSpaceDE w:val="0"/>
              <w:autoSpaceDN w:val="0"/>
              <w:adjustRightInd w:val="0"/>
              <w:spacing w:before="40" w:after="40" w:line="240" w:lineRule="auto"/>
              <w:rPr>
                <w:rFonts w:asciiTheme="minorHAnsi" w:hAnsiTheme="minorHAnsi" w:cstheme="minorHAnsi"/>
                <w:szCs w:val="17"/>
              </w:rPr>
            </w:pPr>
            <w:r w:rsidRPr="00482EA2">
              <w:rPr>
                <w:rFonts w:asciiTheme="minorHAnsi" w:hAnsiTheme="minorHAnsi" w:cstheme="minorHAnsi"/>
                <w:szCs w:val="17"/>
              </w:rPr>
              <w:t>$8.0m</w:t>
            </w:r>
            <w:r w:rsidRPr="00482EA2">
              <w:rPr>
                <w:rFonts w:asciiTheme="minorHAnsi" w:hAnsiTheme="minorHAnsi" w:cstheme="minorHAnsi"/>
                <w:szCs w:val="17"/>
              </w:rPr>
              <w:br/>
              <w:t>2016-21</w:t>
            </w:r>
          </w:p>
        </w:tc>
        <w:tc>
          <w:tcPr>
            <w:tcW w:w="635" w:type="pct"/>
            <w:tcBorders>
              <w:top w:val="single" w:sz="2" w:space="0" w:color="65C5B4" w:themeColor="accent1"/>
              <w:bottom w:val="single" w:sz="2" w:space="0" w:color="65C5B4" w:themeColor="accent1"/>
            </w:tcBorders>
          </w:tcPr>
          <w:p w14:paraId="4CD73613" w14:textId="77777777" w:rsidR="00546056" w:rsidRDefault="00546056" w:rsidP="008F126A">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2019 AQC</w:t>
            </w:r>
          </w:p>
          <w:p w14:paraId="77426199" w14:textId="77777777" w:rsidR="00546056" w:rsidRPr="0037719B" w:rsidRDefault="00546056" w:rsidP="008F126A">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2020 AQC</w:t>
            </w:r>
          </w:p>
        </w:tc>
        <w:tc>
          <w:tcPr>
            <w:tcW w:w="332" w:type="pct"/>
            <w:tcBorders>
              <w:top w:val="single" w:sz="2" w:space="0" w:color="65C5B4" w:themeColor="accent1"/>
              <w:bottom w:val="single" w:sz="2" w:space="0" w:color="65C5B4" w:themeColor="accent1"/>
            </w:tcBorders>
            <w:shd w:val="clear" w:color="auto" w:fill="auto"/>
            <w:noWrap/>
          </w:tcPr>
          <w:p w14:paraId="48A71D99" w14:textId="77777777" w:rsidR="00546056" w:rsidRDefault="00546056"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p w14:paraId="543C9CCE" w14:textId="77777777" w:rsidR="00546056" w:rsidRPr="0037719B" w:rsidRDefault="00546056"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5</w:t>
            </w:r>
          </w:p>
        </w:tc>
        <w:tc>
          <w:tcPr>
            <w:tcW w:w="332" w:type="pct"/>
            <w:tcBorders>
              <w:top w:val="single" w:sz="2" w:space="0" w:color="65C5B4" w:themeColor="accent1"/>
              <w:bottom w:val="single" w:sz="2" w:space="0" w:color="65C5B4" w:themeColor="accent1"/>
            </w:tcBorders>
            <w:shd w:val="clear" w:color="auto" w:fill="auto"/>
            <w:noWrap/>
          </w:tcPr>
          <w:p w14:paraId="34585FBB" w14:textId="77777777" w:rsidR="00546056" w:rsidRDefault="00546056"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3</w:t>
            </w:r>
          </w:p>
          <w:p w14:paraId="417B04EC" w14:textId="77777777" w:rsidR="00546056" w:rsidRPr="0037719B" w:rsidRDefault="00546056"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tc>
        <w:tc>
          <w:tcPr>
            <w:tcW w:w="346" w:type="pct"/>
            <w:tcBorders>
              <w:top w:val="single" w:sz="2" w:space="0" w:color="65C5B4" w:themeColor="accent1"/>
              <w:bottom w:val="single" w:sz="2" w:space="0" w:color="65C5B4" w:themeColor="accent1"/>
            </w:tcBorders>
            <w:shd w:val="clear" w:color="auto" w:fill="auto"/>
            <w:noWrap/>
          </w:tcPr>
          <w:p w14:paraId="2778AD99" w14:textId="77777777" w:rsidR="00546056" w:rsidRDefault="00546056"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p w14:paraId="6D58F556" w14:textId="77777777" w:rsidR="00546056" w:rsidRPr="0037719B" w:rsidRDefault="00546056"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tc>
        <w:tc>
          <w:tcPr>
            <w:tcW w:w="333" w:type="pct"/>
            <w:shd w:val="clear" w:color="auto" w:fill="auto"/>
          </w:tcPr>
          <w:p w14:paraId="42D8E7AA" w14:textId="77777777" w:rsidR="00546056" w:rsidRPr="0037719B" w:rsidRDefault="00546056" w:rsidP="00390828">
            <w:pPr>
              <w:keepLines/>
              <w:spacing w:before="40" w:after="40" w:line="200" w:lineRule="atLeast"/>
              <w:jc w:val="center"/>
              <w:rPr>
                <w:rFonts w:asciiTheme="minorHAnsi" w:eastAsia="Times New Roman" w:hAnsiTheme="minorHAnsi" w:cstheme="minorHAnsi"/>
                <w:iCs/>
                <w:szCs w:val="17"/>
              </w:rPr>
            </w:pPr>
          </w:p>
        </w:tc>
      </w:tr>
      <w:tr w:rsidR="00546056" w:rsidRPr="008F126A" w14:paraId="5746C7AD" w14:textId="77777777" w:rsidTr="007B3DAA">
        <w:trPr>
          <w:cnfStyle w:val="100000000000" w:firstRow="1" w:lastRow="0" w:firstColumn="0" w:lastColumn="0" w:oddVBand="0" w:evenVBand="0" w:oddHBand="0" w:evenHBand="0" w:firstRowFirstColumn="0" w:firstRowLastColumn="0" w:lastRowFirstColumn="0" w:lastRowLastColumn="0"/>
          <w:trHeight w:val="284"/>
        </w:trPr>
        <w:tc>
          <w:tcPr>
            <w:tcW w:w="2368" w:type="pct"/>
            <w:tcBorders>
              <w:bottom w:val="none" w:sz="0" w:space="0" w:color="auto"/>
            </w:tcBorders>
          </w:tcPr>
          <w:p w14:paraId="1D3AC7C9" w14:textId="77777777" w:rsidR="00546056" w:rsidRPr="008F126A" w:rsidRDefault="00546056" w:rsidP="00390828">
            <w:pPr>
              <w:keepLines/>
              <w:spacing w:before="40" w:after="40" w:line="200" w:lineRule="atLeast"/>
              <w:rPr>
                <w:rFonts w:asciiTheme="minorHAnsi" w:eastAsia="Times New Roman" w:hAnsiTheme="minorHAnsi" w:cstheme="minorHAnsi"/>
                <w:iCs/>
                <w:szCs w:val="17"/>
              </w:rPr>
            </w:pPr>
            <w:r w:rsidRPr="008F126A">
              <w:rPr>
                <w:rFonts w:asciiTheme="minorHAnsi" w:eastAsia="Times New Roman" w:hAnsiTheme="minorHAnsi" w:cstheme="minorHAnsi"/>
                <w:iCs/>
                <w:szCs w:val="17"/>
              </w:rPr>
              <w:t>Tonga Renewable Energy Project (TREP) (INN151)</w:t>
            </w:r>
          </w:p>
        </w:tc>
        <w:tc>
          <w:tcPr>
            <w:tcW w:w="529" w:type="pct"/>
            <w:tcBorders>
              <w:bottom w:val="none" w:sz="0" w:space="0" w:color="auto"/>
            </w:tcBorders>
          </w:tcPr>
          <w:p w14:paraId="730F3731" w14:textId="77777777" w:rsidR="00546056" w:rsidRPr="00482EA2" w:rsidRDefault="00546056" w:rsidP="0037719B">
            <w:pPr>
              <w:autoSpaceDE w:val="0"/>
              <w:autoSpaceDN w:val="0"/>
              <w:adjustRightInd w:val="0"/>
              <w:spacing w:before="40" w:after="40" w:line="240" w:lineRule="auto"/>
              <w:rPr>
                <w:rFonts w:asciiTheme="minorHAnsi" w:hAnsiTheme="minorHAnsi" w:cstheme="minorHAnsi"/>
                <w:szCs w:val="17"/>
              </w:rPr>
            </w:pPr>
            <w:r w:rsidRPr="00482EA2">
              <w:rPr>
                <w:rFonts w:asciiTheme="minorHAnsi" w:hAnsiTheme="minorHAnsi" w:cstheme="minorHAnsi"/>
                <w:szCs w:val="17"/>
              </w:rPr>
              <w:t>$5.4m</w:t>
            </w:r>
            <w:r w:rsidRPr="00482EA2">
              <w:rPr>
                <w:rFonts w:asciiTheme="minorHAnsi" w:hAnsiTheme="minorHAnsi" w:cstheme="minorHAnsi"/>
                <w:szCs w:val="17"/>
              </w:rPr>
              <w:br/>
              <w:t>2018-22</w:t>
            </w:r>
          </w:p>
        </w:tc>
        <w:tc>
          <w:tcPr>
            <w:tcW w:w="635" w:type="pct"/>
            <w:tcBorders>
              <w:bottom w:val="none" w:sz="0" w:space="0" w:color="auto"/>
            </w:tcBorders>
          </w:tcPr>
          <w:p w14:paraId="29C55674" w14:textId="77777777" w:rsidR="00546056" w:rsidRPr="008F126A" w:rsidRDefault="00546056" w:rsidP="008F126A">
            <w:pPr>
              <w:keepLines/>
              <w:spacing w:before="40" w:after="40" w:line="200" w:lineRule="atLeast"/>
              <w:rPr>
                <w:rFonts w:asciiTheme="minorHAnsi" w:eastAsia="Times New Roman" w:hAnsiTheme="minorHAnsi" w:cstheme="minorHAnsi"/>
                <w:iCs/>
                <w:szCs w:val="17"/>
              </w:rPr>
            </w:pPr>
            <w:r w:rsidRPr="008F126A">
              <w:rPr>
                <w:rFonts w:asciiTheme="minorHAnsi" w:eastAsia="Times New Roman" w:hAnsiTheme="minorHAnsi" w:cstheme="minorHAnsi"/>
                <w:iCs/>
                <w:szCs w:val="17"/>
              </w:rPr>
              <w:t>20</w:t>
            </w:r>
            <w:r>
              <w:rPr>
                <w:rFonts w:asciiTheme="minorHAnsi" w:eastAsia="Times New Roman" w:hAnsiTheme="minorHAnsi" w:cstheme="minorHAnsi"/>
                <w:iCs/>
                <w:szCs w:val="17"/>
              </w:rPr>
              <w:t>20</w:t>
            </w:r>
            <w:r w:rsidRPr="008F126A">
              <w:rPr>
                <w:rFonts w:asciiTheme="minorHAnsi" w:eastAsia="Times New Roman" w:hAnsiTheme="minorHAnsi" w:cstheme="minorHAnsi"/>
                <w:iCs/>
                <w:szCs w:val="17"/>
              </w:rPr>
              <w:t xml:space="preserve"> AQC</w:t>
            </w:r>
          </w:p>
        </w:tc>
        <w:tc>
          <w:tcPr>
            <w:tcW w:w="332" w:type="pct"/>
            <w:tcBorders>
              <w:bottom w:val="none" w:sz="0" w:space="0" w:color="auto"/>
            </w:tcBorders>
            <w:shd w:val="clear" w:color="auto" w:fill="auto"/>
            <w:noWrap/>
          </w:tcPr>
          <w:p w14:paraId="1292592A" w14:textId="77777777" w:rsidR="00546056" w:rsidRPr="004A278B" w:rsidRDefault="00546056">
            <w:pPr>
              <w:keepLines/>
              <w:spacing w:before="40" w:after="40" w:line="200" w:lineRule="atLeast"/>
              <w:jc w:val="center"/>
              <w:rPr>
                <w:rFonts w:asciiTheme="minorHAnsi" w:eastAsia="Times New Roman" w:hAnsiTheme="minorHAnsi" w:cstheme="minorHAnsi"/>
                <w:iCs/>
                <w:szCs w:val="17"/>
              </w:rPr>
            </w:pPr>
            <w:r w:rsidRPr="004A278B">
              <w:rPr>
                <w:rFonts w:asciiTheme="minorHAnsi" w:eastAsia="Times New Roman" w:hAnsiTheme="minorHAnsi" w:cstheme="minorHAnsi"/>
                <w:iCs/>
                <w:szCs w:val="17"/>
              </w:rPr>
              <w:t>4</w:t>
            </w:r>
          </w:p>
        </w:tc>
        <w:tc>
          <w:tcPr>
            <w:tcW w:w="332" w:type="pct"/>
            <w:tcBorders>
              <w:bottom w:val="none" w:sz="0" w:space="0" w:color="auto"/>
            </w:tcBorders>
            <w:shd w:val="clear" w:color="auto" w:fill="auto"/>
            <w:noWrap/>
          </w:tcPr>
          <w:p w14:paraId="13735C81" w14:textId="77777777" w:rsidR="00546056" w:rsidRPr="004A278B" w:rsidRDefault="00546056">
            <w:pPr>
              <w:keepLines/>
              <w:spacing w:before="40" w:after="40" w:line="200" w:lineRule="atLeast"/>
              <w:jc w:val="center"/>
              <w:rPr>
                <w:rFonts w:asciiTheme="minorHAnsi" w:eastAsia="Times New Roman" w:hAnsiTheme="minorHAnsi" w:cstheme="minorHAnsi"/>
                <w:iCs/>
                <w:szCs w:val="17"/>
              </w:rPr>
            </w:pPr>
            <w:r w:rsidRPr="004A278B">
              <w:rPr>
                <w:rFonts w:asciiTheme="minorHAnsi" w:eastAsia="Times New Roman" w:hAnsiTheme="minorHAnsi" w:cstheme="minorHAnsi"/>
                <w:iCs/>
                <w:szCs w:val="17"/>
              </w:rPr>
              <w:t>4</w:t>
            </w:r>
          </w:p>
        </w:tc>
        <w:tc>
          <w:tcPr>
            <w:tcW w:w="346" w:type="pct"/>
            <w:tcBorders>
              <w:bottom w:val="none" w:sz="0" w:space="0" w:color="auto"/>
            </w:tcBorders>
            <w:shd w:val="clear" w:color="auto" w:fill="auto"/>
            <w:noWrap/>
          </w:tcPr>
          <w:p w14:paraId="4BB075D6" w14:textId="77777777" w:rsidR="00546056" w:rsidRPr="004A278B" w:rsidRDefault="00546056">
            <w:pPr>
              <w:keepLines/>
              <w:spacing w:before="40" w:after="40" w:line="200" w:lineRule="atLeast"/>
              <w:jc w:val="center"/>
              <w:rPr>
                <w:rFonts w:asciiTheme="minorHAnsi" w:eastAsia="Times New Roman" w:hAnsiTheme="minorHAnsi" w:cstheme="minorHAnsi"/>
                <w:iCs/>
                <w:szCs w:val="17"/>
              </w:rPr>
            </w:pPr>
            <w:r w:rsidRPr="004A278B">
              <w:rPr>
                <w:rFonts w:asciiTheme="minorHAnsi" w:eastAsia="Times New Roman" w:hAnsiTheme="minorHAnsi" w:cstheme="minorHAnsi"/>
                <w:iCs/>
                <w:szCs w:val="17"/>
              </w:rPr>
              <w:t>4</w:t>
            </w:r>
          </w:p>
        </w:tc>
        <w:tc>
          <w:tcPr>
            <w:tcW w:w="333" w:type="pct"/>
            <w:tcBorders>
              <w:bottom w:val="none" w:sz="0" w:space="0" w:color="auto"/>
            </w:tcBorders>
            <w:shd w:val="clear" w:color="auto" w:fill="auto"/>
          </w:tcPr>
          <w:p w14:paraId="4D231E1B" w14:textId="77777777" w:rsidR="00546056" w:rsidRPr="008F126A" w:rsidRDefault="00546056" w:rsidP="00390828">
            <w:pPr>
              <w:keepLines/>
              <w:spacing w:before="40" w:after="40" w:line="200" w:lineRule="atLeast"/>
              <w:jc w:val="center"/>
              <w:rPr>
                <w:rFonts w:asciiTheme="minorHAnsi" w:eastAsia="Times New Roman" w:hAnsiTheme="minorHAnsi" w:cstheme="minorHAnsi"/>
                <w:iCs/>
                <w:szCs w:val="17"/>
              </w:rPr>
            </w:pPr>
          </w:p>
        </w:tc>
      </w:tr>
    </w:tbl>
    <w:p w14:paraId="516717D4" w14:textId="77777777" w:rsidR="00390828" w:rsidRPr="00D03BF3" w:rsidRDefault="00390828" w:rsidP="00390828">
      <w:pPr>
        <w:pStyle w:val="Heading3"/>
        <w:rPr>
          <w:rFonts w:eastAsia="Times New Roman"/>
        </w:rPr>
      </w:pPr>
      <w:r w:rsidRPr="00D03BF3">
        <w:rPr>
          <w:rFonts w:eastAsia="Times New Roman"/>
        </w:rPr>
        <w:t>H</w:t>
      </w:r>
      <w:r>
        <w:rPr>
          <w:rFonts w:eastAsia="Times New Roman"/>
        </w:rPr>
        <w:t xml:space="preserve">umanitarian </w:t>
      </w:r>
      <w:r w:rsidR="00B927C4">
        <w:rPr>
          <w:rFonts w:eastAsia="Times New Roman"/>
        </w:rPr>
        <w:t>Investment Monitoring Report ratings</w:t>
      </w:r>
    </w:p>
    <w:tbl>
      <w:tblPr>
        <w:tblStyle w:val="APPR"/>
        <w:tblW w:w="4883" w:type="pct"/>
        <w:tblLook w:val="0020" w:firstRow="1" w:lastRow="0" w:firstColumn="0" w:lastColumn="0" w:noHBand="0" w:noVBand="0"/>
      </w:tblPr>
      <w:tblGrid>
        <w:gridCol w:w="2978"/>
        <w:gridCol w:w="1098"/>
        <w:gridCol w:w="623"/>
        <w:gridCol w:w="639"/>
        <w:gridCol w:w="628"/>
        <w:gridCol w:w="656"/>
        <w:gridCol w:w="718"/>
        <w:gridCol w:w="654"/>
        <w:gridCol w:w="711"/>
        <w:gridCol w:w="707"/>
      </w:tblGrid>
      <w:tr w:rsidR="00390828" w:rsidRPr="00812509" w14:paraId="18D7B763" w14:textId="77777777" w:rsidTr="007B3DAA">
        <w:trPr>
          <w:cnfStyle w:val="100000000000" w:firstRow="1" w:lastRow="0" w:firstColumn="0" w:lastColumn="0" w:oddVBand="0" w:evenVBand="0" w:oddHBand="0" w:evenHBand="0" w:firstRowFirstColumn="0" w:firstRowLastColumn="0" w:lastRowFirstColumn="0" w:lastRowLastColumn="0"/>
          <w:trHeight w:val="1505"/>
        </w:trPr>
        <w:tc>
          <w:tcPr>
            <w:tcW w:w="1560" w:type="pct"/>
          </w:tcPr>
          <w:p w14:paraId="7B0A1400" w14:textId="7E3D3A21" w:rsidR="00390828" w:rsidRPr="00812509" w:rsidRDefault="00390828" w:rsidP="00F86FF2">
            <w:pPr>
              <w:keepLines/>
              <w:spacing w:before="80" w:after="80" w:line="200" w:lineRule="atLeast"/>
              <w:rPr>
                <w:rFonts w:asciiTheme="minorHAnsi" w:eastAsia="Times New Roman" w:hAnsiTheme="minorHAnsi"/>
                <w:b w:val="0"/>
                <w:iCs/>
                <w:szCs w:val="17"/>
                <w:lang w:eastAsia="en-US"/>
              </w:rPr>
            </w:pPr>
            <w:r w:rsidRPr="00812509">
              <w:rPr>
                <w:rFonts w:eastAsia="Times New Roman"/>
                <w:b w:val="0"/>
                <w:iCs/>
                <w:noProof/>
                <w:szCs w:val="17"/>
                <w:lang w:val="en-AU"/>
              </w:rPr>
              <w:drawing>
                <wp:anchor distT="0" distB="0" distL="114300" distR="114300" simplePos="0" relativeHeight="251666432" behindDoc="0" locked="0" layoutInCell="1" allowOverlap="1" wp14:anchorId="1A169488" wp14:editId="7849B546">
                  <wp:simplePos x="0" y="0"/>
                  <wp:positionH relativeFrom="column">
                    <wp:posOffset>0</wp:posOffset>
                  </wp:positionH>
                  <wp:positionV relativeFrom="paragraph">
                    <wp:posOffset>0</wp:posOffset>
                  </wp:positionV>
                  <wp:extent cx="1857375" cy="228600"/>
                  <wp:effectExtent l="0" t="0" r="9525" b="0"/>
                  <wp:wrapNone/>
                  <wp:docPr id="49" name="Picture 4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2EA2">
              <w:rPr>
                <w:rFonts w:asciiTheme="minorHAnsi" w:eastAsia="Times New Roman" w:hAnsiTheme="minorHAnsi"/>
                <w:iCs/>
                <w:szCs w:val="17"/>
                <w:lang w:eastAsia="en-US"/>
              </w:rPr>
              <w:t>Investment</w:t>
            </w:r>
            <w:r w:rsidR="00F86FF2">
              <w:rPr>
                <w:rFonts w:asciiTheme="minorHAnsi" w:eastAsia="Times New Roman" w:hAnsiTheme="minorHAnsi"/>
                <w:iCs/>
                <w:szCs w:val="17"/>
                <w:lang w:eastAsia="en-US"/>
              </w:rPr>
              <w:t xml:space="preserve"> n</w:t>
            </w:r>
            <w:r w:rsidR="00482EA2">
              <w:rPr>
                <w:rFonts w:asciiTheme="minorHAnsi" w:eastAsia="Times New Roman" w:hAnsiTheme="minorHAnsi"/>
                <w:iCs/>
                <w:szCs w:val="17"/>
                <w:lang w:eastAsia="en-US"/>
              </w:rPr>
              <w:t>ame</w:t>
            </w:r>
          </w:p>
        </w:tc>
        <w:tc>
          <w:tcPr>
            <w:tcW w:w="569" w:type="pct"/>
            <w:textDirection w:val="btLr"/>
          </w:tcPr>
          <w:p w14:paraId="4CAE4B18"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Approved budget and duration</w:t>
            </w:r>
          </w:p>
        </w:tc>
        <w:tc>
          <w:tcPr>
            <w:tcW w:w="314" w:type="pct"/>
            <w:noWrap/>
            <w:textDirection w:val="btLr"/>
          </w:tcPr>
          <w:p w14:paraId="5583C4BD"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Effectiveness</w:t>
            </w:r>
          </w:p>
        </w:tc>
        <w:tc>
          <w:tcPr>
            <w:tcW w:w="325" w:type="pct"/>
            <w:noWrap/>
            <w:textDirection w:val="btLr"/>
          </w:tcPr>
          <w:p w14:paraId="3B1F6B84"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Efficiency</w:t>
            </w:r>
          </w:p>
        </w:tc>
        <w:tc>
          <w:tcPr>
            <w:tcW w:w="319" w:type="pct"/>
            <w:noWrap/>
            <w:textDirection w:val="btLr"/>
          </w:tcPr>
          <w:p w14:paraId="3F6C6D29"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Gender equality</w:t>
            </w:r>
          </w:p>
        </w:tc>
        <w:tc>
          <w:tcPr>
            <w:tcW w:w="334" w:type="pct"/>
            <w:noWrap/>
            <w:textDirection w:val="btLr"/>
          </w:tcPr>
          <w:p w14:paraId="3DA49F4D"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Relevance</w:t>
            </w:r>
          </w:p>
        </w:tc>
        <w:tc>
          <w:tcPr>
            <w:tcW w:w="367" w:type="pct"/>
            <w:noWrap/>
            <w:textDirection w:val="btLr"/>
          </w:tcPr>
          <w:p w14:paraId="6F802BE7"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Monitoring and Evaluation</w:t>
            </w:r>
          </w:p>
        </w:tc>
        <w:tc>
          <w:tcPr>
            <w:tcW w:w="333" w:type="pct"/>
            <w:noWrap/>
            <w:textDirection w:val="btLr"/>
          </w:tcPr>
          <w:p w14:paraId="23214271"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Pr>
                <w:rFonts w:asciiTheme="minorHAnsi" w:eastAsia="Times New Roman" w:hAnsiTheme="minorHAnsi"/>
                <w:iCs/>
                <w:szCs w:val="17"/>
                <w:lang w:eastAsia="en-US"/>
              </w:rPr>
              <w:t>Connectedness</w:t>
            </w:r>
          </w:p>
        </w:tc>
        <w:tc>
          <w:tcPr>
            <w:tcW w:w="363" w:type="pct"/>
            <w:textDirection w:val="btLr"/>
          </w:tcPr>
          <w:p w14:paraId="4DFEB6E7"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Pr>
                <w:rFonts w:asciiTheme="minorHAnsi" w:eastAsia="Times New Roman" w:hAnsiTheme="minorHAnsi"/>
                <w:iCs/>
                <w:szCs w:val="17"/>
                <w:lang w:eastAsia="en-US"/>
              </w:rPr>
              <w:t>Protection</w:t>
            </w:r>
          </w:p>
        </w:tc>
        <w:tc>
          <w:tcPr>
            <w:tcW w:w="353" w:type="pct"/>
            <w:textDirection w:val="btLr"/>
          </w:tcPr>
          <w:p w14:paraId="3FBB8B31"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p>
        </w:tc>
      </w:tr>
      <w:tr w:rsidR="00B637DD" w:rsidRPr="00812509" w14:paraId="5BECC77F" w14:textId="77777777" w:rsidTr="007B3DAA">
        <w:trPr>
          <w:cnfStyle w:val="100000000000" w:firstRow="1" w:lastRow="0" w:firstColumn="0" w:lastColumn="0" w:oddVBand="0" w:evenVBand="0" w:oddHBand="0" w:evenHBand="0" w:firstRowFirstColumn="0" w:firstRowLastColumn="0" w:lastRowFirstColumn="0" w:lastRowLastColumn="0"/>
          <w:trHeight w:val="284"/>
        </w:trPr>
        <w:tc>
          <w:tcPr>
            <w:tcW w:w="1560" w:type="pct"/>
            <w:tcBorders>
              <w:top w:val="single" w:sz="2" w:space="0" w:color="65C5B4" w:themeColor="accent1"/>
            </w:tcBorders>
          </w:tcPr>
          <w:p w14:paraId="26A3099D" w14:textId="77777777" w:rsidR="00B637DD" w:rsidRPr="00812509" w:rsidRDefault="00CC0603" w:rsidP="00390828">
            <w:pPr>
              <w:keepLines/>
              <w:spacing w:before="40" w:after="40" w:line="200" w:lineRule="atLeast"/>
              <w:rPr>
                <w:rFonts w:eastAsia="Times New Roman"/>
                <w:iCs/>
                <w:szCs w:val="17"/>
              </w:rPr>
            </w:pPr>
            <w:r w:rsidRPr="008E7FF2">
              <w:rPr>
                <w:rFonts w:asciiTheme="minorHAnsi" w:eastAsia="Times New Roman" w:hAnsiTheme="minorHAnsi" w:cstheme="minorHAnsi"/>
                <w:iCs/>
                <w:szCs w:val="17"/>
              </w:rPr>
              <w:t>Tropical Cyclone Gita</w:t>
            </w:r>
            <w:r>
              <w:rPr>
                <w:rFonts w:eastAsia="Times New Roman"/>
                <w:iCs/>
                <w:szCs w:val="17"/>
              </w:rPr>
              <w:t xml:space="preserve"> </w:t>
            </w:r>
            <w:r w:rsidRPr="008E7FF2">
              <w:rPr>
                <w:rFonts w:asciiTheme="minorHAnsi" w:eastAsia="Times New Roman" w:hAnsiTheme="minorHAnsi" w:cstheme="minorHAnsi"/>
                <w:iCs/>
                <w:szCs w:val="17"/>
              </w:rPr>
              <w:t>response and recovery</w:t>
            </w:r>
          </w:p>
        </w:tc>
        <w:tc>
          <w:tcPr>
            <w:tcW w:w="569" w:type="pct"/>
            <w:tcBorders>
              <w:top w:val="single" w:sz="2" w:space="0" w:color="65C5B4" w:themeColor="accent1"/>
            </w:tcBorders>
          </w:tcPr>
          <w:p w14:paraId="57B48BCC" w14:textId="77777777" w:rsidR="00B637DD" w:rsidRPr="008E7FF2" w:rsidRDefault="00667F26" w:rsidP="008E7FF2">
            <w:pPr>
              <w:autoSpaceDE w:val="0"/>
              <w:autoSpaceDN w:val="0"/>
              <w:adjustRightInd w:val="0"/>
              <w:rPr>
                <w:rFonts w:asciiTheme="minorHAnsi" w:hAnsiTheme="minorHAnsi" w:cstheme="minorHAnsi"/>
                <w:color w:val="000000"/>
                <w:szCs w:val="17"/>
              </w:rPr>
            </w:pPr>
            <w:r w:rsidRPr="00482EA2">
              <w:rPr>
                <w:rFonts w:asciiTheme="minorHAnsi" w:hAnsiTheme="minorHAnsi" w:cstheme="minorHAnsi"/>
                <w:szCs w:val="17"/>
              </w:rPr>
              <w:t>$7.3</w:t>
            </w:r>
            <w:r w:rsidR="008E7FF2" w:rsidRPr="00482EA2">
              <w:rPr>
                <w:rFonts w:asciiTheme="minorHAnsi" w:hAnsiTheme="minorHAnsi" w:cstheme="minorHAnsi"/>
                <w:szCs w:val="17"/>
              </w:rPr>
              <w:t>m</w:t>
            </w:r>
            <w:r w:rsidR="008E7FF2" w:rsidRPr="00482EA2">
              <w:rPr>
                <w:rFonts w:asciiTheme="minorHAnsi" w:hAnsiTheme="minorHAnsi" w:cstheme="minorHAnsi"/>
                <w:szCs w:val="17"/>
              </w:rPr>
              <w:br/>
              <w:t>2018-2021</w:t>
            </w:r>
          </w:p>
        </w:tc>
        <w:tc>
          <w:tcPr>
            <w:tcW w:w="314" w:type="pct"/>
            <w:tcBorders>
              <w:top w:val="single" w:sz="2" w:space="0" w:color="65C5B4" w:themeColor="accent1"/>
            </w:tcBorders>
            <w:shd w:val="clear" w:color="auto" w:fill="auto"/>
            <w:noWrap/>
          </w:tcPr>
          <w:p w14:paraId="4464010D" w14:textId="77777777" w:rsidR="00B637DD" w:rsidRPr="008E7FF2" w:rsidRDefault="0037719B"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tc>
        <w:tc>
          <w:tcPr>
            <w:tcW w:w="325" w:type="pct"/>
            <w:tcBorders>
              <w:top w:val="single" w:sz="2" w:space="0" w:color="65C5B4" w:themeColor="accent1"/>
            </w:tcBorders>
            <w:shd w:val="clear" w:color="auto" w:fill="auto"/>
            <w:noWrap/>
          </w:tcPr>
          <w:p w14:paraId="4B8937CC" w14:textId="77777777" w:rsidR="00B637DD" w:rsidRPr="008E7FF2" w:rsidRDefault="0037719B"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tc>
        <w:tc>
          <w:tcPr>
            <w:tcW w:w="319" w:type="pct"/>
            <w:tcBorders>
              <w:top w:val="single" w:sz="2" w:space="0" w:color="65C5B4" w:themeColor="accent1"/>
            </w:tcBorders>
            <w:shd w:val="clear" w:color="auto" w:fill="auto"/>
            <w:noWrap/>
          </w:tcPr>
          <w:p w14:paraId="6A2E7269" w14:textId="77777777" w:rsidR="00B637DD" w:rsidRPr="008E7FF2" w:rsidRDefault="0037719B"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tc>
        <w:tc>
          <w:tcPr>
            <w:tcW w:w="334" w:type="pct"/>
            <w:tcBorders>
              <w:top w:val="single" w:sz="2" w:space="0" w:color="65C5B4" w:themeColor="accent1"/>
            </w:tcBorders>
            <w:shd w:val="clear" w:color="auto" w:fill="auto"/>
            <w:noWrap/>
          </w:tcPr>
          <w:p w14:paraId="12E8162A" w14:textId="77777777" w:rsidR="00B637DD" w:rsidRPr="008E7FF2" w:rsidRDefault="0037719B"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5</w:t>
            </w:r>
          </w:p>
        </w:tc>
        <w:tc>
          <w:tcPr>
            <w:tcW w:w="367" w:type="pct"/>
            <w:tcBorders>
              <w:top w:val="single" w:sz="2" w:space="0" w:color="65C5B4" w:themeColor="accent1"/>
            </w:tcBorders>
            <w:shd w:val="clear" w:color="auto" w:fill="auto"/>
            <w:noWrap/>
          </w:tcPr>
          <w:p w14:paraId="6CA711F0" w14:textId="77777777" w:rsidR="00B637DD" w:rsidRPr="008E7FF2" w:rsidRDefault="0037719B"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tc>
        <w:tc>
          <w:tcPr>
            <w:tcW w:w="333" w:type="pct"/>
            <w:tcBorders>
              <w:top w:val="single" w:sz="2" w:space="0" w:color="65C5B4" w:themeColor="accent1"/>
            </w:tcBorders>
            <w:shd w:val="clear" w:color="auto" w:fill="auto"/>
            <w:noWrap/>
          </w:tcPr>
          <w:p w14:paraId="6068055E" w14:textId="77777777" w:rsidR="00B637DD" w:rsidRPr="008E7FF2" w:rsidRDefault="0037719B"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5</w:t>
            </w:r>
          </w:p>
        </w:tc>
        <w:tc>
          <w:tcPr>
            <w:tcW w:w="363" w:type="pct"/>
            <w:tcBorders>
              <w:top w:val="single" w:sz="2" w:space="0" w:color="65C5B4" w:themeColor="accent1"/>
            </w:tcBorders>
            <w:shd w:val="clear" w:color="auto" w:fill="auto"/>
          </w:tcPr>
          <w:p w14:paraId="11A2D79E" w14:textId="77777777" w:rsidR="00B637DD" w:rsidRPr="008E7FF2" w:rsidRDefault="0037719B" w:rsidP="00390828">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tc>
        <w:tc>
          <w:tcPr>
            <w:tcW w:w="353" w:type="pct"/>
            <w:shd w:val="clear" w:color="auto" w:fill="auto"/>
          </w:tcPr>
          <w:p w14:paraId="2F369487" w14:textId="77777777" w:rsidR="00B637DD" w:rsidRPr="008E7FF2" w:rsidRDefault="00B637DD" w:rsidP="00390828">
            <w:pPr>
              <w:keepLines/>
              <w:spacing w:before="40" w:after="40" w:line="200" w:lineRule="atLeast"/>
              <w:jc w:val="center"/>
              <w:rPr>
                <w:rFonts w:asciiTheme="minorHAnsi" w:eastAsia="Times New Roman" w:hAnsiTheme="minorHAnsi" w:cstheme="minorHAnsi"/>
                <w:iCs/>
                <w:szCs w:val="17"/>
              </w:rPr>
            </w:pPr>
          </w:p>
        </w:tc>
      </w:tr>
    </w:tbl>
    <w:p w14:paraId="688BC038" w14:textId="77777777" w:rsidR="00390828" w:rsidRPr="00812509" w:rsidRDefault="00390828" w:rsidP="00390828">
      <w:pPr>
        <w:spacing w:before="20" w:after="20" w:line="180" w:lineRule="atLeast"/>
        <w:jc w:val="both"/>
        <w:rPr>
          <w:rFonts w:eastAsia="Times New Roman"/>
          <w:b/>
          <w:sz w:val="14"/>
          <w:szCs w:val="14"/>
        </w:rPr>
      </w:pPr>
    </w:p>
    <w:p w14:paraId="545A1D0D" w14:textId="77777777" w:rsidR="00390828" w:rsidRPr="00812509" w:rsidRDefault="00390828" w:rsidP="00390828">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14:paraId="20196D77" w14:textId="77777777" w:rsidR="00390828" w:rsidRPr="00B927C4" w:rsidRDefault="00390828" w:rsidP="00390828">
      <w:pPr>
        <w:spacing w:before="20" w:after="20" w:line="180" w:lineRule="atLeast"/>
        <w:jc w:val="both"/>
        <w:rPr>
          <w:rFonts w:eastAsia="Times New Roman"/>
          <w:b/>
          <w:sz w:val="16"/>
          <w:szCs w:val="14"/>
          <w:u w:val="single"/>
        </w:rPr>
      </w:pPr>
      <w:r w:rsidRPr="00B927C4">
        <w:rPr>
          <w:rFonts w:eastAsia="Times New Roman"/>
          <w:b/>
          <w:sz w:val="16"/>
          <w:szCs w:val="14"/>
          <w:u w:val="single"/>
        </w:rPr>
        <w:t>Satisfactory (4, 5 and 6)</w:t>
      </w:r>
    </w:p>
    <w:p w14:paraId="0A893DBC" w14:textId="77777777" w:rsidR="00390828" w:rsidRPr="00812509" w:rsidRDefault="00390828" w:rsidP="00390828">
      <w:pPr>
        <w:spacing w:before="20" w:after="20" w:line="180" w:lineRule="atLeast"/>
        <w:rPr>
          <w:rFonts w:eastAsia="Times New Roman"/>
          <w:b/>
          <w:sz w:val="16"/>
          <w:szCs w:val="14"/>
        </w:rPr>
      </w:pPr>
      <w:r w:rsidRPr="00812509">
        <w:rPr>
          <w:rFonts w:eastAsia="Times New Roman"/>
          <w:b/>
          <w:sz w:val="16"/>
          <w:szCs w:val="14"/>
        </w:rPr>
        <w:t>6 = Very good; satisfies criteria in all areas.  5 = Good; satisfies criteria in almost all areas.</w:t>
      </w:r>
    </w:p>
    <w:p w14:paraId="4E11FE0F" w14:textId="77777777" w:rsidR="00390828" w:rsidRPr="00812509" w:rsidRDefault="00390828" w:rsidP="00390828">
      <w:pPr>
        <w:spacing w:before="20" w:after="20" w:line="180" w:lineRule="atLeast"/>
        <w:rPr>
          <w:rFonts w:eastAsia="Times New Roman"/>
          <w:b/>
          <w:sz w:val="16"/>
          <w:szCs w:val="14"/>
        </w:rPr>
      </w:pPr>
      <w:r w:rsidRPr="00812509">
        <w:rPr>
          <w:rFonts w:eastAsia="Times New Roman"/>
          <w:b/>
          <w:sz w:val="16"/>
          <w:szCs w:val="14"/>
        </w:rPr>
        <w:t>4 = Adequate; on balance, satisfies criteria; does not fail in any major area.</w:t>
      </w:r>
    </w:p>
    <w:p w14:paraId="234C5819" w14:textId="77777777" w:rsidR="00390828" w:rsidRPr="00B927C4" w:rsidRDefault="00390828" w:rsidP="00390828">
      <w:pPr>
        <w:spacing w:before="20" w:after="20" w:line="180" w:lineRule="atLeast"/>
        <w:rPr>
          <w:rFonts w:eastAsia="Times New Roman"/>
          <w:b/>
          <w:sz w:val="16"/>
          <w:szCs w:val="14"/>
          <w:u w:val="single"/>
        </w:rPr>
      </w:pPr>
      <w:r w:rsidRPr="00B927C4">
        <w:rPr>
          <w:rFonts w:eastAsia="Times New Roman"/>
          <w:b/>
          <w:sz w:val="16"/>
          <w:szCs w:val="14"/>
          <w:u w:val="single"/>
        </w:rPr>
        <w:t>Less than satisfactory (1, 2 and 3)</w:t>
      </w:r>
    </w:p>
    <w:p w14:paraId="42DC77F8" w14:textId="77777777" w:rsidR="00390828" w:rsidRPr="00812509" w:rsidRDefault="00390828" w:rsidP="00390828">
      <w:pPr>
        <w:spacing w:before="20" w:after="20" w:line="180" w:lineRule="atLeast"/>
        <w:rPr>
          <w:rFonts w:eastAsia="Times New Roman"/>
          <w:b/>
          <w:sz w:val="16"/>
          <w:szCs w:val="14"/>
        </w:rPr>
      </w:pP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14:paraId="72FB8DE4" w14:textId="5DCCBA78" w:rsidR="00B76BA4" w:rsidRDefault="00390828" w:rsidP="00467DCE">
      <w:pPr>
        <w:spacing w:before="20" w:after="20" w:line="180" w:lineRule="atLeast"/>
      </w:pPr>
      <w:r w:rsidRPr="00812509">
        <w:rPr>
          <w:rFonts w:eastAsia="Times New Roman"/>
          <w:b/>
          <w:sz w:val="16"/>
          <w:szCs w:val="14"/>
        </w:rPr>
        <w:t xml:space="preserve"> 2 = Poor; does not satisfy criteria in major areas.  1 = Very poor; does not satisfy criteria in many major area.</w:t>
      </w:r>
    </w:p>
    <w:sectPr w:rsidR="00B76BA4" w:rsidSect="00EC3C2D">
      <w:headerReference w:type="even" r:id="rId21"/>
      <w:headerReference w:type="default" r:id="rId22"/>
      <w:headerReference w:type="first" r:id="rId23"/>
      <w:footerReference w:type="first" r:id="rId24"/>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E2EC3" w14:textId="77777777" w:rsidR="008B11CC" w:rsidRDefault="008B11CC" w:rsidP="00D37B04">
      <w:r>
        <w:separator/>
      </w:r>
    </w:p>
  </w:endnote>
  <w:endnote w:type="continuationSeparator" w:id="0">
    <w:p w14:paraId="63229E87" w14:textId="77777777" w:rsidR="008B11CC" w:rsidRDefault="008B11CC"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488B5" w14:textId="77777777" w:rsidR="000C1E62" w:rsidRPr="00FC322F" w:rsidRDefault="000C1E62" w:rsidP="00FC322F">
    <w:pPr>
      <w:pStyle w:val="Footer"/>
      <w:rPr>
        <w:b/>
      </w:rPr>
    </w:pPr>
    <w:r w:rsidRPr="00FC322F">
      <w:rPr>
        <w:b/>
        <w:noProof/>
        <w:lang w:val="en-AU" w:eastAsia="en-AU"/>
      </w:rPr>
      <w:drawing>
        <wp:inline distT="0" distB="0" distL="0" distR="0" wp14:anchorId="47E51C07" wp14:editId="3B712590">
          <wp:extent cx="108000" cy="87480"/>
          <wp:effectExtent l="0" t="0" r="6350" b="8255"/>
          <wp:docPr id="9" name="Picture 9"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bookmarkStart w:id="0" w:name="_GoBack"/>
    <w:r w:rsidRPr="00FC322F">
      <w:rPr>
        <w:rStyle w:val="Green"/>
        <w:b/>
      </w:rPr>
      <w:t>DFAT.GOV.AU</w:t>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846117"/>
      <w:docPartObj>
        <w:docPartGallery w:val="Page Numbers (Bottom of Page)"/>
        <w:docPartUnique/>
      </w:docPartObj>
    </w:sdtPr>
    <w:sdtEndPr>
      <w:rPr>
        <w:noProof/>
      </w:rPr>
    </w:sdtEndPr>
    <w:sdtContent>
      <w:p w14:paraId="6A68735E" w14:textId="0844E720" w:rsidR="00B03CE5" w:rsidRDefault="00B03CE5">
        <w:pPr>
          <w:pStyle w:val="Footer"/>
          <w:jc w:val="center"/>
        </w:pPr>
        <w:r>
          <w:fldChar w:fldCharType="begin"/>
        </w:r>
        <w:r>
          <w:instrText xml:space="preserve"> PAGE   \* MERGEFORMAT </w:instrText>
        </w:r>
        <w:r>
          <w:fldChar w:fldCharType="separate"/>
        </w:r>
        <w:r w:rsidR="00232B45">
          <w:rPr>
            <w:noProof/>
          </w:rPr>
          <w:t>1</w:t>
        </w:r>
        <w:r>
          <w:rPr>
            <w:noProof/>
          </w:rPr>
          <w:fldChar w:fldCharType="end"/>
        </w:r>
      </w:p>
    </w:sdtContent>
  </w:sdt>
  <w:p w14:paraId="187F9A9D" w14:textId="21162A7B" w:rsidR="000C1E62" w:rsidRPr="00FC322F" w:rsidRDefault="000C1E62"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252761"/>
      <w:docPartObj>
        <w:docPartGallery w:val="Page Numbers (Bottom of Page)"/>
        <w:docPartUnique/>
      </w:docPartObj>
    </w:sdtPr>
    <w:sdtEndPr>
      <w:rPr>
        <w:noProof/>
      </w:rPr>
    </w:sdtEndPr>
    <w:sdtContent>
      <w:p w14:paraId="79BC9C4F" w14:textId="7D0A8477" w:rsidR="00B03CE5" w:rsidRDefault="00B03CE5">
        <w:pPr>
          <w:pStyle w:val="Footer"/>
          <w:jc w:val="center"/>
        </w:pPr>
        <w:r>
          <w:fldChar w:fldCharType="begin"/>
        </w:r>
        <w:r>
          <w:instrText xml:space="preserve"> PAGE   \* MERGEFORMAT </w:instrText>
        </w:r>
        <w:r>
          <w:fldChar w:fldCharType="separate"/>
        </w:r>
        <w:r w:rsidR="00232B45">
          <w:rPr>
            <w:noProof/>
          </w:rPr>
          <w:t>3</w:t>
        </w:r>
        <w:r>
          <w:rPr>
            <w:noProof/>
          </w:rPr>
          <w:fldChar w:fldCharType="end"/>
        </w:r>
      </w:p>
    </w:sdtContent>
  </w:sdt>
  <w:p w14:paraId="4988A468" w14:textId="0A625752" w:rsidR="000C1E62" w:rsidRPr="00FC322F" w:rsidRDefault="000C1E62" w:rsidP="00FC322F">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2ACA4" w14:textId="77777777" w:rsidR="000C1E62" w:rsidRPr="00FC322F" w:rsidRDefault="000C1E62" w:rsidP="00FC322F">
    <w:pPr>
      <w:pStyle w:val="Footer"/>
      <w:rPr>
        <w:b/>
      </w:rPr>
    </w:pPr>
    <w:r w:rsidRPr="00FC322F">
      <w:rPr>
        <w:b/>
        <w:noProof/>
        <w:lang w:val="en-AU" w:eastAsia="en-AU"/>
      </w:rPr>
      <w:drawing>
        <wp:inline distT="0" distB="0" distL="0" distR="0" wp14:anchorId="1577CA56" wp14:editId="2F9A10B2">
          <wp:extent cx="108000" cy="87480"/>
          <wp:effectExtent l="0" t="0" r="6350" b="8255"/>
          <wp:docPr id="20" name="Picture 20"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9155308"/>
      <w:docPartObj>
        <w:docPartGallery w:val="Page Numbers (Bottom of Page)"/>
        <w:docPartUnique/>
      </w:docPartObj>
    </w:sdtPr>
    <w:sdtEndPr>
      <w:rPr>
        <w:noProof/>
      </w:rPr>
    </w:sdtEndPr>
    <w:sdtContent>
      <w:p w14:paraId="51C182E7" w14:textId="7265BE85" w:rsidR="00B03CE5" w:rsidRDefault="00B03CE5">
        <w:pPr>
          <w:pStyle w:val="Footer"/>
          <w:jc w:val="center"/>
        </w:pPr>
        <w:r>
          <w:fldChar w:fldCharType="begin"/>
        </w:r>
        <w:r>
          <w:instrText xml:space="preserve"> PAGE   \* MERGEFORMAT </w:instrText>
        </w:r>
        <w:r>
          <w:fldChar w:fldCharType="separate"/>
        </w:r>
        <w:r w:rsidR="00232B45">
          <w:rPr>
            <w:noProof/>
          </w:rPr>
          <w:t>2</w:t>
        </w:r>
        <w:r>
          <w:rPr>
            <w:noProof/>
          </w:rPr>
          <w:fldChar w:fldCharType="end"/>
        </w:r>
      </w:p>
    </w:sdtContent>
  </w:sdt>
  <w:p w14:paraId="7AC8EBC7" w14:textId="7619AAFC" w:rsidR="000C1E62" w:rsidRPr="00EC3C2D" w:rsidRDefault="000C1E62" w:rsidP="00EC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29C3C" w14:textId="77777777" w:rsidR="008B11CC" w:rsidRPr="008C5A0E" w:rsidRDefault="008B11CC" w:rsidP="00D37B04">
      <w:pPr>
        <w:pStyle w:val="Footer"/>
      </w:pPr>
    </w:p>
  </w:footnote>
  <w:footnote w:type="continuationSeparator" w:id="0">
    <w:p w14:paraId="7355E347" w14:textId="77777777" w:rsidR="008B11CC" w:rsidRDefault="008B11CC"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DDD82" w14:textId="77777777" w:rsidR="000C1E62" w:rsidRPr="000854FD" w:rsidRDefault="000C1E62" w:rsidP="002D5B25">
    <w:pPr>
      <w:pStyle w:val="Header"/>
    </w:pPr>
    <w:r w:rsidRPr="00943730">
      <w:rPr>
        <w:noProof/>
        <w:lang w:val="en-AU" w:eastAsia="en-AU"/>
      </w:rPr>
      <w:drawing>
        <wp:anchor distT="0" distB="0" distL="114300" distR="114300" simplePos="0" relativeHeight="251668480" behindDoc="1" locked="1" layoutInCell="1" allowOverlap="1" wp14:anchorId="3095BA42" wp14:editId="3EBC2528">
          <wp:simplePos x="0" y="0"/>
          <wp:positionH relativeFrom="page">
            <wp:posOffset>12700</wp:posOffset>
          </wp:positionH>
          <wp:positionV relativeFrom="page">
            <wp:posOffset>0</wp:posOffset>
          </wp:positionV>
          <wp:extent cx="7559040" cy="1069276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13004" w14:textId="77777777" w:rsidR="000C1E62" w:rsidRPr="00943730" w:rsidRDefault="000C1E62" w:rsidP="00D922AA">
    <w:pPr>
      <w:pStyle w:val="Header"/>
      <w:ind w:left="0"/>
    </w:pPr>
    <w:r w:rsidRPr="00252C04">
      <w:rPr>
        <w:noProof/>
        <w:lang w:val="en-AU" w:eastAsia="en-AU"/>
      </w:rPr>
      <w:drawing>
        <wp:anchor distT="0" distB="0" distL="114300" distR="114300" simplePos="0" relativeHeight="251669504" behindDoc="1" locked="1" layoutInCell="1" allowOverlap="1" wp14:anchorId="7EBAEA2A" wp14:editId="52EA4A91">
          <wp:simplePos x="0" y="0"/>
          <wp:positionH relativeFrom="page">
            <wp:posOffset>5699125</wp:posOffset>
          </wp:positionH>
          <wp:positionV relativeFrom="topMargin">
            <wp:align>bottom</wp:align>
          </wp:positionV>
          <wp:extent cx="1115060" cy="512445"/>
          <wp:effectExtent l="0" t="0" r="8890"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7456" behindDoc="1" locked="1" layoutInCell="1" allowOverlap="1" wp14:anchorId="60D55B7F" wp14:editId="0C0DAE45">
          <wp:simplePos x="0" y="0"/>
          <wp:positionH relativeFrom="page">
            <wp:posOffset>713740</wp:posOffset>
          </wp:positionH>
          <wp:positionV relativeFrom="topMargin">
            <wp:align>bottom</wp:align>
          </wp:positionV>
          <wp:extent cx="3166745" cy="554355"/>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6432" behindDoc="1" locked="1" layoutInCell="1" allowOverlap="1" wp14:anchorId="23AF43AC" wp14:editId="013B911E">
          <wp:simplePos x="0" y="0"/>
          <wp:positionH relativeFrom="page">
            <wp:posOffset>12700</wp:posOffset>
          </wp:positionH>
          <wp:positionV relativeFrom="page">
            <wp:posOffset>-68580</wp:posOffset>
          </wp:positionV>
          <wp:extent cx="7559040" cy="10692130"/>
          <wp:effectExtent l="0" t="0" r="381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A23A0" w14:textId="77777777" w:rsidR="000C1E62" w:rsidRPr="000854FD" w:rsidRDefault="000C1E62" w:rsidP="002D5B25">
    <w:pPr>
      <w:pStyle w:val="Header"/>
    </w:pPr>
    <w:r w:rsidRPr="00943730">
      <w:rPr>
        <w:noProof/>
        <w:lang w:val="en-AU" w:eastAsia="en-AU"/>
      </w:rPr>
      <w:drawing>
        <wp:anchor distT="0" distB="0" distL="114300" distR="114300" simplePos="0" relativeHeight="251662336" behindDoc="1" locked="1" layoutInCell="1" allowOverlap="1" wp14:anchorId="17220898" wp14:editId="428CEFA0">
          <wp:simplePos x="0" y="0"/>
          <wp:positionH relativeFrom="page">
            <wp:posOffset>12700</wp:posOffset>
          </wp:positionH>
          <wp:positionV relativeFrom="page">
            <wp:posOffset>0</wp:posOffset>
          </wp:positionV>
          <wp:extent cx="7559040" cy="10692765"/>
          <wp:effectExtent l="0" t="0" r="381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A39B" w14:textId="3859F1EE" w:rsidR="000C1E62" w:rsidRPr="00943730" w:rsidRDefault="000C1E62" w:rsidP="00943730">
    <w:pPr>
      <w:pStyle w:val="Header"/>
    </w:pPr>
    <w:r w:rsidRPr="00943730">
      <w:fldChar w:fldCharType="begin"/>
    </w:r>
    <w:r w:rsidRPr="00943730">
      <w:instrText xml:space="preserve"> DATE  \@ "MMMM yyyy"  \* MERGEFORMAT </w:instrText>
    </w:r>
    <w:r w:rsidRPr="00943730">
      <w:fldChar w:fldCharType="separate"/>
    </w:r>
    <w:r w:rsidR="007B3DAA">
      <w:rPr>
        <w:noProof/>
      </w:rPr>
      <w:t>November 2020</w:t>
    </w:r>
    <w:r w:rsidRPr="00943730">
      <w:fldChar w:fldCharType="end"/>
    </w:r>
    <w:r w:rsidRPr="00252C04">
      <w:rPr>
        <w:noProof/>
        <w:lang w:val="en-AU" w:eastAsia="en-AU"/>
      </w:rPr>
      <w:drawing>
        <wp:anchor distT="0" distB="0" distL="114300" distR="114300" simplePos="0" relativeHeight="251664384" behindDoc="1" locked="1" layoutInCell="1" allowOverlap="1" wp14:anchorId="5348B449" wp14:editId="653AE9B6">
          <wp:simplePos x="0" y="0"/>
          <wp:positionH relativeFrom="page">
            <wp:posOffset>5724525</wp:posOffset>
          </wp:positionH>
          <wp:positionV relativeFrom="page">
            <wp:posOffset>720090</wp:posOffset>
          </wp:positionV>
          <wp:extent cx="1115060" cy="512445"/>
          <wp:effectExtent l="0" t="0" r="8890" b="190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57CE2FEE" wp14:editId="2024E5B4">
          <wp:simplePos x="0" y="0"/>
          <wp:positionH relativeFrom="page">
            <wp:posOffset>720090</wp:posOffset>
          </wp:positionH>
          <wp:positionV relativeFrom="page">
            <wp:posOffset>683895</wp:posOffset>
          </wp:positionV>
          <wp:extent cx="3166745" cy="554355"/>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6A05D538" wp14:editId="33D1A0AC">
          <wp:simplePos x="0" y="0"/>
          <wp:positionH relativeFrom="page">
            <wp:posOffset>12700</wp:posOffset>
          </wp:positionH>
          <wp:positionV relativeFrom="page">
            <wp:posOffset>-69850</wp:posOffset>
          </wp:positionV>
          <wp:extent cx="10585450" cy="10692130"/>
          <wp:effectExtent l="0" t="0" r="635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1058545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4413D" w14:textId="77777777" w:rsidR="000C1E62" w:rsidRDefault="000C1E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3BAE" w14:textId="77777777" w:rsidR="000C1E62" w:rsidRPr="00333501" w:rsidRDefault="000C1E62" w:rsidP="00D922AA">
    <w:pPr>
      <w:pStyle w:val="Header"/>
    </w:pPr>
    <w:r>
      <w:rPr>
        <w:noProof/>
        <w:lang w:val="en-AU" w:eastAsia="en-AU"/>
      </w:rPr>
      <w:drawing>
        <wp:anchor distT="0" distB="0" distL="114300" distR="114300" simplePos="0" relativeHeight="251672576" behindDoc="1" locked="1" layoutInCell="1" allowOverlap="1" wp14:anchorId="447F5322" wp14:editId="6DA31B56">
          <wp:simplePos x="0" y="0"/>
          <wp:positionH relativeFrom="page">
            <wp:posOffset>52705</wp:posOffset>
          </wp:positionH>
          <wp:positionV relativeFrom="page">
            <wp:posOffset>158115</wp:posOffset>
          </wp:positionV>
          <wp:extent cx="7447280" cy="10480675"/>
          <wp:effectExtent l="0" t="0" r="127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47280" cy="10480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CDCAA" w14:textId="77777777" w:rsidR="000C1E62" w:rsidRPr="003D352D" w:rsidRDefault="000C1E62" w:rsidP="00D922AA">
    <w:pPr>
      <w:pStyle w:val="Header"/>
    </w:pPr>
    <w:r>
      <w:rPr>
        <w:noProof/>
        <w:lang w:val="en-AU" w:eastAsia="en-AU"/>
      </w:rPr>
      <w:drawing>
        <wp:anchor distT="0" distB="0" distL="114300" distR="114300" simplePos="0" relativeHeight="251671552" behindDoc="1" locked="1" layoutInCell="1" allowOverlap="1" wp14:anchorId="4D8B1814" wp14:editId="255CB751">
          <wp:simplePos x="0" y="0"/>
          <wp:positionH relativeFrom="page">
            <wp:posOffset>46990</wp:posOffset>
          </wp:positionH>
          <wp:positionV relativeFrom="page">
            <wp:posOffset>5080</wp:posOffset>
          </wp:positionV>
          <wp:extent cx="7512050" cy="10639425"/>
          <wp:effectExtent l="0" t="0" r="0" b="952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12050" cy="10639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F6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7A24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CE2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4C4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A00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AF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67D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1474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077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48F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56AC2"/>
    <w:multiLevelType w:val="hybridMultilevel"/>
    <w:tmpl w:val="8D94D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C5133A8"/>
    <w:multiLevelType w:val="hybridMultilevel"/>
    <w:tmpl w:val="C13A7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3A1040"/>
    <w:multiLevelType w:val="hybridMultilevel"/>
    <w:tmpl w:val="57BA0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6" w15:restartNumberingAfterBreak="0">
    <w:nsid w:val="1E531538"/>
    <w:multiLevelType w:val="multilevel"/>
    <w:tmpl w:val="9A148B46"/>
    <w:lvl w:ilvl="0">
      <w:start w:val="2019"/>
      <w:numFmt w:val="decimal"/>
      <w:lvlText w:val="%1"/>
      <w:lvlJc w:val="left"/>
      <w:pPr>
        <w:ind w:left="495" w:hanging="495"/>
      </w:pPr>
      <w:rPr>
        <w:rFonts w:hint="default"/>
      </w:rPr>
    </w:lvl>
    <w:lvl w:ilvl="1">
      <w:start w:val="20"/>
      <w:numFmt w:val="decimal"/>
      <w:lvlText w:val="%1-%2"/>
      <w:lvlJc w:val="left"/>
      <w:pPr>
        <w:ind w:left="855" w:hanging="495"/>
      </w:pPr>
      <w:rPr>
        <w:rFonts w:hint="default"/>
      </w:rPr>
    </w:lvl>
    <w:lvl w:ilvl="2">
      <w:start w:val="1"/>
      <w:numFmt w:val="decimal"/>
      <w:lvlText w:val="%1-%2.%3"/>
      <w:lvlJc w:val="left"/>
      <w:pPr>
        <w:ind w:left="1215" w:hanging="495"/>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7" w15:restartNumberingAfterBreak="0">
    <w:nsid w:val="20EA6AA0"/>
    <w:multiLevelType w:val="hybridMultilevel"/>
    <w:tmpl w:val="B0AEA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9E1258"/>
    <w:multiLevelType w:val="hybridMultilevel"/>
    <w:tmpl w:val="5E3696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3E482234"/>
    <w:multiLevelType w:val="hybridMultilevel"/>
    <w:tmpl w:val="DC8452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2880FB8"/>
    <w:multiLevelType w:val="hybridMultilevel"/>
    <w:tmpl w:val="79C2626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15:restartNumberingAfterBreak="0">
    <w:nsid w:val="44483A55"/>
    <w:multiLevelType w:val="hybridMultilevel"/>
    <w:tmpl w:val="18CA7660"/>
    <w:lvl w:ilvl="0" w:tplc="9F5CFAB6">
      <w:start w:val="1"/>
      <w:numFmt w:val="bullet"/>
      <w:lvlText w:val="•"/>
      <w:lvlJc w:val="left"/>
      <w:pPr>
        <w:tabs>
          <w:tab w:val="num" w:pos="720"/>
        </w:tabs>
        <w:ind w:left="720" w:hanging="360"/>
      </w:pPr>
      <w:rPr>
        <w:rFonts w:ascii="Arial" w:hAnsi="Arial" w:hint="default"/>
      </w:rPr>
    </w:lvl>
    <w:lvl w:ilvl="1" w:tplc="B242FDEC" w:tentative="1">
      <w:start w:val="1"/>
      <w:numFmt w:val="bullet"/>
      <w:lvlText w:val="•"/>
      <w:lvlJc w:val="left"/>
      <w:pPr>
        <w:tabs>
          <w:tab w:val="num" w:pos="1440"/>
        </w:tabs>
        <w:ind w:left="1440" w:hanging="360"/>
      </w:pPr>
      <w:rPr>
        <w:rFonts w:ascii="Arial" w:hAnsi="Arial" w:hint="default"/>
      </w:rPr>
    </w:lvl>
    <w:lvl w:ilvl="2" w:tplc="E1D430AE" w:tentative="1">
      <w:start w:val="1"/>
      <w:numFmt w:val="bullet"/>
      <w:lvlText w:val="•"/>
      <w:lvlJc w:val="left"/>
      <w:pPr>
        <w:tabs>
          <w:tab w:val="num" w:pos="2160"/>
        </w:tabs>
        <w:ind w:left="2160" w:hanging="360"/>
      </w:pPr>
      <w:rPr>
        <w:rFonts w:ascii="Arial" w:hAnsi="Arial" w:hint="default"/>
      </w:rPr>
    </w:lvl>
    <w:lvl w:ilvl="3" w:tplc="0C8A4E22" w:tentative="1">
      <w:start w:val="1"/>
      <w:numFmt w:val="bullet"/>
      <w:lvlText w:val="•"/>
      <w:lvlJc w:val="left"/>
      <w:pPr>
        <w:tabs>
          <w:tab w:val="num" w:pos="2880"/>
        </w:tabs>
        <w:ind w:left="2880" w:hanging="360"/>
      </w:pPr>
      <w:rPr>
        <w:rFonts w:ascii="Arial" w:hAnsi="Arial" w:hint="default"/>
      </w:rPr>
    </w:lvl>
    <w:lvl w:ilvl="4" w:tplc="DFAC8E46" w:tentative="1">
      <w:start w:val="1"/>
      <w:numFmt w:val="bullet"/>
      <w:lvlText w:val="•"/>
      <w:lvlJc w:val="left"/>
      <w:pPr>
        <w:tabs>
          <w:tab w:val="num" w:pos="3600"/>
        </w:tabs>
        <w:ind w:left="3600" w:hanging="360"/>
      </w:pPr>
      <w:rPr>
        <w:rFonts w:ascii="Arial" w:hAnsi="Arial" w:hint="default"/>
      </w:rPr>
    </w:lvl>
    <w:lvl w:ilvl="5" w:tplc="783627A4" w:tentative="1">
      <w:start w:val="1"/>
      <w:numFmt w:val="bullet"/>
      <w:lvlText w:val="•"/>
      <w:lvlJc w:val="left"/>
      <w:pPr>
        <w:tabs>
          <w:tab w:val="num" w:pos="4320"/>
        </w:tabs>
        <w:ind w:left="4320" w:hanging="360"/>
      </w:pPr>
      <w:rPr>
        <w:rFonts w:ascii="Arial" w:hAnsi="Arial" w:hint="default"/>
      </w:rPr>
    </w:lvl>
    <w:lvl w:ilvl="6" w:tplc="0C4C2FDE" w:tentative="1">
      <w:start w:val="1"/>
      <w:numFmt w:val="bullet"/>
      <w:lvlText w:val="•"/>
      <w:lvlJc w:val="left"/>
      <w:pPr>
        <w:tabs>
          <w:tab w:val="num" w:pos="5040"/>
        </w:tabs>
        <w:ind w:left="5040" w:hanging="360"/>
      </w:pPr>
      <w:rPr>
        <w:rFonts w:ascii="Arial" w:hAnsi="Arial" w:hint="default"/>
      </w:rPr>
    </w:lvl>
    <w:lvl w:ilvl="7" w:tplc="AA30793E" w:tentative="1">
      <w:start w:val="1"/>
      <w:numFmt w:val="bullet"/>
      <w:lvlText w:val="•"/>
      <w:lvlJc w:val="left"/>
      <w:pPr>
        <w:tabs>
          <w:tab w:val="num" w:pos="5760"/>
        </w:tabs>
        <w:ind w:left="5760" w:hanging="360"/>
      </w:pPr>
      <w:rPr>
        <w:rFonts w:ascii="Arial" w:hAnsi="Arial" w:hint="default"/>
      </w:rPr>
    </w:lvl>
    <w:lvl w:ilvl="8" w:tplc="AB16E88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4A148B"/>
    <w:multiLevelType w:val="hybridMultilevel"/>
    <w:tmpl w:val="FC90C7DA"/>
    <w:lvl w:ilvl="0" w:tplc="59463C12">
      <w:start w:val="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95464FD"/>
    <w:multiLevelType w:val="hybridMultilevel"/>
    <w:tmpl w:val="822440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1741785"/>
    <w:multiLevelType w:val="multilevel"/>
    <w:tmpl w:val="1DA6A938"/>
    <w:lvl w:ilvl="0">
      <w:start w:val="2019"/>
      <w:numFmt w:val="decimal"/>
      <w:lvlText w:val="%1"/>
      <w:lvlJc w:val="left"/>
      <w:pPr>
        <w:ind w:left="495" w:hanging="495"/>
      </w:pPr>
      <w:rPr>
        <w:rFonts w:hint="default"/>
      </w:rPr>
    </w:lvl>
    <w:lvl w:ilvl="1">
      <w:start w:val="20"/>
      <w:numFmt w:val="decimal"/>
      <w:lvlText w:val="%1-%2"/>
      <w:lvlJc w:val="left"/>
      <w:pPr>
        <w:ind w:left="1350" w:hanging="495"/>
      </w:pPr>
      <w:rPr>
        <w:rFonts w:hint="default"/>
      </w:rPr>
    </w:lvl>
    <w:lvl w:ilvl="2">
      <w:start w:val="1"/>
      <w:numFmt w:val="decimal"/>
      <w:lvlText w:val="%1-%2.%3"/>
      <w:lvlJc w:val="left"/>
      <w:pPr>
        <w:ind w:left="2205" w:hanging="495"/>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140" w:hanging="720"/>
      </w:pPr>
      <w:rPr>
        <w:rFonts w:hint="default"/>
      </w:rPr>
    </w:lvl>
    <w:lvl w:ilvl="5">
      <w:start w:val="1"/>
      <w:numFmt w:val="decimal"/>
      <w:lvlText w:val="%1-%2.%3.%4.%5.%6"/>
      <w:lvlJc w:val="left"/>
      <w:pPr>
        <w:ind w:left="4995" w:hanging="720"/>
      </w:pPr>
      <w:rPr>
        <w:rFonts w:hint="default"/>
      </w:rPr>
    </w:lvl>
    <w:lvl w:ilvl="6">
      <w:start w:val="1"/>
      <w:numFmt w:val="decimal"/>
      <w:lvlText w:val="%1-%2.%3.%4.%5.%6.%7"/>
      <w:lvlJc w:val="left"/>
      <w:pPr>
        <w:ind w:left="6210" w:hanging="1080"/>
      </w:pPr>
      <w:rPr>
        <w:rFonts w:hint="default"/>
      </w:rPr>
    </w:lvl>
    <w:lvl w:ilvl="7">
      <w:start w:val="1"/>
      <w:numFmt w:val="decimal"/>
      <w:lvlText w:val="%1-%2.%3.%4.%5.%6.%7.%8"/>
      <w:lvlJc w:val="left"/>
      <w:pPr>
        <w:ind w:left="7065" w:hanging="1080"/>
      </w:pPr>
      <w:rPr>
        <w:rFonts w:hint="default"/>
      </w:rPr>
    </w:lvl>
    <w:lvl w:ilvl="8">
      <w:start w:val="1"/>
      <w:numFmt w:val="decimal"/>
      <w:lvlText w:val="%1-%2.%3.%4.%5.%6.%7.%8.%9"/>
      <w:lvlJc w:val="left"/>
      <w:pPr>
        <w:ind w:left="7920" w:hanging="1080"/>
      </w:pPr>
      <w:rPr>
        <w:rFonts w:hint="default"/>
      </w:rPr>
    </w:lvl>
  </w:abstractNum>
  <w:abstractNum w:abstractNumId="27" w15:restartNumberingAfterBreak="0">
    <w:nsid w:val="52553D9F"/>
    <w:multiLevelType w:val="multilevel"/>
    <w:tmpl w:val="A6FA45D0"/>
    <w:numStyleLink w:val="BulletsList"/>
  </w:abstractNum>
  <w:abstractNum w:abstractNumId="28" w15:restartNumberingAfterBreak="0">
    <w:nsid w:val="563A3407"/>
    <w:multiLevelType w:val="hybridMultilevel"/>
    <w:tmpl w:val="3CA4E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5D3C1EA7"/>
    <w:multiLevelType w:val="multilevel"/>
    <w:tmpl w:val="A6FA45D0"/>
    <w:numStyleLink w:val="BulletsList"/>
  </w:abstractNum>
  <w:abstractNum w:abstractNumId="3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15:restartNumberingAfterBreak="0">
    <w:nsid w:val="6B683F31"/>
    <w:multiLevelType w:val="multilevel"/>
    <w:tmpl w:val="DEF05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75615908"/>
    <w:multiLevelType w:val="hybridMultilevel"/>
    <w:tmpl w:val="8C623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79D10EE3"/>
    <w:multiLevelType w:val="hybridMultilevel"/>
    <w:tmpl w:val="8ECE1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9"/>
  </w:num>
  <w:num w:numId="10">
    <w:abstractNumId w:val="3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0"/>
  </w:num>
  <w:num w:numId="22">
    <w:abstractNumId w:val="19"/>
  </w:num>
  <w:num w:numId="23">
    <w:abstractNumId w:val="19"/>
  </w:num>
  <w:num w:numId="24">
    <w:abstractNumId w:val="30"/>
  </w:num>
  <w:num w:numId="25">
    <w:abstractNumId w:val="30"/>
  </w:num>
  <w:num w:numId="26">
    <w:abstractNumId w:val="30"/>
  </w:num>
  <w:num w:numId="27">
    <w:abstractNumId w:val="29"/>
  </w:num>
  <w:num w:numId="28">
    <w:abstractNumId w:val="11"/>
  </w:num>
  <w:num w:numId="29">
    <w:abstractNumId w:val="11"/>
  </w:num>
  <w:num w:numId="30">
    <w:abstractNumId w:val="11"/>
  </w:num>
  <w:num w:numId="31">
    <w:abstractNumId w:val="15"/>
  </w:num>
  <w:num w:numId="32">
    <w:abstractNumId w:val="35"/>
  </w:num>
  <w:num w:numId="33">
    <w:abstractNumId w:val="27"/>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32"/>
  </w:num>
  <w:num w:numId="37">
    <w:abstractNumId w:val="25"/>
  </w:num>
  <w:num w:numId="38">
    <w:abstractNumId w:val="24"/>
  </w:num>
  <w:num w:numId="39">
    <w:abstractNumId w:val="18"/>
  </w:num>
  <w:num w:numId="40">
    <w:abstractNumId w:val="12"/>
  </w:num>
  <w:num w:numId="41">
    <w:abstractNumId w:val="21"/>
  </w:num>
  <w:num w:numId="42">
    <w:abstractNumId w:val="16"/>
  </w:num>
  <w:num w:numId="43">
    <w:abstractNumId w:val="26"/>
  </w:num>
  <w:num w:numId="44">
    <w:abstractNumId w:val="23"/>
  </w:num>
  <w:num w:numId="45">
    <w:abstractNumId w:val="34"/>
  </w:num>
  <w:num w:numId="46">
    <w:abstractNumId w:val="28"/>
  </w:num>
  <w:num w:numId="47">
    <w:abstractNumId w:val="17"/>
  </w:num>
  <w:num w:numId="48">
    <w:abstractNumId w:val="20"/>
  </w:num>
  <w:num w:numId="49">
    <w:abstractNumId w:val="36"/>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DA8"/>
    <w:rsid w:val="000020C1"/>
    <w:rsid w:val="00004CEA"/>
    <w:rsid w:val="00005019"/>
    <w:rsid w:val="00005A77"/>
    <w:rsid w:val="00015783"/>
    <w:rsid w:val="0002080A"/>
    <w:rsid w:val="0002782F"/>
    <w:rsid w:val="00032CB5"/>
    <w:rsid w:val="00035BBF"/>
    <w:rsid w:val="00040DF1"/>
    <w:rsid w:val="00050806"/>
    <w:rsid w:val="000546D9"/>
    <w:rsid w:val="00054AAA"/>
    <w:rsid w:val="00054E4D"/>
    <w:rsid w:val="0005626E"/>
    <w:rsid w:val="0005792F"/>
    <w:rsid w:val="00060073"/>
    <w:rsid w:val="000616C6"/>
    <w:rsid w:val="00071788"/>
    <w:rsid w:val="00075FC2"/>
    <w:rsid w:val="000854FD"/>
    <w:rsid w:val="00086575"/>
    <w:rsid w:val="000A3256"/>
    <w:rsid w:val="000B37F5"/>
    <w:rsid w:val="000B5FE6"/>
    <w:rsid w:val="000B6B91"/>
    <w:rsid w:val="000C1E62"/>
    <w:rsid w:val="000C5205"/>
    <w:rsid w:val="000D39A0"/>
    <w:rsid w:val="000D66D6"/>
    <w:rsid w:val="000F6066"/>
    <w:rsid w:val="00110C81"/>
    <w:rsid w:val="00113288"/>
    <w:rsid w:val="001214BE"/>
    <w:rsid w:val="0013101C"/>
    <w:rsid w:val="00140F79"/>
    <w:rsid w:val="001461D6"/>
    <w:rsid w:val="00152B4D"/>
    <w:rsid w:val="001541EA"/>
    <w:rsid w:val="001604E3"/>
    <w:rsid w:val="001616D0"/>
    <w:rsid w:val="00166C3B"/>
    <w:rsid w:val="00177A38"/>
    <w:rsid w:val="001907AA"/>
    <w:rsid w:val="001962F2"/>
    <w:rsid w:val="001A7ED5"/>
    <w:rsid w:val="001B24B4"/>
    <w:rsid w:val="001C50B3"/>
    <w:rsid w:val="001D2E81"/>
    <w:rsid w:val="001D663E"/>
    <w:rsid w:val="001E0CD9"/>
    <w:rsid w:val="001E1DC0"/>
    <w:rsid w:val="001E50EA"/>
    <w:rsid w:val="001F762F"/>
    <w:rsid w:val="00203277"/>
    <w:rsid w:val="00205B2E"/>
    <w:rsid w:val="002068B7"/>
    <w:rsid w:val="002123B0"/>
    <w:rsid w:val="00213A46"/>
    <w:rsid w:val="00225152"/>
    <w:rsid w:val="00225D90"/>
    <w:rsid w:val="0022631C"/>
    <w:rsid w:val="00230777"/>
    <w:rsid w:val="00232B45"/>
    <w:rsid w:val="00235EAB"/>
    <w:rsid w:val="00252C04"/>
    <w:rsid w:val="00257A9E"/>
    <w:rsid w:val="002646C3"/>
    <w:rsid w:val="00265DDB"/>
    <w:rsid w:val="002707CF"/>
    <w:rsid w:val="00276A54"/>
    <w:rsid w:val="0028602A"/>
    <w:rsid w:val="00291E7E"/>
    <w:rsid w:val="002A0059"/>
    <w:rsid w:val="002A119B"/>
    <w:rsid w:val="002A7F56"/>
    <w:rsid w:val="002B5E10"/>
    <w:rsid w:val="002C164F"/>
    <w:rsid w:val="002C2AFB"/>
    <w:rsid w:val="002C36CE"/>
    <w:rsid w:val="002C793D"/>
    <w:rsid w:val="002D1859"/>
    <w:rsid w:val="002D5B25"/>
    <w:rsid w:val="002D6109"/>
    <w:rsid w:val="002E1B8A"/>
    <w:rsid w:val="002E204B"/>
    <w:rsid w:val="002F4F2B"/>
    <w:rsid w:val="003002C0"/>
    <w:rsid w:val="00301144"/>
    <w:rsid w:val="003031C6"/>
    <w:rsid w:val="00304984"/>
    <w:rsid w:val="00312BF8"/>
    <w:rsid w:val="003148B7"/>
    <w:rsid w:val="003158C3"/>
    <w:rsid w:val="003274CD"/>
    <w:rsid w:val="00330E12"/>
    <w:rsid w:val="00333501"/>
    <w:rsid w:val="003365E4"/>
    <w:rsid w:val="003457C4"/>
    <w:rsid w:val="003500CF"/>
    <w:rsid w:val="0035119D"/>
    <w:rsid w:val="00365569"/>
    <w:rsid w:val="00372FC5"/>
    <w:rsid w:val="003753EF"/>
    <w:rsid w:val="0037719B"/>
    <w:rsid w:val="00384D40"/>
    <w:rsid w:val="00390828"/>
    <w:rsid w:val="0039344A"/>
    <w:rsid w:val="00395163"/>
    <w:rsid w:val="003B4F12"/>
    <w:rsid w:val="003D2513"/>
    <w:rsid w:val="003D4C6F"/>
    <w:rsid w:val="003F0A58"/>
    <w:rsid w:val="003F2041"/>
    <w:rsid w:val="003F58F5"/>
    <w:rsid w:val="00402ACC"/>
    <w:rsid w:val="004120EC"/>
    <w:rsid w:val="00415A4C"/>
    <w:rsid w:val="004234CF"/>
    <w:rsid w:val="00423F31"/>
    <w:rsid w:val="004255C6"/>
    <w:rsid w:val="00431899"/>
    <w:rsid w:val="00442055"/>
    <w:rsid w:val="00443B81"/>
    <w:rsid w:val="00451E00"/>
    <w:rsid w:val="00452298"/>
    <w:rsid w:val="004532A2"/>
    <w:rsid w:val="00467DCE"/>
    <w:rsid w:val="00476B17"/>
    <w:rsid w:val="00482AE8"/>
    <w:rsid w:val="00482EA2"/>
    <w:rsid w:val="0048492D"/>
    <w:rsid w:val="00486804"/>
    <w:rsid w:val="004939C4"/>
    <w:rsid w:val="00494F98"/>
    <w:rsid w:val="004A258D"/>
    <w:rsid w:val="004A278B"/>
    <w:rsid w:val="004B1618"/>
    <w:rsid w:val="004B3775"/>
    <w:rsid w:val="004C5598"/>
    <w:rsid w:val="004C6342"/>
    <w:rsid w:val="004D0BA0"/>
    <w:rsid w:val="004E058F"/>
    <w:rsid w:val="004E3B87"/>
    <w:rsid w:val="004E6E90"/>
    <w:rsid w:val="005028FD"/>
    <w:rsid w:val="00505577"/>
    <w:rsid w:val="005061AD"/>
    <w:rsid w:val="00510921"/>
    <w:rsid w:val="00510AD3"/>
    <w:rsid w:val="00513348"/>
    <w:rsid w:val="00513AD8"/>
    <w:rsid w:val="005204D2"/>
    <w:rsid w:val="00522396"/>
    <w:rsid w:val="00533B5D"/>
    <w:rsid w:val="0054112F"/>
    <w:rsid w:val="00546056"/>
    <w:rsid w:val="00565D67"/>
    <w:rsid w:val="00566D54"/>
    <w:rsid w:val="00576A8C"/>
    <w:rsid w:val="00577B9C"/>
    <w:rsid w:val="00591B5F"/>
    <w:rsid w:val="005970CB"/>
    <w:rsid w:val="005A20F6"/>
    <w:rsid w:val="005B55E8"/>
    <w:rsid w:val="005B782C"/>
    <w:rsid w:val="005D242F"/>
    <w:rsid w:val="005D3655"/>
    <w:rsid w:val="005D471F"/>
    <w:rsid w:val="005E4830"/>
    <w:rsid w:val="005F42E6"/>
    <w:rsid w:val="00610782"/>
    <w:rsid w:val="00610F75"/>
    <w:rsid w:val="00615E3F"/>
    <w:rsid w:val="00622B86"/>
    <w:rsid w:val="00623BA1"/>
    <w:rsid w:val="006346BC"/>
    <w:rsid w:val="00644CCA"/>
    <w:rsid w:val="00651213"/>
    <w:rsid w:val="00660121"/>
    <w:rsid w:val="00663358"/>
    <w:rsid w:val="0066652A"/>
    <w:rsid w:val="00667907"/>
    <w:rsid w:val="00667F26"/>
    <w:rsid w:val="006719C3"/>
    <w:rsid w:val="0067788C"/>
    <w:rsid w:val="00680522"/>
    <w:rsid w:val="00682167"/>
    <w:rsid w:val="006864B4"/>
    <w:rsid w:val="00691780"/>
    <w:rsid w:val="006A2DD2"/>
    <w:rsid w:val="006A63D2"/>
    <w:rsid w:val="006B751D"/>
    <w:rsid w:val="006C42AF"/>
    <w:rsid w:val="006C4908"/>
    <w:rsid w:val="006D4DCC"/>
    <w:rsid w:val="006E4D11"/>
    <w:rsid w:val="006E716D"/>
    <w:rsid w:val="007031B5"/>
    <w:rsid w:val="00705133"/>
    <w:rsid w:val="00711163"/>
    <w:rsid w:val="00711D8E"/>
    <w:rsid w:val="00712672"/>
    <w:rsid w:val="00715351"/>
    <w:rsid w:val="0071553C"/>
    <w:rsid w:val="00720E58"/>
    <w:rsid w:val="00722D8F"/>
    <w:rsid w:val="00722ECC"/>
    <w:rsid w:val="0072769E"/>
    <w:rsid w:val="007309CD"/>
    <w:rsid w:val="00734E3F"/>
    <w:rsid w:val="00736985"/>
    <w:rsid w:val="00745DF5"/>
    <w:rsid w:val="0076250F"/>
    <w:rsid w:val="007706B8"/>
    <w:rsid w:val="00770972"/>
    <w:rsid w:val="00772B5B"/>
    <w:rsid w:val="00772FFC"/>
    <w:rsid w:val="00774EE4"/>
    <w:rsid w:val="00780FA5"/>
    <w:rsid w:val="00783961"/>
    <w:rsid w:val="00783EA4"/>
    <w:rsid w:val="00790171"/>
    <w:rsid w:val="007A5328"/>
    <w:rsid w:val="007A6663"/>
    <w:rsid w:val="007B06DC"/>
    <w:rsid w:val="007B3DAA"/>
    <w:rsid w:val="007B3E56"/>
    <w:rsid w:val="007B59BC"/>
    <w:rsid w:val="007B6200"/>
    <w:rsid w:val="007D27A5"/>
    <w:rsid w:val="007E3FF9"/>
    <w:rsid w:val="007E4969"/>
    <w:rsid w:val="007F2304"/>
    <w:rsid w:val="007F3395"/>
    <w:rsid w:val="007F5F5B"/>
    <w:rsid w:val="00801B9F"/>
    <w:rsid w:val="0080204D"/>
    <w:rsid w:val="00803DB5"/>
    <w:rsid w:val="00805B9C"/>
    <w:rsid w:val="00806228"/>
    <w:rsid w:val="00810213"/>
    <w:rsid w:val="00817DE6"/>
    <w:rsid w:val="00823B7F"/>
    <w:rsid w:val="0083052F"/>
    <w:rsid w:val="00835811"/>
    <w:rsid w:val="00836541"/>
    <w:rsid w:val="008475F0"/>
    <w:rsid w:val="00854659"/>
    <w:rsid w:val="008557A7"/>
    <w:rsid w:val="008557C1"/>
    <w:rsid w:val="00870928"/>
    <w:rsid w:val="00880AFF"/>
    <w:rsid w:val="00885A62"/>
    <w:rsid w:val="00893F0F"/>
    <w:rsid w:val="0089405C"/>
    <w:rsid w:val="00897FA2"/>
    <w:rsid w:val="008A15D8"/>
    <w:rsid w:val="008A5AFE"/>
    <w:rsid w:val="008B11CC"/>
    <w:rsid w:val="008C48F9"/>
    <w:rsid w:val="008C5A0E"/>
    <w:rsid w:val="008E7FF2"/>
    <w:rsid w:val="008F126A"/>
    <w:rsid w:val="00900652"/>
    <w:rsid w:val="009208FC"/>
    <w:rsid w:val="00927172"/>
    <w:rsid w:val="009278D2"/>
    <w:rsid w:val="00935ABC"/>
    <w:rsid w:val="00943730"/>
    <w:rsid w:val="0095053A"/>
    <w:rsid w:val="00961E72"/>
    <w:rsid w:val="00962EC1"/>
    <w:rsid w:val="00975CA5"/>
    <w:rsid w:val="00977676"/>
    <w:rsid w:val="00980574"/>
    <w:rsid w:val="00983AED"/>
    <w:rsid w:val="00986590"/>
    <w:rsid w:val="0098765D"/>
    <w:rsid w:val="00991FAB"/>
    <w:rsid w:val="00992C76"/>
    <w:rsid w:val="009969D6"/>
    <w:rsid w:val="009A0908"/>
    <w:rsid w:val="009A3DD2"/>
    <w:rsid w:val="009B4D3B"/>
    <w:rsid w:val="009B7942"/>
    <w:rsid w:val="009D57C0"/>
    <w:rsid w:val="009D7407"/>
    <w:rsid w:val="009E0866"/>
    <w:rsid w:val="009E273C"/>
    <w:rsid w:val="009E4D2F"/>
    <w:rsid w:val="009F1350"/>
    <w:rsid w:val="009F6423"/>
    <w:rsid w:val="009F713D"/>
    <w:rsid w:val="00A175B3"/>
    <w:rsid w:val="00A24A62"/>
    <w:rsid w:val="00A31C9F"/>
    <w:rsid w:val="00A33AA0"/>
    <w:rsid w:val="00A35285"/>
    <w:rsid w:val="00A4056C"/>
    <w:rsid w:val="00A4144F"/>
    <w:rsid w:val="00A61B4D"/>
    <w:rsid w:val="00A63917"/>
    <w:rsid w:val="00A80F95"/>
    <w:rsid w:val="00A91795"/>
    <w:rsid w:val="00A940CA"/>
    <w:rsid w:val="00A94F62"/>
    <w:rsid w:val="00A97BF1"/>
    <w:rsid w:val="00AA14F8"/>
    <w:rsid w:val="00AA298A"/>
    <w:rsid w:val="00AA315B"/>
    <w:rsid w:val="00AA785B"/>
    <w:rsid w:val="00AB376E"/>
    <w:rsid w:val="00AB4389"/>
    <w:rsid w:val="00AB6D71"/>
    <w:rsid w:val="00AC164A"/>
    <w:rsid w:val="00AC3E2D"/>
    <w:rsid w:val="00AC68FC"/>
    <w:rsid w:val="00AD3886"/>
    <w:rsid w:val="00AE448A"/>
    <w:rsid w:val="00AE55B9"/>
    <w:rsid w:val="00AE7AB3"/>
    <w:rsid w:val="00AF00AE"/>
    <w:rsid w:val="00AF2050"/>
    <w:rsid w:val="00AF276B"/>
    <w:rsid w:val="00B0385D"/>
    <w:rsid w:val="00B03CA8"/>
    <w:rsid w:val="00B03CE5"/>
    <w:rsid w:val="00B05089"/>
    <w:rsid w:val="00B120ED"/>
    <w:rsid w:val="00B15B31"/>
    <w:rsid w:val="00B16FE3"/>
    <w:rsid w:val="00B33C0A"/>
    <w:rsid w:val="00B36391"/>
    <w:rsid w:val="00B55E19"/>
    <w:rsid w:val="00B637DD"/>
    <w:rsid w:val="00B6495A"/>
    <w:rsid w:val="00B66722"/>
    <w:rsid w:val="00B70B50"/>
    <w:rsid w:val="00B758D4"/>
    <w:rsid w:val="00B76BA4"/>
    <w:rsid w:val="00B927C4"/>
    <w:rsid w:val="00B94758"/>
    <w:rsid w:val="00B95243"/>
    <w:rsid w:val="00BA0538"/>
    <w:rsid w:val="00BA4B6D"/>
    <w:rsid w:val="00BB26C5"/>
    <w:rsid w:val="00BC31BD"/>
    <w:rsid w:val="00BD2CB3"/>
    <w:rsid w:val="00BE499E"/>
    <w:rsid w:val="00BF1CF1"/>
    <w:rsid w:val="00BF4C41"/>
    <w:rsid w:val="00BF4DE6"/>
    <w:rsid w:val="00BF7FCE"/>
    <w:rsid w:val="00C05200"/>
    <w:rsid w:val="00C055B8"/>
    <w:rsid w:val="00C06B13"/>
    <w:rsid w:val="00C27D25"/>
    <w:rsid w:val="00C32299"/>
    <w:rsid w:val="00C36AC7"/>
    <w:rsid w:val="00C42541"/>
    <w:rsid w:val="00C42CDE"/>
    <w:rsid w:val="00C45879"/>
    <w:rsid w:val="00C5182A"/>
    <w:rsid w:val="00C63EE9"/>
    <w:rsid w:val="00C82BEC"/>
    <w:rsid w:val="00C87C56"/>
    <w:rsid w:val="00C9341B"/>
    <w:rsid w:val="00CA16F3"/>
    <w:rsid w:val="00CA37B1"/>
    <w:rsid w:val="00CB1959"/>
    <w:rsid w:val="00CB427F"/>
    <w:rsid w:val="00CC0603"/>
    <w:rsid w:val="00CC3FFC"/>
    <w:rsid w:val="00CC741B"/>
    <w:rsid w:val="00CD0E4B"/>
    <w:rsid w:val="00CE16C0"/>
    <w:rsid w:val="00CE4C89"/>
    <w:rsid w:val="00CF07BA"/>
    <w:rsid w:val="00CF2FDD"/>
    <w:rsid w:val="00CF6C83"/>
    <w:rsid w:val="00D00153"/>
    <w:rsid w:val="00D0296C"/>
    <w:rsid w:val="00D232F0"/>
    <w:rsid w:val="00D32D6F"/>
    <w:rsid w:val="00D37560"/>
    <w:rsid w:val="00D37B04"/>
    <w:rsid w:val="00D540C6"/>
    <w:rsid w:val="00D571CB"/>
    <w:rsid w:val="00D64BD1"/>
    <w:rsid w:val="00D65749"/>
    <w:rsid w:val="00D70747"/>
    <w:rsid w:val="00D72962"/>
    <w:rsid w:val="00D75D4C"/>
    <w:rsid w:val="00D813DF"/>
    <w:rsid w:val="00D81414"/>
    <w:rsid w:val="00D92254"/>
    <w:rsid w:val="00D922AA"/>
    <w:rsid w:val="00D93BC6"/>
    <w:rsid w:val="00DA29CB"/>
    <w:rsid w:val="00DC712C"/>
    <w:rsid w:val="00DE0082"/>
    <w:rsid w:val="00DE029D"/>
    <w:rsid w:val="00DE084C"/>
    <w:rsid w:val="00DE3514"/>
    <w:rsid w:val="00E14F51"/>
    <w:rsid w:val="00E357B7"/>
    <w:rsid w:val="00E50BEA"/>
    <w:rsid w:val="00E53800"/>
    <w:rsid w:val="00E6081F"/>
    <w:rsid w:val="00E655FE"/>
    <w:rsid w:val="00E72C99"/>
    <w:rsid w:val="00E80020"/>
    <w:rsid w:val="00E8296D"/>
    <w:rsid w:val="00E8457B"/>
    <w:rsid w:val="00EA04B2"/>
    <w:rsid w:val="00EA20F3"/>
    <w:rsid w:val="00EA2276"/>
    <w:rsid w:val="00EA76EC"/>
    <w:rsid w:val="00EB398C"/>
    <w:rsid w:val="00EB43D4"/>
    <w:rsid w:val="00EB52F4"/>
    <w:rsid w:val="00EC3C2D"/>
    <w:rsid w:val="00EC4981"/>
    <w:rsid w:val="00EC53BA"/>
    <w:rsid w:val="00ED2831"/>
    <w:rsid w:val="00ED43D1"/>
    <w:rsid w:val="00EE1027"/>
    <w:rsid w:val="00EE25F4"/>
    <w:rsid w:val="00EE4EE1"/>
    <w:rsid w:val="00EF4574"/>
    <w:rsid w:val="00EF5FB3"/>
    <w:rsid w:val="00F25A93"/>
    <w:rsid w:val="00F2684E"/>
    <w:rsid w:val="00F30087"/>
    <w:rsid w:val="00F315D0"/>
    <w:rsid w:val="00F366DB"/>
    <w:rsid w:val="00F42B3C"/>
    <w:rsid w:val="00F5404C"/>
    <w:rsid w:val="00F617F9"/>
    <w:rsid w:val="00F63C1B"/>
    <w:rsid w:val="00F729EF"/>
    <w:rsid w:val="00F744A2"/>
    <w:rsid w:val="00F74546"/>
    <w:rsid w:val="00F77CAE"/>
    <w:rsid w:val="00F82271"/>
    <w:rsid w:val="00F83428"/>
    <w:rsid w:val="00F86FF2"/>
    <w:rsid w:val="00F93801"/>
    <w:rsid w:val="00F950F7"/>
    <w:rsid w:val="00F95A36"/>
    <w:rsid w:val="00F96BB9"/>
    <w:rsid w:val="00FA69AF"/>
    <w:rsid w:val="00FA7833"/>
    <w:rsid w:val="00FB6D8C"/>
    <w:rsid w:val="00FC322F"/>
    <w:rsid w:val="00FE49E6"/>
    <w:rsid w:val="00FE6D51"/>
    <w:rsid w:val="00FE6F2A"/>
    <w:rsid w:val="00FF228F"/>
    <w:rsid w:val="00FF4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C94C6E1"/>
  <w15:docId w15:val="{19BED66C-9F36-41BE-9162-E3444C68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7B3DAA"/>
    <w:pPr>
      <w:tabs>
        <w:tab w:val="center" w:pos="4513"/>
        <w:tab w:val="right" w:pos="9026"/>
      </w:tabs>
      <w:spacing w:before="0" w:after="0"/>
      <w:ind w:left="227"/>
    </w:pPr>
    <w:rPr>
      <w:b/>
      <w:caps/>
      <w:color w:val="auto"/>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B3DAA"/>
    <w:rPr>
      <w:b/>
      <w:caps/>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7B3DAA"/>
    <w:pPr>
      <w:spacing w:before="0" w:after="0" w:line="240" w:lineRule="exact"/>
      <w:ind w:left="284" w:right="284"/>
    </w:pPr>
    <w:rPr>
      <w:color w:val="auto"/>
    </w:rPr>
  </w:style>
  <w:style w:type="character" w:customStyle="1" w:styleId="FooterChar">
    <w:name w:val="Footer Char"/>
    <w:basedOn w:val="DefaultParagraphFont"/>
    <w:link w:val="Footer"/>
    <w:uiPriority w:val="99"/>
    <w:rsid w:val="007B3DAA"/>
    <w:rPr>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7B3DAA"/>
    <w:rPr>
      <w:color w:val="auto"/>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7E4969"/>
    <w:pPr>
      <w:ind w:left="720"/>
      <w:contextualSpacing/>
    </w:pPr>
  </w:style>
  <w:style w:type="table" w:styleId="PlainTable3">
    <w:name w:val="Plain Table 3"/>
    <w:basedOn w:val="TableNormal"/>
    <w:uiPriority w:val="43"/>
    <w:locked/>
    <w:rsid w:val="009278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B05089"/>
    <w:rPr>
      <w:color w:val="495965" w:themeColor="text2"/>
      <w:lang w:val="en-GB"/>
    </w:rPr>
  </w:style>
  <w:style w:type="paragraph" w:styleId="NormalWeb">
    <w:name w:val="Normal (Web)"/>
    <w:basedOn w:val="Normal"/>
    <w:uiPriority w:val="99"/>
    <w:unhideWhenUsed/>
    <w:rsid w:val="007E3FF9"/>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table" w:customStyle="1" w:styleId="APPR">
    <w:name w:val="APPR"/>
    <w:basedOn w:val="TableNormal"/>
    <w:uiPriority w:val="99"/>
    <w:rsid w:val="00390828"/>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Revision">
    <w:name w:val="Revision"/>
    <w:hidden/>
    <w:uiPriority w:val="99"/>
    <w:semiHidden/>
    <w:rsid w:val="00660121"/>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796">
      <w:bodyDiv w:val="1"/>
      <w:marLeft w:val="0"/>
      <w:marRight w:val="0"/>
      <w:marTop w:val="0"/>
      <w:marBottom w:val="0"/>
      <w:divBdr>
        <w:top w:val="none" w:sz="0" w:space="0" w:color="auto"/>
        <w:left w:val="none" w:sz="0" w:space="0" w:color="auto"/>
        <w:bottom w:val="none" w:sz="0" w:space="0" w:color="auto"/>
        <w:right w:val="none" w:sz="0" w:space="0" w:color="auto"/>
      </w:divBdr>
    </w:div>
    <w:div w:id="388267503">
      <w:bodyDiv w:val="1"/>
      <w:marLeft w:val="0"/>
      <w:marRight w:val="0"/>
      <w:marTop w:val="0"/>
      <w:marBottom w:val="0"/>
      <w:divBdr>
        <w:top w:val="none" w:sz="0" w:space="0" w:color="auto"/>
        <w:left w:val="none" w:sz="0" w:space="0" w:color="auto"/>
        <w:bottom w:val="none" w:sz="0" w:space="0" w:color="auto"/>
        <w:right w:val="none" w:sz="0" w:space="0" w:color="auto"/>
      </w:divBdr>
    </w:div>
    <w:div w:id="489640626">
      <w:bodyDiv w:val="1"/>
      <w:marLeft w:val="0"/>
      <w:marRight w:val="0"/>
      <w:marTop w:val="0"/>
      <w:marBottom w:val="0"/>
      <w:divBdr>
        <w:top w:val="none" w:sz="0" w:space="0" w:color="auto"/>
        <w:left w:val="none" w:sz="0" w:space="0" w:color="auto"/>
        <w:bottom w:val="none" w:sz="0" w:space="0" w:color="auto"/>
        <w:right w:val="none" w:sz="0" w:space="0" w:color="auto"/>
      </w:divBdr>
    </w:div>
    <w:div w:id="993988907">
      <w:bodyDiv w:val="1"/>
      <w:marLeft w:val="0"/>
      <w:marRight w:val="0"/>
      <w:marTop w:val="0"/>
      <w:marBottom w:val="0"/>
      <w:divBdr>
        <w:top w:val="none" w:sz="0" w:space="0" w:color="auto"/>
        <w:left w:val="none" w:sz="0" w:space="0" w:color="auto"/>
        <w:bottom w:val="none" w:sz="0" w:space="0" w:color="auto"/>
        <w:right w:val="none" w:sz="0" w:space="0" w:color="auto"/>
      </w:divBdr>
    </w:div>
    <w:div w:id="1161970788">
      <w:bodyDiv w:val="1"/>
      <w:marLeft w:val="0"/>
      <w:marRight w:val="0"/>
      <w:marTop w:val="0"/>
      <w:marBottom w:val="0"/>
      <w:divBdr>
        <w:top w:val="none" w:sz="0" w:space="0" w:color="auto"/>
        <w:left w:val="none" w:sz="0" w:space="0" w:color="auto"/>
        <w:bottom w:val="none" w:sz="0" w:space="0" w:color="auto"/>
        <w:right w:val="none" w:sz="0" w:space="0" w:color="auto"/>
      </w:divBdr>
    </w:div>
    <w:div w:id="1168977536">
      <w:bodyDiv w:val="1"/>
      <w:marLeft w:val="0"/>
      <w:marRight w:val="0"/>
      <w:marTop w:val="0"/>
      <w:marBottom w:val="0"/>
      <w:divBdr>
        <w:top w:val="none" w:sz="0" w:space="0" w:color="auto"/>
        <w:left w:val="none" w:sz="0" w:space="0" w:color="auto"/>
        <w:bottom w:val="none" w:sz="0" w:space="0" w:color="auto"/>
        <w:right w:val="none" w:sz="0" w:space="0" w:color="auto"/>
      </w:divBdr>
    </w:div>
    <w:div w:id="1180923512">
      <w:bodyDiv w:val="1"/>
      <w:marLeft w:val="0"/>
      <w:marRight w:val="0"/>
      <w:marTop w:val="0"/>
      <w:marBottom w:val="0"/>
      <w:divBdr>
        <w:top w:val="none" w:sz="0" w:space="0" w:color="auto"/>
        <w:left w:val="none" w:sz="0" w:space="0" w:color="auto"/>
        <w:bottom w:val="none" w:sz="0" w:space="0" w:color="auto"/>
        <w:right w:val="none" w:sz="0" w:space="0" w:color="auto"/>
      </w:divBdr>
    </w:div>
    <w:div w:id="1341353538">
      <w:bodyDiv w:val="1"/>
      <w:marLeft w:val="0"/>
      <w:marRight w:val="0"/>
      <w:marTop w:val="0"/>
      <w:marBottom w:val="0"/>
      <w:divBdr>
        <w:top w:val="none" w:sz="0" w:space="0" w:color="auto"/>
        <w:left w:val="none" w:sz="0" w:space="0" w:color="auto"/>
        <w:bottom w:val="none" w:sz="0" w:space="0" w:color="auto"/>
        <w:right w:val="none" w:sz="0" w:space="0" w:color="auto"/>
      </w:divBdr>
    </w:div>
    <w:div w:id="1731686273">
      <w:bodyDiv w:val="1"/>
      <w:marLeft w:val="0"/>
      <w:marRight w:val="0"/>
      <w:marTop w:val="0"/>
      <w:marBottom w:val="0"/>
      <w:divBdr>
        <w:top w:val="none" w:sz="0" w:space="0" w:color="auto"/>
        <w:left w:val="none" w:sz="0" w:space="0" w:color="auto"/>
        <w:bottom w:val="none" w:sz="0" w:space="0" w:color="auto"/>
        <w:right w:val="none" w:sz="0" w:space="0" w:color="auto"/>
      </w:divBdr>
      <w:divsChild>
        <w:div w:id="861240672">
          <w:marLeft w:val="274"/>
          <w:marRight w:val="0"/>
          <w:marTop w:val="120"/>
          <w:marBottom w:val="0"/>
          <w:divBdr>
            <w:top w:val="none" w:sz="0" w:space="0" w:color="auto"/>
            <w:left w:val="none" w:sz="0" w:space="0" w:color="auto"/>
            <w:bottom w:val="none" w:sz="0" w:space="0" w:color="auto"/>
            <w:right w:val="none" w:sz="0" w:space="0" w:color="auto"/>
          </w:divBdr>
        </w:div>
        <w:div w:id="104663363">
          <w:marLeft w:val="274"/>
          <w:marRight w:val="0"/>
          <w:marTop w:val="120"/>
          <w:marBottom w:val="0"/>
          <w:divBdr>
            <w:top w:val="none" w:sz="0" w:space="0" w:color="auto"/>
            <w:left w:val="none" w:sz="0" w:space="0" w:color="auto"/>
            <w:bottom w:val="none" w:sz="0" w:space="0" w:color="auto"/>
            <w:right w:val="none" w:sz="0" w:space="0" w:color="auto"/>
          </w:divBdr>
        </w:div>
      </w:divsChild>
    </w:div>
    <w:div w:id="2004385573">
      <w:bodyDiv w:val="1"/>
      <w:marLeft w:val="0"/>
      <w:marRight w:val="0"/>
      <w:marTop w:val="0"/>
      <w:marBottom w:val="0"/>
      <w:divBdr>
        <w:top w:val="none" w:sz="0" w:space="0" w:color="auto"/>
        <w:left w:val="none" w:sz="0" w:space="0" w:color="auto"/>
        <w:bottom w:val="none" w:sz="0" w:space="0" w:color="auto"/>
        <w:right w:val="none" w:sz="0" w:space="0" w:color="auto"/>
      </w:divBdr>
    </w:div>
    <w:div w:id="2025478766">
      <w:bodyDiv w:val="1"/>
      <w:marLeft w:val="0"/>
      <w:marRight w:val="0"/>
      <w:marTop w:val="0"/>
      <w:marBottom w:val="0"/>
      <w:divBdr>
        <w:top w:val="none" w:sz="0" w:space="0" w:color="auto"/>
        <w:left w:val="none" w:sz="0" w:space="0" w:color="auto"/>
        <w:bottom w:val="none" w:sz="0" w:space="0" w:color="auto"/>
        <w:right w:val="none" w:sz="0" w:space="0" w:color="auto"/>
      </w:divBdr>
    </w:div>
    <w:div w:id="20296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at xmlns="6b894c73-1921-4299-aefc-49f5a4cb1310">3. Fact sheets - Aid</Format>
    <PageKeywords xmlns="349e11ad-1311-4134-818c-bb844dbfed54"/>
    <ExpiryDate xmlns="349e11ad-1311-4134-818c-bb844dbfed54" xsi:nil="true"/>
    <ItemActive xmlns="6b894c73-1921-4299-aefc-49f5a4cb1310">true</ItemActive>
    <OrganisationalUnit xmlns="349e11ad-1311-4134-818c-bb844dbfed54">502</OrganisationalUnit>
    <PageDescription xmlns="349e11ad-1311-4134-818c-bb844dbfed54" xsi:nil="true"/>
    <PageAuthor xmlns="349e11ad-1311-4134-818c-bb844dbfed54">
      <UserInfo>
        <DisplayName/>
        <AccountId xsi:nil="true"/>
        <AccountType/>
      </UserInfo>
    </PageAuthor>
    <ReviewDate xmlns="349e11ad-1311-4134-818c-bb844dbfed54" xsi:nil="true"/>
    <TRIMReferenceNumber xmlns="349e11ad-1311-4134-818c-bb844dbfed54" xsi:nil="true"/>
    <SecurityCategory xmlns="6b894c73-1921-4299-aefc-49f5a4cb1310" xsi:nil="true"/>
    <Template_x0020_group xmlns="6b894c73-1921-4299-aefc-49f5a4cb1310">Publication Templates</Template_x0020_group>
  </documentManagement>
</p:properti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EB5D4F438FF3914DA696AB2B9777A65B" ma:contentTypeVersion="14" ma:contentTypeDescription="Intranet document content" ma:contentTypeScope="" ma:versionID="27e3518c7386a69a74b4932400cee976">
  <xsd:schema xmlns:xsd="http://www.w3.org/2001/XMLSchema" xmlns:xs="http://www.w3.org/2001/XMLSchema" xmlns:p="http://schemas.microsoft.com/office/2006/metadata/properties" xmlns:ns2="349e11ad-1311-4134-818c-bb844dbfed54" xmlns:ns3="6b894c73-1921-4299-aefc-49f5a4cb1310" targetNamespace="http://schemas.microsoft.com/office/2006/metadata/properties" ma:root="true" ma:fieldsID="99b1acd6abdce66568d9eef49fbaa838" ns2:_="" ns3:_="">
    <xsd:import namespace="349e11ad-1311-4134-818c-bb844dbfed54"/>
    <xsd:import namespace="6b894c73-1921-4299-aefc-49f5a4cb1310"/>
    <xsd:element name="properties">
      <xsd:complexType>
        <xsd:sequence>
          <xsd:element name="documentManagement">
            <xsd:complexType>
              <xsd:all>
                <xsd:element ref="ns2:PageKeywords" minOccurs="0"/>
                <xsd:element ref="ns2:PageKeywordsID" minOccurs="0"/>
                <xsd:element ref="ns2:PageDescription" minOccurs="0"/>
                <xsd:element ref="ns3: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element ref="ns3:Template_x0020_group" minOccurs="0"/>
                <xsd:element ref="ns3:SecurityCategory" minOccurs="0"/>
                <xsd:element ref="ns3:Form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Author" ma:index="12"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3" nillable="true" ma:displayName="Review Date" ma:description="The date a content item is due to be reviewed." ma:format="DateOnly" ma:internalName="ReviewDate">
      <xsd:simpleType>
        <xsd:restriction base="dms:DateTime"/>
      </xsd:simpleType>
    </xsd:element>
    <xsd:element name="ExpiryDate" ma:index="14" nillable="true" ma:displayName="Expiry Date" ma:description="Identifies the date this content is due to expire." ma:format="DateOnly" ma:internalName="ExpiryDate">
      <xsd:simpleType>
        <xsd:restriction base="dms:DateTime"/>
      </xsd:simpleType>
    </xsd:element>
    <xsd:element name="TRIMReferenceNumber" ma:index="15"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6"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7"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8"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19"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b894c73-1921-4299-aefc-49f5a4cb1310" elementFormDefault="qualified">
    <xsd:import namespace="http://schemas.microsoft.com/office/2006/documentManagement/types"/>
    <xsd:import namespace="http://schemas.microsoft.com/office/infopath/2007/PartnerControls"/>
    <xsd:element name="ItemActive" ma:index="11" nillable="true" ma:displayName="Document Active" ma:default="1" ma:description="Identifies whether this value is currently used within the site." ma:internalName="ItemActive">
      <xsd:simpleType>
        <xsd:restriction base="dms:Boolean"/>
      </xsd:simpleType>
    </xsd:element>
    <xsd:element name="Template_x0020_group" ma:index="20" nillable="true" ma:displayName="Template group" ma:format="Dropdown" ma:internalName="Template_x0020_group">
      <xsd:simpleType>
        <xsd:restriction base="dms:Choice">
          <xsd:enumeration value="Briefing"/>
          <xsd:enumeration value="Building Management"/>
          <xsd:enumeration value="Change and release"/>
          <xsd:enumeration value="Comcover"/>
          <xsd:enumeration value="Communications and media"/>
          <xsd:enumeration value="Conduct and Ethics"/>
          <xsd:enumeration value="Conferences"/>
          <xsd:enumeration value="Consular"/>
          <xsd:enumeration value="Contracts"/>
          <xsd:enumeration value="Departmental"/>
          <xsd:enumeration value="EMS"/>
          <xsd:enumeration value="Fax"/>
          <xsd:enumeration value="Finance"/>
          <xsd:enumeration value="Forms"/>
          <xsd:enumeration value="Functions"/>
          <xsd:enumeration value="Globals"/>
          <xsd:enumeration value="ICT Documents"/>
          <xsd:enumeration value="Invitations"/>
          <xsd:enumeration value="Labels"/>
          <xsd:enumeration value="Legal Advice"/>
          <xsd:enumeration value="Legislative Instrument"/>
          <xsd:enumeration value="Letters"/>
          <xsd:enumeration value="Long Term Posting"/>
          <xsd:enumeration value="Memorandum"/>
          <xsd:enumeration value="Ministerials"/>
          <xsd:enumeration value="Ministers' Letters"/>
          <xsd:enumeration value="Minutes"/>
          <xsd:enumeration value="Motor Vehicles"/>
          <xsd:enumeration value="Name Tags and Placecards"/>
          <xsd:enumeration value="Note for File"/>
          <xsd:enumeration value="OH&amp;S"/>
          <xsd:enumeration value="Overseas Property"/>
          <xsd:enumeration value="Passports"/>
          <xsd:enumeration value="Payroll Services"/>
          <xsd:enumeration value="Performance"/>
          <xsd:enumeration value="Personnel-Staffing"/>
          <xsd:enumeration value="PowerPoint"/>
          <xsd:enumeration value="Printing"/>
          <xsd:enumeration value="Publications"/>
          <xsd:enumeration value="Publication Templates"/>
          <xsd:enumeration value="Procurement"/>
          <xsd:enumeration value="Record of Conversation"/>
          <xsd:enumeration value="Records management"/>
          <xsd:enumeration value="Recruitment"/>
          <xsd:enumeration value="SAP-Peoplesoft"/>
          <xsd:enumeration value="Security and IT System Access"/>
          <xsd:enumeration value="Staffing"/>
          <xsd:enumeration value="Third Person Note"/>
          <xsd:enumeration value="Training"/>
          <xsd:enumeration value="Travel"/>
          <xsd:enumeration value="Vendor Forms"/>
          <xsd:enumeration value="Voice &amp; IT"/>
          <xsd:enumeration value="TV"/>
          <xsd:enumeration value="WHS"/>
          <xsd:enumeration value="WHS Templates"/>
        </xsd:restriction>
      </xsd:simpleType>
    </xsd:element>
    <xsd:element name="SecurityCategory" ma:index="22" nillable="true" ma:displayName="Security Category" ma:format="Dropdown" ma:internalName="SecurityCategory">
      <xsd:simpleType>
        <xsd:restriction base="dms:Choice">
          <xsd:enumeration value="IT System Access &amp; Toner Cartidges"/>
          <xsd:enumeration value="Risk Assessment and Approval for Travel"/>
          <xsd:enumeration value="Security Clearances &amp; Pass Requests"/>
          <xsd:enumeration value="Security Reporting"/>
          <xsd:enumeration value="Remote Access"/>
        </xsd:restriction>
      </xsd:simpleType>
    </xsd:element>
    <xsd:element name="Format" ma:index="24" ma:displayName="Format" ma:default="N/a" ma:format="Dropdown" ma:internalName="Format">
      <xsd:simpleType>
        <xsd:restriction base="dms:Choice">
          <xsd:enumeration value="N/a"/>
          <xsd:enumeration value="1. Examples of best practice"/>
          <xsd:enumeration value="2. Fact sheets"/>
          <xsd:enumeration value="3. Fact sheets - Aid"/>
          <xsd:enumeration value="4. Reports"/>
          <xsd:enumeration value="5. Reports - Aid"/>
          <xsd:enumeration value="6. PowerPoint"/>
          <xsd:enumeration value="7. Excel"/>
          <xsd:enumeration value="8. How-to guid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4B631-7640-4A17-8550-BEE8955DE750}">
  <ds:schemaRefs>
    <ds:schemaRef ds:uri="http://purl.org/dc/elements/1.1/"/>
    <ds:schemaRef ds:uri="http://schemas.microsoft.com/office/2006/metadata/properties"/>
    <ds:schemaRef ds:uri="349e11ad-1311-4134-818c-bb844dbfed54"/>
    <ds:schemaRef ds:uri="http://purl.org/dc/terms/"/>
    <ds:schemaRef ds:uri="http://schemas.openxmlformats.org/package/2006/metadata/core-properties"/>
    <ds:schemaRef ds:uri="http://purl.org/dc/dcmitype/"/>
    <ds:schemaRef ds:uri="http://schemas.microsoft.com/office/2006/documentManagement/types"/>
    <ds:schemaRef ds:uri="6b894c73-1921-4299-aefc-49f5a4cb1310"/>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49A6C26-75B3-47A7-9942-A2C932075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6b894c73-1921-4299-aefc-49f5a4cb1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744F3-77A8-42E6-9FDA-A7B27B5C94ED}">
  <ds:schemaRefs>
    <ds:schemaRef ds:uri="http://schemas.microsoft.com/sharepoint/v3/contenttype/forms"/>
  </ds:schemaRefs>
</ds:datastoreItem>
</file>

<file path=customXml/itemProps4.xml><?xml version="1.0" encoding="utf-8"?>
<ds:datastoreItem xmlns:ds="http://schemas.openxmlformats.org/officeDocument/2006/customXml" ds:itemID="{9CE8AFA4-51B0-4104-AB16-6AA7BE40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Aid Fact Sheet - aqua - single column</vt:lpstr>
    </vt:vector>
  </TitlesOfParts>
  <Company>Department of Foreign Affairs and Trade</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Fact Sheet - aqua - single column</dc:title>
  <dc:creator>Ben</dc:creator>
  <cp:lastModifiedBy>Sydney Carpenter</cp:lastModifiedBy>
  <cp:revision>10</cp:revision>
  <cp:lastPrinted>2020-09-16T05:13:00Z</cp:lastPrinted>
  <dcterms:created xsi:type="dcterms:W3CDTF">2020-11-03T06:40:00Z</dcterms:created>
  <dcterms:modified xsi:type="dcterms:W3CDTF">2020-11-17T04:52:00Z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fff2bd30-ac8c-422c-bfd4-f32366b1dc57</vt:lpwstr>
  </property>
  <property fmtid="{D5CDD505-2E9C-101B-9397-08002B2CF9AE}" pid="3" name="ContentTypeId">
    <vt:lpwstr>0x01010068D47A3238F547F295FC4399B890905A00EB5D4F438FF3914DA696AB2B9777A65B</vt:lpwstr>
  </property>
  <property fmtid="{D5CDD505-2E9C-101B-9397-08002B2CF9AE}" pid="4" name="SEC">
    <vt:lpwstr>OFFICIAL</vt:lpwstr>
  </property>
  <property fmtid="{D5CDD505-2E9C-101B-9397-08002B2CF9AE}" pid="5" name="DLM">
    <vt:lpwstr>No DLM</vt:lpwstr>
  </property>
</Properties>
</file>